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0323" w14:textId="77777777" w:rsidR="000004E0" w:rsidRDefault="0062652A" w:rsidP="000004E0">
      <w:pPr>
        <w:pStyle w:val="Normal1"/>
        <w:spacing w:after="120" w:line="276" w:lineRule="auto"/>
        <w:jc w:val="center"/>
        <w:rPr>
          <w:rStyle w:val="Strong"/>
        </w:rPr>
      </w:pPr>
      <w:proofErr w:type="spellStart"/>
      <w:r>
        <w:rPr>
          <w:rStyle w:val="Strong"/>
        </w:rPr>
        <w:t>E</w:t>
      </w:r>
      <w:r w:rsidR="000004E0" w:rsidRPr="000004E0">
        <w:rPr>
          <w:rStyle w:val="Strong"/>
        </w:rPr>
        <w:t>co.bu</w:t>
      </w:r>
      <w:r w:rsidR="00066A36">
        <w:rPr>
          <w:rStyle w:val="Strong"/>
        </w:rPr>
        <w:t>siness</w:t>
      </w:r>
      <w:proofErr w:type="spellEnd"/>
      <w:r w:rsidR="00066A36">
        <w:rPr>
          <w:rStyle w:val="Strong"/>
        </w:rPr>
        <w:t xml:space="preserve"> Fund Annual Review – 2018</w:t>
      </w:r>
      <w:r w:rsidR="000004E0" w:rsidRPr="000004E0">
        <w:rPr>
          <w:rStyle w:val="Strong"/>
        </w:rPr>
        <w:t xml:space="preserve"> Performance</w:t>
      </w:r>
    </w:p>
    <w:sdt>
      <w:sdtPr>
        <w:rPr>
          <w:rFonts w:ascii="Calibri" w:eastAsia="Times New Roman" w:hAnsi="Calibri" w:cs="Franklin Gothic Book"/>
          <w:color w:val="auto"/>
          <w:sz w:val="22"/>
          <w:szCs w:val="22"/>
          <w:lang w:val="en-GB"/>
        </w:rPr>
        <w:id w:val="-1310625519"/>
        <w:docPartObj>
          <w:docPartGallery w:val="Table of Contents"/>
          <w:docPartUnique/>
        </w:docPartObj>
      </w:sdtPr>
      <w:sdtEndPr>
        <w:rPr>
          <w:b/>
          <w:bCs/>
          <w:noProof/>
        </w:rPr>
      </w:sdtEndPr>
      <w:sdtContent>
        <w:p w14:paraId="61140DD6" w14:textId="77777777" w:rsidR="000004E0" w:rsidRPr="000004E0" w:rsidRDefault="000004E0">
          <w:pPr>
            <w:pStyle w:val="TOCHeading"/>
            <w:rPr>
              <w:rFonts w:asciiTheme="minorHAnsi" w:hAnsiTheme="minorHAnsi"/>
              <w:b/>
              <w:color w:val="auto"/>
              <w:sz w:val="24"/>
            </w:rPr>
          </w:pPr>
          <w:r w:rsidRPr="000004E0">
            <w:rPr>
              <w:rFonts w:asciiTheme="minorHAnsi" w:hAnsiTheme="minorHAnsi"/>
              <w:b/>
              <w:color w:val="auto"/>
              <w:sz w:val="24"/>
            </w:rPr>
            <w:t>Contents</w:t>
          </w:r>
        </w:p>
        <w:p w14:paraId="5963A674" w14:textId="77777777" w:rsidR="00EA6D65" w:rsidRDefault="000004E0">
          <w:pPr>
            <w:pStyle w:val="TOC2"/>
            <w:tabs>
              <w:tab w:val="right" w:leader="dot" w:pos="9016"/>
            </w:tabs>
            <w:rPr>
              <w:rFonts w:asciiTheme="minorHAnsi" w:eastAsiaTheme="minorEastAsia" w:hAnsiTheme="minorHAnsi" w:cstheme="minorBidi"/>
              <w:noProof/>
              <w:lang w:eastAsia="en-GB"/>
            </w:rPr>
          </w:pPr>
          <w:r>
            <w:rPr>
              <w:b/>
              <w:bCs/>
              <w:noProof/>
            </w:rPr>
            <w:fldChar w:fldCharType="begin"/>
          </w:r>
          <w:r>
            <w:rPr>
              <w:b/>
              <w:bCs/>
              <w:noProof/>
            </w:rPr>
            <w:instrText xml:space="preserve"> TOC \o "1-3" \h \z \u </w:instrText>
          </w:r>
          <w:r>
            <w:rPr>
              <w:b/>
              <w:bCs/>
              <w:noProof/>
            </w:rPr>
            <w:fldChar w:fldCharType="separate"/>
          </w:r>
          <w:hyperlink w:anchor="_Toc15984381" w:history="1">
            <w:r w:rsidR="00EA6D65" w:rsidRPr="00DD37E1">
              <w:rPr>
                <w:rStyle w:val="Hyperlink"/>
                <w:rFonts w:eastAsiaTheme="majorEastAsia"/>
                <w:noProof/>
              </w:rPr>
              <w:t>eco.business Fund Annual Review - Summary Sheet</w:t>
            </w:r>
            <w:r w:rsidR="00EA6D65">
              <w:rPr>
                <w:noProof/>
                <w:webHidden/>
              </w:rPr>
              <w:tab/>
            </w:r>
            <w:r w:rsidR="00EA6D65">
              <w:rPr>
                <w:noProof/>
                <w:webHidden/>
              </w:rPr>
              <w:fldChar w:fldCharType="begin"/>
            </w:r>
            <w:r w:rsidR="00EA6D65">
              <w:rPr>
                <w:noProof/>
                <w:webHidden/>
              </w:rPr>
              <w:instrText xml:space="preserve"> PAGEREF _Toc15984381 \h </w:instrText>
            </w:r>
            <w:r w:rsidR="00EA6D65">
              <w:rPr>
                <w:noProof/>
                <w:webHidden/>
              </w:rPr>
            </w:r>
            <w:r w:rsidR="00EA6D65">
              <w:rPr>
                <w:noProof/>
                <w:webHidden/>
              </w:rPr>
              <w:fldChar w:fldCharType="separate"/>
            </w:r>
            <w:r w:rsidR="00905D1F">
              <w:rPr>
                <w:noProof/>
                <w:webHidden/>
              </w:rPr>
              <w:t>2</w:t>
            </w:r>
            <w:r w:rsidR="00EA6D65">
              <w:rPr>
                <w:noProof/>
                <w:webHidden/>
              </w:rPr>
              <w:fldChar w:fldCharType="end"/>
            </w:r>
          </w:hyperlink>
        </w:p>
        <w:p w14:paraId="5EF59691"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2" w:history="1">
            <w:r w:rsidR="00EA6D65" w:rsidRPr="00DD37E1">
              <w:rPr>
                <w:rStyle w:val="Hyperlink"/>
                <w:rFonts w:eastAsiaTheme="majorEastAsia"/>
                <w:noProof/>
              </w:rPr>
              <w:t>A. Introduction and Context</w:t>
            </w:r>
            <w:r w:rsidR="00EA6D65">
              <w:rPr>
                <w:noProof/>
                <w:webHidden/>
              </w:rPr>
              <w:tab/>
            </w:r>
            <w:r w:rsidR="00EA6D65">
              <w:rPr>
                <w:noProof/>
                <w:webHidden/>
              </w:rPr>
              <w:fldChar w:fldCharType="begin"/>
            </w:r>
            <w:r w:rsidR="00EA6D65">
              <w:rPr>
                <w:noProof/>
                <w:webHidden/>
              </w:rPr>
              <w:instrText xml:space="preserve"> PAGEREF _Toc15984382 \h </w:instrText>
            </w:r>
            <w:r w:rsidR="00EA6D65">
              <w:rPr>
                <w:noProof/>
                <w:webHidden/>
              </w:rPr>
            </w:r>
            <w:r w:rsidR="00EA6D65">
              <w:rPr>
                <w:noProof/>
                <w:webHidden/>
              </w:rPr>
              <w:fldChar w:fldCharType="separate"/>
            </w:r>
            <w:r w:rsidR="00905D1F">
              <w:rPr>
                <w:noProof/>
                <w:webHidden/>
              </w:rPr>
              <w:t>6</w:t>
            </w:r>
            <w:r w:rsidR="00EA6D65">
              <w:rPr>
                <w:noProof/>
                <w:webHidden/>
              </w:rPr>
              <w:fldChar w:fldCharType="end"/>
            </w:r>
          </w:hyperlink>
        </w:p>
        <w:p w14:paraId="0E9E1E22"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3" w:history="1">
            <w:r w:rsidR="00EA6D65" w:rsidRPr="00DD37E1">
              <w:rPr>
                <w:rStyle w:val="Hyperlink"/>
                <w:rFonts w:eastAsiaTheme="majorEastAsia"/>
                <w:noProof/>
              </w:rPr>
              <w:t>B: PERFORMANCE AND CONCLUSIONS</w:t>
            </w:r>
            <w:r w:rsidR="00EA6D65">
              <w:rPr>
                <w:noProof/>
                <w:webHidden/>
              </w:rPr>
              <w:tab/>
            </w:r>
            <w:r w:rsidR="00EA6D65">
              <w:rPr>
                <w:noProof/>
                <w:webHidden/>
              </w:rPr>
              <w:fldChar w:fldCharType="begin"/>
            </w:r>
            <w:r w:rsidR="00EA6D65">
              <w:rPr>
                <w:noProof/>
                <w:webHidden/>
              </w:rPr>
              <w:instrText xml:space="preserve"> PAGEREF _Toc15984383 \h </w:instrText>
            </w:r>
            <w:r w:rsidR="00EA6D65">
              <w:rPr>
                <w:noProof/>
                <w:webHidden/>
              </w:rPr>
            </w:r>
            <w:r w:rsidR="00EA6D65">
              <w:rPr>
                <w:noProof/>
                <w:webHidden/>
              </w:rPr>
              <w:fldChar w:fldCharType="separate"/>
            </w:r>
            <w:r w:rsidR="00905D1F">
              <w:rPr>
                <w:noProof/>
                <w:webHidden/>
              </w:rPr>
              <w:t>8</w:t>
            </w:r>
            <w:r w:rsidR="00EA6D65">
              <w:rPr>
                <w:noProof/>
                <w:webHidden/>
              </w:rPr>
              <w:fldChar w:fldCharType="end"/>
            </w:r>
          </w:hyperlink>
        </w:p>
        <w:p w14:paraId="62F6AF94"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4" w:history="1">
            <w:r w:rsidR="00EA6D65" w:rsidRPr="00DD37E1">
              <w:rPr>
                <w:rStyle w:val="Hyperlink"/>
                <w:rFonts w:eastAsiaTheme="majorEastAsia"/>
                <w:noProof/>
              </w:rPr>
              <w:t>C: DETAILED OUTPUT SCORING</w:t>
            </w:r>
            <w:r w:rsidR="00EA6D65">
              <w:rPr>
                <w:noProof/>
                <w:webHidden/>
              </w:rPr>
              <w:tab/>
            </w:r>
            <w:r w:rsidR="00EA6D65">
              <w:rPr>
                <w:noProof/>
                <w:webHidden/>
              </w:rPr>
              <w:fldChar w:fldCharType="begin"/>
            </w:r>
            <w:r w:rsidR="00EA6D65">
              <w:rPr>
                <w:noProof/>
                <w:webHidden/>
              </w:rPr>
              <w:instrText xml:space="preserve"> PAGEREF _Toc15984384 \h </w:instrText>
            </w:r>
            <w:r w:rsidR="00EA6D65">
              <w:rPr>
                <w:noProof/>
                <w:webHidden/>
              </w:rPr>
            </w:r>
            <w:r w:rsidR="00EA6D65">
              <w:rPr>
                <w:noProof/>
                <w:webHidden/>
              </w:rPr>
              <w:fldChar w:fldCharType="separate"/>
            </w:r>
            <w:r w:rsidR="00905D1F">
              <w:rPr>
                <w:noProof/>
                <w:webHidden/>
              </w:rPr>
              <w:t>10</w:t>
            </w:r>
            <w:r w:rsidR="00EA6D65">
              <w:rPr>
                <w:noProof/>
                <w:webHidden/>
              </w:rPr>
              <w:fldChar w:fldCharType="end"/>
            </w:r>
          </w:hyperlink>
        </w:p>
        <w:p w14:paraId="2CBAA792"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5" w:history="1">
            <w:r w:rsidR="00EA6D65" w:rsidRPr="00DD37E1">
              <w:rPr>
                <w:rStyle w:val="Hyperlink"/>
                <w:rFonts w:eastAsiaTheme="majorEastAsia"/>
                <w:noProof/>
              </w:rPr>
              <w:t>C: DETAILED OUTPUT SCORING</w:t>
            </w:r>
            <w:r w:rsidR="00EA6D65">
              <w:rPr>
                <w:noProof/>
                <w:webHidden/>
              </w:rPr>
              <w:tab/>
            </w:r>
            <w:r w:rsidR="00EA6D65">
              <w:rPr>
                <w:noProof/>
                <w:webHidden/>
              </w:rPr>
              <w:fldChar w:fldCharType="begin"/>
            </w:r>
            <w:r w:rsidR="00EA6D65">
              <w:rPr>
                <w:noProof/>
                <w:webHidden/>
              </w:rPr>
              <w:instrText xml:space="preserve"> PAGEREF _Toc15984385 \h </w:instrText>
            </w:r>
            <w:r w:rsidR="00EA6D65">
              <w:rPr>
                <w:noProof/>
                <w:webHidden/>
              </w:rPr>
            </w:r>
            <w:r w:rsidR="00EA6D65">
              <w:rPr>
                <w:noProof/>
                <w:webHidden/>
              </w:rPr>
              <w:fldChar w:fldCharType="separate"/>
            </w:r>
            <w:r w:rsidR="00905D1F">
              <w:rPr>
                <w:noProof/>
                <w:webHidden/>
              </w:rPr>
              <w:t>11</w:t>
            </w:r>
            <w:r w:rsidR="00EA6D65">
              <w:rPr>
                <w:noProof/>
                <w:webHidden/>
              </w:rPr>
              <w:fldChar w:fldCharType="end"/>
            </w:r>
          </w:hyperlink>
        </w:p>
        <w:p w14:paraId="0FBB479C"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6" w:history="1">
            <w:r w:rsidR="00EA6D65" w:rsidRPr="00DD37E1">
              <w:rPr>
                <w:rStyle w:val="Hyperlink"/>
                <w:rFonts w:eastAsiaTheme="majorEastAsia"/>
                <w:noProof/>
              </w:rPr>
              <w:t>C: DETAILED OUTPUT SCORING</w:t>
            </w:r>
            <w:r w:rsidR="00EA6D65">
              <w:rPr>
                <w:noProof/>
                <w:webHidden/>
              </w:rPr>
              <w:tab/>
            </w:r>
            <w:r w:rsidR="00EA6D65">
              <w:rPr>
                <w:noProof/>
                <w:webHidden/>
              </w:rPr>
              <w:fldChar w:fldCharType="begin"/>
            </w:r>
            <w:r w:rsidR="00EA6D65">
              <w:rPr>
                <w:noProof/>
                <w:webHidden/>
              </w:rPr>
              <w:instrText xml:space="preserve"> PAGEREF _Toc15984386 \h </w:instrText>
            </w:r>
            <w:r w:rsidR="00EA6D65">
              <w:rPr>
                <w:noProof/>
                <w:webHidden/>
              </w:rPr>
            </w:r>
            <w:r w:rsidR="00EA6D65">
              <w:rPr>
                <w:noProof/>
                <w:webHidden/>
              </w:rPr>
              <w:fldChar w:fldCharType="separate"/>
            </w:r>
            <w:r w:rsidR="00905D1F">
              <w:rPr>
                <w:noProof/>
                <w:webHidden/>
              </w:rPr>
              <w:t>12</w:t>
            </w:r>
            <w:r w:rsidR="00EA6D65">
              <w:rPr>
                <w:noProof/>
                <w:webHidden/>
              </w:rPr>
              <w:fldChar w:fldCharType="end"/>
            </w:r>
          </w:hyperlink>
        </w:p>
        <w:p w14:paraId="1EB6EEA9"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7" w:history="1">
            <w:r w:rsidR="00EA6D65" w:rsidRPr="00DD37E1">
              <w:rPr>
                <w:rStyle w:val="Hyperlink"/>
                <w:rFonts w:eastAsiaTheme="majorEastAsia"/>
                <w:noProof/>
              </w:rPr>
              <w:t>C: DETAILED OUTPUT SCORING</w:t>
            </w:r>
            <w:r w:rsidR="00EA6D65">
              <w:rPr>
                <w:noProof/>
                <w:webHidden/>
              </w:rPr>
              <w:tab/>
            </w:r>
            <w:r w:rsidR="00EA6D65">
              <w:rPr>
                <w:noProof/>
                <w:webHidden/>
              </w:rPr>
              <w:fldChar w:fldCharType="begin"/>
            </w:r>
            <w:r w:rsidR="00EA6D65">
              <w:rPr>
                <w:noProof/>
                <w:webHidden/>
              </w:rPr>
              <w:instrText xml:space="preserve"> PAGEREF _Toc15984387 \h </w:instrText>
            </w:r>
            <w:r w:rsidR="00EA6D65">
              <w:rPr>
                <w:noProof/>
                <w:webHidden/>
              </w:rPr>
            </w:r>
            <w:r w:rsidR="00EA6D65">
              <w:rPr>
                <w:noProof/>
                <w:webHidden/>
              </w:rPr>
              <w:fldChar w:fldCharType="separate"/>
            </w:r>
            <w:r w:rsidR="00905D1F">
              <w:rPr>
                <w:noProof/>
                <w:webHidden/>
              </w:rPr>
              <w:t>14</w:t>
            </w:r>
            <w:r w:rsidR="00EA6D65">
              <w:rPr>
                <w:noProof/>
                <w:webHidden/>
              </w:rPr>
              <w:fldChar w:fldCharType="end"/>
            </w:r>
          </w:hyperlink>
        </w:p>
        <w:p w14:paraId="6AEE8BB4"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8" w:history="1">
            <w:r w:rsidR="00EA6D65" w:rsidRPr="00DD37E1">
              <w:rPr>
                <w:rStyle w:val="Hyperlink"/>
                <w:rFonts w:eastAsiaTheme="majorEastAsia"/>
                <w:noProof/>
              </w:rPr>
              <w:t>D: VALUE FOR MONEY &amp; FINANCIAL PERFORMANCE</w:t>
            </w:r>
            <w:r w:rsidR="00EA6D65">
              <w:rPr>
                <w:noProof/>
                <w:webHidden/>
              </w:rPr>
              <w:tab/>
            </w:r>
            <w:r w:rsidR="00EA6D65">
              <w:rPr>
                <w:noProof/>
                <w:webHidden/>
              </w:rPr>
              <w:fldChar w:fldCharType="begin"/>
            </w:r>
            <w:r w:rsidR="00EA6D65">
              <w:rPr>
                <w:noProof/>
                <w:webHidden/>
              </w:rPr>
              <w:instrText xml:space="preserve"> PAGEREF _Toc15984388 \h </w:instrText>
            </w:r>
            <w:r w:rsidR="00EA6D65">
              <w:rPr>
                <w:noProof/>
                <w:webHidden/>
              </w:rPr>
            </w:r>
            <w:r w:rsidR="00EA6D65">
              <w:rPr>
                <w:noProof/>
                <w:webHidden/>
              </w:rPr>
              <w:fldChar w:fldCharType="separate"/>
            </w:r>
            <w:r w:rsidR="00905D1F">
              <w:rPr>
                <w:noProof/>
                <w:webHidden/>
              </w:rPr>
              <w:t>16</w:t>
            </w:r>
            <w:r w:rsidR="00EA6D65">
              <w:rPr>
                <w:noProof/>
                <w:webHidden/>
              </w:rPr>
              <w:fldChar w:fldCharType="end"/>
            </w:r>
          </w:hyperlink>
        </w:p>
        <w:p w14:paraId="5C726F13"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89" w:history="1">
            <w:r w:rsidR="00EA6D65" w:rsidRPr="00DD37E1">
              <w:rPr>
                <w:rStyle w:val="Hyperlink"/>
                <w:rFonts w:eastAsiaTheme="majorEastAsia"/>
                <w:noProof/>
              </w:rPr>
              <w:t>E: RISK</w:t>
            </w:r>
            <w:r w:rsidR="00EA6D65">
              <w:rPr>
                <w:noProof/>
                <w:webHidden/>
              </w:rPr>
              <w:tab/>
            </w:r>
            <w:r w:rsidR="00EA6D65">
              <w:rPr>
                <w:noProof/>
                <w:webHidden/>
              </w:rPr>
              <w:fldChar w:fldCharType="begin"/>
            </w:r>
            <w:r w:rsidR="00EA6D65">
              <w:rPr>
                <w:noProof/>
                <w:webHidden/>
              </w:rPr>
              <w:instrText xml:space="preserve"> PAGEREF _Toc15984389 \h </w:instrText>
            </w:r>
            <w:r w:rsidR="00EA6D65">
              <w:rPr>
                <w:noProof/>
                <w:webHidden/>
              </w:rPr>
            </w:r>
            <w:r w:rsidR="00EA6D65">
              <w:rPr>
                <w:noProof/>
                <w:webHidden/>
              </w:rPr>
              <w:fldChar w:fldCharType="separate"/>
            </w:r>
            <w:r w:rsidR="00905D1F">
              <w:rPr>
                <w:noProof/>
                <w:webHidden/>
              </w:rPr>
              <w:t>18</w:t>
            </w:r>
            <w:r w:rsidR="00EA6D65">
              <w:rPr>
                <w:noProof/>
                <w:webHidden/>
              </w:rPr>
              <w:fldChar w:fldCharType="end"/>
            </w:r>
          </w:hyperlink>
        </w:p>
        <w:p w14:paraId="2D1C2151"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90" w:history="1">
            <w:r w:rsidR="00EA6D65" w:rsidRPr="00DD37E1">
              <w:rPr>
                <w:rStyle w:val="Hyperlink"/>
                <w:rFonts w:eastAsiaTheme="majorEastAsia"/>
                <w:noProof/>
              </w:rPr>
              <w:t>F: COMMERCIAL CONSIDERATIONS</w:t>
            </w:r>
            <w:r w:rsidR="00EA6D65">
              <w:rPr>
                <w:noProof/>
                <w:webHidden/>
              </w:rPr>
              <w:tab/>
            </w:r>
            <w:r w:rsidR="00EA6D65">
              <w:rPr>
                <w:noProof/>
                <w:webHidden/>
              </w:rPr>
              <w:fldChar w:fldCharType="begin"/>
            </w:r>
            <w:r w:rsidR="00EA6D65">
              <w:rPr>
                <w:noProof/>
                <w:webHidden/>
              </w:rPr>
              <w:instrText xml:space="preserve"> PAGEREF _Toc15984390 \h </w:instrText>
            </w:r>
            <w:r w:rsidR="00EA6D65">
              <w:rPr>
                <w:noProof/>
                <w:webHidden/>
              </w:rPr>
            </w:r>
            <w:r w:rsidR="00EA6D65">
              <w:rPr>
                <w:noProof/>
                <w:webHidden/>
              </w:rPr>
              <w:fldChar w:fldCharType="separate"/>
            </w:r>
            <w:r w:rsidR="00905D1F">
              <w:rPr>
                <w:noProof/>
                <w:webHidden/>
              </w:rPr>
              <w:t>20</w:t>
            </w:r>
            <w:r w:rsidR="00EA6D65">
              <w:rPr>
                <w:noProof/>
                <w:webHidden/>
              </w:rPr>
              <w:fldChar w:fldCharType="end"/>
            </w:r>
          </w:hyperlink>
        </w:p>
        <w:p w14:paraId="2B36EC1B"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91" w:history="1">
            <w:r w:rsidR="00EA6D65" w:rsidRPr="00DD37E1">
              <w:rPr>
                <w:rStyle w:val="Hyperlink"/>
                <w:rFonts w:eastAsiaTheme="majorEastAsia"/>
                <w:noProof/>
              </w:rPr>
              <w:t>G: CONDITIONALITY</w:t>
            </w:r>
            <w:r w:rsidR="00EA6D65">
              <w:rPr>
                <w:noProof/>
                <w:webHidden/>
              </w:rPr>
              <w:tab/>
            </w:r>
            <w:r w:rsidR="00EA6D65">
              <w:rPr>
                <w:noProof/>
                <w:webHidden/>
              </w:rPr>
              <w:fldChar w:fldCharType="begin"/>
            </w:r>
            <w:r w:rsidR="00EA6D65">
              <w:rPr>
                <w:noProof/>
                <w:webHidden/>
              </w:rPr>
              <w:instrText xml:space="preserve"> PAGEREF _Toc15984391 \h </w:instrText>
            </w:r>
            <w:r w:rsidR="00EA6D65">
              <w:rPr>
                <w:noProof/>
                <w:webHidden/>
              </w:rPr>
            </w:r>
            <w:r w:rsidR="00EA6D65">
              <w:rPr>
                <w:noProof/>
                <w:webHidden/>
              </w:rPr>
              <w:fldChar w:fldCharType="separate"/>
            </w:r>
            <w:r w:rsidR="00905D1F">
              <w:rPr>
                <w:noProof/>
                <w:webHidden/>
              </w:rPr>
              <w:t>20</w:t>
            </w:r>
            <w:r w:rsidR="00EA6D65">
              <w:rPr>
                <w:noProof/>
                <w:webHidden/>
              </w:rPr>
              <w:fldChar w:fldCharType="end"/>
            </w:r>
          </w:hyperlink>
        </w:p>
        <w:p w14:paraId="750C8CD1"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92" w:history="1">
            <w:r w:rsidR="00EA6D65" w:rsidRPr="00DD37E1">
              <w:rPr>
                <w:rStyle w:val="Hyperlink"/>
                <w:rFonts w:eastAsiaTheme="majorEastAsia"/>
                <w:noProof/>
              </w:rPr>
              <w:t>H: MONITORING &amp; EVALUATION</w:t>
            </w:r>
            <w:r w:rsidR="00EA6D65">
              <w:rPr>
                <w:noProof/>
                <w:webHidden/>
              </w:rPr>
              <w:tab/>
            </w:r>
            <w:r w:rsidR="00EA6D65">
              <w:rPr>
                <w:noProof/>
                <w:webHidden/>
              </w:rPr>
              <w:fldChar w:fldCharType="begin"/>
            </w:r>
            <w:r w:rsidR="00EA6D65">
              <w:rPr>
                <w:noProof/>
                <w:webHidden/>
              </w:rPr>
              <w:instrText xml:space="preserve"> PAGEREF _Toc15984392 \h </w:instrText>
            </w:r>
            <w:r w:rsidR="00EA6D65">
              <w:rPr>
                <w:noProof/>
                <w:webHidden/>
              </w:rPr>
            </w:r>
            <w:r w:rsidR="00EA6D65">
              <w:rPr>
                <w:noProof/>
                <w:webHidden/>
              </w:rPr>
              <w:fldChar w:fldCharType="separate"/>
            </w:r>
            <w:r w:rsidR="00905D1F">
              <w:rPr>
                <w:noProof/>
                <w:webHidden/>
              </w:rPr>
              <w:t>20</w:t>
            </w:r>
            <w:r w:rsidR="00EA6D65">
              <w:rPr>
                <w:noProof/>
                <w:webHidden/>
              </w:rPr>
              <w:fldChar w:fldCharType="end"/>
            </w:r>
          </w:hyperlink>
        </w:p>
        <w:p w14:paraId="7D8312ED" w14:textId="77777777" w:rsidR="00EA6D65" w:rsidRDefault="00893F6D">
          <w:pPr>
            <w:pStyle w:val="TOC2"/>
            <w:tabs>
              <w:tab w:val="right" w:leader="dot" w:pos="9016"/>
            </w:tabs>
            <w:rPr>
              <w:rFonts w:asciiTheme="minorHAnsi" w:eastAsiaTheme="minorEastAsia" w:hAnsiTheme="minorHAnsi" w:cstheme="minorBidi"/>
              <w:noProof/>
              <w:lang w:eastAsia="en-GB"/>
            </w:rPr>
          </w:pPr>
          <w:hyperlink w:anchor="_Toc15984393" w:history="1">
            <w:r w:rsidR="00EA6D65" w:rsidRPr="00DD37E1">
              <w:rPr>
                <w:rStyle w:val="Hyperlink"/>
                <w:rFonts w:eastAsiaTheme="majorEastAsia"/>
                <w:noProof/>
              </w:rPr>
              <w:t>Links</w:t>
            </w:r>
            <w:r w:rsidR="00EA6D65">
              <w:rPr>
                <w:noProof/>
                <w:webHidden/>
              </w:rPr>
              <w:tab/>
            </w:r>
            <w:r w:rsidR="00EA6D65">
              <w:rPr>
                <w:noProof/>
                <w:webHidden/>
              </w:rPr>
              <w:fldChar w:fldCharType="begin"/>
            </w:r>
            <w:r w:rsidR="00EA6D65">
              <w:rPr>
                <w:noProof/>
                <w:webHidden/>
              </w:rPr>
              <w:instrText xml:space="preserve"> PAGEREF _Toc15984393 \h </w:instrText>
            </w:r>
            <w:r w:rsidR="00EA6D65">
              <w:rPr>
                <w:noProof/>
                <w:webHidden/>
              </w:rPr>
            </w:r>
            <w:r w:rsidR="00EA6D65">
              <w:rPr>
                <w:noProof/>
                <w:webHidden/>
              </w:rPr>
              <w:fldChar w:fldCharType="separate"/>
            </w:r>
            <w:r w:rsidR="00905D1F">
              <w:rPr>
                <w:noProof/>
                <w:webHidden/>
              </w:rPr>
              <w:t>22</w:t>
            </w:r>
            <w:r w:rsidR="00EA6D65">
              <w:rPr>
                <w:noProof/>
                <w:webHidden/>
              </w:rPr>
              <w:fldChar w:fldCharType="end"/>
            </w:r>
          </w:hyperlink>
        </w:p>
        <w:p w14:paraId="287A089B" w14:textId="77777777" w:rsidR="000004E0" w:rsidRDefault="000004E0">
          <w:pPr>
            <w:rPr>
              <w:b/>
              <w:bCs/>
              <w:noProof/>
            </w:rPr>
          </w:pPr>
          <w:r>
            <w:rPr>
              <w:b/>
              <w:bCs/>
              <w:noProof/>
            </w:rPr>
            <w:fldChar w:fldCharType="end"/>
          </w:r>
        </w:p>
        <w:p w14:paraId="6CA8FB8C" w14:textId="77777777" w:rsidR="000004E0" w:rsidRPr="000004E0" w:rsidRDefault="000004E0" w:rsidP="000004E0">
          <w:pPr>
            <w:spacing w:before="0" w:line="240" w:lineRule="auto"/>
            <w:rPr>
              <w:b/>
              <w:bCs/>
              <w:noProof/>
            </w:rPr>
          </w:pPr>
          <w:r>
            <w:rPr>
              <w:b/>
              <w:bCs/>
              <w:noProof/>
            </w:rPr>
            <w:br w:type="page"/>
          </w:r>
        </w:p>
      </w:sdtContent>
    </w:sdt>
    <w:p w14:paraId="29C71083" w14:textId="77777777" w:rsidR="000004E0" w:rsidRPr="000004E0" w:rsidRDefault="000004E0" w:rsidP="0080423A">
      <w:pPr>
        <w:pStyle w:val="Heading2"/>
        <w:rPr>
          <w:rStyle w:val="Emphasis"/>
          <w:b/>
        </w:rPr>
      </w:pPr>
      <w:bookmarkStart w:id="0" w:name="_Toc15984381"/>
      <w:proofErr w:type="spellStart"/>
      <w:r w:rsidRPr="000004E0">
        <w:rPr>
          <w:rStyle w:val="Emphasis"/>
          <w:b/>
        </w:rPr>
        <w:lastRenderedPageBreak/>
        <w:t>eco.business</w:t>
      </w:r>
      <w:proofErr w:type="spellEnd"/>
      <w:r w:rsidRPr="000004E0">
        <w:rPr>
          <w:rStyle w:val="Emphasis"/>
          <w:b/>
        </w:rPr>
        <w:t xml:space="preserve"> Fund Annual Review - Summary Sheet</w:t>
      </w:r>
      <w:bookmarkEnd w:id="0"/>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3809"/>
        <w:gridCol w:w="3118"/>
      </w:tblGrid>
      <w:tr w:rsidR="000004E0" w:rsidRPr="00D0005A" w14:paraId="23038C8D" w14:textId="77777777" w:rsidTr="000004E0">
        <w:trPr>
          <w:trHeight w:val="680"/>
          <w:jc w:val="center"/>
        </w:trPr>
        <w:tc>
          <w:tcPr>
            <w:tcW w:w="9209" w:type="dxa"/>
            <w:gridSpan w:val="3"/>
            <w:tcBorders>
              <w:top w:val="single" w:sz="4" w:space="0" w:color="000000"/>
              <w:left w:val="single" w:sz="4" w:space="0" w:color="000000"/>
              <w:bottom w:val="dotted" w:sz="4" w:space="0" w:color="000000"/>
              <w:right w:val="single" w:sz="4" w:space="0" w:color="000000"/>
            </w:tcBorders>
            <w:vAlign w:val="center"/>
          </w:tcPr>
          <w:p w14:paraId="54D145BC"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Title:</w:t>
            </w:r>
          </w:p>
          <w:p w14:paraId="7B6D1675" w14:textId="77777777" w:rsidR="000004E0" w:rsidRPr="00D0005A" w:rsidRDefault="000004E0" w:rsidP="000004E0">
            <w:pPr>
              <w:pStyle w:val="Normal1"/>
              <w:spacing w:after="120" w:line="276" w:lineRule="auto"/>
              <w:rPr>
                <w:rFonts w:ascii="Calibri" w:hAnsi="Calibri"/>
                <w:b/>
                <w:sz w:val="22"/>
                <w:szCs w:val="22"/>
              </w:rPr>
            </w:pPr>
            <w:proofErr w:type="spellStart"/>
            <w:r w:rsidRPr="00D0005A">
              <w:rPr>
                <w:rFonts w:ascii="Calibri" w:hAnsi="Calibri"/>
                <w:sz w:val="22"/>
                <w:szCs w:val="22"/>
              </w:rPr>
              <w:t>eco.business</w:t>
            </w:r>
            <w:proofErr w:type="spellEnd"/>
            <w:r w:rsidRPr="00D0005A">
              <w:rPr>
                <w:rFonts w:ascii="Calibri" w:hAnsi="Calibri"/>
                <w:sz w:val="22"/>
                <w:szCs w:val="22"/>
              </w:rPr>
              <w:t xml:space="preserve"> Fund </w:t>
            </w:r>
            <w:r w:rsidRPr="00D0005A">
              <w:rPr>
                <w:rFonts w:ascii="Calibri" w:hAnsi="Calibri"/>
                <w:b/>
                <w:sz w:val="22"/>
                <w:szCs w:val="22"/>
              </w:rPr>
              <w:t xml:space="preserve"> </w:t>
            </w:r>
            <w:r w:rsidR="00B30B63">
              <w:rPr>
                <w:rFonts w:ascii="Calibri" w:hAnsi="Calibri"/>
                <w:b/>
                <w:sz w:val="22"/>
                <w:szCs w:val="22"/>
              </w:rPr>
              <w:t>(EBF)</w:t>
            </w:r>
          </w:p>
        </w:tc>
      </w:tr>
      <w:tr w:rsidR="000004E0" w:rsidRPr="00D0005A" w14:paraId="39321ED8" w14:textId="77777777" w:rsidTr="00C553DE">
        <w:trPr>
          <w:trHeight w:val="400"/>
          <w:jc w:val="center"/>
        </w:trPr>
        <w:tc>
          <w:tcPr>
            <w:tcW w:w="6091" w:type="dxa"/>
            <w:gridSpan w:val="2"/>
            <w:tcBorders>
              <w:top w:val="dotted" w:sz="4" w:space="0" w:color="000000"/>
              <w:left w:val="single" w:sz="4" w:space="0" w:color="000000"/>
              <w:bottom w:val="dotted" w:sz="4" w:space="0" w:color="000000"/>
              <w:right w:val="dotted" w:sz="4" w:space="0" w:color="000000"/>
            </w:tcBorders>
            <w:vAlign w:val="center"/>
          </w:tcPr>
          <w:p w14:paraId="5A33D569"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Programme Value: </w:t>
            </w:r>
            <w:r w:rsidRPr="00D0005A">
              <w:rPr>
                <w:rFonts w:ascii="Calibri" w:hAnsi="Calibri"/>
                <w:sz w:val="22"/>
                <w:szCs w:val="22"/>
              </w:rPr>
              <w:t>£20 million</w:t>
            </w:r>
          </w:p>
        </w:tc>
        <w:tc>
          <w:tcPr>
            <w:tcW w:w="3118" w:type="dxa"/>
            <w:tcBorders>
              <w:top w:val="dotted" w:sz="4" w:space="0" w:color="000000"/>
              <w:left w:val="dotted" w:sz="4" w:space="0" w:color="000000"/>
              <w:bottom w:val="dotted" w:sz="4" w:space="0" w:color="000000"/>
              <w:right w:val="single" w:sz="4" w:space="0" w:color="000000"/>
            </w:tcBorders>
            <w:vAlign w:val="center"/>
          </w:tcPr>
          <w:p w14:paraId="118F1555" w14:textId="202EF4A2" w:rsidR="000004E0" w:rsidRPr="00D0005A" w:rsidRDefault="0064716F" w:rsidP="00C660C7">
            <w:pPr>
              <w:pStyle w:val="Normal1"/>
              <w:spacing w:after="120" w:line="276" w:lineRule="auto"/>
              <w:rPr>
                <w:rFonts w:ascii="Calibri" w:hAnsi="Calibri"/>
                <w:b/>
                <w:sz w:val="22"/>
                <w:szCs w:val="22"/>
              </w:rPr>
            </w:pPr>
            <w:r>
              <w:rPr>
                <w:rFonts w:ascii="Calibri" w:hAnsi="Calibri"/>
                <w:sz w:val="22"/>
                <w:szCs w:val="22"/>
              </w:rPr>
              <w:t>Review Date: 201</w:t>
            </w:r>
            <w:r w:rsidRPr="00BA57CE">
              <w:rPr>
                <w:rFonts w:ascii="Calibri" w:hAnsi="Calibri"/>
                <w:sz w:val="22"/>
                <w:szCs w:val="22"/>
              </w:rPr>
              <w:t>9</w:t>
            </w:r>
          </w:p>
        </w:tc>
      </w:tr>
      <w:tr w:rsidR="0064716F" w:rsidRPr="00D0005A" w14:paraId="324F4F14" w14:textId="77777777" w:rsidTr="00C553DE">
        <w:trPr>
          <w:trHeight w:val="400"/>
          <w:jc w:val="center"/>
        </w:trPr>
        <w:tc>
          <w:tcPr>
            <w:tcW w:w="6091" w:type="dxa"/>
            <w:gridSpan w:val="2"/>
            <w:tcBorders>
              <w:top w:val="dotted" w:sz="4" w:space="0" w:color="000000"/>
              <w:left w:val="single" w:sz="4" w:space="0" w:color="000000"/>
              <w:bottom w:val="dotted" w:sz="4" w:space="0" w:color="000000"/>
              <w:right w:val="dotted" w:sz="4" w:space="0" w:color="000000"/>
            </w:tcBorders>
            <w:vAlign w:val="center"/>
          </w:tcPr>
          <w:p w14:paraId="249CEA08" w14:textId="77777777" w:rsidR="0064716F" w:rsidRPr="00D0005A" w:rsidRDefault="0064716F" w:rsidP="000004E0">
            <w:pPr>
              <w:pStyle w:val="Normal1"/>
              <w:spacing w:after="120" w:line="276" w:lineRule="auto"/>
              <w:rPr>
                <w:rFonts w:ascii="Calibri" w:hAnsi="Calibri"/>
                <w:b/>
                <w:sz w:val="22"/>
                <w:szCs w:val="22"/>
              </w:rPr>
            </w:pPr>
          </w:p>
        </w:tc>
        <w:tc>
          <w:tcPr>
            <w:tcW w:w="3118" w:type="dxa"/>
            <w:tcBorders>
              <w:top w:val="dotted" w:sz="4" w:space="0" w:color="000000"/>
              <w:left w:val="dotted" w:sz="4" w:space="0" w:color="000000"/>
              <w:bottom w:val="dotted" w:sz="4" w:space="0" w:color="000000"/>
              <w:right w:val="single" w:sz="4" w:space="0" w:color="000000"/>
            </w:tcBorders>
            <w:vAlign w:val="center"/>
          </w:tcPr>
          <w:p w14:paraId="32CB0A1A" w14:textId="41464F99" w:rsidR="0064716F" w:rsidRDefault="00D834F0" w:rsidP="00C660C7">
            <w:pPr>
              <w:pStyle w:val="Normal1"/>
              <w:spacing w:after="120" w:line="276" w:lineRule="auto"/>
              <w:rPr>
                <w:rFonts w:ascii="Calibri" w:hAnsi="Calibri"/>
                <w:sz w:val="22"/>
                <w:szCs w:val="22"/>
              </w:rPr>
            </w:pPr>
            <w:r>
              <w:rPr>
                <w:rFonts w:ascii="Calibri" w:hAnsi="Calibri"/>
                <w:sz w:val="22"/>
                <w:szCs w:val="22"/>
              </w:rPr>
              <w:t xml:space="preserve">Review period: </w:t>
            </w:r>
            <w:r w:rsidR="0064716F">
              <w:rPr>
                <w:rFonts w:ascii="Calibri" w:hAnsi="Calibri"/>
                <w:sz w:val="22"/>
                <w:szCs w:val="22"/>
              </w:rPr>
              <w:t>1</w:t>
            </w:r>
            <w:r w:rsidR="0064716F" w:rsidRPr="0064716F">
              <w:rPr>
                <w:rFonts w:ascii="Calibri" w:hAnsi="Calibri"/>
                <w:sz w:val="22"/>
                <w:szCs w:val="22"/>
                <w:vertAlign w:val="superscript"/>
              </w:rPr>
              <w:t>st</w:t>
            </w:r>
            <w:r w:rsidR="0064716F">
              <w:rPr>
                <w:rFonts w:ascii="Calibri" w:hAnsi="Calibri"/>
                <w:sz w:val="22"/>
                <w:szCs w:val="22"/>
              </w:rPr>
              <w:t xml:space="preserve"> Jan</w:t>
            </w:r>
            <w:r w:rsidR="006320D6">
              <w:rPr>
                <w:rFonts w:ascii="Calibri" w:hAnsi="Calibri"/>
                <w:sz w:val="22"/>
                <w:szCs w:val="22"/>
              </w:rPr>
              <w:t>uary</w:t>
            </w:r>
            <w:r w:rsidR="0064716F">
              <w:rPr>
                <w:rFonts w:ascii="Calibri" w:hAnsi="Calibri"/>
                <w:sz w:val="22"/>
                <w:szCs w:val="22"/>
              </w:rPr>
              <w:t xml:space="preserve"> – 31</w:t>
            </w:r>
            <w:r w:rsidR="0064716F" w:rsidRPr="0064716F">
              <w:rPr>
                <w:rFonts w:ascii="Calibri" w:hAnsi="Calibri"/>
                <w:sz w:val="22"/>
                <w:szCs w:val="22"/>
                <w:vertAlign w:val="superscript"/>
              </w:rPr>
              <w:t>st</w:t>
            </w:r>
            <w:r w:rsidR="0064716F">
              <w:rPr>
                <w:rFonts w:ascii="Calibri" w:hAnsi="Calibri"/>
                <w:sz w:val="22"/>
                <w:szCs w:val="22"/>
              </w:rPr>
              <w:t xml:space="preserve"> Dec</w:t>
            </w:r>
            <w:r w:rsidR="006320D6">
              <w:rPr>
                <w:rFonts w:ascii="Calibri" w:hAnsi="Calibri"/>
                <w:sz w:val="22"/>
                <w:szCs w:val="22"/>
              </w:rPr>
              <w:t>ember</w:t>
            </w:r>
            <w:r w:rsidR="0064716F">
              <w:rPr>
                <w:rFonts w:ascii="Calibri" w:hAnsi="Calibri"/>
                <w:sz w:val="22"/>
                <w:szCs w:val="22"/>
              </w:rPr>
              <w:t xml:space="preserve"> </w:t>
            </w:r>
            <w:r w:rsidR="0064716F" w:rsidRPr="00D834F0">
              <w:rPr>
                <w:rFonts w:ascii="Calibri" w:hAnsi="Calibri"/>
                <w:sz w:val="22"/>
                <w:szCs w:val="22"/>
              </w:rPr>
              <w:t>2018</w:t>
            </w:r>
          </w:p>
        </w:tc>
      </w:tr>
      <w:tr w:rsidR="000004E0" w:rsidRPr="00D0005A" w14:paraId="592526AE" w14:textId="77777777" w:rsidTr="00C553DE">
        <w:trPr>
          <w:trHeight w:val="730"/>
          <w:jc w:val="center"/>
        </w:trPr>
        <w:tc>
          <w:tcPr>
            <w:tcW w:w="2282" w:type="dxa"/>
            <w:tcBorders>
              <w:top w:val="dotted" w:sz="4" w:space="0" w:color="000000"/>
              <w:left w:val="single" w:sz="4" w:space="0" w:color="000000"/>
              <w:bottom w:val="single" w:sz="4" w:space="0" w:color="000000"/>
              <w:right w:val="dotted" w:sz="4" w:space="0" w:color="000000"/>
            </w:tcBorders>
            <w:vAlign w:val="center"/>
          </w:tcPr>
          <w:p w14:paraId="52D60A73"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Programme Code: </w:t>
            </w:r>
          </w:p>
          <w:p w14:paraId="785BD0A4"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sz w:val="22"/>
                <w:szCs w:val="22"/>
              </w:rPr>
              <w:t>GB-GOV-GB-7-P00052-ICF-P0003-ECO.B</w:t>
            </w:r>
          </w:p>
        </w:tc>
        <w:tc>
          <w:tcPr>
            <w:tcW w:w="3809" w:type="dxa"/>
            <w:tcBorders>
              <w:top w:val="dotted" w:sz="4" w:space="0" w:color="000000"/>
              <w:left w:val="dotted" w:sz="4" w:space="0" w:color="000000"/>
              <w:bottom w:val="single" w:sz="4" w:space="0" w:color="000000"/>
              <w:right w:val="dotted" w:sz="4" w:space="0" w:color="000000"/>
            </w:tcBorders>
            <w:vAlign w:val="center"/>
          </w:tcPr>
          <w:p w14:paraId="75600EDF"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b/>
                <w:sz w:val="22"/>
                <w:szCs w:val="22"/>
              </w:rPr>
              <w:t>Start Date:</w:t>
            </w:r>
          </w:p>
          <w:p w14:paraId="0127856A"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Fund inception: January 2015</w:t>
            </w:r>
          </w:p>
          <w:p w14:paraId="6435E57C" w14:textId="77777777" w:rsidR="000004E0" w:rsidRPr="00D0005A" w:rsidRDefault="000004E0" w:rsidP="000004E0">
            <w:pPr>
              <w:pStyle w:val="Normal1"/>
              <w:spacing w:after="120" w:line="276" w:lineRule="auto"/>
              <w:rPr>
                <w:rFonts w:ascii="Calibri" w:hAnsi="Calibri"/>
                <w:b/>
                <w:i/>
                <w:sz w:val="22"/>
                <w:szCs w:val="22"/>
              </w:rPr>
            </w:pPr>
            <w:r w:rsidRPr="00D0005A">
              <w:rPr>
                <w:rFonts w:ascii="Calibri" w:hAnsi="Calibri"/>
                <w:sz w:val="22"/>
                <w:szCs w:val="22"/>
              </w:rPr>
              <w:t>Promissory Note: December 2015</w:t>
            </w:r>
          </w:p>
        </w:tc>
        <w:tc>
          <w:tcPr>
            <w:tcW w:w="3118" w:type="dxa"/>
            <w:tcBorders>
              <w:top w:val="dotted" w:sz="4" w:space="0" w:color="000000"/>
              <w:left w:val="dotted" w:sz="4" w:space="0" w:color="000000"/>
              <w:bottom w:val="single" w:sz="4" w:space="0" w:color="000000"/>
              <w:right w:val="single" w:sz="4" w:space="0" w:color="000000"/>
            </w:tcBorders>
            <w:vAlign w:val="center"/>
          </w:tcPr>
          <w:p w14:paraId="02B1A5C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End Date:</w:t>
            </w:r>
          </w:p>
          <w:p w14:paraId="7432BA62" w14:textId="77777777" w:rsidR="000004E0" w:rsidRPr="00D0005A" w:rsidRDefault="00C553DE" w:rsidP="00941F2F">
            <w:pPr>
              <w:pStyle w:val="Normal1"/>
              <w:spacing w:after="120" w:line="276" w:lineRule="auto"/>
              <w:rPr>
                <w:rFonts w:ascii="Calibri" w:hAnsi="Calibri"/>
                <w:b/>
                <w:i/>
                <w:sz w:val="22"/>
                <w:szCs w:val="22"/>
              </w:rPr>
            </w:pPr>
            <w:r>
              <w:rPr>
                <w:rFonts w:ascii="Calibri" w:hAnsi="Calibri"/>
                <w:sz w:val="22"/>
                <w:szCs w:val="22"/>
              </w:rPr>
              <w:t xml:space="preserve">Provision for </w:t>
            </w:r>
            <w:r w:rsidR="00261682">
              <w:rPr>
                <w:rFonts w:ascii="Calibri" w:hAnsi="Calibri"/>
                <w:sz w:val="22"/>
                <w:szCs w:val="22"/>
              </w:rPr>
              <w:t>the Department for Environment, Food and Rural Affairs (</w:t>
            </w:r>
            <w:r>
              <w:rPr>
                <w:rFonts w:ascii="Calibri" w:hAnsi="Calibri"/>
                <w:sz w:val="22"/>
                <w:szCs w:val="22"/>
              </w:rPr>
              <w:t>Defra</w:t>
            </w:r>
            <w:r w:rsidR="00261682">
              <w:rPr>
                <w:rFonts w:ascii="Calibri" w:hAnsi="Calibri"/>
                <w:sz w:val="22"/>
                <w:szCs w:val="22"/>
              </w:rPr>
              <w:t>)</w:t>
            </w:r>
            <w:r>
              <w:rPr>
                <w:rFonts w:ascii="Calibri" w:hAnsi="Calibri"/>
                <w:sz w:val="22"/>
                <w:szCs w:val="22"/>
              </w:rPr>
              <w:t xml:space="preserve"> investment to be returned in </w:t>
            </w:r>
            <w:r w:rsidR="00941F2F">
              <w:rPr>
                <w:rFonts w:ascii="Calibri" w:hAnsi="Calibri"/>
                <w:sz w:val="22"/>
                <w:szCs w:val="22"/>
              </w:rPr>
              <w:t>December 20</w:t>
            </w:r>
            <w:r w:rsidR="00CF42A7">
              <w:rPr>
                <w:rFonts w:ascii="Calibri" w:hAnsi="Calibri"/>
                <w:sz w:val="22"/>
                <w:szCs w:val="22"/>
              </w:rPr>
              <w:t>30</w:t>
            </w:r>
            <w:r w:rsidR="00941F2F" w:rsidRPr="00D0005A">
              <w:rPr>
                <w:rFonts w:ascii="Calibri" w:hAnsi="Calibri"/>
                <w:sz w:val="22"/>
                <w:szCs w:val="22"/>
              </w:rPr>
              <w:t xml:space="preserve"> </w:t>
            </w:r>
          </w:p>
        </w:tc>
      </w:tr>
    </w:tbl>
    <w:p w14:paraId="0149D355" w14:textId="77777777" w:rsidR="000004E0" w:rsidRPr="00D0005A" w:rsidRDefault="000004E0" w:rsidP="000004E0">
      <w:pPr>
        <w:pStyle w:val="Normal1"/>
        <w:spacing w:before="240" w:after="120" w:line="276" w:lineRule="auto"/>
        <w:rPr>
          <w:rFonts w:ascii="Calibri" w:hAnsi="Calibri"/>
          <w:b/>
          <w:sz w:val="22"/>
          <w:szCs w:val="22"/>
        </w:rPr>
      </w:pPr>
      <w:r w:rsidRPr="00D0005A">
        <w:rPr>
          <w:rFonts w:ascii="Calibri" w:hAnsi="Calibri"/>
          <w:b/>
          <w:sz w:val="22"/>
          <w:szCs w:val="22"/>
        </w:rPr>
        <w:t xml:space="preserve">Summary of Programme Performance </w:t>
      </w:r>
    </w:p>
    <w:tbl>
      <w:tblPr>
        <w:tblW w:w="3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134"/>
        <w:gridCol w:w="1134"/>
      </w:tblGrid>
      <w:tr w:rsidR="00854434" w:rsidRPr="00D0005A" w14:paraId="078EA6F9" w14:textId="77777777" w:rsidTr="00854434">
        <w:tc>
          <w:tcPr>
            <w:tcW w:w="1696" w:type="dxa"/>
            <w:tcBorders>
              <w:top w:val="single" w:sz="4" w:space="0" w:color="000000"/>
              <w:left w:val="single" w:sz="4" w:space="0" w:color="000000"/>
              <w:bottom w:val="single" w:sz="4" w:space="0" w:color="000000"/>
              <w:right w:val="single" w:sz="4" w:space="0" w:color="000000"/>
            </w:tcBorders>
          </w:tcPr>
          <w:p w14:paraId="083D097F" w14:textId="77777777" w:rsidR="00854434" w:rsidRPr="00D0005A" w:rsidRDefault="00854434" w:rsidP="000004E0">
            <w:pPr>
              <w:pStyle w:val="Normal1"/>
              <w:spacing w:after="120" w:line="276" w:lineRule="auto"/>
              <w:rPr>
                <w:rFonts w:ascii="Calibri" w:hAnsi="Calibri"/>
                <w:b/>
                <w:sz w:val="22"/>
                <w:szCs w:val="22"/>
              </w:rPr>
            </w:pPr>
            <w:r w:rsidRPr="00D0005A">
              <w:rPr>
                <w:rFonts w:ascii="Calibri" w:hAnsi="Calibri"/>
                <w:b/>
                <w:sz w:val="22"/>
                <w:szCs w:val="22"/>
              </w:rPr>
              <w:t>Year</w:t>
            </w:r>
          </w:p>
        </w:tc>
        <w:tc>
          <w:tcPr>
            <w:tcW w:w="1134" w:type="dxa"/>
            <w:tcBorders>
              <w:top w:val="single" w:sz="4" w:space="0" w:color="000000"/>
              <w:left w:val="single" w:sz="4" w:space="0" w:color="000000"/>
              <w:bottom w:val="single" w:sz="4" w:space="0" w:color="000000"/>
              <w:right w:val="single" w:sz="4" w:space="0" w:color="000000"/>
            </w:tcBorders>
            <w:vAlign w:val="center"/>
          </w:tcPr>
          <w:p w14:paraId="28A207A9" w14:textId="77777777" w:rsidR="00854434" w:rsidRPr="00D0005A" w:rsidRDefault="00854434" w:rsidP="000004E0">
            <w:pPr>
              <w:pStyle w:val="Normal1"/>
              <w:spacing w:after="120" w:line="276" w:lineRule="auto"/>
              <w:jc w:val="center"/>
              <w:rPr>
                <w:rFonts w:ascii="Calibri" w:hAnsi="Calibri"/>
                <w:sz w:val="22"/>
                <w:szCs w:val="22"/>
              </w:rPr>
            </w:pPr>
            <w:r w:rsidRPr="00D0005A">
              <w:rPr>
                <w:rFonts w:ascii="Calibri" w:hAnsi="Calibri"/>
                <w:sz w:val="22"/>
                <w:szCs w:val="22"/>
              </w:rPr>
              <w:t>201</w:t>
            </w:r>
            <w:r>
              <w:rPr>
                <w:rFonts w:ascii="Calibri" w:hAnsi="Calibri"/>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6B0C980D" w14:textId="77777777" w:rsidR="00854434" w:rsidRPr="00D0005A" w:rsidRDefault="00854434" w:rsidP="000004E0">
            <w:pPr>
              <w:pStyle w:val="Normal1"/>
              <w:spacing w:after="120" w:line="276" w:lineRule="auto"/>
              <w:jc w:val="center"/>
              <w:rPr>
                <w:rFonts w:ascii="Calibri" w:hAnsi="Calibri"/>
                <w:sz w:val="22"/>
                <w:szCs w:val="22"/>
              </w:rPr>
            </w:pPr>
            <w:r>
              <w:rPr>
                <w:rFonts w:ascii="Calibri" w:hAnsi="Calibri"/>
                <w:sz w:val="22"/>
                <w:szCs w:val="22"/>
              </w:rPr>
              <w:t>2018</w:t>
            </w:r>
          </w:p>
        </w:tc>
      </w:tr>
      <w:tr w:rsidR="00854434" w:rsidRPr="00D0005A" w14:paraId="14CD768F" w14:textId="77777777" w:rsidTr="00854434">
        <w:tc>
          <w:tcPr>
            <w:tcW w:w="1696" w:type="dxa"/>
            <w:tcBorders>
              <w:top w:val="single" w:sz="4" w:space="0" w:color="000000"/>
              <w:left w:val="single" w:sz="4" w:space="0" w:color="000000"/>
              <w:bottom w:val="single" w:sz="4" w:space="0" w:color="000000"/>
              <w:right w:val="single" w:sz="4" w:space="0" w:color="000000"/>
            </w:tcBorders>
          </w:tcPr>
          <w:p w14:paraId="06A853F6" w14:textId="77777777" w:rsidR="00854434" w:rsidRPr="00D0005A" w:rsidRDefault="00854434" w:rsidP="000004E0">
            <w:pPr>
              <w:pStyle w:val="Normal1"/>
              <w:spacing w:after="120" w:line="276" w:lineRule="auto"/>
              <w:rPr>
                <w:rFonts w:ascii="Calibri" w:hAnsi="Calibri"/>
                <w:b/>
                <w:sz w:val="22"/>
                <w:szCs w:val="22"/>
              </w:rPr>
            </w:pPr>
            <w:r w:rsidRPr="00D0005A">
              <w:rPr>
                <w:rFonts w:ascii="Calibri" w:hAnsi="Calibri"/>
                <w:b/>
                <w:sz w:val="22"/>
                <w:szCs w:val="22"/>
              </w:rPr>
              <w:t>Programme Score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A9AC02" w14:textId="77777777" w:rsidR="00854434" w:rsidRPr="00D0005A" w:rsidRDefault="00854434" w:rsidP="00635130">
            <w:pPr>
              <w:pStyle w:val="Normal1"/>
              <w:spacing w:after="120" w:line="276" w:lineRule="auto"/>
              <w:jc w:val="center"/>
              <w:rPr>
                <w:rFonts w:ascii="Calibri" w:hAnsi="Calibri"/>
                <w:b/>
                <w:sz w:val="22"/>
                <w:szCs w:val="22"/>
              </w:rPr>
            </w:pPr>
            <w:r>
              <w:rPr>
                <w:rFonts w:ascii="Calibri" w:hAnsi="Calibri"/>
                <w:b/>
                <w:sz w:val="22"/>
                <w:szCs w:val="22"/>
              </w:rPr>
              <w:t xml:space="preserve">A </w:t>
            </w:r>
          </w:p>
        </w:tc>
        <w:tc>
          <w:tcPr>
            <w:tcW w:w="1134" w:type="dxa"/>
            <w:tcBorders>
              <w:top w:val="single" w:sz="4" w:space="0" w:color="000000"/>
              <w:left w:val="single" w:sz="4" w:space="0" w:color="000000"/>
              <w:bottom w:val="single" w:sz="4" w:space="0" w:color="000000"/>
              <w:right w:val="single" w:sz="4" w:space="0" w:color="000000"/>
            </w:tcBorders>
            <w:vAlign w:val="center"/>
          </w:tcPr>
          <w:p w14:paraId="42387F93" w14:textId="77777777" w:rsidR="00854434" w:rsidRPr="00D0005A" w:rsidRDefault="00854434" w:rsidP="000004E0">
            <w:pPr>
              <w:pStyle w:val="Normal1"/>
              <w:spacing w:after="120" w:line="276" w:lineRule="auto"/>
              <w:jc w:val="center"/>
              <w:rPr>
                <w:rFonts w:ascii="Calibri" w:hAnsi="Calibri"/>
                <w:b/>
                <w:sz w:val="22"/>
                <w:szCs w:val="22"/>
              </w:rPr>
            </w:pPr>
            <w:r>
              <w:rPr>
                <w:rFonts w:ascii="Calibri" w:hAnsi="Calibri"/>
                <w:b/>
                <w:sz w:val="22"/>
                <w:szCs w:val="22"/>
              </w:rPr>
              <w:t>A</w:t>
            </w:r>
          </w:p>
        </w:tc>
      </w:tr>
      <w:tr w:rsidR="00854434" w:rsidRPr="00D0005A" w14:paraId="3FC6CB39" w14:textId="77777777" w:rsidTr="00854434">
        <w:tc>
          <w:tcPr>
            <w:tcW w:w="1696" w:type="dxa"/>
            <w:tcBorders>
              <w:top w:val="single" w:sz="4" w:space="0" w:color="000000"/>
              <w:left w:val="single" w:sz="4" w:space="0" w:color="000000"/>
              <w:bottom w:val="single" w:sz="4" w:space="0" w:color="000000"/>
              <w:right w:val="single" w:sz="4" w:space="0" w:color="000000"/>
            </w:tcBorders>
          </w:tcPr>
          <w:p w14:paraId="294A0B91" w14:textId="77777777" w:rsidR="00854434" w:rsidRPr="00D0005A" w:rsidRDefault="00854434" w:rsidP="00137FBC">
            <w:pPr>
              <w:pStyle w:val="Normal1"/>
              <w:spacing w:after="120" w:line="276" w:lineRule="auto"/>
              <w:rPr>
                <w:rFonts w:ascii="Calibri" w:hAnsi="Calibri"/>
                <w:b/>
                <w:sz w:val="22"/>
                <w:szCs w:val="22"/>
              </w:rPr>
            </w:pPr>
            <w:r>
              <w:rPr>
                <w:rFonts w:ascii="Calibri" w:hAnsi="Calibri"/>
                <w:b/>
                <w:sz w:val="22"/>
                <w:szCs w:val="22"/>
              </w:rPr>
              <w:t xml:space="preserve">Risk to progress of Impacts </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A7552" w14:textId="77777777" w:rsidR="00854434" w:rsidRPr="00C553DE" w:rsidRDefault="00854434" w:rsidP="000004E0">
            <w:pPr>
              <w:pStyle w:val="Normal1"/>
              <w:spacing w:after="120" w:line="276" w:lineRule="auto"/>
              <w:jc w:val="center"/>
              <w:rPr>
                <w:rFonts w:ascii="Calibri" w:hAnsi="Calibri"/>
                <w:sz w:val="22"/>
                <w:szCs w:val="22"/>
              </w:rPr>
            </w:pPr>
            <w:r>
              <w:rPr>
                <w:rFonts w:ascii="Calibri" w:hAnsi="Calibri"/>
                <w:sz w:val="22"/>
                <w:szCs w:val="22"/>
              </w:rPr>
              <w:t>Moderate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E6394BE" w14:textId="77777777" w:rsidR="00854434" w:rsidRPr="008F5744" w:rsidRDefault="00854434" w:rsidP="000004E0">
            <w:pPr>
              <w:pStyle w:val="Normal1"/>
              <w:spacing w:after="120" w:line="276" w:lineRule="auto"/>
              <w:jc w:val="center"/>
              <w:rPr>
                <w:rFonts w:ascii="Calibri" w:hAnsi="Calibri"/>
                <w:sz w:val="22"/>
                <w:szCs w:val="22"/>
              </w:rPr>
            </w:pPr>
            <w:r w:rsidRPr="008F5744">
              <w:rPr>
                <w:rFonts w:ascii="Calibri" w:hAnsi="Calibri"/>
                <w:sz w:val="22"/>
                <w:szCs w:val="22"/>
              </w:rPr>
              <w:t xml:space="preserve">Moderate </w:t>
            </w:r>
          </w:p>
        </w:tc>
      </w:tr>
      <w:tr w:rsidR="00854434" w:rsidRPr="00D0005A" w14:paraId="393F122D" w14:textId="77777777" w:rsidTr="00854434">
        <w:tc>
          <w:tcPr>
            <w:tcW w:w="1696" w:type="dxa"/>
            <w:tcBorders>
              <w:top w:val="single" w:sz="4" w:space="0" w:color="000000"/>
              <w:left w:val="single" w:sz="4" w:space="0" w:color="000000"/>
              <w:bottom w:val="single" w:sz="4" w:space="0" w:color="000000"/>
              <w:right w:val="single" w:sz="4" w:space="0" w:color="000000"/>
            </w:tcBorders>
          </w:tcPr>
          <w:p w14:paraId="486F29EA" w14:textId="77777777" w:rsidR="00854434" w:rsidRDefault="00854434" w:rsidP="000004E0">
            <w:pPr>
              <w:pStyle w:val="Normal1"/>
              <w:spacing w:after="120" w:line="276" w:lineRule="auto"/>
              <w:rPr>
                <w:rFonts w:ascii="Calibri" w:hAnsi="Calibri"/>
                <w:b/>
                <w:sz w:val="22"/>
                <w:szCs w:val="22"/>
              </w:rPr>
            </w:pPr>
            <w:r>
              <w:rPr>
                <w:rFonts w:ascii="Calibri" w:hAnsi="Calibri"/>
                <w:b/>
                <w:sz w:val="22"/>
                <w:szCs w:val="22"/>
              </w:rPr>
              <w:t xml:space="preserve">Programme Risk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BA7D889" w14:textId="77777777" w:rsidR="00854434" w:rsidRDefault="00854434" w:rsidP="000004E0">
            <w:pPr>
              <w:pStyle w:val="Normal1"/>
              <w:spacing w:after="120" w:line="276" w:lineRule="auto"/>
              <w:jc w:val="center"/>
              <w:rPr>
                <w:rFonts w:ascii="Calibri" w:hAnsi="Calibri"/>
                <w:sz w:val="22"/>
                <w:szCs w:val="22"/>
              </w:rPr>
            </w:pPr>
            <w:r>
              <w:rPr>
                <w:rFonts w:ascii="Calibri" w:hAnsi="Calibri"/>
                <w:sz w:val="22"/>
                <w:szCs w:val="22"/>
              </w:rPr>
              <w:t>Moderate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2AFA81" w14:textId="77777777" w:rsidR="00854434" w:rsidRPr="008F5744" w:rsidRDefault="00854434" w:rsidP="000004E0">
            <w:pPr>
              <w:pStyle w:val="Normal1"/>
              <w:spacing w:after="120" w:line="276" w:lineRule="auto"/>
              <w:jc w:val="center"/>
              <w:rPr>
                <w:rFonts w:ascii="Calibri" w:hAnsi="Calibri"/>
                <w:sz w:val="22"/>
                <w:szCs w:val="22"/>
              </w:rPr>
            </w:pPr>
            <w:r>
              <w:rPr>
                <w:rFonts w:ascii="Calibri" w:hAnsi="Calibri"/>
                <w:sz w:val="22"/>
                <w:szCs w:val="22"/>
              </w:rPr>
              <w:t>Moderate</w:t>
            </w:r>
          </w:p>
        </w:tc>
      </w:tr>
    </w:tbl>
    <w:p w14:paraId="43A914A0" w14:textId="77777777" w:rsidR="000004E0" w:rsidRPr="000004E0" w:rsidRDefault="000004E0" w:rsidP="000004E0">
      <w:pPr>
        <w:rPr>
          <w:rStyle w:val="Emphasis"/>
        </w:rPr>
      </w:pPr>
      <w:r w:rsidRPr="000004E0">
        <w:rPr>
          <w:rStyle w:val="Emphasis"/>
        </w:rPr>
        <w:t>Introduction</w:t>
      </w:r>
    </w:p>
    <w:p w14:paraId="48891484" w14:textId="1861A801" w:rsidR="00A722A3" w:rsidRDefault="00892AB2" w:rsidP="000004E0">
      <w:r>
        <w:t xml:space="preserve">This is the </w:t>
      </w:r>
      <w:r w:rsidR="00635130">
        <w:t>second</w:t>
      </w:r>
      <w:r w:rsidR="000004E0">
        <w:t xml:space="preserve"> Annual Review</w:t>
      </w:r>
      <w:r w:rsidR="0094030A">
        <w:t xml:space="preserve"> (AR)</w:t>
      </w:r>
      <w:r w:rsidR="00941F2F">
        <w:t xml:space="preserve"> </w:t>
      </w:r>
      <w:r>
        <w:t xml:space="preserve">of </w:t>
      </w:r>
      <w:r w:rsidR="00AE09AA">
        <w:t>the EBF</w:t>
      </w:r>
      <w:r w:rsidR="00E26A31">
        <w:t>.</w:t>
      </w:r>
      <w:r w:rsidR="00941F2F">
        <w:t xml:space="preserve"> </w:t>
      </w:r>
      <w:r w:rsidR="00635130">
        <w:t>The</w:t>
      </w:r>
      <w:r w:rsidR="004F0FA7">
        <w:t xml:space="preserve"> </w:t>
      </w:r>
      <w:r w:rsidR="000C59D4">
        <w:t xml:space="preserve">Defra </w:t>
      </w:r>
      <w:proofErr w:type="spellStart"/>
      <w:r w:rsidR="004F0FA7">
        <w:t>logframe</w:t>
      </w:r>
      <w:proofErr w:type="spellEnd"/>
      <w:r w:rsidR="004F0FA7">
        <w:t xml:space="preserve"> </w:t>
      </w:r>
      <w:r w:rsidR="00A722A3">
        <w:t xml:space="preserve">has been finalised, therefore the score for this AR </w:t>
      </w:r>
      <w:r w:rsidR="004F0FA7">
        <w:t xml:space="preserve">is </w:t>
      </w:r>
      <w:r w:rsidR="00A722A3">
        <w:t xml:space="preserve">indicative of the progress made </w:t>
      </w:r>
      <w:r w:rsidR="0064716F">
        <w:t>over the year of 2018,</w:t>
      </w:r>
      <w:r w:rsidR="00A722A3">
        <w:t xml:space="preserve"> in relation to </w:t>
      </w:r>
      <w:r w:rsidR="001639A4">
        <w:t xml:space="preserve">the </w:t>
      </w:r>
      <w:r w:rsidR="00A722A3">
        <w:t>targets</w:t>
      </w:r>
      <w:r w:rsidR="004F0FA7">
        <w:t xml:space="preserve"> set</w:t>
      </w:r>
      <w:r w:rsidR="00D834F0">
        <w:t xml:space="preserve"> with said </w:t>
      </w:r>
      <w:proofErr w:type="spellStart"/>
      <w:r w:rsidR="00D834F0">
        <w:t>logframe</w:t>
      </w:r>
      <w:proofErr w:type="spellEnd"/>
      <w:r w:rsidR="00D834F0">
        <w:rPr>
          <w:rStyle w:val="FootnoteReference"/>
        </w:rPr>
        <w:footnoteReference w:id="2"/>
      </w:r>
      <w:r w:rsidR="00A722A3">
        <w:t>.</w:t>
      </w:r>
      <w:r w:rsidR="0070308C">
        <w:t xml:space="preserve"> </w:t>
      </w:r>
    </w:p>
    <w:p w14:paraId="6D66EC57" w14:textId="11620708" w:rsidR="00E44274" w:rsidRDefault="00D834F0" w:rsidP="000004E0">
      <w:r>
        <w:t>In addition to ARs</w:t>
      </w:r>
      <w:r w:rsidR="00E44274">
        <w:t xml:space="preserve">, performance reviews are undertaken by the fund manager, Finance </w:t>
      </w:r>
      <w:r w:rsidR="00360100">
        <w:t>in</w:t>
      </w:r>
      <w:r w:rsidR="00E44274">
        <w:t xml:space="preserve"> Motion (</w:t>
      </w:r>
      <w:proofErr w:type="spellStart"/>
      <w:r w:rsidR="00E44274">
        <w:t>FiM</w:t>
      </w:r>
      <w:proofErr w:type="spellEnd"/>
      <w:r w:rsidR="00E44274">
        <w:t xml:space="preserve">) who are effectively the programmes delivery partner. These are reported quarterly to an independent board of directors, where Defra sits as an observer. A </w:t>
      </w:r>
      <w:r>
        <w:t>f</w:t>
      </w:r>
      <w:r w:rsidR="00E44274">
        <w:t xml:space="preserve">inancial report of EBF is independently audited annually. </w:t>
      </w:r>
    </w:p>
    <w:p w14:paraId="7C148BE8" w14:textId="6B6692DF" w:rsidR="002C53F0" w:rsidRDefault="006320D6" w:rsidP="006320D6">
      <w:pPr>
        <w:pStyle w:val="Default"/>
        <w:spacing w:before="240" w:after="120" w:line="276" w:lineRule="auto"/>
        <w:jc w:val="both"/>
        <w:rPr>
          <w:rFonts w:cstheme="majorHAnsi"/>
          <w:iCs/>
          <w:sz w:val="22"/>
          <w:szCs w:val="22"/>
        </w:rPr>
      </w:pPr>
      <w:r>
        <w:rPr>
          <w:rFonts w:cstheme="majorHAnsi"/>
          <w:sz w:val="22"/>
          <w:szCs w:val="22"/>
        </w:rPr>
        <w:t>The EBF was set up i</w:t>
      </w:r>
      <w:r w:rsidRPr="00D0005A">
        <w:rPr>
          <w:rFonts w:cstheme="majorHAnsi"/>
          <w:sz w:val="22"/>
          <w:szCs w:val="22"/>
        </w:rPr>
        <w:t>n December 2014</w:t>
      </w:r>
      <w:r>
        <w:rPr>
          <w:rFonts w:cstheme="majorHAnsi"/>
          <w:sz w:val="22"/>
          <w:szCs w:val="22"/>
        </w:rPr>
        <w:t xml:space="preserve"> by</w:t>
      </w:r>
      <w:r w:rsidRPr="00D0005A">
        <w:rPr>
          <w:rFonts w:cstheme="majorHAnsi"/>
          <w:sz w:val="22"/>
          <w:szCs w:val="22"/>
        </w:rPr>
        <w:t xml:space="preserve"> </w:t>
      </w:r>
      <w:proofErr w:type="spellStart"/>
      <w:r w:rsidRPr="00D0005A">
        <w:rPr>
          <w:rFonts w:cstheme="majorHAnsi"/>
          <w:sz w:val="22"/>
          <w:szCs w:val="22"/>
        </w:rPr>
        <w:t>KfW</w:t>
      </w:r>
      <w:proofErr w:type="spellEnd"/>
      <w:r w:rsidRPr="00D0005A">
        <w:rPr>
          <w:rFonts w:cstheme="majorHAnsi"/>
          <w:sz w:val="22"/>
          <w:szCs w:val="22"/>
        </w:rPr>
        <w:t>, the German Development Bank, Conservation International and</w:t>
      </w:r>
      <w:r w:rsidR="00D834F0">
        <w:rPr>
          <w:rFonts w:cstheme="majorHAnsi"/>
          <w:sz w:val="22"/>
          <w:szCs w:val="22"/>
        </w:rPr>
        <w:t xml:space="preserve"> </w:t>
      </w:r>
      <w:proofErr w:type="spellStart"/>
      <w:r w:rsidRPr="00D0005A">
        <w:rPr>
          <w:rFonts w:cstheme="majorHAnsi"/>
          <w:sz w:val="22"/>
          <w:szCs w:val="22"/>
        </w:rPr>
        <w:t>Fi</w:t>
      </w:r>
      <w:r>
        <w:rPr>
          <w:rFonts w:cstheme="majorHAnsi"/>
          <w:sz w:val="22"/>
          <w:szCs w:val="22"/>
        </w:rPr>
        <w:t>M</w:t>
      </w:r>
      <w:proofErr w:type="spellEnd"/>
      <w:r w:rsidRPr="00D0005A">
        <w:rPr>
          <w:rFonts w:cstheme="majorHAnsi"/>
          <w:sz w:val="22"/>
          <w:szCs w:val="22"/>
        </w:rPr>
        <w:t xml:space="preserve">. The </w:t>
      </w:r>
      <w:r>
        <w:rPr>
          <w:rFonts w:cstheme="majorHAnsi"/>
          <w:sz w:val="22"/>
          <w:szCs w:val="22"/>
        </w:rPr>
        <w:t>EBF</w:t>
      </w:r>
      <w:r w:rsidRPr="00D0005A">
        <w:rPr>
          <w:rFonts w:cstheme="majorHAnsi"/>
          <w:sz w:val="22"/>
          <w:szCs w:val="22"/>
        </w:rPr>
        <w:t xml:space="preserve">´s mission is to </w:t>
      </w:r>
      <w:r w:rsidRPr="00D0005A">
        <w:rPr>
          <w:rFonts w:cstheme="majorHAnsi"/>
          <w:iCs/>
          <w:sz w:val="22"/>
          <w:szCs w:val="22"/>
        </w:rPr>
        <w:t>promote business and consumption practices that contribute to biodiversity conservation, to the sustainable use of natural resources</w:t>
      </w:r>
      <w:r>
        <w:rPr>
          <w:rFonts w:cstheme="majorHAnsi"/>
          <w:iCs/>
          <w:sz w:val="22"/>
          <w:szCs w:val="22"/>
        </w:rPr>
        <w:t>,</w:t>
      </w:r>
      <w:r w:rsidRPr="00D0005A">
        <w:rPr>
          <w:rFonts w:cstheme="majorHAnsi"/>
          <w:iCs/>
          <w:sz w:val="22"/>
          <w:szCs w:val="22"/>
        </w:rPr>
        <w:t xml:space="preserve"> and to </w:t>
      </w:r>
      <w:r>
        <w:rPr>
          <w:rFonts w:cstheme="majorHAnsi"/>
          <w:iCs/>
          <w:sz w:val="22"/>
          <w:szCs w:val="22"/>
        </w:rPr>
        <w:t xml:space="preserve">the </w:t>
      </w:r>
      <w:r w:rsidRPr="00D0005A">
        <w:rPr>
          <w:rFonts w:cstheme="majorHAnsi"/>
          <w:iCs/>
          <w:sz w:val="22"/>
          <w:szCs w:val="22"/>
        </w:rPr>
        <w:t>mitigat</w:t>
      </w:r>
      <w:r>
        <w:rPr>
          <w:rFonts w:cstheme="majorHAnsi"/>
          <w:iCs/>
          <w:sz w:val="22"/>
          <w:szCs w:val="22"/>
        </w:rPr>
        <w:t xml:space="preserve">ion of </w:t>
      </w:r>
      <w:r w:rsidRPr="00D0005A">
        <w:rPr>
          <w:rFonts w:cstheme="majorHAnsi"/>
          <w:iCs/>
          <w:sz w:val="22"/>
          <w:szCs w:val="22"/>
        </w:rPr>
        <w:t>climate change and adapt</w:t>
      </w:r>
      <w:r>
        <w:rPr>
          <w:rFonts w:cstheme="majorHAnsi"/>
          <w:iCs/>
          <w:sz w:val="22"/>
          <w:szCs w:val="22"/>
        </w:rPr>
        <w:t>ation</w:t>
      </w:r>
      <w:r w:rsidRPr="00D0005A">
        <w:rPr>
          <w:rFonts w:cstheme="majorHAnsi"/>
          <w:iCs/>
          <w:sz w:val="22"/>
          <w:szCs w:val="22"/>
        </w:rPr>
        <w:t xml:space="preserve"> to </w:t>
      </w:r>
      <w:r>
        <w:rPr>
          <w:rFonts w:cstheme="majorHAnsi"/>
          <w:iCs/>
          <w:sz w:val="22"/>
          <w:szCs w:val="22"/>
        </w:rPr>
        <w:t xml:space="preserve">climate change </w:t>
      </w:r>
      <w:r w:rsidRPr="00D0005A">
        <w:rPr>
          <w:rFonts w:cstheme="majorHAnsi"/>
          <w:iCs/>
          <w:sz w:val="22"/>
          <w:szCs w:val="22"/>
        </w:rPr>
        <w:t xml:space="preserve">impacts. </w:t>
      </w:r>
      <w:r w:rsidR="002C53F0">
        <w:rPr>
          <w:rFonts w:cstheme="majorHAnsi"/>
          <w:iCs/>
          <w:sz w:val="22"/>
          <w:szCs w:val="22"/>
        </w:rPr>
        <w:t xml:space="preserve">The </w:t>
      </w:r>
      <w:r w:rsidR="00D834F0">
        <w:rPr>
          <w:rFonts w:cstheme="majorHAnsi"/>
          <w:iCs/>
          <w:sz w:val="22"/>
          <w:szCs w:val="22"/>
        </w:rPr>
        <w:t>f</w:t>
      </w:r>
      <w:r w:rsidR="002C53F0">
        <w:rPr>
          <w:rFonts w:cstheme="majorHAnsi"/>
          <w:iCs/>
          <w:sz w:val="22"/>
          <w:szCs w:val="22"/>
        </w:rPr>
        <w:t xml:space="preserve">und has a Latin America focus, working </w:t>
      </w:r>
      <w:r w:rsidR="00360100">
        <w:rPr>
          <w:rFonts w:cstheme="majorHAnsi"/>
          <w:iCs/>
          <w:sz w:val="22"/>
          <w:szCs w:val="22"/>
        </w:rPr>
        <w:t>in</w:t>
      </w:r>
      <w:r w:rsidR="002C53F0">
        <w:rPr>
          <w:rFonts w:cstheme="majorHAnsi"/>
          <w:iCs/>
          <w:sz w:val="22"/>
          <w:szCs w:val="22"/>
        </w:rPr>
        <w:t xml:space="preserve">: Colombia, Ecuador, El Salvador, </w:t>
      </w:r>
      <w:r w:rsidR="002C53F0" w:rsidRPr="002C53F0">
        <w:rPr>
          <w:rFonts w:cstheme="majorHAnsi"/>
          <w:iCs/>
          <w:sz w:val="22"/>
          <w:szCs w:val="22"/>
        </w:rPr>
        <w:t>Costa Rica, Nicaragua, Panama and expanding into Honduras in 2018</w:t>
      </w:r>
      <w:r w:rsidR="002C53F0">
        <w:rPr>
          <w:rFonts w:cstheme="majorHAnsi"/>
          <w:iCs/>
          <w:sz w:val="22"/>
          <w:szCs w:val="22"/>
        </w:rPr>
        <w:t xml:space="preserve">. </w:t>
      </w:r>
      <w:proofErr w:type="spellStart"/>
      <w:r w:rsidR="002C53F0">
        <w:rPr>
          <w:rFonts w:cstheme="majorHAnsi"/>
          <w:iCs/>
          <w:sz w:val="22"/>
          <w:szCs w:val="22"/>
        </w:rPr>
        <w:t>FiM</w:t>
      </w:r>
      <w:proofErr w:type="spellEnd"/>
      <w:r w:rsidR="002C53F0">
        <w:rPr>
          <w:rFonts w:cstheme="majorHAnsi"/>
          <w:iCs/>
          <w:sz w:val="22"/>
          <w:szCs w:val="22"/>
        </w:rPr>
        <w:t xml:space="preserve"> is the fund manager</w:t>
      </w:r>
      <w:r w:rsidR="00E01D94">
        <w:rPr>
          <w:rFonts w:cstheme="majorHAnsi"/>
          <w:iCs/>
          <w:sz w:val="22"/>
          <w:szCs w:val="22"/>
        </w:rPr>
        <w:t xml:space="preserve"> and acts as an advisor, for the Board of Directors – the </w:t>
      </w:r>
      <w:r w:rsidR="00E01D94">
        <w:rPr>
          <w:rFonts w:cstheme="majorHAnsi"/>
          <w:iCs/>
          <w:sz w:val="22"/>
          <w:szCs w:val="22"/>
        </w:rPr>
        <w:lastRenderedPageBreak/>
        <w:t xml:space="preserve">independent panel </w:t>
      </w:r>
      <w:r w:rsidR="00BA14D0">
        <w:rPr>
          <w:rFonts w:cstheme="majorHAnsi"/>
          <w:iCs/>
          <w:sz w:val="22"/>
          <w:szCs w:val="22"/>
        </w:rPr>
        <w:t>representing the shareholders, provid</w:t>
      </w:r>
      <w:r w:rsidR="00360100">
        <w:rPr>
          <w:rFonts w:cstheme="majorHAnsi"/>
          <w:iCs/>
          <w:sz w:val="22"/>
          <w:szCs w:val="22"/>
        </w:rPr>
        <w:t>ing</w:t>
      </w:r>
      <w:r w:rsidR="00BA14D0">
        <w:rPr>
          <w:rFonts w:cstheme="majorHAnsi"/>
          <w:iCs/>
          <w:sz w:val="22"/>
          <w:szCs w:val="22"/>
        </w:rPr>
        <w:t xml:space="preserve"> clearance</w:t>
      </w:r>
      <w:r w:rsidR="00360100">
        <w:rPr>
          <w:rFonts w:cstheme="majorHAnsi"/>
          <w:iCs/>
          <w:sz w:val="22"/>
          <w:szCs w:val="22"/>
        </w:rPr>
        <w:t xml:space="preserve"> for investment</w:t>
      </w:r>
      <w:r w:rsidR="00BA14D0">
        <w:rPr>
          <w:rFonts w:cstheme="majorHAnsi"/>
          <w:iCs/>
          <w:sz w:val="22"/>
          <w:szCs w:val="22"/>
        </w:rPr>
        <w:t xml:space="preserve"> and strategic decision making for the fund.</w:t>
      </w:r>
    </w:p>
    <w:p w14:paraId="39B9A09B" w14:textId="1C400475" w:rsidR="006320D6" w:rsidRPr="007177B1" w:rsidRDefault="006320D6" w:rsidP="006320D6">
      <w:pPr>
        <w:pStyle w:val="Default"/>
        <w:spacing w:after="120" w:line="276" w:lineRule="auto"/>
        <w:jc w:val="both"/>
        <w:rPr>
          <w:rFonts w:cstheme="majorHAnsi"/>
          <w:sz w:val="22"/>
          <w:szCs w:val="22"/>
          <w:lang w:val="en-GB"/>
        </w:rPr>
      </w:pPr>
      <w:r w:rsidRPr="00D0005A">
        <w:rPr>
          <w:rFonts w:cstheme="majorHAnsi"/>
          <w:sz w:val="22"/>
          <w:szCs w:val="22"/>
        </w:rPr>
        <w:t xml:space="preserve">Defra committed £20 million in December 2015 </w:t>
      </w:r>
    </w:p>
    <w:p w14:paraId="215337E5" w14:textId="51E3B008" w:rsidR="006320D6" w:rsidRPr="00D0005A" w:rsidRDefault="006320D6" w:rsidP="006320D6">
      <w:pPr>
        <w:pStyle w:val="Default"/>
        <w:spacing w:after="120" w:line="276" w:lineRule="auto"/>
        <w:jc w:val="both"/>
        <w:rPr>
          <w:rFonts w:cstheme="majorHAnsi"/>
          <w:sz w:val="22"/>
          <w:szCs w:val="22"/>
        </w:rPr>
      </w:pPr>
      <w:r w:rsidRPr="00D0005A">
        <w:rPr>
          <w:rFonts w:cstheme="majorHAnsi"/>
          <w:sz w:val="22"/>
          <w:szCs w:val="22"/>
        </w:rPr>
        <w:t xml:space="preserve">The </w:t>
      </w:r>
      <w:r>
        <w:rPr>
          <w:rFonts w:cstheme="majorHAnsi"/>
          <w:sz w:val="22"/>
          <w:szCs w:val="22"/>
        </w:rPr>
        <w:t>EBF</w:t>
      </w:r>
      <w:r w:rsidRPr="00D0005A">
        <w:rPr>
          <w:rFonts w:cstheme="majorHAnsi"/>
          <w:sz w:val="22"/>
          <w:szCs w:val="22"/>
        </w:rPr>
        <w:t xml:space="preserve"> pursues its mission by providing financing and/or technical assistance to qualified </w:t>
      </w:r>
      <w:r w:rsidR="00D834F0">
        <w:rPr>
          <w:rFonts w:cstheme="majorHAnsi"/>
          <w:sz w:val="22"/>
          <w:szCs w:val="22"/>
        </w:rPr>
        <w:t>Financial Institutions (</w:t>
      </w:r>
      <w:r w:rsidRPr="00D0005A">
        <w:rPr>
          <w:rFonts w:cstheme="majorHAnsi"/>
          <w:sz w:val="22"/>
          <w:szCs w:val="22"/>
        </w:rPr>
        <w:t>FIs</w:t>
      </w:r>
      <w:r w:rsidR="00D834F0">
        <w:rPr>
          <w:rFonts w:cstheme="majorHAnsi"/>
          <w:sz w:val="22"/>
          <w:szCs w:val="22"/>
        </w:rPr>
        <w:t>)</w:t>
      </w:r>
      <w:r w:rsidRPr="00D0005A">
        <w:rPr>
          <w:rFonts w:cstheme="majorHAnsi"/>
          <w:sz w:val="22"/>
          <w:szCs w:val="22"/>
        </w:rPr>
        <w:t xml:space="preserve"> and businesses in four focus areas: </w:t>
      </w:r>
    </w:p>
    <w:p w14:paraId="10942103" w14:textId="26E50118" w:rsidR="006320D6" w:rsidRPr="00D0005A" w:rsidRDefault="006320D6" w:rsidP="006320D6">
      <w:pPr>
        <w:pStyle w:val="ListParagraph"/>
        <w:numPr>
          <w:ilvl w:val="0"/>
          <w:numId w:val="9"/>
        </w:numPr>
      </w:pPr>
      <w:r w:rsidRPr="00D0005A">
        <w:t>Sustainable agriculture and agribusiness</w:t>
      </w:r>
      <w:r w:rsidR="00D834F0">
        <w:t>;</w:t>
      </w:r>
    </w:p>
    <w:p w14:paraId="1DC33B3F" w14:textId="37ACFF7F" w:rsidR="006320D6" w:rsidRPr="00D0005A" w:rsidRDefault="006320D6" w:rsidP="006320D6">
      <w:pPr>
        <w:pStyle w:val="ListParagraph"/>
        <w:numPr>
          <w:ilvl w:val="0"/>
          <w:numId w:val="9"/>
        </w:numPr>
      </w:pPr>
      <w:r w:rsidRPr="00D0005A">
        <w:t>Sust</w:t>
      </w:r>
      <w:r w:rsidR="00D834F0">
        <w:t>ainable fishery and aquaculture;</w:t>
      </w:r>
    </w:p>
    <w:p w14:paraId="65C49A7B" w14:textId="62C84B08" w:rsidR="006320D6" w:rsidRPr="00D0005A" w:rsidRDefault="00D834F0" w:rsidP="006320D6">
      <w:pPr>
        <w:pStyle w:val="ListParagraph"/>
        <w:numPr>
          <w:ilvl w:val="0"/>
          <w:numId w:val="9"/>
        </w:numPr>
      </w:pPr>
      <w:r>
        <w:t>Sustainable forestry; and</w:t>
      </w:r>
    </w:p>
    <w:p w14:paraId="42673C2C" w14:textId="6B7986DB" w:rsidR="006320D6" w:rsidRPr="00D0005A" w:rsidRDefault="00D834F0" w:rsidP="006320D6">
      <w:pPr>
        <w:pStyle w:val="ListParagraph"/>
        <w:numPr>
          <w:ilvl w:val="0"/>
          <w:numId w:val="9"/>
        </w:numPr>
      </w:pPr>
      <w:r>
        <w:t>Sustainable tourism.</w:t>
      </w:r>
    </w:p>
    <w:p w14:paraId="0D7C3583" w14:textId="19E7DA64" w:rsidR="006320D6" w:rsidRPr="00D0005A" w:rsidRDefault="006320D6" w:rsidP="006320D6">
      <w:pPr>
        <w:pStyle w:val="Normal1"/>
        <w:tabs>
          <w:tab w:val="left" w:pos="6915"/>
          <w:tab w:val="left" w:pos="9495"/>
        </w:tabs>
        <w:spacing w:after="120" w:line="276" w:lineRule="auto"/>
        <w:jc w:val="both"/>
        <w:rPr>
          <w:rFonts w:ascii="Calibri" w:hAnsi="Calibri"/>
          <w:sz w:val="22"/>
          <w:szCs w:val="22"/>
        </w:rPr>
      </w:pPr>
      <w:r w:rsidRPr="00D0005A">
        <w:rPr>
          <w:rFonts w:ascii="Calibri" w:hAnsi="Calibri" w:cstheme="majorHAnsi"/>
          <w:sz w:val="22"/>
          <w:szCs w:val="22"/>
        </w:rPr>
        <w:t xml:space="preserve">These four </w:t>
      </w:r>
      <w:r w:rsidR="00D834F0">
        <w:rPr>
          <w:rFonts w:ascii="Calibri" w:hAnsi="Calibri" w:cstheme="majorHAnsi"/>
          <w:sz w:val="22"/>
          <w:szCs w:val="22"/>
        </w:rPr>
        <w:t xml:space="preserve">areas </w:t>
      </w:r>
      <w:r w:rsidRPr="00D0005A">
        <w:rPr>
          <w:rFonts w:ascii="Calibri" w:hAnsi="Calibri" w:cstheme="majorHAnsi"/>
          <w:sz w:val="22"/>
          <w:szCs w:val="22"/>
        </w:rPr>
        <w:t>are pivotal pillars of the Latin Amer</w:t>
      </w:r>
      <w:r>
        <w:rPr>
          <w:rFonts w:ascii="Calibri" w:hAnsi="Calibri" w:cstheme="majorHAnsi"/>
          <w:sz w:val="22"/>
          <w:szCs w:val="22"/>
        </w:rPr>
        <w:t>ica and Caribbean (LAC) economy</w:t>
      </w:r>
      <w:r w:rsidRPr="00D0005A">
        <w:rPr>
          <w:rFonts w:ascii="Calibri" w:hAnsi="Calibri" w:cstheme="majorHAnsi"/>
          <w:sz w:val="22"/>
          <w:szCs w:val="22"/>
        </w:rPr>
        <w:t xml:space="preserve"> </w:t>
      </w:r>
      <w:r>
        <w:rPr>
          <w:rFonts w:ascii="Calibri" w:hAnsi="Calibri" w:cstheme="majorHAnsi"/>
          <w:sz w:val="22"/>
          <w:szCs w:val="22"/>
        </w:rPr>
        <w:t xml:space="preserve">but </w:t>
      </w:r>
      <w:r w:rsidRPr="00D0005A">
        <w:rPr>
          <w:rFonts w:ascii="Calibri" w:hAnsi="Calibri" w:cstheme="majorHAnsi"/>
          <w:sz w:val="22"/>
          <w:szCs w:val="22"/>
        </w:rPr>
        <w:t xml:space="preserve">are also significant contributors to the region’s environmental footprint and are increasingly affected by climate change. The </w:t>
      </w:r>
      <w:r w:rsidR="00D834F0">
        <w:rPr>
          <w:rFonts w:ascii="Calibri" w:hAnsi="Calibri" w:cstheme="majorHAnsi"/>
          <w:sz w:val="22"/>
          <w:szCs w:val="22"/>
        </w:rPr>
        <w:t>f</w:t>
      </w:r>
      <w:r w:rsidRPr="00D0005A">
        <w:rPr>
          <w:rFonts w:ascii="Calibri" w:hAnsi="Calibri" w:cstheme="majorHAnsi"/>
          <w:sz w:val="22"/>
          <w:szCs w:val="22"/>
        </w:rPr>
        <w:t>und believes that companies in these sectors need to transform their business mo</w:t>
      </w:r>
      <w:r>
        <w:rPr>
          <w:rFonts w:ascii="Calibri" w:hAnsi="Calibri" w:cstheme="majorHAnsi"/>
          <w:sz w:val="22"/>
          <w:szCs w:val="22"/>
        </w:rPr>
        <w:t xml:space="preserve">dels to become more sustainable; </w:t>
      </w:r>
      <w:r w:rsidRPr="00D0005A">
        <w:rPr>
          <w:rFonts w:ascii="Calibri" w:hAnsi="Calibri" w:cstheme="majorHAnsi"/>
          <w:sz w:val="22"/>
          <w:szCs w:val="22"/>
        </w:rPr>
        <w:t>allow efficient and innovative business practices</w:t>
      </w:r>
      <w:r>
        <w:rPr>
          <w:rFonts w:ascii="Calibri" w:hAnsi="Calibri" w:cstheme="majorHAnsi"/>
          <w:sz w:val="22"/>
          <w:szCs w:val="22"/>
        </w:rPr>
        <w:t>;</w:t>
      </w:r>
      <w:r w:rsidRPr="00D0005A">
        <w:rPr>
          <w:rFonts w:ascii="Calibri" w:hAnsi="Calibri" w:cstheme="majorHAnsi"/>
          <w:sz w:val="22"/>
          <w:szCs w:val="22"/>
        </w:rPr>
        <w:t xml:space="preserve"> </w:t>
      </w:r>
      <w:r>
        <w:rPr>
          <w:rFonts w:ascii="Calibri" w:hAnsi="Calibri" w:cstheme="majorHAnsi"/>
          <w:sz w:val="22"/>
          <w:szCs w:val="22"/>
        </w:rPr>
        <w:t xml:space="preserve">and </w:t>
      </w:r>
      <w:r w:rsidRPr="00D0005A">
        <w:rPr>
          <w:rFonts w:ascii="Calibri" w:hAnsi="Calibri" w:cstheme="majorHAnsi"/>
          <w:sz w:val="22"/>
          <w:szCs w:val="22"/>
        </w:rPr>
        <w:t>secure viability for both the company and the environment in which they operate. More specifically</w:t>
      </w:r>
      <w:r w:rsidR="00D834F0">
        <w:rPr>
          <w:rFonts w:ascii="Calibri" w:hAnsi="Calibri" w:cstheme="majorHAnsi"/>
          <w:sz w:val="22"/>
          <w:szCs w:val="22"/>
        </w:rPr>
        <w:t>, the f</w:t>
      </w:r>
      <w:r>
        <w:rPr>
          <w:rFonts w:ascii="Calibri" w:hAnsi="Calibri" w:cstheme="majorHAnsi"/>
          <w:sz w:val="22"/>
          <w:szCs w:val="22"/>
        </w:rPr>
        <w:t xml:space="preserve">und intends to support an industry </w:t>
      </w:r>
      <w:r w:rsidRPr="00D0005A">
        <w:rPr>
          <w:rFonts w:ascii="Calibri" w:hAnsi="Calibri" w:cstheme="majorHAnsi"/>
          <w:sz w:val="22"/>
          <w:szCs w:val="22"/>
        </w:rPr>
        <w:t>shift towards business practices that conserve biodiversity, use natural resources sustainably, and mitigate and/or become more resilient to climate change.</w:t>
      </w:r>
    </w:p>
    <w:p w14:paraId="711D87AD" w14:textId="36B8D356" w:rsidR="006320D6" w:rsidRPr="00D0005A" w:rsidRDefault="00D834F0" w:rsidP="006320D6">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rPr>
        <w:t>The f</w:t>
      </w:r>
      <w:r w:rsidR="006320D6" w:rsidRPr="00D0005A">
        <w:rPr>
          <w:rFonts w:ascii="Calibri" w:hAnsi="Calibri"/>
          <w:sz w:val="22"/>
          <w:szCs w:val="22"/>
        </w:rPr>
        <w:t xml:space="preserve">und currently channels dedicated financing to local producers via selected local FIs, and in limited cases will provide direct financing for innovative, small scale, high-impact businesses and projects. Investment activities are often complemented by the provision of </w:t>
      </w:r>
      <w:r>
        <w:rPr>
          <w:rFonts w:ascii="Calibri" w:hAnsi="Calibri"/>
          <w:sz w:val="22"/>
          <w:szCs w:val="22"/>
        </w:rPr>
        <w:t>Technical Assistance (</w:t>
      </w:r>
      <w:r w:rsidR="006320D6">
        <w:rPr>
          <w:rFonts w:ascii="Calibri" w:hAnsi="Calibri"/>
          <w:sz w:val="22"/>
          <w:szCs w:val="22"/>
        </w:rPr>
        <w:t>TA</w:t>
      </w:r>
      <w:r>
        <w:rPr>
          <w:rFonts w:ascii="Calibri" w:hAnsi="Calibri"/>
          <w:sz w:val="22"/>
          <w:szCs w:val="22"/>
        </w:rPr>
        <w:t>)</w:t>
      </w:r>
      <w:r w:rsidR="006320D6" w:rsidRPr="00D0005A">
        <w:rPr>
          <w:rFonts w:ascii="Calibri" w:hAnsi="Calibri"/>
          <w:sz w:val="22"/>
          <w:szCs w:val="22"/>
        </w:rPr>
        <w:t xml:space="preserve"> to local </w:t>
      </w:r>
      <w:r w:rsidR="006320D6">
        <w:rPr>
          <w:rFonts w:ascii="Calibri" w:hAnsi="Calibri"/>
          <w:iCs/>
          <w:sz w:val="22"/>
          <w:szCs w:val="22"/>
        </w:rPr>
        <w:t>FIs</w:t>
      </w:r>
      <w:r w:rsidR="001A47A1">
        <w:rPr>
          <w:rFonts w:ascii="Calibri" w:hAnsi="Calibri"/>
          <w:iCs/>
          <w:sz w:val="22"/>
          <w:szCs w:val="22"/>
        </w:rPr>
        <w:t xml:space="preserve"> </w:t>
      </w:r>
      <w:r w:rsidR="006320D6" w:rsidRPr="00D0005A">
        <w:rPr>
          <w:rFonts w:ascii="Calibri" w:hAnsi="Calibri"/>
          <w:sz w:val="22"/>
          <w:szCs w:val="22"/>
        </w:rPr>
        <w:t xml:space="preserve">and their clients. Financial instruments offered include a range of debt instruments but typically are medium to long-term senior loans and subordinated debt as well as syndicated loans. </w:t>
      </w:r>
    </w:p>
    <w:p w14:paraId="14EAF4AE" w14:textId="7263B568" w:rsidR="006320D6" w:rsidRPr="00D0005A" w:rsidRDefault="006320D6" w:rsidP="006320D6">
      <w:pPr>
        <w:pStyle w:val="Normal1"/>
        <w:tabs>
          <w:tab w:val="left" w:pos="6915"/>
          <w:tab w:val="left" w:pos="9495"/>
        </w:tabs>
        <w:spacing w:after="120" w:line="276" w:lineRule="auto"/>
        <w:jc w:val="both"/>
        <w:rPr>
          <w:rFonts w:ascii="Calibri" w:hAnsi="Calibri"/>
          <w:sz w:val="22"/>
          <w:szCs w:val="22"/>
        </w:rPr>
      </w:pPr>
      <w:r w:rsidRPr="00D0005A">
        <w:rPr>
          <w:rFonts w:ascii="Calibri" w:hAnsi="Calibri"/>
          <w:sz w:val="22"/>
          <w:szCs w:val="22"/>
        </w:rPr>
        <w:t xml:space="preserve">Individual loans from </w:t>
      </w:r>
      <w:r>
        <w:rPr>
          <w:rFonts w:ascii="Calibri" w:hAnsi="Calibri"/>
          <w:iCs/>
          <w:sz w:val="22"/>
          <w:szCs w:val="22"/>
        </w:rPr>
        <w:t>FIs</w:t>
      </w:r>
      <w:r w:rsidR="001A47A1">
        <w:rPr>
          <w:rFonts w:ascii="Calibri" w:hAnsi="Calibri"/>
          <w:iCs/>
          <w:sz w:val="22"/>
          <w:szCs w:val="22"/>
        </w:rPr>
        <w:t xml:space="preserve"> </w:t>
      </w:r>
      <w:r w:rsidRPr="00D0005A">
        <w:rPr>
          <w:rFonts w:ascii="Calibri" w:hAnsi="Calibri"/>
          <w:sz w:val="22"/>
          <w:szCs w:val="22"/>
        </w:rPr>
        <w:t>to final borrowers re</w:t>
      </w:r>
      <w:r w:rsidR="00D834F0">
        <w:rPr>
          <w:rFonts w:ascii="Calibri" w:hAnsi="Calibri"/>
          <w:sz w:val="22"/>
          <w:szCs w:val="22"/>
        </w:rPr>
        <w:t>-</w:t>
      </w:r>
      <w:r w:rsidRPr="00D0005A">
        <w:rPr>
          <w:rFonts w:ascii="Calibri" w:hAnsi="Calibri"/>
          <w:sz w:val="22"/>
          <w:szCs w:val="22"/>
        </w:rPr>
        <w:t xml:space="preserve">financed by the </w:t>
      </w:r>
      <w:r w:rsidR="00D834F0">
        <w:rPr>
          <w:rFonts w:ascii="Calibri" w:hAnsi="Calibri"/>
          <w:sz w:val="22"/>
          <w:szCs w:val="22"/>
        </w:rPr>
        <w:t>f</w:t>
      </w:r>
      <w:r w:rsidRPr="00D0005A">
        <w:rPr>
          <w:rFonts w:ascii="Calibri" w:hAnsi="Calibri"/>
          <w:sz w:val="22"/>
          <w:szCs w:val="22"/>
        </w:rPr>
        <w:t xml:space="preserve">und need to </w:t>
      </w:r>
      <w:r w:rsidR="00D834F0" w:rsidRPr="00D0005A">
        <w:rPr>
          <w:rFonts w:ascii="Calibri" w:hAnsi="Calibri"/>
          <w:sz w:val="22"/>
          <w:szCs w:val="22"/>
        </w:rPr>
        <w:t>fulfil</w:t>
      </w:r>
      <w:r w:rsidRPr="00D0005A">
        <w:rPr>
          <w:rFonts w:ascii="Calibri" w:hAnsi="Calibri"/>
          <w:sz w:val="22"/>
          <w:szCs w:val="22"/>
        </w:rPr>
        <w:t xml:space="preserve"> one of the following conditions:</w:t>
      </w:r>
    </w:p>
    <w:p w14:paraId="14B9825E" w14:textId="77777777" w:rsidR="006320D6" w:rsidRPr="00D0005A" w:rsidRDefault="006320D6" w:rsidP="006320D6">
      <w:pPr>
        <w:pStyle w:val="ListParagraph"/>
        <w:numPr>
          <w:ilvl w:val="0"/>
          <w:numId w:val="10"/>
        </w:numPr>
      </w:pPr>
      <w:r w:rsidRPr="00D0005A">
        <w:t>The final borrower holds a sustainability certification</w:t>
      </w:r>
      <w:r>
        <w:t>.</w:t>
      </w:r>
    </w:p>
    <w:p w14:paraId="2BCB0ABE" w14:textId="12F2EE6B" w:rsidR="006320D6" w:rsidRPr="00D0005A" w:rsidRDefault="006320D6" w:rsidP="006320D6">
      <w:pPr>
        <w:pStyle w:val="ListParagraph"/>
        <w:numPr>
          <w:ilvl w:val="0"/>
          <w:numId w:val="10"/>
        </w:numPr>
      </w:pPr>
      <w:r w:rsidRPr="00D0005A">
        <w:t>The activity fina</w:t>
      </w:r>
      <w:r>
        <w:t>nc</w:t>
      </w:r>
      <w:r w:rsidR="00D834F0">
        <w:t>ed is included in the f</w:t>
      </w:r>
      <w:r>
        <w:t xml:space="preserve">und’s </w:t>
      </w:r>
      <w:r w:rsidR="00D834F0">
        <w:t>g</w:t>
      </w:r>
      <w:r w:rsidRPr="00D0005A">
        <w:t xml:space="preserve">reen </w:t>
      </w:r>
      <w:r w:rsidR="00D834F0">
        <w:t>l</w:t>
      </w:r>
      <w:r w:rsidRPr="00D0005A">
        <w:t>ist of eligible measures with a positive impact on biodiversity</w:t>
      </w:r>
      <w:r>
        <w:t>, climate change and resource efficiency.</w:t>
      </w:r>
    </w:p>
    <w:p w14:paraId="2767F683" w14:textId="0791733A" w:rsidR="006320D6" w:rsidRPr="00D0005A" w:rsidRDefault="00D834F0" w:rsidP="006320D6">
      <w:pPr>
        <w:pStyle w:val="ListParagraph"/>
        <w:numPr>
          <w:ilvl w:val="0"/>
          <w:numId w:val="10"/>
        </w:numPr>
      </w:pPr>
      <w:r>
        <w:t>The f</w:t>
      </w:r>
      <w:r w:rsidR="006320D6" w:rsidRPr="00D0005A">
        <w:t>und will also finance innovative measures developed by partner institutions that contribute towards achieving its mission</w:t>
      </w:r>
      <w:r w:rsidR="006320D6">
        <w:t>.</w:t>
      </w:r>
    </w:p>
    <w:p w14:paraId="07DEF3BE" w14:textId="25A7A2AD" w:rsidR="0065572C" w:rsidRDefault="006320D6" w:rsidP="000004E0">
      <w:r>
        <w:t xml:space="preserve">Investment into the EBF contributes towards </w:t>
      </w:r>
      <w:r w:rsidRPr="00B93AD0">
        <w:t xml:space="preserve">Defra’s </w:t>
      </w:r>
      <w:r>
        <w:t xml:space="preserve">and </w:t>
      </w:r>
      <w:r w:rsidR="00D834F0">
        <w:t>Her Majesty’s Government (</w:t>
      </w:r>
      <w:r>
        <w:t>HMG</w:t>
      </w:r>
      <w:r w:rsidR="00D834F0">
        <w:t>)</w:t>
      </w:r>
      <w:r>
        <w:t xml:space="preserve"> meeting their </w:t>
      </w:r>
      <w:r w:rsidRPr="00B93AD0">
        <w:t xml:space="preserve">strategic </w:t>
      </w:r>
      <w:r>
        <w:t xml:space="preserve">and climate </w:t>
      </w:r>
      <w:r w:rsidRPr="00B93AD0">
        <w:t>objectives</w:t>
      </w:r>
      <w:r>
        <w:t>.</w:t>
      </w:r>
    </w:p>
    <w:p w14:paraId="63CBB1D6" w14:textId="4FE8B28F" w:rsidR="000004E0" w:rsidRPr="000004E0" w:rsidRDefault="000004E0" w:rsidP="000004E0">
      <w:pPr>
        <w:rPr>
          <w:rStyle w:val="Emphasis"/>
        </w:rPr>
      </w:pPr>
      <w:r w:rsidRPr="000004E0">
        <w:rPr>
          <w:rStyle w:val="Emphasis"/>
        </w:rPr>
        <w:t>Summary of progress since inception</w:t>
      </w:r>
      <w:r w:rsidR="003B0E26">
        <w:rPr>
          <w:rStyle w:val="Emphasis"/>
        </w:rPr>
        <w:t xml:space="preserve"> (2014)</w:t>
      </w:r>
    </w:p>
    <w:p w14:paraId="287D75F5" w14:textId="1D1416CE" w:rsidR="0070308C" w:rsidRDefault="000004E0" w:rsidP="001D706E">
      <w:pPr>
        <w:spacing w:before="0"/>
      </w:pPr>
      <w:r w:rsidRPr="00D0005A">
        <w:t xml:space="preserve">The </w:t>
      </w:r>
      <w:r w:rsidR="00B30B63">
        <w:t>EB</w:t>
      </w:r>
      <w:r w:rsidRPr="00D0005A">
        <w:t xml:space="preserve">F completed its </w:t>
      </w:r>
      <w:r w:rsidR="001D706E">
        <w:t>fourth</w:t>
      </w:r>
      <w:r w:rsidRPr="00D0005A">
        <w:t xml:space="preserve"> full ye</w:t>
      </w:r>
      <w:r w:rsidR="00230EAC">
        <w:t>ar of operation in December 2018</w:t>
      </w:r>
      <w:r w:rsidR="004F0FA7">
        <w:t xml:space="preserve">. It has </w:t>
      </w:r>
      <w:r w:rsidRPr="00D0005A">
        <w:t>grown from being a newcomer in the sector</w:t>
      </w:r>
      <w:r w:rsidR="004F0FA7">
        <w:t xml:space="preserve"> without </w:t>
      </w:r>
      <w:r w:rsidRPr="00D0005A">
        <w:t xml:space="preserve">a track record, into an increasingly recognised financier and knowledgeable partner in a range of sustainably focussed activities in a large and </w:t>
      </w:r>
      <w:proofErr w:type="spellStart"/>
      <w:r w:rsidRPr="00D0005A">
        <w:t>sectorally</w:t>
      </w:r>
      <w:proofErr w:type="spellEnd"/>
      <w:r w:rsidRPr="00D0005A">
        <w:t xml:space="preserve"> diverse region. </w:t>
      </w:r>
      <w:r w:rsidR="001D706E">
        <w:t xml:space="preserve">The fund </w:t>
      </w:r>
      <w:r w:rsidR="004D68B1">
        <w:t xml:space="preserve">invests in the </w:t>
      </w:r>
      <w:r w:rsidR="00B1336D">
        <w:t>FIs</w:t>
      </w:r>
      <w:r w:rsidR="004D68B1">
        <w:t xml:space="preserve"> of</w:t>
      </w:r>
      <w:r w:rsidR="00FB7B79">
        <w:t xml:space="preserve"> Col</w:t>
      </w:r>
      <w:r w:rsidR="0033712E">
        <w:t>o</w:t>
      </w:r>
      <w:r w:rsidR="00FB7B79">
        <w:t>mbia, Costa Rica, E</w:t>
      </w:r>
      <w:r w:rsidR="004D68B1">
        <w:t xml:space="preserve">cuador, El Salvador, Nicaragua, </w:t>
      </w:r>
      <w:r w:rsidR="004F0FA7">
        <w:t>and Panama</w:t>
      </w:r>
      <w:r w:rsidR="004D68B1">
        <w:t xml:space="preserve"> and </w:t>
      </w:r>
      <w:r w:rsidR="00FB7B79">
        <w:t>exp</w:t>
      </w:r>
      <w:r w:rsidR="004D68B1">
        <w:t>and</w:t>
      </w:r>
      <w:r w:rsidR="004F0FA7">
        <w:t>ed</w:t>
      </w:r>
      <w:r w:rsidR="004D68B1">
        <w:t xml:space="preserve"> </w:t>
      </w:r>
      <w:r w:rsidR="00FB7B79">
        <w:t>into Honduras</w:t>
      </w:r>
      <w:r w:rsidR="004D68B1">
        <w:t xml:space="preserve"> in 2018</w:t>
      </w:r>
      <w:r w:rsidR="00FB7B79">
        <w:t xml:space="preserve">. </w:t>
      </w:r>
    </w:p>
    <w:p w14:paraId="071AFA93" w14:textId="77777777" w:rsidR="0070308C" w:rsidRDefault="0070308C" w:rsidP="001D706E">
      <w:pPr>
        <w:spacing w:before="0"/>
      </w:pPr>
    </w:p>
    <w:p w14:paraId="725E8D60" w14:textId="77777777" w:rsidR="00790F4F" w:rsidRDefault="00790F4F" w:rsidP="001D706E">
      <w:pPr>
        <w:spacing w:before="0"/>
        <w:rPr>
          <w:b/>
        </w:rPr>
      </w:pPr>
      <w:r w:rsidRPr="00790F4F">
        <w:rPr>
          <w:b/>
        </w:rPr>
        <w:t>2017 Recommendations</w:t>
      </w:r>
      <w:r w:rsidR="004E66BF">
        <w:rPr>
          <w:b/>
        </w:rPr>
        <w:t xml:space="preserve"> </w:t>
      </w:r>
    </w:p>
    <w:p w14:paraId="3DC56E9D" w14:textId="0F8242EE" w:rsidR="006C0701" w:rsidRDefault="00790F4F" w:rsidP="00D834F0">
      <w:pPr>
        <w:pStyle w:val="ListParagraph"/>
        <w:numPr>
          <w:ilvl w:val="0"/>
          <w:numId w:val="29"/>
        </w:numPr>
        <w:spacing w:before="0"/>
      </w:pPr>
      <w:r w:rsidRPr="00D834F0">
        <w:rPr>
          <w:b/>
        </w:rPr>
        <w:lastRenderedPageBreak/>
        <w:t xml:space="preserve">To complete both the </w:t>
      </w:r>
      <w:r w:rsidR="008A7F86">
        <w:rPr>
          <w:b/>
        </w:rPr>
        <w:t xml:space="preserve">Defra </w:t>
      </w:r>
      <w:proofErr w:type="spellStart"/>
      <w:r w:rsidRPr="00D834F0">
        <w:rPr>
          <w:b/>
        </w:rPr>
        <w:t>Log</w:t>
      </w:r>
      <w:r w:rsidR="004F0FA7" w:rsidRPr="00D834F0">
        <w:rPr>
          <w:b/>
        </w:rPr>
        <w:t>f</w:t>
      </w:r>
      <w:r w:rsidRPr="00D834F0">
        <w:rPr>
          <w:b/>
        </w:rPr>
        <w:t>rame</w:t>
      </w:r>
      <w:proofErr w:type="spellEnd"/>
      <w:r w:rsidRPr="00D834F0">
        <w:rPr>
          <w:b/>
        </w:rPr>
        <w:t xml:space="preserve"> and </w:t>
      </w:r>
      <w:r w:rsidR="003B0E26" w:rsidRPr="00D834F0">
        <w:rPr>
          <w:b/>
        </w:rPr>
        <w:t>EBFs</w:t>
      </w:r>
      <w:r w:rsidRPr="00D834F0">
        <w:rPr>
          <w:b/>
        </w:rPr>
        <w:t xml:space="preserve"> Impact Framework in 2018</w:t>
      </w:r>
      <w:r w:rsidR="00D834F0" w:rsidRPr="00D834F0">
        <w:rPr>
          <w:b/>
        </w:rPr>
        <w:t xml:space="preserve">: </w:t>
      </w:r>
      <w:r>
        <w:t xml:space="preserve">EBF and Defra have made extensive progress in the development of </w:t>
      </w:r>
      <w:r w:rsidR="007D4B16">
        <w:t xml:space="preserve">a </w:t>
      </w:r>
      <w:proofErr w:type="spellStart"/>
      <w:r w:rsidR="004F0FA7">
        <w:t>logframe</w:t>
      </w:r>
      <w:proofErr w:type="spellEnd"/>
      <w:r>
        <w:t>,</w:t>
      </w:r>
      <w:r w:rsidR="004F0FA7">
        <w:t xml:space="preserve"> with associated </w:t>
      </w:r>
      <w:r>
        <w:t>milestones</w:t>
      </w:r>
      <w:r w:rsidR="004F0FA7">
        <w:t xml:space="preserve">. This </w:t>
      </w:r>
      <w:r>
        <w:t xml:space="preserve">means this year’s AR </w:t>
      </w:r>
      <w:r w:rsidR="004F0FA7">
        <w:t xml:space="preserve">can </w:t>
      </w:r>
      <w:r>
        <w:t>be scored</w:t>
      </w:r>
      <w:r w:rsidR="007D4B16">
        <w:t xml:space="preserve">. </w:t>
      </w:r>
    </w:p>
    <w:p w14:paraId="50A62CCC" w14:textId="77777777" w:rsidR="006C0701" w:rsidRDefault="006C0701" w:rsidP="006C0701">
      <w:pPr>
        <w:pStyle w:val="ListParagraph"/>
        <w:spacing w:before="0"/>
        <w:ind w:left="1080"/>
      </w:pPr>
    </w:p>
    <w:p w14:paraId="29434B35" w14:textId="12115D9D" w:rsidR="007D4B16" w:rsidRDefault="007D4B16" w:rsidP="006C0701">
      <w:pPr>
        <w:pStyle w:val="ListParagraph"/>
        <w:numPr>
          <w:ilvl w:val="0"/>
          <w:numId w:val="29"/>
        </w:numPr>
        <w:spacing w:before="0"/>
      </w:pPr>
      <w:r>
        <w:t xml:space="preserve">The </w:t>
      </w:r>
      <w:r w:rsidR="00D622BA">
        <w:t>EBF</w:t>
      </w:r>
      <w:r>
        <w:t xml:space="preserve"> </w:t>
      </w:r>
      <w:r w:rsidR="00ED57E0">
        <w:t>h</w:t>
      </w:r>
      <w:r w:rsidR="006C0701">
        <w:t>as also published, in 2018, an Impact Framework (Annex A): this outlines the Funds strategic aims, and attributes activities and interventions to the desired outcomes. Additionally, it provides information on the methodology behind the reported impacts.</w:t>
      </w:r>
    </w:p>
    <w:p w14:paraId="3A957CC2" w14:textId="77777777" w:rsidR="006C0701" w:rsidRDefault="006C0701" w:rsidP="006C0701">
      <w:pPr>
        <w:pStyle w:val="ListParagraph"/>
      </w:pPr>
    </w:p>
    <w:p w14:paraId="3F40F8CC" w14:textId="77777777" w:rsidR="006C0701" w:rsidRPr="007D4B16" w:rsidRDefault="006C0701" w:rsidP="006C0701">
      <w:pPr>
        <w:pStyle w:val="ListParagraph"/>
        <w:spacing w:before="0"/>
        <w:ind w:left="1080"/>
      </w:pPr>
    </w:p>
    <w:p w14:paraId="7B562B83" w14:textId="525BEC4E" w:rsidR="0071356E" w:rsidRPr="0071356E" w:rsidRDefault="00790F4F" w:rsidP="0071356E">
      <w:pPr>
        <w:pStyle w:val="ListParagraph"/>
        <w:numPr>
          <w:ilvl w:val="0"/>
          <w:numId w:val="29"/>
        </w:numPr>
        <w:spacing w:before="0"/>
        <w:rPr>
          <w:rStyle w:val="Emphasis"/>
          <w:b w:val="0"/>
        </w:rPr>
      </w:pPr>
      <w:r w:rsidRPr="00D834F0">
        <w:rPr>
          <w:b/>
        </w:rPr>
        <w:t>To develop I</w:t>
      </w:r>
      <w:r w:rsidR="00CE7CA3" w:rsidRPr="00D834F0">
        <w:rPr>
          <w:b/>
        </w:rPr>
        <w:t xml:space="preserve">nternational </w:t>
      </w:r>
      <w:r w:rsidRPr="00D834F0">
        <w:rPr>
          <w:b/>
        </w:rPr>
        <w:t>C</w:t>
      </w:r>
      <w:r w:rsidR="00CE7CA3" w:rsidRPr="00D834F0">
        <w:rPr>
          <w:b/>
        </w:rPr>
        <w:t xml:space="preserve">limate </w:t>
      </w:r>
      <w:r w:rsidRPr="00D834F0">
        <w:rPr>
          <w:b/>
        </w:rPr>
        <w:t>F</w:t>
      </w:r>
      <w:r w:rsidR="00CE7CA3" w:rsidRPr="00D834F0">
        <w:rPr>
          <w:b/>
        </w:rPr>
        <w:t>inance (ICF)</w:t>
      </w:r>
      <w:r w:rsidRPr="00D834F0">
        <w:rPr>
          <w:b/>
        </w:rPr>
        <w:t xml:space="preserve"> </w:t>
      </w:r>
      <w:r w:rsidR="00CE7CA3" w:rsidRPr="00D834F0">
        <w:rPr>
          <w:b/>
        </w:rPr>
        <w:t>Key Performance Indicator (</w:t>
      </w:r>
      <w:r w:rsidRPr="00D834F0">
        <w:rPr>
          <w:b/>
        </w:rPr>
        <w:t>KPI</w:t>
      </w:r>
      <w:r w:rsidR="00CE7CA3" w:rsidRPr="00D834F0">
        <w:rPr>
          <w:b/>
        </w:rPr>
        <w:t>)</w:t>
      </w:r>
      <w:r w:rsidRPr="00D834F0">
        <w:rPr>
          <w:b/>
        </w:rPr>
        <w:t xml:space="preserve"> 15 during 2018</w:t>
      </w:r>
      <w:r w:rsidR="00D834F0" w:rsidRPr="00D834F0">
        <w:rPr>
          <w:b/>
        </w:rPr>
        <w:t xml:space="preserve">: </w:t>
      </w:r>
      <w:r w:rsidR="00DD313F" w:rsidRPr="00D834F0">
        <w:rPr>
          <w:rStyle w:val="Emphasis"/>
          <w:b w:val="0"/>
        </w:rPr>
        <w:t xml:space="preserve">The ICF KPI 15 is a </w:t>
      </w:r>
      <w:r w:rsidR="00D622BA" w:rsidRPr="00D834F0">
        <w:rPr>
          <w:rStyle w:val="Emphasis"/>
          <w:b w:val="0"/>
        </w:rPr>
        <w:t>KPI</w:t>
      </w:r>
      <w:r w:rsidR="00DD313F" w:rsidRPr="00D834F0">
        <w:rPr>
          <w:rStyle w:val="Emphasis"/>
          <w:b w:val="0"/>
        </w:rPr>
        <w:t xml:space="preserve"> for ‘</w:t>
      </w:r>
      <w:r w:rsidR="00E74188" w:rsidRPr="00D834F0">
        <w:rPr>
          <w:rStyle w:val="Emphasis"/>
          <w:b w:val="0"/>
        </w:rPr>
        <w:t xml:space="preserve">Extent to which ICF intervention is likely to have a transformational impact’. </w:t>
      </w:r>
      <w:r w:rsidR="004F0FA7" w:rsidRPr="00D834F0">
        <w:rPr>
          <w:rStyle w:val="Emphasis"/>
          <w:b w:val="0"/>
        </w:rPr>
        <w:t xml:space="preserve">KPI 15 has </w:t>
      </w:r>
      <w:r w:rsidR="00DD313F" w:rsidRPr="00D834F0">
        <w:rPr>
          <w:rStyle w:val="Emphasis"/>
          <w:b w:val="0"/>
        </w:rPr>
        <w:t>been developed across</w:t>
      </w:r>
      <w:r w:rsidR="004F0FA7" w:rsidRPr="00D834F0">
        <w:rPr>
          <w:rStyle w:val="Emphasis"/>
          <w:b w:val="0"/>
        </w:rPr>
        <w:t xml:space="preserve"> HMG, with</w:t>
      </w:r>
      <w:r w:rsidR="00D834F0" w:rsidRPr="00D834F0">
        <w:rPr>
          <w:rStyle w:val="Emphasis"/>
          <w:b w:val="0"/>
        </w:rPr>
        <w:t xml:space="preserve"> the department for Business, Energy and Industrial Strategy (</w:t>
      </w:r>
      <w:r w:rsidR="004F0FA7" w:rsidRPr="00D834F0">
        <w:rPr>
          <w:rStyle w:val="Emphasis"/>
          <w:b w:val="0"/>
        </w:rPr>
        <w:t>BEIS</w:t>
      </w:r>
      <w:r w:rsidR="00D834F0" w:rsidRPr="00D834F0">
        <w:rPr>
          <w:rStyle w:val="Emphasis"/>
          <w:b w:val="0"/>
        </w:rPr>
        <w:t>)</w:t>
      </w:r>
      <w:r w:rsidR="004F0FA7" w:rsidRPr="00D834F0">
        <w:rPr>
          <w:rStyle w:val="Emphasis"/>
          <w:b w:val="0"/>
        </w:rPr>
        <w:t xml:space="preserve"> leading,</w:t>
      </w:r>
      <w:r w:rsidR="00DD313F" w:rsidRPr="00D834F0">
        <w:rPr>
          <w:rStyle w:val="Emphasis"/>
          <w:b w:val="0"/>
        </w:rPr>
        <w:t xml:space="preserve"> but </w:t>
      </w:r>
      <w:r w:rsidR="00D834F0" w:rsidRPr="00D834F0">
        <w:rPr>
          <w:rStyle w:val="Emphasis"/>
          <w:b w:val="0"/>
        </w:rPr>
        <w:t xml:space="preserve">it </w:t>
      </w:r>
      <w:r w:rsidR="00DD313F" w:rsidRPr="00D834F0">
        <w:rPr>
          <w:rStyle w:val="Emphasis"/>
          <w:b w:val="0"/>
        </w:rPr>
        <w:t xml:space="preserve">has not yet been applied to the </w:t>
      </w:r>
      <w:r w:rsidR="00D622BA" w:rsidRPr="00D834F0">
        <w:rPr>
          <w:rStyle w:val="Emphasis"/>
          <w:b w:val="0"/>
        </w:rPr>
        <w:t xml:space="preserve">EBF </w:t>
      </w:r>
      <w:r w:rsidR="00DD313F" w:rsidRPr="00D834F0">
        <w:rPr>
          <w:rStyle w:val="Emphasis"/>
          <w:b w:val="0"/>
        </w:rPr>
        <w:t xml:space="preserve">programme. This is due to resources </w:t>
      </w:r>
      <w:r w:rsidR="004F0FA7" w:rsidRPr="00D834F0">
        <w:rPr>
          <w:rStyle w:val="Emphasis"/>
          <w:b w:val="0"/>
        </w:rPr>
        <w:t xml:space="preserve">having been </w:t>
      </w:r>
      <w:r w:rsidR="00DD313F" w:rsidRPr="00D834F0">
        <w:rPr>
          <w:rStyle w:val="Emphasis"/>
          <w:b w:val="0"/>
        </w:rPr>
        <w:t xml:space="preserve">focused on continuing to develop </w:t>
      </w:r>
      <w:r w:rsidR="00ED57E0" w:rsidRPr="00D834F0">
        <w:rPr>
          <w:rStyle w:val="Emphasis"/>
          <w:b w:val="0"/>
        </w:rPr>
        <w:t>the determining indicators of KPI15</w:t>
      </w:r>
      <w:r w:rsidR="00DD313F" w:rsidRPr="00D834F0">
        <w:rPr>
          <w:rStyle w:val="Emphasis"/>
          <w:b w:val="0"/>
        </w:rPr>
        <w:t>. For example net CO</w:t>
      </w:r>
      <w:r w:rsidR="00DD313F" w:rsidRPr="00D834F0">
        <w:rPr>
          <w:rStyle w:val="Emphasis"/>
          <w:b w:val="0"/>
          <w:vertAlign w:val="subscript"/>
        </w:rPr>
        <w:t>2</w:t>
      </w:r>
      <w:r w:rsidR="00DD313F" w:rsidRPr="00D834F0">
        <w:rPr>
          <w:rStyle w:val="Emphasis"/>
          <w:b w:val="0"/>
        </w:rPr>
        <w:t xml:space="preserve"> sequestration, outcome indicator 1.8. We </w:t>
      </w:r>
      <w:r w:rsidR="004F0FA7" w:rsidRPr="00D834F0">
        <w:rPr>
          <w:rStyle w:val="Emphasis"/>
          <w:b w:val="0"/>
        </w:rPr>
        <w:t xml:space="preserve">will </w:t>
      </w:r>
      <w:r w:rsidR="00DD313F" w:rsidRPr="00D834F0">
        <w:rPr>
          <w:rStyle w:val="Emphasis"/>
          <w:b w:val="0"/>
        </w:rPr>
        <w:t>work towards the development of a high level ICF KPI15</w:t>
      </w:r>
      <w:r w:rsidR="00E74188" w:rsidRPr="00D834F0">
        <w:rPr>
          <w:rStyle w:val="Emphasis"/>
          <w:b w:val="0"/>
        </w:rPr>
        <w:t>,</w:t>
      </w:r>
      <w:r w:rsidR="00DD313F" w:rsidRPr="00D834F0">
        <w:rPr>
          <w:rStyle w:val="Emphasis"/>
          <w:b w:val="0"/>
        </w:rPr>
        <w:t xml:space="preserve"> over the course of the upcoming year. </w:t>
      </w:r>
    </w:p>
    <w:p w14:paraId="7F0B95DC" w14:textId="55E224E2" w:rsidR="000004E0" w:rsidRPr="008F5744" w:rsidRDefault="000004E0" w:rsidP="008F5744">
      <w:pPr>
        <w:pStyle w:val="Heading7"/>
        <w:rPr>
          <w:rStyle w:val="Emphasis"/>
          <w:b/>
        </w:rPr>
      </w:pPr>
      <w:r w:rsidRPr="008F5744">
        <w:rPr>
          <w:rStyle w:val="Emphasis"/>
          <w:b/>
        </w:rPr>
        <w:t>Summar</w:t>
      </w:r>
      <w:r w:rsidR="00813B91" w:rsidRPr="008F5744">
        <w:rPr>
          <w:rStyle w:val="Emphasis"/>
          <w:b/>
        </w:rPr>
        <w:t>y of progress since January 2018</w:t>
      </w:r>
    </w:p>
    <w:p w14:paraId="7A811274" w14:textId="775AF80E" w:rsidR="000004E0" w:rsidRPr="00ED57E0" w:rsidRDefault="00D622BA" w:rsidP="000004E0">
      <w:pPr>
        <w:rPr>
          <w:rStyle w:val="IntenseEmphasis"/>
          <w:color w:val="auto"/>
          <w:u w:val="single"/>
        </w:rPr>
      </w:pPr>
      <w:r w:rsidRPr="00ED57E0">
        <w:rPr>
          <w:u w:val="single"/>
        </w:rPr>
        <w:t>The</w:t>
      </w:r>
      <w:r w:rsidRPr="00ED57E0">
        <w:rPr>
          <w:rStyle w:val="IntenseEmphasis"/>
          <w:color w:val="auto"/>
          <w:u w:val="single"/>
        </w:rPr>
        <w:t xml:space="preserve"> </w:t>
      </w:r>
      <w:r w:rsidRPr="00ED57E0">
        <w:rPr>
          <w:rStyle w:val="IntenseEmphasis"/>
          <w:i w:val="0"/>
          <w:color w:val="auto"/>
          <w:u w:val="single"/>
        </w:rPr>
        <w:t>EBF</w:t>
      </w:r>
    </w:p>
    <w:p w14:paraId="44ADDDF5" w14:textId="0E627268" w:rsidR="001639A4" w:rsidRDefault="00FE15BD" w:rsidP="00B029B4">
      <w:pPr>
        <w:pStyle w:val="Default"/>
        <w:spacing w:after="120" w:line="276" w:lineRule="auto"/>
        <w:jc w:val="both"/>
      </w:pPr>
      <w:r>
        <w:rPr>
          <w:rFonts w:cstheme="majorHAnsi"/>
          <w:sz w:val="22"/>
          <w:szCs w:val="22"/>
        </w:rPr>
        <w:t xml:space="preserve">In 2018, the </w:t>
      </w:r>
      <w:r w:rsidR="00D622BA">
        <w:rPr>
          <w:rFonts w:cstheme="majorHAnsi"/>
          <w:sz w:val="22"/>
          <w:szCs w:val="22"/>
        </w:rPr>
        <w:t xml:space="preserve">EBF </w:t>
      </w:r>
      <w:r>
        <w:rPr>
          <w:rFonts w:cstheme="majorHAnsi"/>
          <w:sz w:val="22"/>
          <w:szCs w:val="22"/>
        </w:rPr>
        <w:t>increased the number of partner institutions</w:t>
      </w:r>
      <w:r w:rsidR="007B40B4">
        <w:rPr>
          <w:rFonts w:cstheme="majorHAnsi"/>
          <w:sz w:val="22"/>
          <w:szCs w:val="22"/>
        </w:rPr>
        <w:t xml:space="preserve"> (domestic banks)</w:t>
      </w:r>
      <w:r>
        <w:rPr>
          <w:rFonts w:cstheme="majorHAnsi"/>
          <w:sz w:val="22"/>
          <w:szCs w:val="22"/>
        </w:rPr>
        <w:t xml:space="preserve"> </w:t>
      </w:r>
      <w:r w:rsidR="007B40B4">
        <w:rPr>
          <w:rFonts w:cstheme="majorHAnsi"/>
          <w:sz w:val="22"/>
          <w:szCs w:val="22"/>
        </w:rPr>
        <w:t>that they have made investment through</w:t>
      </w:r>
      <w:r w:rsidR="004F0FA7">
        <w:rPr>
          <w:rFonts w:cstheme="majorHAnsi"/>
          <w:sz w:val="22"/>
          <w:szCs w:val="22"/>
        </w:rPr>
        <w:t xml:space="preserve"> from ten (as of 2017) to </w:t>
      </w:r>
      <w:r w:rsidR="00F27CE8">
        <w:rPr>
          <w:rFonts w:cstheme="majorHAnsi"/>
          <w:sz w:val="22"/>
          <w:szCs w:val="22"/>
        </w:rPr>
        <w:t>fourteen</w:t>
      </w:r>
      <w:r w:rsidR="007B40B4">
        <w:rPr>
          <w:rFonts w:cstheme="majorHAnsi"/>
          <w:sz w:val="22"/>
          <w:szCs w:val="22"/>
        </w:rPr>
        <w:t>, includ</w:t>
      </w:r>
      <w:r w:rsidR="0071356E">
        <w:rPr>
          <w:rFonts w:cstheme="majorHAnsi"/>
          <w:sz w:val="22"/>
          <w:szCs w:val="22"/>
        </w:rPr>
        <w:t>ing</w:t>
      </w:r>
      <w:r w:rsidR="007B40B4">
        <w:rPr>
          <w:rFonts w:cstheme="majorHAnsi"/>
          <w:sz w:val="22"/>
          <w:szCs w:val="22"/>
        </w:rPr>
        <w:t xml:space="preserve"> an expansion into</w:t>
      </w:r>
      <w:r w:rsidR="004F0FA7">
        <w:rPr>
          <w:rFonts w:cstheme="majorHAnsi"/>
          <w:sz w:val="22"/>
          <w:szCs w:val="22"/>
        </w:rPr>
        <w:t xml:space="preserve"> </w:t>
      </w:r>
      <w:r w:rsidR="007B40B4">
        <w:rPr>
          <w:rFonts w:cstheme="majorHAnsi"/>
          <w:sz w:val="22"/>
          <w:szCs w:val="22"/>
        </w:rPr>
        <w:t xml:space="preserve">a </w:t>
      </w:r>
      <w:r w:rsidR="00F0310D">
        <w:rPr>
          <w:rFonts w:cstheme="majorHAnsi"/>
          <w:sz w:val="22"/>
          <w:szCs w:val="22"/>
        </w:rPr>
        <w:t>new country</w:t>
      </w:r>
      <w:r w:rsidR="004F0FA7">
        <w:rPr>
          <w:rFonts w:cstheme="majorHAnsi"/>
          <w:sz w:val="22"/>
          <w:szCs w:val="22"/>
        </w:rPr>
        <w:t xml:space="preserve"> (</w:t>
      </w:r>
      <w:r w:rsidR="00F0310D">
        <w:rPr>
          <w:rFonts w:cstheme="majorHAnsi"/>
          <w:sz w:val="22"/>
          <w:szCs w:val="22"/>
        </w:rPr>
        <w:t>Honduras</w:t>
      </w:r>
      <w:r w:rsidR="004F0FA7">
        <w:rPr>
          <w:rFonts w:cstheme="majorHAnsi"/>
          <w:sz w:val="22"/>
          <w:szCs w:val="22"/>
        </w:rPr>
        <w:t>)</w:t>
      </w:r>
      <w:r w:rsidR="00F0310D">
        <w:rPr>
          <w:rFonts w:cstheme="majorHAnsi"/>
          <w:sz w:val="22"/>
          <w:szCs w:val="22"/>
        </w:rPr>
        <w:t xml:space="preserve">. </w:t>
      </w:r>
      <w:r w:rsidR="004F0FA7">
        <w:rPr>
          <w:rFonts w:cstheme="majorHAnsi"/>
          <w:sz w:val="22"/>
          <w:szCs w:val="22"/>
        </w:rPr>
        <w:t xml:space="preserve">The </w:t>
      </w:r>
      <w:r w:rsidR="001A1F73">
        <w:rPr>
          <w:rFonts w:cstheme="majorHAnsi"/>
          <w:sz w:val="22"/>
          <w:szCs w:val="22"/>
        </w:rPr>
        <w:t>EBF</w:t>
      </w:r>
      <w:r w:rsidR="004F0FA7">
        <w:rPr>
          <w:rFonts w:cstheme="majorHAnsi"/>
          <w:sz w:val="22"/>
          <w:szCs w:val="22"/>
        </w:rPr>
        <w:t xml:space="preserve"> </w:t>
      </w:r>
      <w:r w:rsidR="00F0310D">
        <w:rPr>
          <w:rFonts w:cstheme="majorHAnsi"/>
          <w:sz w:val="22"/>
          <w:szCs w:val="22"/>
        </w:rPr>
        <w:t xml:space="preserve">now operates in seven countries across Central and South America, contributing to an increased geographical diversification. </w:t>
      </w:r>
      <w:r w:rsidR="007177B1" w:rsidRPr="007177B1">
        <w:rPr>
          <w:rFonts w:cstheme="majorHAnsi"/>
          <w:sz w:val="22"/>
          <w:szCs w:val="22"/>
        </w:rPr>
        <w:t xml:space="preserve">The outstanding portfolio as of the end 2018 amounts to USD 241.5m. </w:t>
      </w:r>
      <w:r w:rsidR="00E8448D">
        <w:rPr>
          <w:rFonts w:cstheme="majorHAnsi"/>
          <w:sz w:val="22"/>
          <w:szCs w:val="22"/>
        </w:rPr>
        <w:t xml:space="preserve">In 2018, </w:t>
      </w:r>
      <w:r w:rsidR="00082314">
        <w:rPr>
          <w:rFonts w:cstheme="majorHAnsi"/>
          <w:sz w:val="22"/>
          <w:szCs w:val="22"/>
        </w:rPr>
        <w:t xml:space="preserve">the land sustainably managed through the EBF </w:t>
      </w:r>
      <w:r w:rsidR="00EF7EF6">
        <w:rPr>
          <w:rFonts w:cstheme="majorHAnsi"/>
          <w:sz w:val="22"/>
          <w:szCs w:val="22"/>
        </w:rPr>
        <w:t xml:space="preserve">sub-loan </w:t>
      </w:r>
      <w:r w:rsidR="00082314">
        <w:rPr>
          <w:rFonts w:cstheme="majorHAnsi"/>
          <w:sz w:val="22"/>
          <w:szCs w:val="22"/>
        </w:rPr>
        <w:t xml:space="preserve">portfolio increased significantly from 55,759 to 140,000 </w:t>
      </w:r>
      <w:r w:rsidR="008625ED">
        <w:rPr>
          <w:rFonts w:cstheme="majorHAnsi"/>
          <w:sz w:val="22"/>
          <w:szCs w:val="22"/>
        </w:rPr>
        <w:t>Hectares (</w:t>
      </w:r>
      <w:r w:rsidR="00082314">
        <w:rPr>
          <w:rFonts w:cstheme="majorHAnsi"/>
          <w:sz w:val="22"/>
          <w:szCs w:val="22"/>
        </w:rPr>
        <w:t>Ha</w:t>
      </w:r>
      <w:r w:rsidR="008625ED">
        <w:rPr>
          <w:rFonts w:cstheme="majorHAnsi"/>
          <w:sz w:val="22"/>
          <w:szCs w:val="22"/>
        </w:rPr>
        <w:t>)</w:t>
      </w:r>
      <w:r w:rsidR="00082314">
        <w:rPr>
          <w:rFonts w:cstheme="majorHAnsi"/>
          <w:sz w:val="22"/>
          <w:szCs w:val="22"/>
        </w:rPr>
        <w:t>.</w:t>
      </w:r>
      <w:r w:rsidR="00EF7EF6">
        <w:rPr>
          <w:rFonts w:cstheme="majorHAnsi"/>
          <w:sz w:val="22"/>
          <w:szCs w:val="22"/>
        </w:rPr>
        <w:t xml:space="preserve"> In 2018, the fund expanded to new sectors with the first investments in sustainable livestock activities (</w:t>
      </w:r>
      <w:proofErr w:type="spellStart"/>
      <w:r w:rsidR="00EF7EF6">
        <w:rPr>
          <w:rFonts w:cstheme="majorHAnsi"/>
          <w:sz w:val="22"/>
          <w:szCs w:val="22"/>
        </w:rPr>
        <w:t>silvopastoral</w:t>
      </w:r>
      <w:proofErr w:type="spellEnd"/>
      <w:r w:rsidR="00EF7EF6">
        <w:rPr>
          <w:rFonts w:cstheme="majorHAnsi"/>
          <w:sz w:val="22"/>
          <w:szCs w:val="22"/>
        </w:rPr>
        <w:t xml:space="preserve"> systems) in </w:t>
      </w:r>
      <w:r w:rsidR="0026562B">
        <w:rPr>
          <w:rFonts w:cstheme="majorHAnsi"/>
          <w:sz w:val="22"/>
          <w:szCs w:val="22"/>
        </w:rPr>
        <w:t>P</w:t>
      </w:r>
      <w:r w:rsidR="00EF7EF6">
        <w:rPr>
          <w:rFonts w:cstheme="majorHAnsi"/>
          <w:sz w:val="22"/>
          <w:szCs w:val="22"/>
        </w:rPr>
        <w:t>anama.</w:t>
      </w:r>
      <w:r w:rsidR="00082314" w:rsidRPr="00082314">
        <w:t xml:space="preserve"> </w:t>
      </w:r>
    </w:p>
    <w:p w14:paraId="5D28D68B" w14:textId="03F9F5E0" w:rsidR="00082314" w:rsidRDefault="00082314" w:rsidP="00B029B4">
      <w:pPr>
        <w:pStyle w:val="Default"/>
        <w:spacing w:after="120" w:line="276" w:lineRule="auto"/>
        <w:jc w:val="both"/>
        <w:rPr>
          <w:rFonts w:cstheme="majorHAnsi"/>
          <w:sz w:val="22"/>
          <w:szCs w:val="22"/>
        </w:rPr>
      </w:pPr>
      <w:r w:rsidRPr="00082314">
        <w:rPr>
          <w:rFonts w:cstheme="majorHAnsi"/>
          <w:sz w:val="22"/>
          <w:szCs w:val="22"/>
        </w:rPr>
        <w:t xml:space="preserve">The Fund focuses on four </w:t>
      </w:r>
      <w:r w:rsidR="0071356E">
        <w:rPr>
          <w:rFonts w:cstheme="majorHAnsi"/>
          <w:sz w:val="22"/>
          <w:szCs w:val="22"/>
        </w:rPr>
        <w:t>focus</w:t>
      </w:r>
      <w:r w:rsidRPr="00082314">
        <w:rPr>
          <w:rFonts w:cstheme="majorHAnsi"/>
          <w:sz w:val="22"/>
          <w:szCs w:val="22"/>
        </w:rPr>
        <w:t xml:space="preserve"> sectors:</w:t>
      </w:r>
    </w:p>
    <w:p w14:paraId="02BB8AD6" w14:textId="01941F8B" w:rsidR="00C24F29" w:rsidRDefault="00B029B4" w:rsidP="00B029B4">
      <w:r w:rsidRPr="00A842AC">
        <w:t>Agriculture and agribusiness, fisheries and aquaculture, forestry</w:t>
      </w:r>
      <w:r w:rsidR="004F0FA7">
        <w:t>,</w:t>
      </w:r>
      <w:r w:rsidRPr="00A842AC">
        <w:t xml:space="preserve"> and tourism</w:t>
      </w:r>
      <w:r w:rsidR="004F0FA7">
        <w:t>. T</w:t>
      </w:r>
      <w:r w:rsidR="00082314" w:rsidRPr="00082314">
        <w:t>o date, due to the financing landscape in countries of operation</w:t>
      </w:r>
      <w:r w:rsidR="004F0FA7">
        <w:t>,</w:t>
      </w:r>
      <w:r w:rsidR="00082314" w:rsidRPr="00082314">
        <w:t xml:space="preserve"> fund activities have been highly concentrated in agriculture </w:t>
      </w:r>
      <w:r w:rsidR="004F0FA7">
        <w:t>and agribusiness</w:t>
      </w:r>
      <w:r w:rsidR="00003FBF">
        <w:t>. A key factor in this was the introduction of livestock into the sub-loan</w:t>
      </w:r>
      <w:r w:rsidR="001639A4">
        <w:t xml:space="preserve"> portfolio, this now makes up 12</w:t>
      </w:r>
      <w:r w:rsidR="00003FBF">
        <w:t>%</w:t>
      </w:r>
      <w:r w:rsidR="001639A4">
        <w:t xml:space="preserve"> of </w:t>
      </w:r>
      <w:r w:rsidR="00F8172A">
        <w:t>‘</w:t>
      </w:r>
      <w:r w:rsidR="001639A4">
        <w:t>crop</w:t>
      </w:r>
      <w:r w:rsidR="00F8172A">
        <w:t>’</w:t>
      </w:r>
      <w:r w:rsidR="001639A4">
        <w:t xml:space="preserve"> based lending</w:t>
      </w:r>
      <w:r w:rsidR="00C24F29">
        <w:t>.</w:t>
      </w:r>
      <w:r w:rsidR="00135D20">
        <w:t xml:space="preserve"> </w:t>
      </w:r>
      <w:r w:rsidR="00C24F29">
        <w:t>Otherwise</w:t>
      </w:r>
      <w:r w:rsidR="00FB7B79">
        <w:t xml:space="preserve"> the portfolio of on-lend</w:t>
      </w:r>
      <w:r w:rsidR="00360100">
        <w:t>ing</w:t>
      </w:r>
      <w:r w:rsidR="00FB7B79">
        <w:t xml:space="preserve"> investments </w:t>
      </w:r>
      <w:r w:rsidR="00360100">
        <w:t>has</w:t>
      </w:r>
      <w:r w:rsidR="00FB7B79">
        <w:t xml:space="preserve"> been largely composed of</w:t>
      </w:r>
      <w:r w:rsidR="00C24F29">
        <w:t xml:space="preserve"> </w:t>
      </w:r>
      <w:r w:rsidR="007177B1" w:rsidRPr="007177B1">
        <w:t>Coffee (44%) Banana (7%), Rice (5%) &amp; Cocoa (4%).</w:t>
      </w:r>
    </w:p>
    <w:p w14:paraId="6FC9DC47" w14:textId="3DAB1FAD" w:rsidR="00F27CE8" w:rsidRDefault="00135D20" w:rsidP="001841D9">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rPr>
        <w:t>Additional to the progress made in</w:t>
      </w:r>
      <w:r w:rsidR="009540D8">
        <w:rPr>
          <w:rFonts w:ascii="Calibri" w:hAnsi="Calibri"/>
          <w:sz w:val="22"/>
          <w:szCs w:val="22"/>
        </w:rPr>
        <w:t xml:space="preserve"> the</w:t>
      </w:r>
      <w:r>
        <w:rPr>
          <w:rFonts w:ascii="Calibri" w:hAnsi="Calibri"/>
          <w:sz w:val="22"/>
          <w:szCs w:val="22"/>
        </w:rPr>
        <w:t xml:space="preserve"> financing of partner institutions, EBF </w:t>
      </w:r>
      <w:r w:rsidR="001841D9">
        <w:rPr>
          <w:rFonts w:ascii="Calibri" w:hAnsi="Calibri"/>
          <w:sz w:val="22"/>
          <w:szCs w:val="22"/>
        </w:rPr>
        <w:t xml:space="preserve">is </w:t>
      </w:r>
      <w:r>
        <w:rPr>
          <w:rFonts w:ascii="Calibri" w:hAnsi="Calibri"/>
          <w:sz w:val="22"/>
          <w:szCs w:val="22"/>
        </w:rPr>
        <w:t>seeki</w:t>
      </w:r>
      <w:r w:rsidR="001841D9">
        <w:rPr>
          <w:rFonts w:ascii="Calibri" w:hAnsi="Calibri"/>
          <w:sz w:val="22"/>
          <w:szCs w:val="22"/>
        </w:rPr>
        <w:t>ng to begin</w:t>
      </w:r>
      <w:r>
        <w:rPr>
          <w:rFonts w:ascii="Calibri" w:hAnsi="Calibri"/>
          <w:sz w:val="22"/>
          <w:szCs w:val="22"/>
        </w:rPr>
        <w:t xml:space="preserve"> investments</w:t>
      </w:r>
      <w:r w:rsidR="001841D9">
        <w:rPr>
          <w:rFonts w:ascii="Calibri" w:hAnsi="Calibri"/>
          <w:sz w:val="22"/>
          <w:szCs w:val="22"/>
        </w:rPr>
        <w:t xml:space="preserve"> into non-FI businesses</w:t>
      </w:r>
      <w:r w:rsidR="007B40B4">
        <w:rPr>
          <w:rFonts w:ascii="Calibri" w:hAnsi="Calibri"/>
          <w:sz w:val="22"/>
          <w:szCs w:val="22"/>
        </w:rPr>
        <w:t xml:space="preserve"> – prospective cases including partnering with a major shrimp producer in Ecuador, to increase environmental sustainability of production</w:t>
      </w:r>
      <w:r>
        <w:rPr>
          <w:rFonts w:ascii="Calibri" w:hAnsi="Calibri"/>
          <w:sz w:val="22"/>
          <w:szCs w:val="22"/>
        </w:rPr>
        <w:t xml:space="preserve">. </w:t>
      </w:r>
      <w:r w:rsidRPr="00135D20">
        <w:rPr>
          <w:rFonts w:ascii="Calibri" w:hAnsi="Calibri"/>
          <w:sz w:val="22"/>
          <w:szCs w:val="22"/>
        </w:rPr>
        <w:t xml:space="preserve">This will allow the </w:t>
      </w:r>
      <w:r w:rsidR="00354CFC">
        <w:rPr>
          <w:rFonts w:ascii="Calibri" w:hAnsi="Calibri"/>
          <w:sz w:val="22"/>
          <w:szCs w:val="22"/>
        </w:rPr>
        <w:t>EBF</w:t>
      </w:r>
      <w:r w:rsidRPr="00135D20">
        <w:rPr>
          <w:rFonts w:ascii="Calibri" w:hAnsi="Calibri"/>
          <w:sz w:val="22"/>
          <w:szCs w:val="22"/>
        </w:rPr>
        <w:t xml:space="preserve"> to invest and directly promote carefully selected corporations that identify with its mission and complement the Fund’s approach to investing in local </w:t>
      </w:r>
      <w:r w:rsidR="00B1336D">
        <w:rPr>
          <w:rFonts w:ascii="Calibri" w:hAnsi="Calibri"/>
          <w:sz w:val="22"/>
          <w:szCs w:val="22"/>
        </w:rPr>
        <w:t>FIs</w:t>
      </w:r>
      <w:r w:rsidRPr="00135D20">
        <w:rPr>
          <w:rFonts w:ascii="Calibri" w:hAnsi="Calibri"/>
          <w:sz w:val="22"/>
          <w:szCs w:val="22"/>
        </w:rPr>
        <w:t>.</w:t>
      </w:r>
      <w:r w:rsidR="00F27CE8">
        <w:rPr>
          <w:rFonts w:ascii="Calibri" w:hAnsi="Calibri"/>
          <w:sz w:val="22"/>
          <w:szCs w:val="22"/>
        </w:rPr>
        <w:t xml:space="preserve"> </w:t>
      </w:r>
    </w:p>
    <w:p w14:paraId="2E1473E7" w14:textId="2D030F5A" w:rsidR="001841D9" w:rsidRDefault="00C040DB" w:rsidP="001841D9">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rPr>
        <w:t xml:space="preserve">Furthermore, </w:t>
      </w:r>
      <w:proofErr w:type="spellStart"/>
      <w:r w:rsidR="001841D9">
        <w:rPr>
          <w:rFonts w:ascii="Calibri" w:hAnsi="Calibri"/>
          <w:sz w:val="22"/>
          <w:szCs w:val="22"/>
        </w:rPr>
        <w:t>FiM</w:t>
      </w:r>
      <w:proofErr w:type="spellEnd"/>
      <w:r w:rsidR="001841D9">
        <w:rPr>
          <w:rFonts w:ascii="Calibri" w:hAnsi="Calibri"/>
          <w:sz w:val="22"/>
          <w:szCs w:val="22"/>
        </w:rPr>
        <w:t xml:space="preserve"> </w:t>
      </w:r>
      <w:r w:rsidR="00C216F7">
        <w:rPr>
          <w:rFonts w:ascii="Calibri" w:hAnsi="Calibri"/>
          <w:sz w:val="22"/>
          <w:szCs w:val="22"/>
        </w:rPr>
        <w:t xml:space="preserve">has </w:t>
      </w:r>
      <w:r w:rsidR="001841D9">
        <w:rPr>
          <w:rFonts w:ascii="Calibri" w:hAnsi="Calibri"/>
          <w:sz w:val="22"/>
          <w:szCs w:val="22"/>
        </w:rPr>
        <w:t>developed</w:t>
      </w:r>
      <w:r w:rsidR="00C216F7">
        <w:rPr>
          <w:rFonts w:ascii="Calibri" w:hAnsi="Calibri"/>
          <w:sz w:val="22"/>
          <w:szCs w:val="22"/>
        </w:rPr>
        <w:t xml:space="preserve"> and implemented</w:t>
      </w:r>
      <w:r w:rsidR="001841D9">
        <w:rPr>
          <w:rFonts w:ascii="Calibri" w:hAnsi="Calibri"/>
          <w:sz w:val="22"/>
          <w:szCs w:val="22"/>
        </w:rPr>
        <w:t xml:space="preserve"> an</w:t>
      </w:r>
      <w:r w:rsidR="007E2C91">
        <w:rPr>
          <w:rFonts w:ascii="Calibri" w:hAnsi="Calibri"/>
          <w:sz w:val="22"/>
          <w:szCs w:val="22"/>
        </w:rPr>
        <w:t xml:space="preserve"> impact framework</w:t>
      </w:r>
      <w:r w:rsidR="00402B0B">
        <w:rPr>
          <w:rFonts w:ascii="Calibri" w:hAnsi="Calibri"/>
          <w:sz w:val="22"/>
          <w:szCs w:val="22"/>
        </w:rPr>
        <w:t xml:space="preserve"> (</w:t>
      </w:r>
      <w:r w:rsidR="00360100">
        <w:rPr>
          <w:rFonts w:ascii="Calibri" w:hAnsi="Calibri"/>
          <w:sz w:val="22"/>
          <w:szCs w:val="22"/>
        </w:rPr>
        <w:t>Annex 1</w:t>
      </w:r>
      <w:r w:rsidR="00402B0B">
        <w:rPr>
          <w:rFonts w:ascii="Calibri" w:hAnsi="Calibri"/>
          <w:sz w:val="22"/>
          <w:szCs w:val="22"/>
        </w:rPr>
        <w:t>)</w:t>
      </w:r>
      <w:r w:rsidR="007E2C91">
        <w:rPr>
          <w:rFonts w:ascii="Calibri" w:hAnsi="Calibri"/>
          <w:sz w:val="22"/>
          <w:szCs w:val="22"/>
        </w:rPr>
        <w:t xml:space="preserve">, which is </w:t>
      </w:r>
      <w:r w:rsidR="00A11C18">
        <w:rPr>
          <w:rFonts w:ascii="Calibri" w:hAnsi="Calibri"/>
          <w:sz w:val="22"/>
          <w:szCs w:val="22"/>
        </w:rPr>
        <w:t>aligned with</w:t>
      </w:r>
      <w:r w:rsidR="007E2C91">
        <w:rPr>
          <w:rFonts w:ascii="Calibri" w:hAnsi="Calibri"/>
          <w:sz w:val="22"/>
          <w:szCs w:val="22"/>
        </w:rPr>
        <w:t xml:space="preserve"> the</w:t>
      </w:r>
      <w:r w:rsidR="00E338E3">
        <w:rPr>
          <w:rFonts w:ascii="Calibri" w:hAnsi="Calibri"/>
          <w:sz w:val="22"/>
          <w:szCs w:val="22"/>
        </w:rPr>
        <w:t xml:space="preserve"> EBF</w:t>
      </w:r>
      <w:r w:rsidR="007E2C91">
        <w:rPr>
          <w:rFonts w:ascii="Calibri" w:hAnsi="Calibri"/>
          <w:sz w:val="22"/>
          <w:szCs w:val="22"/>
        </w:rPr>
        <w:t xml:space="preserve"> Theory of Change (</w:t>
      </w:r>
      <w:r w:rsidR="00360100">
        <w:rPr>
          <w:rFonts w:ascii="Calibri" w:hAnsi="Calibri"/>
          <w:sz w:val="22"/>
          <w:szCs w:val="22"/>
        </w:rPr>
        <w:t>Figure A</w:t>
      </w:r>
      <w:r w:rsidR="007E2C91">
        <w:rPr>
          <w:rFonts w:ascii="Calibri" w:hAnsi="Calibri"/>
          <w:sz w:val="22"/>
          <w:szCs w:val="22"/>
        </w:rPr>
        <w:t xml:space="preserve">) which has been finalised over the last year. The new impact framework </w:t>
      </w:r>
      <w:r w:rsidR="00F8172A">
        <w:rPr>
          <w:rFonts w:ascii="Calibri" w:hAnsi="Calibri"/>
          <w:sz w:val="22"/>
          <w:szCs w:val="22"/>
        </w:rPr>
        <w:t xml:space="preserve">better </w:t>
      </w:r>
      <w:r w:rsidR="007E2C91">
        <w:rPr>
          <w:rFonts w:ascii="Calibri" w:hAnsi="Calibri"/>
          <w:sz w:val="22"/>
          <w:szCs w:val="22"/>
        </w:rPr>
        <w:t>defines the relationship between</w:t>
      </w:r>
      <w:r w:rsidR="009D7BBF">
        <w:rPr>
          <w:rFonts w:ascii="Calibri" w:hAnsi="Calibri"/>
          <w:sz w:val="22"/>
          <w:szCs w:val="22"/>
        </w:rPr>
        <w:t xml:space="preserve"> short and long-term outcomes and defining how these will be achieved.</w:t>
      </w:r>
      <w:r w:rsidR="009B55C7">
        <w:rPr>
          <w:rFonts w:ascii="Calibri" w:hAnsi="Calibri"/>
          <w:sz w:val="22"/>
          <w:szCs w:val="22"/>
        </w:rPr>
        <w:t xml:space="preserve"> This will also contribute to future measuring and reporting of the fund</w:t>
      </w:r>
      <w:r w:rsidR="00C216F7">
        <w:rPr>
          <w:rFonts w:ascii="Calibri" w:hAnsi="Calibri"/>
          <w:sz w:val="22"/>
          <w:szCs w:val="22"/>
        </w:rPr>
        <w:t>’</w:t>
      </w:r>
      <w:r w:rsidR="009B55C7">
        <w:rPr>
          <w:rFonts w:ascii="Calibri" w:hAnsi="Calibri"/>
          <w:sz w:val="22"/>
          <w:szCs w:val="22"/>
        </w:rPr>
        <w:t>s activities.</w:t>
      </w:r>
    </w:p>
    <w:p w14:paraId="61AF22E2" w14:textId="77777777" w:rsidR="008F047F" w:rsidRPr="0080423A" w:rsidRDefault="000004E0" w:rsidP="0080423A">
      <w:pPr>
        <w:rPr>
          <w:u w:val="single"/>
        </w:rPr>
      </w:pPr>
      <w:r w:rsidRPr="0080423A">
        <w:rPr>
          <w:u w:val="single"/>
        </w:rPr>
        <w:lastRenderedPageBreak/>
        <w:t>The Eco Development Facility (Eco DF)</w:t>
      </w:r>
    </w:p>
    <w:p w14:paraId="2EA279F6" w14:textId="7284574D" w:rsidR="00402B0B" w:rsidRDefault="00354CFC" w:rsidP="0080423A">
      <w:pPr>
        <w:rPr>
          <w:u w:val="single"/>
        </w:rPr>
      </w:pPr>
      <w:r>
        <w:t>The ECO DF is a separate development facility that sits a</w:t>
      </w:r>
      <w:r w:rsidR="001B706D">
        <w:t xml:space="preserve">longside the </w:t>
      </w:r>
      <w:r>
        <w:t>EB</w:t>
      </w:r>
      <w:r w:rsidR="008D548D">
        <w:t>F’ investment portfolio</w:t>
      </w:r>
      <w:r>
        <w:t xml:space="preserve">. </w:t>
      </w:r>
      <w:r w:rsidR="008D548D">
        <w:t>Eco DF</w:t>
      </w:r>
      <w:r w:rsidR="001B706D">
        <w:t xml:space="preserve"> provides grant finance </w:t>
      </w:r>
      <w:r w:rsidR="008D548D">
        <w:t xml:space="preserve">directed at </w:t>
      </w:r>
      <w:r w:rsidR="00CE7CA3">
        <w:t>TA</w:t>
      </w:r>
      <w:r w:rsidR="008D548D">
        <w:t xml:space="preserve"> projects</w:t>
      </w:r>
      <w:r w:rsidR="00E44274">
        <w:t xml:space="preserve"> – </w:t>
      </w:r>
      <w:r w:rsidR="00D07AE2">
        <w:t>for example</w:t>
      </w:r>
      <w:r w:rsidR="00E44274">
        <w:t xml:space="preserve"> promot</w:t>
      </w:r>
      <w:r w:rsidR="00D07AE2">
        <w:t>ing</w:t>
      </w:r>
      <w:r w:rsidR="00E44274">
        <w:t xml:space="preserve"> environmentally sustainable land-use practices</w:t>
      </w:r>
      <w:r w:rsidR="0070308C">
        <w:t xml:space="preserve"> </w:t>
      </w:r>
      <w:r w:rsidR="00E44274">
        <w:t>within small businesses to enable environmental sustainability standards to be achieved</w:t>
      </w:r>
      <w:r w:rsidR="00CE7CA3">
        <w:t xml:space="preserve">. </w:t>
      </w:r>
      <w:r w:rsidR="008D548D">
        <w:t>Examples are</w:t>
      </w:r>
      <w:r w:rsidR="00CD40AC">
        <w:t xml:space="preserve"> described in more detail later in </w:t>
      </w:r>
      <w:r w:rsidR="008D548D">
        <w:t xml:space="preserve">output score, 3. </w:t>
      </w:r>
    </w:p>
    <w:p w14:paraId="51E6E9ED" w14:textId="77777777" w:rsidR="008F5744" w:rsidRPr="008F5744" w:rsidRDefault="008F5744" w:rsidP="008F5744">
      <w:pPr>
        <w:pStyle w:val="Heading7"/>
      </w:pPr>
      <w:r w:rsidRPr="008F5744">
        <w:t>Outcome level Summary</w:t>
      </w:r>
    </w:p>
    <w:p w14:paraId="22A8FFA4" w14:textId="3A2B68E0" w:rsidR="000004E0" w:rsidRPr="00D0005A" w:rsidRDefault="00EB0D13" w:rsidP="00EB0D13">
      <w:pPr>
        <w:pStyle w:val="Normal1"/>
        <w:tabs>
          <w:tab w:val="left" w:pos="6915"/>
          <w:tab w:val="left" w:pos="9495"/>
        </w:tabs>
        <w:spacing w:after="120" w:line="276" w:lineRule="auto"/>
        <w:jc w:val="both"/>
        <w:rPr>
          <w:rFonts w:ascii="Calibri" w:hAnsi="Calibri"/>
          <w:iCs/>
          <w:sz w:val="22"/>
          <w:szCs w:val="22"/>
        </w:rPr>
      </w:pPr>
      <w:r>
        <w:rPr>
          <w:rFonts w:ascii="Calibri" w:hAnsi="Calibri"/>
          <w:sz w:val="22"/>
          <w:szCs w:val="22"/>
        </w:rPr>
        <w:t xml:space="preserve">Four </w:t>
      </w:r>
      <w:r w:rsidR="000004E0" w:rsidRPr="00D0005A">
        <w:rPr>
          <w:rFonts w:ascii="Calibri" w:hAnsi="Calibri"/>
          <w:sz w:val="22"/>
          <w:szCs w:val="22"/>
        </w:rPr>
        <w:t xml:space="preserve">ICF KPIs have been selected for use at the </w:t>
      </w:r>
      <w:r w:rsidR="00354CFC">
        <w:rPr>
          <w:rFonts w:ascii="Calibri" w:hAnsi="Calibri"/>
          <w:sz w:val="22"/>
          <w:szCs w:val="22"/>
        </w:rPr>
        <w:t>o</w:t>
      </w:r>
      <w:r w:rsidR="000004E0" w:rsidRPr="00D0005A">
        <w:rPr>
          <w:rFonts w:ascii="Calibri" w:hAnsi="Calibri"/>
          <w:sz w:val="22"/>
          <w:szCs w:val="22"/>
        </w:rPr>
        <w:t>utcome level</w:t>
      </w:r>
      <w:r w:rsidR="00045A60">
        <w:rPr>
          <w:rFonts w:ascii="Calibri" w:hAnsi="Calibri"/>
          <w:iCs/>
          <w:sz w:val="22"/>
          <w:szCs w:val="22"/>
        </w:rPr>
        <w:t>.</w:t>
      </w:r>
    </w:p>
    <w:p w14:paraId="4864088D" w14:textId="36079FA5" w:rsidR="00EB0D13" w:rsidRPr="00D0005A" w:rsidRDefault="00EB0D13" w:rsidP="00EB0D13">
      <w:pPr>
        <w:pStyle w:val="Normal1"/>
        <w:tabs>
          <w:tab w:val="left" w:pos="6915"/>
          <w:tab w:val="left" w:pos="9495"/>
        </w:tabs>
        <w:spacing w:after="120" w:line="276" w:lineRule="auto"/>
        <w:jc w:val="both"/>
        <w:rPr>
          <w:rFonts w:ascii="Calibri" w:hAnsi="Calibri"/>
          <w:iCs/>
          <w:sz w:val="22"/>
          <w:szCs w:val="22"/>
        </w:rPr>
      </w:pPr>
      <w:r>
        <w:rPr>
          <w:rFonts w:ascii="Calibri" w:hAnsi="Calibri"/>
          <w:iCs/>
          <w:sz w:val="22"/>
          <w:szCs w:val="22"/>
        </w:rPr>
        <w:t>ICF KPI 5 has been significantly modified, by including jobs</w:t>
      </w:r>
      <w:r w:rsidR="00F8172A">
        <w:rPr>
          <w:rFonts w:ascii="Calibri" w:hAnsi="Calibri"/>
          <w:iCs/>
          <w:sz w:val="22"/>
          <w:szCs w:val="22"/>
        </w:rPr>
        <w:t xml:space="preserve"> supported, rather than created, </w:t>
      </w:r>
      <w:r w:rsidR="00F8172A">
        <w:rPr>
          <w:rFonts w:ascii="Calibri" w:hAnsi="Calibri"/>
          <w:sz w:val="22"/>
          <w:szCs w:val="22"/>
        </w:rPr>
        <w:t>as it is not deemed feasible to measure jobs created directly.</w:t>
      </w:r>
      <w:r w:rsidR="00F8172A">
        <w:rPr>
          <w:rFonts w:ascii="Calibri" w:hAnsi="Calibri"/>
          <w:iCs/>
          <w:sz w:val="22"/>
          <w:szCs w:val="22"/>
        </w:rPr>
        <w:t xml:space="preserve"> </w:t>
      </w:r>
      <w:r w:rsidR="00AE6ED5">
        <w:rPr>
          <w:rFonts w:ascii="Calibri" w:hAnsi="Calibri"/>
          <w:iCs/>
          <w:sz w:val="22"/>
          <w:szCs w:val="22"/>
        </w:rPr>
        <w:t>Therefore,</w:t>
      </w:r>
      <w:r w:rsidR="00F8172A">
        <w:rPr>
          <w:rFonts w:ascii="Calibri" w:hAnsi="Calibri"/>
          <w:iCs/>
          <w:sz w:val="22"/>
          <w:szCs w:val="22"/>
        </w:rPr>
        <w:t xml:space="preserve"> this KPI can be reported as part of EBF KPIs but not through central ICF KPI collation. </w:t>
      </w:r>
      <w:r>
        <w:rPr>
          <w:rFonts w:ascii="Calibri" w:hAnsi="Calibri"/>
          <w:iCs/>
          <w:sz w:val="22"/>
          <w:szCs w:val="22"/>
        </w:rPr>
        <w:t xml:space="preserve"> </w:t>
      </w:r>
      <w:r w:rsidR="00731F99" w:rsidRPr="00731F99">
        <w:rPr>
          <w:rFonts w:asciiTheme="minorHAnsi" w:hAnsiTheme="minorHAnsi" w:cstheme="minorHAnsi"/>
          <w:iCs/>
          <w:sz w:val="22"/>
          <w:szCs w:val="22"/>
        </w:rPr>
        <w:t xml:space="preserve">KPIs 11 and 12 </w:t>
      </w:r>
      <w:r w:rsidR="00731F99" w:rsidRPr="00731F99">
        <w:rPr>
          <w:rFonts w:asciiTheme="minorHAnsi" w:hAnsiTheme="minorHAnsi" w:cstheme="minorHAnsi"/>
          <w:color w:val="000000" w:themeColor="text1"/>
          <w:sz w:val="22"/>
          <w:szCs w:val="22"/>
        </w:rPr>
        <w:t>are reported on by the Fund to Defra, but are not published due to their commercially sensitive nature. Both exceeded the targets set for them for 2018.</w:t>
      </w:r>
    </w:p>
    <w:tbl>
      <w:tblPr>
        <w:tblStyle w:val="TableGrid"/>
        <w:tblW w:w="9067" w:type="dxa"/>
        <w:tblLook w:val="04A0" w:firstRow="1" w:lastRow="0" w:firstColumn="1" w:lastColumn="0" w:noHBand="0" w:noVBand="1"/>
      </w:tblPr>
      <w:tblGrid>
        <w:gridCol w:w="5382"/>
        <w:gridCol w:w="2268"/>
        <w:gridCol w:w="1417"/>
      </w:tblGrid>
      <w:tr w:rsidR="00F8172A" w14:paraId="0F886D50" w14:textId="77777777" w:rsidTr="00173DB5">
        <w:tc>
          <w:tcPr>
            <w:tcW w:w="5382" w:type="dxa"/>
            <w:tcBorders>
              <w:left w:val="single" w:sz="4" w:space="0" w:color="FFFFFF" w:themeColor="background1"/>
            </w:tcBorders>
          </w:tcPr>
          <w:p w14:paraId="40A8D81F" w14:textId="77777777" w:rsidR="00F8172A" w:rsidRPr="00173DB5" w:rsidRDefault="00F8172A" w:rsidP="000004E0">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b/>
                <w:sz w:val="22"/>
                <w:szCs w:val="22"/>
              </w:rPr>
            </w:pPr>
            <w:r w:rsidRPr="00173DB5">
              <w:rPr>
                <w:rFonts w:ascii="Calibri" w:hAnsi="Calibri"/>
                <w:b/>
                <w:sz w:val="22"/>
                <w:szCs w:val="22"/>
              </w:rPr>
              <w:t xml:space="preserve">ICF KPI </w:t>
            </w:r>
          </w:p>
        </w:tc>
        <w:tc>
          <w:tcPr>
            <w:tcW w:w="2268" w:type="dxa"/>
          </w:tcPr>
          <w:p w14:paraId="2878015E" w14:textId="77777777" w:rsidR="00F8172A" w:rsidRPr="00173DB5" w:rsidRDefault="00F8172A" w:rsidP="000004E0">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b/>
                <w:sz w:val="22"/>
                <w:szCs w:val="22"/>
              </w:rPr>
            </w:pPr>
            <w:r w:rsidRPr="00173DB5">
              <w:rPr>
                <w:rFonts w:ascii="Calibri" w:hAnsi="Calibri"/>
                <w:b/>
                <w:sz w:val="22"/>
                <w:szCs w:val="22"/>
              </w:rPr>
              <w:t>Current</w:t>
            </w:r>
          </w:p>
        </w:tc>
        <w:tc>
          <w:tcPr>
            <w:tcW w:w="1417" w:type="dxa"/>
            <w:tcBorders>
              <w:right w:val="single" w:sz="4" w:space="0" w:color="FFFFFF" w:themeColor="background1"/>
            </w:tcBorders>
          </w:tcPr>
          <w:p w14:paraId="1ED94067" w14:textId="274C6E2C" w:rsidR="00F8172A" w:rsidRPr="00173DB5" w:rsidRDefault="00F8172A" w:rsidP="000004E0">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b/>
                <w:sz w:val="22"/>
                <w:szCs w:val="22"/>
              </w:rPr>
            </w:pPr>
            <w:r w:rsidRPr="00173DB5">
              <w:rPr>
                <w:rFonts w:ascii="Calibri" w:hAnsi="Calibri"/>
                <w:b/>
                <w:sz w:val="22"/>
                <w:szCs w:val="22"/>
              </w:rPr>
              <w:t>Target</w:t>
            </w:r>
            <w:r w:rsidR="0070308C">
              <w:rPr>
                <w:rFonts w:ascii="Calibri" w:hAnsi="Calibri"/>
                <w:b/>
                <w:sz w:val="22"/>
                <w:szCs w:val="22"/>
              </w:rPr>
              <w:t xml:space="preserve"> 2018</w:t>
            </w:r>
          </w:p>
        </w:tc>
      </w:tr>
      <w:tr w:rsidR="00F8172A" w14:paraId="0EEC1EF3" w14:textId="77777777" w:rsidTr="00173DB5">
        <w:trPr>
          <w:trHeight w:val="808"/>
        </w:trPr>
        <w:tc>
          <w:tcPr>
            <w:tcW w:w="5382" w:type="dxa"/>
            <w:tcBorders>
              <w:left w:val="single" w:sz="4" w:space="0" w:color="FFFFFF" w:themeColor="background1"/>
              <w:bottom w:val="single" w:sz="4" w:space="0" w:color="FFFFFF" w:themeColor="background1"/>
            </w:tcBorders>
          </w:tcPr>
          <w:p w14:paraId="7FD64AE2" w14:textId="77777777" w:rsidR="00F8172A" w:rsidRPr="007177B1"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lang w:val="en-GB"/>
              </w:rPr>
            </w:pPr>
            <w:r w:rsidRPr="007177B1">
              <w:rPr>
                <w:rFonts w:ascii="Calibri" w:hAnsi="Calibri"/>
                <w:sz w:val="22"/>
                <w:szCs w:val="22"/>
                <w:lang w:val="en-US"/>
              </w:rPr>
              <w:t xml:space="preserve">ICF KPI 5: Number of direct sustainable jobs created or </w:t>
            </w:r>
            <w:r w:rsidR="00173DB5" w:rsidRPr="007177B1">
              <w:rPr>
                <w:rFonts w:ascii="Calibri" w:hAnsi="Calibri"/>
                <w:sz w:val="22"/>
                <w:szCs w:val="22"/>
                <w:lang w:val="en-US"/>
              </w:rPr>
              <w:t>suppo</w:t>
            </w:r>
            <w:r w:rsidRPr="007177B1">
              <w:rPr>
                <w:rFonts w:ascii="Calibri" w:hAnsi="Calibri"/>
                <w:sz w:val="22"/>
                <w:szCs w:val="22"/>
                <w:lang w:val="en-US"/>
              </w:rPr>
              <w:t xml:space="preserve">rted as a result of ICF support. </w:t>
            </w:r>
          </w:p>
        </w:tc>
        <w:tc>
          <w:tcPr>
            <w:tcW w:w="2268" w:type="dxa"/>
            <w:tcBorders>
              <w:bottom w:val="single" w:sz="4" w:space="0" w:color="FFFFFF" w:themeColor="background1"/>
            </w:tcBorders>
          </w:tcPr>
          <w:p w14:paraId="5B03C27A" w14:textId="77777777" w:rsidR="00F8172A"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Pr>
                <w:rFonts w:ascii="Calibri" w:hAnsi="Calibri"/>
                <w:sz w:val="22"/>
                <w:szCs w:val="22"/>
              </w:rPr>
              <w:t>250,000</w:t>
            </w:r>
            <w:r w:rsidR="00173DB5">
              <w:rPr>
                <w:rFonts w:ascii="Calibri" w:hAnsi="Calibri"/>
                <w:sz w:val="22"/>
                <w:szCs w:val="22"/>
              </w:rPr>
              <w:t xml:space="preserve"> </w:t>
            </w:r>
            <w:r>
              <w:rPr>
                <w:rFonts w:ascii="Calibri" w:hAnsi="Calibri"/>
                <w:sz w:val="22"/>
                <w:szCs w:val="22"/>
              </w:rPr>
              <w:t>(Supported)</w:t>
            </w:r>
          </w:p>
        </w:tc>
        <w:tc>
          <w:tcPr>
            <w:tcW w:w="1417" w:type="dxa"/>
            <w:tcBorders>
              <w:bottom w:val="single" w:sz="4" w:space="0" w:color="FFFFFF" w:themeColor="background1"/>
              <w:right w:val="single" w:sz="4" w:space="0" w:color="FFFFFF" w:themeColor="background1"/>
            </w:tcBorders>
          </w:tcPr>
          <w:p w14:paraId="3A489E42" w14:textId="77777777" w:rsidR="00F8172A"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Pr>
                <w:rFonts w:ascii="Calibri" w:hAnsi="Calibri"/>
                <w:sz w:val="22"/>
                <w:szCs w:val="22"/>
              </w:rPr>
              <w:t>n/a</w:t>
            </w:r>
          </w:p>
        </w:tc>
      </w:tr>
      <w:tr w:rsidR="00F8172A" w14:paraId="1D4FF458" w14:textId="77777777" w:rsidTr="00173DB5">
        <w:tc>
          <w:tcPr>
            <w:tcW w:w="5382" w:type="dxa"/>
            <w:tcBorders>
              <w:top w:val="single" w:sz="4" w:space="0" w:color="FFFFFF" w:themeColor="background1"/>
              <w:left w:val="single" w:sz="4" w:space="0" w:color="FFFFFF" w:themeColor="background1"/>
              <w:bottom w:val="single" w:sz="4" w:space="0" w:color="FFFFFF" w:themeColor="background1"/>
            </w:tcBorders>
          </w:tcPr>
          <w:p w14:paraId="136C0302" w14:textId="6D66834D" w:rsidR="00F8172A" w:rsidRPr="00731F99"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731F99">
              <w:rPr>
                <w:rFonts w:ascii="Calibri" w:hAnsi="Calibri"/>
                <w:sz w:val="22"/>
                <w:szCs w:val="22"/>
                <w:lang w:val="en-US"/>
              </w:rPr>
              <w:t xml:space="preserve">ICF KPI 11: Volume of public finance </w:t>
            </w:r>
            <w:proofErr w:type="spellStart"/>
            <w:r w:rsidRPr="00731F99">
              <w:rPr>
                <w:rFonts w:ascii="Calibri" w:hAnsi="Calibri"/>
                <w:sz w:val="22"/>
                <w:szCs w:val="22"/>
                <w:lang w:val="en-US"/>
              </w:rPr>
              <w:t>mobilised</w:t>
            </w:r>
            <w:proofErr w:type="spellEnd"/>
            <w:r w:rsidRPr="00731F99">
              <w:rPr>
                <w:rFonts w:ascii="Calibri" w:hAnsi="Calibri"/>
                <w:sz w:val="22"/>
                <w:szCs w:val="22"/>
                <w:lang w:val="en-US"/>
              </w:rPr>
              <w:t xml:space="preserve"> for climate change purposes as a result of ICF funding. </w:t>
            </w:r>
            <w:r w:rsidRPr="00731F99">
              <w:rPr>
                <w:rFonts w:ascii="Calibri" w:hAnsi="Calibri"/>
                <w:sz w:val="22"/>
                <w:szCs w:val="22"/>
              </w:rPr>
              <w:t>($m)</w:t>
            </w:r>
          </w:p>
        </w:tc>
        <w:tc>
          <w:tcPr>
            <w:tcW w:w="2268" w:type="dxa"/>
            <w:tcBorders>
              <w:top w:val="single" w:sz="4" w:space="0" w:color="FFFFFF" w:themeColor="background1"/>
              <w:bottom w:val="single" w:sz="4" w:space="0" w:color="FFFFFF" w:themeColor="background1"/>
            </w:tcBorders>
          </w:tcPr>
          <w:p w14:paraId="31BC1614" w14:textId="430ACB3D" w:rsidR="00F8172A" w:rsidRPr="00731F99" w:rsidRDefault="00731F99"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731F99">
              <w:rPr>
                <w:rFonts w:ascii="Calibri" w:hAnsi="Calibri"/>
                <w:sz w:val="22"/>
                <w:szCs w:val="22"/>
              </w:rPr>
              <w:t>n/a</w:t>
            </w:r>
          </w:p>
        </w:tc>
        <w:tc>
          <w:tcPr>
            <w:tcW w:w="1417" w:type="dxa"/>
            <w:tcBorders>
              <w:top w:val="single" w:sz="4" w:space="0" w:color="FFFFFF" w:themeColor="background1"/>
              <w:bottom w:val="single" w:sz="4" w:space="0" w:color="FFFFFF" w:themeColor="background1"/>
              <w:right w:val="single" w:sz="4" w:space="0" w:color="FFFFFF" w:themeColor="background1"/>
            </w:tcBorders>
          </w:tcPr>
          <w:p w14:paraId="17A7D981" w14:textId="1023B7AF" w:rsidR="00F8172A" w:rsidRPr="00731F99" w:rsidRDefault="00731F99"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731F99">
              <w:rPr>
                <w:rFonts w:ascii="Calibri" w:hAnsi="Calibri"/>
                <w:sz w:val="22"/>
                <w:szCs w:val="22"/>
              </w:rPr>
              <w:t>n/a</w:t>
            </w:r>
          </w:p>
        </w:tc>
      </w:tr>
      <w:tr w:rsidR="00F8172A" w14:paraId="21D84A02" w14:textId="77777777" w:rsidTr="00173DB5">
        <w:tc>
          <w:tcPr>
            <w:tcW w:w="5382" w:type="dxa"/>
            <w:tcBorders>
              <w:top w:val="single" w:sz="4" w:space="0" w:color="FFFFFF" w:themeColor="background1"/>
              <w:left w:val="single" w:sz="4" w:space="0" w:color="FFFFFF" w:themeColor="background1"/>
              <w:bottom w:val="single" w:sz="4" w:space="0" w:color="FFFFFF" w:themeColor="background1"/>
            </w:tcBorders>
          </w:tcPr>
          <w:p w14:paraId="1F5D9C94" w14:textId="24BEA0A5" w:rsidR="00F8172A" w:rsidRPr="00731F99"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731F99">
              <w:rPr>
                <w:rFonts w:ascii="Calibri" w:hAnsi="Calibri"/>
                <w:sz w:val="22"/>
                <w:szCs w:val="22"/>
                <w:lang w:val="en-US"/>
              </w:rPr>
              <w:t xml:space="preserve">ICF KPI 12: Volume of private finance </w:t>
            </w:r>
            <w:proofErr w:type="spellStart"/>
            <w:r w:rsidRPr="00731F99">
              <w:rPr>
                <w:rFonts w:ascii="Calibri" w:hAnsi="Calibri"/>
                <w:sz w:val="22"/>
                <w:szCs w:val="22"/>
                <w:lang w:val="en-US"/>
              </w:rPr>
              <w:t>mobilised</w:t>
            </w:r>
            <w:proofErr w:type="spellEnd"/>
            <w:r w:rsidRPr="00731F99">
              <w:rPr>
                <w:rFonts w:ascii="Calibri" w:hAnsi="Calibri"/>
                <w:sz w:val="22"/>
                <w:szCs w:val="22"/>
                <w:lang w:val="en-US"/>
              </w:rPr>
              <w:t xml:space="preserve"> for climate change purposes as a result of ICF funding. </w:t>
            </w:r>
            <w:r w:rsidRPr="00731F99">
              <w:rPr>
                <w:rFonts w:ascii="Calibri" w:hAnsi="Calibri"/>
                <w:sz w:val="22"/>
                <w:szCs w:val="22"/>
              </w:rPr>
              <w:t>($m)</w:t>
            </w:r>
          </w:p>
        </w:tc>
        <w:tc>
          <w:tcPr>
            <w:tcW w:w="2268" w:type="dxa"/>
            <w:tcBorders>
              <w:top w:val="single" w:sz="4" w:space="0" w:color="FFFFFF" w:themeColor="background1"/>
              <w:bottom w:val="single" w:sz="4" w:space="0" w:color="FFFFFF" w:themeColor="background1"/>
            </w:tcBorders>
          </w:tcPr>
          <w:p w14:paraId="654C8D9D" w14:textId="51E593A3" w:rsidR="00F8172A" w:rsidRPr="00731F99" w:rsidRDefault="00731F99"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731F99">
              <w:rPr>
                <w:rFonts w:ascii="Calibri" w:hAnsi="Calibri"/>
                <w:sz w:val="22"/>
                <w:szCs w:val="22"/>
              </w:rPr>
              <w:t>n/a</w:t>
            </w:r>
          </w:p>
        </w:tc>
        <w:tc>
          <w:tcPr>
            <w:tcW w:w="1417" w:type="dxa"/>
            <w:tcBorders>
              <w:top w:val="single" w:sz="4" w:space="0" w:color="FFFFFF" w:themeColor="background1"/>
              <w:bottom w:val="single" w:sz="4" w:space="0" w:color="FFFFFF" w:themeColor="background1"/>
              <w:right w:val="single" w:sz="4" w:space="0" w:color="FFFFFF" w:themeColor="background1"/>
            </w:tcBorders>
          </w:tcPr>
          <w:p w14:paraId="44E1B48C" w14:textId="6F5DAE33" w:rsidR="00F8172A" w:rsidRPr="00731F99" w:rsidRDefault="00731F99"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731F99">
              <w:rPr>
                <w:rFonts w:ascii="Calibri" w:hAnsi="Calibri"/>
                <w:sz w:val="22"/>
                <w:szCs w:val="22"/>
              </w:rPr>
              <w:t>n/a</w:t>
            </w:r>
          </w:p>
        </w:tc>
      </w:tr>
      <w:tr w:rsidR="00F8172A" w14:paraId="73ACFF89" w14:textId="77777777" w:rsidTr="00396CC6">
        <w:tc>
          <w:tcPr>
            <w:tcW w:w="5382" w:type="dxa"/>
            <w:tcBorders>
              <w:top w:val="single" w:sz="4" w:space="0" w:color="FFFFFF" w:themeColor="background1"/>
              <w:left w:val="single" w:sz="4" w:space="0" w:color="FFFFFF" w:themeColor="background1"/>
            </w:tcBorders>
            <w:shd w:val="clear" w:color="auto" w:fill="FFFFFF" w:themeFill="background1"/>
          </w:tcPr>
          <w:p w14:paraId="019BFED4" w14:textId="77777777" w:rsidR="00F8172A" w:rsidRPr="00396CC6"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396CC6">
              <w:rPr>
                <w:rFonts w:ascii="Calibri" w:hAnsi="Calibri"/>
                <w:sz w:val="22"/>
                <w:szCs w:val="22"/>
                <w:lang w:val="en-US"/>
              </w:rPr>
              <w:t xml:space="preserve">ICF KPI 6: Change in Greenhouse Gas (GHG) emissions as a result of ICF support. </w:t>
            </w:r>
            <w:r w:rsidRPr="00396CC6">
              <w:rPr>
                <w:rFonts w:ascii="Calibri" w:hAnsi="Calibri"/>
                <w:sz w:val="22"/>
                <w:szCs w:val="22"/>
              </w:rPr>
              <w:t xml:space="preserve">(Sequestered)  </w:t>
            </w:r>
          </w:p>
        </w:tc>
        <w:tc>
          <w:tcPr>
            <w:tcW w:w="2268" w:type="dxa"/>
            <w:tcBorders>
              <w:top w:val="single" w:sz="4" w:space="0" w:color="FFFFFF" w:themeColor="background1"/>
            </w:tcBorders>
            <w:shd w:val="clear" w:color="auto" w:fill="FFFFFF" w:themeFill="background1"/>
          </w:tcPr>
          <w:p w14:paraId="588BC529" w14:textId="77777777" w:rsidR="00F8172A" w:rsidRPr="00396CC6"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396CC6">
              <w:rPr>
                <w:rFonts w:ascii="Calibri" w:hAnsi="Calibri"/>
                <w:sz w:val="22"/>
                <w:szCs w:val="22"/>
              </w:rPr>
              <w:t>600,000</w:t>
            </w:r>
          </w:p>
        </w:tc>
        <w:tc>
          <w:tcPr>
            <w:tcW w:w="1417" w:type="dxa"/>
            <w:tcBorders>
              <w:top w:val="single" w:sz="4" w:space="0" w:color="FFFFFF" w:themeColor="background1"/>
              <w:right w:val="single" w:sz="4" w:space="0" w:color="FFFFFF" w:themeColor="background1"/>
            </w:tcBorders>
            <w:shd w:val="clear" w:color="auto" w:fill="FFFFFF" w:themeFill="background1"/>
          </w:tcPr>
          <w:p w14:paraId="05178DF1" w14:textId="77777777" w:rsidR="00F8172A" w:rsidRPr="00396CC6" w:rsidRDefault="00F8172A" w:rsidP="00173DB5">
            <w:pPr>
              <w:pStyle w:val="Normal1"/>
              <w:pBdr>
                <w:top w:val="none" w:sz="0" w:space="0" w:color="auto"/>
                <w:left w:val="none" w:sz="0" w:space="0" w:color="auto"/>
                <w:bottom w:val="none" w:sz="0" w:space="0" w:color="auto"/>
                <w:right w:val="none" w:sz="0" w:space="0" w:color="auto"/>
                <w:between w:val="none" w:sz="0" w:space="0" w:color="auto"/>
              </w:pBdr>
              <w:tabs>
                <w:tab w:val="left" w:pos="6915"/>
                <w:tab w:val="left" w:pos="9495"/>
              </w:tabs>
              <w:spacing w:after="120" w:line="276" w:lineRule="auto"/>
              <w:jc w:val="both"/>
              <w:rPr>
                <w:rFonts w:ascii="Calibri" w:hAnsi="Calibri"/>
                <w:sz w:val="22"/>
                <w:szCs w:val="22"/>
              </w:rPr>
            </w:pPr>
            <w:r w:rsidRPr="00396CC6">
              <w:rPr>
                <w:rFonts w:ascii="Calibri" w:hAnsi="Calibri"/>
                <w:sz w:val="22"/>
                <w:szCs w:val="22"/>
              </w:rPr>
              <w:t>600,000</w:t>
            </w:r>
          </w:p>
        </w:tc>
      </w:tr>
    </w:tbl>
    <w:p w14:paraId="4ED41252" w14:textId="77777777" w:rsidR="008F5744" w:rsidRDefault="008F5744" w:rsidP="000004E0">
      <w:pPr>
        <w:pStyle w:val="Normal1"/>
        <w:tabs>
          <w:tab w:val="left" w:pos="6915"/>
          <w:tab w:val="left" w:pos="9495"/>
        </w:tabs>
        <w:spacing w:after="120" w:line="276" w:lineRule="auto"/>
        <w:jc w:val="both"/>
        <w:rPr>
          <w:rFonts w:ascii="Calibri" w:hAnsi="Calibri"/>
          <w:sz w:val="22"/>
          <w:szCs w:val="22"/>
        </w:rPr>
      </w:pPr>
    </w:p>
    <w:p w14:paraId="38CFAED4" w14:textId="77777777" w:rsidR="008F5744" w:rsidRPr="008F5744" w:rsidRDefault="008F5744" w:rsidP="008F5744">
      <w:pPr>
        <w:pStyle w:val="Heading7"/>
      </w:pPr>
      <w:r w:rsidRPr="008F5744">
        <w:t>Output level Summary</w:t>
      </w:r>
    </w:p>
    <w:p w14:paraId="1272C918" w14:textId="644DC739" w:rsidR="00045A60" w:rsidRDefault="000004E0" w:rsidP="008F5744">
      <w:r w:rsidRPr="00D0005A">
        <w:t xml:space="preserve">Outputs have been decided based on the objectives of the </w:t>
      </w:r>
      <w:r w:rsidR="00DD14EA">
        <w:t>EBF</w:t>
      </w:r>
      <w:r w:rsidRPr="00D0005A">
        <w:t xml:space="preserve"> to promote business and consumption practices that contribute to biodiversity conservation, to the sustainable use of natural resources</w:t>
      </w:r>
      <w:r w:rsidR="0071356E">
        <w:t>,</w:t>
      </w:r>
      <w:r w:rsidRPr="00D0005A">
        <w:t xml:space="preserve"> and to mitigate climate change and adapt to its impacts. The outputs defined</w:t>
      </w:r>
      <w:r w:rsidR="00045A60">
        <w:t xml:space="preserve"> below </w:t>
      </w:r>
      <w:r w:rsidRPr="00D0005A">
        <w:t>include the following progress hig</w:t>
      </w:r>
      <w:r w:rsidR="00045A60">
        <w:t>hlights:</w:t>
      </w:r>
    </w:p>
    <w:p w14:paraId="58995B89" w14:textId="77777777" w:rsidR="00045A60" w:rsidRDefault="00045A60" w:rsidP="008F5744"/>
    <w:tbl>
      <w:tblPr>
        <w:tblStyle w:val="TableGrid"/>
        <w:tblW w:w="0" w:type="auto"/>
        <w:tblLook w:val="04A0" w:firstRow="1" w:lastRow="0" w:firstColumn="1" w:lastColumn="0" w:noHBand="0" w:noVBand="1"/>
      </w:tblPr>
      <w:tblGrid>
        <w:gridCol w:w="4508"/>
        <w:gridCol w:w="4508"/>
      </w:tblGrid>
      <w:tr w:rsidR="00045A60" w14:paraId="6408E961" w14:textId="77777777" w:rsidTr="009A66ED">
        <w:tc>
          <w:tcPr>
            <w:tcW w:w="4508" w:type="dxa"/>
            <w:tcBorders>
              <w:left w:val="single" w:sz="4" w:space="0" w:color="FFFFFF" w:themeColor="background1"/>
            </w:tcBorders>
          </w:tcPr>
          <w:p w14:paraId="0E596AFE" w14:textId="77777777" w:rsidR="00045A60" w:rsidRPr="00396CC6"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7177B1">
              <w:rPr>
                <w:rFonts w:ascii="Calibri" w:hAnsi="Calibri"/>
                <w:b/>
                <w:iCs/>
                <w:sz w:val="22"/>
                <w:szCs w:val="22"/>
                <w:lang w:val="en-US"/>
              </w:rPr>
              <w:t>OUTPUT 1:</w:t>
            </w:r>
            <w:r w:rsidRPr="007177B1">
              <w:rPr>
                <w:rFonts w:ascii="Calibri" w:hAnsi="Calibri"/>
                <w:iCs/>
                <w:sz w:val="22"/>
                <w:szCs w:val="22"/>
                <w:lang w:val="en-US"/>
              </w:rPr>
              <w:t xml:space="preserve"> EBF has a diversified portfolio supporting a range of geographies and sectors</w:t>
            </w:r>
            <w:r w:rsidR="00DD14EA" w:rsidRPr="007177B1">
              <w:rPr>
                <w:rFonts w:ascii="Calibri" w:hAnsi="Calibri"/>
                <w:iCs/>
                <w:sz w:val="22"/>
                <w:szCs w:val="22"/>
                <w:lang w:val="en-US"/>
              </w:rPr>
              <w:t>.</w:t>
            </w:r>
            <w:r w:rsidRPr="007177B1">
              <w:rPr>
                <w:rFonts w:ascii="Calibri" w:hAnsi="Calibri"/>
                <w:iCs/>
                <w:sz w:val="22"/>
                <w:szCs w:val="22"/>
                <w:lang w:val="en-US"/>
              </w:rPr>
              <w:t xml:space="preserve"> </w:t>
            </w:r>
          </w:p>
          <w:p w14:paraId="176A4C0C" w14:textId="77777777" w:rsidR="00045A60" w:rsidRPr="00396CC6" w:rsidRDefault="00045A60" w:rsidP="00045A60">
            <w:pPr>
              <w:rPr>
                <w:lang w:val="en-GB"/>
              </w:rPr>
            </w:pPr>
          </w:p>
        </w:tc>
        <w:tc>
          <w:tcPr>
            <w:tcW w:w="4508" w:type="dxa"/>
            <w:tcBorders>
              <w:right w:val="single" w:sz="4" w:space="0" w:color="FFFFFF" w:themeColor="background1"/>
            </w:tcBorders>
          </w:tcPr>
          <w:p w14:paraId="63F41D8E" w14:textId="637F63D5" w:rsidR="00045A60" w:rsidRPr="00396CC6"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iCs/>
                <w:sz w:val="22"/>
                <w:szCs w:val="22"/>
                <w:lang w:val="en-US"/>
              </w:rPr>
              <w:t xml:space="preserve">Highlights included an expansion of the EBF portfolio into Honduras. The fund has also increased the number of crop types, from 14 in 2017 to 19 in 2018 inclusive of significant investments into a new commodity: Livestock. </w:t>
            </w:r>
          </w:p>
          <w:p w14:paraId="271ECF71" w14:textId="77777777" w:rsidR="00045A60" w:rsidRPr="00396CC6" w:rsidRDefault="00045A60" w:rsidP="00045A60">
            <w:pPr>
              <w:rPr>
                <w:lang w:val="en-GB"/>
              </w:rPr>
            </w:pPr>
          </w:p>
        </w:tc>
      </w:tr>
      <w:tr w:rsidR="00045A60" w14:paraId="50F61721" w14:textId="77777777" w:rsidTr="009A66ED">
        <w:tc>
          <w:tcPr>
            <w:tcW w:w="4508" w:type="dxa"/>
            <w:tcBorders>
              <w:left w:val="single" w:sz="4" w:space="0" w:color="FFFFFF" w:themeColor="background1"/>
            </w:tcBorders>
          </w:tcPr>
          <w:p w14:paraId="44EE2B72" w14:textId="77777777" w:rsidR="00045A60" w:rsidRPr="007177B1"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b/>
                <w:iCs/>
                <w:sz w:val="22"/>
                <w:szCs w:val="22"/>
                <w:lang w:val="en-US"/>
              </w:rPr>
              <w:t xml:space="preserve">OUTPUT 2: </w:t>
            </w:r>
            <w:r w:rsidRPr="00396CC6">
              <w:rPr>
                <w:rFonts w:ascii="Calibri" w:hAnsi="Calibri"/>
                <w:iCs/>
                <w:sz w:val="22"/>
                <w:szCs w:val="22"/>
                <w:lang w:val="en-US"/>
              </w:rPr>
              <w:t>Broad support to sustainability practices reflected in the composition of the portfolio</w:t>
            </w:r>
            <w:r w:rsidR="00DD14EA" w:rsidRPr="00396CC6">
              <w:rPr>
                <w:rFonts w:ascii="Calibri" w:hAnsi="Calibri"/>
                <w:iCs/>
                <w:sz w:val="22"/>
                <w:szCs w:val="22"/>
                <w:lang w:val="en-US"/>
              </w:rPr>
              <w:t>.</w:t>
            </w:r>
          </w:p>
          <w:p w14:paraId="00057BE6" w14:textId="77777777" w:rsidR="00045A60" w:rsidRPr="007177B1" w:rsidRDefault="00045A60" w:rsidP="00045A60">
            <w:pPr>
              <w:rPr>
                <w:lang w:val="en-GB"/>
              </w:rPr>
            </w:pPr>
          </w:p>
        </w:tc>
        <w:tc>
          <w:tcPr>
            <w:tcW w:w="4508" w:type="dxa"/>
            <w:tcBorders>
              <w:right w:val="single" w:sz="4" w:space="0" w:color="FFFFFF" w:themeColor="background1"/>
            </w:tcBorders>
          </w:tcPr>
          <w:p w14:paraId="6D6EE4F8" w14:textId="291F9198" w:rsidR="00045A60" w:rsidRPr="00396CC6"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iCs/>
                <w:sz w:val="22"/>
                <w:szCs w:val="22"/>
                <w:lang w:val="en-US"/>
              </w:rPr>
              <w:t xml:space="preserve">A particular highlight was an increase in the number of green list </w:t>
            </w:r>
            <w:r w:rsidR="001032FF">
              <w:rPr>
                <w:rFonts w:ascii="Calibri" w:hAnsi="Calibri"/>
                <w:iCs/>
                <w:sz w:val="22"/>
                <w:szCs w:val="22"/>
                <w:lang w:val="en-US"/>
              </w:rPr>
              <w:t xml:space="preserve">measures </w:t>
            </w:r>
            <w:r w:rsidRPr="007177B1">
              <w:rPr>
                <w:rFonts w:ascii="Calibri" w:hAnsi="Calibri"/>
                <w:iCs/>
                <w:sz w:val="22"/>
                <w:szCs w:val="22"/>
                <w:lang w:val="en-US"/>
              </w:rPr>
              <w:t xml:space="preserve">from 9 in 2017 to 12 in 2018. </w:t>
            </w:r>
          </w:p>
          <w:p w14:paraId="5252E3B2" w14:textId="77777777" w:rsidR="00045A60" w:rsidRPr="00396CC6" w:rsidRDefault="00045A60" w:rsidP="00045A60">
            <w:pPr>
              <w:rPr>
                <w:lang w:val="en-GB"/>
              </w:rPr>
            </w:pPr>
          </w:p>
        </w:tc>
      </w:tr>
      <w:tr w:rsidR="00045A60" w14:paraId="15A6E45D" w14:textId="77777777" w:rsidTr="009A66ED">
        <w:tc>
          <w:tcPr>
            <w:tcW w:w="4508" w:type="dxa"/>
            <w:tcBorders>
              <w:left w:val="single" w:sz="4" w:space="0" w:color="FFFFFF" w:themeColor="background1"/>
            </w:tcBorders>
          </w:tcPr>
          <w:p w14:paraId="0BE2234F" w14:textId="31CBB009" w:rsidR="00045A60" w:rsidRPr="00396CC6" w:rsidRDefault="00045A60" w:rsidP="00CE7CA3">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b/>
                <w:iCs/>
                <w:sz w:val="22"/>
                <w:szCs w:val="22"/>
                <w:lang w:val="en-US"/>
              </w:rPr>
              <w:lastRenderedPageBreak/>
              <w:t>OUTPUT 3:</w:t>
            </w:r>
            <w:r w:rsidRPr="00396CC6">
              <w:rPr>
                <w:rFonts w:ascii="Calibri" w:hAnsi="Calibri"/>
                <w:iCs/>
                <w:sz w:val="22"/>
                <w:szCs w:val="22"/>
                <w:lang w:val="en-US"/>
              </w:rPr>
              <w:t xml:space="preserve"> Provision of continuous and sufficient TA</w:t>
            </w:r>
            <w:r w:rsidR="00DD14EA" w:rsidRPr="00396CC6">
              <w:rPr>
                <w:rFonts w:ascii="Calibri" w:hAnsi="Calibri"/>
                <w:iCs/>
                <w:sz w:val="22"/>
                <w:szCs w:val="22"/>
                <w:lang w:val="en-US"/>
              </w:rPr>
              <w:t>.</w:t>
            </w:r>
          </w:p>
        </w:tc>
        <w:tc>
          <w:tcPr>
            <w:tcW w:w="4508" w:type="dxa"/>
            <w:tcBorders>
              <w:right w:val="single" w:sz="4" w:space="0" w:color="FFFFFF" w:themeColor="background1"/>
            </w:tcBorders>
          </w:tcPr>
          <w:p w14:paraId="7D714AC3" w14:textId="51D33D54" w:rsidR="00045A60" w:rsidRPr="00396CC6"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iCs/>
                <w:sz w:val="22"/>
                <w:szCs w:val="22"/>
                <w:lang w:val="en-US"/>
              </w:rPr>
              <w:t xml:space="preserve">EBF has made progress in 2018 with regard to providing technical assistance, meeting all but one of the output indicator targets. Additionally EBF has now completed 20 TA projects in 2018 compared with 9 in 2017. </w:t>
            </w:r>
          </w:p>
          <w:p w14:paraId="7E4E1C76" w14:textId="77777777" w:rsidR="00045A60" w:rsidRPr="00396CC6" w:rsidRDefault="00045A60" w:rsidP="00045A60">
            <w:pPr>
              <w:rPr>
                <w:lang w:val="en-GB"/>
              </w:rPr>
            </w:pPr>
          </w:p>
        </w:tc>
      </w:tr>
      <w:tr w:rsidR="00045A60" w14:paraId="021B3C71" w14:textId="77777777" w:rsidTr="009A66ED">
        <w:tc>
          <w:tcPr>
            <w:tcW w:w="4508" w:type="dxa"/>
            <w:tcBorders>
              <w:left w:val="single" w:sz="4" w:space="0" w:color="FFFFFF" w:themeColor="background1"/>
            </w:tcBorders>
          </w:tcPr>
          <w:p w14:paraId="3E938340" w14:textId="77777777" w:rsidR="00045A60" w:rsidRPr="00396CC6"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b/>
                <w:iCs/>
                <w:sz w:val="22"/>
                <w:szCs w:val="22"/>
                <w:lang w:val="en-US"/>
              </w:rPr>
              <w:t>OUTPUT 4:</w:t>
            </w:r>
            <w:r w:rsidRPr="00396CC6">
              <w:rPr>
                <w:rFonts w:ascii="Calibri" w:hAnsi="Calibri"/>
                <w:iCs/>
                <w:sz w:val="22"/>
                <w:szCs w:val="22"/>
                <w:lang w:val="en-US"/>
              </w:rPr>
              <w:t xml:space="preserve"> Improved partnerships and development of activities with other sector stakeholders</w:t>
            </w:r>
            <w:r w:rsidR="00DD14EA" w:rsidRPr="00396CC6">
              <w:rPr>
                <w:rFonts w:ascii="Calibri" w:hAnsi="Calibri"/>
                <w:iCs/>
                <w:sz w:val="22"/>
                <w:szCs w:val="22"/>
                <w:lang w:val="en-US"/>
              </w:rPr>
              <w:t>.</w:t>
            </w:r>
          </w:p>
          <w:p w14:paraId="3C1F0252" w14:textId="77777777" w:rsidR="00045A60" w:rsidRPr="00396CC6" w:rsidRDefault="00045A60" w:rsidP="00045A60">
            <w:pPr>
              <w:rPr>
                <w:lang w:val="en-GB"/>
              </w:rPr>
            </w:pPr>
          </w:p>
        </w:tc>
        <w:tc>
          <w:tcPr>
            <w:tcW w:w="4508" w:type="dxa"/>
            <w:tcBorders>
              <w:right w:val="single" w:sz="4" w:space="0" w:color="FFFFFF" w:themeColor="background1"/>
            </w:tcBorders>
          </w:tcPr>
          <w:p w14:paraId="0CA8D5FD" w14:textId="2760EB86" w:rsidR="00045A60" w:rsidRPr="00396CC6" w:rsidRDefault="00045A60" w:rsidP="00045A60">
            <w:pPr>
              <w:pStyle w:val="Normal1"/>
              <w:tabs>
                <w:tab w:val="left" w:pos="6915"/>
                <w:tab w:val="left" w:pos="9495"/>
              </w:tabs>
              <w:spacing w:after="120" w:line="276" w:lineRule="auto"/>
              <w:jc w:val="both"/>
              <w:rPr>
                <w:rFonts w:ascii="Calibri" w:hAnsi="Calibri"/>
                <w:iCs/>
                <w:sz w:val="22"/>
                <w:szCs w:val="22"/>
                <w:lang w:val="en-GB"/>
              </w:rPr>
            </w:pPr>
            <w:r w:rsidRPr="00396CC6">
              <w:rPr>
                <w:rFonts w:ascii="Calibri" w:hAnsi="Calibri"/>
                <w:iCs/>
                <w:sz w:val="22"/>
                <w:szCs w:val="22"/>
                <w:lang w:val="en-US"/>
              </w:rPr>
              <w:t xml:space="preserve">EBF has missed key </w:t>
            </w:r>
            <w:r w:rsidR="00396CC6">
              <w:rPr>
                <w:rFonts w:ascii="Calibri" w:hAnsi="Calibri"/>
                <w:iCs/>
                <w:sz w:val="22"/>
                <w:szCs w:val="22"/>
                <w:lang w:val="en-US"/>
              </w:rPr>
              <w:t xml:space="preserve">Defra </w:t>
            </w:r>
            <w:r w:rsidRPr="00396CC6">
              <w:rPr>
                <w:rFonts w:ascii="Calibri" w:hAnsi="Calibri"/>
                <w:iCs/>
                <w:sz w:val="22"/>
                <w:szCs w:val="22"/>
                <w:lang w:val="en-US"/>
              </w:rPr>
              <w:t xml:space="preserve">targets for improved partnerships and development of activities with other sector stakeholders in 2018. The number of events that EBF has participated in 34 events, </w:t>
            </w:r>
            <w:r w:rsidR="00276ECA">
              <w:rPr>
                <w:rFonts w:ascii="Calibri" w:hAnsi="Calibri"/>
                <w:iCs/>
                <w:sz w:val="22"/>
                <w:szCs w:val="22"/>
                <w:lang w:val="en-GB"/>
              </w:rPr>
              <w:t xml:space="preserve">was </w:t>
            </w:r>
            <w:r w:rsidRPr="00396CC6">
              <w:rPr>
                <w:rFonts w:ascii="Calibri" w:hAnsi="Calibri"/>
                <w:iCs/>
                <w:sz w:val="22"/>
                <w:szCs w:val="22"/>
                <w:lang w:val="en-US"/>
              </w:rPr>
              <w:t>lower than an expected milestone of 42</w:t>
            </w:r>
            <w:r w:rsidR="0071356E" w:rsidRPr="00396CC6">
              <w:rPr>
                <w:rFonts w:ascii="Calibri" w:hAnsi="Calibri"/>
                <w:iCs/>
                <w:sz w:val="22"/>
                <w:szCs w:val="22"/>
                <w:lang w:val="en-US"/>
              </w:rPr>
              <w:t xml:space="preserve">. </w:t>
            </w:r>
            <w:r w:rsidRPr="00396CC6">
              <w:rPr>
                <w:rFonts w:ascii="Calibri" w:hAnsi="Calibri"/>
                <w:iCs/>
                <w:sz w:val="22"/>
                <w:szCs w:val="22"/>
                <w:lang w:val="en-US"/>
              </w:rPr>
              <w:t xml:space="preserve">However, the number of external events </w:t>
            </w:r>
            <w:proofErr w:type="spellStart"/>
            <w:r w:rsidRPr="00396CC6">
              <w:rPr>
                <w:rFonts w:ascii="Calibri" w:hAnsi="Calibri"/>
                <w:iCs/>
                <w:sz w:val="22"/>
                <w:szCs w:val="22"/>
                <w:lang w:val="en-US"/>
              </w:rPr>
              <w:t>organised</w:t>
            </w:r>
            <w:proofErr w:type="spellEnd"/>
            <w:r w:rsidRPr="00396CC6">
              <w:rPr>
                <w:rFonts w:ascii="Calibri" w:hAnsi="Calibri"/>
                <w:iCs/>
                <w:sz w:val="22"/>
                <w:szCs w:val="22"/>
                <w:lang w:val="en-US"/>
              </w:rPr>
              <w:t xml:space="preserve"> by the EBF has increased by 11</w:t>
            </w:r>
            <w:r w:rsidR="0071356E" w:rsidRPr="00396CC6">
              <w:rPr>
                <w:rFonts w:ascii="Calibri" w:hAnsi="Calibri"/>
                <w:iCs/>
                <w:sz w:val="22"/>
                <w:szCs w:val="22"/>
                <w:lang w:val="en-US"/>
              </w:rPr>
              <w:t xml:space="preserve"> – exceeding the milestone set by 4 </w:t>
            </w:r>
            <w:r w:rsidRPr="00396CC6">
              <w:rPr>
                <w:rFonts w:ascii="Calibri" w:hAnsi="Calibri"/>
                <w:iCs/>
                <w:sz w:val="22"/>
                <w:szCs w:val="22"/>
                <w:lang w:val="en-US"/>
              </w:rPr>
              <w:t xml:space="preserve">events. </w:t>
            </w:r>
            <w:r w:rsidR="0071356E" w:rsidRPr="00396CC6">
              <w:rPr>
                <w:rFonts w:ascii="Calibri" w:hAnsi="Calibri"/>
                <w:iCs/>
                <w:sz w:val="22"/>
                <w:szCs w:val="22"/>
                <w:lang w:val="en-US"/>
              </w:rPr>
              <w:t xml:space="preserve">It should be noted that these </w:t>
            </w:r>
            <w:r w:rsidR="00396CC6">
              <w:rPr>
                <w:rFonts w:ascii="Calibri" w:hAnsi="Calibri"/>
                <w:iCs/>
                <w:sz w:val="22"/>
                <w:szCs w:val="22"/>
                <w:lang w:val="en-US"/>
              </w:rPr>
              <w:t xml:space="preserve">Defra </w:t>
            </w:r>
            <w:r w:rsidR="0071356E" w:rsidRPr="00396CC6">
              <w:rPr>
                <w:rFonts w:ascii="Calibri" w:hAnsi="Calibri"/>
                <w:iCs/>
                <w:sz w:val="22"/>
                <w:szCs w:val="22"/>
                <w:lang w:val="en-US"/>
              </w:rPr>
              <w:t>milestones were revised in 2017 as</w:t>
            </w:r>
            <w:r w:rsidR="00396CC6">
              <w:rPr>
                <w:rFonts w:ascii="Calibri" w:hAnsi="Calibri"/>
                <w:iCs/>
                <w:sz w:val="22"/>
                <w:szCs w:val="22"/>
                <w:lang w:val="en-US"/>
              </w:rPr>
              <w:t xml:space="preserve"> Defra did not deem them to be</w:t>
            </w:r>
            <w:r w:rsidRPr="00396CC6">
              <w:rPr>
                <w:rFonts w:ascii="Calibri" w:hAnsi="Calibri"/>
                <w:iCs/>
                <w:sz w:val="22"/>
                <w:szCs w:val="22"/>
                <w:lang w:val="en-US"/>
              </w:rPr>
              <w:t xml:space="preserve"> ambitious enough</w:t>
            </w:r>
            <w:r w:rsidR="0071356E" w:rsidRPr="00396CC6">
              <w:rPr>
                <w:rFonts w:ascii="Calibri" w:hAnsi="Calibri"/>
                <w:iCs/>
                <w:sz w:val="22"/>
                <w:szCs w:val="22"/>
                <w:lang w:val="en-US"/>
              </w:rPr>
              <w:t xml:space="preserve">. Defra </w:t>
            </w:r>
            <w:r w:rsidRPr="00396CC6">
              <w:rPr>
                <w:rFonts w:ascii="Calibri" w:hAnsi="Calibri"/>
                <w:iCs/>
                <w:sz w:val="22"/>
                <w:szCs w:val="22"/>
                <w:lang w:val="en-US"/>
              </w:rPr>
              <w:t>should seek to re-evaluate these indicators to ensure they are informative.</w:t>
            </w:r>
          </w:p>
          <w:p w14:paraId="4426085A" w14:textId="77777777" w:rsidR="00045A60" w:rsidRPr="00396CC6" w:rsidRDefault="00045A60" w:rsidP="00045A60">
            <w:pPr>
              <w:rPr>
                <w:lang w:val="en-GB"/>
              </w:rPr>
            </w:pPr>
          </w:p>
        </w:tc>
      </w:tr>
    </w:tbl>
    <w:p w14:paraId="60B29F3F" w14:textId="77777777" w:rsidR="00045A60" w:rsidRPr="00D0005A" w:rsidRDefault="00045A60" w:rsidP="008F5744"/>
    <w:p w14:paraId="6B976301" w14:textId="77777777" w:rsidR="000004E0" w:rsidRPr="00B233F2" w:rsidRDefault="000004E0" w:rsidP="000004E0">
      <w:pPr>
        <w:rPr>
          <w:i/>
          <w:u w:val="single"/>
        </w:rPr>
      </w:pPr>
      <w:r w:rsidRPr="00B233F2">
        <w:rPr>
          <w:i/>
          <w:u w:val="single"/>
        </w:rPr>
        <w:t>Summary of recommendations for the next year</w:t>
      </w:r>
    </w:p>
    <w:p w14:paraId="29BE1E64" w14:textId="2F1BD52C" w:rsidR="000004E0" w:rsidRDefault="000004E0" w:rsidP="000004E0">
      <w:pPr>
        <w:pStyle w:val="Normal1"/>
        <w:tabs>
          <w:tab w:val="left" w:pos="6915"/>
          <w:tab w:val="left" w:pos="9495"/>
        </w:tabs>
        <w:spacing w:after="120" w:line="276" w:lineRule="auto"/>
        <w:jc w:val="both"/>
        <w:rPr>
          <w:rFonts w:ascii="Calibri" w:hAnsi="Calibri"/>
          <w:sz w:val="22"/>
          <w:szCs w:val="22"/>
        </w:rPr>
      </w:pPr>
      <w:r w:rsidRPr="00D0005A">
        <w:rPr>
          <w:rFonts w:ascii="Calibri" w:hAnsi="Calibri"/>
          <w:sz w:val="22"/>
          <w:szCs w:val="22"/>
        </w:rPr>
        <w:t xml:space="preserve">Looking ahead to the end of 2018, the </w:t>
      </w:r>
      <w:r w:rsidR="009A2377">
        <w:rPr>
          <w:rFonts w:ascii="Calibri" w:hAnsi="Calibri"/>
          <w:sz w:val="22"/>
          <w:szCs w:val="22"/>
        </w:rPr>
        <w:t>EBF</w:t>
      </w:r>
      <w:r w:rsidRPr="00D0005A">
        <w:rPr>
          <w:rFonts w:ascii="Calibri" w:hAnsi="Calibri"/>
          <w:sz w:val="22"/>
          <w:szCs w:val="22"/>
        </w:rPr>
        <w:t xml:space="preserve"> expects a year of further diversification and sustained growth, in terms of geographies, types of partner institutions</w:t>
      </w:r>
      <w:r>
        <w:rPr>
          <w:rFonts w:ascii="Calibri" w:hAnsi="Calibri"/>
          <w:sz w:val="22"/>
          <w:szCs w:val="22"/>
        </w:rPr>
        <w:t xml:space="preserve"> (e.g. microfinance organi</w:t>
      </w:r>
      <w:r w:rsidR="009A2377">
        <w:rPr>
          <w:rFonts w:ascii="Calibri" w:hAnsi="Calibri"/>
          <w:sz w:val="22"/>
          <w:szCs w:val="22"/>
        </w:rPr>
        <w:t>s</w:t>
      </w:r>
      <w:r>
        <w:rPr>
          <w:rFonts w:ascii="Calibri" w:hAnsi="Calibri"/>
          <w:sz w:val="22"/>
          <w:szCs w:val="22"/>
        </w:rPr>
        <w:t>ations)</w:t>
      </w:r>
      <w:r w:rsidRPr="00D0005A">
        <w:rPr>
          <w:rFonts w:ascii="Calibri" w:hAnsi="Calibri"/>
          <w:sz w:val="22"/>
          <w:szCs w:val="22"/>
        </w:rPr>
        <w:t xml:space="preserve">, activities </w:t>
      </w:r>
      <w:r w:rsidR="00AE6ED5" w:rsidRPr="00D0005A">
        <w:rPr>
          <w:rFonts w:ascii="Calibri" w:hAnsi="Calibri"/>
          <w:sz w:val="22"/>
          <w:szCs w:val="22"/>
        </w:rPr>
        <w:t>financed,</w:t>
      </w:r>
      <w:r w:rsidRPr="00D0005A">
        <w:rPr>
          <w:rFonts w:ascii="Calibri" w:hAnsi="Calibri"/>
          <w:sz w:val="22"/>
          <w:szCs w:val="22"/>
        </w:rPr>
        <w:t xml:space="preserve"> and end-borrowers reached.</w:t>
      </w:r>
      <w:r w:rsidR="00204E50">
        <w:rPr>
          <w:rFonts w:ascii="Calibri" w:hAnsi="Calibri"/>
          <w:sz w:val="22"/>
          <w:szCs w:val="22"/>
        </w:rPr>
        <w:t xml:space="preserve"> Targets are included in the </w:t>
      </w:r>
      <w:proofErr w:type="spellStart"/>
      <w:r w:rsidR="00CE7CA3">
        <w:rPr>
          <w:rFonts w:ascii="Calibri" w:hAnsi="Calibri"/>
          <w:sz w:val="22"/>
          <w:szCs w:val="22"/>
        </w:rPr>
        <w:t>logframe</w:t>
      </w:r>
      <w:proofErr w:type="spellEnd"/>
      <w:r w:rsidR="00204E50">
        <w:rPr>
          <w:rFonts w:ascii="Calibri" w:hAnsi="Calibri"/>
          <w:sz w:val="22"/>
          <w:szCs w:val="22"/>
        </w:rPr>
        <w:t>.</w:t>
      </w:r>
    </w:p>
    <w:p w14:paraId="7DA0B412" w14:textId="7E3CB7EE" w:rsidR="00562455" w:rsidRDefault="00562455" w:rsidP="000004E0">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rPr>
        <w:t xml:space="preserve">1. </w:t>
      </w:r>
      <w:r w:rsidR="00E157AC">
        <w:rPr>
          <w:rFonts w:ascii="Calibri" w:hAnsi="Calibri"/>
          <w:sz w:val="22"/>
          <w:szCs w:val="22"/>
        </w:rPr>
        <w:t>T</w:t>
      </w:r>
      <w:r w:rsidR="003C7996">
        <w:rPr>
          <w:rFonts w:ascii="Calibri" w:hAnsi="Calibri"/>
          <w:sz w:val="22"/>
          <w:szCs w:val="22"/>
        </w:rPr>
        <w:t>o agree a strategy to follow when U</w:t>
      </w:r>
      <w:r w:rsidR="007A7A8B">
        <w:rPr>
          <w:rFonts w:ascii="Calibri" w:hAnsi="Calibri"/>
          <w:sz w:val="22"/>
          <w:szCs w:val="22"/>
        </w:rPr>
        <w:t xml:space="preserve">pper </w:t>
      </w:r>
      <w:r w:rsidR="00AE6ED5">
        <w:rPr>
          <w:rFonts w:ascii="Calibri" w:hAnsi="Calibri"/>
          <w:sz w:val="22"/>
          <w:szCs w:val="22"/>
        </w:rPr>
        <w:t>Middle-Income</w:t>
      </w:r>
      <w:r w:rsidR="007A7A8B">
        <w:rPr>
          <w:rFonts w:ascii="Calibri" w:hAnsi="Calibri"/>
          <w:sz w:val="22"/>
          <w:szCs w:val="22"/>
        </w:rPr>
        <w:t xml:space="preserve"> </w:t>
      </w:r>
      <w:r w:rsidR="003C7996">
        <w:rPr>
          <w:rFonts w:ascii="Calibri" w:hAnsi="Calibri"/>
          <w:sz w:val="22"/>
          <w:szCs w:val="22"/>
        </w:rPr>
        <w:t>C</w:t>
      </w:r>
      <w:r w:rsidR="007A7A8B">
        <w:rPr>
          <w:rFonts w:ascii="Calibri" w:hAnsi="Calibri"/>
          <w:sz w:val="22"/>
          <w:szCs w:val="22"/>
        </w:rPr>
        <w:t>ountrie</w:t>
      </w:r>
      <w:r w:rsidR="003C7996">
        <w:rPr>
          <w:rFonts w:ascii="Calibri" w:hAnsi="Calibri"/>
          <w:sz w:val="22"/>
          <w:szCs w:val="22"/>
        </w:rPr>
        <w:t>s look on track to graduate</w:t>
      </w:r>
      <w:r w:rsidR="00276974">
        <w:rPr>
          <w:rFonts w:ascii="Calibri" w:hAnsi="Calibri"/>
          <w:sz w:val="22"/>
          <w:szCs w:val="22"/>
        </w:rPr>
        <w:t xml:space="preserve"> from </w:t>
      </w:r>
      <w:r w:rsidR="008625ED">
        <w:rPr>
          <w:rFonts w:ascii="Calibri" w:hAnsi="Calibri"/>
          <w:sz w:val="22"/>
          <w:szCs w:val="22"/>
        </w:rPr>
        <w:t>Overseas Development Assistance (</w:t>
      </w:r>
      <w:r w:rsidR="00276974">
        <w:rPr>
          <w:rFonts w:ascii="Calibri" w:hAnsi="Calibri"/>
          <w:sz w:val="22"/>
          <w:szCs w:val="22"/>
        </w:rPr>
        <w:t>ODA</w:t>
      </w:r>
      <w:r w:rsidR="008625ED">
        <w:rPr>
          <w:rFonts w:ascii="Calibri" w:hAnsi="Calibri"/>
          <w:sz w:val="22"/>
          <w:szCs w:val="22"/>
        </w:rPr>
        <w:t>)</w:t>
      </w:r>
      <w:r w:rsidR="00276974">
        <w:rPr>
          <w:rFonts w:ascii="Calibri" w:hAnsi="Calibri"/>
          <w:sz w:val="22"/>
          <w:szCs w:val="22"/>
        </w:rPr>
        <w:t xml:space="preserve"> eligibility</w:t>
      </w:r>
      <w:r w:rsidR="007A7A8B">
        <w:rPr>
          <w:rFonts w:ascii="Calibri" w:hAnsi="Calibri"/>
          <w:sz w:val="22"/>
          <w:szCs w:val="22"/>
        </w:rPr>
        <w:t xml:space="preserve"> – based upon the </w:t>
      </w:r>
      <w:r w:rsidR="00AE6ED5">
        <w:rPr>
          <w:rFonts w:ascii="Calibri" w:hAnsi="Calibri"/>
          <w:sz w:val="22"/>
          <w:szCs w:val="22"/>
        </w:rPr>
        <w:t>country’s</w:t>
      </w:r>
      <w:r w:rsidR="007A7A8B">
        <w:rPr>
          <w:rFonts w:ascii="Calibri" w:hAnsi="Calibri"/>
          <w:sz w:val="22"/>
          <w:szCs w:val="22"/>
        </w:rPr>
        <w:t xml:space="preserve"> gross net income, as defined by the</w:t>
      </w:r>
      <w:r w:rsidR="008625ED">
        <w:rPr>
          <w:rFonts w:ascii="Calibri" w:hAnsi="Calibri"/>
          <w:sz w:val="22"/>
          <w:szCs w:val="22"/>
        </w:rPr>
        <w:t xml:space="preserve"> </w:t>
      </w:r>
      <w:r w:rsidR="008625ED" w:rsidRPr="006F5D07">
        <w:rPr>
          <w:rFonts w:ascii="Calibri" w:hAnsi="Calibri"/>
          <w:sz w:val="22"/>
          <w:szCs w:val="22"/>
        </w:rPr>
        <w:t>Organisation for Economic Co-operation and Development</w:t>
      </w:r>
      <w:r w:rsidR="008625ED">
        <w:rPr>
          <w:rFonts w:ascii="Calibri" w:hAnsi="Calibri"/>
          <w:sz w:val="22"/>
          <w:szCs w:val="22"/>
        </w:rPr>
        <w:t xml:space="preserve"> (</w:t>
      </w:r>
      <w:r w:rsidR="007A7A8B">
        <w:rPr>
          <w:rFonts w:ascii="Calibri" w:hAnsi="Calibri"/>
          <w:sz w:val="22"/>
          <w:szCs w:val="22"/>
        </w:rPr>
        <w:t>OECD</w:t>
      </w:r>
      <w:r w:rsidR="008625ED">
        <w:rPr>
          <w:rFonts w:ascii="Calibri" w:hAnsi="Calibri"/>
          <w:sz w:val="22"/>
          <w:szCs w:val="22"/>
        </w:rPr>
        <w:t>)</w:t>
      </w:r>
      <w:r w:rsidR="007A7A8B">
        <w:rPr>
          <w:rFonts w:ascii="Calibri" w:hAnsi="Calibri"/>
          <w:sz w:val="22"/>
          <w:szCs w:val="22"/>
        </w:rPr>
        <w:t>.</w:t>
      </w:r>
    </w:p>
    <w:p w14:paraId="19291D43" w14:textId="01D052B2" w:rsidR="00490385" w:rsidRPr="00D02A7E" w:rsidRDefault="00173DB5" w:rsidP="000004E0">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rPr>
        <w:t>2</w:t>
      </w:r>
      <w:r w:rsidR="00C316C6">
        <w:rPr>
          <w:rFonts w:ascii="Calibri" w:hAnsi="Calibri"/>
          <w:sz w:val="22"/>
          <w:szCs w:val="22"/>
        </w:rPr>
        <w:t xml:space="preserve">. Increased Defra involvement in </w:t>
      </w:r>
      <w:r w:rsidR="009A2377">
        <w:rPr>
          <w:rFonts w:ascii="Calibri" w:hAnsi="Calibri"/>
          <w:sz w:val="22"/>
          <w:szCs w:val="22"/>
        </w:rPr>
        <w:t>TA -</w:t>
      </w:r>
      <w:r w:rsidR="00C316C6">
        <w:rPr>
          <w:rFonts w:ascii="Calibri" w:hAnsi="Calibri"/>
          <w:sz w:val="22"/>
          <w:szCs w:val="22"/>
        </w:rPr>
        <w:t xml:space="preserve"> through</w:t>
      </w:r>
      <w:r w:rsidR="009A2377">
        <w:rPr>
          <w:rFonts w:ascii="Calibri" w:hAnsi="Calibri"/>
          <w:sz w:val="22"/>
          <w:szCs w:val="22"/>
        </w:rPr>
        <w:t xml:space="preserve"> the </w:t>
      </w:r>
      <w:r w:rsidR="00E157AC">
        <w:rPr>
          <w:rFonts w:ascii="Calibri" w:hAnsi="Calibri"/>
          <w:sz w:val="22"/>
          <w:szCs w:val="22"/>
        </w:rPr>
        <w:t>EBF-</w:t>
      </w:r>
      <w:r w:rsidR="009C0299" w:rsidRPr="009C0299">
        <w:rPr>
          <w:rFonts w:ascii="Calibri" w:hAnsi="Calibri"/>
          <w:sz w:val="22"/>
          <w:szCs w:val="22"/>
        </w:rPr>
        <w:t xml:space="preserve"> </w:t>
      </w:r>
      <w:r w:rsidR="009C0299" w:rsidRPr="00B900CC">
        <w:rPr>
          <w:rFonts w:ascii="Calibri" w:hAnsi="Calibri"/>
          <w:sz w:val="22"/>
          <w:szCs w:val="22"/>
        </w:rPr>
        <w:t>Development Facility</w:t>
      </w:r>
      <w:r w:rsidR="009C0299">
        <w:rPr>
          <w:rFonts w:ascii="Calibri" w:hAnsi="Calibri"/>
          <w:sz w:val="22"/>
          <w:szCs w:val="22"/>
        </w:rPr>
        <w:t xml:space="preserve"> (</w:t>
      </w:r>
      <w:r w:rsidR="00E157AC">
        <w:rPr>
          <w:rFonts w:ascii="Calibri" w:hAnsi="Calibri"/>
          <w:sz w:val="22"/>
          <w:szCs w:val="22"/>
        </w:rPr>
        <w:t>DF</w:t>
      </w:r>
      <w:r w:rsidR="009C0299">
        <w:rPr>
          <w:rFonts w:ascii="Calibri" w:hAnsi="Calibri"/>
          <w:sz w:val="22"/>
          <w:szCs w:val="22"/>
        </w:rPr>
        <w:t>)</w:t>
      </w:r>
      <w:r w:rsidR="00C316C6">
        <w:rPr>
          <w:rFonts w:ascii="Calibri" w:hAnsi="Calibri"/>
          <w:sz w:val="22"/>
          <w:szCs w:val="22"/>
        </w:rPr>
        <w:t xml:space="preserve">. This </w:t>
      </w:r>
      <w:r w:rsidR="00E157AC">
        <w:rPr>
          <w:rFonts w:ascii="Calibri" w:hAnsi="Calibri"/>
          <w:sz w:val="22"/>
          <w:szCs w:val="22"/>
        </w:rPr>
        <w:t xml:space="preserve">could </w:t>
      </w:r>
      <w:r w:rsidR="00C316C6">
        <w:rPr>
          <w:rFonts w:ascii="Calibri" w:hAnsi="Calibri"/>
          <w:sz w:val="22"/>
          <w:szCs w:val="22"/>
        </w:rPr>
        <w:t>encourage cross-donor and portfolio learning a</w:t>
      </w:r>
      <w:r w:rsidR="00D02A7E">
        <w:rPr>
          <w:rFonts w:ascii="Calibri" w:hAnsi="Calibri"/>
          <w:sz w:val="22"/>
          <w:szCs w:val="22"/>
        </w:rPr>
        <w:t xml:space="preserve">nd add value </w:t>
      </w:r>
      <w:r w:rsidR="009A2377">
        <w:rPr>
          <w:rFonts w:ascii="Calibri" w:hAnsi="Calibri"/>
          <w:sz w:val="22"/>
          <w:szCs w:val="22"/>
        </w:rPr>
        <w:t xml:space="preserve">to the fund </w:t>
      </w:r>
      <w:r w:rsidR="0071356E">
        <w:rPr>
          <w:rFonts w:ascii="Calibri" w:hAnsi="Calibri"/>
          <w:sz w:val="22"/>
          <w:szCs w:val="22"/>
        </w:rPr>
        <w:t>manager’s investment decisions.</w:t>
      </w:r>
    </w:p>
    <w:p w14:paraId="59545D98" w14:textId="0F243F5B" w:rsidR="00490385" w:rsidRDefault="00E157AC" w:rsidP="000004E0">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u w:val="single"/>
        </w:rPr>
        <w:t>M</w:t>
      </w:r>
      <w:r w:rsidR="00261682">
        <w:rPr>
          <w:rFonts w:ascii="Calibri" w:hAnsi="Calibri"/>
          <w:sz w:val="22"/>
          <w:szCs w:val="22"/>
          <w:u w:val="single"/>
        </w:rPr>
        <w:t>&amp;E</w:t>
      </w:r>
      <w:r w:rsidR="005C2CA4" w:rsidRPr="00E157AC">
        <w:rPr>
          <w:rFonts w:ascii="Calibri" w:hAnsi="Calibri"/>
          <w:sz w:val="22"/>
          <w:szCs w:val="22"/>
          <w:u w:val="single"/>
        </w:rPr>
        <w:t xml:space="preserve"> recommendations</w:t>
      </w:r>
      <w:r w:rsidR="005C2CA4">
        <w:rPr>
          <w:rFonts w:ascii="Calibri" w:hAnsi="Calibri"/>
          <w:sz w:val="22"/>
          <w:szCs w:val="22"/>
        </w:rPr>
        <w:t>:</w:t>
      </w:r>
    </w:p>
    <w:p w14:paraId="14976A49" w14:textId="77777777" w:rsidR="00490385" w:rsidRDefault="00490385" w:rsidP="00261682">
      <w:pPr>
        <w:pStyle w:val="Normal1"/>
        <w:numPr>
          <w:ilvl w:val="0"/>
          <w:numId w:val="32"/>
        </w:numPr>
        <w:tabs>
          <w:tab w:val="left" w:pos="6915"/>
          <w:tab w:val="left" w:pos="9495"/>
        </w:tabs>
        <w:spacing w:after="120" w:line="276" w:lineRule="auto"/>
        <w:jc w:val="both"/>
        <w:rPr>
          <w:rFonts w:ascii="Calibri" w:hAnsi="Calibri"/>
          <w:sz w:val="22"/>
          <w:szCs w:val="22"/>
        </w:rPr>
      </w:pPr>
      <w:r w:rsidRPr="00490385">
        <w:rPr>
          <w:rFonts w:ascii="Calibri" w:hAnsi="Calibri"/>
          <w:sz w:val="22"/>
          <w:szCs w:val="22"/>
        </w:rPr>
        <w:t>Develop an agreed concept note for transformational indicator (ICF KPI 15), and what types of quality information this would encompass.</w:t>
      </w:r>
    </w:p>
    <w:p w14:paraId="0FD532BD" w14:textId="70906CEF" w:rsidR="00173DB5" w:rsidRDefault="0071356E" w:rsidP="00173DB5">
      <w:pPr>
        <w:pStyle w:val="Normal1"/>
        <w:numPr>
          <w:ilvl w:val="0"/>
          <w:numId w:val="32"/>
        </w:numPr>
        <w:tabs>
          <w:tab w:val="left" w:pos="6915"/>
          <w:tab w:val="left" w:pos="9495"/>
        </w:tabs>
        <w:spacing w:after="120" w:line="276" w:lineRule="auto"/>
        <w:jc w:val="both"/>
        <w:rPr>
          <w:rFonts w:ascii="Calibri" w:hAnsi="Calibri"/>
          <w:sz w:val="22"/>
          <w:szCs w:val="22"/>
        </w:rPr>
      </w:pPr>
      <w:r>
        <w:rPr>
          <w:rFonts w:ascii="Calibri" w:hAnsi="Calibri"/>
          <w:sz w:val="22"/>
          <w:szCs w:val="22"/>
        </w:rPr>
        <w:t xml:space="preserve">Develop a concept note that </w:t>
      </w:r>
      <w:r w:rsidR="00862564">
        <w:rPr>
          <w:rFonts w:ascii="Calibri" w:hAnsi="Calibri"/>
          <w:sz w:val="22"/>
          <w:szCs w:val="22"/>
        </w:rPr>
        <w:t>describe</w:t>
      </w:r>
      <w:r>
        <w:rPr>
          <w:rFonts w:ascii="Calibri" w:hAnsi="Calibri"/>
          <w:sz w:val="22"/>
          <w:szCs w:val="22"/>
        </w:rPr>
        <w:t>s</w:t>
      </w:r>
      <w:r w:rsidR="00862564">
        <w:rPr>
          <w:rFonts w:ascii="Calibri" w:hAnsi="Calibri"/>
          <w:sz w:val="22"/>
          <w:szCs w:val="22"/>
        </w:rPr>
        <w:t xml:space="preserve"> and evaluate</w:t>
      </w:r>
      <w:r>
        <w:rPr>
          <w:rFonts w:ascii="Calibri" w:hAnsi="Calibri"/>
          <w:sz w:val="22"/>
          <w:szCs w:val="22"/>
        </w:rPr>
        <w:t>s</w:t>
      </w:r>
      <w:r w:rsidR="00862564">
        <w:rPr>
          <w:rFonts w:ascii="Calibri" w:hAnsi="Calibri"/>
          <w:sz w:val="22"/>
          <w:szCs w:val="22"/>
        </w:rPr>
        <w:t xml:space="preserve"> the </w:t>
      </w:r>
      <w:r w:rsidR="00092EAA">
        <w:rPr>
          <w:rFonts w:ascii="Calibri" w:hAnsi="Calibri"/>
          <w:sz w:val="22"/>
          <w:szCs w:val="22"/>
        </w:rPr>
        <w:t>green list</w:t>
      </w:r>
      <w:r w:rsidR="005C27B0">
        <w:rPr>
          <w:rFonts w:ascii="Calibri" w:hAnsi="Calibri"/>
          <w:sz w:val="22"/>
          <w:szCs w:val="22"/>
        </w:rPr>
        <w:t xml:space="preserve"> a</w:t>
      </w:r>
      <w:r>
        <w:rPr>
          <w:rFonts w:ascii="Calibri" w:hAnsi="Calibri"/>
          <w:sz w:val="22"/>
          <w:szCs w:val="22"/>
        </w:rPr>
        <w:t>ctivities involved in livestock</w:t>
      </w:r>
      <w:r w:rsidR="005C27B0">
        <w:rPr>
          <w:rFonts w:ascii="Calibri" w:hAnsi="Calibri"/>
          <w:sz w:val="22"/>
          <w:szCs w:val="22"/>
        </w:rPr>
        <w:t xml:space="preserve"> which qualify businesses for EBF funded financial support. </w:t>
      </w:r>
    </w:p>
    <w:p w14:paraId="1F28989C" w14:textId="42BE1CE3" w:rsidR="00B35BFD" w:rsidRDefault="009A2377" w:rsidP="00B35BFD">
      <w:pPr>
        <w:pStyle w:val="Normal1"/>
        <w:numPr>
          <w:ilvl w:val="0"/>
          <w:numId w:val="32"/>
        </w:numPr>
        <w:tabs>
          <w:tab w:val="left" w:pos="6915"/>
          <w:tab w:val="left" w:pos="9495"/>
        </w:tabs>
        <w:spacing w:after="120" w:line="276" w:lineRule="auto"/>
        <w:jc w:val="both"/>
        <w:rPr>
          <w:rFonts w:ascii="Calibri" w:hAnsi="Calibri"/>
          <w:sz w:val="22"/>
          <w:szCs w:val="22"/>
        </w:rPr>
      </w:pPr>
      <w:r>
        <w:rPr>
          <w:rFonts w:ascii="Calibri" w:hAnsi="Calibri"/>
          <w:sz w:val="22"/>
          <w:szCs w:val="22"/>
        </w:rPr>
        <w:t xml:space="preserve">Assess whether additional </w:t>
      </w:r>
      <w:r w:rsidR="00E5053C" w:rsidRPr="00173DB5">
        <w:rPr>
          <w:rFonts w:ascii="Calibri" w:hAnsi="Calibri"/>
          <w:sz w:val="22"/>
          <w:szCs w:val="22"/>
        </w:rPr>
        <w:t>indicators</w:t>
      </w:r>
      <w:r>
        <w:rPr>
          <w:rFonts w:ascii="Calibri" w:hAnsi="Calibri"/>
          <w:sz w:val="22"/>
          <w:szCs w:val="22"/>
        </w:rPr>
        <w:t xml:space="preserve"> can</w:t>
      </w:r>
      <w:r w:rsidR="00E5053C" w:rsidRPr="00173DB5">
        <w:rPr>
          <w:rFonts w:ascii="Calibri" w:hAnsi="Calibri"/>
          <w:sz w:val="22"/>
          <w:szCs w:val="22"/>
        </w:rPr>
        <w:t xml:space="preserve"> be developed for Outcome 2 of the </w:t>
      </w:r>
      <w:proofErr w:type="spellStart"/>
      <w:r w:rsidR="00E5053C" w:rsidRPr="00173DB5">
        <w:rPr>
          <w:rFonts w:ascii="Calibri" w:hAnsi="Calibri"/>
          <w:sz w:val="22"/>
          <w:szCs w:val="22"/>
        </w:rPr>
        <w:t>lo</w:t>
      </w:r>
      <w:r w:rsidR="00CE7CA3">
        <w:rPr>
          <w:rFonts w:ascii="Calibri" w:hAnsi="Calibri"/>
          <w:sz w:val="22"/>
          <w:szCs w:val="22"/>
        </w:rPr>
        <w:t>gframe</w:t>
      </w:r>
      <w:proofErr w:type="spellEnd"/>
      <w:r>
        <w:rPr>
          <w:rFonts w:ascii="Calibri" w:hAnsi="Calibri"/>
          <w:sz w:val="22"/>
          <w:szCs w:val="22"/>
        </w:rPr>
        <w:t>. Th</w:t>
      </w:r>
      <w:r w:rsidR="005C27B0">
        <w:rPr>
          <w:rFonts w:ascii="Calibri" w:hAnsi="Calibri"/>
          <w:sz w:val="22"/>
          <w:szCs w:val="22"/>
        </w:rPr>
        <w:t>is would improve the assessment of EBF</w:t>
      </w:r>
      <w:r>
        <w:rPr>
          <w:rFonts w:ascii="Calibri" w:hAnsi="Calibri"/>
          <w:sz w:val="22"/>
          <w:szCs w:val="22"/>
        </w:rPr>
        <w:t xml:space="preserve">’s impact </w:t>
      </w:r>
      <w:r w:rsidR="00AE6ED5">
        <w:rPr>
          <w:rFonts w:ascii="Calibri" w:hAnsi="Calibri"/>
          <w:sz w:val="22"/>
          <w:szCs w:val="22"/>
        </w:rPr>
        <w:t xml:space="preserve">on </w:t>
      </w:r>
      <w:r w:rsidR="00AE6ED5" w:rsidRPr="00173DB5">
        <w:rPr>
          <w:rFonts w:ascii="Calibri" w:hAnsi="Calibri"/>
          <w:sz w:val="22"/>
          <w:szCs w:val="22"/>
        </w:rPr>
        <w:t>‘</w:t>
      </w:r>
      <w:r w:rsidR="00276974" w:rsidRPr="00173DB5">
        <w:rPr>
          <w:rFonts w:ascii="Calibri" w:hAnsi="Calibri"/>
          <w:sz w:val="22"/>
          <w:szCs w:val="22"/>
        </w:rPr>
        <w:t>behaviour change</w:t>
      </w:r>
      <w:r w:rsidR="005417F0" w:rsidRPr="00173DB5">
        <w:rPr>
          <w:rFonts w:ascii="Calibri" w:hAnsi="Calibri"/>
          <w:sz w:val="22"/>
          <w:szCs w:val="22"/>
        </w:rPr>
        <w:t xml:space="preserve"> embedding</w:t>
      </w:r>
      <w:r w:rsidR="00E5053C" w:rsidRPr="00173DB5">
        <w:rPr>
          <w:rFonts w:ascii="Calibri" w:hAnsi="Calibri"/>
          <w:sz w:val="22"/>
          <w:szCs w:val="22"/>
        </w:rPr>
        <w:t xml:space="preserve"> in downstream lenders and </w:t>
      </w:r>
      <w:r w:rsidR="00261682">
        <w:rPr>
          <w:rFonts w:ascii="Calibri" w:hAnsi="Calibri"/>
          <w:iCs/>
          <w:sz w:val="22"/>
          <w:szCs w:val="22"/>
        </w:rPr>
        <w:t>FIs.</w:t>
      </w:r>
    </w:p>
    <w:p w14:paraId="29894CB4" w14:textId="77777777" w:rsidR="00B35BFD" w:rsidRPr="00B35BFD" w:rsidRDefault="00B35BFD" w:rsidP="00B35BFD">
      <w:pPr>
        <w:pStyle w:val="Normal1"/>
        <w:tabs>
          <w:tab w:val="left" w:pos="6915"/>
          <w:tab w:val="left" w:pos="9495"/>
        </w:tabs>
        <w:spacing w:after="120" w:line="276" w:lineRule="auto"/>
        <w:jc w:val="both"/>
        <w:rPr>
          <w:rFonts w:ascii="Calibri" w:hAnsi="Calibri"/>
          <w:sz w:val="22"/>
          <w:szCs w:val="22"/>
        </w:rPr>
      </w:pPr>
    </w:p>
    <w:p w14:paraId="08FB9221" w14:textId="77777777" w:rsidR="000004E0" w:rsidRPr="00D0005A" w:rsidRDefault="000004E0" w:rsidP="00C72AD6">
      <w:r w:rsidRPr="00D0005A">
        <w:br w:type="page"/>
      </w:r>
    </w:p>
    <w:p w14:paraId="3621B370" w14:textId="0D54D60B" w:rsidR="000004E0" w:rsidRPr="000004E0" w:rsidRDefault="00360100" w:rsidP="004265A7">
      <w:pPr>
        <w:pStyle w:val="Heading2"/>
      </w:pPr>
      <w:bookmarkStart w:id="1" w:name="_Toc15984383"/>
      <w:r>
        <w:lastRenderedPageBreak/>
        <w:t>A</w:t>
      </w:r>
      <w:r w:rsidR="000004E0" w:rsidRPr="000004E0">
        <w:t>: PERFORMANCE AND CONCLUSIONS</w:t>
      </w:r>
      <w:bookmarkEnd w:id="1"/>
    </w:p>
    <w:p w14:paraId="45ED930C"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Annual outcome assessment </w:t>
      </w:r>
    </w:p>
    <w:p w14:paraId="462F1883" w14:textId="77777777" w:rsidR="000004E0" w:rsidRPr="00D0005A" w:rsidRDefault="000004E0" w:rsidP="000004E0">
      <w:pPr>
        <w:pStyle w:val="Normal1"/>
        <w:spacing w:after="120" w:line="276" w:lineRule="auto"/>
        <w:jc w:val="both"/>
        <w:rPr>
          <w:rFonts w:ascii="Calibri" w:hAnsi="Calibri"/>
          <w:sz w:val="22"/>
          <w:szCs w:val="22"/>
        </w:rPr>
      </w:pPr>
      <w:r w:rsidRPr="00D0005A">
        <w:rPr>
          <w:rFonts w:ascii="Calibri" w:hAnsi="Calibri"/>
          <w:sz w:val="22"/>
          <w:szCs w:val="22"/>
        </w:rPr>
        <w:t xml:space="preserve">Outcome </w:t>
      </w:r>
      <w:r w:rsidR="00A91840">
        <w:rPr>
          <w:rFonts w:ascii="Calibri" w:hAnsi="Calibri"/>
          <w:sz w:val="22"/>
          <w:szCs w:val="22"/>
        </w:rPr>
        <w:t xml:space="preserve">indicators are </w:t>
      </w:r>
      <w:r w:rsidRPr="00D0005A">
        <w:rPr>
          <w:rFonts w:ascii="Calibri" w:hAnsi="Calibri"/>
          <w:sz w:val="22"/>
          <w:szCs w:val="22"/>
        </w:rPr>
        <w:t>defined as:</w:t>
      </w:r>
    </w:p>
    <w:p w14:paraId="17CC3BAC" w14:textId="77777777" w:rsidR="000004E0" w:rsidRPr="00D0005A" w:rsidRDefault="000004E0" w:rsidP="000C4D59">
      <w:pPr>
        <w:pStyle w:val="ListParagraph"/>
        <w:numPr>
          <w:ilvl w:val="0"/>
          <w:numId w:val="13"/>
        </w:numPr>
      </w:pPr>
      <w:r w:rsidRPr="00D0005A">
        <w:t xml:space="preserve">EBF's success in contributing to biodiversity conservation, </w:t>
      </w:r>
      <w:r w:rsidR="002363D1">
        <w:t xml:space="preserve">the </w:t>
      </w:r>
      <w:r w:rsidRPr="00D0005A">
        <w:t>sustainable use of natural resources and climate c</w:t>
      </w:r>
      <w:r w:rsidR="002363D1">
        <w:t>hange adaptation and mitigation; and this success creating an incentive for others to also act towards these goals.</w:t>
      </w:r>
    </w:p>
    <w:p w14:paraId="111A0669" w14:textId="2381EC7B" w:rsidR="000004E0" w:rsidRDefault="002363D1" w:rsidP="002363D1">
      <w:pPr>
        <w:pStyle w:val="ListParagraph"/>
        <w:numPr>
          <w:ilvl w:val="0"/>
          <w:numId w:val="13"/>
        </w:numPr>
      </w:pPr>
      <w:r>
        <w:t>Level of b</w:t>
      </w:r>
      <w:r w:rsidR="000004E0" w:rsidRPr="00D0005A">
        <w:t>ehaviour</w:t>
      </w:r>
      <w:r>
        <w:t>al</w:t>
      </w:r>
      <w:r w:rsidR="000004E0" w:rsidRPr="00D0005A">
        <w:t xml:space="preserve"> change embedded in downstream lenders and </w:t>
      </w:r>
      <w:r w:rsidR="00261682">
        <w:rPr>
          <w:iCs/>
        </w:rPr>
        <w:t>FIs</w:t>
      </w:r>
      <w:r w:rsidR="000004E0" w:rsidRPr="00D0005A">
        <w:t>.</w:t>
      </w:r>
    </w:p>
    <w:p w14:paraId="360A83A8" w14:textId="77777777" w:rsidR="00AE6ED5" w:rsidRPr="006C4EEA" w:rsidRDefault="00AE6ED5" w:rsidP="00AE6ED5">
      <w:pPr>
        <w:pStyle w:val="Normal1"/>
        <w:spacing w:after="120" w:line="276" w:lineRule="auto"/>
        <w:jc w:val="both"/>
        <w:rPr>
          <w:rFonts w:ascii="Calibri" w:hAnsi="Calibri"/>
          <w:b/>
          <w:sz w:val="22"/>
          <w:szCs w:val="22"/>
        </w:rPr>
      </w:pPr>
      <w:r w:rsidRPr="006C4EEA">
        <w:rPr>
          <w:rFonts w:ascii="Calibri" w:hAnsi="Calibri"/>
          <w:b/>
          <w:sz w:val="22"/>
          <w:szCs w:val="22"/>
        </w:rPr>
        <w:t>Progress on Outcome Targets:</w:t>
      </w:r>
    </w:p>
    <w:p w14:paraId="4C69879E" w14:textId="4400B2AD" w:rsidR="00AE6ED5" w:rsidRDefault="00AE6ED5" w:rsidP="00AE6ED5">
      <w:pPr>
        <w:pStyle w:val="Normal1"/>
        <w:spacing w:after="120" w:line="276" w:lineRule="auto"/>
        <w:jc w:val="both"/>
        <w:rPr>
          <w:rFonts w:ascii="Calibri" w:hAnsi="Calibri"/>
          <w:sz w:val="22"/>
          <w:szCs w:val="22"/>
        </w:rPr>
      </w:pPr>
      <w:r>
        <w:rPr>
          <w:rFonts w:ascii="Calibri" w:hAnsi="Calibri"/>
          <w:sz w:val="22"/>
          <w:szCs w:val="22"/>
        </w:rPr>
        <w:t xml:space="preserve">The EBF is on track to meet its targets for key indicators such as financing volume and the number of hectares under sustainable management and committed to deforestation-free activities. Additionally, a new ICF KPI has been developed, </w:t>
      </w:r>
      <w:r w:rsidR="0067327F">
        <w:rPr>
          <w:rFonts w:ascii="Calibri" w:hAnsi="Calibri"/>
          <w:sz w:val="22"/>
          <w:szCs w:val="22"/>
        </w:rPr>
        <w:t xml:space="preserve">net </w:t>
      </w:r>
      <w:r>
        <w:rPr>
          <w:rFonts w:ascii="Calibri" w:hAnsi="Calibri"/>
          <w:sz w:val="22"/>
          <w:szCs w:val="22"/>
        </w:rPr>
        <w:t>CO</w:t>
      </w:r>
      <w:r w:rsidRPr="00F4157F">
        <w:rPr>
          <w:rFonts w:ascii="Calibri" w:hAnsi="Calibri"/>
          <w:sz w:val="22"/>
          <w:szCs w:val="22"/>
          <w:vertAlign w:val="subscript"/>
        </w:rPr>
        <w:t>2</w:t>
      </w:r>
      <w:r w:rsidRPr="00066A36">
        <w:rPr>
          <w:rFonts w:ascii="Calibri" w:hAnsi="Calibri"/>
          <w:sz w:val="22"/>
          <w:szCs w:val="22"/>
        </w:rPr>
        <w:t xml:space="preserve"> </w:t>
      </w:r>
      <w:r w:rsidRPr="003C5D74">
        <w:rPr>
          <w:rFonts w:ascii="Calibri" w:hAnsi="Calibri"/>
          <w:sz w:val="22"/>
          <w:szCs w:val="22"/>
        </w:rPr>
        <w:t>sequestered</w:t>
      </w:r>
      <w:r>
        <w:rPr>
          <w:rFonts w:ascii="Calibri" w:hAnsi="Calibri"/>
          <w:sz w:val="22"/>
          <w:szCs w:val="22"/>
        </w:rPr>
        <w:t xml:space="preserve"> throughout portfolio of EBF investments.</w:t>
      </w:r>
    </w:p>
    <w:p w14:paraId="2E74A437" w14:textId="77777777" w:rsidR="003213A2" w:rsidRPr="00731F99" w:rsidRDefault="000004E0" w:rsidP="000004E0">
      <w:pPr>
        <w:pStyle w:val="Normal1"/>
        <w:spacing w:after="120" w:line="276" w:lineRule="auto"/>
        <w:jc w:val="both"/>
        <w:rPr>
          <w:rFonts w:ascii="Calibri" w:hAnsi="Calibri"/>
          <w:b/>
          <w:sz w:val="22"/>
          <w:szCs w:val="22"/>
        </w:rPr>
      </w:pPr>
      <w:r w:rsidRPr="002363D1">
        <w:rPr>
          <w:rFonts w:ascii="Calibri" w:hAnsi="Calibri"/>
          <w:b/>
          <w:sz w:val="22"/>
          <w:szCs w:val="22"/>
        </w:rPr>
        <w:t>Outcome 1</w:t>
      </w:r>
      <w:r w:rsidR="000C4D59">
        <w:rPr>
          <w:rFonts w:ascii="Calibri" w:hAnsi="Calibri"/>
          <w:b/>
          <w:sz w:val="22"/>
          <w:szCs w:val="22"/>
        </w:rPr>
        <w:t xml:space="preserve"> – </w:t>
      </w:r>
      <w:r w:rsidR="000C4D59" w:rsidRPr="00731F99">
        <w:rPr>
          <w:rFonts w:ascii="Calibri" w:hAnsi="Calibri"/>
          <w:b/>
          <w:sz w:val="22"/>
          <w:szCs w:val="22"/>
        </w:rPr>
        <w:t>P</w:t>
      </w:r>
      <w:r w:rsidRPr="00731F99">
        <w:rPr>
          <w:rFonts w:ascii="Calibri" w:hAnsi="Calibri"/>
          <w:b/>
          <w:sz w:val="22"/>
          <w:szCs w:val="22"/>
        </w:rPr>
        <w:t>erformance:</w:t>
      </w:r>
      <w:r w:rsidR="00EC20A4" w:rsidRPr="00731F99">
        <w:rPr>
          <w:rFonts w:ascii="Calibri" w:hAnsi="Calibri"/>
          <w:b/>
          <w:sz w:val="22"/>
          <w:szCs w:val="22"/>
        </w:rPr>
        <w:t xml:space="preserve"> </w:t>
      </w:r>
    </w:p>
    <w:p w14:paraId="4BCCA30D" w14:textId="2F50AD14" w:rsidR="00CD70CC" w:rsidRPr="00731F99" w:rsidRDefault="002363D1" w:rsidP="00F32CE4">
      <w:pPr>
        <w:pStyle w:val="Normal1"/>
        <w:numPr>
          <w:ilvl w:val="0"/>
          <w:numId w:val="36"/>
        </w:numPr>
        <w:spacing w:after="120" w:line="276" w:lineRule="auto"/>
        <w:jc w:val="both"/>
        <w:rPr>
          <w:rFonts w:ascii="Calibri" w:hAnsi="Calibri"/>
          <w:sz w:val="22"/>
          <w:szCs w:val="22"/>
        </w:rPr>
      </w:pPr>
      <w:r w:rsidRPr="00731F99">
        <w:rPr>
          <w:rFonts w:ascii="Calibri" w:hAnsi="Calibri"/>
          <w:sz w:val="22"/>
          <w:szCs w:val="22"/>
        </w:rPr>
        <w:t>Met</w:t>
      </w:r>
      <w:r w:rsidR="003213A2" w:rsidRPr="00731F99">
        <w:rPr>
          <w:rFonts w:ascii="Calibri" w:hAnsi="Calibri"/>
          <w:sz w:val="22"/>
          <w:szCs w:val="22"/>
        </w:rPr>
        <w:t xml:space="preserve">rics within Outcome 1 show </w:t>
      </w:r>
      <w:r w:rsidR="00221251" w:rsidRPr="00731F99">
        <w:rPr>
          <w:rFonts w:ascii="Calibri" w:hAnsi="Calibri"/>
          <w:sz w:val="22"/>
          <w:szCs w:val="22"/>
        </w:rPr>
        <w:t>the Fund remained slightly under</w:t>
      </w:r>
      <w:r w:rsidR="00771CB1" w:rsidRPr="00731F99">
        <w:rPr>
          <w:rFonts w:ascii="Calibri" w:hAnsi="Calibri"/>
          <w:sz w:val="22"/>
          <w:szCs w:val="22"/>
        </w:rPr>
        <w:t xml:space="preserve"> the </w:t>
      </w:r>
      <w:r w:rsidR="00A5364C" w:rsidRPr="00731F99">
        <w:rPr>
          <w:rFonts w:ascii="Calibri" w:hAnsi="Calibri"/>
          <w:sz w:val="22"/>
          <w:szCs w:val="22"/>
        </w:rPr>
        <w:t xml:space="preserve">Defra </w:t>
      </w:r>
      <w:r w:rsidR="00771CB1" w:rsidRPr="00731F99">
        <w:rPr>
          <w:rFonts w:ascii="Calibri" w:hAnsi="Calibri"/>
          <w:sz w:val="22"/>
          <w:szCs w:val="22"/>
        </w:rPr>
        <w:t xml:space="preserve">target portfolio size of USD 277m. </w:t>
      </w:r>
    </w:p>
    <w:p w14:paraId="04981819" w14:textId="6E2999B3" w:rsidR="00CD70CC" w:rsidRDefault="00771CB1" w:rsidP="00F32CE4">
      <w:pPr>
        <w:pStyle w:val="Normal1"/>
        <w:numPr>
          <w:ilvl w:val="0"/>
          <w:numId w:val="36"/>
        </w:numPr>
        <w:spacing w:after="120" w:line="276" w:lineRule="auto"/>
        <w:jc w:val="both"/>
        <w:rPr>
          <w:rFonts w:ascii="Calibri" w:hAnsi="Calibri"/>
          <w:sz w:val="22"/>
          <w:szCs w:val="22"/>
        </w:rPr>
      </w:pPr>
      <w:r>
        <w:rPr>
          <w:rFonts w:ascii="Calibri" w:hAnsi="Calibri"/>
          <w:sz w:val="22"/>
          <w:szCs w:val="22"/>
        </w:rPr>
        <w:t xml:space="preserve">Other metrics </w:t>
      </w:r>
      <w:r w:rsidR="00FB6FD6">
        <w:rPr>
          <w:rFonts w:ascii="Calibri" w:hAnsi="Calibri"/>
          <w:sz w:val="22"/>
          <w:szCs w:val="22"/>
        </w:rPr>
        <w:t xml:space="preserve">for </w:t>
      </w:r>
      <w:r>
        <w:rPr>
          <w:rFonts w:ascii="Calibri" w:hAnsi="Calibri"/>
          <w:sz w:val="22"/>
          <w:szCs w:val="22"/>
        </w:rPr>
        <w:t xml:space="preserve">this </w:t>
      </w:r>
      <w:r w:rsidR="00FB6FD6">
        <w:rPr>
          <w:rFonts w:ascii="Calibri" w:hAnsi="Calibri"/>
          <w:sz w:val="22"/>
          <w:szCs w:val="22"/>
        </w:rPr>
        <w:t>o</w:t>
      </w:r>
      <w:r>
        <w:rPr>
          <w:rFonts w:ascii="Calibri" w:hAnsi="Calibri"/>
          <w:sz w:val="22"/>
          <w:szCs w:val="22"/>
        </w:rPr>
        <w:t xml:space="preserve">utcome indicate that </w:t>
      </w:r>
      <w:r w:rsidR="00A91840">
        <w:rPr>
          <w:rFonts w:ascii="Calibri" w:hAnsi="Calibri"/>
          <w:sz w:val="22"/>
          <w:szCs w:val="22"/>
        </w:rPr>
        <w:t>140,000</w:t>
      </w:r>
      <w:r w:rsidR="002363D1">
        <w:rPr>
          <w:rFonts w:ascii="Calibri" w:hAnsi="Calibri"/>
          <w:sz w:val="22"/>
          <w:szCs w:val="22"/>
        </w:rPr>
        <w:t xml:space="preserve"> </w:t>
      </w:r>
      <w:r w:rsidR="00BA57CE">
        <w:rPr>
          <w:rFonts w:ascii="Calibri" w:hAnsi="Calibri"/>
          <w:sz w:val="22"/>
          <w:szCs w:val="22"/>
        </w:rPr>
        <w:t>H</w:t>
      </w:r>
      <w:r w:rsidR="002363D1">
        <w:rPr>
          <w:rFonts w:ascii="Calibri" w:hAnsi="Calibri"/>
          <w:sz w:val="22"/>
          <w:szCs w:val="22"/>
        </w:rPr>
        <w:t xml:space="preserve">a of land is now managed sustainably against a </w:t>
      </w:r>
      <w:r w:rsidR="00A91840">
        <w:rPr>
          <w:rFonts w:ascii="Calibri" w:hAnsi="Calibri"/>
          <w:sz w:val="22"/>
          <w:szCs w:val="22"/>
        </w:rPr>
        <w:t>2017 level</w:t>
      </w:r>
      <w:r w:rsidR="002363D1">
        <w:rPr>
          <w:rFonts w:ascii="Calibri" w:hAnsi="Calibri"/>
          <w:sz w:val="22"/>
          <w:szCs w:val="22"/>
        </w:rPr>
        <w:t xml:space="preserve"> of </w:t>
      </w:r>
      <w:r w:rsidR="00A91840">
        <w:rPr>
          <w:rFonts w:ascii="Calibri" w:hAnsi="Calibri"/>
          <w:sz w:val="22"/>
          <w:szCs w:val="22"/>
        </w:rPr>
        <w:t>55,759</w:t>
      </w:r>
      <w:r w:rsidR="00FB6FD6">
        <w:rPr>
          <w:rFonts w:ascii="Calibri" w:hAnsi="Calibri"/>
          <w:sz w:val="22"/>
          <w:szCs w:val="22"/>
        </w:rPr>
        <w:t xml:space="preserve"> </w:t>
      </w:r>
      <w:r w:rsidR="00BA57CE">
        <w:rPr>
          <w:rFonts w:ascii="Calibri" w:hAnsi="Calibri"/>
          <w:sz w:val="22"/>
          <w:szCs w:val="22"/>
        </w:rPr>
        <w:t>H</w:t>
      </w:r>
      <w:r w:rsidR="00FB6FD6">
        <w:rPr>
          <w:rFonts w:ascii="Calibri" w:hAnsi="Calibri"/>
          <w:sz w:val="22"/>
          <w:szCs w:val="22"/>
        </w:rPr>
        <w:t>a</w:t>
      </w:r>
      <w:r w:rsidR="00A91840">
        <w:rPr>
          <w:rFonts w:ascii="Calibri" w:hAnsi="Calibri"/>
          <w:sz w:val="22"/>
          <w:szCs w:val="22"/>
        </w:rPr>
        <w:t xml:space="preserve">, substantially </w:t>
      </w:r>
      <w:r w:rsidR="00FE4E00">
        <w:rPr>
          <w:rFonts w:ascii="Calibri" w:hAnsi="Calibri"/>
          <w:sz w:val="22"/>
          <w:szCs w:val="22"/>
        </w:rPr>
        <w:t>exceeding</w:t>
      </w:r>
      <w:r w:rsidR="00FF10A3">
        <w:rPr>
          <w:rFonts w:ascii="Calibri" w:hAnsi="Calibri"/>
          <w:sz w:val="22"/>
          <w:szCs w:val="22"/>
        </w:rPr>
        <w:t xml:space="preserve"> the milestone target of 95,000</w:t>
      </w:r>
      <w:r w:rsidR="00FB6FD6">
        <w:rPr>
          <w:rFonts w:ascii="Calibri" w:hAnsi="Calibri"/>
          <w:sz w:val="22"/>
          <w:szCs w:val="22"/>
        </w:rPr>
        <w:t xml:space="preserve"> </w:t>
      </w:r>
      <w:r w:rsidR="00BA57CE">
        <w:rPr>
          <w:rFonts w:ascii="Calibri" w:hAnsi="Calibri"/>
          <w:sz w:val="22"/>
          <w:szCs w:val="22"/>
        </w:rPr>
        <w:t>H</w:t>
      </w:r>
      <w:r w:rsidR="00FB6FD6">
        <w:rPr>
          <w:rFonts w:ascii="Calibri" w:hAnsi="Calibri"/>
          <w:sz w:val="22"/>
          <w:szCs w:val="22"/>
        </w:rPr>
        <w:t>a</w:t>
      </w:r>
      <w:r>
        <w:rPr>
          <w:rFonts w:ascii="Calibri" w:hAnsi="Calibri"/>
          <w:sz w:val="22"/>
          <w:szCs w:val="22"/>
        </w:rPr>
        <w:t>.</w:t>
      </w:r>
      <w:r w:rsidR="00B42F00">
        <w:rPr>
          <w:rFonts w:ascii="Calibri" w:hAnsi="Calibri"/>
          <w:sz w:val="22"/>
          <w:szCs w:val="22"/>
        </w:rPr>
        <w:t xml:space="preserve"> This has been</w:t>
      </w:r>
      <w:r w:rsidR="00152292">
        <w:rPr>
          <w:rFonts w:ascii="Calibri" w:hAnsi="Calibri"/>
          <w:sz w:val="22"/>
          <w:szCs w:val="22"/>
        </w:rPr>
        <w:t xml:space="preserve"> due to an increase in</w:t>
      </w:r>
      <w:r w:rsidR="00F32CE4">
        <w:rPr>
          <w:rFonts w:ascii="Calibri" w:hAnsi="Calibri"/>
          <w:sz w:val="22"/>
          <w:szCs w:val="22"/>
        </w:rPr>
        <w:t xml:space="preserve"> investments</w:t>
      </w:r>
      <w:r w:rsidR="00E27845">
        <w:rPr>
          <w:rFonts w:ascii="Calibri" w:hAnsi="Calibri"/>
          <w:sz w:val="22"/>
          <w:szCs w:val="22"/>
        </w:rPr>
        <w:t xml:space="preserve"> to </w:t>
      </w:r>
      <w:r w:rsidR="00F32CE4">
        <w:rPr>
          <w:rFonts w:ascii="Calibri" w:hAnsi="Calibri"/>
          <w:sz w:val="22"/>
          <w:szCs w:val="22"/>
        </w:rPr>
        <w:t>sustainable livestock farming</w:t>
      </w:r>
      <w:r w:rsidR="00E27845">
        <w:rPr>
          <w:rFonts w:ascii="Calibri" w:hAnsi="Calibri"/>
          <w:sz w:val="22"/>
          <w:szCs w:val="22"/>
        </w:rPr>
        <w:t xml:space="preserve"> which cover an increased area of land over other commodities.</w:t>
      </w:r>
      <w:r w:rsidR="00E47DAC">
        <w:rPr>
          <w:rFonts w:ascii="Calibri" w:hAnsi="Calibri"/>
          <w:sz w:val="22"/>
          <w:szCs w:val="22"/>
        </w:rPr>
        <w:t xml:space="preserve"> </w:t>
      </w:r>
      <w:r w:rsidR="008625ED">
        <w:rPr>
          <w:rFonts w:ascii="Calibri" w:hAnsi="Calibri"/>
          <w:sz w:val="22"/>
          <w:szCs w:val="22"/>
        </w:rPr>
        <w:t>Of the 140,000</w:t>
      </w:r>
      <w:r>
        <w:rPr>
          <w:rFonts w:ascii="Calibri" w:hAnsi="Calibri"/>
          <w:sz w:val="22"/>
          <w:szCs w:val="22"/>
        </w:rPr>
        <w:t>,</w:t>
      </w:r>
      <w:r w:rsidR="0036618A">
        <w:rPr>
          <w:rFonts w:ascii="Calibri" w:hAnsi="Calibri"/>
          <w:sz w:val="22"/>
          <w:szCs w:val="22"/>
        </w:rPr>
        <w:t xml:space="preserve"> 86,800 </w:t>
      </w:r>
      <w:r w:rsidR="000B09FC">
        <w:rPr>
          <w:rFonts w:ascii="Calibri" w:hAnsi="Calibri"/>
          <w:sz w:val="22"/>
          <w:szCs w:val="22"/>
        </w:rPr>
        <w:t>is held by sub-borrowers committed to deforestation-free activities,</w:t>
      </w:r>
      <w:r w:rsidR="00CD70CC">
        <w:rPr>
          <w:rFonts w:ascii="Calibri" w:hAnsi="Calibri"/>
          <w:sz w:val="22"/>
          <w:szCs w:val="22"/>
        </w:rPr>
        <w:t xml:space="preserve"> up from</w:t>
      </w:r>
      <w:r w:rsidR="000B09FC">
        <w:rPr>
          <w:rFonts w:ascii="Calibri" w:hAnsi="Calibri"/>
          <w:sz w:val="22"/>
          <w:szCs w:val="22"/>
        </w:rPr>
        <w:t xml:space="preserve"> 42,000 in 2017.</w:t>
      </w:r>
      <w:r w:rsidR="00FF10A3">
        <w:rPr>
          <w:rFonts w:ascii="Calibri" w:hAnsi="Calibri"/>
          <w:sz w:val="22"/>
          <w:szCs w:val="22"/>
        </w:rPr>
        <w:t xml:space="preserve"> </w:t>
      </w:r>
    </w:p>
    <w:p w14:paraId="59E1198C" w14:textId="2D0DA98E" w:rsidR="00CD70CC" w:rsidRDefault="00FF10A3" w:rsidP="00F32CE4">
      <w:pPr>
        <w:pStyle w:val="Normal1"/>
        <w:numPr>
          <w:ilvl w:val="0"/>
          <w:numId w:val="36"/>
        </w:numPr>
        <w:spacing w:after="120" w:line="276" w:lineRule="auto"/>
        <w:jc w:val="both"/>
        <w:rPr>
          <w:rFonts w:ascii="Calibri" w:hAnsi="Calibri"/>
          <w:sz w:val="22"/>
          <w:szCs w:val="22"/>
        </w:rPr>
      </w:pPr>
      <w:r>
        <w:rPr>
          <w:rFonts w:ascii="Calibri" w:hAnsi="Calibri"/>
          <w:sz w:val="22"/>
          <w:szCs w:val="22"/>
        </w:rPr>
        <w:t>5</w:t>
      </w:r>
      <w:r w:rsidR="008625ED">
        <w:rPr>
          <w:rFonts w:ascii="Calibri" w:hAnsi="Calibri"/>
          <w:sz w:val="22"/>
          <w:szCs w:val="22"/>
        </w:rPr>
        <w:t>,</w:t>
      </w:r>
      <w:r>
        <w:rPr>
          <w:rFonts w:ascii="Calibri" w:hAnsi="Calibri"/>
          <w:sz w:val="22"/>
          <w:szCs w:val="22"/>
        </w:rPr>
        <w:t>000-6</w:t>
      </w:r>
      <w:r w:rsidR="008625ED">
        <w:rPr>
          <w:rFonts w:ascii="Calibri" w:hAnsi="Calibri"/>
          <w:sz w:val="22"/>
          <w:szCs w:val="22"/>
        </w:rPr>
        <w:t>,</w:t>
      </w:r>
      <w:r>
        <w:rPr>
          <w:rFonts w:ascii="Calibri" w:hAnsi="Calibri"/>
          <w:sz w:val="22"/>
          <w:szCs w:val="22"/>
        </w:rPr>
        <w:t xml:space="preserve">000 Ha of preserved natural ecosystems. </w:t>
      </w:r>
    </w:p>
    <w:p w14:paraId="1C73FD94" w14:textId="77777777" w:rsidR="00392CDF" w:rsidRDefault="000B09FC" w:rsidP="00F32CE4">
      <w:pPr>
        <w:pStyle w:val="Normal1"/>
        <w:numPr>
          <w:ilvl w:val="0"/>
          <w:numId w:val="36"/>
        </w:numPr>
        <w:spacing w:after="120" w:line="276" w:lineRule="auto"/>
        <w:jc w:val="both"/>
        <w:rPr>
          <w:rFonts w:ascii="Calibri" w:hAnsi="Calibri"/>
          <w:sz w:val="22"/>
          <w:szCs w:val="22"/>
        </w:rPr>
      </w:pPr>
      <w:r w:rsidRPr="00A5364C">
        <w:rPr>
          <w:rFonts w:ascii="Calibri" w:hAnsi="Calibri"/>
          <w:sz w:val="22"/>
          <w:szCs w:val="22"/>
        </w:rPr>
        <w:t>£6.8m</w:t>
      </w:r>
      <w:r w:rsidR="008625ED" w:rsidRPr="00A5364C">
        <w:rPr>
          <w:rFonts w:ascii="Calibri" w:hAnsi="Calibri"/>
          <w:sz w:val="22"/>
          <w:szCs w:val="22"/>
        </w:rPr>
        <w:t xml:space="preserve"> of</w:t>
      </w:r>
      <w:r w:rsidRPr="00A5364C">
        <w:rPr>
          <w:rFonts w:ascii="Calibri" w:hAnsi="Calibri"/>
          <w:sz w:val="22"/>
          <w:szCs w:val="22"/>
        </w:rPr>
        <w:t xml:space="preserve"> private and £17.8m</w:t>
      </w:r>
      <w:r w:rsidR="008625ED" w:rsidRPr="00A5364C">
        <w:rPr>
          <w:rFonts w:ascii="Calibri" w:hAnsi="Calibri"/>
          <w:sz w:val="22"/>
          <w:szCs w:val="22"/>
        </w:rPr>
        <w:t xml:space="preserve"> of</w:t>
      </w:r>
      <w:r>
        <w:rPr>
          <w:rFonts w:ascii="Calibri" w:hAnsi="Calibri"/>
          <w:sz w:val="22"/>
          <w:szCs w:val="22"/>
        </w:rPr>
        <w:t xml:space="preserve"> public capital has been</w:t>
      </w:r>
      <w:r w:rsidR="00771CB1">
        <w:rPr>
          <w:rFonts w:ascii="Calibri" w:hAnsi="Calibri"/>
          <w:sz w:val="22"/>
          <w:szCs w:val="22"/>
        </w:rPr>
        <w:t xml:space="preserve"> raised</w:t>
      </w:r>
      <w:r>
        <w:rPr>
          <w:rFonts w:ascii="Calibri" w:hAnsi="Calibri"/>
          <w:sz w:val="22"/>
          <w:szCs w:val="22"/>
        </w:rPr>
        <w:t xml:space="preserve"> for the purposes of climate change as a result of ICF funding</w:t>
      </w:r>
    </w:p>
    <w:p w14:paraId="674BA4F8" w14:textId="5854A4B1" w:rsidR="001A5D74" w:rsidRPr="00DB4DBB" w:rsidRDefault="001A5D74" w:rsidP="00F32CE4">
      <w:pPr>
        <w:pStyle w:val="Normal1"/>
        <w:numPr>
          <w:ilvl w:val="0"/>
          <w:numId w:val="36"/>
        </w:numPr>
        <w:spacing w:after="120" w:line="276" w:lineRule="auto"/>
        <w:jc w:val="both"/>
        <w:rPr>
          <w:rFonts w:ascii="Calibri" w:hAnsi="Calibri"/>
          <w:sz w:val="22"/>
          <w:szCs w:val="22"/>
        </w:rPr>
      </w:pPr>
      <w:r w:rsidRPr="00CD70CC">
        <w:rPr>
          <w:rFonts w:ascii="Calibri" w:hAnsi="Calibri"/>
          <w:sz w:val="22"/>
          <w:szCs w:val="22"/>
        </w:rPr>
        <w:t xml:space="preserve">This year, an additional indicator has been developed and included in Outcome 1, net </w:t>
      </w:r>
      <w:r w:rsidR="00782979" w:rsidRPr="00CD70CC">
        <w:rPr>
          <w:rFonts w:ascii="Calibri" w:hAnsi="Calibri"/>
          <w:sz w:val="22"/>
          <w:szCs w:val="22"/>
        </w:rPr>
        <w:t>CO</w:t>
      </w:r>
      <w:r w:rsidR="00782979" w:rsidRPr="00CD70CC">
        <w:rPr>
          <w:rFonts w:ascii="Calibri" w:hAnsi="Calibri"/>
          <w:sz w:val="22"/>
          <w:szCs w:val="22"/>
          <w:vertAlign w:val="subscript"/>
        </w:rPr>
        <w:t xml:space="preserve">2 </w:t>
      </w:r>
      <w:r w:rsidR="00782979" w:rsidRPr="00A25907">
        <w:rPr>
          <w:rFonts w:ascii="Calibri" w:hAnsi="Calibri"/>
          <w:sz w:val="22"/>
          <w:szCs w:val="22"/>
        </w:rPr>
        <w:t>sequestration</w:t>
      </w:r>
      <w:r w:rsidRPr="00A25907">
        <w:rPr>
          <w:rFonts w:ascii="Calibri" w:hAnsi="Calibri"/>
          <w:sz w:val="22"/>
          <w:szCs w:val="22"/>
        </w:rPr>
        <w:t xml:space="preserve"> as a result of EBF investment. 600,000 </w:t>
      </w:r>
      <w:r w:rsidR="009B2DEA" w:rsidRPr="009420AA">
        <w:rPr>
          <w:rFonts w:ascii="Calibri" w:hAnsi="Calibri"/>
          <w:sz w:val="22"/>
          <w:szCs w:val="22"/>
        </w:rPr>
        <w:t xml:space="preserve">tons </w:t>
      </w:r>
      <w:r w:rsidRPr="009420AA">
        <w:rPr>
          <w:rFonts w:ascii="Calibri" w:hAnsi="Calibri"/>
          <w:sz w:val="22"/>
          <w:szCs w:val="22"/>
        </w:rPr>
        <w:t>CO</w:t>
      </w:r>
      <w:r w:rsidRPr="00DB4DBB">
        <w:rPr>
          <w:rFonts w:ascii="Calibri" w:hAnsi="Calibri"/>
          <w:sz w:val="22"/>
          <w:szCs w:val="22"/>
          <w:vertAlign w:val="subscript"/>
        </w:rPr>
        <w:t>2</w:t>
      </w:r>
      <w:r w:rsidRPr="00DB4DBB">
        <w:rPr>
          <w:rFonts w:ascii="Calibri" w:hAnsi="Calibri"/>
          <w:sz w:val="22"/>
          <w:szCs w:val="22"/>
        </w:rPr>
        <w:t xml:space="preserve"> has been reported by the fund, meeting its initial milestone.</w:t>
      </w:r>
    </w:p>
    <w:p w14:paraId="5C04AA5D" w14:textId="77777777" w:rsidR="000004E0" w:rsidRDefault="000C4D59" w:rsidP="000004E0">
      <w:pPr>
        <w:pStyle w:val="Normal1"/>
        <w:spacing w:after="120" w:line="276" w:lineRule="auto"/>
        <w:jc w:val="both"/>
        <w:rPr>
          <w:rFonts w:ascii="Calibri" w:hAnsi="Calibri"/>
          <w:b/>
          <w:sz w:val="22"/>
          <w:szCs w:val="22"/>
        </w:rPr>
      </w:pPr>
      <w:r>
        <w:rPr>
          <w:rFonts w:ascii="Calibri" w:hAnsi="Calibri"/>
          <w:b/>
          <w:sz w:val="22"/>
          <w:szCs w:val="22"/>
        </w:rPr>
        <w:t xml:space="preserve">Outcome 2 – </w:t>
      </w:r>
      <w:r w:rsidR="000004E0" w:rsidRPr="006C4EEA">
        <w:rPr>
          <w:rFonts w:ascii="Calibri" w:hAnsi="Calibri"/>
          <w:b/>
          <w:sz w:val="22"/>
          <w:szCs w:val="22"/>
        </w:rPr>
        <w:t>Performance:</w:t>
      </w:r>
    </w:p>
    <w:p w14:paraId="3A089DAF" w14:textId="514127CB" w:rsidR="006C4EEA" w:rsidRPr="006C4EEA" w:rsidRDefault="4162CDF4" w:rsidP="000004E0">
      <w:pPr>
        <w:pStyle w:val="Normal1"/>
        <w:spacing w:after="120" w:line="276" w:lineRule="auto"/>
        <w:jc w:val="both"/>
        <w:rPr>
          <w:rFonts w:ascii="Calibri" w:hAnsi="Calibri"/>
          <w:b/>
          <w:sz w:val="22"/>
          <w:szCs w:val="22"/>
        </w:rPr>
      </w:pPr>
      <w:r w:rsidRPr="4162CDF4">
        <w:rPr>
          <w:rFonts w:asciiTheme="minorHAnsi" w:eastAsiaTheme="minorEastAsia" w:hAnsiTheme="minorHAnsi" w:cstheme="minorBidi"/>
          <w:sz w:val="22"/>
          <w:szCs w:val="22"/>
        </w:rPr>
        <w:t>Metrics within Outcome 2 show that</w:t>
      </w:r>
      <w:r w:rsidRPr="2DCFF69D">
        <w:rPr>
          <w:rFonts w:asciiTheme="minorHAnsi" w:eastAsiaTheme="minorEastAsia" w:hAnsiTheme="minorHAnsi" w:cstheme="minorBidi"/>
          <w:sz w:val="22"/>
          <w:szCs w:val="22"/>
        </w:rPr>
        <w:t xml:space="preserve"> </w:t>
      </w:r>
      <w:r w:rsidR="00DF55C0">
        <w:rPr>
          <w:rFonts w:asciiTheme="minorHAnsi" w:eastAsiaTheme="minorEastAsia" w:hAnsiTheme="minorHAnsi" w:cstheme="minorBidi"/>
          <w:sz w:val="22"/>
          <w:szCs w:val="22"/>
        </w:rPr>
        <w:t>the number of</w:t>
      </w:r>
      <w:r w:rsidR="001A5D74">
        <w:rPr>
          <w:rFonts w:asciiTheme="minorHAnsi" w:eastAsiaTheme="minorEastAsia" w:hAnsiTheme="minorHAnsi" w:cstheme="minorBidi"/>
          <w:sz w:val="22"/>
          <w:szCs w:val="22"/>
        </w:rPr>
        <w:t xml:space="preserve"> sub-borrowers </w:t>
      </w:r>
      <w:r w:rsidR="00CD70CC">
        <w:rPr>
          <w:rFonts w:asciiTheme="minorHAnsi" w:eastAsiaTheme="minorEastAsia" w:hAnsiTheme="minorHAnsi" w:cstheme="minorBidi"/>
          <w:sz w:val="22"/>
          <w:szCs w:val="22"/>
        </w:rPr>
        <w:t>(</w:t>
      </w:r>
      <w:r w:rsidR="00DF55C0">
        <w:rPr>
          <w:rFonts w:asciiTheme="minorHAnsi" w:eastAsiaTheme="minorEastAsia" w:hAnsiTheme="minorHAnsi" w:cstheme="minorBidi"/>
          <w:sz w:val="22"/>
          <w:szCs w:val="22"/>
        </w:rPr>
        <w:t>is increasing</w:t>
      </w:r>
      <w:r w:rsidR="001A5D74">
        <w:rPr>
          <w:rFonts w:asciiTheme="minorHAnsi" w:eastAsiaTheme="minorEastAsia" w:hAnsiTheme="minorHAnsi" w:cstheme="minorBidi"/>
          <w:sz w:val="22"/>
          <w:szCs w:val="22"/>
        </w:rPr>
        <w:t>.</w:t>
      </w:r>
      <w:r w:rsidR="00FE4E00">
        <w:rPr>
          <w:rFonts w:asciiTheme="minorHAnsi" w:eastAsiaTheme="minorEastAsia" w:hAnsiTheme="minorHAnsi" w:cstheme="minorBidi"/>
          <w:sz w:val="22"/>
          <w:szCs w:val="22"/>
        </w:rPr>
        <w:t xml:space="preserve"> </w:t>
      </w:r>
    </w:p>
    <w:p w14:paraId="552476BE" w14:textId="77777777" w:rsidR="00A50C83" w:rsidRDefault="00A50C83" w:rsidP="000004E0">
      <w:pPr>
        <w:pStyle w:val="Normal1"/>
        <w:spacing w:after="120" w:line="276" w:lineRule="auto"/>
        <w:jc w:val="both"/>
        <w:rPr>
          <w:rFonts w:ascii="Calibri" w:hAnsi="Calibri"/>
          <w:b/>
          <w:sz w:val="22"/>
          <w:szCs w:val="22"/>
        </w:rPr>
      </w:pPr>
    </w:p>
    <w:p w14:paraId="72EC2BFD" w14:textId="77777777" w:rsidR="00A50C83" w:rsidRDefault="00A50C83" w:rsidP="000004E0">
      <w:pPr>
        <w:pStyle w:val="Normal1"/>
        <w:spacing w:after="120" w:line="276" w:lineRule="auto"/>
        <w:jc w:val="both"/>
        <w:rPr>
          <w:rFonts w:ascii="Calibri" w:hAnsi="Calibri"/>
          <w:b/>
          <w:sz w:val="22"/>
          <w:szCs w:val="22"/>
        </w:rPr>
      </w:pPr>
    </w:p>
    <w:p w14:paraId="6960885C" w14:textId="77777777" w:rsidR="00A50C83" w:rsidRDefault="00A50C83" w:rsidP="000004E0">
      <w:pPr>
        <w:pStyle w:val="Normal1"/>
        <w:spacing w:after="120" w:line="276" w:lineRule="auto"/>
        <w:jc w:val="both"/>
        <w:rPr>
          <w:rFonts w:ascii="Calibri" w:hAnsi="Calibri"/>
          <w:b/>
          <w:sz w:val="22"/>
          <w:szCs w:val="22"/>
        </w:rPr>
      </w:pPr>
    </w:p>
    <w:p w14:paraId="375C3093" w14:textId="77777777" w:rsidR="00A50C83" w:rsidRDefault="00A50C83" w:rsidP="000004E0">
      <w:pPr>
        <w:pStyle w:val="Normal1"/>
        <w:spacing w:after="120" w:line="276" w:lineRule="auto"/>
        <w:jc w:val="both"/>
        <w:rPr>
          <w:rFonts w:ascii="Calibri" w:hAnsi="Calibri"/>
          <w:b/>
          <w:sz w:val="22"/>
          <w:szCs w:val="22"/>
        </w:rPr>
      </w:pPr>
    </w:p>
    <w:p w14:paraId="66C05A9B" w14:textId="77777777" w:rsidR="00A50C83" w:rsidRDefault="00A50C83" w:rsidP="000004E0">
      <w:pPr>
        <w:pStyle w:val="Normal1"/>
        <w:spacing w:after="120" w:line="276" w:lineRule="auto"/>
        <w:jc w:val="both"/>
        <w:rPr>
          <w:rFonts w:ascii="Calibri" w:hAnsi="Calibri"/>
          <w:b/>
          <w:sz w:val="22"/>
          <w:szCs w:val="22"/>
        </w:rPr>
      </w:pPr>
    </w:p>
    <w:p w14:paraId="7C60D907" w14:textId="77777777" w:rsidR="00A50C83" w:rsidRDefault="00A50C83" w:rsidP="000004E0">
      <w:pPr>
        <w:pStyle w:val="Normal1"/>
        <w:spacing w:after="120" w:line="276" w:lineRule="auto"/>
        <w:jc w:val="both"/>
        <w:rPr>
          <w:rFonts w:ascii="Calibri" w:hAnsi="Calibri"/>
          <w:b/>
          <w:sz w:val="22"/>
          <w:szCs w:val="22"/>
        </w:rPr>
      </w:pPr>
    </w:p>
    <w:p w14:paraId="2A72D0E3" w14:textId="77777777" w:rsidR="00A50C83" w:rsidRDefault="00A50C83" w:rsidP="000004E0">
      <w:pPr>
        <w:pStyle w:val="Normal1"/>
        <w:spacing w:after="120" w:line="276" w:lineRule="auto"/>
        <w:jc w:val="both"/>
        <w:rPr>
          <w:rFonts w:ascii="Calibri" w:hAnsi="Calibri"/>
          <w:b/>
          <w:sz w:val="22"/>
          <w:szCs w:val="22"/>
        </w:rPr>
      </w:pPr>
    </w:p>
    <w:p w14:paraId="11C46B4F" w14:textId="77777777" w:rsidR="00A50C83" w:rsidRDefault="00A50C83" w:rsidP="000004E0">
      <w:pPr>
        <w:pStyle w:val="Normal1"/>
        <w:spacing w:after="120" w:line="276" w:lineRule="auto"/>
        <w:jc w:val="both"/>
        <w:rPr>
          <w:rFonts w:ascii="Calibri" w:hAnsi="Calibri"/>
          <w:b/>
          <w:sz w:val="22"/>
          <w:szCs w:val="22"/>
        </w:rPr>
      </w:pPr>
    </w:p>
    <w:p w14:paraId="37557D2F" w14:textId="77777777" w:rsidR="00A50C83" w:rsidRDefault="00A50C83" w:rsidP="000004E0">
      <w:pPr>
        <w:pStyle w:val="Normal1"/>
        <w:spacing w:after="120" w:line="276" w:lineRule="auto"/>
        <w:jc w:val="both"/>
        <w:rPr>
          <w:rFonts w:ascii="Calibri" w:hAnsi="Calibri"/>
          <w:b/>
          <w:sz w:val="22"/>
          <w:szCs w:val="22"/>
        </w:rPr>
      </w:pPr>
    </w:p>
    <w:p w14:paraId="65B0327D" w14:textId="77777777" w:rsidR="00A50C83" w:rsidRDefault="00A50C83" w:rsidP="000004E0">
      <w:pPr>
        <w:pStyle w:val="Normal1"/>
        <w:spacing w:after="120" w:line="276" w:lineRule="auto"/>
        <w:jc w:val="both"/>
        <w:rPr>
          <w:rFonts w:ascii="Calibri" w:hAnsi="Calibri"/>
          <w:b/>
          <w:sz w:val="22"/>
          <w:szCs w:val="22"/>
        </w:rPr>
      </w:pPr>
    </w:p>
    <w:p w14:paraId="338DCB04" w14:textId="77777777" w:rsidR="000004E0" w:rsidRPr="00D0005A"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Overall output score and description</w:t>
      </w:r>
    </w:p>
    <w:p w14:paraId="61B2179E" w14:textId="2795A709" w:rsidR="00A50C83" w:rsidRDefault="000004E0" w:rsidP="00A50C83">
      <w:pPr>
        <w:pStyle w:val="Normal1"/>
        <w:spacing w:after="120" w:line="276" w:lineRule="auto"/>
        <w:jc w:val="both"/>
        <w:rPr>
          <w:rFonts w:ascii="Calibri" w:hAnsi="Calibri"/>
          <w:sz w:val="22"/>
          <w:szCs w:val="22"/>
        </w:rPr>
      </w:pPr>
      <w:r w:rsidRPr="00D0005A">
        <w:rPr>
          <w:rFonts w:ascii="Calibri" w:hAnsi="Calibri"/>
          <w:sz w:val="22"/>
          <w:szCs w:val="22"/>
        </w:rPr>
        <w:t>The following table provides a summary of the performance of each output.</w:t>
      </w:r>
      <w:r w:rsidR="006C4EEA">
        <w:rPr>
          <w:rFonts w:ascii="Calibri" w:hAnsi="Calibri"/>
          <w:sz w:val="22"/>
          <w:szCs w:val="22"/>
        </w:rPr>
        <w:t xml:space="preserve"> </w:t>
      </w:r>
      <w:r w:rsidR="00CD70CC">
        <w:rPr>
          <w:rFonts w:ascii="Calibri" w:hAnsi="Calibri"/>
          <w:sz w:val="22"/>
          <w:szCs w:val="22"/>
        </w:rPr>
        <w:t xml:space="preserve">Further information is given in </w:t>
      </w:r>
      <w:r w:rsidR="006C4EEA" w:rsidRPr="006C4EEA">
        <w:rPr>
          <w:rFonts w:ascii="Calibri" w:hAnsi="Calibri"/>
          <w:b/>
          <w:sz w:val="22"/>
          <w:szCs w:val="22"/>
        </w:rPr>
        <w:t>Section C</w:t>
      </w:r>
      <w:r w:rsidR="009C3B8D">
        <w:rPr>
          <w:rFonts w:ascii="Calibri" w:hAnsi="Calibri"/>
          <w:b/>
          <w:sz w:val="22"/>
          <w:szCs w:val="22"/>
        </w:rPr>
        <w:t xml:space="preserve">, </w:t>
      </w:r>
      <w:r w:rsidR="009C3B8D">
        <w:rPr>
          <w:rFonts w:ascii="Calibri" w:hAnsi="Calibri"/>
          <w:sz w:val="22"/>
          <w:szCs w:val="22"/>
        </w:rPr>
        <w:t xml:space="preserve">where </w:t>
      </w:r>
      <w:r w:rsidR="00CD70CC">
        <w:rPr>
          <w:rFonts w:ascii="Calibri" w:hAnsi="Calibri"/>
          <w:sz w:val="22"/>
          <w:szCs w:val="22"/>
        </w:rPr>
        <w:t xml:space="preserve">progress against </w:t>
      </w:r>
      <w:r w:rsidR="009C3B8D">
        <w:rPr>
          <w:rFonts w:ascii="Calibri" w:hAnsi="Calibri"/>
          <w:sz w:val="22"/>
          <w:szCs w:val="22"/>
        </w:rPr>
        <w:t>all the reporting indicators</w:t>
      </w:r>
      <w:r w:rsidR="00CD70CC">
        <w:rPr>
          <w:rFonts w:ascii="Calibri" w:hAnsi="Calibri"/>
          <w:sz w:val="22"/>
          <w:szCs w:val="22"/>
        </w:rPr>
        <w:t xml:space="preserve"> </w:t>
      </w:r>
      <w:r w:rsidR="009C3B8D">
        <w:rPr>
          <w:rFonts w:ascii="Calibri" w:hAnsi="Calibri"/>
          <w:sz w:val="22"/>
          <w:szCs w:val="22"/>
        </w:rPr>
        <w:t>is measured.</w:t>
      </w:r>
      <w:r w:rsidR="00A50C83">
        <w:rPr>
          <w:rFonts w:ascii="Calibri" w:hAnsi="Calibri"/>
          <w:sz w:val="22"/>
          <w:szCs w:val="22"/>
        </w:rPr>
        <w:t xml:space="preserve"> </w:t>
      </w:r>
    </w:p>
    <w:p w14:paraId="0840E6F6" w14:textId="77777777" w:rsidR="00D320C6" w:rsidRDefault="00D320C6" w:rsidP="00D320C6">
      <w:pPr>
        <w:pStyle w:val="Normal1"/>
        <w:tabs>
          <w:tab w:val="left" w:pos="6915"/>
          <w:tab w:val="left" w:pos="9495"/>
        </w:tabs>
        <w:spacing w:after="120" w:line="276" w:lineRule="auto"/>
        <w:jc w:val="both"/>
        <w:rPr>
          <w:rFonts w:ascii="Calibri" w:hAnsi="Calibri"/>
          <w:i/>
          <w:sz w:val="22"/>
          <w:szCs w:val="22"/>
          <w:u w:val="single"/>
        </w:rPr>
      </w:pPr>
      <w:r w:rsidRPr="00C553DE">
        <w:rPr>
          <w:rFonts w:ascii="Calibri" w:hAnsi="Calibri"/>
          <w:i/>
          <w:sz w:val="22"/>
          <w:szCs w:val="22"/>
          <w:u w:val="single"/>
        </w:rPr>
        <w:t>Impact weighting of Outputs</w:t>
      </w:r>
    </w:p>
    <w:p w14:paraId="3CE927AF" w14:textId="3335CEF9" w:rsidR="00D320C6" w:rsidRDefault="00D320C6" w:rsidP="00D320C6">
      <w:pPr>
        <w:pStyle w:val="Normal1"/>
        <w:tabs>
          <w:tab w:val="left" w:pos="6915"/>
          <w:tab w:val="left" w:pos="9495"/>
        </w:tabs>
        <w:spacing w:after="120" w:line="276" w:lineRule="auto"/>
        <w:jc w:val="both"/>
        <w:rPr>
          <w:rFonts w:ascii="Calibri" w:hAnsi="Calibri"/>
          <w:sz w:val="22"/>
          <w:szCs w:val="22"/>
        </w:rPr>
      </w:pPr>
      <w:r>
        <w:rPr>
          <w:rFonts w:ascii="Calibri" w:hAnsi="Calibri"/>
          <w:sz w:val="22"/>
          <w:szCs w:val="22"/>
        </w:rPr>
        <w:t>Output</w:t>
      </w:r>
      <w:r w:rsidR="00CD70CC">
        <w:rPr>
          <w:rFonts w:ascii="Calibri" w:hAnsi="Calibri"/>
          <w:sz w:val="22"/>
          <w:szCs w:val="22"/>
        </w:rPr>
        <w:t>s</w:t>
      </w:r>
      <w:r>
        <w:rPr>
          <w:rFonts w:ascii="Calibri" w:hAnsi="Calibri"/>
          <w:sz w:val="22"/>
          <w:szCs w:val="22"/>
        </w:rPr>
        <w:t xml:space="preserve"> have been weighted in accordance to their importance to the success of the </w:t>
      </w:r>
      <w:r w:rsidR="00CD70CC">
        <w:rPr>
          <w:rFonts w:ascii="Calibri" w:hAnsi="Calibri"/>
          <w:sz w:val="22"/>
          <w:szCs w:val="22"/>
        </w:rPr>
        <w:t>EBF</w:t>
      </w:r>
      <w:r>
        <w:rPr>
          <w:rFonts w:ascii="Calibri" w:hAnsi="Calibri"/>
          <w:sz w:val="22"/>
          <w:szCs w:val="22"/>
        </w:rPr>
        <w:t xml:space="preserve"> and alignment with Defra ICF’s strategic priorities.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3"/>
        <w:gridCol w:w="3223"/>
        <w:gridCol w:w="992"/>
        <w:gridCol w:w="987"/>
      </w:tblGrid>
      <w:tr w:rsidR="00D320C6" w:rsidRPr="006C4EEA" w14:paraId="696F1D90" w14:textId="77777777" w:rsidTr="00D320C6">
        <w:trPr>
          <w:trHeight w:val="99"/>
        </w:trPr>
        <w:tc>
          <w:tcPr>
            <w:tcW w:w="817" w:type="dxa"/>
          </w:tcPr>
          <w:p w14:paraId="57A446E1" w14:textId="732C075A" w:rsidR="00D320C6" w:rsidRPr="006C4EEA" w:rsidRDefault="00CD70CC" w:rsidP="006C4EEA">
            <w:pPr>
              <w:pStyle w:val="Normal1"/>
              <w:spacing w:after="120" w:line="276" w:lineRule="auto"/>
              <w:jc w:val="both"/>
              <w:rPr>
                <w:rFonts w:asciiTheme="minorHAnsi" w:hAnsiTheme="minorHAnsi"/>
                <w:sz w:val="22"/>
              </w:rPr>
            </w:pPr>
            <w:r>
              <w:rPr>
                <w:rFonts w:asciiTheme="minorHAnsi" w:hAnsiTheme="minorHAnsi"/>
                <w:sz w:val="22"/>
              </w:rPr>
              <w:t>No.</w:t>
            </w:r>
          </w:p>
        </w:tc>
        <w:tc>
          <w:tcPr>
            <w:tcW w:w="4143" w:type="dxa"/>
          </w:tcPr>
          <w:p w14:paraId="54400B91"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OUTPUT DESCRIPTION </w:t>
            </w:r>
          </w:p>
        </w:tc>
        <w:tc>
          <w:tcPr>
            <w:tcW w:w="3223" w:type="dxa"/>
          </w:tcPr>
          <w:p w14:paraId="38088DBF" w14:textId="77777777" w:rsidR="00D320C6" w:rsidRPr="006C4EEA" w:rsidRDefault="00D320C6" w:rsidP="006C4EEA">
            <w:pPr>
              <w:pStyle w:val="Normal1"/>
              <w:spacing w:after="120" w:line="276" w:lineRule="auto"/>
              <w:jc w:val="both"/>
              <w:rPr>
                <w:rFonts w:asciiTheme="minorHAnsi" w:hAnsiTheme="minorHAnsi"/>
                <w:sz w:val="22"/>
              </w:rPr>
            </w:pPr>
            <w:r>
              <w:rPr>
                <w:rFonts w:asciiTheme="minorHAnsi" w:hAnsiTheme="minorHAnsi"/>
                <w:sz w:val="22"/>
              </w:rPr>
              <w:t xml:space="preserve">PERFORMANCE </w:t>
            </w:r>
            <w:r w:rsidRPr="006C4EEA">
              <w:rPr>
                <w:rFonts w:asciiTheme="minorHAnsi" w:hAnsiTheme="minorHAnsi"/>
                <w:sz w:val="22"/>
              </w:rPr>
              <w:t xml:space="preserve">SUMMARY </w:t>
            </w:r>
          </w:p>
        </w:tc>
        <w:tc>
          <w:tcPr>
            <w:tcW w:w="992" w:type="dxa"/>
          </w:tcPr>
          <w:p w14:paraId="3B32AA95"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SCORE </w:t>
            </w:r>
          </w:p>
        </w:tc>
        <w:tc>
          <w:tcPr>
            <w:tcW w:w="987" w:type="dxa"/>
          </w:tcPr>
          <w:p w14:paraId="21C6F9F0" w14:textId="77777777" w:rsidR="00D320C6" w:rsidRPr="006C4EEA" w:rsidRDefault="00D320C6" w:rsidP="006C4EEA">
            <w:pPr>
              <w:pStyle w:val="Normal1"/>
              <w:spacing w:after="120" w:line="276" w:lineRule="auto"/>
              <w:jc w:val="both"/>
              <w:rPr>
                <w:rFonts w:asciiTheme="minorHAnsi" w:hAnsiTheme="minorHAnsi"/>
                <w:sz w:val="22"/>
              </w:rPr>
            </w:pPr>
            <w:r>
              <w:rPr>
                <w:rFonts w:asciiTheme="minorHAnsi" w:hAnsiTheme="minorHAnsi"/>
                <w:sz w:val="22"/>
              </w:rPr>
              <w:t>WEIGHT (%)</w:t>
            </w:r>
          </w:p>
        </w:tc>
      </w:tr>
      <w:tr w:rsidR="00D320C6" w:rsidRPr="006C4EEA" w14:paraId="36771B65" w14:textId="77777777" w:rsidTr="00D320C6">
        <w:trPr>
          <w:trHeight w:val="344"/>
        </w:trPr>
        <w:tc>
          <w:tcPr>
            <w:tcW w:w="817" w:type="dxa"/>
          </w:tcPr>
          <w:p w14:paraId="66CE120C"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1 </w:t>
            </w:r>
          </w:p>
        </w:tc>
        <w:tc>
          <w:tcPr>
            <w:tcW w:w="4143" w:type="dxa"/>
          </w:tcPr>
          <w:p w14:paraId="0A97566A"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EBF has a diversified portfolio supporting a range of geographies and sectors</w:t>
            </w:r>
          </w:p>
        </w:tc>
        <w:tc>
          <w:tcPr>
            <w:tcW w:w="3223" w:type="dxa"/>
          </w:tcPr>
          <w:p w14:paraId="6ADAE43E" w14:textId="325203F8" w:rsidR="00D320C6" w:rsidRPr="006C4EEA" w:rsidRDefault="00A50C83" w:rsidP="00A50C83">
            <w:pPr>
              <w:pStyle w:val="Normal1"/>
              <w:spacing w:after="120" w:line="276" w:lineRule="auto"/>
              <w:jc w:val="both"/>
              <w:rPr>
                <w:rFonts w:asciiTheme="minorHAnsi" w:hAnsiTheme="minorHAnsi"/>
                <w:sz w:val="22"/>
              </w:rPr>
            </w:pPr>
            <w:r>
              <w:rPr>
                <w:rFonts w:asciiTheme="minorHAnsi" w:hAnsiTheme="minorHAnsi"/>
                <w:sz w:val="22"/>
              </w:rPr>
              <w:t xml:space="preserve">Indicators in this output have described an increase in </w:t>
            </w:r>
            <w:r w:rsidR="00261682">
              <w:rPr>
                <w:rFonts w:ascii="Calibri" w:hAnsi="Calibri"/>
                <w:iCs/>
                <w:sz w:val="22"/>
                <w:szCs w:val="22"/>
              </w:rPr>
              <w:t>FI</w:t>
            </w:r>
            <w:r w:rsidR="00261682">
              <w:rPr>
                <w:rFonts w:asciiTheme="minorHAnsi" w:hAnsiTheme="minorHAnsi"/>
                <w:sz w:val="22"/>
              </w:rPr>
              <w:t xml:space="preserve">s </w:t>
            </w:r>
            <w:r>
              <w:rPr>
                <w:rFonts w:asciiTheme="minorHAnsi" w:hAnsiTheme="minorHAnsi"/>
                <w:sz w:val="22"/>
              </w:rPr>
              <w:t xml:space="preserve">in the fund portfolio and an additional 5 commodities. </w:t>
            </w:r>
          </w:p>
        </w:tc>
        <w:tc>
          <w:tcPr>
            <w:tcW w:w="992" w:type="dxa"/>
          </w:tcPr>
          <w:p w14:paraId="6A730027" w14:textId="77777777" w:rsidR="00D320C6" w:rsidRPr="007D1081" w:rsidRDefault="00A50C83" w:rsidP="006C4EEA">
            <w:pPr>
              <w:pStyle w:val="Normal1"/>
              <w:spacing w:after="120" w:line="276" w:lineRule="auto"/>
              <w:jc w:val="both"/>
              <w:rPr>
                <w:rFonts w:asciiTheme="minorHAnsi" w:hAnsiTheme="minorHAnsi"/>
                <w:b/>
                <w:sz w:val="22"/>
              </w:rPr>
            </w:pPr>
            <w:r>
              <w:rPr>
                <w:rFonts w:asciiTheme="minorHAnsi" w:hAnsiTheme="minorHAnsi"/>
                <w:b/>
                <w:sz w:val="22"/>
              </w:rPr>
              <w:t>A</w:t>
            </w:r>
          </w:p>
        </w:tc>
        <w:tc>
          <w:tcPr>
            <w:tcW w:w="987" w:type="dxa"/>
          </w:tcPr>
          <w:p w14:paraId="58D9CC15" w14:textId="77777777" w:rsidR="00D320C6" w:rsidRPr="007D1081" w:rsidRDefault="00903832" w:rsidP="006C4EEA">
            <w:pPr>
              <w:pStyle w:val="Normal1"/>
              <w:spacing w:after="120" w:line="276" w:lineRule="auto"/>
              <w:jc w:val="both"/>
              <w:rPr>
                <w:rFonts w:asciiTheme="minorHAnsi" w:hAnsiTheme="minorHAnsi"/>
                <w:b/>
                <w:sz w:val="22"/>
              </w:rPr>
            </w:pPr>
            <w:r w:rsidRPr="007D1081">
              <w:rPr>
                <w:rFonts w:asciiTheme="minorHAnsi" w:hAnsiTheme="minorHAnsi"/>
                <w:b/>
                <w:sz w:val="22"/>
              </w:rPr>
              <w:t>3</w:t>
            </w:r>
            <w:r>
              <w:rPr>
                <w:rFonts w:asciiTheme="minorHAnsi" w:hAnsiTheme="minorHAnsi"/>
                <w:b/>
                <w:sz w:val="22"/>
              </w:rPr>
              <w:t>5</w:t>
            </w:r>
            <w:r w:rsidR="007D1081" w:rsidRPr="007D1081">
              <w:rPr>
                <w:rFonts w:asciiTheme="minorHAnsi" w:hAnsiTheme="minorHAnsi"/>
                <w:b/>
                <w:sz w:val="22"/>
              </w:rPr>
              <w:t>%</w:t>
            </w:r>
          </w:p>
        </w:tc>
      </w:tr>
      <w:tr w:rsidR="00D320C6" w:rsidRPr="006C4EEA" w14:paraId="1C4FE0B4" w14:textId="77777777" w:rsidTr="00D320C6">
        <w:trPr>
          <w:trHeight w:val="343"/>
        </w:trPr>
        <w:tc>
          <w:tcPr>
            <w:tcW w:w="817" w:type="dxa"/>
          </w:tcPr>
          <w:p w14:paraId="1262BC66"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 xml:space="preserve">2 </w:t>
            </w:r>
          </w:p>
        </w:tc>
        <w:tc>
          <w:tcPr>
            <w:tcW w:w="4143" w:type="dxa"/>
          </w:tcPr>
          <w:p w14:paraId="70E24C33"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Broad support to sustainability practices reflected in the composition of the portfolio</w:t>
            </w:r>
          </w:p>
        </w:tc>
        <w:tc>
          <w:tcPr>
            <w:tcW w:w="3223" w:type="dxa"/>
          </w:tcPr>
          <w:p w14:paraId="349234BE" w14:textId="77777777" w:rsidR="00D320C6" w:rsidRPr="006C4EEA" w:rsidRDefault="00A50C83" w:rsidP="006C4EEA">
            <w:pPr>
              <w:pStyle w:val="Normal1"/>
              <w:spacing w:after="120" w:line="276" w:lineRule="auto"/>
              <w:jc w:val="both"/>
              <w:rPr>
                <w:rFonts w:asciiTheme="minorHAnsi" w:hAnsiTheme="minorHAnsi"/>
                <w:sz w:val="22"/>
              </w:rPr>
            </w:pPr>
            <w:r>
              <w:rPr>
                <w:rFonts w:asciiTheme="minorHAnsi" w:hAnsiTheme="minorHAnsi"/>
                <w:sz w:val="22"/>
              </w:rPr>
              <w:t xml:space="preserve">Indicators have met or exceeded the targeted milestones, in terms of number of green list and sustainability standards. </w:t>
            </w:r>
          </w:p>
        </w:tc>
        <w:tc>
          <w:tcPr>
            <w:tcW w:w="992" w:type="dxa"/>
          </w:tcPr>
          <w:p w14:paraId="67FE2C5F" w14:textId="77777777" w:rsidR="00D320C6" w:rsidRPr="007D1081" w:rsidRDefault="00A50C83" w:rsidP="006C4EEA">
            <w:pPr>
              <w:pStyle w:val="Normal1"/>
              <w:spacing w:after="120" w:line="276" w:lineRule="auto"/>
              <w:jc w:val="both"/>
              <w:rPr>
                <w:rFonts w:asciiTheme="minorHAnsi" w:hAnsiTheme="minorHAnsi"/>
                <w:b/>
                <w:sz w:val="22"/>
              </w:rPr>
            </w:pPr>
            <w:r>
              <w:rPr>
                <w:rFonts w:asciiTheme="minorHAnsi" w:hAnsiTheme="minorHAnsi"/>
                <w:b/>
                <w:sz w:val="22"/>
              </w:rPr>
              <w:t>A</w:t>
            </w:r>
          </w:p>
        </w:tc>
        <w:tc>
          <w:tcPr>
            <w:tcW w:w="987" w:type="dxa"/>
          </w:tcPr>
          <w:p w14:paraId="1CF92011" w14:textId="77777777" w:rsidR="00D320C6" w:rsidRPr="007D1081" w:rsidRDefault="00903832" w:rsidP="006C4EEA">
            <w:pPr>
              <w:pStyle w:val="Normal1"/>
              <w:spacing w:after="120" w:line="276" w:lineRule="auto"/>
              <w:jc w:val="both"/>
              <w:rPr>
                <w:rFonts w:asciiTheme="minorHAnsi" w:hAnsiTheme="minorHAnsi"/>
                <w:b/>
                <w:sz w:val="22"/>
              </w:rPr>
            </w:pPr>
            <w:r w:rsidRPr="007D1081">
              <w:rPr>
                <w:rFonts w:asciiTheme="minorHAnsi" w:hAnsiTheme="minorHAnsi"/>
                <w:b/>
                <w:sz w:val="22"/>
              </w:rPr>
              <w:t>3</w:t>
            </w:r>
            <w:r>
              <w:rPr>
                <w:rFonts w:asciiTheme="minorHAnsi" w:hAnsiTheme="minorHAnsi"/>
                <w:b/>
                <w:sz w:val="22"/>
              </w:rPr>
              <w:t>5</w:t>
            </w:r>
            <w:r w:rsidR="007D1081" w:rsidRPr="007D1081">
              <w:rPr>
                <w:rFonts w:asciiTheme="minorHAnsi" w:hAnsiTheme="minorHAnsi"/>
                <w:b/>
                <w:sz w:val="22"/>
              </w:rPr>
              <w:t>%</w:t>
            </w:r>
          </w:p>
        </w:tc>
      </w:tr>
      <w:tr w:rsidR="00D320C6" w:rsidRPr="006C4EEA" w14:paraId="563D11B7" w14:textId="77777777" w:rsidTr="00D320C6">
        <w:trPr>
          <w:trHeight w:val="343"/>
        </w:trPr>
        <w:tc>
          <w:tcPr>
            <w:tcW w:w="817" w:type="dxa"/>
          </w:tcPr>
          <w:p w14:paraId="3F6C1988" w14:textId="77777777" w:rsidR="00D320C6" w:rsidRPr="006C4EEA" w:rsidRDefault="00D320C6" w:rsidP="006C4EEA">
            <w:pPr>
              <w:pStyle w:val="Normal1"/>
              <w:spacing w:after="120" w:line="276" w:lineRule="auto"/>
              <w:jc w:val="both"/>
              <w:rPr>
                <w:rFonts w:asciiTheme="minorHAnsi" w:hAnsiTheme="minorHAnsi"/>
                <w:sz w:val="22"/>
              </w:rPr>
            </w:pPr>
            <w:r>
              <w:rPr>
                <w:rFonts w:asciiTheme="minorHAnsi" w:hAnsiTheme="minorHAnsi"/>
                <w:sz w:val="22"/>
              </w:rPr>
              <w:t>3</w:t>
            </w:r>
          </w:p>
        </w:tc>
        <w:tc>
          <w:tcPr>
            <w:tcW w:w="4143" w:type="dxa"/>
          </w:tcPr>
          <w:p w14:paraId="311C3C77" w14:textId="1C89CFA9" w:rsidR="00D320C6" w:rsidRPr="006C4EEA" w:rsidRDefault="00D320C6" w:rsidP="00CD70CC">
            <w:pPr>
              <w:pStyle w:val="Normal1"/>
              <w:spacing w:after="120" w:line="276" w:lineRule="auto"/>
              <w:jc w:val="both"/>
              <w:rPr>
                <w:rFonts w:asciiTheme="minorHAnsi" w:hAnsiTheme="minorHAnsi"/>
                <w:sz w:val="22"/>
              </w:rPr>
            </w:pPr>
            <w:r w:rsidRPr="006C4EEA">
              <w:rPr>
                <w:rFonts w:asciiTheme="minorHAnsi" w:hAnsiTheme="minorHAnsi"/>
                <w:sz w:val="22"/>
              </w:rPr>
              <w:t xml:space="preserve">Provision of continuous and sufficient </w:t>
            </w:r>
            <w:r w:rsidR="00CD70CC">
              <w:rPr>
                <w:rFonts w:asciiTheme="minorHAnsi" w:hAnsiTheme="minorHAnsi"/>
                <w:sz w:val="22"/>
              </w:rPr>
              <w:t>TA</w:t>
            </w:r>
          </w:p>
        </w:tc>
        <w:tc>
          <w:tcPr>
            <w:tcW w:w="3223" w:type="dxa"/>
          </w:tcPr>
          <w:p w14:paraId="234874B4" w14:textId="6DF03DD7" w:rsidR="00D320C6" w:rsidRPr="006C4EEA" w:rsidRDefault="00C24850" w:rsidP="00CD70CC">
            <w:pPr>
              <w:pStyle w:val="Normal1"/>
              <w:spacing w:after="120" w:line="276" w:lineRule="auto"/>
              <w:jc w:val="both"/>
              <w:rPr>
                <w:rFonts w:asciiTheme="minorHAnsi" w:hAnsiTheme="minorHAnsi"/>
                <w:sz w:val="22"/>
              </w:rPr>
            </w:pPr>
            <w:r>
              <w:rPr>
                <w:rFonts w:asciiTheme="minorHAnsi" w:hAnsiTheme="minorHAnsi"/>
                <w:sz w:val="22"/>
              </w:rPr>
              <w:t xml:space="preserve">EBF has met all but one of the targets for </w:t>
            </w:r>
            <w:r w:rsidR="00CD70CC">
              <w:rPr>
                <w:rFonts w:asciiTheme="minorHAnsi" w:hAnsiTheme="minorHAnsi"/>
                <w:sz w:val="22"/>
              </w:rPr>
              <w:t>TA</w:t>
            </w:r>
            <w:r w:rsidR="004B743C">
              <w:rPr>
                <w:rFonts w:asciiTheme="minorHAnsi" w:hAnsiTheme="minorHAnsi"/>
                <w:sz w:val="22"/>
              </w:rPr>
              <w:t>, additionally exceeding the milestones for TA budget.</w:t>
            </w:r>
            <w:r>
              <w:rPr>
                <w:rFonts w:asciiTheme="minorHAnsi" w:hAnsiTheme="minorHAnsi"/>
                <w:sz w:val="22"/>
              </w:rPr>
              <w:t xml:space="preserve"> </w:t>
            </w:r>
          </w:p>
        </w:tc>
        <w:tc>
          <w:tcPr>
            <w:tcW w:w="992" w:type="dxa"/>
          </w:tcPr>
          <w:p w14:paraId="2DB1DE34" w14:textId="77777777" w:rsidR="00D320C6" w:rsidRPr="007D1081" w:rsidRDefault="004B743C" w:rsidP="006C4EEA">
            <w:pPr>
              <w:pStyle w:val="Normal1"/>
              <w:spacing w:after="120" w:line="276" w:lineRule="auto"/>
              <w:jc w:val="both"/>
              <w:rPr>
                <w:rFonts w:asciiTheme="minorHAnsi" w:hAnsiTheme="minorHAnsi"/>
                <w:b/>
                <w:sz w:val="22"/>
              </w:rPr>
            </w:pPr>
            <w:r>
              <w:rPr>
                <w:rFonts w:asciiTheme="minorHAnsi" w:hAnsiTheme="minorHAnsi"/>
                <w:b/>
                <w:sz w:val="22"/>
              </w:rPr>
              <w:t>A</w:t>
            </w:r>
          </w:p>
        </w:tc>
        <w:tc>
          <w:tcPr>
            <w:tcW w:w="987" w:type="dxa"/>
          </w:tcPr>
          <w:p w14:paraId="1BA64F4E" w14:textId="77777777" w:rsidR="00D320C6" w:rsidRPr="007D1081" w:rsidRDefault="00903832" w:rsidP="006C4EEA">
            <w:pPr>
              <w:pStyle w:val="Normal1"/>
              <w:spacing w:after="120" w:line="276" w:lineRule="auto"/>
              <w:jc w:val="both"/>
              <w:rPr>
                <w:rFonts w:asciiTheme="minorHAnsi" w:hAnsiTheme="minorHAnsi"/>
                <w:b/>
                <w:sz w:val="22"/>
              </w:rPr>
            </w:pPr>
            <w:r>
              <w:rPr>
                <w:rFonts w:asciiTheme="minorHAnsi" w:hAnsiTheme="minorHAnsi"/>
                <w:b/>
                <w:sz w:val="22"/>
              </w:rPr>
              <w:t>15</w:t>
            </w:r>
            <w:r w:rsidR="007D1081" w:rsidRPr="007D1081">
              <w:rPr>
                <w:rFonts w:asciiTheme="minorHAnsi" w:hAnsiTheme="minorHAnsi"/>
                <w:b/>
                <w:sz w:val="22"/>
              </w:rPr>
              <w:t>%</w:t>
            </w:r>
          </w:p>
        </w:tc>
      </w:tr>
      <w:tr w:rsidR="00D320C6" w:rsidRPr="006C4EEA" w14:paraId="1475D206" w14:textId="77777777" w:rsidTr="00D320C6">
        <w:trPr>
          <w:trHeight w:val="343"/>
        </w:trPr>
        <w:tc>
          <w:tcPr>
            <w:tcW w:w="817" w:type="dxa"/>
          </w:tcPr>
          <w:p w14:paraId="7FDD8406" w14:textId="77777777" w:rsidR="00D320C6" w:rsidRDefault="00D320C6" w:rsidP="006C4EEA">
            <w:pPr>
              <w:pStyle w:val="Normal1"/>
              <w:spacing w:after="120" w:line="276" w:lineRule="auto"/>
              <w:jc w:val="both"/>
              <w:rPr>
                <w:rFonts w:asciiTheme="minorHAnsi" w:hAnsiTheme="minorHAnsi"/>
                <w:sz w:val="22"/>
              </w:rPr>
            </w:pPr>
            <w:r>
              <w:rPr>
                <w:rFonts w:asciiTheme="minorHAnsi" w:hAnsiTheme="minorHAnsi"/>
                <w:sz w:val="22"/>
              </w:rPr>
              <w:t>4</w:t>
            </w:r>
          </w:p>
        </w:tc>
        <w:tc>
          <w:tcPr>
            <w:tcW w:w="4143" w:type="dxa"/>
          </w:tcPr>
          <w:p w14:paraId="701EE59E" w14:textId="77777777" w:rsidR="00D320C6" w:rsidRPr="006C4EEA" w:rsidRDefault="00D320C6" w:rsidP="006C4EEA">
            <w:pPr>
              <w:pStyle w:val="Normal1"/>
              <w:spacing w:after="120" w:line="276" w:lineRule="auto"/>
              <w:jc w:val="both"/>
              <w:rPr>
                <w:rFonts w:asciiTheme="minorHAnsi" w:hAnsiTheme="minorHAnsi"/>
                <w:sz w:val="22"/>
              </w:rPr>
            </w:pPr>
            <w:r w:rsidRPr="006C4EEA">
              <w:rPr>
                <w:rFonts w:asciiTheme="minorHAnsi" w:hAnsiTheme="minorHAnsi"/>
                <w:sz w:val="22"/>
              </w:rPr>
              <w:t>Improved partnerships and development of activities with other sector stakeholders</w:t>
            </w:r>
          </w:p>
        </w:tc>
        <w:tc>
          <w:tcPr>
            <w:tcW w:w="3223" w:type="dxa"/>
          </w:tcPr>
          <w:p w14:paraId="6C5BDFF2" w14:textId="77777777" w:rsidR="00D320C6" w:rsidRPr="006C4EEA" w:rsidRDefault="00C24850" w:rsidP="00CE1CFF">
            <w:pPr>
              <w:pStyle w:val="Normal1"/>
              <w:spacing w:after="120" w:line="276" w:lineRule="auto"/>
              <w:jc w:val="both"/>
              <w:rPr>
                <w:rFonts w:asciiTheme="minorHAnsi" w:hAnsiTheme="minorHAnsi"/>
                <w:sz w:val="22"/>
              </w:rPr>
            </w:pPr>
            <w:r>
              <w:rPr>
                <w:rFonts w:asciiTheme="minorHAnsi" w:hAnsiTheme="minorHAnsi"/>
                <w:sz w:val="22"/>
              </w:rPr>
              <w:t xml:space="preserve">3 of 4 indicators within this output have just missed targeted milestones. The indicators within this Output need to be reconsidered </w:t>
            </w:r>
            <w:r w:rsidR="00CE1CFF">
              <w:rPr>
                <w:rFonts w:asciiTheme="minorHAnsi" w:hAnsiTheme="minorHAnsi"/>
                <w:sz w:val="22"/>
              </w:rPr>
              <w:t>as per recommendations.</w:t>
            </w:r>
            <w:r>
              <w:rPr>
                <w:rFonts w:asciiTheme="minorHAnsi" w:hAnsiTheme="minorHAnsi"/>
                <w:sz w:val="22"/>
              </w:rPr>
              <w:t xml:space="preserve"> </w:t>
            </w:r>
          </w:p>
        </w:tc>
        <w:tc>
          <w:tcPr>
            <w:tcW w:w="992" w:type="dxa"/>
          </w:tcPr>
          <w:p w14:paraId="1BAB495E" w14:textId="77777777" w:rsidR="00D320C6" w:rsidRPr="007D1081" w:rsidRDefault="00C24850" w:rsidP="006C4EEA">
            <w:pPr>
              <w:pStyle w:val="Normal1"/>
              <w:spacing w:after="120" w:line="276" w:lineRule="auto"/>
              <w:jc w:val="both"/>
              <w:rPr>
                <w:rFonts w:asciiTheme="minorHAnsi" w:hAnsiTheme="minorHAnsi"/>
                <w:b/>
                <w:sz w:val="22"/>
              </w:rPr>
            </w:pPr>
            <w:r>
              <w:rPr>
                <w:rFonts w:asciiTheme="minorHAnsi" w:hAnsiTheme="minorHAnsi"/>
                <w:b/>
                <w:sz w:val="22"/>
              </w:rPr>
              <w:t>B</w:t>
            </w:r>
          </w:p>
        </w:tc>
        <w:tc>
          <w:tcPr>
            <w:tcW w:w="987" w:type="dxa"/>
          </w:tcPr>
          <w:p w14:paraId="152A57C5" w14:textId="77777777" w:rsidR="00D320C6" w:rsidRPr="007D1081" w:rsidRDefault="00903832" w:rsidP="006C4EEA">
            <w:pPr>
              <w:pStyle w:val="Normal1"/>
              <w:spacing w:after="120" w:line="276" w:lineRule="auto"/>
              <w:jc w:val="both"/>
              <w:rPr>
                <w:rFonts w:asciiTheme="minorHAnsi" w:hAnsiTheme="minorHAnsi"/>
                <w:b/>
                <w:sz w:val="22"/>
              </w:rPr>
            </w:pPr>
            <w:r>
              <w:rPr>
                <w:rFonts w:asciiTheme="minorHAnsi" w:hAnsiTheme="minorHAnsi"/>
                <w:b/>
                <w:sz w:val="22"/>
              </w:rPr>
              <w:t>15</w:t>
            </w:r>
            <w:r w:rsidR="007D1081" w:rsidRPr="007D1081">
              <w:rPr>
                <w:rFonts w:asciiTheme="minorHAnsi" w:hAnsiTheme="minorHAnsi"/>
                <w:b/>
                <w:sz w:val="22"/>
              </w:rPr>
              <w:t>%</w:t>
            </w:r>
          </w:p>
        </w:tc>
      </w:tr>
    </w:tbl>
    <w:p w14:paraId="0706DF2A" w14:textId="77777777" w:rsidR="000004E0" w:rsidRDefault="000004E0" w:rsidP="000004E0">
      <w:pPr>
        <w:spacing w:before="0"/>
      </w:pPr>
      <w:r w:rsidRPr="00D0005A">
        <w:br w:type="page"/>
      </w:r>
    </w:p>
    <w:p w14:paraId="2DABFD77" w14:textId="77777777" w:rsidR="0069516D" w:rsidRPr="00D0005A" w:rsidRDefault="0069516D" w:rsidP="000004E0">
      <w:pPr>
        <w:spacing w:before="0"/>
      </w:pPr>
    </w:p>
    <w:p w14:paraId="3A278257" w14:textId="2E5A6DCA" w:rsidR="000004E0" w:rsidRPr="00D0005A" w:rsidRDefault="004813B7" w:rsidP="00AC4AB4">
      <w:pPr>
        <w:pStyle w:val="Heading2"/>
      </w:pPr>
      <w:bookmarkStart w:id="2" w:name="_Toc15984384"/>
      <w:r>
        <w:t>B</w:t>
      </w:r>
      <w:r w:rsidR="000004E0" w:rsidRPr="00D0005A">
        <w:t>: DETAILED OUTPUT SCORING</w:t>
      </w:r>
      <w:bookmarkEnd w:id="2"/>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08"/>
        <w:gridCol w:w="2410"/>
        <w:gridCol w:w="2410"/>
        <w:gridCol w:w="992"/>
      </w:tblGrid>
      <w:tr w:rsidR="000004E0" w:rsidRPr="00D0005A" w14:paraId="5A246926" w14:textId="77777777" w:rsidTr="000004E0">
        <w:trPr>
          <w:trHeight w:val="400"/>
        </w:trPr>
        <w:tc>
          <w:tcPr>
            <w:tcW w:w="2694" w:type="dxa"/>
            <w:tcBorders>
              <w:top w:val="single" w:sz="4" w:space="0" w:color="000000"/>
              <w:left w:val="single" w:sz="4" w:space="0" w:color="000000"/>
              <w:bottom w:val="single" w:sz="4" w:space="0" w:color="000000"/>
              <w:right w:val="single" w:sz="4" w:space="0" w:color="000000"/>
            </w:tcBorders>
            <w:shd w:val="clear" w:color="auto" w:fill="DBE5F1"/>
          </w:tcPr>
          <w:p w14:paraId="18C021B8"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Title </w:t>
            </w:r>
          </w:p>
        </w:tc>
        <w:tc>
          <w:tcPr>
            <w:tcW w:w="6520" w:type="dxa"/>
            <w:gridSpan w:val="4"/>
            <w:tcBorders>
              <w:top w:val="single" w:sz="4" w:space="0" w:color="000000"/>
              <w:left w:val="single" w:sz="4" w:space="0" w:color="000000"/>
              <w:bottom w:val="single" w:sz="4" w:space="0" w:color="000000"/>
              <w:right w:val="single" w:sz="4" w:space="0" w:color="000000"/>
            </w:tcBorders>
          </w:tcPr>
          <w:p w14:paraId="1DDA48B7" w14:textId="77777777" w:rsidR="000004E0" w:rsidRPr="00D0005A" w:rsidRDefault="000004E0" w:rsidP="000004E0">
            <w:pPr>
              <w:pStyle w:val="Normal1"/>
              <w:spacing w:after="120" w:line="276" w:lineRule="auto"/>
              <w:rPr>
                <w:rFonts w:ascii="Calibri" w:hAnsi="Calibri"/>
                <w:color w:val="FF0000"/>
                <w:sz w:val="22"/>
                <w:szCs w:val="22"/>
              </w:rPr>
            </w:pPr>
            <w:r w:rsidRPr="00CA6DFE">
              <w:rPr>
                <w:rFonts w:ascii="Calibri" w:hAnsi="Calibri"/>
                <w:color w:val="auto"/>
                <w:sz w:val="22"/>
                <w:szCs w:val="22"/>
              </w:rPr>
              <w:t>EBF has a diversified portfolio supporting a range of geographies and sectors</w:t>
            </w:r>
          </w:p>
        </w:tc>
      </w:tr>
      <w:tr w:rsidR="000004E0" w:rsidRPr="00D0005A" w14:paraId="5C464686" w14:textId="77777777" w:rsidTr="000004E0">
        <w:trPr>
          <w:trHeight w:val="400"/>
        </w:trPr>
        <w:tc>
          <w:tcPr>
            <w:tcW w:w="2694" w:type="dxa"/>
            <w:tcBorders>
              <w:top w:val="single" w:sz="4" w:space="0" w:color="000000"/>
              <w:left w:val="single" w:sz="4" w:space="0" w:color="000000"/>
              <w:bottom w:val="single" w:sz="4" w:space="0" w:color="000000"/>
              <w:right w:val="single" w:sz="4" w:space="0" w:color="000000"/>
            </w:tcBorders>
            <w:shd w:val="clear" w:color="auto" w:fill="DBE5F1"/>
          </w:tcPr>
          <w:p w14:paraId="41E2BA62"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3118" w:type="dxa"/>
            <w:gridSpan w:val="2"/>
            <w:tcBorders>
              <w:top w:val="single" w:sz="4" w:space="0" w:color="000000"/>
              <w:left w:val="single" w:sz="4" w:space="0" w:color="000000"/>
              <w:bottom w:val="single" w:sz="4" w:space="0" w:color="000000"/>
              <w:right w:val="single" w:sz="4" w:space="0" w:color="000000"/>
            </w:tcBorders>
          </w:tcPr>
          <w:p w14:paraId="32152ACD"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7117D535"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992" w:type="dxa"/>
            <w:tcBorders>
              <w:top w:val="single" w:sz="4" w:space="0" w:color="000000"/>
              <w:left w:val="single" w:sz="4" w:space="0" w:color="000000"/>
              <w:bottom w:val="single" w:sz="4" w:space="0" w:color="000000"/>
              <w:right w:val="single" w:sz="4" w:space="0" w:color="000000"/>
            </w:tcBorders>
          </w:tcPr>
          <w:p w14:paraId="3A5B512F" w14:textId="34814AD5" w:rsidR="000004E0" w:rsidRPr="008625ED" w:rsidRDefault="006F5D07" w:rsidP="000004E0">
            <w:pPr>
              <w:pStyle w:val="Normal1"/>
              <w:spacing w:after="120" w:line="276" w:lineRule="auto"/>
              <w:rPr>
                <w:rFonts w:ascii="Calibri" w:hAnsi="Calibri"/>
                <w:color w:val="FF0000"/>
                <w:sz w:val="22"/>
                <w:szCs w:val="22"/>
              </w:rPr>
            </w:pPr>
            <w:r w:rsidRPr="008625ED">
              <w:rPr>
                <w:rFonts w:ascii="Calibri" w:hAnsi="Calibri"/>
                <w:color w:val="auto"/>
                <w:sz w:val="22"/>
                <w:szCs w:val="22"/>
              </w:rPr>
              <w:t>A</w:t>
            </w:r>
          </w:p>
        </w:tc>
      </w:tr>
      <w:tr w:rsidR="000004E0" w:rsidRPr="00D0005A" w14:paraId="08F1E8DD" w14:textId="77777777" w:rsidTr="000004E0">
        <w:trPr>
          <w:trHeight w:val="400"/>
        </w:trPr>
        <w:tc>
          <w:tcPr>
            <w:tcW w:w="2694" w:type="dxa"/>
            <w:tcBorders>
              <w:top w:val="single" w:sz="4" w:space="0" w:color="000000"/>
              <w:left w:val="single" w:sz="4" w:space="0" w:color="000000"/>
              <w:bottom w:val="single" w:sz="4" w:space="0" w:color="000000"/>
              <w:right w:val="single" w:sz="4" w:space="0" w:color="000000"/>
            </w:tcBorders>
            <w:shd w:val="clear" w:color="auto" w:fill="DBE5F1"/>
          </w:tcPr>
          <w:p w14:paraId="0F0C6357" w14:textId="77777777" w:rsidR="000004E0" w:rsidRPr="00D0005A" w:rsidRDefault="00CC1D65"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3118" w:type="dxa"/>
            <w:gridSpan w:val="2"/>
            <w:tcBorders>
              <w:top w:val="single" w:sz="4" w:space="0" w:color="000000"/>
              <w:left w:val="single" w:sz="4" w:space="0" w:color="000000"/>
              <w:bottom w:val="single" w:sz="4" w:space="0" w:color="000000"/>
              <w:right w:val="single" w:sz="4" w:space="0" w:color="000000"/>
            </w:tcBorders>
          </w:tcPr>
          <w:p w14:paraId="694BC038" w14:textId="77777777" w:rsidR="000004E0" w:rsidRPr="00D0005A" w:rsidRDefault="00A0043B" w:rsidP="00A0043B">
            <w:pPr>
              <w:pStyle w:val="Normal1"/>
              <w:spacing w:after="120" w:line="276" w:lineRule="auto"/>
              <w:rPr>
                <w:rFonts w:ascii="Calibri" w:hAnsi="Calibri"/>
                <w:sz w:val="22"/>
                <w:szCs w:val="22"/>
              </w:rPr>
            </w:pPr>
            <w:r>
              <w:rPr>
                <w:rFonts w:ascii="Calibri" w:hAnsi="Calibri"/>
                <w:sz w:val="22"/>
                <w:szCs w:val="22"/>
              </w:rPr>
              <w:t>Moderate</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1A1A065A"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Score in previous AR</w:t>
            </w:r>
          </w:p>
        </w:tc>
        <w:tc>
          <w:tcPr>
            <w:tcW w:w="992" w:type="dxa"/>
            <w:tcBorders>
              <w:top w:val="single" w:sz="4" w:space="0" w:color="000000"/>
              <w:left w:val="single" w:sz="4" w:space="0" w:color="000000"/>
              <w:bottom w:val="single" w:sz="4" w:space="0" w:color="000000"/>
              <w:right w:val="single" w:sz="4" w:space="0" w:color="000000"/>
            </w:tcBorders>
          </w:tcPr>
          <w:p w14:paraId="737274A6" w14:textId="77777777" w:rsidR="000004E0" w:rsidRPr="00D0005A" w:rsidRDefault="00A0043B" w:rsidP="009D3450">
            <w:pPr>
              <w:pStyle w:val="Normal1"/>
              <w:spacing w:after="120" w:line="276" w:lineRule="auto"/>
              <w:rPr>
                <w:rFonts w:ascii="Calibri" w:hAnsi="Calibri"/>
                <w:sz w:val="22"/>
                <w:szCs w:val="22"/>
              </w:rPr>
            </w:pPr>
            <w:r>
              <w:rPr>
                <w:rFonts w:ascii="Calibri" w:hAnsi="Calibri"/>
                <w:sz w:val="22"/>
                <w:szCs w:val="22"/>
              </w:rPr>
              <w:t>A</w:t>
            </w:r>
          </w:p>
        </w:tc>
      </w:tr>
      <w:tr w:rsidR="00CC1D65" w:rsidRPr="00D0005A" w14:paraId="01201B1B" w14:textId="77777777" w:rsidTr="00CC1D65">
        <w:trPr>
          <w:gridAfter w:val="3"/>
          <w:wAfter w:w="5812" w:type="dxa"/>
        </w:trPr>
        <w:tc>
          <w:tcPr>
            <w:tcW w:w="2694" w:type="dxa"/>
            <w:tcBorders>
              <w:top w:val="single" w:sz="4" w:space="0" w:color="000000"/>
              <w:left w:val="single" w:sz="4" w:space="0" w:color="000000"/>
              <w:bottom w:val="single" w:sz="4" w:space="0" w:color="000000"/>
              <w:right w:val="single" w:sz="4" w:space="0" w:color="000000"/>
            </w:tcBorders>
            <w:shd w:val="clear" w:color="auto" w:fill="DBE5F1"/>
          </w:tcPr>
          <w:p w14:paraId="437F10C5" w14:textId="77777777" w:rsidR="00CC1D65" w:rsidRDefault="00CC1D65" w:rsidP="00A0043B">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708" w:type="dxa"/>
            <w:tcBorders>
              <w:top w:val="single" w:sz="4" w:space="0" w:color="000000"/>
              <w:left w:val="single" w:sz="4" w:space="0" w:color="000000"/>
              <w:bottom w:val="single" w:sz="4" w:space="0" w:color="000000"/>
              <w:right w:val="single" w:sz="4" w:space="0" w:color="000000"/>
            </w:tcBorders>
          </w:tcPr>
          <w:p w14:paraId="7CB32F07" w14:textId="77777777" w:rsidR="00CC1D65" w:rsidRDefault="00CC1D65" w:rsidP="00A0043B">
            <w:pPr>
              <w:pStyle w:val="Normal1"/>
              <w:spacing w:after="120" w:line="276" w:lineRule="auto"/>
              <w:rPr>
                <w:rFonts w:ascii="Calibri" w:hAnsi="Calibri"/>
                <w:sz w:val="22"/>
                <w:szCs w:val="22"/>
              </w:rPr>
            </w:pPr>
            <w:r>
              <w:rPr>
                <w:rFonts w:ascii="Calibri" w:hAnsi="Calibri"/>
                <w:sz w:val="22"/>
                <w:szCs w:val="22"/>
              </w:rPr>
              <w:t>35%</w:t>
            </w:r>
          </w:p>
        </w:tc>
      </w:tr>
      <w:tr w:rsidR="00CC1D65" w:rsidRPr="00D0005A" w14:paraId="21C4062C" w14:textId="77777777" w:rsidTr="00CC1D65">
        <w:trPr>
          <w:gridAfter w:val="3"/>
          <w:wAfter w:w="5812" w:type="dxa"/>
        </w:trPr>
        <w:tc>
          <w:tcPr>
            <w:tcW w:w="2694" w:type="dxa"/>
            <w:tcBorders>
              <w:top w:val="single" w:sz="4" w:space="0" w:color="000000"/>
              <w:left w:val="single" w:sz="4" w:space="0" w:color="000000"/>
              <w:bottom w:val="single" w:sz="4" w:space="0" w:color="000000"/>
              <w:right w:val="single" w:sz="4" w:space="0" w:color="000000"/>
            </w:tcBorders>
            <w:shd w:val="clear" w:color="auto" w:fill="DBE5F1"/>
          </w:tcPr>
          <w:p w14:paraId="47BC7C27" w14:textId="5854BC9D" w:rsidR="00CC1D65" w:rsidRPr="00D0005A" w:rsidRDefault="00CC1D65" w:rsidP="00A0043B">
            <w:pPr>
              <w:pStyle w:val="Normal1"/>
              <w:spacing w:after="120" w:line="276" w:lineRule="auto"/>
              <w:rPr>
                <w:rFonts w:ascii="Calibri" w:hAnsi="Calibri"/>
                <w:sz w:val="22"/>
                <w:szCs w:val="22"/>
              </w:rPr>
            </w:pPr>
            <w:r w:rsidRPr="00D0005A">
              <w:rPr>
                <w:rFonts w:ascii="Calibri" w:hAnsi="Calibri"/>
                <w:sz w:val="22"/>
                <w:szCs w:val="22"/>
              </w:rPr>
              <w:t xml:space="preserve">Impact weighting % </w:t>
            </w:r>
            <w:r>
              <w:rPr>
                <w:rFonts w:ascii="Calibri" w:hAnsi="Calibri"/>
                <w:sz w:val="22"/>
                <w:szCs w:val="22"/>
              </w:rPr>
              <w:t>in</w:t>
            </w:r>
            <w:r w:rsidR="008625ED">
              <w:rPr>
                <w:rFonts w:ascii="Calibri" w:hAnsi="Calibri"/>
                <w:sz w:val="22"/>
                <w:szCs w:val="22"/>
              </w:rPr>
              <w:t xml:space="preserve"> last AR</w:t>
            </w:r>
          </w:p>
        </w:tc>
        <w:tc>
          <w:tcPr>
            <w:tcW w:w="708" w:type="dxa"/>
            <w:tcBorders>
              <w:top w:val="single" w:sz="4" w:space="0" w:color="000000"/>
              <w:left w:val="single" w:sz="4" w:space="0" w:color="000000"/>
              <w:bottom w:val="single" w:sz="4" w:space="0" w:color="000000"/>
              <w:right w:val="single" w:sz="4" w:space="0" w:color="000000"/>
            </w:tcBorders>
          </w:tcPr>
          <w:p w14:paraId="24F3B77E" w14:textId="77777777" w:rsidR="00CC1D65" w:rsidRPr="00D0005A" w:rsidRDefault="00CC1D65" w:rsidP="000004E0">
            <w:pPr>
              <w:pStyle w:val="Normal1"/>
              <w:spacing w:after="120" w:line="276" w:lineRule="auto"/>
              <w:rPr>
                <w:rFonts w:ascii="Calibri" w:hAnsi="Calibri"/>
                <w:sz w:val="22"/>
                <w:szCs w:val="22"/>
              </w:rPr>
            </w:pPr>
            <w:r>
              <w:rPr>
                <w:rFonts w:ascii="Calibri" w:hAnsi="Calibri"/>
                <w:sz w:val="22"/>
                <w:szCs w:val="22"/>
              </w:rPr>
              <w:t>35%</w:t>
            </w:r>
          </w:p>
          <w:p w14:paraId="34D31B1D" w14:textId="77777777" w:rsidR="00CC1D65" w:rsidRPr="00D0005A" w:rsidRDefault="00CC1D65" w:rsidP="000004E0">
            <w:pPr>
              <w:pStyle w:val="Normal1"/>
              <w:spacing w:after="120" w:line="276" w:lineRule="auto"/>
              <w:rPr>
                <w:rFonts w:ascii="Calibri" w:hAnsi="Calibri"/>
                <w:sz w:val="22"/>
                <w:szCs w:val="22"/>
              </w:rPr>
            </w:pPr>
          </w:p>
        </w:tc>
      </w:tr>
    </w:tbl>
    <w:p w14:paraId="782D8944" w14:textId="77777777" w:rsidR="000004E0" w:rsidRPr="00D0005A" w:rsidRDefault="000004E0" w:rsidP="000004E0">
      <w:pPr>
        <w:pStyle w:val="Normal1"/>
        <w:spacing w:after="120" w:line="276" w:lineRule="auto"/>
        <w:jc w:val="both"/>
        <w:rPr>
          <w:rFonts w:ascii="Calibri" w:hAnsi="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2268"/>
        <w:gridCol w:w="1276"/>
      </w:tblGrid>
      <w:tr w:rsidR="000004E0" w:rsidRPr="00D0005A" w14:paraId="67EADEC8" w14:textId="77777777" w:rsidTr="00CA6DFE">
        <w:trPr>
          <w:trHeight w:val="260"/>
        </w:trPr>
        <w:tc>
          <w:tcPr>
            <w:tcW w:w="5665" w:type="dxa"/>
            <w:tcBorders>
              <w:top w:val="single" w:sz="4" w:space="0" w:color="000000"/>
              <w:left w:val="single" w:sz="4" w:space="0" w:color="000000"/>
              <w:bottom w:val="single" w:sz="4" w:space="0" w:color="000000"/>
              <w:right w:val="single" w:sz="4" w:space="0" w:color="000000"/>
            </w:tcBorders>
            <w:shd w:val="clear" w:color="auto" w:fill="DBE5F1"/>
          </w:tcPr>
          <w:p w14:paraId="05F7FA41"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15484F88" w14:textId="77777777" w:rsidR="000004E0" w:rsidRPr="00D0005A" w:rsidRDefault="00B12532" w:rsidP="00782979">
            <w:pPr>
              <w:pStyle w:val="Normal1"/>
              <w:spacing w:after="120" w:line="276" w:lineRule="auto"/>
              <w:rPr>
                <w:rFonts w:ascii="Calibri" w:hAnsi="Calibri"/>
                <w:b/>
                <w:sz w:val="22"/>
                <w:szCs w:val="22"/>
              </w:rPr>
            </w:pPr>
            <w:r>
              <w:rPr>
                <w:rFonts w:ascii="Calibri" w:hAnsi="Calibri"/>
                <w:b/>
                <w:sz w:val="22"/>
                <w:szCs w:val="22"/>
              </w:rPr>
              <w:t>Milestone</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14:paraId="121FC590"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74CBDF21" w14:textId="77777777" w:rsidTr="00CA6DFE">
        <w:tc>
          <w:tcPr>
            <w:tcW w:w="5665" w:type="dxa"/>
            <w:tcBorders>
              <w:top w:val="single" w:sz="4" w:space="0" w:color="000000"/>
              <w:left w:val="single" w:sz="4" w:space="0" w:color="000000"/>
              <w:bottom w:val="single" w:sz="4" w:space="0" w:color="000000"/>
              <w:right w:val="single" w:sz="4" w:space="0" w:color="000000"/>
            </w:tcBorders>
          </w:tcPr>
          <w:p w14:paraId="387184B6" w14:textId="5A90175A" w:rsidR="000004E0" w:rsidRPr="00D0005A" w:rsidRDefault="00CA6DFE" w:rsidP="005E08C5">
            <w:pPr>
              <w:pStyle w:val="Normal1"/>
              <w:numPr>
                <w:ilvl w:val="1"/>
                <w:numId w:val="14"/>
              </w:numPr>
              <w:spacing w:after="120" w:line="276" w:lineRule="auto"/>
              <w:rPr>
                <w:rFonts w:ascii="Calibri" w:hAnsi="Calibri"/>
                <w:sz w:val="22"/>
                <w:szCs w:val="22"/>
              </w:rPr>
            </w:pPr>
            <w:r w:rsidRPr="00CA6DFE">
              <w:rPr>
                <w:rFonts w:ascii="Calibri" w:hAnsi="Calibri"/>
                <w:sz w:val="22"/>
                <w:szCs w:val="22"/>
              </w:rPr>
              <w:t xml:space="preserve">Number of </w:t>
            </w:r>
            <w:r w:rsidR="00261682">
              <w:rPr>
                <w:rFonts w:ascii="Calibri" w:hAnsi="Calibri"/>
                <w:iCs/>
                <w:sz w:val="22"/>
                <w:szCs w:val="22"/>
              </w:rPr>
              <w:t>FI</w:t>
            </w:r>
            <w:r w:rsidR="00261682">
              <w:rPr>
                <w:rFonts w:ascii="Calibri" w:hAnsi="Calibri"/>
                <w:sz w:val="22"/>
                <w:szCs w:val="22"/>
              </w:rPr>
              <w:t xml:space="preserve">s </w:t>
            </w:r>
            <w:r w:rsidRPr="00CA6DFE">
              <w:rPr>
                <w:rFonts w:ascii="Calibri" w:hAnsi="Calibri"/>
                <w:sz w:val="22"/>
                <w:szCs w:val="22"/>
              </w:rPr>
              <w:t>in the EBF´s portfolio</w:t>
            </w:r>
          </w:p>
        </w:tc>
        <w:tc>
          <w:tcPr>
            <w:tcW w:w="2268" w:type="dxa"/>
            <w:tcBorders>
              <w:top w:val="single" w:sz="4" w:space="0" w:color="000000"/>
              <w:left w:val="single" w:sz="4" w:space="0" w:color="000000"/>
              <w:bottom w:val="single" w:sz="4" w:space="0" w:color="000000"/>
              <w:right w:val="single" w:sz="4" w:space="0" w:color="000000"/>
            </w:tcBorders>
          </w:tcPr>
          <w:p w14:paraId="75FCFCBA" w14:textId="77777777" w:rsidR="000004E0" w:rsidRPr="00D0005A" w:rsidRDefault="00B12532" w:rsidP="000004E0">
            <w:pPr>
              <w:pStyle w:val="Normal1"/>
              <w:spacing w:after="120" w:line="276" w:lineRule="auto"/>
              <w:rPr>
                <w:rFonts w:ascii="Calibri" w:hAnsi="Calibri"/>
                <w:sz w:val="22"/>
                <w:szCs w:val="22"/>
              </w:rPr>
            </w:pPr>
            <w:r>
              <w:rPr>
                <w:rFonts w:ascii="Calibri" w:hAnsi="Calibri"/>
                <w:sz w:val="22"/>
                <w:szCs w:val="22"/>
              </w:rPr>
              <w:t>12</w:t>
            </w:r>
          </w:p>
        </w:tc>
        <w:tc>
          <w:tcPr>
            <w:tcW w:w="1276" w:type="dxa"/>
            <w:tcBorders>
              <w:top w:val="single" w:sz="4" w:space="0" w:color="000000"/>
              <w:left w:val="single" w:sz="4" w:space="0" w:color="000000"/>
              <w:bottom w:val="single" w:sz="4" w:space="0" w:color="000000"/>
              <w:right w:val="single" w:sz="4" w:space="0" w:color="000000"/>
            </w:tcBorders>
          </w:tcPr>
          <w:p w14:paraId="057857C5" w14:textId="77777777" w:rsidR="000004E0" w:rsidRPr="00D0005A" w:rsidRDefault="00B12532" w:rsidP="000004E0">
            <w:pPr>
              <w:pStyle w:val="Normal1"/>
              <w:spacing w:after="120" w:line="276" w:lineRule="auto"/>
              <w:rPr>
                <w:rFonts w:ascii="Calibri" w:hAnsi="Calibri"/>
                <w:sz w:val="22"/>
                <w:szCs w:val="22"/>
              </w:rPr>
            </w:pPr>
            <w:r>
              <w:rPr>
                <w:rFonts w:ascii="Calibri" w:hAnsi="Calibri"/>
                <w:sz w:val="22"/>
                <w:szCs w:val="22"/>
              </w:rPr>
              <w:t>13</w:t>
            </w:r>
          </w:p>
        </w:tc>
      </w:tr>
      <w:tr w:rsidR="000004E0" w:rsidRPr="00D0005A" w14:paraId="3D762F12" w14:textId="77777777" w:rsidTr="00CA6DFE">
        <w:tc>
          <w:tcPr>
            <w:tcW w:w="5665" w:type="dxa"/>
            <w:tcBorders>
              <w:top w:val="single" w:sz="4" w:space="0" w:color="000000"/>
              <w:left w:val="single" w:sz="4" w:space="0" w:color="000000"/>
              <w:bottom w:val="single" w:sz="4" w:space="0" w:color="000000"/>
              <w:right w:val="single" w:sz="4" w:space="0" w:color="000000"/>
            </w:tcBorders>
          </w:tcPr>
          <w:p w14:paraId="4C3BE887" w14:textId="77777777" w:rsidR="000004E0" w:rsidRPr="00D0005A" w:rsidRDefault="00CA6DFE" w:rsidP="005E08C5">
            <w:pPr>
              <w:pStyle w:val="Normal1"/>
              <w:numPr>
                <w:ilvl w:val="1"/>
                <w:numId w:val="14"/>
              </w:numPr>
              <w:spacing w:after="120" w:line="276" w:lineRule="auto"/>
              <w:rPr>
                <w:rFonts w:ascii="Calibri" w:hAnsi="Calibri"/>
                <w:sz w:val="22"/>
                <w:szCs w:val="22"/>
              </w:rPr>
            </w:pPr>
            <w:r w:rsidRPr="00CA6DFE">
              <w:rPr>
                <w:rFonts w:ascii="Calibri" w:hAnsi="Calibri"/>
                <w:sz w:val="22"/>
                <w:szCs w:val="22"/>
              </w:rPr>
              <w:t>Number of commodities supported (e.g. crops)</w:t>
            </w:r>
          </w:p>
        </w:tc>
        <w:tc>
          <w:tcPr>
            <w:tcW w:w="2268" w:type="dxa"/>
            <w:tcBorders>
              <w:top w:val="single" w:sz="4" w:space="0" w:color="000000"/>
              <w:left w:val="single" w:sz="4" w:space="0" w:color="000000"/>
              <w:bottom w:val="single" w:sz="4" w:space="0" w:color="000000"/>
              <w:right w:val="single" w:sz="4" w:space="0" w:color="000000"/>
            </w:tcBorders>
          </w:tcPr>
          <w:p w14:paraId="3154607B" w14:textId="77777777" w:rsidR="000004E0" w:rsidRPr="00D0005A" w:rsidRDefault="00B12532" w:rsidP="000004E0">
            <w:pPr>
              <w:pStyle w:val="Normal1"/>
              <w:spacing w:after="120" w:line="276" w:lineRule="auto"/>
              <w:rPr>
                <w:rFonts w:ascii="Calibri" w:hAnsi="Calibri"/>
                <w:sz w:val="22"/>
                <w:szCs w:val="22"/>
              </w:rPr>
            </w:pPr>
            <w:r>
              <w:rPr>
                <w:rFonts w:ascii="Calibri" w:hAnsi="Calibri"/>
                <w:sz w:val="22"/>
                <w:szCs w:val="22"/>
              </w:rPr>
              <w:t>18</w:t>
            </w:r>
          </w:p>
        </w:tc>
        <w:tc>
          <w:tcPr>
            <w:tcW w:w="1276" w:type="dxa"/>
            <w:tcBorders>
              <w:top w:val="single" w:sz="4" w:space="0" w:color="000000"/>
              <w:left w:val="single" w:sz="4" w:space="0" w:color="000000"/>
              <w:bottom w:val="single" w:sz="4" w:space="0" w:color="000000"/>
              <w:right w:val="single" w:sz="4" w:space="0" w:color="000000"/>
            </w:tcBorders>
          </w:tcPr>
          <w:p w14:paraId="0D061592" w14:textId="77777777" w:rsidR="000004E0" w:rsidRPr="00D0005A" w:rsidRDefault="00B12532" w:rsidP="000004E0">
            <w:pPr>
              <w:pStyle w:val="Normal1"/>
              <w:spacing w:after="120" w:line="276" w:lineRule="auto"/>
              <w:rPr>
                <w:rFonts w:ascii="Calibri" w:hAnsi="Calibri"/>
                <w:sz w:val="22"/>
                <w:szCs w:val="22"/>
              </w:rPr>
            </w:pPr>
            <w:r>
              <w:rPr>
                <w:rFonts w:ascii="Calibri" w:hAnsi="Calibri"/>
                <w:sz w:val="22"/>
                <w:szCs w:val="22"/>
              </w:rPr>
              <w:t>19</w:t>
            </w:r>
          </w:p>
        </w:tc>
      </w:tr>
      <w:tr w:rsidR="000004E0" w:rsidRPr="00D0005A" w14:paraId="75D8A199" w14:textId="77777777" w:rsidTr="00CA6DFE">
        <w:tc>
          <w:tcPr>
            <w:tcW w:w="5665" w:type="dxa"/>
            <w:tcBorders>
              <w:top w:val="single" w:sz="4" w:space="0" w:color="000000"/>
              <w:left w:val="single" w:sz="4" w:space="0" w:color="000000"/>
              <w:bottom w:val="single" w:sz="4" w:space="0" w:color="000000"/>
              <w:right w:val="single" w:sz="4" w:space="0" w:color="000000"/>
            </w:tcBorders>
          </w:tcPr>
          <w:p w14:paraId="79F8A5BE" w14:textId="77777777" w:rsidR="000004E0" w:rsidRPr="00D0005A" w:rsidRDefault="00CA6DFE" w:rsidP="005E08C5">
            <w:pPr>
              <w:pStyle w:val="Normal1"/>
              <w:numPr>
                <w:ilvl w:val="1"/>
                <w:numId w:val="14"/>
              </w:numPr>
              <w:spacing w:after="120" w:line="276" w:lineRule="auto"/>
              <w:rPr>
                <w:rFonts w:ascii="Calibri" w:hAnsi="Calibri"/>
                <w:sz w:val="22"/>
                <w:szCs w:val="22"/>
              </w:rPr>
            </w:pPr>
            <w:r w:rsidRPr="00CA6DFE">
              <w:rPr>
                <w:rFonts w:ascii="Calibri" w:hAnsi="Calibri"/>
                <w:sz w:val="22"/>
                <w:szCs w:val="22"/>
              </w:rPr>
              <w:t>Number of countries in which the Fund operates</w:t>
            </w:r>
          </w:p>
        </w:tc>
        <w:tc>
          <w:tcPr>
            <w:tcW w:w="2268" w:type="dxa"/>
            <w:tcBorders>
              <w:top w:val="single" w:sz="4" w:space="0" w:color="000000"/>
              <w:left w:val="single" w:sz="4" w:space="0" w:color="000000"/>
              <w:bottom w:val="single" w:sz="4" w:space="0" w:color="000000"/>
              <w:right w:val="single" w:sz="4" w:space="0" w:color="000000"/>
            </w:tcBorders>
          </w:tcPr>
          <w:p w14:paraId="52FB72EB" w14:textId="77777777" w:rsidR="000004E0" w:rsidRPr="00D0005A" w:rsidRDefault="00B12532" w:rsidP="000004E0">
            <w:pPr>
              <w:pStyle w:val="Normal1"/>
              <w:spacing w:after="120" w:line="276" w:lineRule="auto"/>
              <w:rPr>
                <w:rFonts w:ascii="Calibri" w:hAnsi="Calibri"/>
                <w:sz w:val="22"/>
                <w:szCs w:val="22"/>
              </w:rPr>
            </w:pPr>
            <w:r>
              <w:rPr>
                <w:rFonts w:ascii="Calibri" w:hAnsi="Calibri"/>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14:paraId="137475D1" w14:textId="77777777" w:rsidR="000004E0" w:rsidRPr="00D0005A" w:rsidRDefault="00B12532" w:rsidP="000004E0">
            <w:pPr>
              <w:pStyle w:val="Normal1"/>
              <w:spacing w:after="120" w:line="276" w:lineRule="auto"/>
              <w:rPr>
                <w:rFonts w:ascii="Calibri" w:hAnsi="Calibri"/>
                <w:sz w:val="22"/>
                <w:szCs w:val="22"/>
              </w:rPr>
            </w:pPr>
            <w:r>
              <w:rPr>
                <w:rFonts w:ascii="Calibri" w:hAnsi="Calibri"/>
                <w:sz w:val="22"/>
                <w:szCs w:val="22"/>
              </w:rPr>
              <w:t>7</w:t>
            </w:r>
          </w:p>
        </w:tc>
      </w:tr>
    </w:tbl>
    <w:p w14:paraId="12BC6026" w14:textId="77777777" w:rsidR="000004E0" w:rsidRPr="00D0005A" w:rsidRDefault="000004E0" w:rsidP="000715C0">
      <w:pPr>
        <w:pStyle w:val="Normal1"/>
        <w:spacing w:after="120" w:line="276" w:lineRule="auto"/>
        <w:jc w:val="both"/>
        <w:rPr>
          <w:rFonts w:ascii="Calibri" w:hAnsi="Calibri"/>
          <w:sz w:val="22"/>
          <w:szCs w:val="22"/>
        </w:rPr>
      </w:pPr>
    </w:p>
    <w:p w14:paraId="5FC14521" w14:textId="77777777" w:rsidR="000004E0" w:rsidRDefault="000004E0" w:rsidP="000715C0">
      <w:pPr>
        <w:pStyle w:val="Normal1"/>
        <w:spacing w:after="120" w:line="276" w:lineRule="auto"/>
        <w:jc w:val="both"/>
        <w:rPr>
          <w:rFonts w:ascii="Calibri" w:hAnsi="Calibri"/>
          <w:b/>
          <w:sz w:val="22"/>
          <w:szCs w:val="22"/>
        </w:rPr>
      </w:pPr>
      <w:r w:rsidRPr="00D0005A">
        <w:rPr>
          <w:rFonts w:ascii="Calibri" w:hAnsi="Calibri"/>
          <w:b/>
          <w:sz w:val="22"/>
          <w:szCs w:val="22"/>
        </w:rPr>
        <w:t>Key Points</w:t>
      </w:r>
    </w:p>
    <w:p w14:paraId="1485ED17" w14:textId="6C16F54F" w:rsidR="00643685" w:rsidRDefault="001D2CB5" w:rsidP="000715C0">
      <w:pPr>
        <w:pStyle w:val="Normal1"/>
        <w:spacing w:after="120" w:line="276" w:lineRule="auto"/>
        <w:jc w:val="both"/>
        <w:rPr>
          <w:rFonts w:ascii="Calibri" w:hAnsi="Calibri"/>
          <w:sz w:val="22"/>
          <w:szCs w:val="22"/>
        </w:rPr>
      </w:pPr>
      <w:r>
        <w:rPr>
          <w:rFonts w:ascii="Calibri" w:hAnsi="Calibri"/>
          <w:sz w:val="22"/>
          <w:szCs w:val="22"/>
        </w:rPr>
        <w:t xml:space="preserve">There was progress against all of the </w:t>
      </w:r>
      <w:r w:rsidR="00643685">
        <w:rPr>
          <w:rFonts w:ascii="Calibri" w:hAnsi="Calibri"/>
          <w:sz w:val="22"/>
          <w:szCs w:val="22"/>
        </w:rPr>
        <w:t xml:space="preserve">indicators for this output </w:t>
      </w:r>
      <w:r>
        <w:rPr>
          <w:rFonts w:ascii="Calibri" w:hAnsi="Calibri"/>
          <w:sz w:val="22"/>
          <w:szCs w:val="22"/>
        </w:rPr>
        <w:t xml:space="preserve">since 2017, with targets exceeded for 2018. </w:t>
      </w:r>
    </w:p>
    <w:p w14:paraId="70E5469F" w14:textId="77777777" w:rsidR="000004E0" w:rsidRPr="00D0005A" w:rsidRDefault="000004E0" w:rsidP="000715C0">
      <w:pPr>
        <w:pStyle w:val="Normal1"/>
        <w:spacing w:after="120" w:line="276" w:lineRule="auto"/>
        <w:jc w:val="both"/>
        <w:rPr>
          <w:rFonts w:ascii="Calibri" w:hAnsi="Calibri"/>
          <w:b/>
          <w:sz w:val="22"/>
          <w:szCs w:val="22"/>
        </w:rPr>
      </w:pPr>
      <w:r w:rsidRPr="00D0005A">
        <w:rPr>
          <w:rFonts w:ascii="Calibri" w:hAnsi="Calibri"/>
          <w:b/>
          <w:sz w:val="22"/>
          <w:szCs w:val="22"/>
        </w:rPr>
        <w:t xml:space="preserve">Progress: </w:t>
      </w:r>
    </w:p>
    <w:p w14:paraId="26D3359A" w14:textId="65035C8D" w:rsidR="00125A17" w:rsidRDefault="00D57BB4" w:rsidP="000715C0">
      <w:pPr>
        <w:pStyle w:val="Normal1"/>
        <w:spacing w:after="120" w:line="276" w:lineRule="auto"/>
        <w:jc w:val="both"/>
        <w:rPr>
          <w:rFonts w:ascii="Calibri" w:hAnsi="Calibri"/>
          <w:sz w:val="22"/>
          <w:szCs w:val="22"/>
        </w:rPr>
      </w:pPr>
      <w:r>
        <w:rPr>
          <w:rFonts w:ascii="Calibri" w:hAnsi="Calibri"/>
          <w:sz w:val="22"/>
          <w:szCs w:val="22"/>
        </w:rPr>
        <w:t xml:space="preserve">The number of FIs in the EBFs portfolio </w:t>
      </w:r>
      <w:r w:rsidR="006F1BC1">
        <w:rPr>
          <w:rFonts w:ascii="Calibri" w:hAnsi="Calibri"/>
          <w:sz w:val="22"/>
          <w:szCs w:val="22"/>
        </w:rPr>
        <w:t>increased in 2018 to 13</w:t>
      </w:r>
      <w:r w:rsidR="007A2172">
        <w:rPr>
          <w:rFonts w:ascii="Calibri" w:hAnsi="Calibri"/>
          <w:sz w:val="22"/>
          <w:szCs w:val="22"/>
        </w:rPr>
        <w:t xml:space="preserve">. </w:t>
      </w:r>
      <w:r>
        <w:rPr>
          <w:rFonts w:ascii="Calibri" w:hAnsi="Calibri"/>
          <w:sz w:val="22"/>
          <w:szCs w:val="22"/>
        </w:rPr>
        <w:t>T</w:t>
      </w:r>
      <w:r w:rsidR="000820D0">
        <w:rPr>
          <w:rFonts w:ascii="Calibri" w:hAnsi="Calibri"/>
          <w:sz w:val="22"/>
          <w:szCs w:val="22"/>
        </w:rPr>
        <w:t xml:space="preserve">hese FIs are spread throughout </w:t>
      </w:r>
      <w:r w:rsidR="001D2CB5">
        <w:rPr>
          <w:rFonts w:ascii="Calibri" w:hAnsi="Calibri"/>
          <w:sz w:val="22"/>
          <w:szCs w:val="22"/>
        </w:rPr>
        <w:t>seven</w:t>
      </w:r>
      <w:r>
        <w:rPr>
          <w:rFonts w:ascii="Calibri" w:hAnsi="Calibri"/>
          <w:sz w:val="22"/>
          <w:szCs w:val="22"/>
        </w:rPr>
        <w:t xml:space="preserve"> countries, </w:t>
      </w:r>
      <w:r w:rsidR="007A2172">
        <w:rPr>
          <w:rFonts w:ascii="Calibri" w:hAnsi="Calibri"/>
          <w:sz w:val="22"/>
          <w:szCs w:val="22"/>
        </w:rPr>
        <w:t>an increase of</w:t>
      </w:r>
      <w:r w:rsidR="000820D0">
        <w:rPr>
          <w:rFonts w:ascii="Calibri" w:hAnsi="Calibri"/>
          <w:sz w:val="22"/>
          <w:szCs w:val="22"/>
        </w:rPr>
        <w:t xml:space="preserve"> </w:t>
      </w:r>
      <w:r w:rsidR="001D2CB5">
        <w:rPr>
          <w:rFonts w:ascii="Calibri" w:hAnsi="Calibri"/>
          <w:sz w:val="22"/>
          <w:szCs w:val="22"/>
        </w:rPr>
        <w:t>one (</w:t>
      </w:r>
      <w:r w:rsidR="007114A5">
        <w:rPr>
          <w:rFonts w:ascii="Calibri" w:hAnsi="Calibri"/>
          <w:sz w:val="22"/>
          <w:szCs w:val="22"/>
        </w:rPr>
        <w:t>Honduras</w:t>
      </w:r>
      <w:r w:rsidR="001D2CB5">
        <w:rPr>
          <w:rFonts w:ascii="Calibri" w:hAnsi="Calibri"/>
          <w:sz w:val="22"/>
          <w:szCs w:val="22"/>
        </w:rPr>
        <w:t>)</w:t>
      </w:r>
      <w:r w:rsidR="007114A5">
        <w:rPr>
          <w:rFonts w:ascii="Calibri" w:hAnsi="Calibri"/>
          <w:sz w:val="22"/>
          <w:szCs w:val="22"/>
        </w:rPr>
        <w:t>,</w:t>
      </w:r>
      <w:r w:rsidR="000820D0">
        <w:rPr>
          <w:rFonts w:ascii="Calibri" w:hAnsi="Calibri"/>
          <w:sz w:val="22"/>
          <w:szCs w:val="22"/>
        </w:rPr>
        <w:t xml:space="preserve"> from 2017</w:t>
      </w:r>
      <w:r>
        <w:rPr>
          <w:rFonts w:ascii="Calibri" w:hAnsi="Calibri"/>
          <w:sz w:val="22"/>
          <w:szCs w:val="22"/>
        </w:rPr>
        <w:t xml:space="preserve">. </w:t>
      </w:r>
      <w:proofErr w:type="spellStart"/>
      <w:r w:rsidR="00125A17" w:rsidRPr="00A5364C">
        <w:rPr>
          <w:rFonts w:ascii="Calibri" w:hAnsi="Calibri"/>
          <w:sz w:val="22"/>
          <w:szCs w:val="22"/>
          <w:lang w:val="es-EC"/>
        </w:rPr>
        <w:t>The</w:t>
      </w:r>
      <w:proofErr w:type="spellEnd"/>
      <w:r w:rsidR="00125A17" w:rsidRPr="00A5364C">
        <w:rPr>
          <w:rFonts w:ascii="Calibri" w:hAnsi="Calibri"/>
          <w:sz w:val="22"/>
          <w:szCs w:val="22"/>
          <w:lang w:val="es-EC"/>
        </w:rPr>
        <w:t xml:space="preserve"> portfolio </w:t>
      </w:r>
      <w:proofErr w:type="spellStart"/>
      <w:r w:rsidR="00125A17" w:rsidRPr="00A5364C">
        <w:rPr>
          <w:rFonts w:ascii="Calibri" w:hAnsi="Calibri"/>
          <w:sz w:val="22"/>
          <w:szCs w:val="22"/>
          <w:lang w:val="es-EC"/>
        </w:rPr>
        <w:t>now</w:t>
      </w:r>
      <w:proofErr w:type="spellEnd"/>
      <w:r w:rsidR="00125A17" w:rsidRPr="00A5364C">
        <w:rPr>
          <w:rFonts w:ascii="Calibri" w:hAnsi="Calibri"/>
          <w:sz w:val="22"/>
          <w:szCs w:val="22"/>
          <w:lang w:val="es-EC"/>
        </w:rPr>
        <w:t xml:space="preserve"> </w:t>
      </w:r>
      <w:proofErr w:type="spellStart"/>
      <w:r w:rsidR="00125A17" w:rsidRPr="00A5364C">
        <w:rPr>
          <w:rFonts w:ascii="Calibri" w:hAnsi="Calibri"/>
          <w:sz w:val="22"/>
          <w:szCs w:val="22"/>
          <w:lang w:val="es-EC"/>
        </w:rPr>
        <w:t>reaches</w:t>
      </w:r>
      <w:proofErr w:type="spellEnd"/>
      <w:r w:rsidR="00125A17" w:rsidRPr="00A5364C">
        <w:rPr>
          <w:rFonts w:ascii="Calibri" w:hAnsi="Calibri"/>
          <w:sz w:val="22"/>
          <w:szCs w:val="22"/>
          <w:lang w:val="es-EC"/>
        </w:rPr>
        <w:t xml:space="preserve"> </w:t>
      </w:r>
      <w:proofErr w:type="spellStart"/>
      <w:r w:rsidR="00125A17" w:rsidRPr="00A5364C">
        <w:rPr>
          <w:rFonts w:ascii="Calibri" w:hAnsi="Calibri"/>
          <w:sz w:val="22"/>
          <w:szCs w:val="22"/>
          <w:lang w:val="es-EC"/>
        </w:rPr>
        <w:t>Panama</w:t>
      </w:r>
      <w:proofErr w:type="spellEnd"/>
      <w:r w:rsidR="00125A17" w:rsidRPr="00A5364C">
        <w:rPr>
          <w:rFonts w:ascii="Calibri" w:hAnsi="Calibri"/>
          <w:sz w:val="22"/>
          <w:szCs w:val="22"/>
          <w:lang w:val="es-EC"/>
        </w:rPr>
        <w:t xml:space="preserve">, Columbia, El Salvador, Nicaragua, Costa Rica, Ecuador and Honduras. </w:t>
      </w:r>
      <w:r w:rsidR="00125A17">
        <w:rPr>
          <w:rFonts w:ascii="Calibri" w:hAnsi="Calibri"/>
          <w:sz w:val="22"/>
          <w:szCs w:val="22"/>
        </w:rPr>
        <w:t>The largest portion of the portfolio is in Panama with a 26.7% share.</w:t>
      </w:r>
    </w:p>
    <w:p w14:paraId="0FBC27E5" w14:textId="131830F3" w:rsidR="00402724" w:rsidRDefault="000820D0" w:rsidP="00402724">
      <w:pPr>
        <w:pStyle w:val="Normal1"/>
        <w:spacing w:after="120" w:line="276" w:lineRule="auto"/>
        <w:jc w:val="both"/>
        <w:rPr>
          <w:rFonts w:ascii="Calibri" w:hAnsi="Calibri"/>
          <w:sz w:val="22"/>
          <w:szCs w:val="22"/>
        </w:rPr>
      </w:pPr>
      <w:r>
        <w:rPr>
          <w:rFonts w:ascii="Calibri" w:hAnsi="Calibri"/>
          <w:sz w:val="22"/>
          <w:szCs w:val="22"/>
        </w:rPr>
        <w:t>There are now 19</w:t>
      </w:r>
      <w:r w:rsidR="00D57BB4">
        <w:rPr>
          <w:rFonts w:ascii="Calibri" w:hAnsi="Calibri"/>
          <w:sz w:val="22"/>
          <w:szCs w:val="22"/>
        </w:rPr>
        <w:t xml:space="preserve"> cr</w:t>
      </w:r>
      <w:r>
        <w:rPr>
          <w:rFonts w:ascii="Calibri" w:hAnsi="Calibri"/>
          <w:sz w:val="22"/>
          <w:szCs w:val="22"/>
        </w:rPr>
        <w:t>op types supported compared to 14 at the end of 2017</w:t>
      </w:r>
      <w:r w:rsidR="00D57BB4">
        <w:rPr>
          <w:rFonts w:ascii="Calibri" w:hAnsi="Calibri"/>
          <w:sz w:val="22"/>
          <w:szCs w:val="22"/>
        </w:rPr>
        <w:t xml:space="preserve">. </w:t>
      </w:r>
      <w:r w:rsidR="00D320C6">
        <w:rPr>
          <w:rFonts w:ascii="Calibri" w:hAnsi="Calibri"/>
          <w:sz w:val="22"/>
          <w:szCs w:val="22"/>
        </w:rPr>
        <w:t>C</w:t>
      </w:r>
      <w:r w:rsidR="000004E0" w:rsidRPr="00D0005A">
        <w:rPr>
          <w:rFonts w:ascii="Calibri" w:hAnsi="Calibri"/>
          <w:sz w:val="22"/>
          <w:szCs w:val="22"/>
        </w:rPr>
        <w:t>offee</w:t>
      </w:r>
      <w:r w:rsidR="00D368BE">
        <w:rPr>
          <w:rFonts w:ascii="Calibri" w:hAnsi="Calibri"/>
          <w:sz w:val="22"/>
          <w:szCs w:val="22"/>
        </w:rPr>
        <w:t xml:space="preserve"> </w:t>
      </w:r>
      <w:r w:rsidR="00D320C6">
        <w:rPr>
          <w:rFonts w:ascii="Calibri" w:hAnsi="Calibri"/>
          <w:sz w:val="22"/>
          <w:szCs w:val="22"/>
        </w:rPr>
        <w:t xml:space="preserve">assumes the largest </w:t>
      </w:r>
      <w:r w:rsidR="00D368BE">
        <w:rPr>
          <w:rFonts w:ascii="Calibri" w:hAnsi="Calibri"/>
          <w:sz w:val="22"/>
          <w:szCs w:val="22"/>
        </w:rPr>
        <w:t>share of the sub</w:t>
      </w:r>
      <w:r w:rsidR="00D320C6">
        <w:rPr>
          <w:rFonts w:ascii="Calibri" w:hAnsi="Calibri"/>
          <w:sz w:val="22"/>
          <w:szCs w:val="22"/>
        </w:rPr>
        <w:t>-</w:t>
      </w:r>
      <w:r w:rsidR="00D368BE">
        <w:rPr>
          <w:rFonts w:ascii="Calibri" w:hAnsi="Calibri"/>
          <w:sz w:val="22"/>
          <w:szCs w:val="22"/>
        </w:rPr>
        <w:t xml:space="preserve">loan </w:t>
      </w:r>
      <w:r w:rsidR="00D320C6">
        <w:rPr>
          <w:rFonts w:ascii="Calibri" w:hAnsi="Calibri"/>
          <w:sz w:val="22"/>
          <w:szCs w:val="22"/>
        </w:rPr>
        <w:t xml:space="preserve">commodity </w:t>
      </w:r>
      <w:r w:rsidR="00D368BE">
        <w:rPr>
          <w:rFonts w:ascii="Calibri" w:hAnsi="Calibri"/>
          <w:sz w:val="22"/>
          <w:szCs w:val="22"/>
        </w:rPr>
        <w:t>portfolio</w:t>
      </w:r>
      <w:r>
        <w:rPr>
          <w:rFonts w:ascii="Calibri" w:hAnsi="Calibri"/>
          <w:sz w:val="22"/>
          <w:szCs w:val="22"/>
        </w:rPr>
        <w:t xml:space="preserve"> (44</w:t>
      </w:r>
      <w:r w:rsidR="00D320C6">
        <w:rPr>
          <w:rFonts w:ascii="Calibri" w:hAnsi="Calibri"/>
          <w:sz w:val="22"/>
          <w:szCs w:val="22"/>
        </w:rPr>
        <w:t>%) followed by</w:t>
      </w:r>
      <w:r w:rsidR="00402724">
        <w:rPr>
          <w:rFonts w:ascii="Calibri" w:hAnsi="Calibri"/>
          <w:sz w:val="22"/>
          <w:szCs w:val="22"/>
        </w:rPr>
        <w:t xml:space="preserve"> a new commodity</w:t>
      </w:r>
      <w:r w:rsidR="008625ED">
        <w:rPr>
          <w:rFonts w:ascii="Calibri" w:hAnsi="Calibri"/>
          <w:sz w:val="22"/>
          <w:szCs w:val="22"/>
        </w:rPr>
        <w:t xml:space="preserve"> (l</w:t>
      </w:r>
      <w:r w:rsidR="00A0043B">
        <w:rPr>
          <w:rFonts w:ascii="Calibri" w:hAnsi="Calibri"/>
          <w:sz w:val="22"/>
          <w:szCs w:val="22"/>
        </w:rPr>
        <w:t>ivestock</w:t>
      </w:r>
      <w:r w:rsidR="00402724">
        <w:rPr>
          <w:rFonts w:ascii="Calibri" w:hAnsi="Calibri"/>
          <w:sz w:val="22"/>
          <w:szCs w:val="22"/>
        </w:rPr>
        <w:t xml:space="preserve"> </w:t>
      </w:r>
      <w:r w:rsidR="00A0043B">
        <w:rPr>
          <w:rFonts w:ascii="Calibri" w:hAnsi="Calibri"/>
          <w:sz w:val="22"/>
          <w:szCs w:val="22"/>
        </w:rPr>
        <w:t>in Panama</w:t>
      </w:r>
      <w:r w:rsidR="008625ED">
        <w:rPr>
          <w:rFonts w:ascii="Calibri" w:hAnsi="Calibri"/>
          <w:sz w:val="22"/>
          <w:szCs w:val="22"/>
        </w:rPr>
        <w:t xml:space="preserve">). Financing is </w:t>
      </w:r>
      <w:r w:rsidR="000004E0" w:rsidRPr="00D0005A">
        <w:rPr>
          <w:rFonts w:ascii="Calibri" w:hAnsi="Calibri"/>
          <w:sz w:val="22"/>
          <w:szCs w:val="22"/>
        </w:rPr>
        <w:t>predominantly through working capital loans</w:t>
      </w:r>
      <w:r w:rsidR="00125A17">
        <w:rPr>
          <w:rFonts w:ascii="Calibri" w:hAnsi="Calibri"/>
          <w:sz w:val="22"/>
          <w:szCs w:val="22"/>
        </w:rPr>
        <w:t>, although the share of fixed asset loans</w:t>
      </w:r>
      <w:r w:rsidR="00490385">
        <w:rPr>
          <w:rFonts w:ascii="Calibri" w:hAnsi="Calibri"/>
          <w:sz w:val="22"/>
          <w:szCs w:val="22"/>
        </w:rPr>
        <w:t xml:space="preserve"> has increased</w:t>
      </w:r>
      <w:r w:rsidR="00D368BE">
        <w:rPr>
          <w:rFonts w:ascii="Calibri" w:hAnsi="Calibri"/>
          <w:sz w:val="22"/>
          <w:szCs w:val="22"/>
        </w:rPr>
        <w:t xml:space="preserve">. </w:t>
      </w:r>
    </w:p>
    <w:p w14:paraId="40533297" w14:textId="77777777" w:rsidR="000004E0" w:rsidRDefault="000004E0" w:rsidP="000715C0">
      <w:pPr>
        <w:pStyle w:val="Normal1"/>
        <w:spacing w:after="120" w:line="276" w:lineRule="auto"/>
        <w:rPr>
          <w:rFonts w:ascii="Calibri" w:hAnsi="Calibri"/>
          <w:b/>
          <w:sz w:val="22"/>
          <w:szCs w:val="22"/>
        </w:rPr>
      </w:pPr>
      <w:r w:rsidRPr="00D0005A">
        <w:rPr>
          <w:rFonts w:ascii="Calibri" w:hAnsi="Calibri"/>
          <w:b/>
          <w:sz w:val="22"/>
          <w:szCs w:val="22"/>
        </w:rPr>
        <w:t>Issues</w:t>
      </w:r>
      <w:r w:rsidR="00E904AC">
        <w:rPr>
          <w:rFonts w:ascii="Calibri" w:hAnsi="Calibri"/>
          <w:b/>
          <w:sz w:val="22"/>
          <w:szCs w:val="22"/>
        </w:rPr>
        <w:t>/risks</w:t>
      </w:r>
      <w:r w:rsidRPr="00D0005A">
        <w:rPr>
          <w:rFonts w:ascii="Calibri" w:hAnsi="Calibri"/>
          <w:b/>
          <w:sz w:val="22"/>
          <w:szCs w:val="22"/>
        </w:rPr>
        <w:t xml:space="preserve">: </w:t>
      </w:r>
    </w:p>
    <w:p w14:paraId="52C89FC0" w14:textId="202C7EC4" w:rsidR="007A2172" w:rsidRPr="007A2172" w:rsidRDefault="00045C4F" w:rsidP="007A697B">
      <w:pPr>
        <w:pStyle w:val="Normal1"/>
        <w:numPr>
          <w:ilvl w:val="0"/>
          <w:numId w:val="23"/>
        </w:numPr>
        <w:spacing w:after="120" w:line="276" w:lineRule="auto"/>
        <w:rPr>
          <w:rFonts w:ascii="Calibri" w:hAnsi="Calibri"/>
          <w:sz w:val="22"/>
          <w:szCs w:val="22"/>
        </w:rPr>
      </w:pPr>
      <w:r w:rsidRPr="007A2172">
        <w:rPr>
          <w:rFonts w:ascii="Calibri" w:hAnsi="Calibri"/>
          <w:sz w:val="22"/>
          <w:szCs w:val="22"/>
        </w:rPr>
        <w:t xml:space="preserve">Defra is aware of the large proportion of the portfolio with exposure to Panama. It is possible that Panama will graduate from ODA-eligibility in the future due to exceeding the </w:t>
      </w:r>
      <w:r w:rsidR="00466CBF">
        <w:rPr>
          <w:rFonts w:ascii="Calibri" w:hAnsi="Calibri"/>
          <w:sz w:val="22"/>
          <w:szCs w:val="22"/>
        </w:rPr>
        <w:t>Gross National Income (</w:t>
      </w:r>
      <w:r w:rsidRPr="007A2172">
        <w:rPr>
          <w:rFonts w:ascii="Calibri" w:hAnsi="Calibri"/>
          <w:sz w:val="22"/>
          <w:szCs w:val="22"/>
        </w:rPr>
        <w:t>GNI</w:t>
      </w:r>
      <w:r w:rsidR="00466CBF">
        <w:rPr>
          <w:rFonts w:ascii="Calibri" w:hAnsi="Calibri"/>
          <w:sz w:val="22"/>
          <w:szCs w:val="22"/>
        </w:rPr>
        <w:t>)</w:t>
      </w:r>
      <w:r w:rsidRPr="007A2172">
        <w:rPr>
          <w:rFonts w:ascii="Calibri" w:hAnsi="Calibri"/>
          <w:sz w:val="22"/>
          <w:szCs w:val="22"/>
        </w:rPr>
        <w:t xml:space="preserve"> maximum threshold in 2017. Three years of GNI exceeding threshold for Middle Income Countries (MICs) will trigger graduation from ODA-eligibility. The</w:t>
      </w:r>
      <w:r w:rsidR="006F5D07">
        <w:rPr>
          <w:rFonts w:ascii="Calibri" w:hAnsi="Calibri"/>
          <w:sz w:val="22"/>
          <w:szCs w:val="22"/>
        </w:rPr>
        <w:t xml:space="preserve"> </w:t>
      </w:r>
      <w:r w:rsidRPr="007A2172">
        <w:rPr>
          <w:rFonts w:ascii="Calibri" w:hAnsi="Calibri"/>
          <w:sz w:val="22"/>
          <w:szCs w:val="22"/>
        </w:rPr>
        <w:t>OECD eligibilit</w:t>
      </w:r>
      <w:r w:rsidR="007A2172" w:rsidRPr="007A2172">
        <w:rPr>
          <w:rFonts w:ascii="Calibri" w:hAnsi="Calibri"/>
          <w:sz w:val="22"/>
          <w:szCs w:val="22"/>
        </w:rPr>
        <w:t xml:space="preserve">y list will be updated in 2020, with graduating countries becoming in-eligible </w:t>
      </w:r>
      <w:r w:rsidR="00A0043B">
        <w:rPr>
          <w:rFonts w:ascii="Calibri" w:hAnsi="Calibri"/>
          <w:sz w:val="22"/>
          <w:szCs w:val="22"/>
        </w:rPr>
        <w:t>from 1</w:t>
      </w:r>
      <w:r w:rsidR="00A0043B" w:rsidRPr="00A0043B">
        <w:rPr>
          <w:rFonts w:ascii="Calibri" w:hAnsi="Calibri"/>
          <w:sz w:val="22"/>
          <w:szCs w:val="22"/>
          <w:vertAlign w:val="superscript"/>
        </w:rPr>
        <w:t>st</w:t>
      </w:r>
      <w:r w:rsidR="00A0043B">
        <w:rPr>
          <w:rFonts w:ascii="Calibri" w:hAnsi="Calibri"/>
          <w:sz w:val="22"/>
          <w:szCs w:val="22"/>
        </w:rPr>
        <w:t xml:space="preserve"> January</w:t>
      </w:r>
      <w:r w:rsidR="007A2172" w:rsidRPr="007A2172">
        <w:rPr>
          <w:rFonts w:ascii="Calibri" w:hAnsi="Calibri"/>
          <w:sz w:val="22"/>
          <w:szCs w:val="22"/>
        </w:rPr>
        <w:t xml:space="preserve"> 2021</w:t>
      </w:r>
      <w:r w:rsidR="00A0043B">
        <w:rPr>
          <w:rFonts w:ascii="Calibri" w:hAnsi="Calibri"/>
          <w:sz w:val="22"/>
          <w:szCs w:val="22"/>
        </w:rPr>
        <w:t>.</w:t>
      </w:r>
      <w:r w:rsidR="00490385">
        <w:rPr>
          <w:rFonts w:ascii="Calibri" w:hAnsi="Calibri"/>
          <w:sz w:val="22"/>
          <w:szCs w:val="22"/>
        </w:rPr>
        <w:t xml:space="preserve"> A strategy for monitoring MICs graduation has been included in the recommendations</w:t>
      </w:r>
      <w:r w:rsidR="005751BC">
        <w:rPr>
          <w:rFonts w:ascii="Calibri" w:hAnsi="Calibri"/>
          <w:sz w:val="22"/>
          <w:szCs w:val="22"/>
        </w:rPr>
        <w:t>.</w:t>
      </w:r>
      <w:r w:rsidR="00490385">
        <w:rPr>
          <w:rFonts w:ascii="Calibri" w:hAnsi="Calibri"/>
          <w:sz w:val="22"/>
          <w:szCs w:val="22"/>
        </w:rPr>
        <w:t xml:space="preserve"> </w:t>
      </w:r>
    </w:p>
    <w:p w14:paraId="75A55ADE" w14:textId="77777777" w:rsidR="00045C4F" w:rsidRDefault="00045C4F" w:rsidP="007A2172">
      <w:pPr>
        <w:pStyle w:val="Normal1"/>
        <w:spacing w:after="120" w:line="276" w:lineRule="auto"/>
        <w:rPr>
          <w:rFonts w:ascii="Calibri" w:hAnsi="Calibri"/>
          <w:b/>
          <w:sz w:val="22"/>
          <w:szCs w:val="22"/>
        </w:rPr>
      </w:pPr>
    </w:p>
    <w:p w14:paraId="639BF9D9" w14:textId="77777777" w:rsidR="00402724" w:rsidRPr="00D0005A" w:rsidRDefault="00402724" w:rsidP="000715C0">
      <w:pPr>
        <w:pStyle w:val="Normal1"/>
        <w:spacing w:after="120" w:line="276" w:lineRule="auto"/>
        <w:rPr>
          <w:rFonts w:ascii="Calibri" w:hAnsi="Calibri"/>
          <w:b/>
          <w:sz w:val="22"/>
          <w:szCs w:val="22"/>
        </w:rPr>
      </w:pPr>
    </w:p>
    <w:p w14:paraId="71CCD5C4" w14:textId="2782BFF8" w:rsidR="000004E0" w:rsidRPr="00D0005A" w:rsidRDefault="007D3D39" w:rsidP="004265A7">
      <w:pPr>
        <w:pStyle w:val="Heading2"/>
        <w:rPr>
          <w:i/>
        </w:rPr>
      </w:pPr>
      <w:bookmarkStart w:id="3" w:name="_Toc15984385"/>
      <w:r>
        <w:t>B</w:t>
      </w:r>
      <w:r w:rsidR="000004E0" w:rsidRPr="00D0005A">
        <w:t>: DETAILED OUTPUT SCORING</w:t>
      </w:r>
      <w:bookmarkEnd w:id="3"/>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992"/>
        <w:gridCol w:w="1276"/>
        <w:gridCol w:w="2977"/>
        <w:gridCol w:w="850"/>
      </w:tblGrid>
      <w:tr w:rsidR="000004E0" w:rsidRPr="00D0005A" w14:paraId="77AE4360" w14:textId="77777777" w:rsidTr="00CC1D65">
        <w:trPr>
          <w:trHeight w:val="400"/>
        </w:trPr>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5A31BB89" w14:textId="77777777" w:rsidR="000004E0" w:rsidRPr="001501EA" w:rsidRDefault="000004E0" w:rsidP="000004E0">
            <w:pPr>
              <w:pStyle w:val="Normal1"/>
              <w:spacing w:after="120" w:line="276" w:lineRule="auto"/>
              <w:rPr>
                <w:rFonts w:ascii="Calibri" w:hAnsi="Calibri"/>
                <w:b/>
                <w:color w:val="auto"/>
                <w:sz w:val="22"/>
                <w:szCs w:val="22"/>
              </w:rPr>
            </w:pPr>
            <w:r w:rsidRPr="001501EA">
              <w:rPr>
                <w:rFonts w:ascii="Calibri" w:hAnsi="Calibri"/>
                <w:b/>
                <w:color w:val="auto"/>
                <w:sz w:val="22"/>
                <w:szCs w:val="22"/>
              </w:rPr>
              <w:t xml:space="preserve">Output Title </w:t>
            </w:r>
          </w:p>
        </w:tc>
        <w:tc>
          <w:tcPr>
            <w:tcW w:w="6095" w:type="dxa"/>
            <w:gridSpan w:val="4"/>
            <w:tcBorders>
              <w:top w:val="single" w:sz="4" w:space="0" w:color="000000"/>
              <w:left w:val="single" w:sz="4" w:space="0" w:color="000000"/>
              <w:bottom w:val="single" w:sz="4" w:space="0" w:color="000000"/>
              <w:right w:val="single" w:sz="4" w:space="0" w:color="000000"/>
            </w:tcBorders>
          </w:tcPr>
          <w:p w14:paraId="40F45002" w14:textId="77777777" w:rsidR="000004E0" w:rsidRPr="001501EA" w:rsidRDefault="000004E0" w:rsidP="000004E0">
            <w:pPr>
              <w:pStyle w:val="Normal1"/>
              <w:spacing w:after="120" w:line="276" w:lineRule="auto"/>
              <w:rPr>
                <w:rFonts w:ascii="Calibri" w:hAnsi="Calibri"/>
                <w:color w:val="auto"/>
                <w:sz w:val="22"/>
                <w:szCs w:val="22"/>
              </w:rPr>
            </w:pPr>
            <w:r w:rsidRPr="001501EA">
              <w:rPr>
                <w:rFonts w:ascii="Calibri" w:hAnsi="Calibri"/>
                <w:color w:val="auto"/>
                <w:sz w:val="22"/>
                <w:szCs w:val="22"/>
              </w:rPr>
              <w:t>Broad support to sustainability practices reflected in the composition of the portfolio</w:t>
            </w:r>
          </w:p>
        </w:tc>
      </w:tr>
      <w:tr w:rsidR="000004E0" w:rsidRPr="00D0005A" w14:paraId="4F266056" w14:textId="77777777" w:rsidTr="00CC1D65">
        <w:trPr>
          <w:trHeight w:val="400"/>
        </w:trPr>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735BB43B"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2268" w:type="dxa"/>
            <w:gridSpan w:val="2"/>
            <w:tcBorders>
              <w:top w:val="single" w:sz="4" w:space="0" w:color="000000"/>
              <w:left w:val="single" w:sz="4" w:space="0" w:color="000000"/>
              <w:bottom w:val="single" w:sz="4" w:space="0" w:color="000000"/>
              <w:right w:val="single" w:sz="4" w:space="0" w:color="000000"/>
            </w:tcBorders>
          </w:tcPr>
          <w:p w14:paraId="201E2D1A"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40B5070D"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850" w:type="dxa"/>
            <w:tcBorders>
              <w:top w:val="single" w:sz="4" w:space="0" w:color="000000"/>
              <w:left w:val="single" w:sz="4" w:space="0" w:color="000000"/>
              <w:bottom w:val="single" w:sz="4" w:space="0" w:color="000000"/>
              <w:right w:val="single" w:sz="4" w:space="0" w:color="000000"/>
            </w:tcBorders>
          </w:tcPr>
          <w:p w14:paraId="7BDC57EF" w14:textId="2A005FA0" w:rsidR="000004E0" w:rsidRPr="00A84E9B" w:rsidRDefault="008625ED" w:rsidP="000004E0">
            <w:pPr>
              <w:pStyle w:val="Normal1"/>
              <w:spacing w:after="120" w:line="276" w:lineRule="auto"/>
              <w:rPr>
                <w:rFonts w:ascii="Calibri" w:hAnsi="Calibri"/>
                <w:b/>
                <w:color w:val="FF0000"/>
                <w:sz w:val="22"/>
                <w:szCs w:val="22"/>
              </w:rPr>
            </w:pPr>
            <w:r>
              <w:rPr>
                <w:rFonts w:ascii="Calibri" w:hAnsi="Calibri"/>
                <w:sz w:val="22"/>
                <w:szCs w:val="22"/>
              </w:rPr>
              <w:t>A</w:t>
            </w:r>
          </w:p>
        </w:tc>
      </w:tr>
      <w:tr w:rsidR="000004E0" w:rsidRPr="00D0005A" w14:paraId="77552D72" w14:textId="77777777" w:rsidTr="00CC1D65">
        <w:trPr>
          <w:trHeight w:val="400"/>
        </w:trPr>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0E4AAE78" w14:textId="77777777" w:rsidR="000004E0" w:rsidRPr="00D0005A" w:rsidRDefault="00CC1D65"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2268" w:type="dxa"/>
            <w:gridSpan w:val="2"/>
            <w:tcBorders>
              <w:top w:val="single" w:sz="4" w:space="0" w:color="000000"/>
              <w:left w:val="single" w:sz="4" w:space="0" w:color="000000"/>
              <w:bottom w:val="single" w:sz="4" w:space="0" w:color="000000"/>
              <w:right w:val="single" w:sz="4" w:space="0" w:color="000000"/>
            </w:tcBorders>
          </w:tcPr>
          <w:p w14:paraId="6213E24C"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Moderate</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2FDD59FF"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Score in previous AR</w:t>
            </w:r>
          </w:p>
        </w:tc>
        <w:tc>
          <w:tcPr>
            <w:tcW w:w="850" w:type="dxa"/>
            <w:tcBorders>
              <w:top w:val="single" w:sz="4" w:space="0" w:color="000000"/>
              <w:left w:val="single" w:sz="4" w:space="0" w:color="000000"/>
              <w:bottom w:val="single" w:sz="4" w:space="0" w:color="000000"/>
              <w:right w:val="single" w:sz="4" w:space="0" w:color="000000"/>
            </w:tcBorders>
          </w:tcPr>
          <w:p w14:paraId="59D2640D" w14:textId="77777777" w:rsidR="000004E0" w:rsidRPr="00D0005A" w:rsidRDefault="00A0043B" w:rsidP="000004E0">
            <w:pPr>
              <w:pStyle w:val="Normal1"/>
              <w:spacing w:after="120" w:line="276" w:lineRule="auto"/>
              <w:rPr>
                <w:rFonts w:ascii="Calibri" w:hAnsi="Calibri"/>
                <w:sz w:val="22"/>
                <w:szCs w:val="22"/>
              </w:rPr>
            </w:pPr>
            <w:r>
              <w:rPr>
                <w:rFonts w:ascii="Calibri" w:hAnsi="Calibri"/>
                <w:sz w:val="22"/>
                <w:szCs w:val="22"/>
              </w:rPr>
              <w:t>A</w:t>
            </w:r>
          </w:p>
        </w:tc>
      </w:tr>
      <w:tr w:rsidR="00CC1D65" w:rsidRPr="00D0005A" w14:paraId="7A430107" w14:textId="77777777" w:rsidTr="00CC1D65">
        <w:trPr>
          <w:gridAfter w:val="3"/>
          <w:wAfter w:w="5103" w:type="dxa"/>
        </w:trPr>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19BD6FBE" w14:textId="77777777" w:rsidR="00CC1D65" w:rsidRPr="00D0005A" w:rsidRDefault="00CC1D65" w:rsidP="00A0043B">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992" w:type="dxa"/>
            <w:tcBorders>
              <w:top w:val="single" w:sz="4" w:space="0" w:color="000000"/>
              <w:left w:val="single" w:sz="4" w:space="0" w:color="000000"/>
              <w:bottom w:val="single" w:sz="4" w:space="0" w:color="000000"/>
              <w:right w:val="single" w:sz="4" w:space="0" w:color="000000"/>
            </w:tcBorders>
          </w:tcPr>
          <w:p w14:paraId="13749349" w14:textId="77777777" w:rsidR="00CC1D65" w:rsidRPr="00D0005A" w:rsidRDefault="00CC1D65" w:rsidP="00A0043B">
            <w:pPr>
              <w:pStyle w:val="Normal1"/>
              <w:spacing w:after="120" w:line="276" w:lineRule="auto"/>
              <w:rPr>
                <w:rFonts w:ascii="Calibri" w:hAnsi="Calibri"/>
                <w:sz w:val="22"/>
                <w:szCs w:val="22"/>
              </w:rPr>
            </w:pPr>
            <w:r>
              <w:rPr>
                <w:rFonts w:ascii="Calibri" w:hAnsi="Calibri"/>
                <w:sz w:val="22"/>
                <w:szCs w:val="22"/>
              </w:rPr>
              <w:t>35%</w:t>
            </w:r>
          </w:p>
        </w:tc>
      </w:tr>
      <w:tr w:rsidR="00CC1D65" w:rsidRPr="00D0005A" w14:paraId="2E964791" w14:textId="77777777" w:rsidTr="00CC1D65">
        <w:trPr>
          <w:gridAfter w:val="3"/>
          <w:wAfter w:w="5103" w:type="dxa"/>
        </w:trPr>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778B5B81" w14:textId="0B31A484" w:rsidR="00CC1D65" w:rsidRPr="00D0005A" w:rsidRDefault="00CC1D65" w:rsidP="002D08A1">
            <w:pPr>
              <w:pStyle w:val="Normal1"/>
              <w:spacing w:after="120" w:line="276" w:lineRule="auto"/>
              <w:rPr>
                <w:rFonts w:ascii="Calibri" w:hAnsi="Calibri"/>
                <w:sz w:val="22"/>
                <w:szCs w:val="22"/>
              </w:rPr>
            </w:pPr>
            <w:r w:rsidRPr="00D0005A">
              <w:rPr>
                <w:rFonts w:ascii="Calibri" w:hAnsi="Calibri"/>
                <w:sz w:val="22"/>
                <w:szCs w:val="22"/>
              </w:rPr>
              <w:t xml:space="preserve">Impact weighting % </w:t>
            </w:r>
            <w:r>
              <w:rPr>
                <w:rFonts w:ascii="Calibri" w:hAnsi="Calibri"/>
                <w:sz w:val="22"/>
                <w:szCs w:val="22"/>
              </w:rPr>
              <w:t>in</w:t>
            </w:r>
            <w:r w:rsidR="008625ED">
              <w:rPr>
                <w:rFonts w:ascii="Calibri" w:hAnsi="Calibri"/>
                <w:sz w:val="22"/>
                <w:szCs w:val="22"/>
              </w:rPr>
              <w:t xml:space="preserve"> last AR</w:t>
            </w:r>
            <w:r w:rsidRPr="00D0005A">
              <w:rPr>
                <w:rFonts w:ascii="Calibri" w:hAnsi="Calibr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8426EB5" w14:textId="77777777" w:rsidR="00CC1D65" w:rsidRPr="00D0005A" w:rsidRDefault="00CC1D65" w:rsidP="00A0043B">
            <w:pPr>
              <w:pStyle w:val="Normal1"/>
              <w:spacing w:after="120" w:line="276" w:lineRule="auto"/>
              <w:rPr>
                <w:rFonts w:ascii="Calibri" w:hAnsi="Calibri"/>
                <w:sz w:val="22"/>
                <w:szCs w:val="22"/>
              </w:rPr>
            </w:pPr>
            <w:r w:rsidRPr="0051376B">
              <w:rPr>
                <w:rFonts w:ascii="Calibri" w:hAnsi="Calibri"/>
                <w:sz w:val="22"/>
                <w:szCs w:val="22"/>
              </w:rPr>
              <w:t>35%</w:t>
            </w:r>
          </w:p>
          <w:p w14:paraId="679DDF8E" w14:textId="77777777" w:rsidR="00CC1D65" w:rsidRPr="00D0005A" w:rsidRDefault="00CC1D65" w:rsidP="00A0043B">
            <w:pPr>
              <w:pStyle w:val="Normal1"/>
              <w:spacing w:after="120" w:line="276" w:lineRule="auto"/>
              <w:rPr>
                <w:rFonts w:ascii="Calibri" w:hAnsi="Calibri"/>
                <w:sz w:val="22"/>
                <w:szCs w:val="22"/>
              </w:rPr>
            </w:pPr>
          </w:p>
        </w:tc>
      </w:tr>
    </w:tbl>
    <w:p w14:paraId="56445E9D" w14:textId="77777777" w:rsidR="000004E0" w:rsidRPr="00D0005A" w:rsidRDefault="000004E0" w:rsidP="000004E0">
      <w:pPr>
        <w:pStyle w:val="Normal1"/>
        <w:spacing w:after="120" w:line="276" w:lineRule="auto"/>
        <w:rPr>
          <w:rFonts w:ascii="Calibri" w:hAnsi="Calibri"/>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1701"/>
      </w:tblGrid>
      <w:tr w:rsidR="000004E0" w:rsidRPr="00D0005A" w14:paraId="538A4D09" w14:textId="77777777" w:rsidTr="00777F88">
        <w:trPr>
          <w:trHeight w:val="260"/>
        </w:trPr>
        <w:tc>
          <w:tcPr>
            <w:tcW w:w="5098" w:type="dxa"/>
            <w:tcBorders>
              <w:top w:val="single" w:sz="4" w:space="0" w:color="000000"/>
              <w:left w:val="single" w:sz="4" w:space="0" w:color="000000"/>
              <w:bottom w:val="single" w:sz="4" w:space="0" w:color="000000"/>
              <w:right w:val="single" w:sz="4" w:space="0" w:color="000000"/>
            </w:tcBorders>
            <w:shd w:val="clear" w:color="auto" w:fill="DBE5F1"/>
          </w:tcPr>
          <w:p w14:paraId="17EE9E2E"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383708D4"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Milestones</w:t>
            </w:r>
            <w:r w:rsidR="001501EA">
              <w:rPr>
                <w:rFonts w:ascii="Calibri" w:hAnsi="Calibri"/>
                <w:b/>
                <w:sz w:val="22"/>
                <w:szCs w:val="22"/>
              </w:rPr>
              <w:t xml:space="preserve"> (baseline)</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14:paraId="325A76B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6C2E50BC" w14:textId="77777777" w:rsidTr="00777F88">
        <w:tc>
          <w:tcPr>
            <w:tcW w:w="5098" w:type="dxa"/>
            <w:tcBorders>
              <w:top w:val="single" w:sz="4" w:space="0" w:color="000000"/>
              <w:left w:val="single" w:sz="4" w:space="0" w:color="000000"/>
              <w:bottom w:val="single" w:sz="4" w:space="0" w:color="000000"/>
              <w:right w:val="single" w:sz="4" w:space="0" w:color="000000"/>
            </w:tcBorders>
          </w:tcPr>
          <w:p w14:paraId="7BBA2F54" w14:textId="77777777" w:rsidR="000004E0" w:rsidRPr="00D0005A" w:rsidRDefault="001501EA" w:rsidP="008625ED">
            <w:pPr>
              <w:pStyle w:val="Normal1"/>
              <w:numPr>
                <w:ilvl w:val="1"/>
                <w:numId w:val="13"/>
              </w:numPr>
              <w:spacing w:after="120" w:line="276" w:lineRule="auto"/>
              <w:jc w:val="both"/>
              <w:rPr>
                <w:rFonts w:ascii="Calibri" w:hAnsi="Calibri"/>
                <w:sz w:val="22"/>
                <w:szCs w:val="22"/>
              </w:rPr>
            </w:pPr>
            <w:r w:rsidRPr="001501EA">
              <w:rPr>
                <w:rFonts w:ascii="Calibri" w:hAnsi="Calibri"/>
                <w:sz w:val="22"/>
                <w:szCs w:val="22"/>
              </w:rPr>
              <w:t>Number of sustainability standards represented in the portfolio of sub-borrowers</w:t>
            </w:r>
          </w:p>
        </w:tc>
        <w:tc>
          <w:tcPr>
            <w:tcW w:w="2268" w:type="dxa"/>
            <w:tcBorders>
              <w:top w:val="single" w:sz="4" w:space="0" w:color="000000"/>
              <w:left w:val="single" w:sz="4" w:space="0" w:color="000000"/>
              <w:bottom w:val="single" w:sz="4" w:space="0" w:color="000000"/>
              <w:right w:val="single" w:sz="4" w:space="0" w:color="000000"/>
            </w:tcBorders>
          </w:tcPr>
          <w:p w14:paraId="30B69A49" w14:textId="77777777" w:rsidR="000004E0" w:rsidRPr="00D0005A" w:rsidRDefault="00402724" w:rsidP="009C0299">
            <w:pPr>
              <w:pStyle w:val="Normal1"/>
              <w:spacing w:after="120" w:line="276" w:lineRule="auto"/>
              <w:jc w:val="center"/>
              <w:rPr>
                <w:rFonts w:ascii="Calibri" w:hAnsi="Calibri"/>
                <w:sz w:val="22"/>
                <w:szCs w:val="22"/>
              </w:rPr>
            </w:pPr>
            <w:r>
              <w:rPr>
                <w:rFonts w:ascii="Calibri" w:hAnsi="Calibri"/>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14:paraId="6849A43B" w14:textId="77777777" w:rsidR="000004E0" w:rsidRPr="00D0005A" w:rsidRDefault="00402724" w:rsidP="009C0299">
            <w:pPr>
              <w:pStyle w:val="Normal1"/>
              <w:spacing w:after="120" w:line="276" w:lineRule="auto"/>
              <w:jc w:val="center"/>
              <w:rPr>
                <w:rFonts w:ascii="Calibri" w:hAnsi="Calibri"/>
                <w:sz w:val="22"/>
                <w:szCs w:val="22"/>
              </w:rPr>
            </w:pPr>
            <w:r>
              <w:rPr>
                <w:rFonts w:ascii="Calibri" w:hAnsi="Calibri"/>
                <w:sz w:val="22"/>
                <w:szCs w:val="22"/>
              </w:rPr>
              <w:t>11</w:t>
            </w:r>
          </w:p>
        </w:tc>
      </w:tr>
      <w:tr w:rsidR="000004E0" w:rsidRPr="00D0005A" w14:paraId="50212831" w14:textId="77777777" w:rsidTr="00777F88">
        <w:tc>
          <w:tcPr>
            <w:tcW w:w="5098" w:type="dxa"/>
            <w:tcBorders>
              <w:top w:val="single" w:sz="4" w:space="0" w:color="000000"/>
              <w:left w:val="single" w:sz="4" w:space="0" w:color="000000"/>
              <w:bottom w:val="single" w:sz="4" w:space="0" w:color="000000"/>
              <w:right w:val="single" w:sz="4" w:space="0" w:color="000000"/>
            </w:tcBorders>
          </w:tcPr>
          <w:p w14:paraId="47DC2C51" w14:textId="77777777" w:rsidR="000004E0" w:rsidRPr="00D0005A" w:rsidRDefault="001501EA" w:rsidP="008625ED">
            <w:pPr>
              <w:pStyle w:val="Normal1"/>
              <w:numPr>
                <w:ilvl w:val="1"/>
                <w:numId w:val="13"/>
              </w:numPr>
              <w:spacing w:after="120" w:line="276" w:lineRule="auto"/>
              <w:jc w:val="both"/>
              <w:rPr>
                <w:rFonts w:ascii="Calibri" w:hAnsi="Calibri"/>
                <w:sz w:val="22"/>
                <w:szCs w:val="22"/>
              </w:rPr>
            </w:pPr>
            <w:r w:rsidRPr="001501EA">
              <w:rPr>
                <w:rFonts w:ascii="Calibri" w:hAnsi="Calibri"/>
                <w:sz w:val="22"/>
                <w:szCs w:val="22"/>
              </w:rPr>
              <w:t>Number of Green List measures represented in the portfolio of sub-borrowers</w:t>
            </w:r>
          </w:p>
        </w:tc>
        <w:tc>
          <w:tcPr>
            <w:tcW w:w="2268" w:type="dxa"/>
            <w:tcBorders>
              <w:top w:val="single" w:sz="4" w:space="0" w:color="000000"/>
              <w:left w:val="single" w:sz="4" w:space="0" w:color="000000"/>
              <w:bottom w:val="single" w:sz="4" w:space="0" w:color="000000"/>
              <w:right w:val="single" w:sz="4" w:space="0" w:color="000000"/>
            </w:tcBorders>
          </w:tcPr>
          <w:p w14:paraId="649CE82E" w14:textId="77777777" w:rsidR="000004E0" w:rsidRPr="00D0005A" w:rsidRDefault="00402724" w:rsidP="009C0299">
            <w:pPr>
              <w:pStyle w:val="Normal1"/>
              <w:spacing w:after="120" w:line="276" w:lineRule="auto"/>
              <w:jc w:val="center"/>
              <w:rPr>
                <w:rFonts w:ascii="Calibri" w:hAnsi="Calibri"/>
                <w:sz w:val="22"/>
                <w:szCs w:val="22"/>
              </w:rPr>
            </w:pPr>
            <w:r>
              <w:rPr>
                <w:rFonts w:ascii="Calibri" w:hAnsi="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tcPr>
          <w:p w14:paraId="728414DC" w14:textId="77777777" w:rsidR="000004E0" w:rsidRPr="00D0005A" w:rsidRDefault="00402724" w:rsidP="009C0299">
            <w:pPr>
              <w:pStyle w:val="Normal1"/>
              <w:spacing w:after="120" w:line="276" w:lineRule="auto"/>
              <w:jc w:val="center"/>
              <w:rPr>
                <w:rFonts w:ascii="Calibri" w:hAnsi="Calibri"/>
                <w:sz w:val="22"/>
                <w:szCs w:val="22"/>
              </w:rPr>
            </w:pPr>
            <w:r>
              <w:rPr>
                <w:rFonts w:ascii="Calibri" w:hAnsi="Calibri"/>
                <w:sz w:val="22"/>
                <w:szCs w:val="22"/>
              </w:rPr>
              <w:t>12</w:t>
            </w:r>
          </w:p>
        </w:tc>
      </w:tr>
    </w:tbl>
    <w:p w14:paraId="3AA7CE61" w14:textId="77777777" w:rsidR="00AC4AB4" w:rsidRDefault="00AC4AB4" w:rsidP="000004E0">
      <w:pPr>
        <w:pStyle w:val="Normal1"/>
        <w:spacing w:after="120" w:line="276" w:lineRule="auto"/>
        <w:jc w:val="both"/>
        <w:rPr>
          <w:rFonts w:ascii="Calibri" w:hAnsi="Calibri"/>
          <w:b/>
          <w:sz w:val="22"/>
          <w:szCs w:val="22"/>
        </w:rPr>
      </w:pPr>
    </w:p>
    <w:p w14:paraId="2560BEE6" w14:textId="02DFF44E" w:rsidR="001501EA" w:rsidRDefault="000004E0" w:rsidP="000004E0">
      <w:pPr>
        <w:pStyle w:val="Normal1"/>
        <w:spacing w:after="120" w:line="276" w:lineRule="auto"/>
        <w:jc w:val="both"/>
        <w:rPr>
          <w:rFonts w:ascii="Calibri" w:hAnsi="Calibri"/>
          <w:sz w:val="22"/>
          <w:szCs w:val="22"/>
        </w:rPr>
      </w:pPr>
      <w:r w:rsidRPr="00D0005A">
        <w:rPr>
          <w:rFonts w:ascii="Calibri" w:hAnsi="Calibri"/>
          <w:b/>
          <w:sz w:val="22"/>
          <w:szCs w:val="22"/>
        </w:rPr>
        <w:t>Key Points</w:t>
      </w:r>
    </w:p>
    <w:p w14:paraId="0B884CAF" w14:textId="679D1061" w:rsidR="00AC4AB4" w:rsidRPr="00FB1FBE" w:rsidRDefault="00B677FA" w:rsidP="000004E0">
      <w:pPr>
        <w:pStyle w:val="Normal1"/>
        <w:spacing w:after="120" w:line="276" w:lineRule="auto"/>
        <w:jc w:val="both"/>
        <w:rPr>
          <w:rFonts w:ascii="Calibri" w:hAnsi="Calibri"/>
          <w:sz w:val="22"/>
          <w:szCs w:val="22"/>
        </w:rPr>
      </w:pPr>
      <w:r>
        <w:rPr>
          <w:rFonts w:ascii="Calibri" w:hAnsi="Calibri"/>
          <w:sz w:val="22"/>
          <w:szCs w:val="22"/>
        </w:rPr>
        <w:t xml:space="preserve">In 2018, </w:t>
      </w:r>
      <w:r w:rsidR="0078217D">
        <w:rPr>
          <w:rFonts w:ascii="Calibri" w:hAnsi="Calibri"/>
          <w:sz w:val="22"/>
          <w:szCs w:val="22"/>
        </w:rPr>
        <w:t>Output Indicators 2.1</w:t>
      </w:r>
      <w:r w:rsidR="004D68B1">
        <w:rPr>
          <w:rFonts w:ascii="Calibri" w:hAnsi="Calibri"/>
          <w:sz w:val="22"/>
          <w:szCs w:val="22"/>
        </w:rPr>
        <w:t xml:space="preserve"> and </w:t>
      </w:r>
      <w:r w:rsidR="0078217D">
        <w:rPr>
          <w:rFonts w:ascii="Calibri" w:hAnsi="Calibri"/>
          <w:sz w:val="22"/>
          <w:szCs w:val="22"/>
        </w:rPr>
        <w:t>2.2</w:t>
      </w:r>
      <w:r w:rsidR="00D019AC">
        <w:rPr>
          <w:rFonts w:ascii="Calibri" w:hAnsi="Calibri"/>
          <w:sz w:val="22"/>
          <w:szCs w:val="22"/>
        </w:rPr>
        <w:t xml:space="preserve"> (number of sustainability standards and green list measures)</w:t>
      </w:r>
      <w:r w:rsidR="004D68B1">
        <w:rPr>
          <w:rFonts w:ascii="Calibri" w:hAnsi="Calibri"/>
          <w:sz w:val="22"/>
          <w:szCs w:val="22"/>
        </w:rPr>
        <w:t xml:space="preserve"> </w:t>
      </w:r>
      <w:r w:rsidR="005D7C7F">
        <w:rPr>
          <w:rFonts w:ascii="Calibri" w:hAnsi="Calibri"/>
          <w:sz w:val="22"/>
          <w:szCs w:val="22"/>
        </w:rPr>
        <w:t>have</w:t>
      </w:r>
      <w:r w:rsidR="009420AA">
        <w:rPr>
          <w:rFonts w:ascii="Calibri" w:hAnsi="Calibri"/>
          <w:sz w:val="22"/>
          <w:szCs w:val="22"/>
        </w:rPr>
        <w:t xml:space="preserve"> increased </w:t>
      </w:r>
      <w:r w:rsidR="00045C4F">
        <w:rPr>
          <w:rFonts w:ascii="Calibri" w:hAnsi="Calibri"/>
          <w:sz w:val="22"/>
          <w:szCs w:val="22"/>
        </w:rPr>
        <w:t>in line with</w:t>
      </w:r>
      <w:r w:rsidR="00D019AC">
        <w:rPr>
          <w:rFonts w:ascii="Calibri" w:hAnsi="Calibri"/>
          <w:sz w:val="22"/>
          <w:szCs w:val="22"/>
        </w:rPr>
        <w:t xml:space="preserve"> the</w:t>
      </w:r>
      <w:r w:rsidR="00045C4F">
        <w:rPr>
          <w:rFonts w:ascii="Calibri" w:hAnsi="Calibri"/>
          <w:sz w:val="22"/>
          <w:szCs w:val="22"/>
        </w:rPr>
        <w:t xml:space="preserve"> </w:t>
      </w:r>
      <w:r w:rsidR="00D019AC">
        <w:rPr>
          <w:rFonts w:ascii="Calibri" w:hAnsi="Calibri"/>
          <w:sz w:val="22"/>
          <w:szCs w:val="22"/>
        </w:rPr>
        <w:t>broader growth expected from the investments.</w:t>
      </w:r>
      <w:r w:rsidR="00D05A59">
        <w:rPr>
          <w:rFonts w:ascii="Calibri" w:hAnsi="Calibri"/>
          <w:sz w:val="22"/>
          <w:szCs w:val="22"/>
        </w:rPr>
        <w:t xml:space="preserve"> </w:t>
      </w:r>
      <w:r w:rsidR="001647EA">
        <w:rPr>
          <w:rFonts w:ascii="Calibri" w:hAnsi="Calibri"/>
          <w:sz w:val="22"/>
          <w:szCs w:val="22"/>
        </w:rPr>
        <w:t>T</w:t>
      </w:r>
      <w:r w:rsidR="00D019AC">
        <w:rPr>
          <w:rFonts w:ascii="Calibri" w:hAnsi="Calibri"/>
          <w:sz w:val="22"/>
          <w:szCs w:val="22"/>
        </w:rPr>
        <w:t xml:space="preserve">he newly acquired livestock investments are assured using green list sustainability criteria. As these investments are expected to be expanded in subsequent years, green list sustainability it is likely to play a larger role of environmental assurance for the fund. </w:t>
      </w:r>
      <w:r w:rsidR="00D05A59">
        <w:rPr>
          <w:rFonts w:ascii="Calibri" w:hAnsi="Calibri"/>
          <w:sz w:val="22"/>
          <w:szCs w:val="22"/>
        </w:rPr>
        <w:t>W</w:t>
      </w:r>
      <w:r w:rsidR="00402724">
        <w:rPr>
          <w:rFonts w:ascii="Calibri" w:hAnsi="Calibri"/>
          <w:sz w:val="22"/>
          <w:szCs w:val="22"/>
        </w:rPr>
        <w:t xml:space="preserve">e expect the certified standards to flat-line (at </w:t>
      </w:r>
      <w:r w:rsidR="009420AA">
        <w:rPr>
          <w:rFonts w:ascii="Calibri" w:hAnsi="Calibri"/>
          <w:sz w:val="22"/>
          <w:szCs w:val="22"/>
        </w:rPr>
        <w:t xml:space="preserve">around </w:t>
      </w:r>
      <w:r w:rsidR="00FB1FBE">
        <w:rPr>
          <w:rFonts w:ascii="Calibri" w:hAnsi="Calibri"/>
          <w:sz w:val="22"/>
          <w:szCs w:val="22"/>
        </w:rPr>
        <w:t>15 by</w:t>
      </w:r>
      <w:r w:rsidR="00402724">
        <w:rPr>
          <w:rFonts w:ascii="Calibri" w:hAnsi="Calibri"/>
          <w:sz w:val="22"/>
          <w:szCs w:val="22"/>
        </w:rPr>
        <w:t xml:space="preserve"> 2021)</w:t>
      </w:r>
      <w:r w:rsidR="00D019AC">
        <w:rPr>
          <w:rFonts w:ascii="Calibri" w:hAnsi="Calibri"/>
          <w:sz w:val="22"/>
          <w:szCs w:val="22"/>
        </w:rPr>
        <w:t>.</w:t>
      </w:r>
      <w:r w:rsidR="00402724">
        <w:rPr>
          <w:rFonts w:ascii="Calibri" w:hAnsi="Calibri"/>
          <w:sz w:val="22"/>
          <w:szCs w:val="22"/>
        </w:rPr>
        <w:t xml:space="preserve"> </w:t>
      </w:r>
    </w:p>
    <w:p w14:paraId="06F281DC" w14:textId="77777777" w:rsidR="000004E0"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Progress:</w:t>
      </w:r>
    </w:p>
    <w:p w14:paraId="206C95D0" w14:textId="613A85FE" w:rsidR="0049732E" w:rsidRPr="0049732E" w:rsidRDefault="00FB1FBE" w:rsidP="0049732E">
      <w:pPr>
        <w:pStyle w:val="CommentText"/>
      </w:pPr>
      <w:r>
        <w:rPr>
          <w:sz w:val="22"/>
          <w:szCs w:val="22"/>
        </w:rPr>
        <w:t>In 2018</w:t>
      </w:r>
      <w:r w:rsidR="008A364F">
        <w:rPr>
          <w:sz w:val="22"/>
          <w:szCs w:val="22"/>
        </w:rPr>
        <w:t xml:space="preserve">, </w:t>
      </w:r>
      <w:r>
        <w:rPr>
          <w:sz w:val="22"/>
          <w:szCs w:val="22"/>
        </w:rPr>
        <w:t xml:space="preserve">indicators 2.1 and 2.2 exceeded milestone targets </w:t>
      </w:r>
      <w:r w:rsidR="00D91E33">
        <w:rPr>
          <w:sz w:val="22"/>
          <w:szCs w:val="22"/>
        </w:rPr>
        <w:t xml:space="preserve">for 2018 </w:t>
      </w:r>
      <w:r>
        <w:rPr>
          <w:sz w:val="22"/>
          <w:szCs w:val="22"/>
        </w:rPr>
        <w:t>due to new livestock investments</w:t>
      </w:r>
      <w:r w:rsidR="009420AA">
        <w:rPr>
          <w:sz w:val="22"/>
          <w:szCs w:val="22"/>
        </w:rPr>
        <w:t>. E</w:t>
      </w:r>
      <w:r w:rsidR="0049732E">
        <w:rPr>
          <w:sz w:val="22"/>
          <w:szCs w:val="22"/>
        </w:rPr>
        <w:t>xample</w:t>
      </w:r>
      <w:r w:rsidR="009420AA">
        <w:rPr>
          <w:sz w:val="22"/>
          <w:szCs w:val="22"/>
        </w:rPr>
        <w:t>s of</w:t>
      </w:r>
      <w:r w:rsidR="0049732E">
        <w:rPr>
          <w:sz w:val="22"/>
          <w:szCs w:val="22"/>
        </w:rPr>
        <w:t xml:space="preserve"> </w:t>
      </w:r>
      <w:r w:rsidR="001647EA">
        <w:rPr>
          <w:sz w:val="22"/>
          <w:szCs w:val="22"/>
        </w:rPr>
        <w:t>sustainability standards and g</w:t>
      </w:r>
      <w:r w:rsidR="003E3ED0">
        <w:rPr>
          <w:sz w:val="22"/>
          <w:szCs w:val="22"/>
        </w:rPr>
        <w:t xml:space="preserve">reen </w:t>
      </w:r>
      <w:r w:rsidR="001647EA">
        <w:rPr>
          <w:sz w:val="22"/>
          <w:szCs w:val="22"/>
        </w:rPr>
        <w:t>l</w:t>
      </w:r>
      <w:r w:rsidR="003E3ED0">
        <w:rPr>
          <w:sz w:val="22"/>
          <w:szCs w:val="22"/>
        </w:rPr>
        <w:t xml:space="preserve">ist </w:t>
      </w:r>
      <w:r w:rsidR="009420AA">
        <w:rPr>
          <w:sz w:val="22"/>
          <w:szCs w:val="22"/>
        </w:rPr>
        <w:t xml:space="preserve">measures </w:t>
      </w:r>
      <w:r w:rsidR="0049732E">
        <w:rPr>
          <w:sz w:val="22"/>
          <w:szCs w:val="22"/>
        </w:rPr>
        <w:t>certification are:</w:t>
      </w:r>
    </w:p>
    <w:p w14:paraId="00BC0B95" w14:textId="54639732" w:rsidR="0049732E" w:rsidRPr="003E3ED0" w:rsidRDefault="001647EA" w:rsidP="0049732E">
      <w:pPr>
        <w:pStyle w:val="CommentText"/>
        <w:numPr>
          <w:ilvl w:val="0"/>
          <w:numId w:val="25"/>
        </w:numPr>
        <w:rPr>
          <w:sz w:val="22"/>
          <w:szCs w:val="22"/>
        </w:rPr>
      </w:pPr>
      <w:r>
        <w:rPr>
          <w:sz w:val="22"/>
          <w:szCs w:val="22"/>
        </w:rPr>
        <w:t>Green list</w:t>
      </w:r>
      <w:r w:rsidR="0049732E">
        <w:rPr>
          <w:sz w:val="22"/>
          <w:szCs w:val="22"/>
        </w:rPr>
        <w:t xml:space="preserve"> #49: Investment on a modernisation package for ranching that includes: a) fencing b) isolation of water sources c) </w:t>
      </w:r>
      <w:r w:rsidR="009420AA">
        <w:rPr>
          <w:sz w:val="22"/>
          <w:szCs w:val="22"/>
        </w:rPr>
        <w:t>s</w:t>
      </w:r>
      <w:r w:rsidR="0049732E">
        <w:rPr>
          <w:sz w:val="22"/>
          <w:szCs w:val="22"/>
        </w:rPr>
        <w:t xml:space="preserve">ubstitution of older pasture species for a newer varieties of grass, including the use of forage legumes and protein banks </w:t>
      </w:r>
      <w:r w:rsidR="0049732E" w:rsidRPr="003E3ED0">
        <w:rPr>
          <w:sz w:val="22"/>
          <w:szCs w:val="22"/>
        </w:rPr>
        <w:t>d) equipment and infrastructure needed to produce animal feed including the purchase of raw materials (e.g. silage, hay)</w:t>
      </w:r>
      <w:r w:rsidR="009420AA">
        <w:rPr>
          <w:sz w:val="22"/>
          <w:szCs w:val="22"/>
        </w:rPr>
        <w:t>;</w:t>
      </w:r>
    </w:p>
    <w:p w14:paraId="4914FD63" w14:textId="07097ADF" w:rsidR="0049732E" w:rsidRPr="00872C7E" w:rsidRDefault="001647EA" w:rsidP="0049732E">
      <w:pPr>
        <w:pStyle w:val="CommentText"/>
        <w:numPr>
          <w:ilvl w:val="0"/>
          <w:numId w:val="25"/>
        </w:numPr>
        <w:rPr>
          <w:sz w:val="22"/>
          <w:szCs w:val="22"/>
        </w:rPr>
      </w:pPr>
      <w:r>
        <w:rPr>
          <w:sz w:val="22"/>
          <w:szCs w:val="22"/>
        </w:rPr>
        <w:t>Green list</w:t>
      </w:r>
      <w:r w:rsidRPr="00872C7E">
        <w:rPr>
          <w:sz w:val="22"/>
          <w:szCs w:val="22"/>
        </w:rPr>
        <w:t xml:space="preserve"> </w:t>
      </w:r>
      <w:r w:rsidR="0049732E" w:rsidRPr="00872C7E">
        <w:rPr>
          <w:sz w:val="22"/>
          <w:szCs w:val="22"/>
        </w:rPr>
        <w:t># 50: Investments on life fencing "</w:t>
      </w:r>
      <w:proofErr w:type="spellStart"/>
      <w:r w:rsidR="0049732E" w:rsidRPr="00872C7E">
        <w:rPr>
          <w:sz w:val="22"/>
          <w:szCs w:val="22"/>
        </w:rPr>
        <w:t>cerca</w:t>
      </w:r>
      <w:proofErr w:type="spellEnd"/>
      <w:r w:rsidR="0049732E" w:rsidRPr="00872C7E">
        <w:rPr>
          <w:sz w:val="22"/>
          <w:szCs w:val="22"/>
        </w:rPr>
        <w:t xml:space="preserve"> viva" (with native species) or pasture-forest integration for grazing land, including afforestation and reforestation projects</w:t>
      </w:r>
      <w:r w:rsidR="009420AA">
        <w:rPr>
          <w:sz w:val="22"/>
          <w:szCs w:val="22"/>
        </w:rPr>
        <w:t>; and,</w:t>
      </w:r>
    </w:p>
    <w:p w14:paraId="4549A9E4" w14:textId="5E1AB9D9" w:rsidR="0049732E" w:rsidRDefault="0049732E" w:rsidP="0049732E">
      <w:pPr>
        <w:pStyle w:val="CommentText"/>
        <w:numPr>
          <w:ilvl w:val="0"/>
          <w:numId w:val="25"/>
        </w:numPr>
        <w:rPr>
          <w:sz w:val="22"/>
          <w:szCs w:val="22"/>
        </w:rPr>
      </w:pPr>
      <w:r w:rsidRPr="00872C7E">
        <w:rPr>
          <w:sz w:val="22"/>
          <w:szCs w:val="22"/>
        </w:rPr>
        <w:t xml:space="preserve"> </w:t>
      </w:r>
      <w:r w:rsidR="001647EA">
        <w:rPr>
          <w:sz w:val="22"/>
          <w:szCs w:val="22"/>
        </w:rPr>
        <w:t>Green list</w:t>
      </w:r>
      <w:r w:rsidR="001647EA" w:rsidRPr="00872C7E">
        <w:rPr>
          <w:sz w:val="22"/>
          <w:szCs w:val="22"/>
        </w:rPr>
        <w:t xml:space="preserve"> </w:t>
      </w:r>
      <w:r w:rsidRPr="00872C7E">
        <w:rPr>
          <w:sz w:val="22"/>
          <w:szCs w:val="22"/>
        </w:rPr>
        <w:t># 21: Investments in infrastructure and process automation to reduce losses and enhance productivity throughout the livestock production process (e.g. water reservoirs, cooling shade, feeders, bans, cold storage, milking machines)</w:t>
      </w:r>
      <w:r w:rsidR="009420AA">
        <w:rPr>
          <w:sz w:val="22"/>
          <w:szCs w:val="22"/>
        </w:rPr>
        <w:t xml:space="preserve">. </w:t>
      </w:r>
    </w:p>
    <w:p w14:paraId="79737114" w14:textId="59B034E8" w:rsidR="003E3ED0" w:rsidRDefault="003E3ED0" w:rsidP="0049732E">
      <w:pPr>
        <w:pStyle w:val="CommentText"/>
        <w:ind w:left="360"/>
        <w:rPr>
          <w:sz w:val="22"/>
          <w:szCs w:val="22"/>
        </w:rPr>
      </w:pPr>
      <w:r>
        <w:rPr>
          <w:sz w:val="22"/>
          <w:szCs w:val="22"/>
        </w:rPr>
        <w:t>Sustainability certification include:</w:t>
      </w:r>
    </w:p>
    <w:p w14:paraId="1EA2A5DC" w14:textId="631A776E" w:rsidR="00310420" w:rsidRDefault="00310420" w:rsidP="003E3ED0">
      <w:pPr>
        <w:pStyle w:val="CommentText"/>
        <w:numPr>
          <w:ilvl w:val="0"/>
          <w:numId w:val="25"/>
        </w:numPr>
        <w:rPr>
          <w:sz w:val="22"/>
          <w:szCs w:val="22"/>
        </w:rPr>
      </w:pPr>
      <w:r>
        <w:rPr>
          <w:sz w:val="22"/>
          <w:szCs w:val="22"/>
        </w:rPr>
        <w:t>Rainforest alliance</w:t>
      </w:r>
      <w:r w:rsidR="006116AB">
        <w:rPr>
          <w:sz w:val="22"/>
          <w:szCs w:val="22"/>
        </w:rPr>
        <w:t xml:space="preserve"> </w:t>
      </w:r>
    </w:p>
    <w:p w14:paraId="54F7DF9C" w14:textId="09649F57" w:rsidR="00310420" w:rsidRDefault="006116AB" w:rsidP="003E3ED0">
      <w:pPr>
        <w:pStyle w:val="CommentText"/>
        <w:numPr>
          <w:ilvl w:val="0"/>
          <w:numId w:val="25"/>
        </w:numPr>
        <w:rPr>
          <w:sz w:val="22"/>
          <w:szCs w:val="22"/>
        </w:rPr>
      </w:pPr>
      <w:r>
        <w:rPr>
          <w:sz w:val="22"/>
          <w:szCs w:val="22"/>
        </w:rPr>
        <w:lastRenderedPageBreak/>
        <w:t xml:space="preserve">Marine Stewardship </w:t>
      </w:r>
    </w:p>
    <w:p w14:paraId="6CC64FBC" w14:textId="7441810D" w:rsidR="006116AB" w:rsidRDefault="006116AB" w:rsidP="006116AB">
      <w:pPr>
        <w:pStyle w:val="CommentText"/>
        <w:numPr>
          <w:ilvl w:val="0"/>
          <w:numId w:val="25"/>
        </w:numPr>
        <w:rPr>
          <w:sz w:val="22"/>
          <w:szCs w:val="22"/>
        </w:rPr>
      </w:pPr>
      <w:r>
        <w:rPr>
          <w:sz w:val="22"/>
          <w:szCs w:val="22"/>
        </w:rPr>
        <w:t xml:space="preserve">Fair trade standard for small producers </w:t>
      </w:r>
    </w:p>
    <w:p w14:paraId="6CDBB016" w14:textId="1000D59F" w:rsidR="006116AB" w:rsidRPr="006116AB" w:rsidRDefault="006116AB" w:rsidP="006116AB">
      <w:pPr>
        <w:pStyle w:val="CommentText"/>
        <w:numPr>
          <w:ilvl w:val="0"/>
          <w:numId w:val="25"/>
        </w:numPr>
        <w:rPr>
          <w:sz w:val="22"/>
          <w:szCs w:val="22"/>
        </w:rPr>
      </w:pPr>
      <w:r w:rsidRPr="006116AB">
        <w:rPr>
          <w:sz w:val="22"/>
          <w:szCs w:val="22"/>
        </w:rPr>
        <w:t xml:space="preserve"> </w:t>
      </w:r>
      <w:r>
        <w:rPr>
          <w:sz w:val="22"/>
          <w:szCs w:val="22"/>
        </w:rPr>
        <w:t xml:space="preserve">Forestry Stewardship </w:t>
      </w:r>
    </w:p>
    <w:p w14:paraId="528DB7E6" w14:textId="7180E8E4" w:rsidR="0049732E" w:rsidRPr="00872C7E" w:rsidRDefault="0049732E" w:rsidP="0049732E">
      <w:pPr>
        <w:pStyle w:val="CommentText"/>
        <w:ind w:left="360"/>
        <w:rPr>
          <w:sz w:val="22"/>
          <w:szCs w:val="22"/>
          <w:u w:val="single"/>
        </w:rPr>
      </w:pPr>
      <w:r w:rsidRPr="00872C7E">
        <w:rPr>
          <w:sz w:val="22"/>
          <w:szCs w:val="22"/>
          <w:u w:val="single"/>
        </w:rPr>
        <w:t>2019</w:t>
      </w:r>
    </w:p>
    <w:p w14:paraId="21D4DF21" w14:textId="2D05EE6F" w:rsidR="0049732E" w:rsidRPr="00872C7E" w:rsidRDefault="00252050" w:rsidP="000004E0">
      <w:pPr>
        <w:pStyle w:val="CommentText"/>
        <w:numPr>
          <w:ilvl w:val="0"/>
          <w:numId w:val="33"/>
        </w:numPr>
        <w:rPr>
          <w:sz w:val="22"/>
          <w:szCs w:val="22"/>
        </w:rPr>
      </w:pPr>
      <w:r w:rsidRPr="00872C7E">
        <w:rPr>
          <w:sz w:val="22"/>
          <w:szCs w:val="22"/>
        </w:rPr>
        <w:t xml:space="preserve">EBF </w:t>
      </w:r>
      <w:r w:rsidR="0049732E" w:rsidRPr="00872C7E">
        <w:rPr>
          <w:sz w:val="22"/>
          <w:szCs w:val="22"/>
        </w:rPr>
        <w:t xml:space="preserve">will </w:t>
      </w:r>
      <w:r w:rsidRPr="00872C7E">
        <w:rPr>
          <w:sz w:val="22"/>
          <w:szCs w:val="22"/>
        </w:rPr>
        <w:t xml:space="preserve">be </w:t>
      </w:r>
      <w:r w:rsidR="0049732E" w:rsidRPr="00872C7E">
        <w:rPr>
          <w:sz w:val="22"/>
          <w:szCs w:val="22"/>
        </w:rPr>
        <w:t>run</w:t>
      </w:r>
      <w:r w:rsidRPr="00872C7E">
        <w:rPr>
          <w:sz w:val="22"/>
          <w:szCs w:val="22"/>
        </w:rPr>
        <w:t>ning</w:t>
      </w:r>
      <w:r w:rsidR="0049732E" w:rsidRPr="00872C7E">
        <w:rPr>
          <w:sz w:val="22"/>
          <w:szCs w:val="22"/>
        </w:rPr>
        <w:t xml:space="preserve"> a pilot for organic standards (</w:t>
      </w:r>
      <w:r w:rsidR="001647EA">
        <w:rPr>
          <w:sz w:val="22"/>
          <w:szCs w:val="22"/>
        </w:rPr>
        <w:t xml:space="preserve">European Union </w:t>
      </w:r>
      <w:r w:rsidR="0049732E" w:rsidRPr="00872C7E">
        <w:rPr>
          <w:sz w:val="22"/>
          <w:szCs w:val="22"/>
        </w:rPr>
        <w:t>and U</w:t>
      </w:r>
      <w:r w:rsidR="001647EA">
        <w:rPr>
          <w:sz w:val="22"/>
          <w:szCs w:val="22"/>
        </w:rPr>
        <w:t xml:space="preserve">nited </w:t>
      </w:r>
      <w:r w:rsidR="0049732E" w:rsidRPr="00872C7E">
        <w:rPr>
          <w:sz w:val="22"/>
          <w:szCs w:val="22"/>
        </w:rPr>
        <w:t>S</w:t>
      </w:r>
      <w:r w:rsidR="001647EA">
        <w:rPr>
          <w:sz w:val="22"/>
          <w:szCs w:val="22"/>
        </w:rPr>
        <w:t xml:space="preserve">tates </w:t>
      </w:r>
      <w:r w:rsidR="0049732E" w:rsidRPr="00872C7E">
        <w:rPr>
          <w:sz w:val="22"/>
          <w:szCs w:val="22"/>
        </w:rPr>
        <w:t>D</w:t>
      </w:r>
      <w:r w:rsidR="001647EA">
        <w:rPr>
          <w:sz w:val="22"/>
          <w:szCs w:val="22"/>
        </w:rPr>
        <w:t xml:space="preserve">epartment of </w:t>
      </w:r>
      <w:r w:rsidR="0049732E" w:rsidRPr="00872C7E">
        <w:rPr>
          <w:sz w:val="22"/>
          <w:szCs w:val="22"/>
        </w:rPr>
        <w:t>A</w:t>
      </w:r>
      <w:r w:rsidR="001647EA">
        <w:rPr>
          <w:sz w:val="22"/>
          <w:szCs w:val="22"/>
        </w:rPr>
        <w:t>griculture</w:t>
      </w:r>
      <w:r w:rsidR="0049732E" w:rsidRPr="00872C7E">
        <w:rPr>
          <w:sz w:val="22"/>
          <w:szCs w:val="22"/>
        </w:rPr>
        <w:t xml:space="preserve"> Organic)</w:t>
      </w:r>
      <w:r w:rsidR="009420AA">
        <w:rPr>
          <w:sz w:val="22"/>
          <w:szCs w:val="22"/>
        </w:rPr>
        <w:t>. T</w:t>
      </w:r>
      <w:r w:rsidR="0049732E" w:rsidRPr="00872C7E">
        <w:rPr>
          <w:sz w:val="22"/>
          <w:szCs w:val="22"/>
        </w:rPr>
        <w:t>his standard has a significant penetration in many segments and its share is increasing.</w:t>
      </w:r>
    </w:p>
    <w:p w14:paraId="7E80B007" w14:textId="1CDE1C8B" w:rsidR="00C23E2E" w:rsidRPr="0049732E" w:rsidRDefault="00C23E2E" w:rsidP="000004E0">
      <w:pPr>
        <w:pStyle w:val="CommentText"/>
        <w:numPr>
          <w:ilvl w:val="0"/>
          <w:numId w:val="33"/>
        </w:numPr>
      </w:pPr>
      <w:r w:rsidRPr="0049732E">
        <w:rPr>
          <w:sz w:val="22"/>
          <w:szCs w:val="22"/>
        </w:rPr>
        <w:t xml:space="preserve">We expect an increase in invested </w:t>
      </w:r>
      <w:r w:rsidR="001647EA">
        <w:rPr>
          <w:sz w:val="22"/>
          <w:szCs w:val="22"/>
        </w:rPr>
        <w:t>green list</w:t>
      </w:r>
      <w:r w:rsidRPr="0049732E">
        <w:rPr>
          <w:sz w:val="22"/>
          <w:szCs w:val="22"/>
        </w:rPr>
        <w:t xml:space="preserve"> measures due to ongoing investments in livestock in Colombia and a potential further increase in the pipeline for 2019 and</w:t>
      </w:r>
      <w:r w:rsidR="004B743C">
        <w:rPr>
          <w:sz w:val="22"/>
          <w:szCs w:val="22"/>
        </w:rPr>
        <w:t xml:space="preserve"> beyond</w:t>
      </w:r>
      <w:r w:rsidRPr="0049732E">
        <w:rPr>
          <w:sz w:val="22"/>
          <w:szCs w:val="22"/>
        </w:rPr>
        <w:t>.</w:t>
      </w:r>
    </w:p>
    <w:p w14:paraId="29EE01D8" w14:textId="5798E666" w:rsidR="001647EA" w:rsidRDefault="001647EA">
      <w:pPr>
        <w:spacing w:before="0" w:line="240" w:lineRule="auto"/>
        <w:jc w:val="center"/>
        <w:rPr>
          <w:rFonts w:eastAsia="Arial" w:cs="Arial"/>
          <w:color w:val="000000"/>
        </w:rPr>
      </w:pPr>
      <w:r>
        <w:br w:type="page"/>
      </w:r>
    </w:p>
    <w:p w14:paraId="2AC97457" w14:textId="758FF1F9" w:rsidR="000004E0" w:rsidRPr="00903F1B" w:rsidRDefault="007D3D39" w:rsidP="004265A7">
      <w:pPr>
        <w:pStyle w:val="Heading2"/>
        <w:rPr>
          <w:i/>
        </w:rPr>
      </w:pPr>
      <w:bookmarkStart w:id="4" w:name="_Toc15984386"/>
      <w:r>
        <w:lastRenderedPageBreak/>
        <w:t>B</w:t>
      </w:r>
      <w:r w:rsidR="000004E0" w:rsidRPr="00D0005A">
        <w:t>: DETAILED OUTPUT SCORING</w:t>
      </w:r>
      <w:bookmarkEnd w:id="4"/>
      <w:r w:rsidR="000004E0" w:rsidRPr="00D0005A">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1166"/>
        <w:gridCol w:w="38"/>
        <w:gridCol w:w="1095"/>
        <w:gridCol w:w="1418"/>
        <w:gridCol w:w="2977"/>
        <w:gridCol w:w="850"/>
      </w:tblGrid>
      <w:tr w:rsidR="000004E0" w:rsidRPr="00D0005A" w14:paraId="41B604ED" w14:textId="77777777" w:rsidTr="000004E0">
        <w:trPr>
          <w:trHeight w:val="400"/>
        </w:trPr>
        <w:tc>
          <w:tcPr>
            <w:tcW w:w="1528" w:type="dxa"/>
            <w:tcBorders>
              <w:top w:val="single" w:sz="4" w:space="0" w:color="000000"/>
              <w:left w:val="single" w:sz="4" w:space="0" w:color="000000"/>
              <w:bottom w:val="single" w:sz="4" w:space="0" w:color="000000"/>
              <w:right w:val="single" w:sz="4" w:space="0" w:color="000000"/>
            </w:tcBorders>
            <w:shd w:val="clear" w:color="auto" w:fill="DBE5F1"/>
          </w:tcPr>
          <w:p w14:paraId="0D810247"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Title </w:t>
            </w:r>
          </w:p>
        </w:tc>
        <w:tc>
          <w:tcPr>
            <w:tcW w:w="7544" w:type="dxa"/>
            <w:gridSpan w:val="6"/>
            <w:tcBorders>
              <w:top w:val="single" w:sz="4" w:space="0" w:color="000000"/>
              <w:left w:val="single" w:sz="4" w:space="0" w:color="000000"/>
              <w:bottom w:val="single" w:sz="4" w:space="0" w:color="000000"/>
              <w:right w:val="single" w:sz="4" w:space="0" w:color="000000"/>
            </w:tcBorders>
          </w:tcPr>
          <w:p w14:paraId="29411B03" w14:textId="5F26D515" w:rsidR="000004E0" w:rsidRPr="00D0005A" w:rsidRDefault="000004E0" w:rsidP="000004E0">
            <w:pPr>
              <w:pStyle w:val="Normal1"/>
              <w:spacing w:after="120" w:line="276" w:lineRule="auto"/>
              <w:rPr>
                <w:rFonts w:ascii="Calibri" w:hAnsi="Calibri"/>
                <w:color w:val="FF0000"/>
                <w:sz w:val="22"/>
                <w:szCs w:val="22"/>
              </w:rPr>
            </w:pPr>
            <w:r w:rsidRPr="00903F1B">
              <w:rPr>
                <w:rFonts w:ascii="Calibri" w:hAnsi="Calibri"/>
                <w:color w:val="auto"/>
                <w:sz w:val="22"/>
                <w:szCs w:val="22"/>
              </w:rPr>
              <w:t xml:space="preserve">Provision of continuous and sufficient </w:t>
            </w:r>
            <w:r w:rsidR="00B560AF">
              <w:rPr>
                <w:rFonts w:ascii="Calibri" w:hAnsi="Calibri"/>
                <w:color w:val="auto"/>
                <w:sz w:val="22"/>
                <w:szCs w:val="22"/>
              </w:rPr>
              <w:t>TA</w:t>
            </w:r>
          </w:p>
        </w:tc>
      </w:tr>
      <w:tr w:rsidR="000004E0" w:rsidRPr="00D0005A" w14:paraId="63252FD8" w14:textId="77777777" w:rsidTr="000004E0">
        <w:trPr>
          <w:trHeight w:val="400"/>
        </w:trPr>
        <w:tc>
          <w:tcPr>
            <w:tcW w:w="2732" w:type="dxa"/>
            <w:gridSpan w:val="3"/>
            <w:tcBorders>
              <w:top w:val="single" w:sz="4" w:space="0" w:color="000000"/>
              <w:left w:val="single" w:sz="4" w:space="0" w:color="000000"/>
              <w:bottom w:val="single" w:sz="4" w:space="0" w:color="000000"/>
              <w:right w:val="single" w:sz="4" w:space="0" w:color="000000"/>
            </w:tcBorders>
            <w:shd w:val="clear" w:color="auto" w:fill="DBE5F1"/>
          </w:tcPr>
          <w:p w14:paraId="7EE7D2D5"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2513" w:type="dxa"/>
            <w:gridSpan w:val="2"/>
            <w:tcBorders>
              <w:top w:val="single" w:sz="4" w:space="0" w:color="000000"/>
              <w:left w:val="single" w:sz="4" w:space="0" w:color="000000"/>
              <w:bottom w:val="single" w:sz="4" w:space="0" w:color="000000"/>
              <w:right w:val="single" w:sz="4" w:space="0" w:color="000000"/>
            </w:tcBorders>
          </w:tcPr>
          <w:p w14:paraId="1E90344F"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1D338927"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850" w:type="dxa"/>
            <w:tcBorders>
              <w:top w:val="single" w:sz="4" w:space="0" w:color="000000"/>
              <w:left w:val="single" w:sz="4" w:space="0" w:color="000000"/>
              <w:bottom w:val="single" w:sz="4" w:space="0" w:color="000000"/>
              <w:right w:val="single" w:sz="4" w:space="0" w:color="000000"/>
            </w:tcBorders>
          </w:tcPr>
          <w:p w14:paraId="5D215776" w14:textId="77777777" w:rsidR="000004E0" w:rsidRPr="00A84E9B" w:rsidRDefault="00B900CC" w:rsidP="000004E0">
            <w:pPr>
              <w:pStyle w:val="Normal1"/>
              <w:spacing w:after="120" w:line="276" w:lineRule="auto"/>
              <w:rPr>
                <w:rFonts w:ascii="Calibri" w:hAnsi="Calibri"/>
                <w:b/>
                <w:color w:val="FF0000"/>
                <w:sz w:val="22"/>
                <w:szCs w:val="22"/>
              </w:rPr>
            </w:pPr>
            <w:r w:rsidRPr="00B900CC">
              <w:rPr>
                <w:rFonts w:ascii="Calibri" w:hAnsi="Calibri"/>
                <w:b/>
                <w:color w:val="auto"/>
                <w:sz w:val="22"/>
                <w:szCs w:val="22"/>
              </w:rPr>
              <w:t>A</w:t>
            </w:r>
          </w:p>
        </w:tc>
      </w:tr>
      <w:tr w:rsidR="000004E0" w:rsidRPr="00D0005A" w14:paraId="77B34669" w14:textId="77777777" w:rsidTr="000004E0">
        <w:trPr>
          <w:trHeight w:val="400"/>
        </w:trPr>
        <w:tc>
          <w:tcPr>
            <w:tcW w:w="2732" w:type="dxa"/>
            <w:gridSpan w:val="3"/>
            <w:tcBorders>
              <w:top w:val="single" w:sz="4" w:space="0" w:color="000000"/>
              <w:left w:val="single" w:sz="4" w:space="0" w:color="000000"/>
              <w:bottom w:val="single" w:sz="4" w:space="0" w:color="000000"/>
              <w:right w:val="single" w:sz="4" w:space="0" w:color="000000"/>
            </w:tcBorders>
            <w:shd w:val="clear" w:color="auto" w:fill="DBE5F1"/>
          </w:tcPr>
          <w:p w14:paraId="24A9537A" w14:textId="77777777" w:rsidR="000004E0" w:rsidRPr="00D0005A" w:rsidRDefault="00872C7E"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2513" w:type="dxa"/>
            <w:gridSpan w:val="2"/>
            <w:tcBorders>
              <w:top w:val="single" w:sz="4" w:space="0" w:color="000000"/>
              <w:left w:val="single" w:sz="4" w:space="0" w:color="000000"/>
              <w:bottom w:val="single" w:sz="4" w:space="0" w:color="000000"/>
              <w:right w:val="single" w:sz="4" w:space="0" w:color="000000"/>
            </w:tcBorders>
          </w:tcPr>
          <w:p w14:paraId="0EF43947" w14:textId="77777777" w:rsidR="000004E0" w:rsidRPr="00D0005A" w:rsidRDefault="00872C7E" w:rsidP="000004E0">
            <w:pPr>
              <w:pStyle w:val="Normal1"/>
              <w:spacing w:after="120" w:line="276" w:lineRule="auto"/>
              <w:rPr>
                <w:rFonts w:ascii="Calibri" w:hAnsi="Calibri"/>
                <w:sz w:val="22"/>
                <w:szCs w:val="22"/>
              </w:rPr>
            </w:pPr>
            <w:r>
              <w:rPr>
                <w:rFonts w:ascii="Calibri" w:hAnsi="Calibri"/>
                <w:sz w:val="22"/>
                <w:szCs w:val="22"/>
              </w:rPr>
              <w:t>Moderate</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4A4616FC"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850" w:type="dxa"/>
            <w:tcBorders>
              <w:top w:val="single" w:sz="4" w:space="0" w:color="000000"/>
              <w:left w:val="single" w:sz="4" w:space="0" w:color="000000"/>
              <w:bottom w:val="single" w:sz="4" w:space="0" w:color="000000"/>
              <w:right w:val="single" w:sz="4" w:space="0" w:color="000000"/>
            </w:tcBorders>
          </w:tcPr>
          <w:p w14:paraId="7DEC923E" w14:textId="77777777" w:rsidR="000004E0" w:rsidRPr="00D0005A" w:rsidRDefault="00FB5AA8" w:rsidP="00FB5AA8">
            <w:pPr>
              <w:pStyle w:val="Normal1"/>
              <w:spacing w:after="120" w:line="276" w:lineRule="auto"/>
              <w:rPr>
                <w:rFonts w:ascii="Calibri" w:hAnsi="Calibri"/>
                <w:sz w:val="22"/>
                <w:szCs w:val="22"/>
              </w:rPr>
            </w:pPr>
            <w:r>
              <w:rPr>
                <w:rFonts w:ascii="Calibri" w:hAnsi="Calibri"/>
                <w:sz w:val="22"/>
                <w:szCs w:val="22"/>
              </w:rPr>
              <w:t>15%</w:t>
            </w:r>
          </w:p>
        </w:tc>
      </w:tr>
      <w:tr w:rsidR="00872C7E" w:rsidRPr="00D0005A" w14:paraId="5E403C60" w14:textId="77777777" w:rsidTr="00872C7E">
        <w:trPr>
          <w:gridAfter w:val="3"/>
          <w:wAfter w:w="5245" w:type="dxa"/>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DBE5F1"/>
          </w:tcPr>
          <w:p w14:paraId="33A12DF2" w14:textId="142B9697" w:rsidR="00872C7E" w:rsidRPr="00D0005A" w:rsidRDefault="00872C7E" w:rsidP="000004E0">
            <w:pPr>
              <w:pStyle w:val="Normal1"/>
              <w:spacing w:after="120" w:line="276" w:lineRule="auto"/>
              <w:rPr>
                <w:rFonts w:ascii="Calibri" w:hAnsi="Calibri"/>
                <w:sz w:val="22"/>
                <w:szCs w:val="22"/>
              </w:rPr>
            </w:pPr>
            <w:r w:rsidRPr="00D0005A">
              <w:rPr>
                <w:rFonts w:ascii="Calibri" w:hAnsi="Calibri"/>
                <w:sz w:val="22"/>
                <w:szCs w:val="22"/>
              </w:rPr>
              <w:t>Impact wei</w:t>
            </w:r>
            <w:r w:rsidR="001647EA">
              <w:rPr>
                <w:rFonts w:ascii="Calibri" w:hAnsi="Calibri"/>
                <w:sz w:val="22"/>
                <w:szCs w:val="22"/>
              </w:rPr>
              <w:t>ghting % revised since last AR</w:t>
            </w:r>
          </w:p>
        </w:tc>
        <w:tc>
          <w:tcPr>
            <w:tcW w:w="1133" w:type="dxa"/>
            <w:gridSpan w:val="2"/>
            <w:tcBorders>
              <w:top w:val="single" w:sz="4" w:space="0" w:color="000000"/>
              <w:left w:val="single" w:sz="4" w:space="0" w:color="000000"/>
              <w:bottom w:val="single" w:sz="4" w:space="0" w:color="000000"/>
              <w:right w:val="single" w:sz="4" w:space="0" w:color="000000"/>
            </w:tcBorders>
          </w:tcPr>
          <w:p w14:paraId="496C63DF" w14:textId="77777777" w:rsidR="00872C7E" w:rsidRPr="00D0005A" w:rsidRDefault="00872C7E" w:rsidP="00B900CC">
            <w:pPr>
              <w:pStyle w:val="Normal1"/>
              <w:spacing w:after="120" w:line="276" w:lineRule="auto"/>
              <w:rPr>
                <w:rFonts w:ascii="Calibri" w:hAnsi="Calibri"/>
                <w:sz w:val="22"/>
                <w:szCs w:val="22"/>
              </w:rPr>
            </w:pPr>
            <w:r>
              <w:rPr>
                <w:rFonts w:ascii="Calibri" w:hAnsi="Calibri"/>
                <w:sz w:val="22"/>
                <w:szCs w:val="22"/>
              </w:rPr>
              <w:t>15%</w:t>
            </w:r>
          </w:p>
        </w:tc>
      </w:tr>
    </w:tbl>
    <w:p w14:paraId="61590AF6" w14:textId="77777777" w:rsidR="000004E0" w:rsidRPr="00D0005A" w:rsidRDefault="000004E0" w:rsidP="000004E0">
      <w:pPr>
        <w:pStyle w:val="Normal1"/>
        <w:spacing w:after="120" w:line="276" w:lineRule="auto"/>
        <w:rPr>
          <w:rFonts w:ascii="Calibri" w:hAnsi="Calibri"/>
          <w:b/>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268"/>
        <w:gridCol w:w="2126"/>
      </w:tblGrid>
      <w:tr w:rsidR="000004E0" w:rsidRPr="00D0005A" w14:paraId="4DBF4A52" w14:textId="77777777" w:rsidTr="00903F1B">
        <w:trPr>
          <w:trHeight w:val="260"/>
        </w:trPr>
        <w:tc>
          <w:tcPr>
            <w:tcW w:w="4673" w:type="dxa"/>
            <w:tcBorders>
              <w:top w:val="single" w:sz="4" w:space="0" w:color="000000"/>
              <w:left w:val="single" w:sz="4" w:space="0" w:color="000000"/>
              <w:bottom w:val="single" w:sz="4" w:space="0" w:color="000000"/>
              <w:right w:val="single" w:sz="4" w:space="0" w:color="000000"/>
            </w:tcBorders>
            <w:shd w:val="clear" w:color="auto" w:fill="DBE5F1"/>
          </w:tcPr>
          <w:p w14:paraId="30066246"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7FF4E846"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Milestones</w:t>
            </w:r>
            <w:r w:rsidR="00903F1B">
              <w:rPr>
                <w:rFonts w:ascii="Calibri" w:hAnsi="Calibri"/>
                <w:b/>
                <w:sz w:val="22"/>
                <w:szCs w:val="22"/>
              </w:rPr>
              <w:t xml:space="preserve"> (baseline)</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717FC541"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62739463" w14:textId="77777777" w:rsidTr="00903F1B">
        <w:tc>
          <w:tcPr>
            <w:tcW w:w="4673" w:type="dxa"/>
            <w:tcBorders>
              <w:top w:val="single" w:sz="4" w:space="0" w:color="000000"/>
              <w:left w:val="single" w:sz="4" w:space="0" w:color="000000"/>
              <w:bottom w:val="single" w:sz="4" w:space="0" w:color="000000"/>
              <w:right w:val="single" w:sz="4" w:space="0" w:color="000000"/>
            </w:tcBorders>
          </w:tcPr>
          <w:p w14:paraId="3E93016F" w14:textId="77777777" w:rsidR="000004E0" w:rsidRPr="00D0005A" w:rsidRDefault="00903F1B" w:rsidP="000004E0">
            <w:pPr>
              <w:pStyle w:val="Normal1"/>
              <w:spacing w:after="120" w:line="276" w:lineRule="auto"/>
              <w:rPr>
                <w:rFonts w:ascii="Calibri" w:hAnsi="Calibri"/>
                <w:sz w:val="22"/>
                <w:szCs w:val="22"/>
              </w:rPr>
            </w:pPr>
            <w:r>
              <w:rPr>
                <w:rFonts w:ascii="Calibri" w:hAnsi="Calibri"/>
                <w:sz w:val="22"/>
                <w:szCs w:val="22"/>
              </w:rPr>
              <w:t xml:space="preserve">3.1. </w:t>
            </w:r>
            <w:r w:rsidRPr="00903F1B">
              <w:rPr>
                <w:rFonts w:ascii="Calibri" w:hAnsi="Calibri"/>
                <w:sz w:val="22"/>
                <w:szCs w:val="22"/>
              </w:rPr>
              <w:t>Number of on-going/outstanding TA projects</w:t>
            </w:r>
          </w:p>
        </w:tc>
        <w:tc>
          <w:tcPr>
            <w:tcW w:w="2268" w:type="dxa"/>
            <w:tcBorders>
              <w:top w:val="single" w:sz="4" w:space="0" w:color="000000"/>
              <w:left w:val="single" w:sz="4" w:space="0" w:color="000000"/>
              <w:bottom w:val="single" w:sz="4" w:space="0" w:color="000000"/>
              <w:right w:val="single" w:sz="4" w:space="0" w:color="000000"/>
            </w:tcBorders>
          </w:tcPr>
          <w:p w14:paraId="28AACA67" w14:textId="7777777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27</w:t>
            </w:r>
          </w:p>
        </w:tc>
        <w:tc>
          <w:tcPr>
            <w:tcW w:w="2126" w:type="dxa"/>
            <w:tcBorders>
              <w:top w:val="single" w:sz="4" w:space="0" w:color="000000"/>
              <w:left w:val="single" w:sz="4" w:space="0" w:color="000000"/>
              <w:bottom w:val="single" w:sz="4" w:space="0" w:color="000000"/>
              <w:right w:val="single" w:sz="4" w:space="0" w:color="000000"/>
            </w:tcBorders>
          </w:tcPr>
          <w:p w14:paraId="3B23AB68" w14:textId="7777777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29</w:t>
            </w:r>
          </w:p>
        </w:tc>
      </w:tr>
      <w:tr w:rsidR="000004E0" w:rsidRPr="00D0005A" w14:paraId="08CE7EEC" w14:textId="77777777" w:rsidTr="00903F1B">
        <w:tc>
          <w:tcPr>
            <w:tcW w:w="4673" w:type="dxa"/>
            <w:tcBorders>
              <w:top w:val="single" w:sz="4" w:space="0" w:color="000000"/>
              <w:left w:val="single" w:sz="4" w:space="0" w:color="000000"/>
              <w:bottom w:val="single" w:sz="4" w:space="0" w:color="000000"/>
              <w:right w:val="single" w:sz="4" w:space="0" w:color="000000"/>
            </w:tcBorders>
          </w:tcPr>
          <w:p w14:paraId="0710917B" w14:textId="6FC9761F" w:rsidR="000004E0" w:rsidRPr="00D0005A" w:rsidRDefault="00903F1B" w:rsidP="000004E0">
            <w:pPr>
              <w:pStyle w:val="Normal1"/>
              <w:spacing w:after="120" w:line="276" w:lineRule="auto"/>
              <w:rPr>
                <w:rFonts w:ascii="Calibri" w:hAnsi="Calibri"/>
                <w:sz w:val="22"/>
                <w:szCs w:val="22"/>
              </w:rPr>
            </w:pPr>
            <w:r>
              <w:rPr>
                <w:rFonts w:ascii="Calibri" w:hAnsi="Calibri"/>
                <w:sz w:val="22"/>
                <w:szCs w:val="22"/>
              </w:rPr>
              <w:t xml:space="preserve">3.2. </w:t>
            </w:r>
            <w:r w:rsidRPr="00903F1B">
              <w:rPr>
                <w:rFonts w:ascii="Calibri" w:hAnsi="Calibri"/>
                <w:sz w:val="22"/>
                <w:szCs w:val="22"/>
              </w:rPr>
              <w:t xml:space="preserve">Number of </w:t>
            </w:r>
            <w:r w:rsidR="00261682">
              <w:rPr>
                <w:rFonts w:ascii="Calibri" w:hAnsi="Calibri"/>
                <w:iCs/>
                <w:sz w:val="22"/>
                <w:szCs w:val="22"/>
              </w:rPr>
              <w:t>FI</w:t>
            </w:r>
            <w:r w:rsidR="00261682">
              <w:rPr>
                <w:rFonts w:ascii="Calibri" w:hAnsi="Calibri"/>
                <w:sz w:val="22"/>
                <w:szCs w:val="22"/>
              </w:rPr>
              <w:t xml:space="preserve">s </w:t>
            </w:r>
            <w:r w:rsidRPr="00903F1B">
              <w:rPr>
                <w:rFonts w:ascii="Calibri" w:hAnsi="Calibri"/>
                <w:sz w:val="22"/>
                <w:szCs w:val="22"/>
              </w:rPr>
              <w:t>supported</w:t>
            </w:r>
          </w:p>
        </w:tc>
        <w:tc>
          <w:tcPr>
            <w:tcW w:w="2268" w:type="dxa"/>
            <w:tcBorders>
              <w:top w:val="single" w:sz="4" w:space="0" w:color="000000"/>
              <w:left w:val="single" w:sz="4" w:space="0" w:color="000000"/>
              <w:bottom w:val="single" w:sz="4" w:space="0" w:color="000000"/>
              <w:right w:val="single" w:sz="4" w:space="0" w:color="000000"/>
            </w:tcBorders>
          </w:tcPr>
          <w:p w14:paraId="21A9C44C" w14:textId="7777777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12</w:t>
            </w:r>
          </w:p>
        </w:tc>
        <w:tc>
          <w:tcPr>
            <w:tcW w:w="2126" w:type="dxa"/>
            <w:tcBorders>
              <w:top w:val="single" w:sz="4" w:space="0" w:color="000000"/>
              <w:left w:val="single" w:sz="4" w:space="0" w:color="000000"/>
              <w:bottom w:val="single" w:sz="4" w:space="0" w:color="000000"/>
              <w:right w:val="single" w:sz="4" w:space="0" w:color="000000"/>
            </w:tcBorders>
          </w:tcPr>
          <w:p w14:paraId="08DC5C53" w14:textId="7777777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11</w:t>
            </w:r>
          </w:p>
        </w:tc>
      </w:tr>
      <w:tr w:rsidR="000004E0" w:rsidRPr="00D0005A" w14:paraId="034B7CAC" w14:textId="77777777" w:rsidTr="00903F1B">
        <w:tc>
          <w:tcPr>
            <w:tcW w:w="4673" w:type="dxa"/>
            <w:tcBorders>
              <w:top w:val="single" w:sz="4" w:space="0" w:color="000000"/>
              <w:left w:val="single" w:sz="4" w:space="0" w:color="000000"/>
              <w:bottom w:val="single" w:sz="4" w:space="0" w:color="000000"/>
              <w:right w:val="single" w:sz="4" w:space="0" w:color="000000"/>
            </w:tcBorders>
          </w:tcPr>
          <w:p w14:paraId="74E7E1FF" w14:textId="77777777" w:rsidR="000004E0" w:rsidRPr="00D0005A" w:rsidRDefault="00903F1B" w:rsidP="00903F1B">
            <w:pPr>
              <w:pStyle w:val="Normal1"/>
              <w:tabs>
                <w:tab w:val="left" w:pos="1695"/>
              </w:tabs>
              <w:spacing w:after="120" w:line="276" w:lineRule="auto"/>
              <w:rPr>
                <w:rFonts w:ascii="Calibri" w:hAnsi="Calibri"/>
                <w:sz w:val="22"/>
                <w:szCs w:val="22"/>
              </w:rPr>
            </w:pPr>
            <w:r>
              <w:rPr>
                <w:rFonts w:ascii="Calibri" w:hAnsi="Calibri"/>
                <w:sz w:val="22"/>
                <w:szCs w:val="22"/>
              </w:rPr>
              <w:t xml:space="preserve">3.3. </w:t>
            </w:r>
            <w:r w:rsidRPr="00903F1B">
              <w:rPr>
                <w:rFonts w:ascii="Calibri" w:hAnsi="Calibri"/>
                <w:sz w:val="22"/>
                <w:szCs w:val="22"/>
              </w:rPr>
              <w:t>Number of completed TA projects</w:t>
            </w:r>
          </w:p>
        </w:tc>
        <w:tc>
          <w:tcPr>
            <w:tcW w:w="2268" w:type="dxa"/>
            <w:tcBorders>
              <w:top w:val="single" w:sz="4" w:space="0" w:color="000000"/>
              <w:left w:val="single" w:sz="4" w:space="0" w:color="000000"/>
              <w:bottom w:val="single" w:sz="4" w:space="0" w:color="000000"/>
              <w:right w:val="single" w:sz="4" w:space="0" w:color="000000"/>
            </w:tcBorders>
          </w:tcPr>
          <w:p w14:paraId="7ED5F1AA" w14:textId="7777777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19</w:t>
            </w:r>
          </w:p>
        </w:tc>
        <w:tc>
          <w:tcPr>
            <w:tcW w:w="2126" w:type="dxa"/>
            <w:tcBorders>
              <w:top w:val="single" w:sz="4" w:space="0" w:color="000000"/>
              <w:left w:val="single" w:sz="4" w:space="0" w:color="000000"/>
              <w:bottom w:val="single" w:sz="4" w:space="0" w:color="000000"/>
              <w:right w:val="single" w:sz="4" w:space="0" w:color="000000"/>
            </w:tcBorders>
          </w:tcPr>
          <w:p w14:paraId="70A4F4AD" w14:textId="7777777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20</w:t>
            </w:r>
          </w:p>
        </w:tc>
      </w:tr>
      <w:tr w:rsidR="000004E0" w:rsidRPr="00D0005A" w14:paraId="145BBB74" w14:textId="77777777" w:rsidTr="00903F1B">
        <w:tc>
          <w:tcPr>
            <w:tcW w:w="4673" w:type="dxa"/>
            <w:tcBorders>
              <w:top w:val="single" w:sz="4" w:space="0" w:color="000000"/>
              <w:left w:val="single" w:sz="4" w:space="0" w:color="000000"/>
              <w:bottom w:val="single" w:sz="4" w:space="0" w:color="000000"/>
              <w:right w:val="single" w:sz="4" w:space="0" w:color="000000"/>
            </w:tcBorders>
          </w:tcPr>
          <w:p w14:paraId="01FA94A6" w14:textId="77777777" w:rsidR="000004E0" w:rsidRPr="00D0005A" w:rsidRDefault="00903F1B" w:rsidP="000004E0">
            <w:pPr>
              <w:pStyle w:val="Normal1"/>
              <w:spacing w:after="120" w:line="276" w:lineRule="auto"/>
              <w:rPr>
                <w:rFonts w:ascii="Calibri" w:hAnsi="Calibri"/>
                <w:sz w:val="22"/>
                <w:szCs w:val="22"/>
              </w:rPr>
            </w:pPr>
            <w:r>
              <w:rPr>
                <w:rFonts w:ascii="Calibri" w:hAnsi="Calibri"/>
                <w:sz w:val="22"/>
                <w:szCs w:val="22"/>
              </w:rPr>
              <w:t xml:space="preserve">3.4. </w:t>
            </w:r>
            <w:r w:rsidRPr="00903F1B">
              <w:rPr>
                <w:rFonts w:ascii="Calibri" w:hAnsi="Calibri"/>
                <w:sz w:val="22"/>
                <w:szCs w:val="22"/>
              </w:rPr>
              <w:t>Budget spent on TA projects (USD million)</w:t>
            </w:r>
          </w:p>
        </w:tc>
        <w:tc>
          <w:tcPr>
            <w:tcW w:w="2268" w:type="dxa"/>
            <w:tcBorders>
              <w:top w:val="single" w:sz="4" w:space="0" w:color="000000"/>
              <w:left w:val="single" w:sz="4" w:space="0" w:color="000000"/>
              <w:bottom w:val="single" w:sz="4" w:space="0" w:color="000000"/>
              <w:right w:val="single" w:sz="4" w:space="0" w:color="000000"/>
            </w:tcBorders>
          </w:tcPr>
          <w:p w14:paraId="052566B3" w14:textId="71F89437"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1.6</w:t>
            </w:r>
          </w:p>
        </w:tc>
        <w:tc>
          <w:tcPr>
            <w:tcW w:w="2126" w:type="dxa"/>
            <w:tcBorders>
              <w:top w:val="single" w:sz="4" w:space="0" w:color="000000"/>
              <w:left w:val="single" w:sz="4" w:space="0" w:color="000000"/>
              <w:bottom w:val="single" w:sz="4" w:space="0" w:color="000000"/>
              <w:right w:val="single" w:sz="4" w:space="0" w:color="000000"/>
            </w:tcBorders>
          </w:tcPr>
          <w:p w14:paraId="06E18298" w14:textId="0C6AA2EA" w:rsidR="000004E0" w:rsidRPr="00D0005A" w:rsidRDefault="00C23E2E" w:rsidP="009C0299">
            <w:pPr>
              <w:pStyle w:val="Normal1"/>
              <w:spacing w:after="120" w:line="276" w:lineRule="auto"/>
              <w:jc w:val="center"/>
              <w:rPr>
                <w:rFonts w:ascii="Calibri" w:hAnsi="Calibri"/>
                <w:sz w:val="22"/>
                <w:szCs w:val="22"/>
              </w:rPr>
            </w:pPr>
            <w:r>
              <w:rPr>
                <w:rFonts w:ascii="Calibri" w:hAnsi="Calibri"/>
                <w:sz w:val="22"/>
                <w:szCs w:val="22"/>
              </w:rPr>
              <w:t>1.8</w:t>
            </w:r>
          </w:p>
        </w:tc>
      </w:tr>
    </w:tbl>
    <w:p w14:paraId="1E3320AE" w14:textId="77777777" w:rsidR="000004E0" w:rsidRPr="00D0005A" w:rsidRDefault="000004E0" w:rsidP="000004E0">
      <w:pPr>
        <w:pStyle w:val="Normal1"/>
        <w:spacing w:after="120" w:line="276" w:lineRule="auto"/>
        <w:jc w:val="both"/>
        <w:rPr>
          <w:rFonts w:ascii="Calibri" w:hAnsi="Calibri"/>
          <w:b/>
          <w:sz w:val="22"/>
          <w:szCs w:val="22"/>
        </w:rPr>
      </w:pPr>
    </w:p>
    <w:p w14:paraId="2A7972A4" w14:textId="77777777" w:rsidR="000004E0"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Key Points</w:t>
      </w:r>
    </w:p>
    <w:p w14:paraId="102FBAFC" w14:textId="6C44B7F8" w:rsidR="00903F1B" w:rsidRPr="00903F1B" w:rsidRDefault="00903F1B" w:rsidP="000004E0">
      <w:pPr>
        <w:pStyle w:val="Normal1"/>
        <w:spacing w:after="120" w:line="276" w:lineRule="auto"/>
        <w:jc w:val="both"/>
        <w:rPr>
          <w:rFonts w:ascii="Calibri" w:hAnsi="Calibri"/>
          <w:sz w:val="22"/>
          <w:szCs w:val="22"/>
        </w:rPr>
      </w:pPr>
      <w:r w:rsidRPr="00903F1B">
        <w:rPr>
          <w:rFonts w:ascii="Calibri" w:hAnsi="Calibri"/>
          <w:sz w:val="22"/>
          <w:szCs w:val="22"/>
        </w:rPr>
        <w:t>Across all</w:t>
      </w:r>
      <w:r>
        <w:rPr>
          <w:rFonts w:ascii="Calibri" w:hAnsi="Calibri"/>
          <w:sz w:val="22"/>
          <w:szCs w:val="22"/>
        </w:rPr>
        <w:t xml:space="preserve"> metrics the scale of TA support provided has increased</w:t>
      </w:r>
      <w:r w:rsidR="009420AA">
        <w:rPr>
          <w:rFonts w:ascii="Calibri" w:hAnsi="Calibri"/>
          <w:sz w:val="22"/>
          <w:szCs w:val="22"/>
        </w:rPr>
        <w:t xml:space="preserve"> - m</w:t>
      </w:r>
      <w:r w:rsidR="004B743C">
        <w:rPr>
          <w:rFonts w:ascii="Calibri" w:hAnsi="Calibri"/>
          <w:sz w:val="22"/>
          <w:szCs w:val="22"/>
        </w:rPr>
        <w:t>eeting all but one indicator</w:t>
      </w:r>
      <w:r w:rsidR="009420AA">
        <w:rPr>
          <w:rFonts w:ascii="Calibri" w:hAnsi="Calibri"/>
          <w:sz w:val="22"/>
          <w:szCs w:val="22"/>
        </w:rPr>
        <w:t xml:space="preserve">. </w:t>
      </w:r>
      <w:r w:rsidR="00C23E2E">
        <w:rPr>
          <w:rFonts w:ascii="Calibri" w:hAnsi="Calibri"/>
          <w:sz w:val="22"/>
          <w:szCs w:val="22"/>
        </w:rPr>
        <w:t xml:space="preserve"> </w:t>
      </w:r>
    </w:p>
    <w:p w14:paraId="122516A0" w14:textId="77777777" w:rsidR="000004E0" w:rsidRPr="00D0005A"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Progress:</w:t>
      </w:r>
    </w:p>
    <w:p w14:paraId="33E1B561" w14:textId="32C1DBC5" w:rsidR="000004E0" w:rsidRDefault="000004E0" w:rsidP="000004E0">
      <w:pPr>
        <w:pStyle w:val="Normal1"/>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sidRPr="00D0005A">
        <w:rPr>
          <w:rFonts w:ascii="Calibri" w:hAnsi="Calibri"/>
          <w:sz w:val="22"/>
          <w:szCs w:val="22"/>
        </w:rPr>
        <w:t xml:space="preserve">Regarding </w:t>
      </w:r>
      <w:r w:rsidR="00DB4DBB">
        <w:rPr>
          <w:rFonts w:ascii="Calibri" w:hAnsi="Calibri"/>
          <w:sz w:val="22"/>
          <w:szCs w:val="22"/>
        </w:rPr>
        <w:t>TA</w:t>
      </w:r>
      <w:r w:rsidRPr="00D0005A">
        <w:rPr>
          <w:rFonts w:ascii="Calibri" w:hAnsi="Calibri"/>
          <w:sz w:val="22"/>
          <w:szCs w:val="22"/>
        </w:rPr>
        <w:t xml:space="preserve"> interventions, it is worth mentioning the following project examples: </w:t>
      </w:r>
    </w:p>
    <w:p w14:paraId="74F823BD" w14:textId="14AB1365" w:rsidR="00C23E2E" w:rsidRDefault="00DB4DBB" w:rsidP="009C6DE8">
      <w:pPr>
        <w:pStyle w:val="Normal1"/>
        <w:numPr>
          <w:ilvl w:val="0"/>
          <w:numId w:val="27"/>
        </w:numPr>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Pr>
          <w:rFonts w:ascii="Calibri" w:hAnsi="Calibri"/>
          <w:sz w:val="22"/>
          <w:szCs w:val="22"/>
        </w:rPr>
        <w:t>A p</w:t>
      </w:r>
      <w:r w:rsidR="009C6DE8" w:rsidRPr="009C6DE8">
        <w:rPr>
          <w:rFonts w:ascii="Calibri" w:hAnsi="Calibri"/>
          <w:sz w:val="22"/>
          <w:szCs w:val="22"/>
        </w:rPr>
        <w:t xml:space="preserve">artner institution of the </w:t>
      </w:r>
      <w:r>
        <w:rPr>
          <w:rFonts w:ascii="Calibri" w:hAnsi="Calibri"/>
          <w:sz w:val="22"/>
          <w:szCs w:val="22"/>
        </w:rPr>
        <w:t>EBF</w:t>
      </w:r>
      <w:r w:rsidR="009C6DE8" w:rsidRPr="009C6DE8">
        <w:rPr>
          <w:rFonts w:ascii="Calibri" w:hAnsi="Calibri"/>
          <w:sz w:val="22"/>
          <w:szCs w:val="22"/>
        </w:rPr>
        <w:t xml:space="preserve"> since 2016</w:t>
      </w:r>
      <w:r w:rsidR="00A5364C">
        <w:rPr>
          <w:rFonts w:ascii="Calibri" w:hAnsi="Calibri"/>
          <w:sz w:val="22"/>
          <w:szCs w:val="22"/>
        </w:rPr>
        <w:t xml:space="preserve"> in El Salvador</w:t>
      </w:r>
      <w:r w:rsidR="009C6DE8" w:rsidRPr="009C6DE8">
        <w:rPr>
          <w:rFonts w:ascii="Calibri" w:hAnsi="Calibri"/>
          <w:sz w:val="22"/>
          <w:szCs w:val="22"/>
        </w:rPr>
        <w:t xml:space="preserve">, </w:t>
      </w:r>
      <w:r w:rsidR="009C6DE8" w:rsidRPr="00A5364C">
        <w:rPr>
          <w:rFonts w:ascii="Calibri" w:hAnsi="Calibri"/>
          <w:sz w:val="22"/>
          <w:szCs w:val="22"/>
        </w:rPr>
        <w:t xml:space="preserve">has received loans from the </w:t>
      </w:r>
      <w:r w:rsidRPr="00A5364C">
        <w:rPr>
          <w:rFonts w:ascii="Calibri" w:hAnsi="Calibri"/>
          <w:sz w:val="22"/>
          <w:szCs w:val="22"/>
        </w:rPr>
        <w:t>EBF</w:t>
      </w:r>
      <w:r w:rsidR="009C6DE8" w:rsidRPr="00A5364C">
        <w:rPr>
          <w:rFonts w:ascii="Calibri" w:hAnsi="Calibri"/>
          <w:sz w:val="22"/>
          <w:szCs w:val="22"/>
        </w:rPr>
        <w:t xml:space="preserve"> to invest in sustainable</w:t>
      </w:r>
      <w:r w:rsidR="009C6DE8" w:rsidRPr="009C6DE8">
        <w:rPr>
          <w:rFonts w:ascii="Calibri" w:hAnsi="Calibri"/>
          <w:sz w:val="22"/>
          <w:szCs w:val="22"/>
        </w:rPr>
        <w:t xml:space="preserve"> coffee production in El Salvador. A </w:t>
      </w:r>
      <w:r>
        <w:rPr>
          <w:rFonts w:ascii="Calibri" w:hAnsi="Calibri"/>
          <w:sz w:val="22"/>
          <w:szCs w:val="22"/>
        </w:rPr>
        <w:t>TA</w:t>
      </w:r>
      <w:r w:rsidR="009C6DE8" w:rsidRPr="009C6DE8">
        <w:rPr>
          <w:rFonts w:ascii="Calibri" w:hAnsi="Calibri"/>
          <w:sz w:val="22"/>
          <w:szCs w:val="22"/>
        </w:rPr>
        <w:t xml:space="preserve"> project </w:t>
      </w:r>
      <w:r>
        <w:rPr>
          <w:rFonts w:ascii="Calibri" w:hAnsi="Calibri"/>
          <w:sz w:val="22"/>
          <w:szCs w:val="22"/>
        </w:rPr>
        <w:t xml:space="preserve">has </w:t>
      </w:r>
      <w:r w:rsidR="009C6DE8" w:rsidRPr="009C6DE8">
        <w:rPr>
          <w:rFonts w:ascii="Calibri" w:hAnsi="Calibri"/>
          <w:sz w:val="22"/>
          <w:szCs w:val="22"/>
        </w:rPr>
        <w:t>accompani</w:t>
      </w:r>
      <w:r>
        <w:rPr>
          <w:rFonts w:ascii="Calibri" w:hAnsi="Calibri"/>
          <w:sz w:val="22"/>
          <w:szCs w:val="22"/>
        </w:rPr>
        <w:t xml:space="preserve">ed the </w:t>
      </w:r>
      <w:r w:rsidR="009C6DE8" w:rsidRPr="009C6DE8">
        <w:rPr>
          <w:rFonts w:ascii="Calibri" w:hAnsi="Calibri"/>
          <w:sz w:val="22"/>
          <w:szCs w:val="22"/>
        </w:rPr>
        <w:t>investment</w:t>
      </w:r>
      <w:r w:rsidR="009C6DE8">
        <w:rPr>
          <w:rFonts w:ascii="Calibri" w:hAnsi="Calibri"/>
          <w:sz w:val="22"/>
          <w:szCs w:val="22"/>
        </w:rPr>
        <w:t xml:space="preserve"> since 2017</w:t>
      </w:r>
      <w:r>
        <w:rPr>
          <w:rFonts w:ascii="Calibri" w:hAnsi="Calibri"/>
          <w:sz w:val="22"/>
          <w:szCs w:val="22"/>
        </w:rPr>
        <w:t>. The purpose of the TA is</w:t>
      </w:r>
      <w:r w:rsidR="009C6DE8" w:rsidRPr="009C6DE8">
        <w:rPr>
          <w:rFonts w:ascii="Calibri" w:hAnsi="Calibri"/>
          <w:sz w:val="22"/>
          <w:szCs w:val="22"/>
        </w:rPr>
        <w:t xml:space="preserve"> to: </w:t>
      </w:r>
      <w:proofErr w:type="spellStart"/>
      <w:r w:rsidR="009C6DE8" w:rsidRPr="009C6DE8">
        <w:rPr>
          <w:rFonts w:ascii="Calibri" w:hAnsi="Calibri"/>
          <w:sz w:val="22"/>
          <w:szCs w:val="22"/>
        </w:rPr>
        <w:t>i</w:t>
      </w:r>
      <w:proofErr w:type="spellEnd"/>
      <w:r w:rsidR="009C6DE8" w:rsidRPr="009C6DE8">
        <w:rPr>
          <w:rFonts w:ascii="Calibri" w:hAnsi="Calibri"/>
          <w:sz w:val="22"/>
          <w:szCs w:val="22"/>
        </w:rPr>
        <w:t>) Better understand the production practices of coffee farmers and millers as well as their interaction with the natural environment; ii) Assist the bank in improving their appraisal of sustainability and its integration into lending procedures; and iii) Promote and support the adoption of sustainable practices among coffee producers and millers.</w:t>
      </w:r>
    </w:p>
    <w:p w14:paraId="6E7FF584" w14:textId="0213BE12" w:rsidR="009C6DE8" w:rsidRPr="00D0005A" w:rsidRDefault="009C6DE8" w:rsidP="001B706D">
      <w:pPr>
        <w:pStyle w:val="Normal1"/>
        <w:numPr>
          <w:ilvl w:val="0"/>
          <w:numId w:val="27"/>
        </w:numPr>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sidRPr="001B706D">
        <w:rPr>
          <w:rFonts w:ascii="Calibri" w:hAnsi="Calibri"/>
          <w:sz w:val="22"/>
          <w:szCs w:val="22"/>
        </w:rPr>
        <w:t xml:space="preserve">To guarantee the sustainability of the </w:t>
      </w:r>
      <w:r w:rsidR="00DB4DBB">
        <w:rPr>
          <w:rFonts w:ascii="Calibri" w:hAnsi="Calibri"/>
          <w:sz w:val="22"/>
          <w:szCs w:val="22"/>
        </w:rPr>
        <w:t>EBF</w:t>
      </w:r>
      <w:r w:rsidRPr="001B706D">
        <w:rPr>
          <w:rFonts w:ascii="Calibri" w:hAnsi="Calibri"/>
          <w:sz w:val="22"/>
          <w:szCs w:val="22"/>
        </w:rPr>
        <w:t xml:space="preserve">’s support to cattle ranching and to help </w:t>
      </w:r>
      <w:r w:rsidR="002A2B91">
        <w:rPr>
          <w:rFonts w:ascii="Calibri" w:hAnsi="Calibri"/>
          <w:sz w:val="22"/>
          <w:szCs w:val="22"/>
        </w:rPr>
        <w:t xml:space="preserve">a partner institution </w:t>
      </w:r>
      <w:r w:rsidRPr="001B706D">
        <w:rPr>
          <w:rFonts w:ascii="Calibri" w:hAnsi="Calibri"/>
          <w:sz w:val="22"/>
          <w:szCs w:val="22"/>
        </w:rPr>
        <w:t xml:space="preserve">expand its sustainable livestock portfolio, a </w:t>
      </w:r>
      <w:r w:rsidR="00DB4DBB">
        <w:rPr>
          <w:rFonts w:ascii="Calibri" w:hAnsi="Calibri"/>
          <w:sz w:val="22"/>
          <w:szCs w:val="22"/>
        </w:rPr>
        <w:t>TA</w:t>
      </w:r>
      <w:r w:rsidRPr="001B706D">
        <w:rPr>
          <w:rFonts w:ascii="Calibri" w:hAnsi="Calibri"/>
          <w:sz w:val="22"/>
          <w:szCs w:val="22"/>
        </w:rPr>
        <w:t xml:space="preserve"> pilot project was conducted</w:t>
      </w:r>
      <w:r>
        <w:rPr>
          <w:rFonts w:ascii="Calibri" w:hAnsi="Calibri"/>
          <w:sz w:val="22"/>
          <w:szCs w:val="22"/>
        </w:rPr>
        <w:t xml:space="preserve"> in 2018</w:t>
      </w:r>
      <w:r w:rsidRPr="001B706D">
        <w:rPr>
          <w:rFonts w:ascii="Calibri" w:hAnsi="Calibri"/>
          <w:sz w:val="22"/>
          <w:szCs w:val="22"/>
        </w:rPr>
        <w:t xml:space="preserve"> by the </w:t>
      </w:r>
      <w:r w:rsidR="00DB4DBB">
        <w:rPr>
          <w:rFonts w:ascii="Calibri" w:hAnsi="Calibri"/>
          <w:sz w:val="22"/>
          <w:szCs w:val="22"/>
        </w:rPr>
        <w:t>EBF</w:t>
      </w:r>
      <w:r w:rsidRPr="001B706D">
        <w:rPr>
          <w:rFonts w:ascii="Calibri" w:hAnsi="Calibri"/>
          <w:sz w:val="22"/>
          <w:szCs w:val="22"/>
        </w:rPr>
        <w:t xml:space="preserve"> to develop and test remote-sensing techniques to monitor land-use changes, especially forest losses or gains, in Nicaraguan cattle farms. This project consisted</w:t>
      </w:r>
      <w:r w:rsidR="004B743C">
        <w:rPr>
          <w:rFonts w:ascii="Calibri" w:hAnsi="Calibri"/>
          <w:sz w:val="22"/>
          <w:szCs w:val="22"/>
        </w:rPr>
        <w:t xml:space="preserve"> of</w:t>
      </w:r>
      <w:r w:rsidRPr="001B706D">
        <w:rPr>
          <w:rFonts w:ascii="Calibri" w:hAnsi="Calibri"/>
          <w:sz w:val="22"/>
          <w:szCs w:val="22"/>
        </w:rPr>
        <w:t xml:space="preserve"> capacity building of bank staff (executive managers, credit officers, analysts and social and environmental officers) as well as farmers on  (</w:t>
      </w:r>
      <w:proofErr w:type="spellStart"/>
      <w:r w:rsidRPr="001B706D">
        <w:rPr>
          <w:rFonts w:ascii="Calibri" w:hAnsi="Calibri"/>
          <w:sz w:val="22"/>
          <w:szCs w:val="22"/>
        </w:rPr>
        <w:t>i</w:t>
      </w:r>
      <w:proofErr w:type="spellEnd"/>
      <w:r w:rsidRPr="001B706D">
        <w:rPr>
          <w:rFonts w:ascii="Calibri" w:hAnsi="Calibri"/>
          <w:sz w:val="22"/>
          <w:szCs w:val="22"/>
        </w:rPr>
        <w:t>) the use of GPS for the mapping of farms, (ii) the use of a Satellite Monitoring Dashboard to visuali</w:t>
      </w:r>
      <w:r w:rsidR="00DB4DBB">
        <w:rPr>
          <w:rFonts w:ascii="Calibri" w:hAnsi="Calibri"/>
          <w:sz w:val="22"/>
          <w:szCs w:val="22"/>
        </w:rPr>
        <w:t>s</w:t>
      </w:r>
      <w:r w:rsidRPr="001B706D">
        <w:rPr>
          <w:rFonts w:ascii="Calibri" w:hAnsi="Calibri"/>
          <w:sz w:val="22"/>
          <w:szCs w:val="22"/>
        </w:rPr>
        <w:t>e the compliance of forest protection of a portfolio of farms, (iii) the implementation of sustainable and environmentally friendly practices in the cattle sector, and (iv) the use of modern data collection tools such as tablets to identify and promote these practices.</w:t>
      </w:r>
    </w:p>
    <w:p w14:paraId="3DFAC81B" w14:textId="77777777" w:rsidR="00903F1B" w:rsidRPr="003C7E68" w:rsidRDefault="00903F1B" w:rsidP="003C7E68">
      <w:pPr>
        <w:pStyle w:val="Normal1"/>
        <w:pBdr>
          <w:top w:val="none" w:sz="0" w:space="0" w:color="auto"/>
          <w:left w:val="none" w:sz="0" w:space="0" w:color="auto"/>
          <w:bottom w:val="none" w:sz="0" w:space="0" w:color="auto"/>
          <w:right w:val="none" w:sz="0" w:space="0" w:color="auto"/>
        </w:pBdr>
        <w:spacing w:after="120" w:line="276" w:lineRule="auto"/>
        <w:jc w:val="both"/>
        <w:rPr>
          <w:rFonts w:ascii="Calibri" w:hAnsi="Calibri"/>
          <w:b/>
          <w:sz w:val="22"/>
          <w:szCs w:val="22"/>
        </w:rPr>
      </w:pPr>
      <w:r>
        <w:br w:type="page"/>
      </w:r>
    </w:p>
    <w:p w14:paraId="58DB9716" w14:textId="5319925A" w:rsidR="000004E0" w:rsidRPr="00903F1B" w:rsidRDefault="007D3D39" w:rsidP="004265A7">
      <w:pPr>
        <w:pStyle w:val="Heading2"/>
        <w:rPr>
          <w:i/>
        </w:rPr>
      </w:pPr>
      <w:bookmarkStart w:id="5" w:name="_Toc15984387"/>
      <w:r>
        <w:lastRenderedPageBreak/>
        <w:t>B</w:t>
      </w:r>
      <w:r w:rsidR="000004E0" w:rsidRPr="00D0005A">
        <w:t>: DETAILED OUTPUT SCORING</w:t>
      </w:r>
      <w:bookmarkEnd w:id="5"/>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543"/>
        <w:gridCol w:w="1124"/>
        <w:gridCol w:w="3103"/>
        <w:gridCol w:w="987"/>
      </w:tblGrid>
      <w:tr w:rsidR="000004E0" w:rsidRPr="00D0005A" w14:paraId="40822977" w14:textId="77777777" w:rsidTr="00872C7E">
        <w:trPr>
          <w:trHeight w:val="38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BE5F1"/>
          </w:tcPr>
          <w:p w14:paraId="7B401AAE" w14:textId="77777777" w:rsidR="000004E0" w:rsidRPr="00903F1B" w:rsidRDefault="000004E0" w:rsidP="000004E0">
            <w:pPr>
              <w:pStyle w:val="Normal1"/>
              <w:spacing w:after="120" w:line="276" w:lineRule="auto"/>
              <w:rPr>
                <w:rFonts w:ascii="Calibri" w:hAnsi="Calibri"/>
                <w:b/>
                <w:color w:val="auto"/>
                <w:sz w:val="22"/>
                <w:szCs w:val="22"/>
              </w:rPr>
            </w:pPr>
            <w:r w:rsidRPr="00903F1B">
              <w:rPr>
                <w:rFonts w:ascii="Calibri" w:hAnsi="Calibri"/>
                <w:b/>
                <w:color w:val="auto"/>
                <w:sz w:val="22"/>
                <w:szCs w:val="22"/>
              </w:rPr>
              <w:t xml:space="preserve">Output Title </w:t>
            </w:r>
          </w:p>
        </w:tc>
        <w:tc>
          <w:tcPr>
            <w:tcW w:w="6757" w:type="dxa"/>
            <w:gridSpan w:val="4"/>
            <w:tcBorders>
              <w:top w:val="single" w:sz="4" w:space="0" w:color="000000"/>
              <w:left w:val="single" w:sz="4" w:space="0" w:color="000000"/>
              <w:bottom w:val="single" w:sz="4" w:space="0" w:color="000000"/>
              <w:right w:val="single" w:sz="4" w:space="0" w:color="000000"/>
            </w:tcBorders>
          </w:tcPr>
          <w:p w14:paraId="654C706E" w14:textId="77777777" w:rsidR="000004E0" w:rsidRPr="00903F1B" w:rsidRDefault="00903F1B" w:rsidP="000004E0">
            <w:pPr>
              <w:pStyle w:val="Normal1"/>
              <w:spacing w:after="120" w:line="276" w:lineRule="auto"/>
              <w:rPr>
                <w:rFonts w:ascii="Calibri" w:hAnsi="Calibri"/>
                <w:i/>
                <w:color w:val="auto"/>
                <w:sz w:val="22"/>
                <w:szCs w:val="22"/>
              </w:rPr>
            </w:pPr>
            <w:r w:rsidRPr="00903F1B">
              <w:rPr>
                <w:rFonts w:ascii="Calibri" w:hAnsi="Calibri"/>
                <w:i/>
                <w:color w:val="auto"/>
                <w:sz w:val="22"/>
                <w:szCs w:val="22"/>
              </w:rPr>
              <w:t>Improved partnerships and development of activities with other sector stakeholders</w:t>
            </w:r>
          </w:p>
        </w:tc>
      </w:tr>
      <w:tr w:rsidR="000004E0" w:rsidRPr="00D0005A" w14:paraId="2E784742" w14:textId="77777777" w:rsidTr="00872C7E">
        <w:trPr>
          <w:trHeight w:val="38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BE5F1"/>
          </w:tcPr>
          <w:p w14:paraId="5C7D9D95"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Output number per LF</w:t>
            </w:r>
          </w:p>
        </w:tc>
        <w:tc>
          <w:tcPr>
            <w:tcW w:w="2667" w:type="dxa"/>
            <w:gridSpan w:val="2"/>
            <w:tcBorders>
              <w:top w:val="single" w:sz="4" w:space="0" w:color="000000"/>
              <w:left w:val="single" w:sz="4" w:space="0" w:color="000000"/>
              <w:bottom w:val="single" w:sz="4" w:space="0" w:color="000000"/>
              <w:right w:val="single" w:sz="4" w:space="0" w:color="000000"/>
            </w:tcBorders>
          </w:tcPr>
          <w:p w14:paraId="5A1357C9"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sz w:val="22"/>
                <w:szCs w:val="22"/>
              </w:rPr>
              <w:t>4</w:t>
            </w:r>
          </w:p>
        </w:tc>
        <w:tc>
          <w:tcPr>
            <w:tcW w:w="3103" w:type="dxa"/>
            <w:tcBorders>
              <w:top w:val="single" w:sz="4" w:space="0" w:color="000000"/>
              <w:left w:val="single" w:sz="4" w:space="0" w:color="000000"/>
              <w:bottom w:val="single" w:sz="4" w:space="0" w:color="000000"/>
              <w:right w:val="single" w:sz="4" w:space="0" w:color="000000"/>
            </w:tcBorders>
            <w:shd w:val="clear" w:color="auto" w:fill="DBE5F1"/>
          </w:tcPr>
          <w:p w14:paraId="331BA11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Output Score </w:t>
            </w:r>
          </w:p>
        </w:tc>
        <w:tc>
          <w:tcPr>
            <w:tcW w:w="987" w:type="dxa"/>
            <w:tcBorders>
              <w:top w:val="single" w:sz="4" w:space="0" w:color="000000"/>
              <w:left w:val="single" w:sz="4" w:space="0" w:color="000000"/>
              <w:bottom w:val="single" w:sz="4" w:space="0" w:color="000000"/>
              <w:right w:val="single" w:sz="4" w:space="0" w:color="000000"/>
            </w:tcBorders>
          </w:tcPr>
          <w:p w14:paraId="4600F9B4" w14:textId="77777777" w:rsidR="000004E0" w:rsidRPr="009C0299" w:rsidRDefault="00B900CC" w:rsidP="000004E0">
            <w:pPr>
              <w:pStyle w:val="Normal1"/>
              <w:spacing w:after="120" w:line="276" w:lineRule="auto"/>
              <w:rPr>
                <w:rFonts w:ascii="Calibri" w:hAnsi="Calibri"/>
                <w:color w:val="FF0000"/>
                <w:sz w:val="22"/>
                <w:szCs w:val="22"/>
              </w:rPr>
            </w:pPr>
            <w:r w:rsidRPr="009C0299">
              <w:rPr>
                <w:rFonts w:ascii="Calibri" w:hAnsi="Calibri"/>
                <w:color w:val="auto"/>
                <w:sz w:val="22"/>
                <w:szCs w:val="22"/>
              </w:rPr>
              <w:t>B</w:t>
            </w:r>
          </w:p>
        </w:tc>
      </w:tr>
      <w:tr w:rsidR="000004E0" w:rsidRPr="00D0005A" w14:paraId="1DAAC1D8" w14:textId="77777777" w:rsidTr="00872C7E">
        <w:trPr>
          <w:trHeight w:val="38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BE5F1"/>
          </w:tcPr>
          <w:p w14:paraId="575272C9" w14:textId="77777777" w:rsidR="000004E0" w:rsidRPr="00D0005A" w:rsidRDefault="00872C7E" w:rsidP="000004E0">
            <w:pPr>
              <w:pStyle w:val="Normal1"/>
              <w:spacing w:after="120" w:line="276" w:lineRule="auto"/>
              <w:rPr>
                <w:rFonts w:ascii="Calibri" w:hAnsi="Calibri"/>
                <w:sz w:val="22"/>
                <w:szCs w:val="22"/>
              </w:rPr>
            </w:pPr>
            <w:r>
              <w:rPr>
                <w:rFonts w:ascii="Calibri" w:hAnsi="Calibri"/>
                <w:sz w:val="22"/>
                <w:szCs w:val="22"/>
              </w:rPr>
              <w:t xml:space="preserve">Progress </w:t>
            </w:r>
            <w:r w:rsidR="000004E0" w:rsidRPr="00D0005A">
              <w:rPr>
                <w:rFonts w:ascii="Calibri" w:hAnsi="Calibri"/>
                <w:sz w:val="22"/>
                <w:szCs w:val="22"/>
              </w:rPr>
              <w:t xml:space="preserve">Risk:  </w:t>
            </w:r>
          </w:p>
        </w:tc>
        <w:tc>
          <w:tcPr>
            <w:tcW w:w="2667" w:type="dxa"/>
            <w:gridSpan w:val="2"/>
            <w:tcBorders>
              <w:top w:val="single" w:sz="4" w:space="0" w:color="000000"/>
              <w:left w:val="single" w:sz="4" w:space="0" w:color="000000"/>
              <w:bottom w:val="single" w:sz="4" w:space="0" w:color="000000"/>
              <w:right w:val="single" w:sz="4" w:space="0" w:color="000000"/>
            </w:tcBorders>
          </w:tcPr>
          <w:p w14:paraId="110A719F" w14:textId="77777777" w:rsidR="000004E0" w:rsidRPr="00D0005A" w:rsidRDefault="00C316C6" w:rsidP="000004E0">
            <w:pPr>
              <w:pStyle w:val="Normal1"/>
              <w:spacing w:after="120" w:line="276" w:lineRule="auto"/>
              <w:rPr>
                <w:rFonts w:ascii="Calibri" w:hAnsi="Calibri"/>
                <w:sz w:val="22"/>
                <w:szCs w:val="22"/>
              </w:rPr>
            </w:pPr>
            <w:r>
              <w:rPr>
                <w:rFonts w:ascii="Calibri" w:hAnsi="Calibri"/>
                <w:sz w:val="22"/>
                <w:szCs w:val="22"/>
              </w:rPr>
              <w:t>Moderate</w:t>
            </w:r>
          </w:p>
        </w:tc>
        <w:tc>
          <w:tcPr>
            <w:tcW w:w="3103" w:type="dxa"/>
            <w:tcBorders>
              <w:top w:val="single" w:sz="4" w:space="0" w:color="000000"/>
              <w:left w:val="single" w:sz="4" w:space="0" w:color="000000"/>
              <w:bottom w:val="single" w:sz="4" w:space="0" w:color="000000"/>
              <w:right w:val="single" w:sz="4" w:space="0" w:color="000000"/>
            </w:tcBorders>
            <w:shd w:val="clear" w:color="auto" w:fill="DBE5F1"/>
          </w:tcPr>
          <w:p w14:paraId="58B5AA1E" w14:textId="77777777" w:rsidR="000004E0" w:rsidRPr="00D0005A" w:rsidRDefault="00C316C6" w:rsidP="000004E0">
            <w:pPr>
              <w:pStyle w:val="Normal1"/>
              <w:spacing w:after="120" w:line="276" w:lineRule="auto"/>
              <w:rPr>
                <w:rFonts w:ascii="Calibri" w:hAnsi="Calibri"/>
                <w:sz w:val="22"/>
                <w:szCs w:val="22"/>
              </w:rPr>
            </w:pPr>
            <w:r>
              <w:rPr>
                <w:rFonts w:ascii="Calibri" w:hAnsi="Calibri"/>
                <w:sz w:val="22"/>
                <w:szCs w:val="22"/>
              </w:rPr>
              <w:t>Previous AR score</w:t>
            </w:r>
          </w:p>
        </w:tc>
        <w:tc>
          <w:tcPr>
            <w:tcW w:w="987" w:type="dxa"/>
            <w:tcBorders>
              <w:top w:val="single" w:sz="4" w:space="0" w:color="000000"/>
              <w:left w:val="single" w:sz="4" w:space="0" w:color="000000"/>
              <w:bottom w:val="single" w:sz="4" w:space="0" w:color="000000"/>
              <w:right w:val="single" w:sz="4" w:space="0" w:color="000000"/>
            </w:tcBorders>
          </w:tcPr>
          <w:p w14:paraId="4C4C1412" w14:textId="77777777" w:rsidR="000004E0" w:rsidRPr="00D0005A" w:rsidRDefault="00B900CC" w:rsidP="000004E0">
            <w:pPr>
              <w:pStyle w:val="Normal1"/>
              <w:spacing w:after="120" w:line="276" w:lineRule="auto"/>
              <w:rPr>
                <w:rFonts w:ascii="Calibri" w:hAnsi="Calibri"/>
                <w:sz w:val="22"/>
                <w:szCs w:val="22"/>
              </w:rPr>
            </w:pPr>
            <w:r>
              <w:rPr>
                <w:rFonts w:ascii="Calibri" w:hAnsi="Calibri"/>
                <w:sz w:val="22"/>
                <w:szCs w:val="22"/>
              </w:rPr>
              <w:t>A</w:t>
            </w:r>
          </w:p>
        </w:tc>
      </w:tr>
      <w:tr w:rsidR="00872C7E" w:rsidRPr="00D0005A" w14:paraId="296D4E29" w14:textId="77777777" w:rsidTr="00872C7E">
        <w:trPr>
          <w:gridAfter w:val="3"/>
          <w:wAfter w:w="5214" w:type="dxa"/>
          <w:trHeight w:val="40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BE5F1"/>
          </w:tcPr>
          <w:p w14:paraId="3ADB4400" w14:textId="77777777" w:rsidR="00872C7E" w:rsidRPr="00D0005A" w:rsidRDefault="00872C7E" w:rsidP="00C316C6">
            <w:pPr>
              <w:pStyle w:val="Normal1"/>
              <w:spacing w:after="120" w:line="276" w:lineRule="auto"/>
              <w:rPr>
                <w:rFonts w:ascii="Calibri" w:hAnsi="Calibri"/>
                <w:sz w:val="22"/>
                <w:szCs w:val="22"/>
              </w:rPr>
            </w:pPr>
            <w:r w:rsidRPr="00D0005A">
              <w:rPr>
                <w:rFonts w:ascii="Calibri" w:hAnsi="Calibri"/>
                <w:sz w:val="22"/>
                <w:szCs w:val="22"/>
              </w:rPr>
              <w:t>Impact weighting (%):</w:t>
            </w:r>
          </w:p>
        </w:tc>
        <w:tc>
          <w:tcPr>
            <w:tcW w:w="1543" w:type="dxa"/>
            <w:tcBorders>
              <w:top w:val="single" w:sz="4" w:space="0" w:color="000000"/>
              <w:left w:val="single" w:sz="4" w:space="0" w:color="000000"/>
              <w:bottom w:val="single" w:sz="4" w:space="0" w:color="000000"/>
              <w:right w:val="single" w:sz="4" w:space="0" w:color="000000"/>
            </w:tcBorders>
          </w:tcPr>
          <w:p w14:paraId="08CC8740" w14:textId="77777777" w:rsidR="00872C7E" w:rsidRDefault="00872C7E" w:rsidP="00C316C6">
            <w:pPr>
              <w:pStyle w:val="Normal1"/>
              <w:spacing w:after="120" w:line="276" w:lineRule="auto"/>
              <w:rPr>
                <w:rFonts w:ascii="Calibri" w:hAnsi="Calibri"/>
                <w:sz w:val="22"/>
                <w:szCs w:val="22"/>
              </w:rPr>
            </w:pPr>
            <w:r>
              <w:rPr>
                <w:rFonts w:ascii="Calibri" w:hAnsi="Calibri"/>
                <w:sz w:val="22"/>
                <w:szCs w:val="22"/>
              </w:rPr>
              <w:t>15%</w:t>
            </w:r>
          </w:p>
        </w:tc>
      </w:tr>
      <w:tr w:rsidR="00872C7E" w:rsidRPr="00D0005A" w14:paraId="56E02948" w14:textId="77777777" w:rsidTr="00872C7E">
        <w:trPr>
          <w:gridAfter w:val="3"/>
          <w:wAfter w:w="5214" w:type="dxa"/>
          <w:trHeight w:val="80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BE5F1"/>
          </w:tcPr>
          <w:p w14:paraId="615C3F4D" w14:textId="175E0D5E" w:rsidR="00872C7E" w:rsidRPr="00D0005A" w:rsidRDefault="00872C7E" w:rsidP="00C316C6">
            <w:pPr>
              <w:pStyle w:val="Normal1"/>
              <w:spacing w:after="120" w:line="276" w:lineRule="auto"/>
              <w:rPr>
                <w:rFonts w:ascii="Calibri" w:hAnsi="Calibri"/>
                <w:sz w:val="22"/>
                <w:szCs w:val="22"/>
              </w:rPr>
            </w:pPr>
            <w:r w:rsidRPr="00D0005A">
              <w:rPr>
                <w:rFonts w:ascii="Calibri" w:hAnsi="Calibri"/>
                <w:sz w:val="22"/>
                <w:szCs w:val="22"/>
              </w:rPr>
              <w:t>Impact wei</w:t>
            </w:r>
            <w:r w:rsidR="009C0299">
              <w:rPr>
                <w:rFonts w:ascii="Calibri" w:hAnsi="Calibri"/>
                <w:sz w:val="22"/>
                <w:szCs w:val="22"/>
              </w:rPr>
              <w:t>ghting % revised since last AR</w:t>
            </w:r>
          </w:p>
        </w:tc>
        <w:tc>
          <w:tcPr>
            <w:tcW w:w="1543" w:type="dxa"/>
            <w:tcBorders>
              <w:top w:val="single" w:sz="4" w:space="0" w:color="000000"/>
              <w:left w:val="single" w:sz="4" w:space="0" w:color="000000"/>
              <w:bottom w:val="single" w:sz="4" w:space="0" w:color="000000"/>
              <w:right w:val="single" w:sz="4" w:space="0" w:color="000000"/>
            </w:tcBorders>
          </w:tcPr>
          <w:p w14:paraId="2AF566F5" w14:textId="77777777" w:rsidR="00872C7E" w:rsidRPr="00D0005A" w:rsidRDefault="00872C7E" w:rsidP="00C316C6">
            <w:pPr>
              <w:pStyle w:val="Normal1"/>
              <w:spacing w:after="120" w:line="276" w:lineRule="auto"/>
              <w:rPr>
                <w:rFonts w:ascii="Calibri" w:hAnsi="Calibri"/>
                <w:sz w:val="22"/>
                <w:szCs w:val="22"/>
              </w:rPr>
            </w:pPr>
            <w:r>
              <w:rPr>
                <w:rFonts w:ascii="Calibri" w:hAnsi="Calibri"/>
                <w:sz w:val="22"/>
                <w:szCs w:val="22"/>
              </w:rPr>
              <w:t>N/A</w:t>
            </w:r>
          </w:p>
          <w:p w14:paraId="237B93C1" w14:textId="77777777" w:rsidR="00872C7E" w:rsidRPr="00D0005A" w:rsidRDefault="00872C7E" w:rsidP="00C316C6">
            <w:pPr>
              <w:pStyle w:val="Normal1"/>
              <w:spacing w:after="120" w:line="276" w:lineRule="auto"/>
              <w:rPr>
                <w:rFonts w:ascii="Calibri" w:hAnsi="Calibri"/>
                <w:sz w:val="22"/>
                <w:szCs w:val="22"/>
              </w:rPr>
            </w:pPr>
          </w:p>
        </w:tc>
      </w:tr>
    </w:tbl>
    <w:p w14:paraId="709C84A6" w14:textId="77777777" w:rsidR="000004E0" w:rsidRPr="00D0005A" w:rsidRDefault="000004E0" w:rsidP="00F2322F">
      <w:pPr>
        <w:pStyle w:val="Normal1"/>
        <w:spacing w:after="120" w:line="276" w:lineRule="auto"/>
        <w:rPr>
          <w:rFonts w:ascii="Calibri" w:hAnsi="Calibri"/>
          <w:b/>
          <w:sz w:val="22"/>
          <w:szCs w:val="22"/>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2268"/>
        <w:gridCol w:w="1559"/>
      </w:tblGrid>
      <w:tr w:rsidR="000004E0" w:rsidRPr="00D0005A" w14:paraId="122DF47C" w14:textId="77777777" w:rsidTr="00F2322F">
        <w:trPr>
          <w:trHeight w:val="260"/>
        </w:trPr>
        <w:tc>
          <w:tcPr>
            <w:tcW w:w="5529" w:type="dxa"/>
            <w:tcBorders>
              <w:top w:val="single" w:sz="4" w:space="0" w:color="000000"/>
              <w:left w:val="single" w:sz="4" w:space="0" w:color="000000"/>
              <w:bottom w:val="single" w:sz="4" w:space="0" w:color="000000"/>
              <w:right w:val="single" w:sz="4" w:space="0" w:color="000000"/>
            </w:tcBorders>
            <w:shd w:val="clear" w:color="auto" w:fill="DBE5F1"/>
          </w:tcPr>
          <w:p w14:paraId="3F99B7C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Indicator(s)</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072D626F"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Milestones</w:t>
            </w:r>
            <w:r w:rsidR="00903F1B">
              <w:rPr>
                <w:rFonts w:ascii="Calibri" w:hAnsi="Calibri"/>
                <w:b/>
                <w:sz w:val="22"/>
                <w:szCs w:val="22"/>
              </w:rPr>
              <w:t xml:space="preserve"> (baseline)</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7325F4D1" w14:textId="77777777" w:rsidR="000004E0" w:rsidRPr="00D0005A" w:rsidRDefault="000004E0" w:rsidP="000004E0">
            <w:pPr>
              <w:pStyle w:val="Normal1"/>
              <w:spacing w:after="120" w:line="276" w:lineRule="auto"/>
              <w:rPr>
                <w:rFonts w:ascii="Calibri" w:hAnsi="Calibri"/>
                <w:b/>
                <w:sz w:val="22"/>
                <w:szCs w:val="22"/>
              </w:rPr>
            </w:pPr>
            <w:r w:rsidRPr="00D0005A">
              <w:rPr>
                <w:rFonts w:ascii="Calibri" w:hAnsi="Calibri"/>
                <w:b/>
                <w:sz w:val="22"/>
                <w:szCs w:val="22"/>
              </w:rPr>
              <w:t xml:space="preserve">Progress </w:t>
            </w:r>
          </w:p>
        </w:tc>
      </w:tr>
      <w:tr w:rsidR="000004E0" w:rsidRPr="00D0005A" w14:paraId="53FB54B9" w14:textId="77777777" w:rsidTr="00F2322F">
        <w:tc>
          <w:tcPr>
            <w:tcW w:w="5529" w:type="dxa"/>
            <w:tcBorders>
              <w:top w:val="single" w:sz="4" w:space="0" w:color="000000"/>
              <w:left w:val="single" w:sz="4" w:space="0" w:color="000000"/>
              <w:bottom w:val="single" w:sz="4" w:space="0" w:color="000000"/>
              <w:right w:val="single" w:sz="4" w:space="0" w:color="000000"/>
            </w:tcBorders>
          </w:tcPr>
          <w:p w14:paraId="0808E495" w14:textId="77777777" w:rsidR="000004E0" w:rsidRPr="00D0005A" w:rsidRDefault="00DE0D62" w:rsidP="000004E0">
            <w:pPr>
              <w:pStyle w:val="Normal1"/>
              <w:spacing w:after="120" w:line="276" w:lineRule="auto"/>
              <w:rPr>
                <w:rFonts w:ascii="Calibri" w:hAnsi="Calibri"/>
                <w:sz w:val="22"/>
                <w:szCs w:val="22"/>
              </w:rPr>
            </w:pPr>
            <w:r>
              <w:rPr>
                <w:rFonts w:ascii="Calibri" w:hAnsi="Calibri"/>
                <w:sz w:val="22"/>
                <w:szCs w:val="22"/>
              </w:rPr>
              <w:t xml:space="preserve">4.1. </w:t>
            </w:r>
            <w:r w:rsidR="00903F1B" w:rsidRPr="00903F1B">
              <w:rPr>
                <w:rFonts w:ascii="Calibri" w:hAnsi="Calibri"/>
                <w:sz w:val="22"/>
                <w:szCs w:val="22"/>
              </w:rPr>
              <w:t>Number of external events organised for the EBF</w:t>
            </w:r>
          </w:p>
        </w:tc>
        <w:tc>
          <w:tcPr>
            <w:tcW w:w="2268" w:type="dxa"/>
            <w:tcBorders>
              <w:top w:val="single" w:sz="4" w:space="0" w:color="000000"/>
              <w:left w:val="single" w:sz="4" w:space="0" w:color="000000"/>
              <w:bottom w:val="single" w:sz="4" w:space="0" w:color="000000"/>
              <w:right w:val="single" w:sz="4" w:space="0" w:color="000000"/>
            </w:tcBorders>
          </w:tcPr>
          <w:p w14:paraId="5835F00F" w14:textId="77777777" w:rsidR="000004E0" w:rsidRPr="00D0005A" w:rsidRDefault="00B0411E" w:rsidP="009C0299">
            <w:pPr>
              <w:pStyle w:val="Normal1"/>
              <w:spacing w:after="120" w:line="276" w:lineRule="auto"/>
              <w:jc w:val="center"/>
              <w:rPr>
                <w:rFonts w:ascii="Calibri" w:hAnsi="Calibri"/>
                <w:sz w:val="22"/>
                <w:szCs w:val="22"/>
              </w:rPr>
            </w:pPr>
            <w:r>
              <w:rPr>
                <w:rFonts w:ascii="Calibri" w:hAnsi="Calibri"/>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14:paraId="284757AD" w14:textId="77777777" w:rsidR="000004E0" w:rsidRPr="00D0005A" w:rsidRDefault="00B0411E" w:rsidP="009C0299">
            <w:pPr>
              <w:pStyle w:val="Normal1"/>
              <w:spacing w:after="120" w:line="276" w:lineRule="auto"/>
              <w:jc w:val="center"/>
              <w:rPr>
                <w:rFonts w:ascii="Calibri" w:hAnsi="Calibri"/>
                <w:sz w:val="22"/>
                <w:szCs w:val="22"/>
              </w:rPr>
            </w:pPr>
            <w:r>
              <w:rPr>
                <w:rFonts w:ascii="Calibri" w:hAnsi="Calibri"/>
                <w:sz w:val="22"/>
                <w:szCs w:val="22"/>
              </w:rPr>
              <w:t>18</w:t>
            </w:r>
          </w:p>
        </w:tc>
      </w:tr>
      <w:tr w:rsidR="000004E0" w:rsidRPr="00D0005A" w14:paraId="682B548C" w14:textId="77777777" w:rsidTr="00F2322F">
        <w:tc>
          <w:tcPr>
            <w:tcW w:w="5529" w:type="dxa"/>
            <w:tcBorders>
              <w:top w:val="single" w:sz="4" w:space="0" w:color="000000"/>
              <w:left w:val="single" w:sz="4" w:space="0" w:color="000000"/>
              <w:bottom w:val="single" w:sz="4" w:space="0" w:color="000000"/>
              <w:right w:val="single" w:sz="4" w:space="0" w:color="000000"/>
            </w:tcBorders>
          </w:tcPr>
          <w:p w14:paraId="6BEE24FB" w14:textId="77777777" w:rsidR="000004E0" w:rsidRPr="00D0005A" w:rsidRDefault="00DE0D62" w:rsidP="000004E0">
            <w:pPr>
              <w:pStyle w:val="Normal1"/>
              <w:spacing w:after="120" w:line="276" w:lineRule="auto"/>
              <w:rPr>
                <w:rFonts w:ascii="Calibri" w:hAnsi="Calibri"/>
                <w:sz w:val="22"/>
                <w:szCs w:val="22"/>
              </w:rPr>
            </w:pPr>
            <w:r>
              <w:rPr>
                <w:rFonts w:ascii="Calibri" w:hAnsi="Calibri"/>
                <w:sz w:val="22"/>
                <w:szCs w:val="22"/>
              </w:rPr>
              <w:t xml:space="preserve">4.2. </w:t>
            </w:r>
            <w:r w:rsidR="00903F1B" w:rsidRPr="00903F1B">
              <w:rPr>
                <w:rFonts w:ascii="Calibri" w:hAnsi="Calibri"/>
                <w:sz w:val="22"/>
                <w:szCs w:val="22"/>
              </w:rPr>
              <w:t>Number of events EBF has participated in</w:t>
            </w:r>
          </w:p>
        </w:tc>
        <w:tc>
          <w:tcPr>
            <w:tcW w:w="2268" w:type="dxa"/>
            <w:tcBorders>
              <w:top w:val="single" w:sz="4" w:space="0" w:color="000000"/>
              <w:left w:val="single" w:sz="4" w:space="0" w:color="000000"/>
              <w:bottom w:val="single" w:sz="4" w:space="0" w:color="000000"/>
              <w:right w:val="single" w:sz="4" w:space="0" w:color="000000"/>
            </w:tcBorders>
          </w:tcPr>
          <w:p w14:paraId="2A0DA0FA" w14:textId="77777777" w:rsidR="000004E0" w:rsidRPr="00D0005A" w:rsidRDefault="00B0411E" w:rsidP="009C0299">
            <w:pPr>
              <w:pStyle w:val="Normal1"/>
              <w:spacing w:after="120" w:line="276" w:lineRule="auto"/>
              <w:jc w:val="center"/>
              <w:rPr>
                <w:rFonts w:ascii="Calibri" w:hAnsi="Calibri"/>
                <w:sz w:val="22"/>
                <w:szCs w:val="22"/>
              </w:rPr>
            </w:pPr>
            <w:r>
              <w:rPr>
                <w:rFonts w:ascii="Calibri" w:hAnsi="Calibri"/>
                <w:sz w:val="22"/>
                <w:szCs w:val="22"/>
              </w:rPr>
              <w:t>42</w:t>
            </w:r>
          </w:p>
        </w:tc>
        <w:tc>
          <w:tcPr>
            <w:tcW w:w="1559" w:type="dxa"/>
            <w:tcBorders>
              <w:top w:val="single" w:sz="4" w:space="0" w:color="000000"/>
              <w:left w:val="single" w:sz="4" w:space="0" w:color="000000"/>
              <w:bottom w:val="single" w:sz="4" w:space="0" w:color="000000"/>
              <w:right w:val="single" w:sz="4" w:space="0" w:color="000000"/>
            </w:tcBorders>
          </w:tcPr>
          <w:p w14:paraId="67E570F5" w14:textId="77777777" w:rsidR="000004E0" w:rsidRPr="00D0005A" w:rsidRDefault="00B0411E" w:rsidP="009C0299">
            <w:pPr>
              <w:pStyle w:val="Normal1"/>
              <w:spacing w:after="120" w:line="276" w:lineRule="auto"/>
              <w:jc w:val="center"/>
              <w:rPr>
                <w:rFonts w:ascii="Calibri" w:hAnsi="Calibri"/>
                <w:sz w:val="22"/>
                <w:szCs w:val="22"/>
              </w:rPr>
            </w:pPr>
            <w:r>
              <w:rPr>
                <w:rFonts w:ascii="Calibri" w:hAnsi="Calibri"/>
                <w:sz w:val="22"/>
                <w:szCs w:val="22"/>
              </w:rPr>
              <w:t>34</w:t>
            </w:r>
          </w:p>
        </w:tc>
      </w:tr>
      <w:tr w:rsidR="000004E0" w:rsidRPr="00D0005A" w14:paraId="28F8692A" w14:textId="77777777" w:rsidTr="00A5364C">
        <w:trPr>
          <w:trHeight w:val="614"/>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1576E20" w14:textId="02EC2205" w:rsidR="000004E0" w:rsidRPr="00913906" w:rsidRDefault="00DE0D62" w:rsidP="00DB4DBB">
            <w:pPr>
              <w:pStyle w:val="Normal1"/>
              <w:spacing w:after="120" w:line="276" w:lineRule="auto"/>
              <w:rPr>
                <w:rFonts w:ascii="Calibri" w:hAnsi="Calibri"/>
                <w:sz w:val="22"/>
                <w:szCs w:val="22"/>
              </w:rPr>
            </w:pPr>
            <w:r w:rsidRPr="00913906">
              <w:rPr>
                <w:rFonts w:ascii="Calibri" w:hAnsi="Calibri"/>
                <w:sz w:val="22"/>
                <w:szCs w:val="22"/>
              </w:rPr>
              <w:t xml:space="preserve">4.3. </w:t>
            </w:r>
            <w:r w:rsidR="00903F1B" w:rsidRPr="00913906">
              <w:rPr>
                <w:rFonts w:ascii="Calibri" w:hAnsi="Calibri"/>
                <w:sz w:val="22"/>
                <w:szCs w:val="22"/>
              </w:rPr>
              <w:t>Number of investments reali</w:t>
            </w:r>
            <w:r w:rsidR="00DB4DBB" w:rsidRPr="00A710B7">
              <w:rPr>
                <w:rFonts w:ascii="Calibri" w:hAnsi="Calibri"/>
                <w:sz w:val="22"/>
                <w:szCs w:val="22"/>
              </w:rPr>
              <w:t>s</w:t>
            </w:r>
            <w:r w:rsidR="00903F1B" w:rsidRPr="00913906">
              <w:rPr>
                <w:rFonts w:ascii="Calibri" w:hAnsi="Calibri"/>
                <w:sz w:val="22"/>
                <w:szCs w:val="22"/>
              </w:rPr>
              <w:t>ed by the Fund in partnership with other institutions (e.g. syndicated loans)</w:t>
            </w:r>
          </w:p>
        </w:tc>
        <w:tc>
          <w:tcPr>
            <w:tcW w:w="2268" w:type="dxa"/>
            <w:tcBorders>
              <w:top w:val="single" w:sz="4" w:space="0" w:color="000000"/>
              <w:left w:val="single" w:sz="4" w:space="0" w:color="000000"/>
              <w:bottom w:val="single" w:sz="4" w:space="0" w:color="000000"/>
              <w:right w:val="single" w:sz="4" w:space="0" w:color="000000"/>
            </w:tcBorders>
          </w:tcPr>
          <w:p w14:paraId="7228B7B6" w14:textId="568B29F5" w:rsidR="000004E0" w:rsidRPr="00913906" w:rsidRDefault="00495BC3" w:rsidP="009C0299">
            <w:pPr>
              <w:pStyle w:val="Normal1"/>
              <w:spacing w:after="120" w:line="276" w:lineRule="auto"/>
              <w:jc w:val="center"/>
              <w:rPr>
                <w:rFonts w:ascii="Calibri" w:hAnsi="Calibri"/>
                <w:sz w:val="22"/>
                <w:szCs w:val="22"/>
              </w:rPr>
            </w:pPr>
            <w:r>
              <w:rPr>
                <w:rFonts w:ascii="Calibri" w:hAnsi="Calibri"/>
                <w:sz w:val="22"/>
                <w:szCs w:val="22"/>
              </w:rPr>
              <w:t>n/a</w:t>
            </w:r>
          </w:p>
        </w:tc>
        <w:tc>
          <w:tcPr>
            <w:tcW w:w="1559" w:type="dxa"/>
            <w:tcBorders>
              <w:top w:val="single" w:sz="4" w:space="0" w:color="000000"/>
              <w:left w:val="single" w:sz="4" w:space="0" w:color="000000"/>
              <w:bottom w:val="single" w:sz="4" w:space="0" w:color="000000"/>
              <w:right w:val="single" w:sz="4" w:space="0" w:color="000000"/>
            </w:tcBorders>
          </w:tcPr>
          <w:p w14:paraId="1F1CA526" w14:textId="1D822F8B" w:rsidR="000004E0" w:rsidRPr="00913906" w:rsidRDefault="00C10B89" w:rsidP="009C0299">
            <w:pPr>
              <w:pStyle w:val="Normal1"/>
              <w:spacing w:after="120" w:line="276" w:lineRule="auto"/>
              <w:jc w:val="center"/>
              <w:rPr>
                <w:rFonts w:ascii="Calibri" w:hAnsi="Calibri"/>
                <w:sz w:val="22"/>
                <w:szCs w:val="22"/>
              </w:rPr>
            </w:pPr>
            <w:r>
              <w:rPr>
                <w:rFonts w:ascii="Calibri" w:hAnsi="Calibri"/>
                <w:sz w:val="22"/>
                <w:szCs w:val="22"/>
              </w:rPr>
              <w:t>3</w:t>
            </w:r>
          </w:p>
        </w:tc>
      </w:tr>
      <w:tr w:rsidR="000004E0" w:rsidRPr="00D0005A" w14:paraId="311DB878" w14:textId="77777777" w:rsidTr="00A5364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CE7393D" w14:textId="77777777" w:rsidR="000004E0" w:rsidRPr="00913906" w:rsidRDefault="00DE0D62" w:rsidP="000004E0">
            <w:pPr>
              <w:pStyle w:val="Normal1"/>
              <w:spacing w:after="120" w:line="276" w:lineRule="auto"/>
              <w:rPr>
                <w:rFonts w:ascii="Calibri" w:hAnsi="Calibri"/>
                <w:sz w:val="22"/>
                <w:szCs w:val="22"/>
              </w:rPr>
            </w:pPr>
            <w:r w:rsidRPr="00913906">
              <w:rPr>
                <w:rFonts w:ascii="Calibri" w:hAnsi="Calibri"/>
                <w:sz w:val="22"/>
                <w:szCs w:val="22"/>
              </w:rPr>
              <w:t xml:space="preserve">4.4. </w:t>
            </w:r>
            <w:r w:rsidR="00F13C08" w:rsidRPr="00A710B7">
              <w:rPr>
                <w:rFonts w:ascii="Calibri" w:hAnsi="Calibri"/>
                <w:sz w:val="22"/>
                <w:szCs w:val="22"/>
              </w:rPr>
              <w:t>Investments realis</w:t>
            </w:r>
            <w:r w:rsidR="00903F1B" w:rsidRPr="00913906">
              <w:rPr>
                <w:rFonts w:ascii="Calibri" w:hAnsi="Calibri"/>
                <w:sz w:val="22"/>
                <w:szCs w:val="22"/>
              </w:rPr>
              <w:t>ed by the Fund in partnership with other institutions (USD millions)</w:t>
            </w:r>
            <w:r w:rsidR="00643685" w:rsidRPr="00913906">
              <w:rPr>
                <w:rFonts w:ascii="Calibri" w:hAnsi="Calibri"/>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2D8BAFDB" w14:textId="6CEE8510" w:rsidR="000004E0" w:rsidRPr="00913906" w:rsidRDefault="00495BC3" w:rsidP="009C0299">
            <w:pPr>
              <w:pStyle w:val="Normal1"/>
              <w:spacing w:after="120" w:line="276" w:lineRule="auto"/>
              <w:jc w:val="center"/>
              <w:rPr>
                <w:rFonts w:ascii="Calibri" w:hAnsi="Calibri"/>
                <w:sz w:val="22"/>
                <w:szCs w:val="22"/>
              </w:rPr>
            </w:pPr>
            <w:r>
              <w:rPr>
                <w:rFonts w:ascii="Calibri" w:hAnsi="Calibri"/>
                <w:sz w:val="22"/>
                <w:szCs w:val="22"/>
              </w:rPr>
              <w:t>n/a</w:t>
            </w:r>
          </w:p>
        </w:tc>
        <w:tc>
          <w:tcPr>
            <w:tcW w:w="1559" w:type="dxa"/>
            <w:tcBorders>
              <w:top w:val="single" w:sz="4" w:space="0" w:color="000000"/>
              <w:left w:val="single" w:sz="4" w:space="0" w:color="000000"/>
              <w:bottom w:val="single" w:sz="4" w:space="0" w:color="000000"/>
              <w:right w:val="single" w:sz="4" w:space="0" w:color="000000"/>
            </w:tcBorders>
          </w:tcPr>
          <w:p w14:paraId="62E61E1A" w14:textId="1858E6AB" w:rsidR="000004E0" w:rsidRPr="00913906" w:rsidRDefault="00495BC3" w:rsidP="009C0299">
            <w:pPr>
              <w:pStyle w:val="Normal1"/>
              <w:spacing w:after="120" w:line="276" w:lineRule="auto"/>
              <w:jc w:val="center"/>
              <w:rPr>
                <w:rFonts w:ascii="Calibri" w:hAnsi="Calibri"/>
                <w:sz w:val="22"/>
                <w:szCs w:val="22"/>
              </w:rPr>
            </w:pPr>
            <w:r>
              <w:rPr>
                <w:rFonts w:ascii="Calibri" w:hAnsi="Calibri"/>
                <w:sz w:val="22"/>
                <w:szCs w:val="22"/>
              </w:rPr>
              <w:t>n/a</w:t>
            </w:r>
          </w:p>
        </w:tc>
      </w:tr>
    </w:tbl>
    <w:p w14:paraId="5C3A9215" w14:textId="77777777" w:rsidR="00F2322F" w:rsidRDefault="00F2322F" w:rsidP="00F13C08">
      <w:pPr>
        <w:pStyle w:val="Normal1"/>
        <w:spacing w:after="120" w:line="276" w:lineRule="auto"/>
        <w:jc w:val="both"/>
        <w:rPr>
          <w:rFonts w:ascii="Calibri" w:hAnsi="Calibri"/>
          <w:b/>
          <w:sz w:val="22"/>
          <w:szCs w:val="22"/>
        </w:rPr>
      </w:pPr>
    </w:p>
    <w:p w14:paraId="4E031C33" w14:textId="77777777" w:rsidR="003A5F04" w:rsidRDefault="000004E0" w:rsidP="00F13C08">
      <w:pPr>
        <w:pStyle w:val="Normal1"/>
        <w:spacing w:after="120" w:line="276" w:lineRule="auto"/>
        <w:jc w:val="both"/>
        <w:rPr>
          <w:rFonts w:ascii="Calibri" w:hAnsi="Calibri"/>
          <w:b/>
          <w:sz w:val="22"/>
          <w:szCs w:val="22"/>
        </w:rPr>
      </w:pPr>
      <w:r w:rsidRPr="00D0005A">
        <w:rPr>
          <w:rFonts w:ascii="Calibri" w:hAnsi="Calibri"/>
          <w:b/>
          <w:sz w:val="22"/>
          <w:szCs w:val="22"/>
        </w:rPr>
        <w:t>Key Points</w:t>
      </w:r>
    </w:p>
    <w:p w14:paraId="7A436999" w14:textId="425D21F0" w:rsidR="009C0299" w:rsidRDefault="009C0299" w:rsidP="009C0299">
      <w:pPr>
        <w:pStyle w:val="Normal1"/>
        <w:spacing w:after="120" w:line="276" w:lineRule="auto"/>
        <w:jc w:val="both"/>
        <w:rPr>
          <w:rFonts w:ascii="Calibri" w:hAnsi="Calibri"/>
          <w:sz w:val="22"/>
          <w:szCs w:val="22"/>
        </w:rPr>
      </w:pPr>
      <w:r>
        <w:rPr>
          <w:rFonts w:ascii="Calibri" w:hAnsi="Calibri"/>
          <w:sz w:val="22"/>
          <w:szCs w:val="22"/>
        </w:rPr>
        <w:t xml:space="preserve">EBF exceeded milestones for indicator 4.1, increasing the number of EBF organised events from 14, in 2017 to 18, in 2017.  EBF missed meeting the milestone for indicator </w:t>
      </w:r>
      <w:r w:rsidR="002A2B91">
        <w:rPr>
          <w:rFonts w:ascii="Calibri" w:hAnsi="Calibri"/>
          <w:sz w:val="22"/>
          <w:szCs w:val="22"/>
        </w:rPr>
        <w:t>4</w:t>
      </w:r>
      <w:r>
        <w:rPr>
          <w:rFonts w:ascii="Calibri" w:hAnsi="Calibri"/>
          <w:sz w:val="22"/>
          <w:szCs w:val="22"/>
        </w:rPr>
        <w:t>.</w:t>
      </w:r>
      <w:r w:rsidR="00495BC3">
        <w:rPr>
          <w:rFonts w:ascii="Calibri" w:hAnsi="Calibri"/>
          <w:sz w:val="22"/>
          <w:szCs w:val="22"/>
        </w:rPr>
        <w:t>2</w:t>
      </w:r>
      <w:r>
        <w:rPr>
          <w:rFonts w:ascii="Calibri" w:hAnsi="Calibri"/>
          <w:sz w:val="22"/>
          <w:szCs w:val="22"/>
        </w:rPr>
        <w:t xml:space="preserve"> and 4.3. </w:t>
      </w:r>
    </w:p>
    <w:p w14:paraId="5C083DF0" w14:textId="77777777" w:rsidR="00A5364C" w:rsidRDefault="009C0299" w:rsidP="00F13C08">
      <w:pPr>
        <w:pStyle w:val="Normal1"/>
        <w:spacing w:after="120" w:line="276" w:lineRule="auto"/>
        <w:jc w:val="both"/>
        <w:rPr>
          <w:rFonts w:ascii="Calibri" w:hAnsi="Calibri"/>
          <w:sz w:val="22"/>
          <w:szCs w:val="22"/>
        </w:rPr>
      </w:pPr>
      <w:r>
        <w:rPr>
          <w:rFonts w:ascii="Calibri" w:hAnsi="Calibri"/>
          <w:sz w:val="22"/>
          <w:szCs w:val="22"/>
        </w:rPr>
        <w:t xml:space="preserve">* </w:t>
      </w:r>
      <w:r w:rsidR="003A5F04">
        <w:rPr>
          <w:rFonts w:ascii="Calibri" w:hAnsi="Calibri"/>
          <w:sz w:val="22"/>
          <w:szCs w:val="22"/>
        </w:rPr>
        <w:t xml:space="preserve">In the previous AR it was </w:t>
      </w:r>
      <w:r w:rsidR="006C2A19">
        <w:rPr>
          <w:rFonts w:ascii="Calibri" w:hAnsi="Calibri"/>
          <w:sz w:val="22"/>
          <w:szCs w:val="22"/>
        </w:rPr>
        <w:t>discussed</w:t>
      </w:r>
      <w:r w:rsidR="003A5F04">
        <w:rPr>
          <w:rFonts w:ascii="Calibri" w:hAnsi="Calibri"/>
          <w:sz w:val="22"/>
          <w:szCs w:val="22"/>
        </w:rPr>
        <w:t xml:space="preserve"> with EBF that output indicator </w:t>
      </w:r>
      <w:r w:rsidR="006C2A19">
        <w:rPr>
          <w:rFonts w:ascii="Calibri" w:hAnsi="Calibri"/>
          <w:sz w:val="22"/>
          <w:szCs w:val="22"/>
        </w:rPr>
        <w:t xml:space="preserve">4.4 </w:t>
      </w:r>
      <w:r w:rsidR="003A5F04">
        <w:rPr>
          <w:rFonts w:ascii="Calibri" w:hAnsi="Calibri"/>
          <w:sz w:val="22"/>
          <w:szCs w:val="22"/>
        </w:rPr>
        <w:t>would not have milestone objectives, i.e</w:t>
      </w:r>
      <w:r w:rsidR="00DB4DBB">
        <w:rPr>
          <w:rFonts w:ascii="Calibri" w:hAnsi="Calibri"/>
          <w:sz w:val="22"/>
          <w:szCs w:val="22"/>
        </w:rPr>
        <w:t>.</w:t>
      </w:r>
      <w:r w:rsidR="003A5F04">
        <w:rPr>
          <w:rFonts w:ascii="Calibri" w:hAnsi="Calibri"/>
          <w:sz w:val="22"/>
          <w:szCs w:val="22"/>
        </w:rPr>
        <w:t xml:space="preserve"> Size of investments (USD) realised by the fund in syndication</w:t>
      </w:r>
      <w:r w:rsidR="006C2A19">
        <w:rPr>
          <w:rFonts w:ascii="Calibri" w:hAnsi="Calibri"/>
          <w:sz w:val="22"/>
          <w:szCs w:val="22"/>
        </w:rPr>
        <w:t>, because we have no explicit objectives to target by this indicator</w:t>
      </w:r>
      <w:r w:rsidR="003A5F04">
        <w:rPr>
          <w:rFonts w:ascii="Calibri" w:hAnsi="Calibri"/>
          <w:sz w:val="22"/>
          <w:szCs w:val="22"/>
        </w:rPr>
        <w:t xml:space="preserve">. Therefore, although </w:t>
      </w:r>
      <w:r w:rsidR="006116AB">
        <w:rPr>
          <w:rFonts w:ascii="Calibri" w:hAnsi="Calibri"/>
          <w:sz w:val="22"/>
          <w:szCs w:val="22"/>
        </w:rPr>
        <w:t>the indicator</w:t>
      </w:r>
      <w:r w:rsidR="003A5F04">
        <w:rPr>
          <w:rFonts w:ascii="Calibri" w:hAnsi="Calibri"/>
          <w:sz w:val="22"/>
          <w:szCs w:val="22"/>
        </w:rPr>
        <w:t xml:space="preserve"> will still be monitored within the </w:t>
      </w:r>
      <w:proofErr w:type="spellStart"/>
      <w:r w:rsidR="003A5F04">
        <w:rPr>
          <w:rFonts w:ascii="Calibri" w:hAnsi="Calibri"/>
          <w:sz w:val="22"/>
          <w:szCs w:val="22"/>
        </w:rPr>
        <w:t>log</w:t>
      </w:r>
      <w:r w:rsidR="00CE7CA3">
        <w:rPr>
          <w:rFonts w:ascii="Calibri" w:hAnsi="Calibri"/>
          <w:sz w:val="22"/>
          <w:szCs w:val="22"/>
        </w:rPr>
        <w:t>frame</w:t>
      </w:r>
      <w:proofErr w:type="spellEnd"/>
      <w:r w:rsidR="003A5F04">
        <w:rPr>
          <w:rFonts w:ascii="Calibri" w:hAnsi="Calibri"/>
          <w:sz w:val="22"/>
          <w:szCs w:val="22"/>
        </w:rPr>
        <w:t xml:space="preserve">, it will not </w:t>
      </w:r>
      <w:r w:rsidR="006116AB">
        <w:rPr>
          <w:rFonts w:ascii="Calibri" w:hAnsi="Calibri"/>
          <w:sz w:val="22"/>
          <w:szCs w:val="22"/>
        </w:rPr>
        <w:t>contribute to a score</w:t>
      </w:r>
      <w:r w:rsidR="003A5F04">
        <w:rPr>
          <w:rFonts w:ascii="Calibri" w:hAnsi="Calibri"/>
          <w:sz w:val="22"/>
          <w:szCs w:val="22"/>
        </w:rPr>
        <w:t>.</w:t>
      </w:r>
    </w:p>
    <w:p w14:paraId="62107DA2" w14:textId="465C3FCC" w:rsidR="000004E0" w:rsidRDefault="000004E0" w:rsidP="00F13C08">
      <w:pPr>
        <w:pStyle w:val="Normal1"/>
        <w:spacing w:after="120" w:line="276" w:lineRule="auto"/>
        <w:jc w:val="both"/>
        <w:rPr>
          <w:rFonts w:ascii="Calibri" w:hAnsi="Calibri"/>
          <w:b/>
          <w:sz w:val="22"/>
          <w:szCs w:val="22"/>
        </w:rPr>
      </w:pPr>
      <w:r w:rsidRPr="00D0005A">
        <w:rPr>
          <w:rFonts w:ascii="Calibri" w:hAnsi="Calibri"/>
          <w:b/>
          <w:sz w:val="22"/>
          <w:szCs w:val="22"/>
        </w:rPr>
        <w:t>Progress:</w:t>
      </w:r>
    </w:p>
    <w:p w14:paraId="2DB0A411" w14:textId="77777777" w:rsidR="00903F1B" w:rsidRDefault="00903F1B" w:rsidP="00903F1B">
      <w:pPr>
        <w:pStyle w:val="Normal1"/>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sidRPr="00D0005A">
        <w:rPr>
          <w:rFonts w:ascii="Calibri" w:hAnsi="Calibri"/>
          <w:sz w:val="22"/>
          <w:szCs w:val="22"/>
        </w:rPr>
        <w:t xml:space="preserve">Sponsoring/participation in events: </w:t>
      </w:r>
    </w:p>
    <w:p w14:paraId="6C92EF73" w14:textId="433D0F4E" w:rsidR="00BE7F72" w:rsidRPr="00D0005A" w:rsidRDefault="00B900CC" w:rsidP="00903F1B">
      <w:pPr>
        <w:pStyle w:val="Normal1"/>
        <w:pBdr>
          <w:top w:val="none" w:sz="0" w:space="0" w:color="auto"/>
          <w:left w:val="none" w:sz="0" w:space="0" w:color="auto"/>
          <w:bottom w:val="none" w:sz="0" w:space="0" w:color="auto"/>
          <w:right w:val="none" w:sz="0" w:space="0" w:color="auto"/>
        </w:pBdr>
        <w:tabs>
          <w:tab w:val="left" w:pos="6915"/>
          <w:tab w:val="left" w:pos="9495"/>
        </w:tabs>
        <w:spacing w:after="120" w:line="276" w:lineRule="auto"/>
        <w:jc w:val="both"/>
        <w:rPr>
          <w:rFonts w:ascii="Calibri" w:hAnsi="Calibri"/>
          <w:sz w:val="22"/>
          <w:szCs w:val="22"/>
        </w:rPr>
      </w:pPr>
      <w:r w:rsidRPr="00B900CC">
        <w:rPr>
          <w:rFonts w:ascii="Calibri" w:hAnsi="Calibri"/>
          <w:sz w:val="22"/>
          <w:szCs w:val="22"/>
        </w:rPr>
        <w:t xml:space="preserve">The fund’s </w:t>
      </w:r>
      <w:r w:rsidR="009C0299">
        <w:rPr>
          <w:rFonts w:ascii="Calibri" w:hAnsi="Calibri"/>
          <w:sz w:val="22"/>
          <w:szCs w:val="22"/>
        </w:rPr>
        <w:t>DF</w:t>
      </w:r>
      <w:r w:rsidRPr="00B900CC">
        <w:rPr>
          <w:rFonts w:ascii="Calibri" w:hAnsi="Calibri"/>
          <w:sz w:val="22"/>
          <w:szCs w:val="22"/>
        </w:rPr>
        <w:t xml:space="preserve"> co-sponsored the participation of 20 representatives</w:t>
      </w:r>
      <w:r w:rsidR="00DB4DBB">
        <w:rPr>
          <w:rFonts w:ascii="Calibri" w:hAnsi="Calibri"/>
          <w:sz w:val="22"/>
          <w:szCs w:val="22"/>
        </w:rPr>
        <w:t xml:space="preserve"> from </w:t>
      </w:r>
      <w:r w:rsidRPr="00B900CC">
        <w:rPr>
          <w:rFonts w:ascii="Calibri" w:hAnsi="Calibri"/>
          <w:sz w:val="22"/>
          <w:szCs w:val="22"/>
        </w:rPr>
        <w:t xml:space="preserve">several existing or potential partner institutions </w:t>
      </w:r>
      <w:r w:rsidR="00DB4DBB">
        <w:rPr>
          <w:rFonts w:ascii="Calibri" w:hAnsi="Calibri"/>
          <w:sz w:val="22"/>
          <w:szCs w:val="22"/>
        </w:rPr>
        <w:t xml:space="preserve">in </w:t>
      </w:r>
      <w:r w:rsidRPr="00B900CC">
        <w:rPr>
          <w:rFonts w:ascii="Calibri" w:hAnsi="Calibri"/>
          <w:sz w:val="22"/>
          <w:szCs w:val="22"/>
        </w:rPr>
        <w:t>the 2018 Sustainability Week (Lima, Peru)</w:t>
      </w:r>
      <w:r w:rsidR="00DB4DBB">
        <w:rPr>
          <w:rFonts w:ascii="Calibri" w:hAnsi="Calibri"/>
          <w:sz w:val="22"/>
          <w:szCs w:val="22"/>
        </w:rPr>
        <w:t xml:space="preserve">. The </w:t>
      </w:r>
      <w:r w:rsidR="006116AB" w:rsidRPr="00B900CC">
        <w:rPr>
          <w:rFonts w:ascii="Calibri" w:hAnsi="Calibri"/>
          <w:sz w:val="22"/>
          <w:szCs w:val="22"/>
        </w:rPr>
        <w:t>gathering</w:t>
      </w:r>
      <w:r w:rsidR="006116AB">
        <w:rPr>
          <w:rFonts w:ascii="Calibri" w:hAnsi="Calibri"/>
          <w:sz w:val="22"/>
          <w:szCs w:val="22"/>
        </w:rPr>
        <w:t xml:space="preserve">, </w:t>
      </w:r>
      <w:r w:rsidR="006116AB" w:rsidRPr="00B900CC">
        <w:rPr>
          <w:rFonts w:ascii="Calibri" w:hAnsi="Calibri"/>
          <w:sz w:val="22"/>
          <w:szCs w:val="22"/>
        </w:rPr>
        <w:t>organised</w:t>
      </w:r>
      <w:r w:rsidRPr="00B900CC">
        <w:rPr>
          <w:rFonts w:ascii="Calibri" w:hAnsi="Calibri"/>
          <w:sz w:val="22"/>
          <w:szCs w:val="22"/>
        </w:rPr>
        <w:t xml:space="preserve"> by</w:t>
      </w:r>
      <w:r w:rsidR="009C0299">
        <w:rPr>
          <w:rFonts w:ascii="Calibri" w:hAnsi="Calibri"/>
          <w:sz w:val="22"/>
          <w:szCs w:val="22"/>
        </w:rPr>
        <w:t xml:space="preserve"> the Inter-American Development Bank (</w:t>
      </w:r>
      <w:r w:rsidRPr="00B900CC">
        <w:rPr>
          <w:rFonts w:ascii="Calibri" w:hAnsi="Calibri"/>
          <w:sz w:val="22"/>
          <w:szCs w:val="22"/>
        </w:rPr>
        <w:t>IDB</w:t>
      </w:r>
      <w:r w:rsidR="009C0299">
        <w:rPr>
          <w:rFonts w:ascii="Calibri" w:hAnsi="Calibri"/>
          <w:sz w:val="22"/>
          <w:szCs w:val="22"/>
        </w:rPr>
        <w:t>)</w:t>
      </w:r>
      <w:r w:rsidRPr="00B900CC">
        <w:rPr>
          <w:rFonts w:ascii="Calibri" w:hAnsi="Calibri"/>
          <w:sz w:val="22"/>
          <w:szCs w:val="22"/>
        </w:rPr>
        <w:t xml:space="preserve"> </w:t>
      </w:r>
      <w:r w:rsidR="006116AB" w:rsidRPr="00B900CC">
        <w:rPr>
          <w:rFonts w:ascii="Calibri" w:hAnsi="Calibri"/>
          <w:sz w:val="22"/>
          <w:szCs w:val="22"/>
        </w:rPr>
        <w:t xml:space="preserve">Invest, </w:t>
      </w:r>
      <w:r w:rsidR="006116AB">
        <w:rPr>
          <w:rFonts w:ascii="Calibri" w:hAnsi="Calibri"/>
          <w:sz w:val="22"/>
          <w:szCs w:val="22"/>
        </w:rPr>
        <w:t>is</w:t>
      </w:r>
      <w:r w:rsidRPr="00B900CC">
        <w:rPr>
          <w:rFonts w:ascii="Calibri" w:hAnsi="Calibri"/>
          <w:sz w:val="22"/>
          <w:szCs w:val="22"/>
        </w:rPr>
        <w:t xml:space="preserve"> one of the main forums on sustainability and sustainable finance in Latin America. </w:t>
      </w:r>
      <w:r w:rsidR="00DB4DBB">
        <w:rPr>
          <w:rFonts w:ascii="Calibri" w:hAnsi="Calibri"/>
          <w:sz w:val="22"/>
          <w:szCs w:val="22"/>
        </w:rPr>
        <w:t xml:space="preserve">Participation was co-sponsored as it presented </w:t>
      </w:r>
      <w:r w:rsidR="006116AB">
        <w:rPr>
          <w:rFonts w:ascii="Calibri" w:hAnsi="Calibri"/>
          <w:sz w:val="22"/>
          <w:szCs w:val="22"/>
        </w:rPr>
        <w:t xml:space="preserve">a </w:t>
      </w:r>
      <w:r w:rsidR="006116AB" w:rsidRPr="00B900CC">
        <w:rPr>
          <w:rFonts w:ascii="Calibri" w:hAnsi="Calibri"/>
          <w:sz w:val="22"/>
          <w:szCs w:val="22"/>
        </w:rPr>
        <w:t>unique</w:t>
      </w:r>
      <w:r w:rsidRPr="00B900CC">
        <w:rPr>
          <w:rFonts w:ascii="Calibri" w:hAnsi="Calibri"/>
          <w:sz w:val="22"/>
          <w:szCs w:val="22"/>
        </w:rPr>
        <w:t xml:space="preserve"> opportunity for </w:t>
      </w:r>
      <w:r w:rsidR="00DB4DBB">
        <w:rPr>
          <w:rFonts w:ascii="Calibri" w:hAnsi="Calibri"/>
          <w:sz w:val="22"/>
          <w:szCs w:val="22"/>
        </w:rPr>
        <w:t xml:space="preserve">the representatives </w:t>
      </w:r>
      <w:r w:rsidRPr="00B900CC">
        <w:rPr>
          <w:rFonts w:ascii="Calibri" w:hAnsi="Calibri"/>
          <w:sz w:val="22"/>
          <w:szCs w:val="22"/>
        </w:rPr>
        <w:t xml:space="preserve">to exchange </w:t>
      </w:r>
      <w:r w:rsidR="00DB4DBB">
        <w:rPr>
          <w:rFonts w:ascii="Calibri" w:hAnsi="Calibri"/>
          <w:sz w:val="22"/>
          <w:szCs w:val="22"/>
        </w:rPr>
        <w:t xml:space="preserve">knowledge </w:t>
      </w:r>
      <w:r w:rsidRPr="00B900CC">
        <w:rPr>
          <w:rFonts w:ascii="Calibri" w:hAnsi="Calibri"/>
          <w:sz w:val="22"/>
          <w:szCs w:val="22"/>
        </w:rPr>
        <w:t>on international best practices on sustainability in the sector,</w:t>
      </w:r>
      <w:r w:rsidR="00DB4DBB">
        <w:rPr>
          <w:rFonts w:ascii="Calibri" w:hAnsi="Calibri"/>
          <w:sz w:val="22"/>
          <w:szCs w:val="22"/>
        </w:rPr>
        <w:t xml:space="preserve"> to</w:t>
      </w:r>
      <w:r w:rsidRPr="00B900CC">
        <w:rPr>
          <w:rFonts w:ascii="Calibri" w:hAnsi="Calibri"/>
          <w:sz w:val="22"/>
          <w:szCs w:val="22"/>
        </w:rPr>
        <w:t xml:space="preserve"> connect with potential investors </w:t>
      </w:r>
      <w:r w:rsidR="00DB4DBB">
        <w:rPr>
          <w:rFonts w:ascii="Calibri" w:hAnsi="Calibri"/>
          <w:sz w:val="22"/>
          <w:szCs w:val="22"/>
        </w:rPr>
        <w:t xml:space="preserve">and </w:t>
      </w:r>
      <w:r w:rsidRPr="00B900CC">
        <w:rPr>
          <w:rFonts w:ascii="Calibri" w:hAnsi="Calibri"/>
          <w:sz w:val="22"/>
          <w:szCs w:val="22"/>
        </w:rPr>
        <w:t>clients</w:t>
      </w:r>
      <w:r w:rsidR="00DB4DBB">
        <w:rPr>
          <w:rFonts w:ascii="Calibri" w:hAnsi="Calibri"/>
          <w:sz w:val="22"/>
          <w:szCs w:val="22"/>
        </w:rPr>
        <w:t xml:space="preserve">, </w:t>
      </w:r>
      <w:r w:rsidRPr="00B900CC">
        <w:rPr>
          <w:rFonts w:ascii="Calibri" w:hAnsi="Calibri"/>
          <w:sz w:val="22"/>
          <w:szCs w:val="22"/>
        </w:rPr>
        <w:t>and</w:t>
      </w:r>
      <w:r w:rsidR="00DB4DBB">
        <w:rPr>
          <w:rFonts w:ascii="Calibri" w:hAnsi="Calibri"/>
          <w:sz w:val="22"/>
          <w:szCs w:val="22"/>
        </w:rPr>
        <w:t xml:space="preserve"> to </w:t>
      </w:r>
      <w:r w:rsidRPr="00B900CC">
        <w:rPr>
          <w:rFonts w:ascii="Calibri" w:hAnsi="Calibri"/>
          <w:sz w:val="22"/>
          <w:szCs w:val="22"/>
        </w:rPr>
        <w:t>strengthen their network in the sustainable finance industry</w:t>
      </w:r>
      <w:r w:rsidRPr="00C33888">
        <w:rPr>
          <w:rFonts w:ascii="Calibri" w:hAnsi="Calibri"/>
          <w:sz w:val="22"/>
          <w:szCs w:val="22"/>
        </w:rPr>
        <w:t xml:space="preserve">. Three partner institutions of the fund, were invited to exchange with peers about </w:t>
      </w:r>
      <w:r w:rsidR="006116AB" w:rsidRPr="00C33888">
        <w:rPr>
          <w:rFonts w:ascii="Calibri" w:hAnsi="Calibri"/>
          <w:sz w:val="22"/>
          <w:szCs w:val="22"/>
        </w:rPr>
        <w:t>Environmental and Social Management Systems (</w:t>
      </w:r>
      <w:r w:rsidRPr="00C33888">
        <w:rPr>
          <w:rFonts w:ascii="Calibri" w:hAnsi="Calibri"/>
          <w:sz w:val="22"/>
          <w:szCs w:val="22"/>
        </w:rPr>
        <w:t>ESMS</w:t>
      </w:r>
      <w:r w:rsidR="006116AB" w:rsidRPr="00C33888">
        <w:rPr>
          <w:rFonts w:ascii="Calibri" w:hAnsi="Calibri"/>
          <w:sz w:val="22"/>
          <w:szCs w:val="22"/>
        </w:rPr>
        <w:t>)</w:t>
      </w:r>
      <w:r w:rsidRPr="00C33888">
        <w:rPr>
          <w:rFonts w:ascii="Calibri" w:hAnsi="Calibri"/>
          <w:sz w:val="22"/>
          <w:szCs w:val="22"/>
        </w:rPr>
        <w:t xml:space="preserve"> design</w:t>
      </w:r>
      <w:r w:rsidRPr="00B900CC">
        <w:rPr>
          <w:rFonts w:ascii="Calibri" w:hAnsi="Calibri"/>
          <w:sz w:val="22"/>
          <w:szCs w:val="22"/>
        </w:rPr>
        <w:t xml:space="preserve"> and implementation, a topic on which they received tec</w:t>
      </w:r>
      <w:r>
        <w:rPr>
          <w:rFonts w:ascii="Calibri" w:hAnsi="Calibri"/>
          <w:sz w:val="22"/>
          <w:szCs w:val="22"/>
        </w:rPr>
        <w:t>hnical assistance from the fund.</w:t>
      </w:r>
    </w:p>
    <w:p w14:paraId="5BF8EF5C" w14:textId="77777777" w:rsidR="000004E0" w:rsidRDefault="000004E0" w:rsidP="000004E0">
      <w:pPr>
        <w:pStyle w:val="Normal1"/>
        <w:spacing w:after="120" w:line="276" w:lineRule="auto"/>
        <w:jc w:val="both"/>
        <w:rPr>
          <w:rFonts w:ascii="Calibri" w:hAnsi="Calibri"/>
          <w:b/>
          <w:sz w:val="22"/>
          <w:szCs w:val="22"/>
        </w:rPr>
      </w:pPr>
      <w:r w:rsidRPr="00777F88">
        <w:rPr>
          <w:rFonts w:ascii="Calibri" w:hAnsi="Calibri"/>
          <w:b/>
          <w:sz w:val="22"/>
          <w:szCs w:val="22"/>
        </w:rPr>
        <w:t>Issues</w:t>
      </w:r>
      <w:r w:rsidR="00E904AC">
        <w:rPr>
          <w:rFonts w:ascii="Calibri" w:hAnsi="Calibri"/>
          <w:b/>
          <w:sz w:val="22"/>
          <w:szCs w:val="22"/>
        </w:rPr>
        <w:t>/risks</w:t>
      </w:r>
      <w:r w:rsidRPr="00777F88">
        <w:rPr>
          <w:rFonts w:ascii="Calibri" w:hAnsi="Calibri"/>
          <w:b/>
          <w:sz w:val="22"/>
          <w:szCs w:val="22"/>
        </w:rPr>
        <w:t>:</w:t>
      </w:r>
    </w:p>
    <w:p w14:paraId="78037B81" w14:textId="18FF7457" w:rsidR="00DB4DBB" w:rsidRDefault="006A27CE" w:rsidP="000004E0">
      <w:pPr>
        <w:pStyle w:val="Normal1"/>
        <w:spacing w:after="120" w:line="276" w:lineRule="auto"/>
        <w:jc w:val="both"/>
        <w:rPr>
          <w:rFonts w:ascii="Calibri" w:hAnsi="Calibri"/>
          <w:sz w:val="22"/>
          <w:szCs w:val="22"/>
        </w:rPr>
      </w:pPr>
      <w:r>
        <w:rPr>
          <w:rFonts w:ascii="Calibri" w:hAnsi="Calibri"/>
          <w:sz w:val="22"/>
          <w:szCs w:val="22"/>
        </w:rPr>
        <w:lastRenderedPageBreak/>
        <w:t xml:space="preserve">Indicators 4.1 and 4.2 within output </w:t>
      </w:r>
      <w:r w:rsidR="004927EF">
        <w:rPr>
          <w:rFonts w:ascii="Calibri" w:hAnsi="Calibri"/>
          <w:sz w:val="22"/>
          <w:szCs w:val="22"/>
        </w:rPr>
        <w:t>4 remain challenging to set milestones</w:t>
      </w:r>
      <w:r w:rsidR="00DB4DBB">
        <w:rPr>
          <w:rFonts w:ascii="Calibri" w:hAnsi="Calibri"/>
          <w:sz w:val="22"/>
          <w:szCs w:val="22"/>
        </w:rPr>
        <w:t xml:space="preserve"> for. </w:t>
      </w:r>
      <w:r w:rsidR="004927EF">
        <w:rPr>
          <w:rFonts w:ascii="Calibri" w:hAnsi="Calibri"/>
          <w:sz w:val="22"/>
          <w:szCs w:val="22"/>
        </w:rPr>
        <w:t>EBF attends and organises a variety of events</w:t>
      </w:r>
      <w:r w:rsidR="00DB4DBB">
        <w:rPr>
          <w:rFonts w:ascii="Calibri" w:hAnsi="Calibri"/>
          <w:sz w:val="22"/>
          <w:szCs w:val="22"/>
        </w:rPr>
        <w:t>. These have differing degrees of importance, reach, and associated prioritisation by EBF</w:t>
      </w:r>
      <w:r w:rsidR="00A70CB0">
        <w:rPr>
          <w:rFonts w:ascii="Calibri" w:hAnsi="Calibri"/>
          <w:sz w:val="22"/>
          <w:szCs w:val="22"/>
        </w:rPr>
        <w:t xml:space="preserve">. </w:t>
      </w:r>
      <w:r w:rsidR="00DB4DBB">
        <w:rPr>
          <w:rFonts w:ascii="Calibri" w:hAnsi="Calibri"/>
          <w:sz w:val="22"/>
          <w:szCs w:val="22"/>
        </w:rPr>
        <w:t xml:space="preserve">The target set were exceeded in the preceding AR in contrast to a failure to meet the targets set in this AR period. It is </w:t>
      </w:r>
      <w:r w:rsidR="00A70CB0">
        <w:rPr>
          <w:rFonts w:ascii="Calibri" w:hAnsi="Calibri"/>
          <w:sz w:val="22"/>
          <w:szCs w:val="22"/>
        </w:rPr>
        <w:t xml:space="preserve">recommended </w:t>
      </w:r>
      <w:r w:rsidR="00DB4DBB">
        <w:rPr>
          <w:rFonts w:ascii="Calibri" w:hAnsi="Calibri"/>
          <w:sz w:val="22"/>
          <w:szCs w:val="22"/>
        </w:rPr>
        <w:t xml:space="preserve">that the indicators are re-evaluated to that they meaningfully report on progress towards improved partnerships and engagement with sectoral stakeholders. </w:t>
      </w:r>
    </w:p>
    <w:p w14:paraId="5119D2D3" w14:textId="77777777" w:rsidR="000004E0" w:rsidRPr="00D0005A" w:rsidRDefault="000004E0" w:rsidP="000004E0">
      <w:pPr>
        <w:pStyle w:val="Normal1"/>
        <w:spacing w:after="120" w:line="276" w:lineRule="auto"/>
        <w:jc w:val="both"/>
        <w:rPr>
          <w:rFonts w:ascii="Calibri" w:hAnsi="Calibri"/>
          <w:b/>
          <w:sz w:val="22"/>
          <w:szCs w:val="22"/>
        </w:rPr>
      </w:pPr>
      <w:r w:rsidRPr="00D0005A">
        <w:rPr>
          <w:rFonts w:ascii="Calibri" w:hAnsi="Calibri"/>
          <w:b/>
          <w:sz w:val="22"/>
          <w:szCs w:val="22"/>
        </w:rPr>
        <w:t>Recommendations:</w:t>
      </w:r>
    </w:p>
    <w:p w14:paraId="66B9D11A" w14:textId="2C56B89E" w:rsidR="000004E0" w:rsidRPr="00D0005A" w:rsidRDefault="005E21E2" w:rsidP="009C0299">
      <w:pPr>
        <w:pStyle w:val="ListParagraph"/>
        <w:numPr>
          <w:ilvl w:val="0"/>
          <w:numId w:val="37"/>
        </w:numPr>
        <w:spacing w:before="0"/>
      </w:pPr>
      <w:r>
        <w:t xml:space="preserve">Re-evaluate </w:t>
      </w:r>
      <w:r w:rsidR="00510E3B">
        <w:t xml:space="preserve">how the indicators contribute towards the overall output and </w:t>
      </w:r>
      <w:r w:rsidR="003C5D74">
        <w:t>overall</w:t>
      </w:r>
      <w:r>
        <w:t xml:space="preserve"> outcome of EBF investment.</w:t>
      </w:r>
      <w:r w:rsidR="000004E0" w:rsidRPr="00D0005A">
        <w:br w:type="page"/>
      </w:r>
    </w:p>
    <w:p w14:paraId="0197B43B" w14:textId="34B0F007" w:rsidR="000004E0" w:rsidRPr="00D0005A" w:rsidRDefault="007D3D39" w:rsidP="004265A7">
      <w:pPr>
        <w:pStyle w:val="Heading2"/>
        <w:rPr>
          <w:i/>
        </w:rPr>
      </w:pPr>
      <w:bookmarkStart w:id="6" w:name="_Toc15984388"/>
      <w:r>
        <w:lastRenderedPageBreak/>
        <w:t>C</w:t>
      </w:r>
      <w:r w:rsidR="000004E0" w:rsidRPr="00D0005A">
        <w:t>: VALUE FOR MONEY</w:t>
      </w:r>
      <w:r w:rsidR="00510E3B">
        <w:t xml:space="preserve"> (</w:t>
      </w:r>
      <w:proofErr w:type="spellStart"/>
      <w:r w:rsidR="00510E3B">
        <w:t>VfM</w:t>
      </w:r>
      <w:proofErr w:type="spellEnd"/>
      <w:r w:rsidR="00510E3B">
        <w:t>)</w:t>
      </w:r>
      <w:r w:rsidR="000004E0" w:rsidRPr="00D0005A">
        <w:t xml:space="preserve"> </w:t>
      </w:r>
      <w:r w:rsidR="00510E3B">
        <w:t>and</w:t>
      </w:r>
      <w:r w:rsidR="000004E0" w:rsidRPr="00D0005A">
        <w:t xml:space="preserve"> FINANCIAL PERFORMANCE</w:t>
      </w:r>
      <w:bookmarkEnd w:id="6"/>
    </w:p>
    <w:p w14:paraId="33E9F07C" w14:textId="77777777" w:rsidR="000004E0" w:rsidRPr="00D0005A" w:rsidRDefault="000004E0" w:rsidP="000004E0">
      <w:pPr>
        <w:pStyle w:val="Normal1"/>
        <w:spacing w:after="120" w:line="276" w:lineRule="auto"/>
        <w:rPr>
          <w:rFonts w:ascii="Calibri" w:hAnsi="Calibri"/>
          <w:b/>
          <w:sz w:val="22"/>
          <w:szCs w:val="22"/>
        </w:rPr>
      </w:pPr>
      <w:proofErr w:type="spellStart"/>
      <w:r w:rsidRPr="00D0005A">
        <w:rPr>
          <w:rFonts w:ascii="Calibri" w:hAnsi="Calibri"/>
          <w:b/>
          <w:sz w:val="22"/>
          <w:szCs w:val="22"/>
        </w:rPr>
        <w:t>VfM</w:t>
      </w:r>
      <w:proofErr w:type="spellEnd"/>
      <w:r w:rsidRPr="00D0005A">
        <w:rPr>
          <w:rFonts w:ascii="Calibri" w:hAnsi="Calibri"/>
          <w:b/>
          <w:sz w:val="22"/>
          <w:szCs w:val="22"/>
        </w:rPr>
        <w:t xml:space="preserve"> performance compared to the original </w:t>
      </w:r>
      <w:proofErr w:type="spellStart"/>
      <w:r w:rsidRPr="00D0005A">
        <w:rPr>
          <w:rFonts w:ascii="Calibri" w:hAnsi="Calibri"/>
          <w:b/>
          <w:sz w:val="22"/>
          <w:szCs w:val="22"/>
        </w:rPr>
        <w:t>VfM</w:t>
      </w:r>
      <w:proofErr w:type="spellEnd"/>
      <w:r w:rsidRPr="00D0005A">
        <w:rPr>
          <w:rFonts w:ascii="Calibri" w:hAnsi="Calibri"/>
          <w:b/>
          <w:sz w:val="22"/>
          <w:szCs w:val="22"/>
        </w:rPr>
        <w:t xml:space="preserve"> proposition in the business case </w:t>
      </w:r>
    </w:p>
    <w:p w14:paraId="30BB8F9A" w14:textId="77777777" w:rsidR="00570F59" w:rsidRDefault="00284ECC" w:rsidP="00284ECC">
      <w:pPr>
        <w:pStyle w:val="Normal1"/>
        <w:spacing w:after="120" w:line="276" w:lineRule="auto"/>
        <w:jc w:val="both"/>
        <w:rPr>
          <w:rFonts w:ascii="Calibri" w:hAnsi="Calibri"/>
          <w:i/>
          <w:sz w:val="22"/>
          <w:szCs w:val="22"/>
        </w:rPr>
      </w:pPr>
      <w:r w:rsidRPr="002F0726">
        <w:rPr>
          <w:rFonts w:ascii="Calibri" w:hAnsi="Calibri"/>
          <w:b/>
          <w:i/>
          <w:sz w:val="22"/>
          <w:szCs w:val="22"/>
        </w:rPr>
        <w:t>Economy:</w:t>
      </w:r>
      <w:r w:rsidR="00D877B4" w:rsidRPr="002F0726">
        <w:rPr>
          <w:rFonts w:ascii="Calibri" w:hAnsi="Calibri"/>
          <w:b/>
          <w:i/>
          <w:sz w:val="22"/>
          <w:szCs w:val="22"/>
        </w:rPr>
        <w:t xml:space="preserve"> </w:t>
      </w:r>
    </w:p>
    <w:p w14:paraId="4AA47FF2" w14:textId="16FCAF38" w:rsidR="007D3D39" w:rsidRDefault="00DA1966" w:rsidP="00284ECC">
      <w:pPr>
        <w:pStyle w:val="Normal1"/>
        <w:spacing w:after="120" w:line="276" w:lineRule="auto"/>
        <w:jc w:val="both"/>
        <w:rPr>
          <w:rFonts w:ascii="Calibri" w:hAnsi="Calibri"/>
          <w:sz w:val="22"/>
          <w:szCs w:val="22"/>
        </w:rPr>
      </w:pPr>
      <w:r>
        <w:rPr>
          <w:rFonts w:ascii="Calibri" w:hAnsi="Calibri"/>
          <w:sz w:val="22"/>
          <w:szCs w:val="22"/>
        </w:rPr>
        <w:t>Total operating costs</w:t>
      </w:r>
      <w:r w:rsidR="00570F59">
        <w:rPr>
          <w:rFonts w:ascii="Calibri" w:hAnsi="Calibri"/>
          <w:sz w:val="22"/>
          <w:szCs w:val="22"/>
        </w:rPr>
        <w:t xml:space="preserve"> </w:t>
      </w:r>
      <w:proofErr w:type="spellStart"/>
      <w:r w:rsidR="00570F59">
        <w:rPr>
          <w:rFonts w:ascii="Calibri" w:hAnsi="Calibri"/>
          <w:sz w:val="22"/>
          <w:szCs w:val="22"/>
        </w:rPr>
        <w:t>costs</w:t>
      </w:r>
      <w:proofErr w:type="spellEnd"/>
      <w:r w:rsidR="00570F59">
        <w:rPr>
          <w:rFonts w:ascii="Calibri" w:hAnsi="Calibri"/>
          <w:sz w:val="22"/>
          <w:szCs w:val="22"/>
        </w:rPr>
        <w:t xml:space="preserve"> are covered directly from returns on capital of the fund. The remaining income will be redistributed to the shareholders, via </w:t>
      </w:r>
      <w:r w:rsidR="007C385B">
        <w:rPr>
          <w:rFonts w:ascii="Calibri" w:hAnsi="Calibri"/>
          <w:sz w:val="22"/>
          <w:szCs w:val="22"/>
        </w:rPr>
        <w:t xml:space="preserve">the </w:t>
      </w:r>
      <w:r w:rsidR="00570F59">
        <w:rPr>
          <w:rFonts w:ascii="Calibri" w:hAnsi="Calibri"/>
          <w:sz w:val="22"/>
          <w:szCs w:val="22"/>
        </w:rPr>
        <w:t>income waterfall.</w:t>
      </w:r>
      <w:r w:rsidR="007D3D39">
        <w:rPr>
          <w:rFonts w:ascii="Calibri" w:hAnsi="Calibri"/>
          <w:sz w:val="22"/>
          <w:szCs w:val="22"/>
        </w:rPr>
        <w:t xml:space="preserve"> The income waterfall will ensure that more senior debt and shareholdings are paid first, before complementary dividends are paid to the Junior Shareholders (Defra). </w:t>
      </w:r>
    </w:p>
    <w:p w14:paraId="2680E206" w14:textId="43CF48CF" w:rsidR="00D37D65" w:rsidRPr="007D3D39" w:rsidRDefault="007D3D39" w:rsidP="00284ECC">
      <w:pPr>
        <w:pStyle w:val="Normal1"/>
        <w:spacing w:after="120" w:line="276" w:lineRule="auto"/>
        <w:jc w:val="both"/>
        <w:rPr>
          <w:rFonts w:ascii="Calibri" w:hAnsi="Calibri"/>
          <w:sz w:val="22"/>
          <w:szCs w:val="22"/>
        </w:rPr>
      </w:pPr>
      <w:r>
        <w:rPr>
          <w:rFonts w:ascii="Calibri" w:hAnsi="Calibri"/>
          <w:sz w:val="22"/>
          <w:szCs w:val="22"/>
        </w:rPr>
        <w:t xml:space="preserve">In 2018 the </w:t>
      </w:r>
      <w:r w:rsidR="00570F59">
        <w:rPr>
          <w:rFonts w:ascii="Calibri" w:hAnsi="Calibri"/>
          <w:sz w:val="22"/>
          <w:szCs w:val="22"/>
        </w:rPr>
        <w:t>fund income has exceeded costs</w:t>
      </w:r>
      <w:r w:rsidR="00510E3B">
        <w:rPr>
          <w:rFonts w:ascii="Calibri" w:hAnsi="Calibri"/>
          <w:sz w:val="22"/>
          <w:szCs w:val="22"/>
        </w:rPr>
        <w:t>. T</w:t>
      </w:r>
      <w:r w:rsidR="00A04BEF">
        <w:rPr>
          <w:rFonts w:ascii="Calibri" w:hAnsi="Calibri"/>
          <w:sz w:val="22"/>
          <w:szCs w:val="22"/>
        </w:rPr>
        <w:t>he value of Defra</w:t>
      </w:r>
      <w:r w:rsidR="00510E3B">
        <w:rPr>
          <w:rFonts w:ascii="Calibri" w:hAnsi="Calibri"/>
          <w:sz w:val="22"/>
          <w:szCs w:val="22"/>
        </w:rPr>
        <w:t>’s</w:t>
      </w:r>
      <w:r w:rsidR="00A04BEF">
        <w:rPr>
          <w:rFonts w:ascii="Calibri" w:hAnsi="Calibri"/>
          <w:sz w:val="22"/>
          <w:szCs w:val="22"/>
        </w:rPr>
        <w:t xml:space="preserve"> shares value </w:t>
      </w:r>
      <w:r>
        <w:rPr>
          <w:rFonts w:ascii="Calibri" w:hAnsi="Calibri"/>
          <w:sz w:val="22"/>
          <w:szCs w:val="22"/>
        </w:rPr>
        <w:t>has increased</w:t>
      </w:r>
      <w:r w:rsidR="00570F59">
        <w:rPr>
          <w:rFonts w:ascii="Calibri" w:hAnsi="Calibri"/>
          <w:sz w:val="22"/>
          <w:szCs w:val="22"/>
        </w:rPr>
        <w:t xml:space="preserve"> slightly</w:t>
      </w:r>
      <w:r w:rsidR="00A04BEF">
        <w:rPr>
          <w:rFonts w:ascii="Calibri" w:hAnsi="Calibri"/>
          <w:sz w:val="22"/>
          <w:szCs w:val="22"/>
        </w:rPr>
        <w:t xml:space="preserve"> </w:t>
      </w:r>
      <w:r>
        <w:rPr>
          <w:rFonts w:ascii="Calibri" w:hAnsi="Calibri"/>
          <w:sz w:val="22"/>
          <w:szCs w:val="22"/>
        </w:rPr>
        <w:t>from</w:t>
      </w:r>
      <w:r w:rsidR="00510E3B">
        <w:rPr>
          <w:rFonts w:ascii="Calibri" w:hAnsi="Calibri"/>
          <w:sz w:val="22"/>
          <w:szCs w:val="22"/>
        </w:rPr>
        <w:t xml:space="preserve"> </w:t>
      </w:r>
      <w:r w:rsidR="00A04BEF">
        <w:rPr>
          <w:rFonts w:ascii="Calibri" w:hAnsi="Calibri"/>
          <w:sz w:val="22"/>
          <w:szCs w:val="22"/>
        </w:rPr>
        <w:t xml:space="preserve">inception </w:t>
      </w:r>
      <w:r>
        <w:rPr>
          <w:rFonts w:ascii="Calibri" w:hAnsi="Calibri"/>
          <w:sz w:val="22"/>
          <w:szCs w:val="22"/>
        </w:rPr>
        <w:t xml:space="preserve">to a </w:t>
      </w:r>
      <w:r w:rsidRPr="00A5364C">
        <w:rPr>
          <w:rFonts w:ascii="Calibri" w:hAnsi="Calibri"/>
          <w:sz w:val="22"/>
          <w:szCs w:val="22"/>
        </w:rPr>
        <w:t>total of</w:t>
      </w:r>
      <w:r w:rsidR="00A04BEF" w:rsidRPr="00A5364C">
        <w:rPr>
          <w:rFonts w:ascii="Calibri" w:hAnsi="Calibri"/>
          <w:sz w:val="22"/>
          <w:szCs w:val="22"/>
        </w:rPr>
        <w:t xml:space="preserve"> 26,182,500</w:t>
      </w:r>
      <w:r w:rsidR="00A04BEF">
        <w:rPr>
          <w:rFonts w:ascii="Calibri" w:hAnsi="Calibri"/>
          <w:sz w:val="22"/>
          <w:szCs w:val="22"/>
        </w:rPr>
        <w:t xml:space="preserve"> USD (Approx. £20.7m at current conversion, compared with</w:t>
      </w:r>
      <w:r>
        <w:rPr>
          <w:rFonts w:ascii="Calibri" w:hAnsi="Calibri"/>
          <w:sz w:val="22"/>
          <w:szCs w:val="22"/>
        </w:rPr>
        <w:t xml:space="preserve"> the</w:t>
      </w:r>
      <w:r w:rsidR="00A04BEF">
        <w:rPr>
          <w:rFonts w:ascii="Calibri" w:hAnsi="Calibri"/>
          <w:sz w:val="22"/>
          <w:szCs w:val="22"/>
        </w:rPr>
        <w:t xml:space="preserve"> £20m investment</w:t>
      </w:r>
      <w:r>
        <w:rPr>
          <w:rFonts w:ascii="Calibri" w:hAnsi="Calibri"/>
          <w:sz w:val="22"/>
          <w:szCs w:val="22"/>
        </w:rPr>
        <w:t xml:space="preserve"> made in 2016</w:t>
      </w:r>
      <w:r w:rsidR="00A04BEF">
        <w:rPr>
          <w:rFonts w:ascii="Calibri" w:hAnsi="Calibri"/>
          <w:sz w:val="22"/>
          <w:szCs w:val="22"/>
        </w:rPr>
        <w:t xml:space="preserve">). </w:t>
      </w:r>
      <w:r w:rsidR="00570F59">
        <w:rPr>
          <w:rFonts w:ascii="Calibri" w:hAnsi="Calibri"/>
          <w:sz w:val="22"/>
          <w:szCs w:val="22"/>
        </w:rPr>
        <w:t xml:space="preserve"> where impairments</w:t>
      </w:r>
      <w:r w:rsidR="002B6D1E">
        <w:rPr>
          <w:rFonts w:ascii="Calibri" w:hAnsi="Calibri"/>
          <w:sz w:val="22"/>
          <w:szCs w:val="22"/>
        </w:rPr>
        <w:t xml:space="preserve"> are applied to shares to buffer/reserve against future loses, although these are not</w:t>
      </w:r>
      <w:r w:rsidR="00B61D4F">
        <w:rPr>
          <w:rFonts w:ascii="Calibri" w:hAnsi="Calibri"/>
          <w:sz w:val="22"/>
          <w:szCs w:val="22"/>
        </w:rPr>
        <w:t xml:space="preserve"> yet</w:t>
      </w:r>
      <w:r w:rsidR="002B6D1E">
        <w:rPr>
          <w:rFonts w:ascii="Calibri" w:hAnsi="Calibri"/>
          <w:sz w:val="22"/>
          <w:szCs w:val="22"/>
        </w:rPr>
        <w:t xml:space="preserve"> realised. </w:t>
      </w:r>
    </w:p>
    <w:p w14:paraId="396BBE8F" w14:textId="77777777" w:rsidR="00284ECC" w:rsidRDefault="00284ECC" w:rsidP="00284ECC">
      <w:pPr>
        <w:pStyle w:val="Normal1"/>
        <w:spacing w:after="120" w:line="276" w:lineRule="auto"/>
        <w:jc w:val="both"/>
        <w:rPr>
          <w:rFonts w:asciiTheme="minorHAnsi" w:hAnsiTheme="minorHAnsi"/>
          <w:i/>
          <w:sz w:val="22"/>
          <w:szCs w:val="22"/>
        </w:rPr>
      </w:pPr>
      <w:r w:rsidRPr="002F0726">
        <w:rPr>
          <w:rFonts w:ascii="Calibri" w:hAnsi="Calibri"/>
          <w:b/>
          <w:i/>
          <w:sz w:val="22"/>
          <w:szCs w:val="22"/>
        </w:rPr>
        <w:t xml:space="preserve">Efficiency: </w:t>
      </w:r>
    </w:p>
    <w:p w14:paraId="6E64D2D5" w14:textId="6CEC42D2" w:rsidR="002B6D1E" w:rsidRPr="002F0726" w:rsidRDefault="00C05C51" w:rsidP="00822BF4">
      <w:pPr>
        <w:pStyle w:val="Normal1"/>
        <w:spacing w:after="120" w:line="276" w:lineRule="auto"/>
        <w:jc w:val="both"/>
        <w:rPr>
          <w:rFonts w:ascii="Calibri" w:hAnsi="Calibri"/>
          <w:i/>
          <w:sz w:val="22"/>
          <w:szCs w:val="22"/>
        </w:rPr>
      </w:pPr>
      <w:r>
        <w:rPr>
          <w:rFonts w:ascii="Calibri" w:hAnsi="Calibri"/>
          <w:sz w:val="22"/>
          <w:szCs w:val="22"/>
        </w:rPr>
        <w:t xml:space="preserve">During 2018, </w:t>
      </w:r>
      <w:r w:rsidR="00510E3B">
        <w:rPr>
          <w:rFonts w:ascii="Calibri" w:hAnsi="Calibri"/>
          <w:sz w:val="22"/>
          <w:szCs w:val="22"/>
        </w:rPr>
        <w:t>TA</w:t>
      </w:r>
      <w:r>
        <w:rPr>
          <w:rFonts w:ascii="Calibri" w:hAnsi="Calibri"/>
          <w:sz w:val="22"/>
          <w:szCs w:val="22"/>
        </w:rPr>
        <w:t xml:space="preserve"> focused upon ground-implementation of projects which </w:t>
      </w:r>
      <w:r w:rsidR="007C385B">
        <w:rPr>
          <w:rFonts w:ascii="Calibri" w:hAnsi="Calibri"/>
          <w:sz w:val="22"/>
          <w:szCs w:val="22"/>
        </w:rPr>
        <w:t xml:space="preserve">are </w:t>
      </w:r>
      <w:r>
        <w:rPr>
          <w:rFonts w:ascii="Calibri" w:hAnsi="Calibri"/>
          <w:sz w:val="22"/>
          <w:szCs w:val="22"/>
        </w:rPr>
        <w:t xml:space="preserve">involved </w:t>
      </w:r>
      <w:r w:rsidR="007C385B">
        <w:rPr>
          <w:rFonts w:ascii="Calibri" w:hAnsi="Calibri"/>
          <w:sz w:val="22"/>
          <w:szCs w:val="22"/>
        </w:rPr>
        <w:t xml:space="preserve">in </w:t>
      </w:r>
      <w:r>
        <w:rPr>
          <w:rFonts w:ascii="Calibri" w:hAnsi="Calibri"/>
          <w:sz w:val="22"/>
          <w:szCs w:val="22"/>
        </w:rPr>
        <w:t xml:space="preserve">working directly with </w:t>
      </w:r>
      <w:r w:rsidRPr="00AE4E1A">
        <w:rPr>
          <w:rFonts w:ascii="Calibri" w:hAnsi="Calibri"/>
          <w:sz w:val="22"/>
          <w:szCs w:val="22"/>
        </w:rPr>
        <w:t xml:space="preserve">banks. Initiating two projects, in Panama and </w:t>
      </w:r>
      <w:r w:rsidR="00B61D4F" w:rsidRPr="00AE4E1A">
        <w:rPr>
          <w:rFonts w:ascii="Calibri" w:hAnsi="Calibri"/>
          <w:sz w:val="22"/>
          <w:szCs w:val="22"/>
        </w:rPr>
        <w:t xml:space="preserve">in </w:t>
      </w:r>
      <w:r w:rsidR="001C4023" w:rsidRPr="00AE4E1A">
        <w:rPr>
          <w:rFonts w:ascii="Calibri" w:hAnsi="Calibri"/>
          <w:sz w:val="22"/>
          <w:szCs w:val="22"/>
        </w:rPr>
        <w:t>Nicaragua</w:t>
      </w:r>
      <w:r w:rsidRPr="00AE4E1A">
        <w:rPr>
          <w:rFonts w:ascii="Calibri" w:hAnsi="Calibri"/>
          <w:sz w:val="22"/>
          <w:szCs w:val="22"/>
        </w:rPr>
        <w:t>.</w:t>
      </w:r>
      <w:r>
        <w:rPr>
          <w:rFonts w:ascii="Calibri" w:hAnsi="Calibri"/>
          <w:sz w:val="22"/>
          <w:szCs w:val="22"/>
        </w:rPr>
        <w:t xml:space="preserve"> </w:t>
      </w:r>
      <w:r w:rsidRPr="00C05C51">
        <w:rPr>
          <w:rFonts w:ascii="Calibri" w:hAnsi="Calibri"/>
          <w:sz w:val="22"/>
          <w:szCs w:val="22"/>
        </w:rPr>
        <w:t xml:space="preserve">The increasing participation and involvement of the </w:t>
      </w:r>
      <w:r w:rsidR="007C385B">
        <w:rPr>
          <w:rFonts w:ascii="Calibri" w:hAnsi="Calibri"/>
          <w:sz w:val="22"/>
          <w:szCs w:val="22"/>
        </w:rPr>
        <w:t>EBF</w:t>
      </w:r>
      <w:r w:rsidR="00ED620E">
        <w:rPr>
          <w:rFonts w:ascii="Calibri" w:hAnsi="Calibri"/>
          <w:sz w:val="22"/>
          <w:szCs w:val="22"/>
        </w:rPr>
        <w:t>-DF</w:t>
      </w:r>
      <w:r w:rsidRPr="00C05C51">
        <w:rPr>
          <w:rFonts w:ascii="Calibri" w:hAnsi="Calibri"/>
          <w:sz w:val="22"/>
          <w:szCs w:val="22"/>
        </w:rPr>
        <w:t xml:space="preserve"> through direct assistance to the end-borrower’s various activities</w:t>
      </w:r>
      <w:r w:rsidR="00ED620E">
        <w:rPr>
          <w:rFonts w:ascii="Calibri" w:hAnsi="Calibri"/>
          <w:sz w:val="22"/>
          <w:szCs w:val="22"/>
        </w:rPr>
        <w:t>, enhancing</w:t>
      </w:r>
      <w:r>
        <w:rPr>
          <w:rFonts w:ascii="Calibri" w:hAnsi="Calibri"/>
          <w:sz w:val="22"/>
          <w:szCs w:val="22"/>
        </w:rPr>
        <w:t xml:space="preserve"> the value for money of investments. </w:t>
      </w:r>
    </w:p>
    <w:p w14:paraId="2CF9239A" w14:textId="77777777" w:rsidR="00924F00" w:rsidRDefault="00284ECC" w:rsidP="00284ECC">
      <w:pPr>
        <w:pStyle w:val="Normal1"/>
        <w:spacing w:after="120" w:line="276" w:lineRule="auto"/>
        <w:jc w:val="both"/>
        <w:rPr>
          <w:rFonts w:ascii="Calibri" w:hAnsi="Calibri"/>
          <w:b/>
          <w:i/>
          <w:sz w:val="22"/>
          <w:szCs w:val="22"/>
        </w:rPr>
      </w:pPr>
      <w:r w:rsidRPr="002F0726">
        <w:rPr>
          <w:rFonts w:ascii="Calibri" w:hAnsi="Calibri"/>
          <w:b/>
          <w:i/>
          <w:sz w:val="22"/>
          <w:szCs w:val="22"/>
        </w:rPr>
        <w:t>Effectiveness:</w:t>
      </w:r>
      <w:r w:rsidR="00273C48" w:rsidRPr="002F0726">
        <w:rPr>
          <w:rFonts w:ascii="Calibri" w:hAnsi="Calibri"/>
          <w:b/>
          <w:i/>
          <w:sz w:val="22"/>
          <w:szCs w:val="22"/>
        </w:rPr>
        <w:t xml:space="preserve"> </w:t>
      </w:r>
    </w:p>
    <w:p w14:paraId="6CD785E9" w14:textId="1568199E" w:rsidR="00924F00" w:rsidRPr="00DB50A9" w:rsidRDefault="00924F00" w:rsidP="00284ECC">
      <w:pPr>
        <w:pStyle w:val="Normal1"/>
        <w:spacing w:after="120" w:line="276" w:lineRule="auto"/>
        <w:jc w:val="both"/>
        <w:rPr>
          <w:rFonts w:ascii="Calibri" w:hAnsi="Calibri"/>
          <w:sz w:val="22"/>
          <w:szCs w:val="22"/>
        </w:rPr>
      </w:pPr>
      <w:r>
        <w:rPr>
          <w:rFonts w:ascii="Calibri" w:hAnsi="Calibri"/>
          <w:sz w:val="22"/>
          <w:szCs w:val="22"/>
        </w:rPr>
        <w:t xml:space="preserve">The fund has broadly met </w:t>
      </w:r>
      <w:r w:rsidR="007C385B">
        <w:rPr>
          <w:rFonts w:ascii="Calibri" w:hAnsi="Calibri"/>
          <w:sz w:val="22"/>
          <w:szCs w:val="22"/>
        </w:rPr>
        <w:t>indicator targets for</w:t>
      </w:r>
      <w:r>
        <w:rPr>
          <w:rFonts w:ascii="Calibri" w:hAnsi="Calibri"/>
          <w:sz w:val="22"/>
          <w:szCs w:val="22"/>
        </w:rPr>
        <w:t xml:space="preserve"> 2018 </w:t>
      </w:r>
      <w:r w:rsidR="00522B7B">
        <w:rPr>
          <w:rFonts w:ascii="Calibri" w:hAnsi="Calibri"/>
          <w:sz w:val="22"/>
          <w:szCs w:val="22"/>
        </w:rPr>
        <w:t>with the exception of a key target</w:t>
      </w:r>
      <w:r w:rsidR="00522B7B" w:rsidRPr="003D4461">
        <w:rPr>
          <w:rFonts w:ascii="Calibri" w:hAnsi="Calibri"/>
          <w:sz w:val="22"/>
          <w:szCs w:val="22"/>
        </w:rPr>
        <w:t>;</w:t>
      </w:r>
      <w:r w:rsidR="00885BEC">
        <w:rPr>
          <w:rFonts w:ascii="Calibri" w:hAnsi="Calibri"/>
          <w:sz w:val="22"/>
          <w:szCs w:val="22"/>
        </w:rPr>
        <w:t>.</w:t>
      </w:r>
      <w:r w:rsidR="001261C1">
        <w:rPr>
          <w:rFonts w:ascii="Calibri" w:hAnsi="Calibri"/>
          <w:sz w:val="22"/>
          <w:szCs w:val="22"/>
        </w:rPr>
        <w:t xml:space="preserve"> </w:t>
      </w:r>
      <w:r w:rsidR="000A0A73">
        <w:rPr>
          <w:rFonts w:ascii="Calibri" w:hAnsi="Calibri"/>
          <w:sz w:val="22"/>
          <w:szCs w:val="22"/>
        </w:rPr>
        <w:t xml:space="preserve">Notably, we have </w:t>
      </w:r>
      <w:r w:rsidR="001261C1">
        <w:rPr>
          <w:rFonts w:ascii="Calibri" w:hAnsi="Calibri"/>
          <w:sz w:val="22"/>
          <w:szCs w:val="22"/>
        </w:rPr>
        <w:t>a significant increase in the number of hectares of land sustainably managed through the EBF portfolio, 140,000 as of 2018, exceeding</w:t>
      </w:r>
      <w:r w:rsidR="000A0A73">
        <w:rPr>
          <w:rFonts w:ascii="Calibri" w:hAnsi="Calibri"/>
          <w:sz w:val="22"/>
          <w:szCs w:val="22"/>
        </w:rPr>
        <w:t xml:space="preserve"> the</w:t>
      </w:r>
      <w:r w:rsidR="001261C1">
        <w:rPr>
          <w:rFonts w:ascii="Calibri" w:hAnsi="Calibri"/>
          <w:sz w:val="22"/>
          <w:szCs w:val="22"/>
        </w:rPr>
        <w:t xml:space="preserve"> milestone of 120,000 and an increased number of </w:t>
      </w:r>
      <w:r w:rsidR="00261682">
        <w:rPr>
          <w:rFonts w:ascii="Calibri" w:hAnsi="Calibri"/>
          <w:iCs/>
          <w:sz w:val="22"/>
          <w:szCs w:val="22"/>
        </w:rPr>
        <w:t>FIs</w:t>
      </w:r>
      <w:r w:rsidR="0028768C">
        <w:rPr>
          <w:rFonts w:ascii="Calibri" w:hAnsi="Calibri"/>
          <w:iCs/>
          <w:sz w:val="22"/>
          <w:szCs w:val="22"/>
        </w:rPr>
        <w:t xml:space="preserve"> </w:t>
      </w:r>
      <w:r w:rsidR="001261C1">
        <w:rPr>
          <w:rFonts w:ascii="Calibri" w:hAnsi="Calibri"/>
          <w:sz w:val="22"/>
          <w:szCs w:val="22"/>
        </w:rPr>
        <w:t>funded by EBF, 13 as of 2018</w:t>
      </w:r>
      <w:r w:rsidR="000A0A73">
        <w:rPr>
          <w:rFonts w:ascii="Calibri" w:hAnsi="Calibri"/>
          <w:sz w:val="22"/>
          <w:szCs w:val="22"/>
        </w:rPr>
        <w:t xml:space="preserve"> against a target of 12</w:t>
      </w:r>
      <w:r w:rsidR="001261C1">
        <w:rPr>
          <w:rFonts w:ascii="Calibri" w:hAnsi="Calibri"/>
          <w:sz w:val="22"/>
          <w:szCs w:val="22"/>
        </w:rPr>
        <w:t xml:space="preserve">. </w:t>
      </w:r>
      <w:r w:rsidR="000A0A73">
        <w:rPr>
          <w:rFonts w:ascii="Calibri" w:hAnsi="Calibri"/>
          <w:sz w:val="22"/>
          <w:szCs w:val="22"/>
        </w:rPr>
        <w:t>The program</w:t>
      </w:r>
      <w:r w:rsidR="0028768C">
        <w:rPr>
          <w:rFonts w:ascii="Calibri" w:hAnsi="Calibri"/>
          <w:sz w:val="22"/>
          <w:szCs w:val="22"/>
        </w:rPr>
        <w:t>me</w:t>
      </w:r>
      <w:r w:rsidR="000A0A73">
        <w:rPr>
          <w:rFonts w:ascii="Calibri" w:hAnsi="Calibri"/>
          <w:sz w:val="22"/>
          <w:szCs w:val="22"/>
        </w:rPr>
        <w:t xml:space="preserve"> delivery is broadly on track and th</w:t>
      </w:r>
      <w:r w:rsidR="00BC3554">
        <w:rPr>
          <w:rFonts w:ascii="Calibri" w:hAnsi="Calibri"/>
          <w:sz w:val="22"/>
          <w:szCs w:val="22"/>
        </w:rPr>
        <w:t>e fund has finalised an internal Impact F</w:t>
      </w:r>
      <w:r w:rsidR="000A0A73">
        <w:rPr>
          <w:rFonts w:ascii="Calibri" w:hAnsi="Calibri"/>
          <w:sz w:val="22"/>
          <w:szCs w:val="22"/>
        </w:rPr>
        <w:t xml:space="preserve">ramework which </w:t>
      </w:r>
      <w:r w:rsidR="00ED620E">
        <w:rPr>
          <w:rFonts w:ascii="Calibri" w:hAnsi="Calibri"/>
          <w:sz w:val="22"/>
          <w:szCs w:val="22"/>
        </w:rPr>
        <w:t>is expected</w:t>
      </w:r>
      <w:r w:rsidR="000A0A73">
        <w:rPr>
          <w:rFonts w:ascii="Calibri" w:hAnsi="Calibri"/>
          <w:sz w:val="22"/>
          <w:szCs w:val="22"/>
        </w:rPr>
        <w:t xml:space="preserve"> to deliver enhanced impact assessments by June</w:t>
      </w:r>
      <w:r w:rsidR="00510E3B">
        <w:rPr>
          <w:rFonts w:ascii="Calibri" w:hAnsi="Calibri"/>
          <w:sz w:val="22"/>
          <w:szCs w:val="22"/>
        </w:rPr>
        <w:t xml:space="preserve"> 20</w:t>
      </w:r>
      <w:r w:rsidR="007D3D39">
        <w:rPr>
          <w:rFonts w:ascii="Calibri" w:hAnsi="Calibri"/>
          <w:sz w:val="22"/>
          <w:szCs w:val="22"/>
        </w:rPr>
        <w:t>19</w:t>
      </w:r>
      <w:r w:rsidR="000A0A73">
        <w:rPr>
          <w:rFonts w:ascii="Calibri" w:hAnsi="Calibri"/>
          <w:sz w:val="22"/>
          <w:szCs w:val="22"/>
        </w:rPr>
        <w:t xml:space="preserve">. </w:t>
      </w:r>
      <w:r w:rsidR="00170201">
        <w:rPr>
          <w:rFonts w:ascii="Calibri" w:hAnsi="Calibri"/>
          <w:sz w:val="22"/>
          <w:szCs w:val="22"/>
        </w:rPr>
        <w:t>Based on this impact framework, 2</w:t>
      </w:r>
      <w:r w:rsidR="00170201" w:rsidRPr="00A2671D">
        <w:rPr>
          <w:rFonts w:ascii="Calibri" w:hAnsi="Calibri"/>
          <w:sz w:val="22"/>
          <w:szCs w:val="22"/>
          <w:vertAlign w:val="superscript"/>
        </w:rPr>
        <w:t>nd</w:t>
      </w:r>
      <w:r w:rsidR="00170201">
        <w:rPr>
          <w:rFonts w:ascii="Calibri" w:hAnsi="Calibri"/>
          <w:sz w:val="22"/>
          <w:szCs w:val="22"/>
        </w:rPr>
        <w:t xml:space="preserve"> level claims were presented to the Board of the fund in September 2018, with first quantitative estimates for key KPIs (CO2 sequestration, </w:t>
      </w:r>
      <w:r w:rsidR="00A2671D">
        <w:rPr>
          <w:rFonts w:ascii="Calibri" w:hAnsi="Calibri"/>
          <w:sz w:val="22"/>
          <w:szCs w:val="22"/>
        </w:rPr>
        <w:t xml:space="preserve">supported </w:t>
      </w:r>
      <w:r w:rsidR="00170201">
        <w:rPr>
          <w:rFonts w:ascii="Calibri" w:hAnsi="Calibri"/>
          <w:sz w:val="22"/>
          <w:szCs w:val="22"/>
        </w:rPr>
        <w:t>jobs, etc.)</w:t>
      </w:r>
      <w:r w:rsidR="00BB32A0">
        <w:rPr>
          <w:rFonts w:ascii="Calibri" w:hAnsi="Calibri"/>
          <w:sz w:val="22"/>
          <w:szCs w:val="22"/>
        </w:rPr>
        <w:t>.</w:t>
      </w:r>
      <w:r w:rsidR="00170201">
        <w:rPr>
          <w:rFonts w:ascii="Calibri" w:hAnsi="Calibri"/>
          <w:sz w:val="22"/>
          <w:szCs w:val="22"/>
        </w:rPr>
        <w:t xml:space="preserve"> The assessment and calculation routines of the different KPIs defined in the framework were implemented, and updated results were prepared in view of the fund’s conference in February 2019.</w:t>
      </w:r>
    </w:p>
    <w:p w14:paraId="233939FA" w14:textId="77777777" w:rsidR="00DB50A9" w:rsidRDefault="00284ECC" w:rsidP="00F65ADB">
      <w:pPr>
        <w:pStyle w:val="Normal1"/>
        <w:spacing w:after="120" w:line="276" w:lineRule="auto"/>
        <w:jc w:val="both"/>
        <w:rPr>
          <w:rFonts w:ascii="Calibri" w:hAnsi="Calibri"/>
          <w:i/>
          <w:sz w:val="22"/>
          <w:szCs w:val="22"/>
        </w:rPr>
      </w:pPr>
      <w:r w:rsidRPr="002F0726">
        <w:rPr>
          <w:rFonts w:ascii="Calibri" w:hAnsi="Calibri"/>
          <w:b/>
          <w:i/>
          <w:sz w:val="22"/>
          <w:szCs w:val="22"/>
        </w:rPr>
        <w:t>Equity:</w:t>
      </w:r>
      <w:r w:rsidR="00273C48" w:rsidRPr="002F0726">
        <w:rPr>
          <w:rFonts w:ascii="Calibri" w:hAnsi="Calibri"/>
          <w:b/>
          <w:i/>
          <w:sz w:val="22"/>
          <w:szCs w:val="22"/>
        </w:rPr>
        <w:t xml:space="preserve"> </w:t>
      </w:r>
    </w:p>
    <w:p w14:paraId="6571E8E3" w14:textId="2A32A958" w:rsidR="00DB50A9" w:rsidRPr="00DB50A9" w:rsidRDefault="00DB50A9" w:rsidP="00F65ADB">
      <w:pPr>
        <w:pStyle w:val="Normal1"/>
        <w:spacing w:after="120" w:line="276" w:lineRule="auto"/>
        <w:jc w:val="both"/>
        <w:rPr>
          <w:rFonts w:ascii="Calibri" w:hAnsi="Calibri"/>
          <w:sz w:val="22"/>
          <w:szCs w:val="22"/>
        </w:rPr>
      </w:pPr>
      <w:r w:rsidRPr="003D4461">
        <w:rPr>
          <w:rFonts w:ascii="Calibri" w:hAnsi="Calibri"/>
          <w:sz w:val="22"/>
          <w:szCs w:val="22"/>
        </w:rPr>
        <w:t>The average loan to sub-</w:t>
      </w:r>
      <w:r w:rsidR="00BC3554" w:rsidRPr="003D4461">
        <w:rPr>
          <w:rFonts w:ascii="Calibri" w:hAnsi="Calibri"/>
          <w:sz w:val="22"/>
          <w:szCs w:val="22"/>
        </w:rPr>
        <w:t>borrowers</w:t>
      </w:r>
      <w:r w:rsidRPr="003D4461">
        <w:rPr>
          <w:rFonts w:ascii="Calibri" w:hAnsi="Calibri"/>
          <w:sz w:val="22"/>
          <w:szCs w:val="22"/>
        </w:rPr>
        <w:t xml:space="preserve"> has decreased</w:t>
      </w:r>
      <w:r w:rsidR="00D06FB4">
        <w:rPr>
          <w:rFonts w:ascii="Calibri" w:hAnsi="Calibri"/>
          <w:sz w:val="22"/>
          <w:szCs w:val="22"/>
        </w:rPr>
        <w:t>.</w:t>
      </w:r>
    </w:p>
    <w:p w14:paraId="09A6120B" w14:textId="549D791D" w:rsidR="000004E0" w:rsidRPr="002F0726" w:rsidRDefault="000004E0" w:rsidP="000004E0">
      <w:pPr>
        <w:pStyle w:val="Normal1"/>
        <w:spacing w:after="120" w:line="276" w:lineRule="auto"/>
        <w:rPr>
          <w:rFonts w:ascii="Calibri" w:hAnsi="Calibri"/>
          <w:b/>
          <w:i/>
          <w:sz w:val="22"/>
          <w:szCs w:val="22"/>
        </w:rPr>
      </w:pPr>
      <w:r w:rsidRPr="002F0726">
        <w:rPr>
          <w:rFonts w:ascii="Calibri" w:hAnsi="Calibri"/>
          <w:b/>
          <w:i/>
          <w:sz w:val="22"/>
          <w:szCs w:val="22"/>
        </w:rPr>
        <w:t xml:space="preserve">Assessment of whether the programme continues to represent </w:t>
      </w:r>
      <w:proofErr w:type="spellStart"/>
      <w:r w:rsidR="0028768C">
        <w:rPr>
          <w:rFonts w:ascii="Calibri" w:hAnsi="Calibri"/>
          <w:b/>
          <w:i/>
          <w:sz w:val="22"/>
          <w:szCs w:val="22"/>
        </w:rPr>
        <w:t>VfM</w:t>
      </w:r>
      <w:proofErr w:type="spellEnd"/>
    </w:p>
    <w:p w14:paraId="430EDEFA" w14:textId="4513FFAA" w:rsidR="000004E0" w:rsidRPr="005065D0" w:rsidRDefault="007A1A6E" w:rsidP="000004E0">
      <w:pPr>
        <w:pStyle w:val="Normal1"/>
        <w:spacing w:after="120" w:line="276" w:lineRule="auto"/>
        <w:rPr>
          <w:rFonts w:ascii="Calibri" w:hAnsi="Calibri"/>
          <w:sz w:val="22"/>
          <w:szCs w:val="22"/>
        </w:rPr>
      </w:pPr>
      <w:r>
        <w:rPr>
          <w:rFonts w:ascii="Calibri" w:hAnsi="Calibri"/>
          <w:sz w:val="22"/>
          <w:szCs w:val="22"/>
        </w:rPr>
        <w:t>.</w:t>
      </w:r>
      <w:r w:rsidR="00ED620E">
        <w:rPr>
          <w:rFonts w:ascii="Calibri" w:hAnsi="Calibri"/>
          <w:sz w:val="22"/>
          <w:szCs w:val="22"/>
        </w:rPr>
        <w:t xml:space="preserve"> The Defra investment in the EBF</w:t>
      </w:r>
      <w:r w:rsidR="004B4D80">
        <w:rPr>
          <w:rFonts w:ascii="Calibri" w:hAnsi="Calibri"/>
          <w:sz w:val="22"/>
          <w:szCs w:val="22"/>
        </w:rPr>
        <w:t xml:space="preserve"> continues to represent good </w:t>
      </w:r>
      <w:proofErr w:type="spellStart"/>
      <w:r w:rsidR="0028768C">
        <w:rPr>
          <w:rFonts w:ascii="Calibri" w:hAnsi="Calibri"/>
          <w:sz w:val="22"/>
          <w:szCs w:val="22"/>
        </w:rPr>
        <w:t>VfM</w:t>
      </w:r>
      <w:proofErr w:type="spellEnd"/>
      <w:r w:rsidR="004B4D80">
        <w:rPr>
          <w:rFonts w:ascii="Calibri" w:hAnsi="Calibri"/>
          <w:sz w:val="22"/>
          <w:szCs w:val="22"/>
        </w:rPr>
        <w:t xml:space="preserve">; </w:t>
      </w:r>
      <w:r w:rsidR="00ED620E">
        <w:rPr>
          <w:rFonts w:ascii="Calibri" w:hAnsi="Calibri"/>
          <w:sz w:val="22"/>
          <w:szCs w:val="22"/>
        </w:rPr>
        <w:t xml:space="preserve">in 2018, </w:t>
      </w:r>
      <w:r w:rsidR="004B4D80">
        <w:rPr>
          <w:rFonts w:ascii="Calibri" w:hAnsi="Calibri"/>
          <w:sz w:val="22"/>
          <w:szCs w:val="22"/>
        </w:rPr>
        <w:t xml:space="preserve">the fund has increased its delivery to smaller end borrowers, </w:t>
      </w:r>
      <w:r w:rsidR="005A032A">
        <w:rPr>
          <w:rFonts w:ascii="Calibri" w:hAnsi="Calibri"/>
          <w:sz w:val="22"/>
          <w:szCs w:val="22"/>
        </w:rPr>
        <w:t>by investing in</w:t>
      </w:r>
      <w:r w:rsidR="004B4D80">
        <w:rPr>
          <w:rFonts w:ascii="Calibri" w:hAnsi="Calibri"/>
          <w:sz w:val="22"/>
          <w:szCs w:val="22"/>
        </w:rPr>
        <w:t xml:space="preserve"> microfinance institutions, whilst also continuing to leverage more private and public finance across seven countries in Latin America.</w:t>
      </w:r>
      <w:r w:rsidR="005A032A">
        <w:rPr>
          <w:rFonts w:ascii="Calibri" w:hAnsi="Calibri"/>
          <w:sz w:val="22"/>
          <w:szCs w:val="22"/>
        </w:rPr>
        <w:t xml:space="preserve"> The funds internal Impact Framework is expected to further</w:t>
      </w:r>
      <w:r w:rsidR="00ED620E">
        <w:rPr>
          <w:rFonts w:ascii="Calibri" w:hAnsi="Calibri"/>
          <w:sz w:val="22"/>
          <w:szCs w:val="22"/>
        </w:rPr>
        <w:t xml:space="preserve"> the focus on sustainable jobs and livelihoods. </w:t>
      </w:r>
    </w:p>
    <w:p w14:paraId="2C8CF264" w14:textId="77777777" w:rsidR="004B4D80" w:rsidRPr="002F0726" w:rsidRDefault="004B4D80" w:rsidP="000004E0">
      <w:pPr>
        <w:pStyle w:val="Normal1"/>
        <w:spacing w:after="120" w:line="276" w:lineRule="auto"/>
        <w:rPr>
          <w:rFonts w:ascii="Calibri" w:hAnsi="Calibri"/>
          <w:i/>
          <w:sz w:val="22"/>
          <w:szCs w:val="22"/>
          <w:u w:val="single"/>
        </w:rPr>
      </w:pPr>
    </w:p>
    <w:tbl>
      <w:tblPr>
        <w:tblW w:w="6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2700"/>
      </w:tblGrid>
      <w:tr w:rsidR="000004E0" w:rsidRPr="002F0726" w14:paraId="52EF3958" w14:textId="77777777" w:rsidTr="000004E0">
        <w:tc>
          <w:tcPr>
            <w:tcW w:w="4260" w:type="dxa"/>
            <w:tcBorders>
              <w:top w:val="single" w:sz="4" w:space="0" w:color="000000"/>
              <w:left w:val="single" w:sz="4" w:space="0" w:color="000000"/>
              <w:bottom w:val="single" w:sz="4" w:space="0" w:color="000000"/>
              <w:right w:val="single" w:sz="4" w:space="0" w:color="000000"/>
            </w:tcBorders>
            <w:shd w:val="clear" w:color="auto" w:fill="DBE5F1"/>
          </w:tcPr>
          <w:p w14:paraId="363BAA70" w14:textId="77777777" w:rsidR="000004E0" w:rsidRPr="0028768C" w:rsidRDefault="000004E0" w:rsidP="000004E0">
            <w:pPr>
              <w:pStyle w:val="Normal1"/>
              <w:spacing w:after="120" w:line="276" w:lineRule="auto"/>
              <w:rPr>
                <w:rFonts w:ascii="Calibri" w:hAnsi="Calibri"/>
                <w:sz w:val="22"/>
                <w:szCs w:val="22"/>
              </w:rPr>
            </w:pPr>
            <w:r w:rsidRPr="0028768C">
              <w:rPr>
                <w:rFonts w:ascii="Calibri" w:hAnsi="Calibri"/>
                <w:sz w:val="22"/>
                <w:szCs w:val="22"/>
              </w:rPr>
              <w:t>Date of last narrative financial report</w:t>
            </w:r>
          </w:p>
        </w:tc>
        <w:tc>
          <w:tcPr>
            <w:tcW w:w="2700" w:type="dxa"/>
            <w:tcBorders>
              <w:top w:val="single" w:sz="4" w:space="0" w:color="000000"/>
              <w:left w:val="single" w:sz="4" w:space="0" w:color="000000"/>
              <w:bottom w:val="single" w:sz="4" w:space="0" w:color="000000"/>
              <w:right w:val="single" w:sz="4" w:space="0" w:color="000000"/>
            </w:tcBorders>
          </w:tcPr>
          <w:p w14:paraId="2A0668CD" w14:textId="77777777" w:rsidR="000004E0" w:rsidRPr="0028768C" w:rsidRDefault="00E64B5B" w:rsidP="000004E0">
            <w:pPr>
              <w:pStyle w:val="Normal1"/>
              <w:spacing w:after="120" w:line="276" w:lineRule="auto"/>
              <w:rPr>
                <w:rFonts w:ascii="Calibri" w:hAnsi="Calibri"/>
                <w:sz w:val="22"/>
                <w:szCs w:val="22"/>
              </w:rPr>
            </w:pPr>
            <w:r w:rsidRPr="0028768C">
              <w:rPr>
                <w:rFonts w:ascii="Calibri" w:hAnsi="Calibri"/>
                <w:sz w:val="22"/>
                <w:szCs w:val="22"/>
              </w:rPr>
              <w:t>2018 Q4</w:t>
            </w:r>
          </w:p>
        </w:tc>
      </w:tr>
      <w:tr w:rsidR="000004E0" w:rsidRPr="002F0726" w14:paraId="782EA5F1" w14:textId="77777777" w:rsidTr="000004E0">
        <w:tc>
          <w:tcPr>
            <w:tcW w:w="4260" w:type="dxa"/>
            <w:tcBorders>
              <w:top w:val="single" w:sz="4" w:space="0" w:color="000000"/>
              <w:left w:val="single" w:sz="4" w:space="0" w:color="000000"/>
              <w:bottom w:val="single" w:sz="4" w:space="0" w:color="000000"/>
              <w:right w:val="single" w:sz="4" w:space="0" w:color="000000"/>
            </w:tcBorders>
            <w:shd w:val="clear" w:color="auto" w:fill="DBE5F1"/>
          </w:tcPr>
          <w:p w14:paraId="3E77B9A3" w14:textId="77777777" w:rsidR="000004E0" w:rsidRPr="0028768C" w:rsidRDefault="000004E0" w:rsidP="000004E0">
            <w:pPr>
              <w:pStyle w:val="Normal1"/>
              <w:spacing w:after="120" w:line="276" w:lineRule="auto"/>
              <w:rPr>
                <w:rFonts w:ascii="Calibri" w:hAnsi="Calibri"/>
                <w:sz w:val="22"/>
                <w:szCs w:val="22"/>
              </w:rPr>
            </w:pPr>
            <w:r w:rsidRPr="0028768C">
              <w:rPr>
                <w:rFonts w:ascii="Calibri" w:hAnsi="Calibri"/>
                <w:sz w:val="22"/>
                <w:szCs w:val="22"/>
              </w:rPr>
              <w:t>Date of last audited annual statement</w:t>
            </w:r>
          </w:p>
        </w:tc>
        <w:tc>
          <w:tcPr>
            <w:tcW w:w="2700" w:type="dxa"/>
            <w:tcBorders>
              <w:top w:val="single" w:sz="4" w:space="0" w:color="000000"/>
              <w:left w:val="single" w:sz="4" w:space="0" w:color="000000"/>
              <w:bottom w:val="single" w:sz="4" w:space="0" w:color="000000"/>
              <w:right w:val="single" w:sz="4" w:space="0" w:color="000000"/>
            </w:tcBorders>
          </w:tcPr>
          <w:p w14:paraId="121985CC" w14:textId="77777777" w:rsidR="000004E0" w:rsidRPr="0028768C" w:rsidRDefault="00A2671D" w:rsidP="00A2671D">
            <w:pPr>
              <w:pStyle w:val="Normal1"/>
              <w:spacing w:after="120" w:line="276" w:lineRule="auto"/>
              <w:rPr>
                <w:rFonts w:ascii="Calibri" w:hAnsi="Calibri"/>
                <w:sz w:val="22"/>
                <w:szCs w:val="22"/>
              </w:rPr>
            </w:pPr>
            <w:r w:rsidRPr="0028768C">
              <w:rPr>
                <w:rFonts w:ascii="Calibri" w:hAnsi="Calibri"/>
                <w:sz w:val="22"/>
                <w:szCs w:val="22"/>
              </w:rPr>
              <w:t>The 2018 annual statement has been audited, effective in April 2019.</w:t>
            </w:r>
          </w:p>
        </w:tc>
      </w:tr>
    </w:tbl>
    <w:p w14:paraId="30A10FA7" w14:textId="77777777" w:rsidR="000004E0" w:rsidRPr="00D0005A" w:rsidRDefault="000004E0" w:rsidP="000004E0">
      <w:pPr>
        <w:pStyle w:val="Normal1"/>
        <w:spacing w:after="120" w:line="276" w:lineRule="auto"/>
        <w:rPr>
          <w:rFonts w:ascii="Calibri" w:hAnsi="Calibri"/>
          <w:b/>
          <w:sz w:val="22"/>
          <w:szCs w:val="22"/>
        </w:rPr>
      </w:pPr>
    </w:p>
    <w:p w14:paraId="2DE2524F" w14:textId="77777777" w:rsidR="000004E0" w:rsidRPr="00D0005A" w:rsidRDefault="000004E0" w:rsidP="000004E0">
      <w:pPr>
        <w:spacing w:before="0"/>
      </w:pPr>
      <w:r w:rsidRPr="00D0005A">
        <w:br w:type="page"/>
      </w:r>
    </w:p>
    <w:p w14:paraId="5E7C75F7" w14:textId="0F4600D4" w:rsidR="000004E0" w:rsidRPr="00D0005A" w:rsidRDefault="007D3D39" w:rsidP="004265A7">
      <w:pPr>
        <w:pStyle w:val="Heading2"/>
        <w:rPr>
          <w:i/>
        </w:rPr>
      </w:pPr>
      <w:bookmarkStart w:id="7" w:name="_Toc15984389"/>
      <w:r>
        <w:lastRenderedPageBreak/>
        <w:t>D</w:t>
      </w:r>
      <w:r w:rsidR="000004E0" w:rsidRPr="00D0005A">
        <w:t>: RISK</w:t>
      </w:r>
      <w:bookmarkEnd w:id="7"/>
    </w:p>
    <w:p w14:paraId="67C679B1" w14:textId="31F8B15D" w:rsidR="00622DE1" w:rsidRPr="00622DE1" w:rsidRDefault="00622DE1" w:rsidP="000004E0">
      <w:pPr>
        <w:pStyle w:val="Normal1"/>
        <w:spacing w:after="120" w:line="276" w:lineRule="auto"/>
        <w:rPr>
          <w:rFonts w:ascii="Calibri" w:hAnsi="Calibri"/>
          <w:b/>
          <w:sz w:val="22"/>
          <w:szCs w:val="22"/>
        </w:rPr>
      </w:pPr>
      <w:r w:rsidRPr="00D0005A">
        <w:rPr>
          <w:rFonts w:ascii="Calibri" w:hAnsi="Calibri"/>
          <w:b/>
          <w:sz w:val="22"/>
          <w:szCs w:val="22"/>
        </w:rPr>
        <w:t xml:space="preserve">Overall risk rating:  </w:t>
      </w:r>
      <w:r w:rsidRPr="004D37D7">
        <w:rPr>
          <w:rFonts w:ascii="Calibri" w:hAnsi="Calibri"/>
          <w:b/>
          <w:sz w:val="22"/>
          <w:szCs w:val="22"/>
        </w:rPr>
        <w:t>Moderate</w:t>
      </w:r>
    </w:p>
    <w:p w14:paraId="443769E5" w14:textId="475C082F" w:rsidR="00622DE1" w:rsidRDefault="00493E01" w:rsidP="000004E0">
      <w:pPr>
        <w:pStyle w:val="Normal1"/>
        <w:spacing w:after="120" w:line="276" w:lineRule="auto"/>
        <w:rPr>
          <w:rFonts w:ascii="Calibri" w:hAnsi="Calibri"/>
          <w:sz w:val="22"/>
          <w:szCs w:val="22"/>
        </w:rPr>
      </w:pPr>
      <w:r w:rsidRPr="00D02A7E">
        <w:rPr>
          <w:rFonts w:ascii="Calibri" w:hAnsi="Calibri"/>
          <w:sz w:val="22"/>
          <w:szCs w:val="22"/>
        </w:rPr>
        <w:t xml:space="preserve">Risks here are specifically associated with risk to the </w:t>
      </w:r>
      <w:r w:rsidR="00510E3B">
        <w:rPr>
          <w:rFonts w:ascii="Calibri" w:hAnsi="Calibri"/>
          <w:sz w:val="22"/>
          <w:szCs w:val="22"/>
        </w:rPr>
        <w:t>EBF</w:t>
      </w:r>
      <w:r w:rsidRPr="00D02A7E">
        <w:rPr>
          <w:rFonts w:ascii="Calibri" w:hAnsi="Calibri"/>
          <w:sz w:val="22"/>
          <w:szCs w:val="22"/>
        </w:rPr>
        <w:t xml:space="preserve"> and its impact. Defra</w:t>
      </w:r>
      <w:r w:rsidR="0028768C">
        <w:rPr>
          <w:rFonts w:ascii="Calibri" w:hAnsi="Calibri"/>
          <w:sz w:val="22"/>
          <w:szCs w:val="22"/>
        </w:rPr>
        <w:t xml:space="preserve"> related</w:t>
      </w:r>
      <w:r w:rsidRPr="00D02A7E">
        <w:rPr>
          <w:rFonts w:ascii="Calibri" w:hAnsi="Calibri"/>
          <w:sz w:val="22"/>
          <w:szCs w:val="22"/>
        </w:rPr>
        <w:t xml:space="preserve"> risks (i</w:t>
      </w:r>
      <w:r w:rsidR="00510E3B">
        <w:rPr>
          <w:rFonts w:ascii="Calibri" w:hAnsi="Calibri"/>
          <w:sz w:val="22"/>
          <w:szCs w:val="22"/>
        </w:rPr>
        <w:t>.</w:t>
      </w:r>
      <w:r w:rsidRPr="00D02A7E">
        <w:rPr>
          <w:rFonts w:ascii="Calibri" w:hAnsi="Calibri"/>
          <w:sz w:val="22"/>
          <w:szCs w:val="22"/>
        </w:rPr>
        <w:t xml:space="preserve">e. </w:t>
      </w:r>
      <w:r w:rsidR="00510E3B">
        <w:rPr>
          <w:rFonts w:ascii="Calibri" w:hAnsi="Calibri"/>
          <w:sz w:val="22"/>
          <w:szCs w:val="22"/>
        </w:rPr>
        <w:t>p</w:t>
      </w:r>
      <w:r w:rsidR="0028768C">
        <w:rPr>
          <w:rFonts w:ascii="Calibri" w:hAnsi="Calibri"/>
          <w:sz w:val="22"/>
          <w:szCs w:val="22"/>
        </w:rPr>
        <w:t>roject management) undergo</w:t>
      </w:r>
      <w:r w:rsidRPr="00D02A7E">
        <w:rPr>
          <w:rFonts w:ascii="Calibri" w:hAnsi="Calibri"/>
          <w:sz w:val="22"/>
          <w:szCs w:val="22"/>
        </w:rPr>
        <w:t xml:space="preserve"> regular assessment internally.</w:t>
      </w:r>
    </w:p>
    <w:p w14:paraId="1CE653EE" w14:textId="77777777" w:rsidR="00493E01" w:rsidRPr="00D02A7E" w:rsidRDefault="00E904AC" w:rsidP="000004E0">
      <w:pPr>
        <w:pStyle w:val="Normal1"/>
        <w:spacing w:after="120" w:line="276" w:lineRule="auto"/>
        <w:rPr>
          <w:rFonts w:ascii="Calibri" w:hAnsi="Calibri"/>
          <w:sz w:val="22"/>
          <w:szCs w:val="22"/>
        </w:rPr>
      </w:pPr>
      <w:r>
        <w:rPr>
          <w:rFonts w:ascii="Calibri" w:hAnsi="Calibri"/>
          <w:sz w:val="22"/>
          <w:szCs w:val="22"/>
        </w:rPr>
        <w:t xml:space="preserve">Risks associated with </w:t>
      </w:r>
      <w:r w:rsidR="00622DE1">
        <w:rPr>
          <w:rFonts w:ascii="Calibri" w:hAnsi="Calibri"/>
          <w:sz w:val="22"/>
          <w:szCs w:val="22"/>
        </w:rPr>
        <w:t>impact and reaching milestones has been described in each output section. However overarching or notable risks have been summarised below.</w:t>
      </w:r>
    </w:p>
    <w:p w14:paraId="4B2E8DDA" w14:textId="77777777" w:rsidR="000004E0" w:rsidRDefault="00EA6D65" w:rsidP="000004E0">
      <w:pPr>
        <w:pStyle w:val="Normal1"/>
        <w:spacing w:after="120" w:line="276" w:lineRule="auto"/>
        <w:rPr>
          <w:rFonts w:ascii="Calibri" w:hAnsi="Calibri"/>
          <w:b/>
          <w:sz w:val="22"/>
          <w:szCs w:val="22"/>
        </w:rPr>
      </w:pPr>
      <w:r>
        <w:rPr>
          <w:rFonts w:ascii="Calibri" w:hAnsi="Calibri"/>
          <w:b/>
          <w:sz w:val="22"/>
          <w:szCs w:val="22"/>
        </w:rPr>
        <w:t>Summary of key EBF Risks</w:t>
      </w:r>
    </w:p>
    <w:tbl>
      <w:tblPr>
        <w:tblStyle w:val="TableGrid"/>
        <w:tblW w:w="9640" w:type="dxa"/>
        <w:tblInd w:w="-147" w:type="dxa"/>
        <w:tblLook w:val="04A0" w:firstRow="1" w:lastRow="0" w:firstColumn="1" w:lastColumn="0" w:noHBand="0" w:noVBand="1"/>
      </w:tblPr>
      <w:tblGrid>
        <w:gridCol w:w="1985"/>
        <w:gridCol w:w="1418"/>
        <w:gridCol w:w="1275"/>
        <w:gridCol w:w="1276"/>
        <w:gridCol w:w="3686"/>
      </w:tblGrid>
      <w:tr w:rsidR="002B4D93" w14:paraId="56B66473" w14:textId="77777777" w:rsidTr="00825206">
        <w:tc>
          <w:tcPr>
            <w:tcW w:w="1985" w:type="dxa"/>
          </w:tcPr>
          <w:p w14:paraId="5404CD78" w14:textId="7777777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Description of risk</w:t>
            </w:r>
          </w:p>
        </w:tc>
        <w:tc>
          <w:tcPr>
            <w:tcW w:w="1418" w:type="dxa"/>
          </w:tcPr>
          <w:p w14:paraId="574B564D" w14:textId="7777777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Type</w:t>
            </w:r>
          </w:p>
        </w:tc>
        <w:tc>
          <w:tcPr>
            <w:tcW w:w="1275" w:type="dxa"/>
          </w:tcPr>
          <w:p w14:paraId="003A9C6C" w14:textId="7777777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Risk Rating</w:t>
            </w:r>
          </w:p>
        </w:tc>
        <w:tc>
          <w:tcPr>
            <w:tcW w:w="1276" w:type="dxa"/>
          </w:tcPr>
          <w:p w14:paraId="638F838B" w14:textId="2675D1E7" w:rsidR="002B4D93" w:rsidRDefault="002B4D93"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Likel</w:t>
            </w:r>
            <w:r w:rsidR="00510E3B">
              <w:rPr>
                <w:rFonts w:ascii="Calibri" w:hAnsi="Calibri"/>
                <w:b/>
                <w:sz w:val="22"/>
                <w:szCs w:val="22"/>
              </w:rPr>
              <w:t>i</w:t>
            </w:r>
            <w:r>
              <w:rPr>
                <w:rFonts w:ascii="Calibri" w:hAnsi="Calibri"/>
                <w:b/>
                <w:sz w:val="22"/>
                <w:szCs w:val="22"/>
              </w:rPr>
              <w:t>hood</w:t>
            </w:r>
          </w:p>
        </w:tc>
        <w:tc>
          <w:tcPr>
            <w:tcW w:w="3686" w:type="dxa"/>
          </w:tcPr>
          <w:p w14:paraId="13B66110" w14:textId="77777777" w:rsidR="002B4D93" w:rsidRDefault="002B4D93" w:rsidP="002B4D93">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b/>
                <w:sz w:val="22"/>
                <w:szCs w:val="22"/>
              </w:rPr>
            </w:pPr>
            <w:r>
              <w:rPr>
                <w:rFonts w:ascii="Calibri" w:hAnsi="Calibri"/>
                <w:b/>
                <w:sz w:val="22"/>
                <w:szCs w:val="22"/>
              </w:rPr>
              <w:t>Mitigation activities</w:t>
            </w:r>
          </w:p>
        </w:tc>
      </w:tr>
      <w:tr w:rsidR="002B4D93" w14:paraId="610F0EFA" w14:textId="77777777" w:rsidTr="00825206">
        <w:tc>
          <w:tcPr>
            <w:tcW w:w="1985" w:type="dxa"/>
          </w:tcPr>
          <w:p w14:paraId="2E386E1D" w14:textId="50F41D26" w:rsidR="002B4D93" w:rsidRPr="00A5364C" w:rsidRDefault="007D3D39"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Political and civil u</w:t>
            </w:r>
            <w:r w:rsidR="002B4D93" w:rsidRPr="00A5364C">
              <w:rPr>
                <w:rFonts w:ascii="Calibri" w:hAnsi="Calibri"/>
                <w:sz w:val="22"/>
                <w:szCs w:val="22"/>
                <w:lang w:val="en-US"/>
              </w:rPr>
              <w:t>nrest in Nicaragua</w:t>
            </w:r>
            <w:r w:rsidRPr="00A5364C">
              <w:rPr>
                <w:rFonts w:ascii="Calibri" w:hAnsi="Calibri"/>
                <w:sz w:val="22"/>
                <w:szCs w:val="22"/>
                <w:lang w:val="en-US"/>
              </w:rPr>
              <w:t xml:space="preserve"> results in reduced loan incomes</w:t>
            </w:r>
            <w:r w:rsidR="002B4D93" w:rsidRPr="00A5364C">
              <w:rPr>
                <w:rFonts w:ascii="Calibri" w:hAnsi="Calibri"/>
                <w:sz w:val="22"/>
                <w:szCs w:val="22"/>
                <w:lang w:val="en-US"/>
              </w:rPr>
              <w:t xml:space="preserve"> </w:t>
            </w:r>
          </w:p>
        </w:tc>
        <w:tc>
          <w:tcPr>
            <w:tcW w:w="1418" w:type="dxa"/>
          </w:tcPr>
          <w:p w14:paraId="45E51C50" w14:textId="1102431E" w:rsidR="002B4D93" w:rsidRPr="00C04C5A" w:rsidRDefault="002B4D93"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C04C5A">
              <w:rPr>
                <w:rFonts w:ascii="Calibri" w:hAnsi="Calibri"/>
                <w:sz w:val="22"/>
                <w:szCs w:val="22"/>
              </w:rPr>
              <w:t xml:space="preserve">Political </w:t>
            </w:r>
            <w:r w:rsidR="00510E3B">
              <w:rPr>
                <w:rFonts w:ascii="Calibri" w:hAnsi="Calibri"/>
                <w:sz w:val="22"/>
                <w:szCs w:val="22"/>
              </w:rPr>
              <w:t>and</w:t>
            </w:r>
            <w:r w:rsidRPr="00C04C5A">
              <w:rPr>
                <w:rFonts w:ascii="Calibri" w:hAnsi="Calibri"/>
                <w:sz w:val="22"/>
                <w:szCs w:val="22"/>
              </w:rPr>
              <w:t xml:space="preserve"> Economic stability </w:t>
            </w:r>
          </w:p>
        </w:tc>
        <w:tc>
          <w:tcPr>
            <w:tcW w:w="1275" w:type="dxa"/>
          </w:tcPr>
          <w:p w14:paraId="017BF15F" w14:textId="77777777" w:rsidR="002B4D93" w:rsidRPr="00C04C5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C04C5A">
              <w:rPr>
                <w:rFonts w:ascii="Calibri" w:hAnsi="Calibri"/>
                <w:sz w:val="22"/>
                <w:szCs w:val="22"/>
              </w:rPr>
              <w:t>Major</w:t>
            </w:r>
          </w:p>
        </w:tc>
        <w:tc>
          <w:tcPr>
            <w:tcW w:w="1276" w:type="dxa"/>
          </w:tcPr>
          <w:p w14:paraId="0AE787DB" w14:textId="612D2FC1" w:rsidR="002B4D93" w:rsidRPr="00C04C5A" w:rsidRDefault="007D3D39"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Pr>
                <w:rFonts w:ascii="Calibri" w:hAnsi="Calibri"/>
                <w:sz w:val="22"/>
                <w:szCs w:val="22"/>
              </w:rPr>
              <w:t>Likely</w:t>
            </w:r>
          </w:p>
        </w:tc>
        <w:tc>
          <w:tcPr>
            <w:tcW w:w="3686" w:type="dxa"/>
          </w:tcPr>
          <w:p w14:paraId="6F5394D4" w14:textId="3392CB14" w:rsidR="00493E01" w:rsidRPr="00A5364C" w:rsidRDefault="00493E01" w:rsidP="00C04C5A">
            <w:pPr>
              <w:pStyle w:val="Normal1"/>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 xml:space="preserve">Fund is reducing new financial exposure to the Nicaragua as </w:t>
            </w:r>
            <w:r w:rsidR="00990118" w:rsidRPr="00E01F6B">
              <w:rPr>
                <w:rFonts w:ascii="Calibri" w:hAnsi="Calibri"/>
                <w:sz w:val="22"/>
                <w:szCs w:val="22"/>
                <w:lang w:val="en-US"/>
              </w:rPr>
              <w:t>appropriate</w:t>
            </w:r>
          </w:p>
          <w:p w14:paraId="74817E2A" w14:textId="77777777" w:rsidR="00493E01" w:rsidRPr="00A5364C" w:rsidRDefault="00493E01" w:rsidP="00C04C5A">
            <w:pPr>
              <w:pStyle w:val="Normal1"/>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 xml:space="preserve">Regular monitoring of </w:t>
            </w:r>
            <w:r w:rsidR="00510E3B" w:rsidRPr="00A5364C">
              <w:rPr>
                <w:rFonts w:ascii="Calibri" w:hAnsi="Calibri"/>
                <w:sz w:val="22"/>
                <w:szCs w:val="22"/>
                <w:lang w:val="en-US"/>
              </w:rPr>
              <w:t xml:space="preserve">political and economic </w:t>
            </w:r>
            <w:proofErr w:type="spellStart"/>
            <w:r w:rsidRPr="00A5364C">
              <w:rPr>
                <w:rFonts w:ascii="Calibri" w:hAnsi="Calibri"/>
                <w:sz w:val="22"/>
                <w:szCs w:val="22"/>
                <w:lang w:val="en-US"/>
              </w:rPr>
              <w:t>sitution</w:t>
            </w:r>
            <w:proofErr w:type="spellEnd"/>
          </w:p>
          <w:p w14:paraId="26D1FE21" w14:textId="77777777" w:rsidR="002B4D93" w:rsidRPr="00A5364C" w:rsidRDefault="00493E01" w:rsidP="00C04C5A">
            <w:pPr>
              <w:pStyle w:val="Normal1"/>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Continued monitoring of loan repayments (so far loan repayments are as expected)</w:t>
            </w:r>
          </w:p>
        </w:tc>
      </w:tr>
      <w:tr w:rsidR="002B4D93" w14:paraId="707C9E4E" w14:textId="77777777" w:rsidTr="00825206">
        <w:tc>
          <w:tcPr>
            <w:tcW w:w="1985" w:type="dxa"/>
          </w:tcPr>
          <w:p w14:paraId="19BE889B" w14:textId="53C18C7F" w:rsidR="002B4D93" w:rsidRPr="00C04C5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C04C5A">
              <w:rPr>
                <w:rFonts w:ascii="Calibri" w:hAnsi="Calibri"/>
                <w:sz w:val="22"/>
                <w:szCs w:val="22"/>
              </w:rPr>
              <w:t>Integr</w:t>
            </w:r>
            <w:r w:rsidR="00510E3B">
              <w:rPr>
                <w:rFonts w:ascii="Calibri" w:hAnsi="Calibri"/>
                <w:sz w:val="22"/>
                <w:szCs w:val="22"/>
              </w:rPr>
              <w:t>i</w:t>
            </w:r>
            <w:r w:rsidRPr="00C04C5A">
              <w:rPr>
                <w:rFonts w:ascii="Calibri" w:hAnsi="Calibri"/>
                <w:sz w:val="22"/>
                <w:szCs w:val="22"/>
              </w:rPr>
              <w:t>ty of eligibility standards</w:t>
            </w:r>
          </w:p>
        </w:tc>
        <w:tc>
          <w:tcPr>
            <w:tcW w:w="1418" w:type="dxa"/>
          </w:tcPr>
          <w:p w14:paraId="3D8B587B" w14:textId="77777777" w:rsidR="002B4D93" w:rsidRPr="00C04C5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C04C5A">
              <w:rPr>
                <w:rFonts w:ascii="Calibri" w:hAnsi="Calibri"/>
                <w:sz w:val="22"/>
                <w:szCs w:val="22"/>
              </w:rPr>
              <w:t>Operational and Reputational</w:t>
            </w:r>
          </w:p>
        </w:tc>
        <w:tc>
          <w:tcPr>
            <w:tcW w:w="1275" w:type="dxa"/>
          </w:tcPr>
          <w:p w14:paraId="25CE4D0A" w14:textId="77777777" w:rsidR="002B4D93" w:rsidRPr="00C04C5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C04C5A">
              <w:rPr>
                <w:rFonts w:ascii="Calibri" w:hAnsi="Calibri"/>
                <w:sz w:val="22"/>
                <w:szCs w:val="22"/>
              </w:rPr>
              <w:t>Major</w:t>
            </w:r>
          </w:p>
        </w:tc>
        <w:tc>
          <w:tcPr>
            <w:tcW w:w="1276" w:type="dxa"/>
          </w:tcPr>
          <w:p w14:paraId="766E30C0" w14:textId="77777777" w:rsidR="002B4D93" w:rsidRPr="00C04C5A" w:rsidRDefault="00493E01" w:rsidP="00C04C5A">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C04C5A">
              <w:rPr>
                <w:rFonts w:ascii="Calibri" w:hAnsi="Calibri"/>
                <w:sz w:val="22"/>
                <w:szCs w:val="22"/>
              </w:rPr>
              <w:t>Unlikely</w:t>
            </w:r>
          </w:p>
        </w:tc>
        <w:tc>
          <w:tcPr>
            <w:tcW w:w="3686" w:type="dxa"/>
          </w:tcPr>
          <w:p w14:paraId="7C5137D2" w14:textId="77777777" w:rsidR="00493E01" w:rsidRPr="00A5364C" w:rsidRDefault="00493E01" w:rsidP="00C04C5A">
            <w:pPr>
              <w:pStyle w:val="Normal1"/>
              <w:numPr>
                <w:ilvl w:val="0"/>
                <w:numId w:val="3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 xml:space="preserve">Independent </w:t>
            </w:r>
            <w:proofErr w:type="spellStart"/>
            <w:r w:rsidRPr="00A5364C">
              <w:rPr>
                <w:rFonts w:ascii="Calibri" w:hAnsi="Calibri"/>
                <w:sz w:val="22"/>
                <w:szCs w:val="22"/>
                <w:lang w:val="en-US"/>
              </w:rPr>
              <w:t>commisioning</w:t>
            </w:r>
            <w:proofErr w:type="spellEnd"/>
            <w:r w:rsidRPr="00A5364C">
              <w:rPr>
                <w:rFonts w:ascii="Calibri" w:hAnsi="Calibri"/>
                <w:sz w:val="22"/>
                <w:szCs w:val="22"/>
                <w:lang w:val="en-US"/>
              </w:rPr>
              <w:t xml:space="preserve"> on the </w:t>
            </w:r>
            <w:proofErr w:type="spellStart"/>
            <w:r w:rsidRPr="00A5364C">
              <w:rPr>
                <w:rFonts w:ascii="Calibri" w:hAnsi="Calibri"/>
                <w:sz w:val="22"/>
                <w:szCs w:val="22"/>
                <w:lang w:val="en-US"/>
              </w:rPr>
              <w:t>sustainbility</w:t>
            </w:r>
            <w:proofErr w:type="spellEnd"/>
            <w:r w:rsidRPr="00A5364C">
              <w:rPr>
                <w:rFonts w:ascii="Calibri" w:hAnsi="Calibri"/>
                <w:sz w:val="22"/>
                <w:szCs w:val="22"/>
                <w:lang w:val="en-US"/>
              </w:rPr>
              <w:t xml:space="preserve"> standards (described further below)</w:t>
            </w:r>
          </w:p>
          <w:p w14:paraId="52D78014" w14:textId="77777777" w:rsidR="00C04C5A" w:rsidRPr="00A5364C" w:rsidRDefault="00493E01" w:rsidP="00C04C5A">
            <w:pPr>
              <w:pStyle w:val="Normal1"/>
              <w:numPr>
                <w:ilvl w:val="0"/>
                <w:numId w:val="3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Moni</w:t>
            </w:r>
            <w:r w:rsidR="00C04C5A" w:rsidRPr="00A5364C">
              <w:rPr>
                <w:rFonts w:ascii="Calibri" w:hAnsi="Calibri"/>
                <w:sz w:val="22"/>
                <w:szCs w:val="22"/>
                <w:lang w:val="en-US"/>
              </w:rPr>
              <w:t>toring as part of technical assistance</w:t>
            </w:r>
          </w:p>
          <w:p w14:paraId="305964CB" w14:textId="77777777" w:rsidR="002B4D93" w:rsidRPr="00A5364C" w:rsidRDefault="00C04C5A" w:rsidP="00C04C5A">
            <w:pPr>
              <w:pStyle w:val="Normal1"/>
              <w:numPr>
                <w:ilvl w:val="0"/>
                <w:numId w:val="3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Internal screening to ensure robust sustainability standards</w:t>
            </w:r>
          </w:p>
        </w:tc>
      </w:tr>
      <w:tr w:rsidR="002B4D93" w14:paraId="1F7B7C16" w14:textId="77777777" w:rsidTr="00825206">
        <w:tc>
          <w:tcPr>
            <w:tcW w:w="1985" w:type="dxa"/>
          </w:tcPr>
          <w:p w14:paraId="77D1F903" w14:textId="5035EB6A" w:rsidR="002B4D93" w:rsidRPr="00A5364C"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Potential gr</w:t>
            </w:r>
            <w:r w:rsidR="00A5364C">
              <w:rPr>
                <w:rFonts w:ascii="Calibri" w:hAnsi="Calibri"/>
                <w:sz w:val="22"/>
                <w:szCs w:val="22"/>
                <w:lang w:val="en-US"/>
              </w:rPr>
              <w:t>a</w:t>
            </w:r>
            <w:r w:rsidRPr="00A5364C">
              <w:rPr>
                <w:rFonts w:ascii="Calibri" w:hAnsi="Calibri"/>
                <w:sz w:val="22"/>
                <w:szCs w:val="22"/>
                <w:lang w:val="en-US"/>
              </w:rPr>
              <w:t>duation for ODA eligibi</w:t>
            </w:r>
            <w:r w:rsidR="00A5364C">
              <w:rPr>
                <w:rFonts w:ascii="Calibri" w:hAnsi="Calibri"/>
                <w:sz w:val="22"/>
                <w:szCs w:val="22"/>
                <w:lang w:val="en-US"/>
              </w:rPr>
              <w:t>l</w:t>
            </w:r>
            <w:r w:rsidRPr="00A5364C">
              <w:rPr>
                <w:rFonts w:ascii="Calibri" w:hAnsi="Calibri"/>
                <w:sz w:val="22"/>
                <w:szCs w:val="22"/>
                <w:lang w:val="en-US"/>
              </w:rPr>
              <w:t>ity (Spec</w:t>
            </w:r>
            <w:r w:rsidR="00A5364C">
              <w:rPr>
                <w:rFonts w:ascii="Calibri" w:hAnsi="Calibri"/>
                <w:sz w:val="22"/>
                <w:szCs w:val="22"/>
                <w:lang w:val="en-US"/>
              </w:rPr>
              <w:t>i</w:t>
            </w:r>
            <w:r w:rsidRPr="00A5364C">
              <w:rPr>
                <w:rFonts w:ascii="Calibri" w:hAnsi="Calibri"/>
                <w:sz w:val="22"/>
                <w:szCs w:val="22"/>
                <w:lang w:val="en-US"/>
              </w:rPr>
              <w:t>fically, Panama)</w:t>
            </w:r>
          </w:p>
        </w:tc>
        <w:tc>
          <w:tcPr>
            <w:tcW w:w="1418" w:type="dxa"/>
          </w:tcPr>
          <w:p w14:paraId="4D4AF0D5" w14:textId="77777777" w:rsidR="002B4D93" w:rsidRPr="00D02A7E"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D02A7E">
              <w:rPr>
                <w:rFonts w:ascii="Calibri" w:hAnsi="Calibri"/>
                <w:sz w:val="22"/>
                <w:szCs w:val="22"/>
              </w:rPr>
              <w:t>Operational and Reputational</w:t>
            </w:r>
          </w:p>
        </w:tc>
        <w:tc>
          <w:tcPr>
            <w:tcW w:w="1275" w:type="dxa"/>
          </w:tcPr>
          <w:p w14:paraId="4F060840" w14:textId="77777777" w:rsidR="002B4D93" w:rsidRPr="00D02A7E"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D02A7E">
              <w:rPr>
                <w:rFonts w:ascii="Calibri" w:hAnsi="Calibri"/>
                <w:sz w:val="22"/>
                <w:szCs w:val="22"/>
              </w:rPr>
              <w:t>M</w:t>
            </w:r>
            <w:r w:rsidR="00EA6D65">
              <w:rPr>
                <w:rFonts w:ascii="Calibri" w:hAnsi="Calibri"/>
                <w:sz w:val="22"/>
                <w:szCs w:val="22"/>
              </w:rPr>
              <w:t>oderate</w:t>
            </w:r>
          </w:p>
        </w:tc>
        <w:tc>
          <w:tcPr>
            <w:tcW w:w="1276" w:type="dxa"/>
          </w:tcPr>
          <w:p w14:paraId="3577562B" w14:textId="77777777" w:rsidR="002B4D93" w:rsidRPr="00D02A7E" w:rsidRDefault="00D02A7E" w:rsidP="000004E0">
            <w:pPr>
              <w:pStyle w:val="Normal1"/>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rPr>
            </w:pPr>
            <w:r w:rsidRPr="00D02A7E">
              <w:rPr>
                <w:rFonts w:ascii="Calibri" w:hAnsi="Calibri"/>
                <w:sz w:val="22"/>
                <w:szCs w:val="22"/>
              </w:rPr>
              <w:t>Very Likely</w:t>
            </w:r>
          </w:p>
        </w:tc>
        <w:tc>
          <w:tcPr>
            <w:tcW w:w="3686" w:type="dxa"/>
          </w:tcPr>
          <w:p w14:paraId="3E317E12" w14:textId="77777777" w:rsidR="00D02A7E" w:rsidRPr="00A5364C" w:rsidRDefault="00D02A7E" w:rsidP="00D02A7E">
            <w:pPr>
              <w:pStyle w:val="Normal1"/>
              <w:numPr>
                <w:ilvl w:val="0"/>
                <w:numId w:val="3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Exposure to Panama is being reduced as is closes on ODA graduation</w:t>
            </w:r>
          </w:p>
          <w:p w14:paraId="0BBE5933" w14:textId="6A5B3CB2" w:rsidR="00D02A7E" w:rsidRPr="00A5364C" w:rsidRDefault="00D02A7E" w:rsidP="00D02A7E">
            <w:pPr>
              <w:pStyle w:val="Normal1"/>
              <w:numPr>
                <w:ilvl w:val="0"/>
                <w:numId w:val="3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8C60F6">
              <w:rPr>
                <w:rFonts w:ascii="Calibri" w:hAnsi="Calibri"/>
                <w:sz w:val="22"/>
                <w:szCs w:val="22"/>
              </w:rPr>
              <w:t>Relatively short loan recouperation time, most within 5 years.</w:t>
            </w:r>
          </w:p>
          <w:p w14:paraId="2070B925" w14:textId="1B221CF1" w:rsidR="002B4D93" w:rsidRPr="00A5364C" w:rsidRDefault="00D02A7E" w:rsidP="00D02A7E">
            <w:pPr>
              <w:pStyle w:val="Normal1"/>
              <w:numPr>
                <w:ilvl w:val="0"/>
                <w:numId w:val="3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alibri" w:hAnsi="Calibri"/>
                <w:sz w:val="22"/>
                <w:szCs w:val="22"/>
                <w:lang w:val="en-GB"/>
              </w:rPr>
            </w:pPr>
            <w:r w:rsidRPr="00A5364C">
              <w:rPr>
                <w:rFonts w:ascii="Calibri" w:hAnsi="Calibri"/>
                <w:sz w:val="22"/>
                <w:szCs w:val="22"/>
                <w:lang w:val="en-US"/>
              </w:rPr>
              <w:t xml:space="preserve">Fund is outlining to expand portfolio to other </w:t>
            </w:r>
            <w:r w:rsidR="00990118" w:rsidRPr="00E01F6B">
              <w:rPr>
                <w:rFonts w:ascii="Calibri" w:hAnsi="Calibri"/>
                <w:sz w:val="22"/>
                <w:szCs w:val="22"/>
                <w:lang w:val="en-US"/>
              </w:rPr>
              <w:t>countries</w:t>
            </w:r>
            <w:r w:rsidRPr="00A5364C">
              <w:rPr>
                <w:rFonts w:ascii="Calibri" w:hAnsi="Calibri"/>
                <w:sz w:val="22"/>
                <w:szCs w:val="22"/>
                <w:lang w:val="en-US"/>
              </w:rPr>
              <w:t>, broadening exposure to single country.</w:t>
            </w:r>
          </w:p>
        </w:tc>
      </w:tr>
    </w:tbl>
    <w:p w14:paraId="5F5421F2" w14:textId="77777777" w:rsidR="004B6C6C" w:rsidRDefault="004B6C6C" w:rsidP="000004E0">
      <w:pPr>
        <w:pStyle w:val="Normal1"/>
        <w:spacing w:after="120" w:line="276" w:lineRule="auto"/>
        <w:rPr>
          <w:rFonts w:ascii="Calibri" w:hAnsi="Calibri"/>
          <w:b/>
          <w:sz w:val="22"/>
          <w:szCs w:val="22"/>
        </w:rPr>
      </w:pPr>
    </w:p>
    <w:p w14:paraId="39A72578" w14:textId="77777777" w:rsidR="004B6C6C" w:rsidRDefault="004B6C6C" w:rsidP="000004E0">
      <w:pPr>
        <w:pStyle w:val="Normal1"/>
        <w:spacing w:after="120" w:line="276" w:lineRule="auto"/>
        <w:rPr>
          <w:rFonts w:ascii="Calibri" w:hAnsi="Calibri"/>
          <w:b/>
          <w:sz w:val="22"/>
          <w:szCs w:val="22"/>
        </w:rPr>
      </w:pPr>
    </w:p>
    <w:p w14:paraId="5C553D4A" w14:textId="77777777" w:rsidR="004B6C6C" w:rsidRDefault="004B6C6C" w:rsidP="000004E0">
      <w:pPr>
        <w:pStyle w:val="Normal1"/>
        <w:spacing w:after="120" w:line="276" w:lineRule="auto"/>
        <w:rPr>
          <w:rFonts w:ascii="Calibri" w:hAnsi="Calibri"/>
          <w:b/>
          <w:sz w:val="22"/>
          <w:szCs w:val="22"/>
        </w:rPr>
      </w:pPr>
    </w:p>
    <w:p w14:paraId="4D1D31C6" w14:textId="77777777" w:rsidR="004B6C6C" w:rsidRDefault="004B6C6C" w:rsidP="000004E0">
      <w:pPr>
        <w:pStyle w:val="Normal1"/>
        <w:spacing w:after="120" w:line="276" w:lineRule="auto"/>
        <w:rPr>
          <w:rFonts w:ascii="Calibri" w:hAnsi="Calibri"/>
          <w:b/>
          <w:sz w:val="22"/>
          <w:szCs w:val="22"/>
        </w:rPr>
      </w:pPr>
    </w:p>
    <w:p w14:paraId="71FD1B07" w14:textId="77777777" w:rsidR="004D37D7" w:rsidRPr="00C04C5A" w:rsidRDefault="00C04C5A" w:rsidP="000004E0">
      <w:pPr>
        <w:pStyle w:val="Normal1"/>
        <w:spacing w:after="120" w:line="276" w:lineRule="auto"/>
        <w:rPr>
          <w:rFonts w:ascii="Calibri" w:hAnsi="Calibri"/>
          <w:sz w:val="22"/>
          <w:szCs w:val="22"/>
          <w:u w:val="single"/>
        </w:rPr>
      </w:pPr>
      <w:r w:rsidRPr="00C04C5A">
        <w:rPr>
          <w:rFonts w:ascii="Calibri" w:hAnsi="Calibri"/>
          <w:sz w:val="22"/>
          <w:szCs w:val="22"/>
          <w:u w:val="single"/>
        </w:rPr>
        <w:lastRenderedPageBreak/>
        <w:t>Further description</w:t>
      </w:r>
    </w:p>
    <w:p w14:paraId="1602D574" w14:textId="77777777" w:rsidR="00F860CF" w:rsidRDefault="00C04C5A" w:rsidP="000004E0">
      <w:pPr>
        <w:pStyle w:val="Normal1"/>
        <w:spacing w:after="120" w:line="276" w:lineRule="auto"/>
        <w:rPr>
          <w:rFonts w:ascii="Calibri" w:hAnsi="Calibri"/>
          <w:sz w:val="22"/>
          <w:szCs w:val="22"/>
        </w:rPr>
      </w:pPr>
      <w:r>
        <w:rPr>
          <w:rFonts w:ascii="Calibri" w:hAnsi="Calibri"/>
          <w:sz w:val="22"/>
          <w:szCs w:val="22"/>
        </w:rPr>
        <w:t>M</w:t>
      </w:r>
      <w:r w:rsidR="004D37D7">
        <w:rPr>
          <w:rFonts w:ascii="Calibri" w:hAnsi="Calibri"/>
          <w:sz w:val="22"/>
          <w:szCs w:val="22"/>
        </w:rPr>
        <w:t>ajor risks are:</w:t>
      </w:r>
    </w:p>
    <w:p w14:paraId="05C38B00" w14:textId="6505C5FA" w:rsidR="004D37D7" w:rsidRDefault="004D37D7" w:rsidP="001D284C">
      <w:pPr>
        <w:pStyle w:val="Normal1"/>
        <w:numPr>
          <w:ilvl w:val="0"/>
          <w:numId w:val="15"/>
        </w:numPr>
        <w:spacing w:after="120" w:line="276" w:lineRule="auto"/>
        <w:rPr>
          <w:rFonts w:ascii="Calibri" w:hAnsi="Calibri"/>
          <w:sz w:val="22"/>
          <w:szCs w:val="22"/>
        </w:rPr>
      </w:pPr>
      <w:r w:rsidRPr="004265A7">
        <w:rPr>
          <w:rFonts w:ascii="Calibri" w:hAnsi="Calibri"/>
          <w:sz w:val="22"/>
          <w:szCs w:val="22"/>
        </w:rPr>
        <w:t xml:space="preserve">Unrest in Nicaragua - President Ortega's attempt to reform the pension system has triggered protest and strikes. </w:t>
      </w:r>
      <w:r w:rsidR="00510E3B">
        <w:rPr>
          <w:rFonts w:ascii="Calibri" w:hAnsi="Calibri"/>
          <w:sz w:val="22"/>
          <w:szCs w:val="22"/>
        </w:rPr>
        <w:t>The</w:t>
      </w:r>
      <w:r w:rsidR="007D3D39">
        <w:rPr>
          <w:rFonts w:ascii="Calibri" w:hAnsi="Calibri"/>
          <w:sz w:val="22"/>
          <w:szCs w:val="22"/>
        </w:rPr>
        <w:t>r</w:t>
      </w:r>
      <w:r w:rsidR="00510E3B">
        <w:rPr>
          <w:rFonts w:ascii="Calibri" w:hAnsi="Calibri"/>
          <w:sz w:val="22"/>
          <w:szCs w:val="22"/>
        </w:rPr>
        <w:t>e is a v</w:t>
      </w:r>
      <w:r w:rsidRPr="004265A7">
        <w:rPr>
          <w:rFonts w:ascii="Calibri" w:hAnsi="Calibri"/>
          <w:sz w:val="22"/>
          <w:szCs w:val="22"/>
        </w:rPr>
        <w:t>ery high political risk of a deteriorating security situation.</w:t>
      </w:r>
      <w:r w:rsidR="00E00CF7">
        <w:rPr>
          <w:rFonts w:ascii="Calibri" w:hAnsi="Calibri"/>
          <w:sz w:val="22"/>
          <w:szCs w:val="22"/>
        </w:rPr>
        <w:t xml:space="preserve"> As of </w:t>
      </w:r>
      <w:r w:rsidR="00E00CF7" w:rsidRPr="00E00CF7">
        <w:rPr>
          <w:rFonts w:ascii="Calibri" w:hAnsi="Calibri"/>
          <w:sz w:val="22"/>
          <w:szCs w:val="22"/>
        </w:rPr>
        <w:t>January 18, 2019</w:t>
      </w:r>
      <w:r w:rsidR="00E00CF7">
        <w:rPr>
          <w:rFonts w:ascii="Calibri" w:hAnsi="Calibri"/>
          <w:sz w:val="22"/>
          <w:szCs w:val="22"/>
        </w:rPr>
        <w:t xml:space="preserve"> the government looks to be opposed to negotiation, suspending Inter-American on Human Rights (IACHR) monitoring team. President Trump has also signed into law a series of funding restrictions, directed at the government, rather than private institutions. An acceleration in the outflow of deposits occurred in December, 2018.</w:t>
      </w:r>
      <w:r w:rsidRPr="001D284C">
        <w:rPr>
          <w:rFonts w:ascii="Calibri" w:hAnsi="Calibri"/>
          <w:sz w:val="22"/>
          <w:szCs w:val="22"/>
        </w:rPr>
        <w:t xml:space="preserve"> Unrest could lead to deteriorating economic stability, deteriorating investment climate and a resulting impact on the banking system causing lower portfolio growth.</w:t>
      </w:r>
    </w:p>
    <w:p w14:paraId="39B839E5" w14:textId="77777777" w:rsidR="00FA2112" w:rsidRDefault="00FA2112" w:rsidP="00FA2112">
      <w:pPr>
        <w:pStyle w:val="Normal1"/>
        <w:spacing w:after="120" w:line="276" w:lineRule="auto"/>
        <w:ind w:left="720"/>
        <w:rPr>
          <w:rFonts w:ascii="Calibri" w:hAnsi="Calibri"/>
          <w:sz w:val="22"/>
          <w:szCs w:val="22"/>
          <w:u w:val="single"/>
        </w:rPr>
      </w:pPr>
      <w:r w:rsidRPr="00FA2112">
        <w:rPr>
          <w:rFonts w:ascii="Calibri" w:hAnsi="Calibri"/>
          <w:sz w:val="22"/>
          <w:szCs w:val="22"/>
          <w:u w:val="single"/>
        </w:rPr>
        <w:t>Mitigation:</w:t>
      </w:r>
    </w:p>
    <w:p w14:paraId="6B91D730" w14:textId="77777777" w:rsidR="00FA2112" w:rsidRDefault="00FA2112" w:rsidP="00FA2112">
      <w:pPr>
        <w:pStyle w:val="Normal1"/>
        <w:spacing w:after="120" w:line="276" w:lineRule="auto"/>
        <w:ind w:left="720"/>
        <w:rPr>
          <w:rFonts w:ascii="Calibri" w:hAnsi="Calibri"/>
          <w:sz w:val="22"/>
          <w:szCs w:val="22"/>
        </w:rPr>
      </w:pPr>
      <w:r>
        <w:rPr>
          <w:rFonts w:ascii="Calibri" w:hAnsi="Calibri"/>
          <w:sz w:val="22"/>
          <w:szCs w:val="22"/>
        </w:rPr>
        <w:t>The fund does not currently have any pipelined investments into Nicaragua. There is also no indication of FI being unable to maintain regular payments, and none so into the future</w:t>
      </w:r>
      <w:r w:rsidR="00066A36">
        <w:rPr>
          <w:rFonts w:ascii="Calibri" w:hAnsi="Calibri"/>
          <w:sz w:val="22"/>
          <w:szCs w:val="22"/>
        </w:rPr>
        <w:t>, which reduces are assessment of this risk to the fund</w:t>
      </w:r>
      <w:r>
        <w:rPr>
          <w:rFonts w:ascii="Calibri" w:hAnsi="Calibri"/>
          <w:sz w:val="22"/>
          <w:szCs w:val="22"/>
        </w:rPr>
        <w:t xml:space="preserve">. </w:t>
      </w:r>
    </w:p>
    <w:p w14:paraId="54F933D6" w14:textId="05A0DA36" w:rsidR="00B11A9E" w:rsidRDefault="0028768C">
      <w:pPr>
        <w:pStyle w:val="ListParagraph"/>
        <w:numPr>
          <w:ilvl w:val="0"/>
          <w:numId w:val="15"/>
        </w:numPr>
      </w:pPr>
      <w:r>
        <w:t>C</w:t>
      </w:r>
      <w:r w:rsidR="00CB29DD">
        <w:t xml:space="preserve">hange in the list of eligible standards, </w:t>
      </w:r>
      <w:r>
        <w:t xml:space="preserve">especially the removal of standards which had previously been considered eligible, may generate additional uncertainties in the fund’s commercial relationships with its partner institutions. In 2017 the list of eligible sustainability standard labels was adjusted to reflect the findings of a study submitted by </w:t>
      </w:r>
      <w:r w:rsidR="00896C67">
        <w:t>a</w:t>
      </w:r>
      <w:r>
        <w:t xml:space="preserve"> consultancy firm</w:t>
      </w:r>
      <w:r w:rsidR="00896C67">
        <w:t xml:space="preserve"> and </w:t>
      </w:r>
      <w:r>
        <w:t xml:space="preserve">a standard with significant penetration in Latin America for several of its major crops, such as coffee, was one of the labels that failed to pass this new screening. </w:t>
      </w:r>
    </w:p>
    <w:p w14:paraId="77468C0E" w14:textId="77777777" w:rsidR="00493E01" w:rsidRPr="0006240C" w:rsidRDefault="00493E01" w:rsidP="00896C67">
      <w:pPr>
        <w:pStyle w:val="ListParagraph"/>
        <w:rPr>
          <w:u w:val="single"/>
        </w:rPr>
      </w:pPr>
      <w:r w:rsidRPr="0006240C">
        <w:rPr>
          <w:u w:val="single"/>
        </w:rPr>
        <w:t>Mitigation</w:t>
      </w:r>
    </w:p>
    <w:p w14:paraId="5A6C27D6" w14:textId="4900E981" w:rsidR="00C04C5A" w:rsidRDefault="0028768C" w:rsidP="00C04C5A">
      <w:pPr>
        <w:ind w:left="720"/>
      </w:pPr>
      <w:r>
        <w:t xml:space="preserve">A study was </w:t>
      </w:r>
      <w:r w:rsidR="00B11A9E" w:rsidRPr="00493E01">
        <w:t xml:space="preserve">commissioned </w:t>
      </w:r>
      <w:r>
        <w:t xml:space="preserve">with the purpose of </w:t>
      </w:r>
      <w:r w:rsidR="00B11A9E" w:rsidRPr="00493E01">
        <w:t>further modif</w:t>
      </w:r>
      <w:r>
        <w:t xml:space="preserve">ying </w:t>
      </w:r>
      <w:r w:rsidR="00B11A9E" w:rsidRPr="00493E01">
        <w:t>the list</w:t>
      </w:r>
      <w:r>
        <w:t xml:space="preserve">. This resulted in the </w:t>
      </w:r>
      <w:r w:rsidR="00B11A9E" w:rsidRPr="00493E01">
        <w:t>rejection of certain relatively minor labels and the inclusion of several new ones, among which many are related to fisheries and aquaculture.</w:t>
      </w:r>
      <w:r w:rsidR="00CB29DD" w:rsidRPr="00493E01">
        <w:t xml:space="preserve"> In 2018, the list of eligibility standards </w:t>
      </w:r>
      <w:r w:rsidR="007D3D39" w:rsidRPr="00493E01">
        <w:t>was</w:t>
      </w:r>
      <w:r w:rsidR="00CB29DD" w:rsidRPr="00493E01">
        <w:t xml:space="preserve"> further screened</w:t>
      </w:r>
      <w:r w:rsidR="00BF2DE0" w:rsidRPr="00493E01">
        <w:t xml:space="preserve"> to assess in more depth the requirements related to deforestation: this study did not significantly alter the list of eligible standards but allowed to better understand their linkages with deforestation and to set additional safeguards for the standards that did not fully passed the deforestation screening.</w:t>
      </w:r>
    </w:p>
    <w:p w14:paraId="02412532" w14:textId="77777777" w:rsidR="00C04C5A" w:rsidRDefault="00C04C5A" w:rsidP="00C04C5A">
      <w:pPr>
        <w:ind w:left="720"/>
      </w:pPr>
    </w:p>
    <w:p w14:paraId="183CAA96" w14:textId="77777777" w:rsidR="00C04C5A" w:rsidRDefault="00C04C5A" w:rsidP="00C04C5A">
      <w:pPr>
        <w:ind w:left="720"/>
      </w:pPr>
    </w:p>
    <w:p w14:paraId="669200EA" w14:textId="449C2CAB" w:rsidR="004B6C6C" w:rsidRPr="00731F99" w:rsidRDefault="00731F99" w:rsidP="00731F99">
      <w:pPr>
        <w:spacing w:before="0" w:line="240" w:lineRule="auto"/>
        <w:jc w:val="center"/>
      </w:pPr>
      <w:r>
        <w:br w:type="page"/>
      </w:r>
    </w:p>
    <w:p w14:paraId="0A39F724" w14:textId="41A59016" w:rsidR="000004E0" w:rsidRPr="00D0005A" w:rsidRDefault="007D3D39" w:rsidP="004265A7">
      <w:pPr>
        <w:pStyle w:val="Heading2"/>
      </w:pPr>
      <w:bookmarkStart w:id="8" w:name="_Toc15984390"/>
      <w:r>
        <w:lastRenderedPageBreak/>
        <w:t>E</w:t>
      </w:r>
      <w:r w:rsidR="000004E0" w:rsidRPr="00D0005A">
        <w:t>: COMMERCIAL CONSIDERATIO</w:t>
      </w:r>
      <w:r w:rsidR="00022D29">
        <w:t>NS</w:t>
      </w:r>
      <w:bookmarkEnd w:id="8"/>
    </w:p>
    <w:p w14:paraId="6CCAC34B" w14:textId="77777777" w:rsidR="00A200DE" w:rsidRDefault="00A200DE" w:rsidP="00A200DE">
      <w:pPr>
        <w:pStyle w:val="Normal1"/>
        <w:spacing w:after="120" w:line="276" w:lineRule="auto"/>
        <w:rPr>
          <w:rFonts w:ascii="Calibri" w:hAnsi="Calibri"/>
          <w:sz w:val="22"/>
          <w:szCs w:val="22"/>
        </w:rPr>
      </w:pPr>
    </w:p>
    <w:p w14:paraId="39B2FC52" w14:textId="78FD3B9F" w:rsidR="004265A7" w:rsidRPr="00300800" w:rsidRDefault="00A200DE" w:rsidP="00300800">
      <w:pPr>
        <w:pStyle w:val="Normal1"/>
        <w:spacing w:after="120" w:line="276" w:lineRule="auto"/>
        <w:jc w:val="both"/>
        <w:rPr>
          <w:rFonts w:ascii="Calibri" w:hAnsi="Calibri"/>
          <w:sz w:val="22"/>
          <w:szCs w:val="22"/>
          <w:lang w:val="en-US"/>
        </w:rPr>
      </w:pPr>
      <w:r>
        <w:rPr>
          <w:rFonts w:ascii="Calibri" w:hAnsi="Calibri"/>
          <w:sz w:val="22"/>
          <w:szCs w:val="22"/>
        </w:rPr>
        <w:t xml:space="preserve">As of the end of 2018, 13 partner FIs have received financing from the </w:t>
      </w:r>
      <w:r w:rsidR="00510E3B">
        <w:rPr>
          <w:rFonts w:ascii="Calibri" w:hAnsi="Calibri"/>
          <w:sz w:val="22"/>
          <w:szCs w:val="22"/>
        </w:rPr>
        <w:t>EBF</w:t>
      </w:r>
      <w:r>
        <w:rPr>
          <w:rFonts w:ascii="Calibri" w:hAnsi="Calibri"/>
          <w:sz w:val="22"/>
          <w:szCs w:val="22"/>
        </w:rPr>
        <w:t>. As well as the commercial contribution to FIs, EBF also continues to support the investment, often through</w:t>
      </w:r>
      <w:r w:rsidR="00510E3B">
        <w:rPr>
          <w:rFonts w:ascii="Calibri" w:hAnsi="Calibri"/>
          <w:sz w:val="22"/>
          <w:szCs w:val="22"/>
        </w:rPr>
        <w:t xml:space="preserve"> TA</w:t>
      </w:r>
      <w:r>
        <w:rPr>
          <w:rFonts w:ascii="Calibri" w:hAnsi="Calibri"/>
          <w:sz w:val="22"/>
          <w:szCs w:val="22"/>
        </w:rPr>
        <w:t xml:space="preserve"> through establishing or improving </w:t>
      </w:r>
      <w:r w:rsidRPr="00A200DE">
        <w:rPr>
          <w:rFonts w:ascii="Calibri" w:hAnsi="Calibri"/>
          <w:sz w:val="22"/>
          <w:szCs w:val="22"/>
        </w:rPr>
        <w:t>ESMS</w:t>
      </w:r>
      <w:r>
        <w:rPr>
          <w:rFonts w:ascii="Calibri" w:hAnsi="Calibri"/>
          <w:sz w:val="22"/>
          <w:szCs w:val="22"/>
        </w:rPr>
        <w:t xml:space="preserve"> practices</w:t>
      </w:r>
      <w:r w:rsidRPr="00A200DE">
        <w:rPr>
          <w:rFonts w:ascii="Calibri" w:hAnsi="Calibri"/>
          <w:sz w:val="22"/>
          <w:szCs w:val="22"/>
        </w:rPr>
        <w:t xml:space="preserve"> and satellite monitoring</w:t>
      </w:r>
      <w:r>
        <w:rPr>
          <w:rFonts w:ascii="Calibri" w:hAnsi="Calibri"/>
          <w:sz w:val="22"/>
          <w:szCs w:val="22"/>
        </w:rPr>
        <w:t xml:space="preserve">. </w:t>
      </w:r>
      <w:r w:rsidR="007D3D39">
        <w:rPr>
          <w:rFonts w:ascii="Calibri" w:hAnsi="Calibri"/>
          <w:sz w:val="22"/>
          <w:szCs w:val="22"/>
        </w:rPr>
        <w:t>Additionally,</w:t>
      </w:r>
      <w:r>
        <w:rPr>
          <w:rFonts w:ascii="Calibri" w:hAnsi="Calibri"/>
          <w:sz w:val="22"/>
          <w:szCs w:val="22"/>
        </w:rPr>
        <w:t xml:space="preserve"> EBF provides capacity building to FI staff enhancing awareness and expertise in delivering finance to environmentally sustainable businesses. </w:t>
      </w:r>
      <w:r w:rsidR="006C646C">
        <w:rPr>
          <w:rFonts w:ascii="Calibri" w:hAnsi="Calibri"/>
          <w:sz w:val="22"/>
          <w:szCs w:val="22"/>
        </w:rPr>
        <w:t>For example, technical assistance has been provided in the form of trainings to several staff of the fund</w:t>
      </w:r>
      <w:r w:rsidR="006C646C">
        <w:rPr>
          <w:rFonts w:ascii="Calibri" w:hAnsi="Calibri"/>
          <w:sz w:val="22"/>
          <w:szCs w:val="22"/>
          <w:lang w:val="en-US"/>
        </w:rPr>
        <w:t>’s partner institutions on t</w:t>
      </w:r>
      <w:r w:rsidR="0028768C">
        <w:rPr>
          <w:rFonts w:ascii="Calibri" w:hAnsi="Calibri"/>
          <w:sz w:val="22"/>
          <w:szCs w:val="22"/>
          <w:lang w:val="en-US"/>
        </w:rPr>
        <w:t xml:space="preserve">he development and </w:t>
      </w:r>
      <w:proofErr w:type="spellStart"/>
      <w:r w:rsidR="0028768C">
        <w:rPr>
          <w:rFonts w:ascii="Calibri" w:hAnsi="Calibri"/>
          <w:sz w:val="22"/>
          <w:szCs w:val="22"/>
          <w:lang w:val="en-US"/>
        </w:rPr>
        <w:t>operationalis</w:t>
      </w:r>
      <w:r w:rsidR="006C646C">
        <w:rPr>
          <w:rFonts w:ascii="Calibri" w:hAnsi="Calibri"/>
          <w:sz w:val="22"/>
          <w:szCs w:val="22"/>
          <w:lang w:val="en-US"/>
        </w:rPr>
        <w:t>ation</w:t>
      </w:r>
      <w:proofErr w:type="spellEnd"/>
      <w:r w:rsidR="006C646C">
        <w:rPr>
          <w:rFonts w:ascii="Calibri" w:hAnsi="Calibri"/>
          <w:sz w:val="22"/>
          <w:szCs w:val="22"/>
          <w:lang w:val="en-US"/>
        </w:rPr>
        <w:t xml:space="preserve"> of environmental and social management systems (). Technical training on the use of land-use/land-cover monitoring tools have also been provided to staff from partner institutions in Panama and Nicaragua to support the investments in sustainable livestock production.</w:t>
      </w:r>
    </w:p>
    <w:p w14:paraId="2286BB2B" w14:textId="77777777" w:rsidR="00A200DE" w:rsidRPr="00300800" w:rsidRDefault="00A200DE" w:rsidP="00A200DE">
      <w:pPr>
        <w:pStyle w:val="Normal1"/>
        <w:spacing w:after="120" w:line="276" w:lineRule="auto"/>
        <w:rPr>
          <w:rFonts w:ascii="Calibri" w:hAnsi="Calibri"/>
          <w:sz w:val="22"/>
          <w:szCs w:val="22"/>
          <w:lang w:val="en-US"/>
        </w:rPr>
      </w:pPr>
    </w:p>
    <w:p w14:paraId="25C7313F" w14:textId="18483A7B" w:rsidR="000004E0" w:rsidRPr="00D0005A" w:rsidRDefault="00CD412F" w:rsidP="004265A7">
      <w:pPr>
        <w:pStyle w:val="Heading2"/>
      </w:pPr>
      <w:bookmarkStart w:id="9" w:name="_Toc15984391"/>
      <w:r>
        <w:t>F</w:t>
      </w:r>
      <w:r w:rsidR="00022D29">
        <w:t>: CONDITIONALITY</w:t>
      </w:r>
      <w:bookmarkEnd w:id="9"/>
    </w:p>
    <w:p w14:paraId="63110109" w14:textId="333CEB61" w:rsidR="001F1DE6" w:rsidRPr="00AA3B2C" w:rsidRDefault="00EE4C1B" w:rsidP="001F1DE6">
      <w:pPr>
        <w:pStyle w:val="Normal1"/>
        <w:spacing w:after="120" w:line="276" w:lineRule="auto"/>
        <w:rPr>
          <w:rFonts w:ascii="Calibri" w:hAnsi="Calibri"/>
          <w:sz w:val="22"/>
          <w:szCs w:val="22"/>
        </w:rPr>
      </w:pPr>
      <w:r>
        <w:rPr>
          <w:rFonts w:ascii="Calibri" w:hAnsi="Calibri"/>
          <w:sz w:val="22"/>
          <w:szCs w:val="22"/>
        </w:rPr>
        <w:t>Under</w:t>
      </w:r>
      <w:r w:rsidR="001F1DE6">
        <w:rPr>
          <w:rFonts w:ascii="Calibri" w:hAnsi="Calibri"/>
          <w:sz w:val="22"/>
          <w:szCs w:val="22"/>
        </w:rPr>
        <w:t xml:space="preserve"> EBF underlying legal documentation Defra has safeguards to protect the key</w:t>
      </w:r>
      <w:r>
        <w:rPr>
          <w:rFonts w:ascii="Calibri" w:hAnsi="Calibri"/>
          <w:sz w:val="22"/>
          <w:szCs w:val="22"/>
        </w:rPr>
        <w:t xml:space="preserve"> investment mandate </w:t>
      </w:r>
      <w:r w:rsidR="001F1DE6">
        <w:rPr>
          <w:rFonts w:ascii="Calibri" w:hAnsi="Calibri"/>
          <w:sz w:val="22"/>
          <w:szCs w:val="22"/>
        </w:rPr>
        <w:t>of the fund. This includes ensuring in</w:t>
      </w:r>
      <w:r w:rsidR="0028768C">
        <w:rPr>
          <w:rFonts w:ascii="Calibri" w:hAnsi="Calibri"/>
          <w:sz w:val="22"/>
          <w:szCs w:val="22"/>
        </w:rPr>
        <w:t xml:space="preserve">vestments must be made into ODA </w:t>
      </w:r>
      <w:r w:rsidR="001F1DE6">
        <w:rPr>
          <w:rFonts w:ascii="Calibri" w:hAnsi="Calibri"/>
          <w:sz w:val="22"/>
          <w:szCs w:val="22"/>
        </w:rPr>
        <w:t xml:space="preserve">eligible countries </w:t>
      </w:r>
      <w:r w:rsidR="0028768C">
        <w:rPr>
          <w:rFonts w:ascii="Calibri" w:hAnsi="Calibri"/>
          <w:sz w:val="22"/>
          <w:szCs w:val="22"/>
        </w:rPr>
        <w:t xml:space="preserve">and </w:t>
      </w:r>
      <w:r w:rsidR="001F1DE6">
        <w:rPr>
          <w:rFonts w:ascii="Calibri" w:hAnsi="Calibri"/>
          <w:sz w:val="22"/>
          <w:szCs w:val="22"/>
        </w:rPr>
        <w:t xml:space="preserve">downstream businesses must meet a criteria of the environmental sustainability certification or </w:t>
      </w:r>
      <w:r w:rsidR="0028768C">
        <w:rPr>
          <w:rFonts w:ascii="Calibri" w:hAnsi="Calibri"/>
          <w:sz w:val="22"/>
          <w:szCs w:val="22"/>
        </w:rPr>
        <w:t xml:space="preserve">green list </w:t>
      </w:r>
      <w:r w:rsidR="001F1DE6">
        <w:rPr>
          <w:rFonts w:ascii="Calibri" w:hAnsi="Calibri"/>
          <w:sz w:val="22"/>
          <w:szCs w:val="22"/>
        </w:rPr>
        <w:t xml:space="preserve">activities, and can only be amended or updated with Board of Director approvals, of whom represent the </w:t>
      </w:r>
      <w:proofErr w:type="spellStart"/>
      <w:r w:rsidR="001F1DE6">
        <w:rPr>
          <w:rFonts w:ascii="Calibri" w:hAnsi="Calibri"/>
          <w:sz w:val="22"/>
          <w:szCs w:val="22"/>
        </w:rPr>
        <w:t>shareholders</w:t>
      </w:r>
      <w:proofErr w:type="spellEnd"/>
      <w:r w:rsidR="001F1DE6">
        <w:rPr>
          <w:rFonts w:ascii="Calibri" w:hAnsi="Calibri"/>
          <w:sz w:val="22"/>
          <w:szCs w:val="22"/>
        </w:rPr>
        <w:t xml:space="preserve"> interests. </w:t>
      </w:r>
    </w:p>
    <w:p w14:paraId="5A5506F7" w14:textId="1793112D" w:rsidR="00022D29" w:rsidRPr="00213FE4" w:rsidRDefault="00EE4C1B" w:rsidP="004265A7">
      <w:pPr>
        <w:pStyle w:val="Heading2"/>
      </w:pPr>
      <w:bookmarkStart w:id="10" w:name="_Toc15984392"/>
      <w:r>
        <w:t>G</w:t>
      </w:r>
      <w:r w:rsidR="00022D29">
        <w:t>: MONITORING &amp; EVALUATION</w:t>
      </w:r>
      <w:bookmarkEnd w:id="10"/>
    </w:p>
    <w:p w14:paraId="0AF908A7" w14:textId="77777777" w:rsidR="000004E0" w:rsidRPr="00D0005A" w:rsidRDefault="000004E0" w:rsidP="000004E0">
      <w:pPr>
        <w:pStyle w:val="Normal1"/>
        <w:spacing w:after="120" w:line="276" w:lineRule="auto"/>
        <w:rPr>
          <w:rFonts w:ascii="Calibri" w:hAnsi="Calibri"/>
          <w:sz w:val="22"/>
          <w:szCs w:val="22"/>
        </w:rPr>
      </w:pPr>
      <w:r w:rsidRPr="00D0005A">
        <w:rPr>
          <w:rFonts w:ascii="Calibri" w:hAnsi="Calibri"/>
          <w:b/>
          <w:sz w:val="22"/>
          <w:szCs w:val="22"/>
        </w:rPr>
        <w:t>Evidence and evaluation</w:t>
      </w:r>
    </w:p>
    <w:p w14:paraId="0ECD96C2" w14:textId="27E84129" w:rsidR="004D37D7" w:rsidRDefault="000004E0" w:rsidP="004D37D7">
      <w:r w:rsidRPr="00D0005A">
        <w:t xml:space="preserve">The theory of change </w:t>
      </w:r>
      <w:r w:rsidR="004D37D7">
        <w:t>for</w:t>
      </w:r>
      <w:r w:rsidRPr="00D0005A">
        <w:t xml:space="preserve"> the </w:t>
      </w:r>
      <w:r w:rsidR="00510E3B">
        <w:t>EB</w:t>
      </w:r>
      <w:r w:rsidRPr="00D0005A">
        <w:t>F</w:t>
      </w:r>
      <w:r w:rsidR="00510E3B">
        <w:t xml:space="preserve"> </w:t>
      </w:r>
      <w:r w:rsidR="004D37D7">
        <w:t xml:space="preserve">states </w:t>
      </w:r>
      <w:r w:rsidRPr="00D0005A">
        <w:t xml:space="preserve">that the </w:t>
      </w:r>
      <w:r w:rsidR="00510E3B">
        <w:t>EBF</w:t>
      </w:r>
      <w:r w:rsidRPr="00D0005A">
        <w:t xml:space="preserve"> </w:t>
      </w:r>
      <w:r w:rsidR="004D37D7">
        <w:t>should carry</w:t>
      </w:r>
      <w:r w:rsidRPr="00D0005A">
        <w:t xml:space="preserve"> out specific activities that lead to positive effects, or short-term outcomes, which in turn trigger long-term change</w:t>
      </w:r>
      <w:r w:rsidR="004B6C6C">
        <w:t xml:space="preserve"> (Annex 1)</w:t>
      </w:r>
      <w:r w:rsidRPr="00D0005A">
        <w:t xml:space="preserve">. Although the two impact pathways (FIs and businesses) have their own route towards achieving the ultimate outcome, they reinforce </w:t>
      </w:r>
      <w:r w:rsidR="00EE4C1B" w:rsidRPr="00D0005A">
        <w:t>one another,</w:t>
      </w:r>
      <w:r w:rsidRPr="00D0005A">
        <w:t xml:space="preserve"> and this reinforcement is crucial to driving transformational change in the market. </w:t>
      </w:r>
    </w:p>
    <w:p w14:paraId="001D4AC6" w14:textId="77777777" w:rsidR="00B867F2" w:rsidRPr="00B867F2" w:rsidRDefault="00B867F2" w:rsidP="004D37D7">
      <w:pPr>
        <w:rPr>
          <w:u w:val="single"/>
        </w:rPr>
      </w:pPr>
      <w:r w:rsidRPr="00B867F2">
        <w:rPr>
          <w:u w:val="single"/>
        </w:rPr>
        <w:t>The impact framework</w:t>
      </w:r>
    </w:p>
    <w:p w14:paraId="7ECA4D8A" w14:textId="3198CF9C" w:rsidR="00B867F2" w:rsidRPr="00E53A89" w:rsidRDefault="00B867F2" w:rsidP="004D37D7">
      <w:r>
        <w:t>The impact framework</w:t>
      </w:r>
      <w:r w:rsidR="004B6C6C">
        <w:t xml:space="preserve"> has been developed by the fund managers (</w:t>
      </w:r>
      <w:proofErr w:type="spellStart"/>
      <w:r w:rsidR="004B6C6C">
        <w:t>FiM</w:t>
      </w:r>
      <w:proofErr w:type="spellEnd"/>
      <w:r w:rsidR="004B6C6C">
        <w:t>) by recommendation of the Board of Directors, supported by Defra. This is to ensure that environmental impact is integral to the funds operations – in addition to commercial viability. The</w:t>
      </w:r>
      <w:r w:rsidR="0028768C">
        <w:t xml:space="preserve"> impact framework </w:t>
      </w:r>
      <w:r>
        <w:t>has been fin</w:t>
      </w:r>
      <w:r w:rsidR="00D01584">
        <w:t>alised this year</w:t>
      </w:r>
      <w:r w:rsidR="000874BB">
        <w:t xml:space="preserve"> (Figure A</w:t>
      </w:r>
      <w:r w:rsidR="004A5290">
        <w:t>)</w:t>
      </w:r>
      <w:r w:rsidR="00D01584">
        <w:t>, and we expect to</w:t>
      </w:r>
      <w:r>
        <w:t xml:space="preserve"> have </w:t>
      </w:r>
      <w:r w:rsidR="00D01584">
        <w:t xml:space="preserve">an initial report on </w:t>
      </w:r>
      <w:r w:rsidR="00E53A89">
        <w:t xml:space="preserve">the </w:t>
      </w:r>
      <w:r w:rsidR="00D01584">
        <w:t xml:space="preserve">EBF results </w:t>
      </w:r>
      <w:r w:rsidR="00E53A89">
        <w:t>through this impact framework in mid-2019. The Impact Framework connects the actions of the fund with key outputs</w:t>
      </w:r>
      <w:r w:rsidR="006C646C">
        <w:t>,</w:t>
      </w:r>
      <w:r w:rsidR="00E53A89">
        <w:t xml:space="preserve"> outcomes</w:t>
      </w:r>
      <w:r w:rsidR="006C646C">
        <w:t xml:space="preserve"> and final impacts</w:t>
      </w:r>
      <w:r w:rsidR="00E53A89">
        <w:t>, and describes how this progress will be measured and reported.</w:t>
      </w:r>
    </w:p>
    <w:p w14:paraId="320DAF81" w14:textId="77777777" w:rsidR="00B867F2" w:rsidRPr="00213FE4" w:rsidRDefault="004B6C6C" w:rsidP="004D37D7">
      <w:pPr>
        <w:rPr>
          <w:u w:val="single"/>
        </w:rPr>
      </w:pPr>
      <w:r w:rsidRPr="00213FE4">
        <w:rPr>
          <w:u w:val="single"/>
        </w:rPr>
        <w:t>Impact assessment Approach</w:t>
      </w:r>
    </w:p>
    <w:p w14:paraId="5212C034" w14:textId="1E3C2A4C" w:rsidR="00B867F2" w:rsidRPr="0059494E" w:rsidRDefault="0059494E" w:rsidP="004D37D7">
      <w:r>
        <w:t xml:space="preserve">EBF reports impact on a regular basis, including through the </w:t>
      </w:r>
      <w:r w:rsidR="00510E3B">
        <w:t>EBF</w:t>
      </w:r>
      <w:r>
        <w:t xml:space="preserve">’s annual report. The indicators that are reported are </w:t>
      </w:r>
      <w:r w:rsidR="006C646C">
        <w:t xml:space="preserve">estimated </w:t>
      </w:r>
      <w:r>
        <w:t>through FI submissions, direct sub-borrower</w:t>
      </w:r>
      <w:r w:rsidR="006C646C">
        <w:t>,</w:t>
      </w:r>
      <w:r>
        <w:t xml:space="preserve"> regional case studies</w:t>
      </w:r>
      <w:r w:rsidR="006C646C">
        <w:t xml:space="preserve"> as well as third-party sources</w:t>
      </w:r>
      <w:r>
        <w:t>.</w:t>
      </w:r>
      <w:r w:rsidR="006C646C">
        <w:t xml:space="preserve"> The impact framework will allow to track the </w:t>
      </w:r>
      <w:r w:rsidR="00510E3B">
        <w:t>EBF</w:t>
      </w:r>
      <w:r w:rsidR="006C646C">
        <w:t>’s impact and results, including outputs, outcomes and final impacts across the fund’s portfolio</w:t>
      </w:r>
      <w:r w:rsidR="00BB1EED">
        <w:t xml:space="preserve"> through the</w:t>
      </w:r>
      <w:r w:rsidR="006C646C">
        <w:t xml:space="preserve"> </w:t>
      </w:r>
      <w:r w:rsidR="00BB1EED">
        <w:t xml:space="preserve">fund’s </w:t>
      </w:r>
      <w:r w:rsidR="006C646C">
        <w:t>27 priority KPIs</w:t>
      </w:r>
      <w:r w:rsidR="00BB1EED">
        <w:t>. These KPIs form the basis of the fund’s monitoring and reporting system.</w:t>
      </w:r>
    </w:p>
    <w:p w14:paraId="34646AA6" w14:textId="77777777" w:rsidR="00C04C5A" w:rsidRDefault="00C04C5A" w:rsidP="004D37D7">
      <w:pPr>
        <w:rPr>
          <w:u w:val="single"/>
        </w:rPr>
      </w:pPr>
    </w:p>
    <w:p w14:paraId="0B5C4164" w14:textId="77777777" w:rsidR="00C04C5A" w:rsidRDefault="00C04C5A" w:rsidP="004D37D7">
      <w:pPr>
        <w:rPr>
          <w:u w:val="single"/>
        </w:rPr>
      </w:pPr>
    </w:p>
    <w:p w14:paraId="6D45600F" w14:textId="77777777" w:rsidR="00B867F2" w:rsidRPr="00213FE4" w:rsidRDefault="00213FE4" w:rsidP="004D37D7">
      <w:pPr>
        <w:rPr>
          <w:u w:val="single"/>
        </w:rPr>
      </w:pPr>
      <w:r>
        <w:rPr>
          <w:u w:val="single"/>
        </w:rPr>
        <w:t>Impact Management System</w:t>
      </w:r>
      <w:r w:rsidR="00B867F2" w:rsidRPr="00213FE4">
        <w:rPr>
          <w:u w:val="single"/>
        </w:rPr>
        <w:t xml:space="preserve"> </w:t>
      </w:r>
    </w:p>
    <w:p w14:paraId="19830B46" w14:textId="183D2C6A" w:rsidR="00213FE4" w:rsidRPr="00C04C5A" w:rsidRDefault="0059494E" w:rsidP="00C04C5A">
      <w:r>
        <w:t>The system used by EBF will allow</w:t>
      </w:r>
      <w:r w:rsidR="00511372">
        <w:t xml:space="preserve"> monitoring based of the</w:t>
      </w:r>
      <w:r>
        <w:t xml:space="preserve"> impact framework</w:t>
      </w:r>
      <w:r w:rsidR="00511372">
        <w:t xml:space="preserve"> to feed back into how well the fund is progressing towards its goals, whilst providing additional insight and learning for future inves</w:t>
      </w:r>
      <w:r w:rsidR="00C04C5A">
        <w:t xml:space="preserve">tment and </w:t>
      </w:r>
      <w:r w:rsidR="0028768C">
        <w:t>TA</w:t>
      </w:r>
      <w:r w:rsidR="00C04C5A">
        <w:t>.</w:t>
      </w:r>
    </w:p>
    <w:p w14:paraId="53543E97" w14:textId="77777777" w:rsidR="004D37D7" w:rsidRDefault="004D37D7" w:rsidP="006939AC">
      <w:pPr>
        <w:pStyle w:val="Caption"/>
        <w:spacing w:before="0"/>
        <w:rPr>
          <w:b/>
          <w:i/>
          <w:sz w:val="22"/>
        </w:rPr>
      </w:pPr>
      <w:r w:rsidRPr="004D37D7">
        <w:rPr>
          <w:b/>
          <w:i/>
          <w:sz w:val="22"/>
        </w:rPr>
        <w:t xml:space="preserve">Figure </w:t>
      </w:r>
      <w:r w:rsidR="000874BB">
        <w:rPr>
          <w:b/>
          <w:i/>
          <w:sz w:val="22"/>
        </w:rPr>
        <w:t>A</w:t>
      </w:r>
      <w:r w:rsidRPr="004D37D7">
        <w:rPr>
          <w:b/>
          <w:i/>
          <w:sz w:val="22"/>
        </w:rPr>
        <w:t xml:space="preserve">. </w:t>
      </w:r>
      <w:r w:rsidR="00213FE4">
        <w:rPr>
          <w:b/>
          <w:i/>
          <w:sz w:val="22"/>
        </w:rPr>
        <w:t>Overview of</w:t>
      </w:r>
      <w:r w:rsidRPr="004D37D7">
        <w:rPr>
          <w:b/>
          <w:i/>
          <w:sz w:val="22"/>
        </w:rPr>
        <w:t xml:space="preserve"> Fund’s impact </w:t>
      </w:r>
      <w:r w:rsidR="00511372">
        <w:rPr>
          <w:b/>
          <w:i/>
          <w:sz w:val="22"/>
        </w:rPr>
        <w:t>Framework</w:t>
      </w:r>
    </w:p>
    <w:p w14:paraId="61F20F9A" w14:textId="77777777" w:rsidR="00402B0B" w:rsidRPr="00402B0B" w:rsidRDefault="00402B0B" w:rsidP="00402B0B">
      <w:pPr>
        <w:rPr>
          <w:lang w:val="en-US"/>
        </w:rPr>
      </w:pPr>
      <w:r>
        <w:rPr>
          <w:lang w:val="en-US"/>
        </w:rPr>
        <w:t>(Detailed description provided in the links)</w:t>
      </w:r>
    </w:p>
    <w:p w14:paraId="1E4D849A" w14:textId="77777777" w:rsidR="007A674F" w:rsidRDefault="006939AC" w:rsidP="00EA3252">
      <w:pPr>
        <w:pStyle w:val="Normal1"/>
        <w:contextualSpacing/>
        <w:jc w:val="both"/>
        <w:rPr>
          <w:rFonts w:ascii="Calibri" w:hAnsi="Calibri"/>
          <w:b/>
          <w:sz w:val="22"/>
          <w:szCs w:val="22"/>
        </w:rPr>
      </w:pPr>
      <w:r>
        <w:rPr>
          <w:noProof/>
          <w:lang w:eastAsia="en-GB"/>
        </w:rPr>
        <w:drawing>
          <wp:inline distT="0" distB="0" distL="0" distR="0" wp14:anchorId="5029E1C2" wp14:editId="71C6C111">
            <wp:extent cx="6060528"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2152" t="36485" r="1285" b="17594"/>
                    <a:stretch/>
                  </pic:blipFill>
                  <pic:spPr bwMode="auto">
                    <a:xfrm>
                      <a:off x="0" y="0"/>
                      <a:ext cx="6082592" cy="3756953"/>
                    </a:xfrm>
                    <a:prstGeom prst="rect">
                      <a:avLst/>
                    </a:prstGeom>
                    <a:ln>
                      <a:noFill/>
                    </a:ln>
                    <a:extLst>
                      <a:ext uri="{53640926-AAD7-44D8-BBD7-CCE9431645EC}">
                        <a14:shadowObscured xmlns:a14="http://schemas.microsoft.com/office/drawing/2010/main"/>
                      </a:ext>
                    </a:extLst>
                  </pic:spPr>
                </pic:pic>
              </a:graphicData>
            </a:graphic>
          </wp:inline>
        </w:drawing>
      </w:r>
    </w:p>
    <w:p w14:paraId="1EE4D2E0" w14:textId="77777777" w:rsidR="007A674F" w:rsidRDefault="007A674F" w:rsidP="00EA3252">
      <w:pPr>
        <w:pStyle w:val="Normal1"/>
        <w:contextualSpacing/>
        <w:jc w:val="both"/>
        <w:rPr>
          <w:rFonts w:ascii="Calibri" w:hAnsi="Calibri"/>
          <w:b/>
          <w:sz w:val="22"/>
          <w:szCs w:val="22"/>
        </w:rPr>
      </w:pPr>
    </w:p>
    <w:p w14:paraId="4B7AA76D" w14:textId="77777777" w:rsidR="000004E0" w:rsidRPr="00EA3252" w:rsidRDefault="000004E0" w:rsidP="00EA3252">
      <w:pPr>
        <w:pStyle w:val="Normal1"/>
        <w:contextualSpacing/>
        <w:jc w:val="both"/>
        <w:rPr>
          <w:rFonts w:ascii="Calibri" w:hAnsi="Calibri"/>
          <w:b/>
          <w:sz w:val="22"/>
          <w:szCs w:val="22"/>
        </w:rPr>
      </w:pPr>
      <w:r w:rsidRPr="00EA3252">
        <w:rPr>
          <w:rFonts w:ascii="Calibri" w:hAnsi="Calibri"/>
          <w:b/>
          <w:sz w:val="22"/>
          <w:szCs w:val="22"/>
        </w:rPr>
        <w:t>How is evidence disaggregated by sex and age, and by other variables?</w:t>
      </w:r>
    </w:p>
    <w:p w14:paraId="3EAB3595" w14:textId="17D16D03" w:rsidR="000004E0" w:rsidRPr="00EA3252" w:rsidRDefault="000004E0" w:rsidP="4ECD78EB">
      <w:pPr>
        <w:rPr>
          <w:b/>
          <w:bCs/>
        </w:rPr>
      </w:pPr>
      <w:r>
        <w:t>The evid</w:t>
      </w:r>
      <w:r w:rsidR="0028768C">
        <w:t>ence currently compiled by the f</w:t>
      </w:r>
      <w:r>
        <w:t>und on the impacts of its investments or the information that is reported by partner institutions in the context of the bi-annual sub-loan reports is not disaggregated by sex or by age. To minimi</w:t>
      </w:r>
      <w:r w:rsidR="0028768C">
        <w:t>s</w:t>
      </w:r>
      <w:r>
        <w:t>e the burden on the partner institutions, which is already significantly highe</w:t>
      </w:r>
      <w:r w:rsidR="0028768C">
        <w:t>r than for standard loans, the f</w:t>
      </w:r>
      <w:r>
        <w:t xml:space="preserve">und does not intend to ask its partners to directly report </w:t>
      </w:r>
      <w:r w:rsidR="0028768C">
        <w:t>this information. Instead, the f</w:t>
      </w:r>
      <w:r>
        <w:t xml:space="preserve">und proposes to rely on third party evidence, when it is available, to provide estimates of gender disaggregation for certain indicators of interest. </w:t>
      </w:r>
    </w:p>
    <w:p w14:paraId="3563542D" w14:textId="01F0DF38" w:rsidR="000004E0" w:rsidRPr="00EA3252" w:rsidRDefault="000004E0" w:rsidP="4ECD78EB">
      <w:pPr>
        <w:rPr>
          <w:b/>
          <w:bCs/>
        </w:rPr>
      </w:pPr>
      <w:r w:rsidRPr="4ECD78EB">
        <w:rPr>
          <w:b/>
          <w:bCs/>
        </w:rPr>
        <w:t>Monitoring progress throughout the review period</w:t>
      </w:r>
    </w:p>
    <w:p w14:paraId="3EA1185E" w14:textId="38793A98" w:rsidR="000004E0" w:rsidRPr="00D0005A" w:rsidRDefault="0028768C" w:rsidP="000004E0">
      <w:pPr>
        <w:spacing w:before="0"/>
      </w:pPr>
      <w:r>
        <w:t>The f</w:t>
      </w:r>
      <w:r w:rsidR="000004E0" w:rsidRPr="00D0005A">
        <w:t>und’s continuous monitoring approach consists in the following activities:</w:t>
      </w:r>
    </w:p>
    <w:p w14:paraId="453095B4" w14:textId="77777777" w:rsidR="000004E0" w:rsidRPr="00D0005A" w:rsidRDefault="000004E0" w:rsidP="000004E0">
      <w:pPr>
        <w:spacing w:before="0"/>
        <w:rPr>
          <w:u w:val="single"/>
        </w:rPr>
      </w:pPr>
      <w:r w:rsidRPr="00D0005A">
        <w:rPr>
          <w:u w:val="single"/>
        </w:rPr>
        <w:t>1. Credit monitoring / monitoring of financial performance of investees</w:t>
      </w:r>
    </w:p>
    <w:p w14:paraId="73EC0622" w14:textId="0FAAE30E" w:rsidR="000004E0" w:rsidRPr="00D0005A" w:rsidRDefault="0028768C" w:rsidP="000004E0">
      <w:pPr>
        <w:spacing w:before="0"/>
      </w:pPr>
      <w:r>
        <w:t>In 2017, the fund m</w:t>
      </w:r>
      <w:r w:rsidR="000004E0" w:rsidRPr="00D0005A">
        <w:t xml:space="preserve">anager followed its traditional credit monitoring approach consisting of quarterly risk reviews that are presented to the Rating Committee. The reviews were conducted for each partner institution and include a general review of performance in the recent quarter, spotting of trends, covenant monitoring and adjustment of ratings if necessary. In parallel, the </w:t>
      </w:r>
      <w:r>
        <w:t>fund m</w:t>
      </w:r>
      <w:r w:rsidR="000004E0" w:rsidRPr="00D0005A">
        <w:t xml:space="preserve">anager introduced </w:t>
      </w:r>
      <w:r w:rsidR="000004E0" w:rsidRPr="00D0005A">
        <w:lastRenderedPageBreak/>
        <w:t>a company-wide new rating methodology following S</w:t>
      </w:r>
      <w:r w:rsidR="00BA57CE">
        <w:t xml:space="preserve">tandard </w:t>
      </w:r>
      <w:r w:rsidR="000004E0" w:rsidRPr="00D0005A">
        <w:t>&amp;</w:t>
      </w:r>
      <w:r w:rsidR="00BA57CE">
        <w:t xml:space="preserve"> </w:t>
      </w:r>
      <w:r w:rsidR="00BA57CE" w:rsidRPr="00D0005A">
        <w:t>P</w:t>
      </w:r>
      <w:r w:rsidR="00BA57CE">
        <w:t>oor’s</w:t>
      </w:r>
      <w:r w:rsidR="000004E0" w:rsidRPr="00D0005A">
        <w:t xml:space="preserve"> guidelines and rated its entire portfolio according to this new methodology.</w:t>
      </w:r>
    </w:p>
    <w:p w14:paraId="40B44E32" w14:textId="77777777" w:rsidR="000004E0" w:rsidRPr="00D0005A" w:rsidRDefault="000004E0" w:rsidP="000004E0">
      <w:pPr>
        <w:spacing w:before="0"/>
        <w:rPr>
          <w:u w:val="single"/>
        </w:rPr>
      </w:pPr>
      <w:r w:rsidRPr="00D0005A">
        <w:rPr>
          <w:u w:val="single"/>
        </w:rPr>
        <w:t>2. Monitoring of the use of proceeds (sub-loan monitoring)</w:t>
      </w:r>
    </w:p>
    <w:p w14:paraId="6028BA24" w14:textId="52C11AD9" w:rsidR="00402B0B" w:rsidRPr="00702553" w:rsidRDefault="000004E0" w:rsidP="000004E0">
      <w:pPr>
        <w:spacing w:before="0"/>
      </w:pPr>
      <w:r w:rsidRPr="00D0005A">
        <w:t xml:space="preserve">Partner institutions are required to report to the </w:t>
      </w:r>
      <w:r w:rsidR="0028768C">
        <w:t>fund m</w:t>
      </w:r>
      <w:r w:rsidRPr="00D0005A">
        <w:t>anager on the use of f</w:t>
      </w:r>
      <w:r w:rsidR="0028768C">
        <w:t>unds on a bi-annual basis. The fund m</w:t>
      </w:r>
      <w:r w:rsidRPr="00D0005A">
        <w:t xml:space="preserve">anager controls that its resources are used in the eligible sectors following the respective criteria and whether the partner institutions abide by the minimum required on-lending rate. </w:t>
      </w:r>
      <w:r w:rsidR="009C6DE8">
        <w:t>P</w:t>
      </w:r>
      <w:r w:rsidRPr="00D0005A">
        <w:t>artner institutions report loan-by-loan on a specified set of information (such as loan amounts, target sector, financed activities, loan type</w:t>
      </w:r>
      <w:r w:rsidR="005D5785">
        <w:t>,</w:t>
      </w:r>
      <w:r w:rsidRPr="00D0005A">
        <w:t xml:space="preserve"> </w:t>
      </w:r>
      <w:r w:rsidR="00072CA3" w:rsidRPr="00D0005A">
        <w:t>and sustainability</w:t>
      </w:r>
      <w:r w:rsidRPr="00D0005A">
        <w:t xml:space="preserve"> standard</w:t>
      </w:r>
      <w:r w:rsidR="005D5785">
        <w:t xml:space="preserve"> and farm or business size</w:t>
      </w:r>
      <w:r w:rsidRPr="00D0005A">
        <w:t>) on an anonymous basis (no obligation to report names of sub-borrowers).</w:t>
      </w:r>
      <w:r w:rsidR="00EA3252">
        <w:t xml:space="preserve">       </w:t>
      </w:r>
    </w:p>
    <w:p w14:paraId="1579D916" w14:textId="77777777" w:rsidR="000004E0" w:rsidRDefault="000004E0" w:rsidP="000004E0">
      <w:pPr>
        <w:spacing w:before="0"/>
        <w:rPr>
          <w:u w:val="single"/>
        </w:rPr>
      </w:pPr>
      <w:r w:rsidRPr="00D0005A">
        <w:rPr>
          <w:u w:val="single"/>
        </w:rPr>
        <w:t>5. Monitoring through relationship management (visits, meetings)</w:t>
      </w:r>
    </w:p>
    <w:p w14:paraId="7E89EAF1" w14:textId="374F77A1" w:rsidR="00D63FF2" w:rsidRPr="00702553" w:rsidRDefault="005D5785" w:rsidP="000004E0">
      <w:pPr>
        <w:spacing w:before="0"/>
        <w:sectPr w:rsidR="00D63FF2" w:rsidRPr="00702553" w:rsidSect="004D37D7">
          <w:headerReference w:type="default" r:id="rId13"/>
          <w:footerReference w:type="default" r:id="rId14"/>
          <w:pgSz w:w="11906" w:h="16838" w:code="9"/>
          <w:pgMar w:top="1440" w:right="1440" w:bottom="1135" w:left="1440" w:header="283" w:footer="0" w:gutter="0"/>
          <w:cols w:space="720"/>
          <w:docGrid w:linePitch="326"/>
        </w:sectPr>
      </w:pPr>
      <w:r w:rsidRPr="00702553">
        <w:t>As part of ensuring that its funds as used according to its eligibility criteria, the fund carries out regular visits to its sub-borrowers. In 2018, for example, fund staff visited an important</w:t>
      </w:r>
      <w:r w:rsidR="009C6DE8" w:rsidRPr="00702553">
        <w:t xml:space="preserve"> trader of cocoa that receives funding from the </w:t>
      </w:r>
      <w:r w:rsidR="0028768C">
        <w:t>EB</w:t>
      </w:r>
      <w:r w:rsidR="009C6DE8" w:rsidRPr="00702553">
        <w:t xml:space="preserve">F through </w:t>
      </w:r>
      <w:r w:rsidR="00A5364C">
        <w:t>a partner institution</w:t>
      </w:r>
      <w:r w:rsidR="009C6DE8" w:rsidRPr="00702553">
        <w:t xml:space="preserve">. This visit contributed to </w:t>
      </w:r>
      <w:r w:rsidR="00A5364C">
        <w:t>b</w:t>
      </w:r>
      <w:r w:rsidR="009C6DE8" w:rsidRPr="00702553">
        <w:t>etter understand the sustainable policies of this trader, especially its handling of certified (Rainforest) cocoa, its strategy to expand the volumes of certified product sales and to support its suppliers in adopting practices leading to the obtention of sustainability standards.</w:t>
      </w:r>
    </w:p>
    <w:p w14:paraId="0C072A79" w14:textId="77777777" w:rsidR="00FE702C" w:rsidRDefault="00FE702C" w:rsidP="004265A7">
      <w:pPr>
        <w:spacing w:before="0" w:line="240" w:lineRule="auto"/>
        <w:rPr>
          <w:rFonts w:eastAsia="Arial" w:cs="Arial"/>
          <w:b/>
          <w:color w:val="000000"/>
        </w:rPr>
      </w:pPr>
      <w:bookmarkStart w:id="11" w:name="_gjdgxs" w:colFirst="0" w:colLast="0"/>
      <w:bookmarkEnd w:id="11"/>
    </w:p>
    <w:p w14:paraId="09F50E72" w14:textId="77777777" w:rsidR="00FE702C" w:rsidRDefault="00FE702C" w:rsidP="00FE702C">
      <w:pPr>
        <w:spacing w:before="0" w:line="240" w:lineRule="auto"/>
        <w:rPr>
          <w:rFonts w:eastAsia="Arial" w:cs="Arial"/>
          <w:b/>
          <w:color w:val="000000"/>
        </w:rPr>
      </w:pPr>
    </w:p>
    <w:p w14:paraId="1937DE85" w14:textId="1CAE6121" w:rsidR="004B6C6C" w:rsidRDefault="00360100" w:rsidP="00FE702C">
      <w:pPr>
        <w:spacing w:before="0" w:line="240" w:lineRule="auto"/>
        <w:rPr>
          <w:rStyle w:val="Heading2Char"/>
          <w:shd w:val="clear" w:color="auto" w:fill="auto"/>
        </w:rPr>
      </w:pPr>
      <w:r>
        <w:rPr>
          <w:rStyle w:val="Heading2Char"/>
          <w:shd w:val="clear" w:color="auto" w:fill="auto"/>
        </w:rPr>
        <w:t xml:space="preserve">Annex </w:t>
      </w:r>
    </w:p>
    <w:p w14:paraId="0F604326" w14:textId="19E68B79" w:rsidR="006E5E58" w:rsidRDefault="00360100" w:rsidP="00FE702C">
      <w:pPr>
        <w:spacing w:before="0" w:line="240" w:lineRule="auto"/>
        <w:rPr>
          <w:rStyle w:val="Heading2Char"/>
          <w:shd w:val="clear" w:color="auto" w:fill="auto"/>
        </w:rPr>
      </w:pPr>
      <w:r>
        <w:rPr>
          <w:rStyle w:val="Heading2Char"/>
          <w:shd w:val="clear" w:color="auto" w:fill="auto"/>
        </w:rPr>
        <w:t>1:</w:t>
      </w:r>
      <w:r w:rsidR="00BA57CE">
        <w:rPr>
          <w:rStyle w:val="Heading2Char"/>
          <w:shd w:val="clear" w:color="auto" w:fill="auto"/>
        </w:rPr>
        <w:t xml:space="preserve"> Link here:</w:t>
      </w:r>
      <w:r>
        <w:rPr>
          <w:rStyle w:val="Heading2Char"/>
          <w:shd w:val="clear" w:color="auto" w:fill="auto"/>
        </w:rPr>
        <w:t xml:space="preserve"> </w:t>
      </w:r>
      <w:hyperlink r:id="rId15" w:history="1">
        <w:r w:rsidR="006E5E58" w:rsidRPr="004B6C6C">
          <w:rPr>
            <w:rStyle w:val="Hyperlink"/>
            <w:rFonts w:eastAsiaTheme="majorEastAsia" w:cstheme="majorBidi"/>
          </w:rPr>
          <w:t>Impact framework, from figure A</w:t>
        </w:r>
      </w:hyperlink>
      <w:r w:rsidR="00BA57CE">
        <w:rPr>
          <w:rStyle w:val="Heading2Char"/>
          <w:shd w:val="clear" w:color="auto" w:fill="auto"/>
        </w:rPr>
        <w:t xml:space="preserve">: </w:t>
      </w:r>
    </w:p>
    <w:p w14:paraId="7AFCD06F" w14:textId="77777777" w:rsidR="00FE702C" w:rsidRDefault="00FE702C" w:rsidP="00FE702C">
      <w:pPr>
        <w:spacing w:before="0" w:line="240" w:lineRule="auto"/>
        <w:rPr>
          <w:rFonts w:eastAsia="Arial" w:cs="Arial"/>
          <w:b/>
          <w:color w:val="000000"/>
        </w:rPr>
      </w:pPr>
    </w:p>
    <w:p w14:paraId="4FD5250A" w14:textId="77777777" w:rsidR="00E12787" w:rsidRDefault="00E12787" w:rsidP="00FE702C">
      <w:pPr>
        <w:spacing w:before="0" w:line="240" w:lineRule="auto"/>
        <w:rPr>
          <w:rFonts w:eastAsia="Arial" w:cs="Arial"/>
          <w:b/>
          <w:color w:val="000000"/>
        </w:rPr>
      </w:pPr>
    </w:p>
    <w:p w14:paraId="3EFACE12" w14:textId="77777777" w:rsidR="00E12787" w:rsidRDefault="00E12787" w:rsidP="00E12787">
      <w:pPr>
        <w:tabs>
          <w:tab w:val="left" w:pos="6526"/>
        </w:tabs>
        <w:rPr>
          <w:rFonts w:eastAsia="Arial" w:cs="Arial"/>
        </w:rPr>
      </w:pPr>
      <w:r>
        <w:rPr>
          <w:rFonts w:eastAsia="Arial" w:cs="Arial"/>
        </w:rPr>
        <w:tab/>
      </w:r>
    </w:p>
    <w:p w14:paraId="36C04F6C" w14:textId="77777777" w:rsidR="00E12787" w:rsidRPr="00E12787" w:rsidRDefault="00E12787" w:rsidP="00E12787">
      <w:pPr>
        <w:rPr>
          <w:rFonts w:eastAsia="Arial" w:cs="Arial"/>
        </w:rPr>
      </w:pPr>
    </w:p>
    <w:p w14:paraId="0AB3B5A2" w14:textId="77777777" w:rsidR="00E12787" w:rsidRPr="00E12787" w:rsidRDefault="00E12787" w:rsidP="00E12787">
      <w:pPr>
        <w:rPr>
          <w:rFonts w:eastAsia="Arial" w:cs="Arial"/>
        </w:rPr>
      </w:pPr>
    </w:p>
    <w:p w14:paraId="2B4BC1B3" w14:textId="77777777" w:rsidR="00E12787" w:rsidRPr="00E12787" w:rsidRDefault="00E12787" w:rsidP="00E12787">
      <w:pPr>
        <w:rPr>
          <w:rFonts w:eastAsia="Arial" w:cs="Arial"/>
        </w:rPr>
      </w:pPr>
    </w:p>
    <w:p w14:paraId="1452AC33" w14:textId="77777777" w:rsidR="00E12787" w:rsidRPr="00E12787" w:rsidRDefault="00E12787" w:rsidP="00E12787">
      <w:pPr>
        <w:rPr>
          <w:rFonts w:eastAsia="Arial" w:cs="Arial"/>
        </w:rPr>
      </w:pPr>
    </w:p>
    <w:p w14:paraId="42A4CE89" w14:textId="77777777" w:rsidR="00E12787" w:rsidRPr="00E12787" w:rsidRDefault="00E12787" w:rsidP="00E12787">
      <w:pPr>
        <w:rPr>
          <w:rFonts w:eastAsia="Arial" w:cs="Arial"/>
        </w:rPr>
      </w:pPr>
    </w:p>
    <w:p w14:paraId="4794257A" w14:textId="77777777" w:rsidR="00E12787" w:rsidRPr="00E12787" w:rsidRDefault="00E12787" w:rsidP="00E12787">
      <w:pPr>
        <w:rPr>
          <w:rFonts w:eastAsia="Arial" w:cs="Arial"/>
        </w:rPr>
      </w:pPr>
    </w:p>
    <w:p w14:paraId="196E8CA5" w14:textId="77777777" w:rsidR="00E12787" w:rsidRPr="00E12787" w:rsidRDefault="00E12787" w:rsidP="00E12787">
      <w:pPr>
        <w:rPr>
          <w:rFonts w:eastAsia="Arial" w:cs="Arial"/>
        </w:rPr>
      </w:pPr>
    </w:p>
    <w:p w14:paraId="411648D1" w14:textId="77777777" w:rsidR="00E12787" w:rsidRDefault="00E12787" w:rsidP="00E12787">
      <w:pPr>
        <w:rPr>
          <w:rFonts w:eastAsia="Arial" w:cs="Arial"/>
        </w:rPr>
      </w:pPr>
    </w:p>
    <w:p w14:paraId="0EF46095" w14:textId="77777777" w:rsidR="009C126F" w:rsidRPr="00E12787" w:rsidRDefault="009C126F" w:rsidP="00E12787">
      <w:pPr>
        <w:rPr>
          <w:rFonts w:eastAsia="Arial" w:cs="Arial"/>
        </w:rPr>
      </w:pPr>
    </w:p>
    <w:sectPr w:rsidR="009C126F" w:rsidRPr="00E12787" w:rsidSect="000004E0">
      <w:type w:val="continuous"/>
      <w:pgSz w:w="11906" w:h="16838" w:code="9"/>
      <w:pgMar w:top="1135" w:right="851" w:bottom="73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78DB" w14:textId="77777777" w:rsidR="007177B1" w:rsidRDefault="007177B1">
      <w:pPr>
        <w:spacing w:before="0" w:after="0" w:line="240" w:lineRule="auto"/>
      </w:pPr>
      <w:r>
        <w:separator/>
      </w:r>
    </w:p>
  </w:endnote>
  <w:endnote w:type="continuationSeparator" w:id="0">
    <w:p w14:paraId="4E641454" w14:textId="77777777" w:rsidR="007177B1" w:rsidRDefault="007177B1">
      <w:pPr>
        <w:spacing w:before="0" w:after="0" w:line="240" w:lineRule="auto"/>
      </w:pPr>
      <w:r>
        <w:continuationSeparator/>
      </w:r>
    </w:p>
  </w:endnote>
  <w:endnote w:type="continuationNotice" w:id="1">
    <w:p w14:paraId="1718E42C" w14:textId="77777777" w:rsidR="007177B1" w:rsidRDefault="007177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7312" w14:textId="77777777" w:rsidR="007177B1" w:rsidRPr="00441161" w:rsidRDefault="007177B1">
    <w:pPr>
      <w:pStyle w:val="Normal1"/>
      <w:tabs>
        <w:tab w:val="center" w:pos="4153"/>
        <w:tab w:val="right" w:pos="8306"/>
      </w:tabs>
      <w:jc w:val="center"/>
      <w:rPr>
        <w:rFonts w:asciiTheme="majorHAnsi" w:hAnsiTheme="majorHAnsi"/>
        <w:sz w:val="20"/>
        <w:szCs w:val="20"/>
      </w:rPr>
    </w:pPr>
    <w:r w:rsidRPr="00441161">
      <w:rPr>
        <w:rFonts w:asciiTheme="majorHAnsi" w:hAnsiTheme="majorHAnsi"/>
        <w:sz w:val="20"/>
        <w:szCs w:val="20"/>
      </w:rPr>
      <w:fldChar w:fldCharType="begin"/>
    </w:r>
    <w:r w:rsidRPr="00441161">
      <w:rPr>
        <w:rFonts w:asciiTheme="majorHAnsi" w:hAnsiTheme="majorHAnsi"/>
        <w:sz w:val="20"/>
        <w:szCs w:val="20"/>
      </w:rPr>
      <w:instrText>PAGE</w:instrText>
    </w:r>
    <w:r w:rsidRPr="00441161">
      <w:rPr>
        <w:rFonts w:asciiTheme="majorHAnsi" w:hAnsiTheme="majorHAnsi"/>
        <w:sz w:val="20"/>
        <w:szCs w:val="20"/>
      </w:rPr>
      <w:fldChar w:fldCharType="separate"/>
    </w:r>
    <w:r>
      <w:rPr>
        <w:rFonts w:asciiTheme="majorHAnsi" w:hAnsiTheme="majorHAnsi"/>
        <w:noProof/>
        <w:sz w:val="20"/>
        <w:szCs w:val="20"/>
      </w:rPr>
      <w:t>21</w:t>
    </w:r>
    <w:r w:rsidRPr="00441161">
      <w:rPr>
        <w:rFonts w:asciiTheme="majorHAnsi" w:hAnsiTheme="majorHAnsi"/>
        <w:sz w:val="20"/>
        <w:szCs w:val="20"/>
      </w:rPr>
      <w:fldChar w:fldCharType="end"/>
    </w:r>
  </w:p>
  <w:p w14:paraId="59E935A1" w14:textId="77777777" w:rsidR="007177B1" w:rsidRDefault="007177B1">
    <w:pPr>
      <w:pStyle w:val="Normal1"/>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2771" w14:textId="77777777" w:rsidR="007177B1" w:rsidRDefault="007177B1">
      <w:pPr>
        <w:spacing w:before="0" w:after="0" w:line="240" w:lineRule="auto"/>
      </w:pPr>
      <w:r>
        <w:separator/>
      </w:r>
    </w:p>
  </w:footnote>
  <w:footnote w:type="continuationSeparator" w:id="0">
    <w:p w14:paraId="7C649652" w14:textId="77777777" w:rsidR="007177B1" w:rsidRDefault="007177B1">
      <w:pPr>
        <w:spacing w:before="0" w:after="0" w:line="240" w:lineRule="auto"/>
      </w:pPr>
      <w:r>
        <w:continuationSeparator/>
      </w:r>
    </w:p>
  </w:footnote>
  <w:footnote w:type="continuationNotice" w:id="1">
    <w:p w14:paraId="0D1DFF5F" w14:textId="77777777" w:rsidR="007177B1" w:rsidRDefault="007177B1">
      <w:pPr>
        <w:spacing w:before="0" w:after="0" w:line="240" w:lineRule="auto"/>
      </w:pPr>
    </w:p>
  </w:footnote>
  <w:footnote w:id="2">
    <w:p w14:paraId="1CB3A8DD" w14:textId="3FA2A0D6" w:rsidR="007177B1" w:rsidRDefault="007177B1">
      <w:pPr>
        <w:pStyle w:val="FootnoteText"/>
      </w:pPr>
      <w:r>
        <w:rPr>
          <w:rStyle w:val="FootnoteReference"/>
        </w:rPr>
        <w:footnoteRef/>
      </w:r>
      <w:r>
        <w:t xml:space="preserve"> </w:t>
      </w:r>
      <w:r w:rsidRPr="00D834F0">
        <w:t>The impact and outcome level indicators are developed but due to their nature some are not reporting at this early stage of the fund’s life, particularly at impact level. Therefore they are assessed both quantitatively and qualitatively. We expect to continue developing these with our Monitoring and Evaluation (M&amp;E)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7242" w14:textId="77777777" w:rsidR="007177B1" w:rsidRDefault="007177B1" w:rsidP="000004E0">
    <w:pPr>
      <w:pStyle w:val="Header"/>
      <w:jc w:val="center"/>
    </w:pPr>
    <w:r>
      <w:t>--- OFFICIAL SENSITIVE ---</w:t>
    </w:r>
  </w:p>
  <w:p w14:paraId="17742BDD" w14:textId="77777777" w:rsidR="007177B1" w:rsidRPr="00441161" w:rsidRDefault="007177B1" w:rsidP="000004E0">
    <w:pPr>
      <w:pStyle w:val="Normal1"/>
      <w:tabs>
        <w:tab w:val="center" w:pos="4153"/>
        <w:tab w:val="right" w:pos="8306"/>
      </w:tabs>
      <w:jc w:val="center"/>
      <w:rPr>
        <w:rFonts w:asciiTheme="majorHAnsi" w:hAnsiTheme="majorHAnsi"/>
        <w:sz w:val="20"/>
        <w:szCs w:val="20"/>
      </w:rPr>
    </w:pPr>
    <w:r w:rsidRPr="00441161">
      <w:rPr>
        <w:rFonts w:asciiTheme="majorHAnsi" w:hAnsiTheme="majorHAnsi"/>
        <w:sz w:val="20"/>
        <w:szCs w:val="20"/>
      </w:rPr>
      <w:t xml:space="preserve">Defra ICF </w:t>
    </w:r>
    <w:proofErr w:type="spellStart"/>
    <w:r w:rsidRPr="00441161">
      <w:rPr>
        <w:rFonts w:asciiTheme="majorHAnsi" w:hAnsiTheme="majorHAnsi"/>
        <w:sz w:val="20"/>
        <w:szCs w:val="20"/>
      </w:rPr>
      <w:t>eco.business</w:t>
    </w:r>
    <w:proofErr w:type="spellEnd"/>
    <w:r w:rsidRPr="00441161">
      <w:rPr>
        <w:rFonts w:asciiTheme="majorHAnsi" w:hAnsiTheme="majorHAnsi"/>
        <w:sz w:val="20"/>
        <w:szCs w:val="20"/>
      </w:rPr>
      <w:t xml:space="preserve"> Fund Annual Rev</w:t>
    </w:r>
    <w:r>
      <w:rPr>
        <w:rFonts w:asciiTheme="majorHAnsi" w:hAnsiTheme="majorHAnsi"/>
        <w:sz w:val="20"/>
        <w:szCs w:val="20"/>
      </w:rPr>
      <w:t>iew – 2018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74F"/>
    <w:multiLevelType w:val="hybridMultilevel"/>
    <w:tmpl w:val="6F32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0122"/>
    <w:multiLevelType w:val="hybridMultilevel"/>
    <w:tmpl w:val="5732A4CC"/>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66E29"/>
    <w:multiLevelType w:val="hybridMultilevel"/>
    <w:tmpl w:val="89C6D288"/>
    <w:lvl w:ilvl="0" w:tplc="14509E1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06FF0"/>
    <w:multiLevelType w:val="multilevel"/>
    <w:tmpl w:val="925665B2"/>
    <w:lvl w:ilvl="0">
      <w:start w:val="1"/>
      <w:numFmt w:val="decimal"/>
      <w:lvlText w:val="%1."/>
      <w:lvlJc w:val="left"/>
      <w:pPr>
        <w:ind w:left="720" w:hanging="360"/>
      </w:pPr>
      <w:rPr>
        <w:rFonts w:ascii="Calibri" w:eastAsia="Times New Roman" w:hAnsi="Calibri" w:cs="Franklin Gothic Book"/>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A31876"/>
    <w:multiLevelType w:val="hybridMultilevel"/>
    <w:tmpl w:val="2FC8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E4831"/>
    <w:multiLevelType w:val="hybridMultilevel"/>
    <w:tmpl w:val="8C7E5E98"/>
    <w:lvl w:ilvl="0" w:tplc="08090001">
      <w:start w:val="1"/>
      <w:numFmt w:val="bullet"/>
      <w:lvlText w:val=""/>
      <w:lvlJc w:val="left"/>
      <w:pPr>
        <w:ind w:left="8108" w:hanging="360"/>
      </w:pPr>
      <w:rPr>
        <w:rFonts w:ascii="Symbol" w:hAnsi="Symbol" w:hint="default"/>
      </w:rPr>
    </w:lvl>
    <w:lvl w:ilvl="1" w:tplc="08090003" w:tentative="1">
      <w:start w:val="1"/>
      <w:numFmt w:val="bullet"/>
      <w:lvlText w:val="o"/>
      <w:lvlJc w:val="left"/>
      <w:pPr>
        <w:ind w:left="8828" w:hanging="360"/>
      </w:pPr>
      <w:rPr>
        <w:rFonts w:ascii="Courier New" w:hAnsi="Courier New" w:cs="Courier New" w:hint="default"/>
      </w:rPr>
    </w:lvl>
    <w:lvl w:ilvl="2" w:tplc="08090005" w:tentative="1">
      <w:start w:val="1"/>
      <w:numFmt w:val="bullet"/>
      <w:lvlText w:val=""/>
      <w:lvlJc w:val="left"/>
      <w:pPr>
        <w:ind w:left="9548" w:hanging="360"/>
      </w:pPr>
      <w:rPr>
        <w:rFonts w:ascii="Wingdings" w:hAnsi="Wingdings" w:hint="default"/>
      </w:rPr>
    </w:lvl>
    <w:lvl w:ilvl="3" w:tplc="08090001" w:tentative="1">
      <w:start w:val="1"/>
      <w:numFmt w:val="bullet"/>
      <w:lvlText w:val=""/>
      <w:lvlJc w:val="left"/>
      <w:pPr>
        <w:ind w:left="10268" w:hanging="360"/>
      </w:pPr>
      <w:rPr>
        <w:rFonts w:ascii="Symbol" w:hAnsi="Symbol" w:hint="default"/>
      </w:rPr>
    </w:lvl>
    <w:lvl w:ilvl="4" w:tplc="08090003" w:tentative="1">
      <w:start w:val="1"/>
      <w:numFmt w:val="bullet"/>
      <w:lvlText w:val="o"/>
      <w:lvlJc w:val="left"/>
      <w:pPr>
        <w:ind w:left="10988" w:hanging="360"/>
      </w:pPr>
      <w:rPr>
        <w:rFonts w:ascii="Courier New" w:hAnsi="Courier New" w:cs="Courier New" w:hint="default"/>
      </w:rPr>
    </w:lvl>
    <w:lvl w:ilvl="5" w:tplc="08090005" w:tentative="1">
      <w:start w:val="1"/>
      <w:numFmt w:val="bullet"/>
      <w:lvlText w:val=""/>
      <w:lvlJc w:val="left"/>
      <w:pPr>
        <w:ind w:left="11708" w:hanging="360"/>
      </w:pPr>
      <w:rPr>
        <w:rFonts w:ascii="Wingdings" w:hAnsi="Wingdings" w:hint="default"/>
      </w:rPr>
    </w:lvl>
    <w:lvl w:ilvl="6" w:tplc="08090001" w:tentative="1">
      <w:start w:val="1"/>
      <w:numFmt w:val="bullet"/>
      <w:lvlText w:val=""/>
      <w:lvlJc w:val="left"/>
      <w:pPr>
        <w:ind w:left="12428" w:hanging="360"/>
      </w:pPr>
      <w:rPr>
        <w:rFonts w:ascii="Symbol" w:hAnsi="Symbol" w:hint="default"/>
      </w:rPr>
    </w:lvl>
    <w:lvl w:ilvl="7" w:tplc="08090003" w:tentative="1">
      <w:start w:val="1"/>
      <w:numFmt w:val="bullet"/>
      <w:lvlText w:val="o"/>
      <w:lvlJc w:val="left"/>
      <w:pPr>
        <w:ind w:left="13148" w:hanging="360"/>
      </w:pPr>
      <w:rPr>
        <w:rFonts w:ascii="Courier New" w:hAnsi="Courier New" w:cs="Courier New" w:hint="default"/>
      </w:rPr>
    </w:lvl>
    <w:lvl w:ilvl="8" w:tplc="08090005" w:tentative="1">
      <w:start w:val="1"/>
      <w:numFmt w:val="bullet"/>
      <w:lvlText w:val=""/>
      <w:lvlJc w:val="left"/>
      <w:pPr>
        <w:ind w:left="13868" w:hanging="360"/>
      </w:pPr>
      <w:rPr>
        <w:rFonts w:ascii="Wingdings" w:hAnsi="Wingdings" w:hint="default"/>
      </w:rPr>
    </w:lvl>
  </w:abstractNum>
  <w:abstractNum w:abstractNumId="6" w15:restartNumberingAfterBreak="0">
    <w:nsid w:val="0E0878F6"/>
    <w:multiLevelType w:val="hybridMultilevel"/>
    <w:tmpl w:val="E398E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35171"/>
    <w:multiLevelType w:val="multilevel"/>
    <w:tmpl w:val="4454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F2181"/>
    <w:multiLevelType w:val="hybridMultilevel"/>
    <w:tmpl w:val="19E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D61C1"/>
    <w:multiLevelType w:val="hybridMultilevel"/>
    <w:tmpl w:val="CF5697C0"/>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923B4"/>
    <w:multiLevelType w:val="multilevel"/>
    <w:tmpl w:val="D25E1F08"/>
    <w:lvl w:ilvl="0">
      <w:start w:val="1"/>
      <w:numFmt w:val="decimal"/>
      <w:pStyle w:val="Heading1"/>
      <w:lvlText w:val="%1."/>
      <w:lvlJc w:val="left"/>
      <w:pPr>
        <w:ind w:left="720" w:hanging="360"/>
      </w:pPr>
      <w:rPr>
        <w:rFonts w:hint="default"/>
        <w:i w:val="0"/>
        <w:color w:val="2E74B5" w:themeColor="accent1" w:themeShade="BF"/>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B2837"/>
    <w:multiLevelType w:val="hybridMultilevel"/>
    <w:tmpl w:val="F5E6FBF4"/>
    <w:lvl w:ilvl="0" w:tplc="64E2AE5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FE18BC"/>
    <w:multiLevelType w:val="hybridMultilevel"/>
    <w:tmpl w:val="43EAF836"/>
    <w:lvl w:ilvl="0" w:tplc="0C64C7CC">
      <w:start w:val="1"/>
      <w:numFmt w:val="bullet"/>
      <w:lvlText w:val="-"/>
      <w:lvlJc w:val="left"/>
      <w:pPr>
        <w:ind w:left="1170" w:hanging="360"/>
      </w:pPr>
      <w:rPr>
        <w:rFonts w:ascii="Calibri" w:hAnsi="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22EC5FF5"/>
    <w:multiLevelType w:val="hybridMultilevel"/>
    <w:tmpl w:val="F6C6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309AA"/>
    <w:multiLevelType w:val="hybridMultilevel"/>
    <w:tmpl w:val="90D25258"/>
    <w:lvl w:ilvl="0" w:tplc="64E2AE5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B7142B1"/>
    <w:multiLevelType w:val="hybridMultilevel"/>
    <w:tmpl w:val="A4AE1B42"/>
    <w:lvl w:ilvl="0" w:tplc="815040B4">
      <w:start w:val="2018"/>
      <w:numFmt w:val="bullet"/>
      <w:lvlText w:val=""/>
      <w:lvlJc w:val="left"/>
      <w:pPr>
        <w:ind w:left="720" w:hanging="360"/>
      </w:pPr>
      <w:rPr>
        <w:rFonts w:ascii="Wingdings" w:eastAsia="Times New Roman" w:hAnsi="Wingdings" w:cs="Franklin Gothic Book"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B9E1159"/>
    <w:multiLevelType w:val="hybridMultilevel"/>
    <w:tmpl w:val="62DCFC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E8A0DCF"/>
    <w:multiLevelType w:val="hybridMultilevel"/>
    <w:tmpl w:val="E1AC1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02F66"/>
    <w:multiLevelType w:val="hybridMultilevel"/>
    <w:tmpl w:val="51EC3AC8"/>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2396A"/>
    <w:multiLevelType w:val="hybridMultilevel"/>
    <w:tmpl w:val="672A2B6A"/>
    <w:lvl w:ilvl="0" w:tplc="F698DCCA">
      <w:start w:val="1"/>
      <w:numFmt w:val="decimal"/>
      <w:lvlText w:val="%1."/>
      <w:lvlJc w:val="left"/>
      <w:pPr>
        <w:ind w:left="720" w:hanging="360"/>
      </w:pPr>
      <w:rPr>
        <w:rFonts w:ascii="Calibri" w:eastAsia="Arial"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E5007"/>
    <w:multiLevelType w:val="hybridMultilevel"/>
    <w:tmpl w:val="C848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A527C"/>
    <w:multiLevelType w:val="hybridMultilevel"/>
    <w:tmpl w:val="3524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B31E8"/>
    <w:multiLevelType w:val="hybridMultilevel"/>
    <w:tmpl w:val="969A0C40"/>
    <w:lvl w:ilvl="0" w:tplc="872E502C">
      <w:start w:val="1"/>
      <w:numFmt w:val="decimal"/>
      <w:lvlText w:val="%1."/>
      <w:lvlJc w:val="left"/>
      <w:pPr>
        <w:ind w:left="360" w:hanging="360"/>
      </w:pPr>
    </w:lvl>
    <w:lvl w:ilvl="1" w:tplc="1B783170">
      <w:start w:val="1"/>
      <w:numFmt w:val="lowerLetter"/>
      <w:lvlText w:val="%2."/>
      <w:lvlJc w:val="left"/>
      <w:pPr>
        <w:ind w:left="1080" w:hanging="360"/>
      </w:pPr>
    </w:lvl>
    <w:lvl w:ilvl="2" w:tplc="0508541E">
      <w:start w:val="1"/>
      <w:numFmt w:val="lowerRoman"/>
      <w:lvlText w:val="%3."/>
      <w:lvlJc w:val="right"/>
      <w:pPr>
        <w:ind w:left="1800" w:hanging="180"/>
      </w:pPr>
    </w:lvl>
    <w:lvl w:ilvl="3" w:tplc="750CE240">
      <w:start w:val="1"/>
      <w:numFmt w:val="decimal"/>
      <w:lvlText w:val="%4."/>
      <w:lvlJc w:val="left"/>
      <w:pPr>
        <w:ind w:left="2520" w:hanging="360"/>
      </w:pPr>
    </w:lvl>
    <w:lvl w:ilvl="4" w:tplc="563A847C">
      <w:start w:val="1"/>
      <w:numFmt w:val="lowerLetter"/>
      <w:lvlText w:val="%5."/>
      <w:lvlJc w:val="left"/>
      <w:pPr>
        <w:ind w:left="3240" w:hanging="360"/>
      </w:pPr>
    </w:lvl>
    <w:lvl w:ilvl="5" w:tplc="03B2076C">
      <w:start w:val="1"/>
      <w:numFmt w:val="lowerRoman"/>
      <w:lvlText w:val="%6."/>
      <w:lvlJc w:val="right"/>
      <w:pPr>
        <w:ind w:left="3960" w:hanging="180"/>
      </w:pPr>
    </w:lvl>
    <w:lvl w:ilvl="6" w:tplc="072EAA58">
      <w:start w:val="1"/>
      <w:numFmt w:val="decimal"/>
      <w:lvlText w:val="%7."/>
      <w:lvlJc w:val="left"/>
      <w:pPr>
        <w:ind w:left="4680" w:hanging="360"/>
      </w:pPr>
    </w:lvl>
    <w:lvl w:ilvl="7" w:tplc="94A62F74">
      <w:start w:val="1"/>
      <w:numFmt w:val="lowerLetter"/>
      <w:lvlText w:val="%8."/>
      <w:lvlJc w:val="left"/>
      <w:pPr>
        <w:ind w:left="5400" w:hanging="360"/>
      </w:pPr>
    </w:lvl>
    <w:lvl w:ilvl="8" w:tplc="EFE48AE2">
      <w:start w:val="1"/>
      <w:numFmt w:val="lowerRoman"/>
      <w:lvlText w:val="%9."/>
      <w:lvlJc w:val="right"/>
      <w:pPr>
        <w:ind w:left="6120" w:hanging="180"/>
      </w:pPr>
    </w:lvl>
  </w:abstractNum>
  <w:abstractNum w:abstractNumId="23" w15:restartNumberingAfterBreak="0">
    <w:nsid w:val="410F18EA"/>
    <w:multiLevelType w:val="hybridMultilevel"/>
    <w:tmpl w:val="8AA07DEA"/>
    <w:lvl w:ilvl="0" w:tplc="3D94B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B83D32"/>
    <w:multiLevelType w:val="hybridMultilevel"/>
    <w:tmpl w:val="58AAE3D8"/>
    <w:lvl w:ilvl="0" w:tplc="423411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A3D73"/>
    <w:multiLevelType w:val="hybridMultilevel"/>
    <w:tmpl w:val="3ED6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A21DB"/>
    <w:multiLevelType w:val="hybridMultilevel"/>
    <w:tmpl w:val="10C84E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B141B6"/>
    <w:multiLevelType w:val="hybridMultilevel"/>
    <w:tmpl w:val="479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26C7"/>
    <w:multiLevelType w:val="hybridMultilevel"/>
    <w:tmpl w:val="B78E5B84"/>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45479"/>
    <w:multiLevelType w:val="hybridMultilevel"/>
    <w:tmpl w:val="D508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817CF"/>
    <w:multiLevelType w:val="hybridMultilevel"/>
    <w:tmpl w:val="119858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C13C0D"/>
    <w:multiLevelType w:val="hybridMultilevel"/>
    <w:tmpl w:val="63D45500"/>
    <w:lvl w:ilvl="0" w:tplc="34B20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52E11"/>
    <w:multiLevelType w:val="hybridMultilevel"/>
    <w:tmpl w:val="6E341FFC"/>
    <w:lvl w:ilvl="0" w:tplc="24B20E64">
      <w:start w:val="1"/>
      <w:numFmt w:val="bullet"/>
      <w:pStyle w:val="BulletpointLevel1"/>
      <w:lvlText w:val=""/>
      <w:lvlJc w:val="left"/>
      <w:pPr>
        <w:ind w:left="360" w:hanging="360"/>
      </w:pPr>
      <w:rPr>
        <w:rFonts w:ascii="Symbol" w:hAnsi="Symbol" w:cs="Symbol" w:hint="default"/>
        <w:color w:val="7AA052"/>
        <w:sz w:val="20"/>
        <w:u w:color="3333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2526D1"/>
    <w:multiLevelType w:val="hybridMultilevel"/>
    <w:tmpl w:val="D33AE5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E2B4C"/>
    <w:multiLevelType w:val="hybridMultilevel"/>
    <w:tmpl w:val="78D4BA74"/>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F23E7"/>
    <w:multiLevelType w:val="hybridMultilevel"/>
    <w:tmpl w:val="E864D2F2"/>
    <w:lvl w:ilvl="0" w:tplc="3C281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094068"/>
    <w:multiLevelType w:val="hybridMultilevel"/>
    <w:tmpl w:val="2656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7"/>
  </w:num>
  <w:num w:numId="4">
    <w:abstractNumId w:val="30"/>
  </w:num>
  <w:num w:numId="5">
    <w:abstractNumId w:val="26"/>
  </w:num>
  <w:num w:numId="6">
    <w:abstractNumId w:val="18"/>
  </w:num>
  <w:num w:numId="7">
    <w:abstractNumId w:val="12"/>
  </w:num>
  <w:num w:numId="8">
    <w:abstractNumId w:val="24"/>
  </w:num>
  <w:num w:numId="9">
    <w:abstractNumId w:val="9"/>
  </w:num>
  <w:num w:numId="10">
    <w:abstractNumId w:val="34"/>
  </w:num>
  <w:num w:numId="11">
    <w:abstractNumId w:val="1"/>
  </w:num>
  <w:num w:numId="12">
    <w:abstractNumId w:val="28"/>
  </w:num>
  <w:num w:numId="13">
    <w:abstractNumId w:val="3"/>
  </w:num>
  <w:num w:numId="14">
    <w:abstractNumId w:val="7"/>
  </w:num>
  <w:num w:numId="15">
    <w:abstractNumId w:val="6"/>
  </w:num>
  <w:num w:numId="16">
    <w:abstractNumId w:val="23"/>
  </w:num>
  <w:num w:numId="17">
    <w:abstractNumId w:val="25"/>
  </w:num>
  <w:num w:numId="18">
    <w:abstractNumId w:val="19"/>
  </w:num>
  <w:num w:numId="19">
    <w:abstractNumId w:val="36"/>
  </w:num>
  <w:num w:numId="20">
    <w:abstractNumId w:val="5"/>
  </w:num>
  <w:num w:numId="21">
    <w:abstractNumId w:val="21"/>
  </w:num>
  <w:num w:numId="22">
    <w:abstractNumId w:val="20"/>
  </w:num>
  <w:num w:numId="23">
    <w:abstractNumId w:val="0"/>
  </w:num>
  <w:num w:numId="24">
    <w:abstractNumId w:val="13"/>
  </w:num>
  <w:num w:numId="25">
    <w:abstractNumId w:val="14"/>
  </w:num>
  <w:num w:numId="26">
    <w:abstractNumId w:val="15"/>
  </w:num>
  <w:num w:numId="27">
    <w:abstractNumId w:val="16"/>
  </w:num>
  <w:num w:numId="28">
    <w:abstractNumId w:val="32"/>
  </w:num>
  <w:num w:numId="29">
    <w:abstractNumId w:val="31"/>
  </w:num>
  <w:num w:numId="30">
    <w:abstractNumId w:val="2"/>
  </w:num>
  <w:num w:numId="31">
    <w:abstractNumId w:val="33"/>
  </w:num>
  <w:num w:numId="32">
    <w:abstractNumId w:val="35"/>
  </w:num>
  <w:num w:numId="33">
    <w:abstractNumId w:val="11"/>
  </w:num>
  <w:num w:numId="34">
    <w:abstractNumId w:val="8"/>
  </w:num>
  <w:num w:numId="35">
    <w:abstractNumId w:val="29"/>
  </w:num>
  <w:num w:numId="36">
    <w:abstractNumId w:val="4"/>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E0"/>
    <w:rsid w:val="000004E0"/>
    <w:rsid w:val="00002B19"/>
    <w:rsid w:val="00003FBF"/>
    <w:rsid w:val="00006450"/>
    <w:rsid w:val="00007AEC"/>
    <w:rsid w:val="0002080F"/>
    <w:rsid w:val="00020A92"/>
    <w:rsid w:val="0002177B"/>
    <w:rsid w:val="00022D29"/>
    <w:rsid w:val="00033DDA"/>
    <w:rsid w:val="0003660C"/>
    <w:rsid w:val="00043A7F"/>
    <w:rsid w:val="00045A60"/>
    <w:rsid w:val="00045C4F"/>
    <w:rsid w:val="00054B7B"/>
    <w:rsid w:val="00055AFE"/>
    <w:rsid w:val="00057C96"/>
    <w:rsid w:val="0006240C"/>
    <w:rsid w:val="0006332F"/>
    <w:rsid w:val="00066A36"/>
    <w:rsid w:val="00070CBD"/>
    <w:rsid w:val="000715C0"/>
    <w:rsid w:val="00072CA3"/>
    <w:rsid w:val="00081BC5"/>
    <w:rsid w:val="000820D0"/>
    <w:rsid w:val="00082314"/>
    <w:rsid w:val="00083D15"/>
    <w:rsid w:val="000874BB"/>
    <w:rsid w:val="00087F13"/>
    <w:rsid w:val="00092EAA"/>
    <w:rsid w:val="0009339D"/>
    <w:rsid w:val="00093580"/>
    <w:rsid w:val="0009603D"/>
    <w:rsid w:val="000A0A73"/>
    <w:rsid w:val="000B09FC"/>
    <w:rsid w:val="000C4D59"/>
    <w:rsid w:val="000C59D4"/>
    <w:rsid w:val="000D5EE2"/>
    <w:rsid w:val="000D6324"/>
    <w:rsid w:val="000D6D30"/>
    <w:rsid w:val="000E3E01"/>
    <w:rsid w:val="000E52F1"/>
    <w:rsid w:val="000E55D0"/>
    <w:rsid w:val="000E5F01"/>
    <w:rsid w:val="000F1041"/>
    <w:rsid w:val="000F4D9E"/>
    <w:rsid w:val="001032FF"/>
    <w:rsid w:val="001033C2"/>
    <w:rsid w:val="001051C4"/>
    <w:rsid w:val="0011368E"/>
    <w:rsid w:val="00124CFC"/>
    <w:rsid w:val="00125A17"/>
    <w:rsid w:val="001261C1"/>
    <w:rsid w:val="00126B43"/>
    <w:rsid w:val="001345AE"/>
    <w:rsid w:val="00135D20"/>
    <w:rsid w:val="00137FBC"/>
    <w:rsid w:val="00142EA8"/>
    <w:rsid w:val="00145499"/>
    <w:rsid w:val="00147F03"/>
    <w:rsid w:val="001501EA"/>
    <w:rsid w:val="00151A27"/>
    <w:rsid w:val="00152292"/>
    <w:rsid w:val="00154097"/>
    <w:rsid w:val="001639A4"/>
    <w:rsid w:val="00163F2A"/>
    <w:rsid w:val="001647EA"/>
    <w:rsid w:val="00164C46"/>
    <w:rsid w:val="00167CE8"/>
    <w:rsid w:val="00170201"/>
    <w:rsid w:val="00170D85"/>
    <w:rsid w:val="001713B0"/>
    <w:rsid w:val="001726FE"/>
    <w:rsid w:val="00173DB5"/>
    <w:rsid w:val="001841D9"/>
    <w:rsid w:val="001850E9"/>
    <w:rsid w:val="00192A6F"/>
    <w:rsid w:val="00194E2A"/>
    <w:rsid w:val="00196FBD"/>
    <w:rsid w:val="001A1F73"/>
    <w:rsid w:val="001A3A86"/>
    <w:rsid w:val="001A47A1"/>
    <w:rsid w:val="001A5D74"/>
    <w:rsid w:val="001B088E"/>
    <w:rsid w:val="001B43D3"/>
    <w:rsid w:val="001B4EFA"/>
    <w:rsid w:val="001B706D"/>
    <w:rsid w:val="001C4023"/>
    <w:rsid w:val="001C684C"/>
    <w:rsid w:val="001D284C"/>
    <w:rsid w:val="001D2CB5"/>
    <w:rsid w:val="001D4B5A"/>
    <w:rsid w:val="001D706E"/>
    <w:rsid w:val="001E50EB"/>
    <w:rsid w:val="001F1DE6"/>
    <w:rsid w:val="00200295"/>
    <w:rsid w:val="00200C64"/>
    <w:rsid w:val="0020245D"/>
    <w:rsid w:val="00204E50"/>
    <w:rsid w:val="002054EC"/>
    <w:rsid w:val="00207A46"/>
    <w:rsid w:val="00213FE4"/>
    <w:rsid w:val="00215892"/>
    <w:rsid w:val="002203A5"/>
    <w:rsid w:val="002211B5"/>
    <w:rsid w:val="00221251"/>
    <w:rsid w:val="00230EAC"/>
    <w:rsid w:val="002363D1"/>
    <w:rsid w:val="00252050"/>
    <w:rsid w:val="00253140"/>
    <w:rsid w:val="00254E03"/>
    <w:rsid w:val="00255204"/>
    <w:rsid w:val="00261682"/>
    <w:rsid w:val="002623FD"/>
    <w:rsid w:val="00262FD6"/>
    <w:rsid w:val="0026562B"/>
    <w:rsid w:val="00266451"/>
    <w:rsid w:val="0026709C"/>
    <w:rsid w:val="00270F15"/>
    <w:rsid w:val="00273C48"/>
    <w:rsid w:val="0027676C"/>
    <w:rsid w:val="00276974"/>
    <w:rsid w:val="00276ECA"/>
    <w:rsid w:val="00284D37"/>
    <w:rsid w:val="00284ECC"/>
    <w:rsid w:val="00286011"/>
    <w:rsid w:val="0028768C"/>
    <w:rsid w:val="002969D6"/>
    <w:rsid w:val="00297184"/>
    <w:rsid w:val="00297200"/>
    <w:rsid w:val="00297C72"/>
    <w:rsid w:val="002A0DEF"/>
    <w:rsid w:val="002A1620"/>
    <w:rsid w:val="002A2B91"/>
    <w:rsid w:val="002A3587"/>
    <w:rsid w:val="002A3CEF"/>
    <w:rsid w:val="002A504B"/>
    <w:rsid w:val="002A6D7E"/>
    <w:rsid w:val="002B156E"/>
    <w:rsid w:val="002B4D93"/>
    <w:rsid w:val="002B5D3D"/>
    <w:rsid w:val="002B6D1E"/>
    <w:rsid w:val="002C0DC1"/>
    <w:rsid w:val="002C53F0"/>
    <w:rsid w:val="002C64ED"/>
    <w:rsid w:val="002D08A1"/>
    <w:rsid w:val="002D0E4A"/>
    <w:rsid w:val="002D1067"/>
    <w:rsid w:val="002D2076"/>
    <w:rsid w:val="002D27A6"/>
    <w:rsid w:val="002D33E3"/>
    <w:rsid w:val="002D52E4"/>
    <w:rsid w:val="002D5C3A"/>
    <w:rsid w:val="002E1AB7"/>
    <w:rsid w:val="002F0726"/>
    <w:rsid w:val="00300800"/>
    <w:rsid w:val="00304C3A"/>
    <w:rsid w:val="00310420"/>
    <w:rsid w:val="00310CFF"/>
    <w:rsid w:val="003213A2"/>
    <w:rsid w:val="0032267D"/>
    <w:rsid w:val="00325707"/>
    <w:rsid w:val="0032746C"/>
    <w:rsid w:val="00335D0A"/>
    <w:rsid w:val="0033712E"/>
    <w:rsid w:val="00344E92"/>
    <w:rsid w:val="003522A6"/>
    <w:rsid w:val="00354CFC"/>
    <w:rsid w:val="00355414"/>
    <w:rsid w:val="00356EF9"/>
    <w:rsid w:val="00360100"/>
    <w:rsid w:val="00361336"/>
    <w:rsid w:val="003638F0"/>
    <w:rsid w:val="0036618A"/>
    <w:rsid w:val="00380C68"/>
    <w:rsid w:val="0038635C"/>
    <w:rsid w:val="0039224D"/>
    <w:rsid w:val="00392CDF"/>
    <w:rsid w:val="00396CC6"/>
    <w:rsid w:val="0039734C"/>
    <w:rsid w:val="003A4634"/>
    <w:rsid w:val="003A5F04"/>
    <w:rsid w:val="003B0E26"/>
    <w:rsid w:val="003B25C5"/>
    <w:rsid w:val="003B511E"/>
    <w:rsid w:val="003C12C1"/>
    <w:rsid w:val="003C5D74"/>
    <w:rsid w:val="003C7996"/>
    <w:rsid w:val="003C7E68"/>
    <w:rsid w:val="003D395A"/>
    <w:rsid w:val="003D4461"/>
    <w:rsid w:val="003E3ED0"/>
    <w:rsid w:val="0040061A"/>
    <w:rsid w:val="00402724"/>
    <w:rsid w:val="00402B0B"/>
    <w:rsid w:val="00406C50"/>
    <w:rsid w:val="00412D06"/>
    <w:rsid w:val="00426559"/>
    <w:rsid w:val="004265A7"/>
    <w:rsid w:val="00427171"/>
    <w:rsid w:val="004310A9"/>
    <w:rsid w:val="004313E1"/>
    <w:rsid w:val="00432C89"/>
    <w:rsid w:val="0044258A"/>
    <w:rsid w:val="00453E9C"/>
    <w:rsid w:val="00466CBF"/>
    <w:rsid w:val="004705EC"/>
    <w:rsid w:val="00472AB6"/>
    <w:rsid w:val="00475AE2"/>
    <w:rsid w:val="00475EBC"/>
    <w:rsid w:val="00480FAD"/>
    <w:rsid w:val="004813B7"/>
    <w:rsid w:val="004875B1"/>
    <w:rsid w:val="00490385"/>
    <w:rsid w:val="004927EF"/>
    <w:rsid w:val="00493E01"/>
    <w:rsid w:val="00495BC3"/>
    <w:rsid w:val="0049732E"/>
    <w:rsid w:val="004A3BB1"/>
    <w:rsid w:val="004A418D"/>
    <w:rsid w:val="004A5290"/>
    <w:rsid w:val="004B4D80"/>
    <w:rsid w:val="004B6957"/>
    <w:rsid w:val="004B6C6C"/>
    <w:rsid w:val="004B743C"/>
    <w:rsid w:val="004C3848"/>
    <w:rsid w:val="004C49B8"/>
    <w:rsid w:val="004D37D7"/>
    <w:rsid w:val="004D487C"/>
    <w:rsid w:val="004D68B1"/>
    <w:rsid w:val="004E3FF6"/>
    <w:rsid w:val="004E66BF"/>
    <w:rsid w:val="004E720A"/>
    <w:rsid w:val="004E7F8E"/>
    <w:rsid w:val="004F0FA7"/>
    <w:rsid w:val="004F6355"/>
    <w:rsid w:val="004F74F2"/>
    <w:rsid w:val="00502D04"/>
    <w:rsid w:val="005065D0"/>
    <w:rsid w:val="00510E3B"/>
    <w:rsid w:val="00511372"/>
    <w:rsid w:val="0051376B"/>
    <w:rsid w:val="00514834"/>
    <w:rsid w:val="00514C8D"/>
    <w:rsid w:val="00516056"/>
    <w:rsid w:val="00522B7B"/>
    <w:rsid w:val="00531462"/>
    <w:rsid w:val="00536A15"/>
    <w:rsid w:val="0054111B"/>
    <w:rsid w:val="005417F0"/>
    <w:rsid w:val="00544913"/>
    <w:rsid w:val="00545ABD"/>
    <w:rsid w:val="0054626F"/>
    <w:rsid w:val="005466D2"/>
    <w:rsid w:val="005473C0"/>
    <w:rsid w:val="00556845"/>
    <w:rsid w:val="005574C3"/>
    <w:rsid w:val="00562455"/>
    <w:rsid w:val="00563500"/>
    <w:rsid w:val="00563EC4"/>
    <w:rsid w:val="00567534"/>
    <w:rsid w:val="00570F59"/>
    <w:rsid w:val="00573477"/>
    <w:rsid w:val="00574839"/>
    <w:rsid w:val="005751BC"/>
    <w:rsid w:val="00581294"/>
    <w:rsid w:val="005818CA"/>
    <w:rsid w:val="0059475D"/>
    <w:rsid w:val="0059494E"/>
    <w:rsid w:val="00595429"/>
    <w:rsid w:val="005A032A"/>
    <w:rsid w:val="005B0806"/>
    <w:rsid w:val="005B762F"/>
    <w:rsid w:val="005C02E0"/>
    <w:rsid w:val="005C27B0"/>
    <w:rsid w:val="005C2CA4"/>
    <w:rsid w:val="005D5785"/>
    <w:rsid w:val="005D7C7F"/>
    <w:rsid w:val="005E0799"/>
    <w:rsid w:val="005E08C5"/>
    <w:rsid w:val="005E21E2"/>
    <w:rsid w:val="005E4EDC"/>
    <w:rsid w:val="005E6B87"/>
    <w:rsid w:val="005F0FDD"/>
    <w:rsid w:val="005F200C"/>
    <w:rsid w:val="005F3F3D"/>
    <w:rsid w:val="005F6362"/>
    <w:rsid w:val="006116AB"/>
    <w:rsid w:val="00617EF7"/>
    <w:rsid w:val="00621A19"/>
    <w:rsid w:val="00622DE1"/>
    <w:rsid w:val="00623B17"/>
    <w:rsid w:val="0062652A"/>
    <w:rsid w:val="006320D6"/>
    <w:rsid w:val="00635130"/>
    <w:rsid w:val="0064173E"/>
    <w:rsid w:val="00643685"/>
    <w:rsid w:val="0064716F"/>
    <w:rsid w:val="00650C35"/>
    <w:rsid w:val="006550E2"/>
    <w:rsid w:val="0065528B"/>
    <w:rsid w:val="0065572C"/>
    <w:rsid w:val="0066275A"/>
    <w:rsid w:val="0066421B"/>
    <w:rsid w:val="00664F1E"/>
    <w:rsid w:val="0066632E"/>
    <w:rsid w:val="00667BDA"/>
    <w:rsid w:val="00667E64"/>
    <w:rsid w:val="00667F22"/>
    <w:rsid w:val="006705B4"/>
    <w:rsid w:val="0067327F"/>
    <w:rsid w:val="006842B4"/>
    <w:rsid w:val="006864C7"/>
    <w:rsid w:val="00693430"/>
    <w:rsid w:val="006939AC"/>
    <w:rsid w:val="0069516D"/>
    <w:rsid w:val="006A27CE"/>
    <w:rsid w:val="006C0701"/>
    <w:rsid w:val="006C2A19"/>
    <w:rsid w:val="006C473A"/>
    <w:rsid w:val="006C4EEA"/>
    <w:rsid w:val="006C6416"/>
    <w:rsid w:val="006C646C"/>
    <w:rsid w:val="006D2272"/>
    <w:rsid w:val="006D7DAE"/>
    <w:rsid w:val="006E1C8F"/>
    <w:rsid w:val="006E5E58"/>
    <w:rsid w:val="006F1BC1"/>
    <w:rsid w:val="006F3F8E"/>
    <w:rsid w:val="006F4FF6"/>
    <w:rsid w:val="006F5D07"/>
    <w:rsid w:val="00700341"/>
    <w:rsid w:val="00701438"/>
    <w:rsid w:val="00702553"/>
    <w:rsid w:val="0070308C"/>
    <w:rsid w:val="00703B04"/>
    <w:rsid w:val="007052B5"/>
    <w:rsid w:val="007114A5"/>
    <w:rsid w:val="007118D1"/>
    <w:rsid w:val="0071356E"/>
    <w:rsid w:val="00714252"/>
    <w:rsid w:val="007177B1"/>
    <w:rsid w:val="007247F1"/>
    <w:rsid w:val="007262D9"/>
    <w:rsid w:val="00731F99"/>
    <w:rsid w:val="00736DE1"/>
    <w:rsid w:val="0074327D"/>
    <w:rsid w:val="00752948"/>
    <w:rsid w:val="0076485B"/>
    <w:rsid w:val="00771CB1"/>
    <w:rsid w:val="00777F88"/>
    <w:rsid w:val="0078217D"/>
    <w:rsid w:val="00782979"/>
    <w:rsid w:val="007870C3"/>
    <w:rsid w:val="00787A17"/>
    <w:rsid w:val="00790F4F"/>
    <w:rsid w:val="00791F50"/>
    <w:rsid w:val="007A1A6E"/>
    <w:rsid w:val="007A2172"/>
    <w:rsid w:val="007A674F"/>
    <w:rsid w:val="007A697B"/>
    <w:rsid w:val="007A7A8B"/>
    <w:rsid w:val="007B0A6A"/>
    <w:rsid w:val="007B40B4"/>
    <w:rsid w:val="007C385B"/>
    <w:rsid w:val="007D1081"/>
    <w:rsid w:val="007D36D9"/>
    <w:rsid w:val="007D3D39"/>
    <w:rsid w:val="007D4B16"/>
    <w:rsid w:val="007E0591"/>
    <w:rsid w:val="007E2468"/>
    <w:rsid w:val="007E2C91"/>
    <w:rsid w:val="007E721A"/>
    <w:rsid w:val="007F48FE"/>
    <w:rsid w:val="00800B38"/>
    <w:rsid w:val="0080423A"/>
    <w:rsid w:val="0081003E"/>
    <w:rsid w:val="00813B91"/>
    <w:rsid w:val="00817992"/>
    <w:rsid w:val="00820AEC"/>
    <w:rsid w:val="00821D56"/>
    <w:rsid w:val="00822BF4"/>
    <w:rsid w:val="00824A57"/>
    <w:rsid w:val="00825206"/>
    <w:rsid w:val="00842318"/>
    <w:rsid w:val="00846270"/>
    <w:rsid w:val="008539A6"/>
    <w:rsid w:val="00854434"/>
    <w:rsid w:val="00854FD5"/>
    <w:rsid w:val="008565D3"/>
    <w:rsid w:val="00862564"/>
    <w:rsid w:val="008625ED"/>
    <w:rsid w:val="008709C5"/>
    <w:rsid w:val="00872C7E"/>
    <w:rsid w:val="00873BC0"/>
    <w:rsid w:val="00885BEC"/>
    <w:rsid w:val="008865BA"/>
    <w:rsid w:val="008902D4"/>
    <w:rsid w:val="00892AB2"/>
    <w:rsid w:val="00893F6D"/>
    <w:rsid w:val="00896C67"/>
    <w:rsid w:val="008A150B"/>
    <w:rsid w:val="008A364F"/>
    <w:rsid w:val="008A7F86"/>
    <w:rsid w:val="008B067E"/>
    <w:rsid w:val="008B18B5"/>
    <w:rsid w:val="008B5A9C"/>
    <w:rsid w:val="008C2CF5"/>
    <w:rsid w:val="008C43F5"/>
    <w:rsid w:val="008C60F6"/>
    <w:rsid w:val="008D548D"/>
    <w:rsid w:val="008E4C40"/>
    <w:rsid w:val="008F047F"/>
    <w:rsid w:val="008F5744"/>
    <w:rsid w:val="008F6EF8"/>
    <w:rsid w:val="00903832"/>
    <w:rsid w:val="00903F1B"/>
    <w:rsid w:val="00905D1F"/>
    <w:rsid w:val="00911721"/>
    <w:rsid w:val="0091180D"/>
    <w:rsid w:val="00913906"/>
    <w:rsid w:val="00915A43"/>
    <w:rsid w:val="0092151C"/>
    <w:rsid w:val="0092275B"/>
    <w:rsid w:val="009242A5"/>
    <w:rsid w:val="00924F00"/>
    <w:rsid w:val="00933876"/>
    <w:rsid w:val="00936B9D"/>
    <w:rsid w:val="0094030A"/>
    <w:rsid w:val="00941F2F"/>
    <w:rsid w:val="009420AA"/>
    <w:rsid w:val="00947301"/>
    <w:rsid w:val="00947EBF"/>
    <w:rsid w:val="009540D8"/>
    <w:rsid w:val="00957A63"/>
    <w:rsid w:val="00961F03"/>
    <w:rsid w:val="009640E5"/>
    <w:rsid w:val="00973063"/>
    <w:rsid w:val="00977B53"/>
    <w:rsid w:val="009852AF"/>
    <w:rsid w:val="009869CC"/>
    <w:rsid w:val="00990118"/>
    <w:rsid w:val="00991316"/>
    <w:rsid w:val="009929A7"/>
    <w:rsid w:val="009A07B2"/>
    <w:rsid w:val="009A2377"/>
    <w:rsid w:val="009A5AC6"/>
    <w:rsid w:val="009A5EE7"/>
    <w:rsid w:val="009A66ED"/>
    <w:rsid w:val="009A7158"/>
    <w:rsid w:val="009B2DEA"/>
    <w:rsid w:val="009B4C78"/>
    <w:rsid w:val="009B55C7"/>
    <w:rsid w:val="009C0299"/>
    <w:rsid w:val="009C126F"/>
    <w:rsid w:val="009C3B8D"/>
    <w:rsid w:val="009C6DE8"/>
    <w:rsid w:val="009C7658"/>
    <w:rsid w:val="009D212E"/>
    <w:rsid w:val="009D3450"/>
    <w:rsid w:val="009D7BBF"/>
    <w:rsid w:val="009E0656"/>
    <w:rsid w:val="00A0043B"/>
    <w:rsid w:val="00A04337"/>
    <w:rsid w:val="00A04BEF"/>
    <w:rsid w:val="00A0775B"/>
    <w:rsid w:val="00A11C18"/>
    <w:rsid w:val="00A200DE"/>
    <w:rsid w:val="00A2045C"/>
    <w:rsid w:val="00A24300"/>
    <w:rsid w:val="00A25907"/>
    <w:rsid w:val="00A2671D"/>
    <w:rsid w:val="00A32733"/>
    <w:rsid w:val="00A4289F"/>
    <w:rsid w:val="00A44903"/>
    <w:rsid w:val="00A50C83"/>
    <w:rsid w:val="00A5364C"/>
    <w:rsid w:val="00A559A6"/>
    <w:rsid w:val="00A56F7E"/>
    <w:rsid w:val="00A60D74"/>
    <w:rsid w:val="00A63DC7"/>
    <w:rsid w:val="00A70CB0"/>
    <w:rsid w:val="00A710B7"/>
    <w:rsid w:val="00A722A3"/>
    <w:rsid w:val="00A8410E"/>
    <w:rsid w:val="00A842AC"/>
    <w:rsid w:val="00A84E9B"/>
    <w:rsid w:val="00A85189"/>
    <w:rsid w:val="00A86D7A"/>
    <w:rsid w:val="00A91840"/>
    <w:rsid w:val="00A921D6"/>
    <w:rsid w:val="00AA3B2C"/>
    <w:rsid w:val="00AC4AB4"/>
    <w:rsid w:val="00AC4AED"/>
    <w:rsid w:val="00AD0CB1"/>
    <w:rsid w:val="00AD415A"/>
    <w:rsid w:val="00AD6AA2"/>
    <w:rsid w:val="00AD725C"/>
    <w:rsid w:val="00AD7747"/>
    <w:rsid w:val="00AE09AA"/>
    <w:rsid w:val="00AE4770"/>
    <w:rsid w:val="00AE4E1A"/>
    <w:rsid w:val="00AE6ED5"/>
    <w:rsid w:val="00AF04FB"/>
    <w:rsid w:val="00AF4786"/>
    <w:rsid w:val="00AF604D"/>
    <w:rsid w:val="00B024B0"/>
    <w:rsid w:val="00B029B4"/>
    <w:rsid w:val="00B0411E"/>
    <w:rsid w:val="00B103A4"/>
    <w:rsid w:val="00B1064E"/>
    <w:rsid w:val="00B11A9E"/>
    <w:rsid w:val="00B12532"/>
    <w:rsid w:val="00B1336D"/>
    <w:rsid w:val="00B150EC"/>
    <w:rsid w:val="00B16DA6"/>
    <w:rsid w:val="00B22F20"/>
    <w:rsid w:val="00B24119"/>
    <w:rsid w:val="00B24A9F"/>
    <w:rsid w:val="00B26BCB"/>
    <w:rsid w:val="00B30B63"/>
    <w:rsid w:val="00B35BFD"/>
    <w:rsid w:val="00B42F00"/>
    <w:rsid w:val="00B4685B"/>
    <w:rsid w:val="00B519F3"/>
    <w:rsid w:val="00B560AF"/>
    <w:rsid w:val="00B61D4F"/>
    <w:rsid w:val="00B62098"/>
    <w:rsid w:val="00B659D3"/>
    <w:rsid w:val="00B677FA"/>
    <w:rsid w:val="00B77115"/>
    <w:rsid w:val="00B77520"/>
    <w:rsid w:val="00B80085"/>
    <w:rsid w:val="00B867F2"/>
    <w:rsid w:val="00B900CC"/>
    <w:rsid w:val="00B93AD0"/>
    <w:rsid w:val="00B94CFE"/>
    <w:rsid w:val="00BA006E"/>
    <w:rsid w:val="00BA14D0"/>
    <w:rsid w:val="00BA57CE"/>
    <w:rsid w:val="00BB094C"/>
    <w:rsid w:val="00BB1EED"/>
    <w:rsid w:val="00BB32A0"/>
    <w:rsid w:val="00BC3554"/>
    <w:rsid w:val="00BD2BBE"/>
    <w:rsid w:val="00BE3342"/>
    <w:rsid w:val="00BE727D"/>
    <w:rsid w:val="00BE7F72"/>
    <w:rsid w:val="00BF0B44"/>
    <w:rsid w:val="00BF231C"/>
    <w:rsid w:val="00BF2DE0"/>
    <w:rsid w:val="00C040DB"/>
    <w:rsid w:val="00C04C5A"/>
    <w:rsid w:val="00C05C51"/>
    <w:rsid w:val="00C07C72"/>
    <w:rsid w:val="00C10B89"/>
    <w:rsid w:val="00C171A2"/>
    <w:rsid w:val="00C216F7"/>
    <w:rsid w:val="00C23E2E"/>
    <w:rsid w:val="00C245A5"/>
    <w:rsid w:val="00C24850"/>
    <w:rsid w:val="00C24F29"/>
    <w:rsid w:val="00C25052"/>
    <w:rsid w:val="00C26907"/>
    <w:rsid w:val="00C26AC1"/>
    <w:rsid w:val="00C27DAB"/>
    <w:rsid w:val="00C316C6"/>
    <w:rsid w:val="00C33124"/>
    <w:rsid w:val="00C33888"/>
    <w:rsid w:val="00C372D1"/>
    <w:rsid w:val="00C41C08"/>
    <w:rsid w:val="00C45763"/>
    <w:rsid w:val="00C50F79"/>
    <w:rsid w:val="00C51F17"/>
    <w:rsid w:val="00C553DE"/>
    <w:rsid w:val="00C57BEF"/>
    <w:rsid w:val="00C660C7"/>
    <w:rsid w:val="00C72AD6"/>
    <w:rsid w:val="00C755B6"/>
    <w:rsid w:val="00C75B3D"/>
    <w:rsid w:val="00C801C0"/>
    <w:rsid w:val="00C8171C"/>
    <w:rsid w:val="00C87A1F"/>
    <w:rsid w:val="00C91AAC"/>
    <w:rsid w:val="00C97767"/>
    <w:rsid w:val="00CA3D96"/>
    <w:rsid w:val="00CA4D2C"/>
    <w:rsid w:val="00CA6DFE"/>
    <w:rsid w:val="00CA762B"/>
    <w:rsid w:val="00CB29DD"/>
    <w:rsid w:val="00CC1D65"/>
    <w:rsid w:val="00CC4EEF"/>
    <w:rsid w:val="00CC5550"/>
    <w:rsid w:val="00CD188B"/>
    <w:rsid w:val="00CD1F69"/>
    <w:rsid w:val="00CD3B86"/>
    <w:rsid w:val="00CD40AC"/>
    <w:rsid w:val="00CD412F"/>
    <w:rsid w:val="00CD70CC"/>
    <w:rsid w:val="00CE1CFF"/>
    <w:rsid w:val="00CE7CA3"/>
    <w:rsid w:val="00CF0A44"/>
    <w:rsid w:val="00CF42A7"/>
    <w:rsid w:val="00CF57F2"/>
    <w:rsid w:val="00D01584"/>
    <w:rsid w:val="00D019AC"/>
    <w:rsid w:val="00D02A7E"/>
    <w:rsid w:val="00D03E01"/>
    <w:rsid w:val="00D05A59"/>
    <w:rsid w:val="00D06FB4"/>
    <w:rsid w:val="00D07A6E"/>
    <w:rsid w:val="00D07AE2"/>
    <w:rsid w:val="00D07F29"/>
    <w:rsid w:val="00D21810"/>
    <w:rsid w:val="00D218FA"/>
    <w:rsid w:val="00D233E7"/>
    <w:rsid w:val="00D2732E"/>
    <w:rsid w:val="00D320C6"/>
    <w:rsid w:val="00D368BE"/>
    <w:rsid w:val="00D37D65"/>
    <w:rsid w:val="00D53A28"/>
    <w:rsid w:val="00D55411"/>
    <w:rsid w:val="00D5594A"/>
    <w:rsid w:val="00D56F57"/>
    <w:rsid w:val="00D57BB4"/>
    <w:rsid w:val="00D61744"/>
    <w:rsid w:val="00D622BA"/>
    <w:rsid w:val="00D63FF2"/>
    <w:rsid w:val="00D733FB"/>
    <w:rsid w:val="00D834F0"/>
    <w:rsid w:val="00D877B4"/>
    <w:rsid w:val="00D906A9"/>
    <w:rsid w:val="00D9144F"/>
    <w:rsid w:val="00D91E33"/>
    <w:rsid w:val="00D93104"/>
    <w:rsid w:val="00D954F1"/>
    <w:rsid w:val="00D95937"/>
    <w:rsid w:val="00D976BB"/>
    <w:rsid w:val="00DA1966"/>
    <w:rsid w:val="00DA3F07"/>
    <w:rsid w:val="00DA45BA"/>
    <w:rsid w:val="00DB4DBB"/>
    <w:rsid w:val="00DB50A9"/>
    <w:rsid w:val="00DC10F9"/>
    <w:rsid w:val="00DC600D"/>
    <w:rsid w:val="00DC7EDF"/>
    <w:rsid w:val="00DD0C6A"/>
    <w:rsid w:val="00DD1497"/>
    <w:rsid w:val="00DD14EA"/>
    <w:rsid w:val="00DD313F"/>
    <w:rsid w:val="00DD51F5"/>
    <w:rsid w:val="00DE0D62"/>
    <w:rsid w:val="00DF55C0"/>
    <w:rsid w:val="00DF5B11"/>
    <w:rsid w:val="00E00CF7"/>
    <w:rsid w:val="00E01D94"/>
    <w:rsid w:val="00E01F6B"/>
    <w:rsid w:val="00E05FA0"/>
    <w:rsid w:val="00E07525"/>
    <w:rsid w:val="00E12787"/>
    <w:rsid w:val="00E13548"/>
    <w:rsid w:val="00E157AC"/>
    <w:rsid w:val="00E2366C"/>
    <w:rsid w:val="00E246ED"/>
    <w:rsid w:val="00E26230"/>
    <w:rsid w:val="00E26A31"/>
    <w:rsid w:val="00E27845"/>
    <w:rsid w:val="00E316C9"/>
    <w:rsid w:val="00E32F74"/>
    <w:rsid w:val="00E338E3"/>
    <w:rsid w:val="00E360C3"/>
    <w:rsid w:val="00E44274"/>
    <w:rsid w:val="00E447F7"/>
    <w:rsid w:val="00E47DAC"/>
    <w:rsid w:val="00E5053C"/>
    <w:rsid w:val="00E53A89"/>
    <w:rsid w:val="00E60896"/>
    <w:rsid w:val="00E64B5B"/>
    <w:rsid w:val="00E64D7D"/>
    <w:rsid w:val="00E709B1"/>
    <w:rsid w:val="00E7250C"/>
    <w:rsid w:val="00E74188"/>
    <w:rsid w:val="00E770A6"/>
    <w:rsid w:val="00E8448D"/>
    <w:rsid w:val="00E85993"/>
    <w:rsid w:val="00E904AC"/>
    <w:rsid w:val="00E94A27"/>
    <w:rsid w:val="00E94FA9"/>
    <w:rsid w:val="00E95968"/>
    <w:rsid w:val="00EA3252"/>
    <w:rsid w:val="00EA51FE"/>
    <w:rsid w:val="00EA6D65"/>
    <w:rsid w:val="00EA79F2"/>
    <w:rsid w:val="00EB0D13"/>
    <w:rsid w:val="00EB1BC9"/>
    <w:rsid w:val="00EC20A4"/>
    <w:rsid w:val="00EC76FA"/>
    <w:rsid w:val="00ED05C4"/>
    <w:rsid w:val="00ED3F88"/>
    <w:rsid w:val="00ED57E0"/>
    <w:rsid w:val="00ED620E"/>
    <w:rsid w:val="00ED7F47"/>
    <w:rsid w:val="00EE1888"/>
    <w:rsid w:val="00EE2B1A"/>
    <w:rsid w:val="00EE4C1B"/>
    <w:rsid w:val="00EE6FCE"/>
    <w:rsid w:val="00EF034D"/>
    <w:rsid w:val="00EF3B97"/>
    <w:rsid w:val="00EF7EF6"/>
    <w:rsid w:val="00F0310D"/>
    <w:rsid w:val="00F05466"/>
    <w:rsid w:val="00F057E8"/>
    <w:rsid w:val="00F07DF6"/>
    <w:rsid w:val="00F11A34"/>
    <w:rsid w:val="00F136A1"/>
    <w:rsid w:val="00F13C08"/>
    <w:rsid w:val="00F14BD3"/>
    <w:rsid w:val="00F214FE"/>
    <w:rsid w:val="00F2322F"/>
    <w:rsid w:val="00F273DB"/>
    <w:rsid w:val="00F27CE8"/>
    <w:rsid w:val="00F32CE4"/>
    <w:rsid w:val="00F34692"/>
    <w:rsid w:val="00F4157F"/>
    <w:rsid w:val="00F47C47"/>
    <w:rsid w:val="00F50559"/>
    <w:rsid w:val="00F65ADB"/>
    <w:rsid w:val="00F76AA6"/>
    <w:rsid w:val="00F7739A"/>
    <w:rsid w:val="00F8172A"/>
    <w:rsid w:val="00F860CF"/>
    <w:rsid w:val="00F94ACF"/>
    <w:rsid w:val="00FA2112"/>
    <w:rsid w:val="00FA2BF4"/>
    <w:rsid w:val="00FA2C03"/>
    <w:rsid w:val="00FA3A66"/>
    <w:rsid w:val="00FB1FBE"/>
    <w:rsid w:val="00FB5AA8"/>
    <w:rsid w:val="00FB6FD6"/>
    <w:rsid w:val="00FB7B79"/>
    <w:rsid w:val="00FE15BD"/>
    <w:rsid w:val="00FE297A"/>
    <w:rsid w:val="00FE4162"/>
    <w:rsid w:val="00FE4E00"/>
    <w:rsid w:val="00FE5BF7"/>
    <w:rsid w:val="00FE702C"/>
    <w:rsid w:val="00FF10A3"/>
    <w:rsid w:val="00FF6585"/>
    <w:rsid w:val="026C5999"/>
    <w:rsid w:val="06C24F17"/>
    <w:rsid w:val="086E85F8"/>
    <w:rsid w:val="1ADD96CE"/>
    <w:rsid w:val="1FBEA5B3"/>
    <w:rsid w:val="2837F05F"/>
    <w:rsid w:val="2DCFF69D"/>
    <w:rsid w:val="347703C4"/>
    <w:rsid w:val="3D0B0424"/>
    <w:rsid w:val="3F6BC9D5"/>
    <w:rsid w:val="4162CDF4"/>
    <w:rsid w:val="4ECD78EB"/>
    <w:rsid w:val="6DD600C6"/>
    <w:rsid w:val="722FB669"/>
    <w:rsid w:val="78969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AA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E0"/>
    <w:pPr>
      <w:spacing w:before="120" w:line="276" w:lineRule="auto"/>
      <w:jc w:val="both"/>
    </w:pPr>
    <w:rPr>
      <w:rFonts w:ascii="Calibri" w:eastAsia="Times New Roman" w:hAnsi="Calibri" w:cs="Franklin Gothic Book"/>
    </w:rPr>
  </w:style>
  <w:style w:type="paragraph" w:styleId="Heading1">
    <w:name w:val="heading 1"/>
    <w:basedOn w:val="Normal"/>
    <w:next w:val="Normal"/>
    <w:link w:val="Heading1Char"/>
    <w:qFormat/>
    <w:rsid w:val="00A04337"/>
    <w:pPr>
      <w:keepNext/>
      <w:keepLines/>
      <w:numPr>
        <w:numId w:val="1"/>
      </w:numPr>
      <w:spacing w:before="240" w:after="0"/>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autoRedefine/>
    <w:unhideWhenUsed/>
    <w:qFormat/>
    <w:rsid w:val="004265A7"/>
    <w:pPr>
      <w:keepNext/>
      <w:keepLines/>
      <w:pBdr>
        <w:top w:val="single" w:sz="4" w:space="1" w:color="000000"/>
        <w:left w:val="single" w:sz="4" w:space="4" w:color="000000"/>
        <w:bottom w:val="single" w:sz="4" w:space="1" w:color="000000"/>
        <w:right w:val="single" w:sz="4" w:space="4" w:color="000000"/>
      </w:pBdr>
      <w:shd w:val="clear" w:color="auto" w:fill="DBE5F1"/>
      <w:spacing w:before="0"/>
      <w:jc w:val="center"/>
      <w:outlineLvl w:val="1"/>
    </w:pPr>
    <w:rPr>
      <w:rFonts w:eastAsiaTheme="majorEastAsia" w:cstheme="majorBidi"/>
      <w:b/>
    </w:rPr>
  </w:style>
  <w:style w:type="paragraph" w:styleId="Heading3">
    <w:name w:val="heading 3"/>
    <w:basedOn w:val="ListParagraph"/>
    <w:next w:val="Normal"/>
    <w:link w:val="Heading3Char"/>
    <w:unhideWhenUsed/>
    <w:qFormat/>
    <w:rsid w:val="00A04337"/>
    <w:pPr>
      <w:numPr>
        <w:ilvl w:val="2"/>
        <w:numId w:val="1"/>
      </w:numPr>
      <w:spacing w:after="0"/>
      <w:outlineLvl w:val="2"/>
    </w:pPr>
    <w:rPr>
      <w:rFonts w:asciiTheme="minorHAnsi" w:hAnsiTheme="minorHAnsi"/>
      <w:i/>
      <w:color w:val="2E74B5" w:themeColor="accent1" w:themeShade="BF"/>
    </w:rPr>
  </w:style>
  <w:style w:type="paragraph" w:styleId="Heading4">
    <w:name w:val="heading 4"/>
    <w:basedOn w:val="Normal1"/>
    <w:next w:val="Normal1"/>
    <w:link w:val="Heading4Char"/>
    <w:rsid w:val="000004E0"/>
    <w:pPr>
      <w:spacing w:before="240" w:after="60"/>
      <w:outlineLvl w:val="3"/>
    </w:pPr>
    <w:rPr>
      <w:b/>
    </w:rPr>
  </w:style>
  <w:style w:type="paragraph" w:styleId="Heading5">
    <w:name w:val="heading 5"/>
    <w:basedOn w:val="Normal1"/>
    <w:next w:val="Normal1"/>
    <w:link w:val="Heading5Char"/>
    <w:rsid w:val="000004E0"/>
    <w:pPr>
      <w:keepNext/>
      <w:keepLines/>
      <w:spacing w:before="220" w:after="40"/>
      <w:outlineLvl w:val="4"/>
    </w:pPr>
    <w:rPr>
      <w:b/>
      <w:sz w:val="22"/>
      <w:szCs w:val="22"/>
    </w:rPr>
  </w:style>
  <w:style w:type="paragraph" w:styleId="Heading6">
    <w:name w:val="heading 6"/>
    <w:basedOn w:val="Normal1"/>
    <w:next w:val="Normal1"/>
    <w:link w:val="Heading6Char"/>
    <w:rsid w:val="000004E0"/>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004E0"/>
    <w:pPr>
      <w:keepNext/>
      <w:keepLines/>
      <w:spacing w:before="40" w:after="240"/>
      <w:outlineLvl w:val="6"/>
    </w:pPr>
    <w:rPr>
      <w:rFonts w:asciiTheme="minorHAnsi" w:eastAsiaTheme="majorEastAsia" w:hAnsiTheme="minorHAnsi" w:cstheme="majorBidi"/>
      <w:b/>
      <w:iCs/>
    </w:rPr>
  </w:style>
  <w:style w:type="paragraph" w:styleId="Heading8">
    <w:name w:val="heading 8"/>
    <w:basedOn w:val="Normal"/>
    <w:next w:val="Normal"/>
    <w:link w:val="Heading8Char"/>
    <w:uiPriority w:val="9"/>
    <w:unhideWhenUsed/>
    <w:qFormat/>
    <w:rsid w:val="000004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F2A"/>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rsid w:val="004265A7"/>
    <w:rPr>
      <w:rFonts w:ascii="Calibri" w:eastAsiaTheme="majorEastAsia" w:hAnsi="Calibri" w:cstheme="majorBidi"/>
      <w:b/>
      <w:shd w:val="clear" w:color="auto" w:fill="DBE5F1"/>
    </w:rPr>
  </w:style>
  <w:style w:type="paragraph" w:styleId="Title">
    <w:name w:val="Title"/>
    <w:basedOn w:val="Normal"/>
    <w:next w:val="Normal"/>
    <w:link w:val="TitleChar"/>
    <w:qFormat/>
    <w:rsid w:val="000D6324"/>
    <w:pPr>
      <w:spacing w:after="0" w:line="240" w:lineRule="auto"/>
      <w:contextualSpacing/>
      <w:jc w:val="center"/>
    </w:pPr>
    <w:rPr>
      <w:rFonts w:asciiTheme="majorHAnsi" w:eastAsiaTheme="majorEastAsia" w:hAnsiTheme="majorHAnsi" w:cstheme="majorBidi"/>
      <w:color w:val="2E74B5" w:themeColor="accent1" w:themeShade="BF"/>
      <w:spacing w:val="-10"/>
      <w:kern w:val="28"/>
      <w:sz w:val="48"/>
      <w:szCs w:val="56"/>
    </w:rPr>
  </w:style>
  <w:style w:type="character" w:customStyle="1" w:styleId="TitleChar">
    <w:name w:val="Title Char"/>
    <w:basedOn w:val="DefaultParagraphFont"/>
    <w:link w:val="Title"/>
    <w:uiPriority w:val="10"/>
    <w:rsid w:val="000D6324"/>
    <w:rPr>
      <w:rFonts w:asciiTheme="majorHAnsi" w:eastAsiaTheme="majorEastAsia" w:hAnsiTheme="majorHAnsi" w:cstheme="majorBidi"/>
      <w:color w:val="2E74B5" w:themeColor="accent1" w:themeShade="BF"/>
      <w:spacing w:val="-10"/>
      <w:kern w:val="28"/>
      <w:sz w:val="48"/>
      <w:szCs w:val="56"/>
    </w:rPr>
  </w:style>
  <w:style w:type="character" w:customStyle="1" w:styleId="Heading3Char">
    <w:name w:val="Heading 3 Char"/>
    <w:basedOn w:val="DefaultParagraphFont"/>
    <w:link w:val="Heading3"/>
    <w:rsid w:val="00B4685B"/>
    <w:rPr>
      <w:rFonts w:eastAsia="Times New Roman" w:cs="Franklin Gothic Book"/>
      <w:i/>
      <w:color w:val="2E74B5" w:themeColor="accent1" w:themeShade="BF"/>
    </w:rPr>
  </w:style>
  <w:style w:type="paragraph" w:styleId="ListParagraph">
    <w:name w:val="List Paragraph"/>
    <w:basedOn w:val="Normal"/>
    <w:uiPriority w:val="34"/>
    <w:qFormat/>
    <w:rsid w:val="00B4685B"/>
    <w:pPr>
      <w:ind w:left="720"/>
      <w:contextualSpacing/>
    </w:pPr>
  </w:style>
  <w:style w:type="character" w:customStyle="1" w:styleId="Heading4Char">
    <w:name w:val="Heading 4 Char"/>
    <w:basedOn w:val="DefaultParagraphFont"/>
    <w:link w:val="Heading4"/>
    <w:rsid w:val="000004E0"/>
    <w:rPr>
      <w:rFonts w:ascii="Arial" w:hAnsi="Arial" w:cs="Arial"/>
      <w:b/>
      <w:color w:val="000000"/>
      <w:sz w:val="24"/>
      <w:szCs w:val="24"/>
    </w:rPr>
  </w:style>
  <w:style w:type="character" w:customStyle="1" w:styleId="Heading5Char">
    <w:name w:val="Heading 5 Char"/>
    <w:basedOn w:val="DefaultParagraphFont"/>
    <w:link w:val="Heading5"/>
    <w:rsid w:val="000004E0"/>
    <w:rPr>
      <w:rFonts w:ascii="Arial" w:hAnsi="Arial" w:cs="Arial"/>
      <w:b/>
      <w:color w:val="000000"/>
    </w:rPr>
  </w:style>
  <w:style w:type="character" w:customStyle="1" w:styleId="Heading6Char">
    <w:name w:val="Heading 6 Char"/>
    <w:basedOn w:val="DefaultParagraphFont"/>
    <w:link w:val="Heading6"/>
    <w:rsid w:val="000004E0"/>
    <w:rPr>
      <w:rFonts w:ascii="Arial" w:hAnsi="Arial" w:cs="Arial"/>
      <w:b/>
      <w:color w:val="000000"/>
      <w:sz w:val="20"/>
      <w:szCs w:val="20"/>
    </w:rPr>
  </w:style>
  <w:style w:type="character" w:customStyle="1" w:styleId="Heading7Char">
    <w:name w:val="Heading 7 Char"/>
    <w:basedOn w:val="DefaultParagraphFont"/>
    <w:link w:val="Heading7"/>
    <w:uiPriority w:val="9"/>
    <w:rsid w:val="000004E0"/>
    <w:rPr>
      <w:rFonts w:eastAsiaTheme="majorEastAsia" w:cstheme="majorBidi"/>
      <w:b/>
      <w:iCs/>
    </w:rPr>
  </w:style>
  <w:style w:type="paragraph" w:customStyle="1" w:styleId="Normal1">
    <w:name w:val="Normal1"/>
    <w:rsid w:val="000004E0"/>
    <w:pPr>
      <w:pBdr>
        <w:top w:val="nil"/>
        <w:left w:val="nil"/>
        <w:bottom w:val="nil"/>
        <w:right w:val="nil"/>
        <w:between w:val="nil"/>
      </w:pBdr>
      <w:spacing w:after="0"/>
      <w:jc w:val="left"/>
    </w:pPr>
    <w:rPr>
      <w:rFonts w:ascii="Arial" w:hAnsi="Arial" w:cs="Arial"/>
      <w:color w:val="000000"/>
      <w:sz w:val="24"/>
      <w:szCs w:val="24"/>
    </w:rPr>
  </w:style>
  <w:style w:type="paragraph" w:styleId="Subtitle">
    <w:name w:val="Subtitle"/>
    <w:basedOn w:val="Normal1"/>
    <w:next w:val="Normal1"/>
    <w:link w:val="SubtitleChar"/>
    <w:rsid w:val="000004E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004E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0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4E0"/>
    <w:rPr>
      <w:rFonts w:ascii="Lucida Grande" w:eastAsia="Times New Roman" w:hAnsi="Lucida Grande" w:cs="Lucida Grande"/>
      <w:sz w:val="18"/>
      <w:szCs w:val="18"/>
    </w:rPr>
  </w:style>
  <w:style w:type="paragraph" w:styleId="Header">
    <w:name w:val="header"/>
    <w:basedOn w:val="Normal"/>
    <w:link w:val="HeaderChar"/>
    <w:uiPriority w:val="99"/>
    <w:unhideWhenUsed/>
    <w:rsid w:val="000004E0"/>
    <w:pPr>
      <w:tabs>
        <w:tab w:val="center" w:pos="4513"/>
        <w:tab w:val="right" w:pos="9026"/>
      </w:tabs>
    </w:pPr>
  </w:style>
  <w:style w:type="character" w:customStyle="1" w:styleId="HeaderChar">
    <w:name w:val="Header Char"/>
    <w:basedOn w:val="DefaultParagraphFont"/>
    <w:link w:val="Header"/>
    <w:uiPriority w:val="99"/>
    <w:rsid w:val="000004E0"/>
    <w:rPr>
      <w:rFonts w:ascii="Calibri" w:eastAsia="Times New Roman" w:hAnsi="Calibri" w:cs="Franklin Gothic Book"/>
    </w:rPr>
  </w:style>
  <w:style w:type="paragraph" w:styleId="Footer">
    <w:name w:val="footer"/>
    <w:basedOn w:val="Normal"/>
    <w:link w:val="FooterChar"/>
    <w:uiPriority w:val="99"/>
    <w:unhideWhenUsed/>
    <w:rsid w:val="000004E0"/>
    <w:pPr>
      <w:tabs>
        <w:tab w:val="center" w:pos="4513"/>
        <w:tab w:val="right" w:pos="9026"/>
      </w:tabs>
    </w:pPr>
  </w:style>
  <w:style w:type="character" w:customStyle="1" w:styleId="FooterChar">
    <w:name w:val="Footer Char"/>
    <w:basedOn w:val="DefaultParagraphFont"/>
    <w:link w:val="Footer"/>
    <w:uiPriority w:val="99"/>
    <w:rsid w:val="000004E0"/>
    <w:rPr>
      <w:rFonts w:ascii="Calibri" w:eastAsia="Times New Roman" w:hAnsi="Calibri" w:cs="Franklin Gothic Book"/>
    </w:rPr>
  </w:style>
  <w:style w:type="character" w:styleId="CommentReference">
    <w:name w:val="annotation reference"/>
    <w:basedOn w:val="DefaultParagraphFont"/>
    <w:uiPriority w:val="99"/>
    <w:semiHidden/>
    <w:unhideWhenUsed/>
    <w:rsid w:val="000004E0"/>
    <w:rPr>
      <w:sz w:val="16"/>
      <w:szCs w:val="16"/>
    </w:rPr>
  </w:style>
  <w:style w:type="paragraph" w:styleId="CommentText">
    <w:name w:val="annotation text"/>
    <w:basedOn w:val="Normal"/>
    <w:link w:val="CommentTextChar"/>
    <w:uiPriority w:val="99"/>
    <w:unhideWhenUsed/>
    <w:rsid w:val="000004E0"/>
    <w:rPr>
      <w:sz w:val="20"/>
      <w:szCs w:val="20"/>
    </w:rPr>
  </w:style>
  <w:style w:type="character" w:customStyle="1" w:styleId="CommentTextChar">
    <w:name w:val="Comment Text Char"/>
    <w:basedOn w:val="DefaultParagraphFont"/>
    <w:link w:val="CommentText"/>
    <w:uiPriority w:val="99"/>
    <w:rsid w:val="000004E0"/>
    <w:rPr>
      <w:rFonts w:ascii="Calibri" w:eastAsia="Times New Roman" w:hAnsi="Calibri" w:cs="Franklin Gothic Book"/>
      <w:sz w:val="20"/>
      <w:szCs w:val="20"/>
    </w:rPr>
  </w:style>
  <w:style w:type="paragraph" w:styleId="CommentSubject">
    <w:name w:val="annotation subject"/>
    <w:basedOn w:val="CommentText"/>
    <w:next w:val="CommentText"/>
    <w:link w:val="CommentSubjectChar"/>
    <w:uiPriority w:val="99"/>
    <w:semiHidden/>
    <w:unhideWhenUsed/>
    <w:rsid w:val="000004E0"/>
    <w:rPr>
      <w:b/>
      <w:bCs/>
    </w:rPr>
  </w:style>
  <w:style w:type="character" w:customStyle="1" w:styleId="CommentSubjectChar">
    <w:name w:val="Comment Subject Char"/>
    <w:basedOn w:val="CommentTextChar"/>
    <w:link w:val="CommentSubject"/>
    <w:uiPriority w:val="99"/>
    <w:semiHidden/>
    <w:rsid w:val="000004E0"/>
    <w:rPr>
      <w:rFonts w:ascii="Calibri" w:eastAsia="Times New Roman" w:hAnsi="Calibri" w:cs="Franklin Gothic Book"/>
      <w:b/>
      <w:bCs/>
      <w:sz w:val="20"/>
      <w:szCs w:val="20"/>
    </w:rPr>
  </w:style>
  <w:style w:type="paragraph" w:styleId="Revision">
    <w:name w:val="Revision"/>
    <w:hidden/>
    <w:uiPriority w:val="99"/>
    <w:semiHidden/>
    <w:rsid w:val="000004E0"/>
    <w:pPr>
      <w:spacing w:after="0"/>
      <w:jc w:val="left"/>
    </w:pPr>
    <w:rPr>
      <w:rFonts w:ascii="Arial" w:hAnsi="Arial" w:cs="Arial"/>
      <w:color w:val="000000"/>
      <w:sz w:val="24"/>
      <w:szCs w:val="24"/>
    </w:rPr>
  </w:style>
  <w:style w:type="paragraph" w:customStyle="1" w:styleId="Default">
    <w:name w:val="Default"/>
    <w:rsid w:val="000004E0"/>
    <w:pPr>
      <w:autoSpaceDE w:val="0"/>
      <w:autoSpaceDN w:val="0"/>
      <w:adjustRightInd w:val="0"/>
      <w:spacing w:after="0"/>
      <w:jc w:val="left"/>
    </w:pPr>
    <w:rPr>
      <w:rFonts w:ascii="Calibri" w:hAnsi="Calibri" w:cs="Calibri"/>
      <w:color w:val="000000"/>
      <w:sz w:val="24"/>
      <w:szCs w:val="24"/>
      <w:lang w:val="en-US"/>
    </w:rPr>
  </w:style>
  <w:style w:type="paragraph" w:styleId="Caption">
    <w:name w:val="caption"/>
    <w:basedOn w:val="Normal"/>
    <w:next w:val="Normal"/>
    <w:uiPriority w:val="99"/>
    <w:unhideWhenUsed/>
    <w:qFormat/>
    <w:rsid w:val="000004E0"/>
    <w:rPr>
      <w:rFonts w:eastAsiaTheme="minorHAnsi" w:cstheme="minorBidi"/>
      <w:sz w:val="18"/>
      <w:lang w:val="en-US"/>
    </w:rPr>
  </w:style>
  <w:style w:type="paragraph" w:styleId="BodyText">
    <w:name w:val="Body Text"/>
    <w:basedOn w:val="Normal"/>
    <w:link w:val="BodyTextChar"/>
    <w:qFormat/>
    <w:rsid w:val="000004E0"/>
    <w:rPr>
      <w:rFonts w:ascii="Franklin Gothic Book" w:hAnsi="Franklin Gothic Book"/>
      <w:sz w:val="20"/>
      <w:szCs w:val="20"/>
    </w:rPr>
  </w:style>
  <w:style w:type="character" w:customStyle="1" w:styleId="BodyTextChar">
    <w:name w:val="Body Text Char"/>
    <w:basedOn w:val="DefaultParagraphFont"/>
    <w:link w:val="BodyText"/>
    <w:rsid w:val="000004E0"/>
    <w:rPr>
      <w:rFonts w:ascii="Franklin Gothic Book" w:eastAsia="Times New Roman" w:hAnsi="Franklin Gothic Book" w:cs="Franklin Gothic Book"/>
      <w:sz w:val="20"/>
      <w:szCs w:val="20"/>
    </w:rPr>
  </w:style>
  <w:style w:type="table" w:styleId="TableGrid">
    <w:name w:val="Table Grid"/>
    <w:basedOn w:val="TableNormal"/>
    <w:rsid w:val="000004E0"/>
    <w:pPr>
      <w:spacing w:after="0"/>
      <w:jc w:val="left"/>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4E0"/>
    <w:rPr>
      <w:color w:val="0563C1" w:themeColor="hyperlink"/>
      <w:u w:val="single"/>
    </w:rPr>
  </w:style>
  <w:style w:type="character" w:customStyle="1" w:styleId="UnresolvedMention1">
    <w:name w:val="Unresolved Mention1"/>
    <w:basedOn w:val="DefaultParagraphFont"/>
    <w:uiPriority w:val="99"/>
    <w:semiHidden/>
    <w:unhideWhenUsed/>
    <w:rsid w:val="000004E0"/>
    <w:rPr>
      <w:color w:val="808080"/>
      <w:shd w:val="clear" w:color="auto" w:fill="E6E6E6"/>
    </w:rPr>
  </w:style>
  <w:style w:type="character" w:styleId="FollowedHyperlink">
    <w:name w:val="FollowedHyperlink"/>
    <w:basedOn w:val="DefaultParagraphFont"/>
    <w:uiPriority w:val="99"/>
    <w:semiHidden/>
    <w:unhideWhenUsed/>
    <w:rsid w:val="000004E0"/>
    <w:rPr>
      <w:color w:val="954F72" w:themeColor="followedHyperlink"/>
      <w:u w:val="single"/>
    </w:rPr>
  </w:style>
  <w:style w:type="paragraph" w:styleId="NormalWeb">
    <w:name w:val="Normal (Web)"/>
    <w:basedOn w:val="Normal"/>
    <w:uiPriority w:val="99"/>
    <w:semiHidden/>
    <w:unhideWhenUsed/>
    <w:rsid w:val="000004E0"/>
    <w:rPr>
      <w:rFonts w:ascii="Times New Roman" w:hAnsi="Times New Roman" w:cs="Times New Roman"/>
      <w:sz w:val="24"/>
      <w:szCs w:val="24"/>
    </w:rPr>
  </w:style>
  <w:style w:type="character" w:styleId="Emphasis">
    <w:name w:val="Emphasis"/>
    <w:basedOn w:val="DefaultParagraphFont"/>
    <w:uiPriority w:val="20"/>
    <w:qFormat/>
    <w:rsid w:val="000004E0"/>
    <w:rPr>
      <w:b/>
    </w:rPr>
  </w:style>
  <w:style w:type="character" w:styleId="IntenseEmphasis">
    <w:name w:val="Intense Emphasis"/>
    <w:basedOn w:val="DefaultParagraphFont"/>
    <w:uiPriority w:val="21"/>
    <w:qFormat/>
    <w:rsid w:val="000004E0"/>
    <w:rPr>
      <w:i/>
      <w:iCs/>
      <w:color w:val="5B9BD5" w:themeColor="accent1"/>
    </w:rPr>
  </w:style>
  <w:style w:type="character" w:styleId="Strong">
    <w:name w:val="Strong"/>
    <w:basedOn w:val="DefaultParagraphFont"/>
    <w:uiPriority w:val="22"/>
    <w:qFormat/>
    <w:rsid w:val="000004E0"/>
    <w:rPr>
      <w:b/>
      <w:bCs/>
    </w:rPr>
  </w:style>
  <w:style w:type="character" w:customStyle="1" w:styleId="Heading8Char">
    <w:name w:val="Heading 8 Char"/>
    <w:basedOn w:val="DefaultParagraphFont"/>
    <w:link w:val="Heading8"/>
    <w:uiPriority w:val="9"/>
    <w:rsid w:val="000004E0"/>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0004E0"/>
    <w:pPr>
      <w:numPr>
        <w:numId w:val="0"/>
      </w:numPr>
      <w:spacing w:line="259" w:lineRule="auto"/>
      <w:jc w:val="left"/>
      <w:outlineLvl w:val="9"/>
    </w:pPr>
    <w:rPr>
      <w:b w:val="0"/>
      <w:sz w:val="32"/>
      <w:lang w:val="en-US"/>
    </w:rPr>
  </w:style>
  <w:style w:type="paragraph" w:styleId="TOC2">
    <w:name w:val="toc 2"/>
    <w:basedOn w:val="Normal"/>
    <w:next w:val="Normal"/>
    <w:autoRedefine/>
    <w:uiPriority w:val="39"/>
    <w:unhideWhenUsed/>
    <w:rsid w:val="000004E0"/>
    <w:pPr>
      <w:spacing w:after="100"/>
      <w:ind w:left="220"/>
    </w:pPr>
  </w:style>
  <w:style w:type="paragraph" w:styleId="FootnoteText">
    <w:name w:val="footnote text"/>
    <w:basedOn w:val="Normal"/>
    <w:link w:val="FootnoteTextChar"/>
    <w:uiPriority w:val="99"/>
    <w:semiHidden/>
    <w:unhideWhenUsed/>
    <w:rsid w:val="00273C4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73C48"/>
    <w:rPr>
      <w:rFonts w:ascii="Calibri" w:eastAsia="Times New Roman" w:hAnsi="Calibri" w:cs="Franklin Gothic Book"/>
      <w:sz w:val="20"/>
      <w:szCs w:val="20"/>
    </w:rPr>
  </w:style>
  <w:style w:type="character" w:styleId="FootnoteReference">
    <w:name w:val="footnote reference"/>
    <w:basedOn w:val="DefaultParagraphFont"/>
    <w:uiPriority w:val="99"/>
    <w:semiHidden/>
    <w:unhideWhenUsed/>
    <w:rsid w:val="00273C48"/>
    <w:rPr>
      <w:vertAlign w:val="superscript"/>
    </w:rPr>
  </w:style>
  <w:style w:type="paragraph" w:customStyle="1" w:styleId="BulletpointLevel1">
    <w:name w:val="Bulletpoint Level 1"/>
    <w:basedOn w:val="Normal"/>
    <w:link w:val="BulletpointLevel1Char"/>
    <w:qFormat/>
    <w:rsid w:val="009C6DE8"/>
    <w:pPr>
      <w:numPr>
        <w:numId w:val="28"/>
      </w:numPr>
      <w:spacing w:before="0" w:after="0"/>
      <w:jc w:val="left"/>
    </w:pPr>
    <w:rPr>
      <w:rFonts w:cstheme="minorBidi"/>
      <w:lang w:val="de-DE" w:eastAsia="de-DE"/>
    </w:rPr>
  </w:style>
  <w:style w:type="character" w:customStyle="1" w:styleId="BulletpointLevel1Char">
    <w:name w:val="Bulletpoint Level 1 Char"/>
    <w:basedOn w:val="DefaultParagraphFont"/>
    <w:link w:val="BulletpointLevel1"/>
    <w:rsid w:val="009C6DE8"/>
    <w:rPr>
      <w:rFonts w:ascii="Calibri" w:eastAsia="Times New Roman" w:hAnsi="Calibri"/>
      <w:lang w:val="de-DE" w:eastAsia="de-DE"/>
    </w:rPr>
  </w:style>
  <w:style w:type="character" w:styleId="UnresolvedMention">
    <w:name w:val="Unresolved Mention"/>
    <w:basedOn w:val="DefaultParagraphFont"/>
    <w:uiPriority w:val="99"/>
    <w:unhideWhenUsed/>
    <w:rsid w:val="002E1AB7"/>
    <w:rPr>
      <w:color w:val="605E5C"/>
      <w:shd w:val="clear" w:color="auto" w:fill="E1DFDD"/>
    </w:rPr>
  </w:style>
  <w:style w:type="character" w:styleId="Mention">
    <w:name w:val="Mention"/>
    <w:basedOn w:val="DefaultParagraphFont"/>
    <w:uiPriority w:val="99"/>
    <w:unhideWhenUsed/>
    <w:rsid w:val="002E1A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792">
      <w:bodyDiv w:val="1"/>
      <w:marLeft w:val="0"/>
      <w:marRight w:val="0"/>
      <w:marTop w:val="0"/>
      <w:marBottom w:val="0"/>
      <w:divBdr>
        <w:top w:val="none" w:sz="0" w:space="0" w:color="auto"/>
        <w:left w:val="none" w:sz="0" w:space="0" w:color="auto"/>
        <w:bottom w:val="none" w:sz="0" w:space="0" w:color="auto"/>
        <w:right w:val="none" w:sz="0" w:space="0" w:color="auto"/>
      </w:divBdr>
    </w:div>
    <w:div w:id="288048068">
      <w:bodyDiv w:val="1"/>
      <w:marLeft w:val="0"/>
      <w:marRight w:val="0"/>
      <w:marTop w:val="0"/>
      <w:marBottom w:val="0"/>
      <w:divBdr>
        <w:top w:val="none" w:sz="0" w:space="0" w:color="auto"/>
        <w:left w:val="none" w:sz="0" w:space="0" w:color="auto"/>
        <w:bottom w:val="none" w:sz="0" w:space="0" w:color="auto"/>
        <w:right w:val="none" w:sz="0" w:space="0" w:color="auto"/>
      </w:divBdr>
    </w:div>
    <w:div w:id="1028875459">
      <w:bodyDiv w:val="1"/>
      <w:marLeft w:val="0"/>
      <w:marRight w:val="0"/>
      <w:marTop w:val="0"/>
      <w:marBottom w:val="0"/>
      <w:divBdr>
        <w:top w:val="none" w:sz="0" w:space="0" w:color="auto"/>
        <w:left w:val="none" w:sz="0" w:space="0" w:color="auto"/>
        <w:bottom w:val="none" w:sz="0" w:space="0" w:color="auto"/>
        <w:right w:val="none" w:sz="0" w:space="0" w:color="auto"/>
      </w:divBdr>
    </w:div>
    <w:div w:id="20539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obusiness.fund/fileadmin/user_upload/downloads/EN/eco.business_Fund_Impact_Framework-Growing_Impact_2019.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cd3c523b-aa8f-4804-a23e-31cb3efad401">
      <Terms xmlns="http://schemas.microsoft.com/office/infopath/2007/PartnerControls"/>
    </lcf76f155ced4ddcb4097134ff3c332f>
    <MediaLengthInSeconds xmlns="cd3c523b-aa8f-4804-a23e-31cb3efad40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0" ma:contentTypeDescription="Create a new document." ma:contentTypeScope="" ma:versionID="6bccc43fd84fcb2bc07a4d1b3b3e19eb">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b6bf59eafe58f12eb4bef7b239dea0b3"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B715AD9D-E997-471A-A5BD-0DEE90DE701D}">
  <ds:schemaRefs>
    <ds:schemaRef ds:uri="http://schemas.microsoft.com/office/2006/metadata/properties"/>
    <ds:schemaRef ds:uri="http://schemas.microsoft.com/office/infopath/2007/PartnerControls"/>
    <ds:schemaRef ds:uri="0f50e317-d97a-4d4b-be23-be7479f90fa5"/>
    <ds:schemaRef ds:uri="662745e8-e224-48e8-a2e3-254862b8c2f5"/>
    <ds:schemaRef ds:uri="cd3c523b-aa8f-4804-a23e-31cb3efad401"/>
    <ds:schemaRef ds:uri="http://schemas.microsoft.com/sharepoint/v3"/>
  </ds:schemaRefs>
</ds:datastoreItem>
</file>

<file path=customXml/itemProps2.xml><?xml version="1.0" encoding="utf-8"?>
<ds:datastoreItem xmlns:ds="http://schemas.openxmlformats.org/officeDocument/2006/customXml" ds:itemID="{B6018731-496A-4B49-8DCD-AA66F2E2684C}">
  <ds:schemaRefs>
    <ds:schemaRef ds:uri="http://schemas.microsoft.com/sharepoint/v3/contenttype/forms"/>
  </ds:schemaRefs>
</ds:datastoreItem>
</file>

<file path=customXml/itemProps3.xml><?xml version="1.0" encoding="utf-8"?>
<ds:datastoreItem xmlns:ds="http://schemas.openxmlformats.org/officeDocument/2006/customXml" ds:itemID="{320FA8B9-A15A-47F8-AA54-3E7376C4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81D54-A0EA-40EF-8FA1-4B40CCFAD2EB}">
  <ds:schemaRefs>
    <ds:schemaRef ds:uri="http://schemas.openxmlformats.org/officeDocument/2006/bibliography"/>
  </ds:schemaRefs>
</ds:datastoreItem>
</file>

<file path=customXml/itemProps5.xml><?xml version="1.0" encoding="utf-8"?>
<ds:datastoreItem xmlns:ds="http://schemas.openxmlformats.org/officeDocument/2006/customXml" ds:itemID="{A67029A8-C1CD-43C6-B90F-9C20DE967A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2021-10-21T10:58:00Z</dcterms:created>
  <dcterms:modified xsi:type="dcterms:W3CDTF">2023-03-09T08:33:00Z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0x010100A5BF1C78D9F64B679A5EBDE1C6598EBC01007F88C51DAF897B458237A9C1200953D8</vt:lpwstr>
  </property>
  <property fmtid="{D5CDD505-2E9C-101B-9397-08002B2CF9AE}" pid="3" name="InformationType">
    <vt:lpwstr/>
  </property>
  <property fmtid="{D5CDD505-2E9C-101B-9397-08002B2CF9AE}" pid="4" name="Distribution">
    <vt:lpwstr>11;#Internal Defra Group|0867f7b3-e76e-40ca-bb1f-5ba341a49230</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HOFrom">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vti_imgdate">
    <vt:lpwstr/>
  </property>
  <property fmtid="{D5CDD505-2E9C-101B-9397-08002B2CF9AE}" pid="19" name="TriggerFlowInfo">
    <vt:lpwstr/>
  </property>
  <property fmtid="{D5CDD505-2E9C-101B-9397-08002B2CF9AE}" pid="20" name="HOTo">
    <vt:lpwstr/>
  </property>
  <property fmtid="{D5CDD505-2E9C-101B-9397-08002B2CF9AE}" pid="21" name="xd_Signature">
    <vt:bool>false</vt:bool>
  </property>
  <property fmtid="{D5CDD505-2E9C-101B-9397-08002B2CF9AE}" pid="22" name="HOSubject">
    <vt:lpwstr/>
  </property>
  <property fmtid="{D5CDD505-2E9C-101B-9397-08002B2CF9AE}" pid="23" name="wic_System_Copyright">
    <vt:lpwstr/>
  </property>
  <property fmtid="{D5CDD505-2E9C-101B-9397-08002B2CF9AE}" pid="24" name="HOCC">
    <vt:lpwstr/>
  </property>
</Properties>
</file>