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B9ED7" w14:textId="79C82E99" w:rsidR="00D65DC0" w:rsidRDefault="17636327" w:rsidP="00D65DC0">
      <w:pPr>
        <w:pStyle w:val="Title"/>
        <w:spacing w:line="22" w:lineRule="atLeast"/>
      </w:pPr>
      <w:r>
        <w:t>2020-2021 Annual Review</w:t>
      </w:r>
    </w:p>
    <w:p w14:paraId="42299551" w14:textId="616B2770" w:rsidR="00D65DC0" w:rsidRDefault="00D65DC0" w:rsidP="00D65DC0">
      <w:pPr>
        <w:pStyle w:val="Subtitle"/>
        <w:spacing w:line="22" w:lineRule="atLeast"/>
      </w:pPr>
      <w:r>
        <w:t>ICF UK Blue Carbon Fund (UK BCF)</w:t>
      </w:r>
    </w:p>
    <w:p w14:paraId="69B73E5B" w14:textId="33B83C0A" w:rsidR="00D65DC0" w:rsidRDefault="00D65DC0" w:rsidP="00D33DD9">
      <w:pPr>
        <w:pStyle w:val="Heading1"/>
        <w:numPr>
          <w:ilvl w:val="0"/>
          <w:numId w:val="1"/>
        </w:numPr>
        <w:ind w:left="426" w:hanging="426"/>
        <w:rPr>
          <w:lang w:eastAsia="en-GB"/>
        </w:rPr>
      </w:pPr>
      <w:r>
        <w:rPr>
          <w:lang w:eastAsia="en-GB"/>
        </w:rPr>
        <w:t>Summary Sheet</w:t>
      </w:r>
    </w:p>
    <w:p w14:paraId="5FD1E23F" w14:textId="77777777" w:rsidR="00D65DC0" w:rsidRDefault="00D65DC0" w:rsidP="00D65DC0">
      <w:pPr>
        <w:spacing w:after="0" w:line="22" w:lineRule="atLeast"/>
      </w:pPr>
    </w:p>
    <w:tbl>
      <w:tblPr>
        <w:tblStyle w:val="GridTable4-Accent5"/>
        <w:tblW w:w="9016" w:type="dxa"/>
        <w:tblLayout w:type="fixed"/>
        <w:tblLook w:val="04A0" w:firstRow="1" w:lastRow="0" w:firstColumn="1" w:lastColumn="0" w:noHBand="0" w:noVBand="1"/>
      </w:tblPr>
      <w:tblGrid>
        <w:gridCol w:w="3256"/>
        <w:gridCol w:w="2754"/>
        <w:gridCol w:w="3006"/>
      </w:tblGrid>
      <w:tr w:rsidR="00D65DC0" w14:paraId="0F43C0D9" w14:textId="77777777" w:rsidTr="00BB76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14:paraId="11E16747" w14:textId="77777777" w:rsidR="00D65DC0" w:rsidRDefault="00D65DC0" w:rsidP="00BB7661">
            <w:pPr>
              <w:spacing w:line="22" w:lineRule="atLeast"/>
            </w:pPr>
            <w:r>
              <w:t>Title: Blue Forests Programme</w:t>
            </w:r>
          </w:p>
        </w:tc>
      </w:tr>
      <w:tr w:rsidR="00D65DC0" w14:paraId="2E7AFB19" w14:textId="77777777" w:rsidTr="00BB7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54A0532" w14:textId="1B1FFE69" w:rsidR="00D65DC0" w:rsidRPr="00825ACC" w:rsidRDefault="00D65DC0" w:rsidP="00BB7661">
            <w:pPr>
              <w:spacing w:line="22" w:lineRule="atLeast"/>
            </w:pPr>
            <w:r w:rsidRPr="00825ACC">
              <w:t xml:space="preserve">Programme Value: </w:t>
            </w:r>
            <w:r w:rsidRPr="00B81123">
              <w:rPr>
                <w:b w:val="0"/>
                <w:bCs w:val="0"/>
              </w:rPr>
              <w:t>£1</w:t>
            </w:r>
            <w:r>
              <w:rPr>
                <w:b w:val="0"/>
                <w:bCs w:val="0"/>
              </w:rPr>
              <w:t>2</w:t>
            </w:r>
            <w:r w:rsidRPr="00B81123">
              <w:rPr>
                <w:b w:val="0"/>
                <w:bCs w:val="0"/>
              </w:rPr>
              <w:t>.</w:t>
            </w:r>
            <w:r>
              <w:rPr>
                <w:b w:val="0"/>
                <w:bCs w:val="0"/>
              </w:rPr>
              <w:t>95</w:t>
            </w:r>
            <w:r w:rsidRPr="00B81123">
              <w:rPr>
                <w:b w:val="0"/>
                <w:bCs w:val="0"/>
              </w:rPr>
              <w:t>m</w:t>
            </w:r>
          </w:p>
        </w:tc>
        <w:tc>
          <w:tcPr>
            <w:tcW w:w="5760" w:type="dxa"/>
            <w:gridSpan w:val="2"/>
          </w:tcPr>
          <w:p w14:paraId="73B62A20" w14:textId="5EA99206" w:rsidR="00D65DC0" w:rsidRPr="00825ACC" w:rsidRDefault="00D65DC0" w:rsidP="00BB7661">
            <w:pPr>
              <w:spacing w:line="22" w:lineRule="atLeast"/>
              <w:cnfStyle w:val="000000100000" w:firstRow="0" w:lastRow="0" w:firstColumn="0" w:lastColumn="0" w:oddVBand="0" w:evenVBand="0" w:oddHBand="1" w:evenHBand="0" w:firstRowFirstColumn="0" w:firstRowLastColumn="0" w:lastRowFirstColumn="0" w:lastRowLastColumn="0"/>
            </w:pPr>
            <w:r w:rsidRPr="00825ACC">
              <w:rPr>
                <w:b/>
              </w:rPr>
              <w:t xml:space="preserve">Review Date: </w:t>
            </w:r>
            <w:r>
              <w:t>December</w:t>
            </w:r>
            <w:r w:rsidRPr="00825ACC">
              <w:t xml:space="preserve"> 2021</w:t>
            </w:r>
          </w:p>
        </w:tc>
      </w:tr>
      <w:tr w:rsidR="00D65DC0" w14:paraId="2414E2CF" w14:textId="77777777" w:rsidTr="00BB7661">
        <w:tc>
          <w:tcPr>
            <w:cnfStyle w:val="001000000000" w:firstRow="0" w:lastRow="0" w:firstColumn="1" w:lastColumn="0" w:oddVBand="0" w:evenVBand="0" w:oddHBand="0" w:evenHBand="0" w:firstRowFirstColumn="0" w:firstRowLastColumn="0" w:lastRowFirstColumn="0" w:lastRowLastColumn="0"/>
            <w:tcW w:w="3256" w:type="dxa"/>
          </w:tcPr>
          <w:p w14:paraId="3EFFB018" w14:textId="14EA0BDB" w:rsidR="00D65DC0" w:rsidRPr="00825ACC" w:rsidRDefault="00D65DC0" w:rsidP="00BB7661">
            <w:pPr>
              <w:spacing w:line="22" w:lineRule="atLeast"/>
            </w:pPr>
            <w:r w:rsidRPr="00825ACC">
              <w:t xml:space="preserve">Programme Code: </w:t>
            </w:r>
            <w:r w:rsidR="00E2141B" w:rsidRPr="00E2141B">
              <w:rPr>
                <w:b w:val="0"/>
                <w:bCs w:val="0"/>
              </w:rPr>
              <w:t>ICF-</w:t>
            </w:r>
            <w:r w:rsidRPr="00B81123">
              <w:rPr>
                <w:b w:val="0"/>
                <w:bCs w:val="0"/>
              </w:rPr>
              <w:t>PO00</w:t>
            </w:r>
            <w:r>
              <w:rPr>
                <w:b w:val="0"/>
                <w:bCs w:val="0"/>
              </w:rPr>
              <w:t>8</w:t>
            </w:r>
          </w:p>
        </w:tc>
        <w:tc>
          <w:tcPr>
            <w:tcW w:w="2754" w:type="dxa"/>
          </w:tcPr>
          <w:p w14:paraId="72136387" w14:textId="0363639D" w:rsidR="00D65DC0" w:rsidRPr="00825ACC" w:rsidRDefault="00D65DC0" w:rsidP="00BB7661">
            <w:pPr>
              <w:spacing w:line="22" w:lineRule="atLeast"/>
              <w:cnfStyle w:val="000000000000" w:firstRow="0" w:lastRow="0" w:firstColumn="0" w:lastColumn="0" w:oddVBand="0" w:evenVBand="0" w:oddHBand="0" w:evenHBand="0" w:firstRowFirstColumn="0" w:firstRowLastColumn="0" w:lastRowFirstColumn="0" w:lastRowLastColumn="0"/>
            </w:pPr>
            <w:r w:rsidRPr="00825ACC">
              <w:rPr>
                <w:b/>
              </w:rPr>
              <w:t xml:space="preserve">Start Date: </w:t>
            </w:r>
            <w:r>
              <w:t>Dec</w:t>
            </w:r>
            <w:r w:rsidRPr="00825ACC">
              <w:t xml:space="preserve"> 201</w:t>
            </w:r>
            <w:r>
              <w:t>8</w:t>
            </w:r>
          </w:p>
        </w:tc>
        <w:tc>
          <w:tcPr>
            <w:tcW w:w="3006" w:type="dxa"/>
          </w:tcPr>
          <w:p w14:paraId="6CDE37F0" w14:textId="4055659F" w:rsidR="00D65DC0" w:rsidRPr="00825ACC" w:rsidRDefault="00D65DC0" w:rsidP="00BB7661">
            <w:pPr>
              <w:spacing w:line="22" w:lineRule="atLeast"/>
              <w:cnfStyle w:val="000000000000" w:firstRow="0" w:lastRow="0" w:firstColumn="0" w:lastColumn="0" w:oddVBand="0" w:evenVBand="0" w:oddHBand="0" w:evenHBand="0" w:firstRowFirstColumn="0" w:firstRowLastColumn="0" w:lastRowFirstColumn="0" w:lastRowLastColumn="0"/>
            </w:pPr>
            <w:r w:rsidRPr="00825ACC">
              <w:rPr>
                <w:b/>
              </w:rPr>
              <w:t xml:space="preserve">End Date: </w:t>
            </w:r>
            <w:r w:rsidRPr="00825ACC">
              <w:t>Dec 2024</w:t>
            </w:r>
          </w:p>
        </w:tc>
      </w:tr>
    </w:tbl>
    <w:p w14:paraId="6C22C971" w14:textId="77777777" w:rsidR="00D65DC0" w:rsidRDefault="00D65DC0" w:rsidP="00D65DC0">
      <w:pPr>
        <w:spacing w:after="0"/>
      </w:pPr>
      <w:bookmarkStart w:id="0" w:name="_heading=h.2afmg28" w:colFirst="0" w:colLast="0"/>
      <w:bookmarkEnd w:id="0"/>
    </w:p>
    <w:p w14:paraId="07BE247F" w14:textId="27285935" w:rsidR="00D65DC0" w:rsidRDefault="00D65DC0" w:rsidP="00E044A4">
      <w:pPr>
        <w:pStyle w:val="Heading2"/>
      </w:pPr>
      <w:r>
        <w:t>Summary of Programme Performance</w:t>
      </w:r>
    </w:p>
    <w:p w14:paraId="51F314EE" w14:textId="77777777" w:rsidR="00D65DC0" w:rsidRPr="00D65DC0" w:rsidRDefault="00D65DC0" w:rsidP="00D65DC0">
      <w:pPr>
        <w:spacing w:after="0"/>
        <w:rPr>
          <w:lang w:val="en-US"/>
        </w:rPr>
      </w:pPr>
    </w:p>
    <w:tbl>
      <w:tblPr>
        <w:tblStyle w:val="GridTable4-Accent5"/>
        <w:tblW w:w="0" w:type="auto"/>
        <w:tblLook w:val="04A0" w:firstRow="1" w:lastRow="0" w:firstColumn="1" w:lastColumn="0" w:noHBand="0" w:noVBand="1"/>
      </w:tblPr>
      <w:tblGrid>
        <w:gridCol w:w="1264"/>
        <w:gridCol w:w="1111"/>
        <w:gridCol w:w="1119"/>
        <w:gridCol w:w="1118"/>
        <w:gridCol w:w="1101"/>
        <w:gridCol w:w="1101"/>
        <w:gridCol w:w="1101"/>
        <w:gridCol w:w="1101"/>
      </w:tblGrid>
      <w:tr w:rsidR="00D65DC0" w14:paraId="60E399C5" w14:textId="77777777" w:rsidTr="39989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902A380" w14:textId="4772853A" w:rsidR="00D65DC0" w:rsidRDefault="00D65DC0" w:rsidP="00D65DC0">
            <w:pPr>
              <w:rPr>
                <w:lang w:val="en-US"/>
              </w:rPr>
            </w:pPr>
            <w:r>
              <w:rPr>
                <w:lang w:val="en-US"/>
              </w:rPr>
              <w:t>Year</w:t>
            </w:r>
          </w:p>
        </w:tc>
        <w:tc>
          <w:tcPr>
            <w:tcW w:w="1082" w:type="dxa"/>
          </w:tcPr>
          <w:p w14:paraId="15473467" w14:textId="4A1286AE" w:rsidR="00D65DC0" w:rsidRDefault="00D65DC0" w:rsidP="00D65DC0">
            <w:pPr>
              <w:cnfStyle w:val="100000000000" w:firstRow="1" w:lastRow="0" w:firstColumn="0" w:lastColumn="0" w:oddVBand="0" w:evenVBand="0" w:oddHBand="0" w:evenHBand="0" w:firstRowFirstColumn="0" w:firstRowLastColumn="0" w:lastRowFirstColumn="0" w:lastRowLastColumn="0"/>
              <w:rPr>
                <w:lang w:val="en-US"/>
              </w:rPr>
            </w:pPr>
            <w:r>
              <w:t>2018/19</w:t>
            </w:r>
          </w:p>
        </w:tc>
        <w:tc>
          <w:tcPr>
            <w:tcW w:w="1119" w:type="dxa"/>
          </w:tcPr>
          <w:p w14:paraId="67B21128" w14:textId="43C5AEE8" w:rsidR="00D65DC0" w:rsidRDefault="00D65DC0" w:rsidP="00D65DC0">
            <w:pPr>
              <w:cnfStyle w:val="100000000000" w:firstRow="1" w:lastRow="0" w:firstColumn="0" w:lastColumn="0" w:oddVBand="0" w:evenVBand="0" w:oddHBand="0" w:evenHBand="0" w:firstRowFirstColumn="0" w:firstRowLastColumn="0" w:lastRowFirstColumn="0" w:lastRowLastColumn="0"/>
              <w:rPr>
                <w:lang w:val="en-US"/>
              </w:rPr>
            </w:pPr>
            <w:r>
              <w:t>2019/20</w:t>
            </w:r>
          </w:p>
        </w:tc>
        <w:tc>
          <w:tcPr>
            <w:tcW w:w="1120" w:type="dxa"/>
          </w:tcPr>
          <w:p w14:paraId="35491F26" w14:textId="11D3D120" w:rsidR="00D65DC0" w:rsidRDefault="00D65DC0" w:rsidP="00D65DC0">
            <w:pPr>
              <w:cnfStyle w:val="100000000000" w:firstRow="1" w:lastRow="0" w:firstColumn="0" w:lastColumn="0" w:oddVBand="0" w:evenVBand="0" w:oddHBand="0" w:evenHBand="0" w:firstRowFirstColumn="0" w:firstRowLastColumn="0" w:lastRowFirstColumn="0" w:lastRowLastColumn="0"/>
              <w:rPr>
                <w:lang w:val="en-US"/>
              </w:rPr>
            </w:pPr>
            <w:r>
              <w:t>2020/21</w:t>
            </w:r>
          </w:p>
        </w:tc>
        <w:tc>
          <w:tcPr>
            <w:tcW w:w="1106" w:type="dxa"/>
          </w:tcPr>
          <w:p w14:paraId="513CB2B2" w14:textId="060A801C" w:rsidR="00D65DC0" w:rsidRDefault="00D65DC0" w:rsidP="00D65DC0">
            <w:pPr>
              <w:cnfStyle w:val="100000000000" w:firstRow="1" w:lastRow="0" w:firstColumn="0" w:lastColumn="0" w:oddVBand="0" w:evenVBand="0" w:oddHBand="0" w:evenHBand="0" w:firstRowFirstColumn="0" w:firstRowLastColumn="0" w:lastRowFirstColumn="0" w:lastRowLastColumn="0"/>
              <w:rPr>
                <w:lang w:val="en-US"/>
              </w:rPr>
            </w:pPr>
            <w:r>
              <w:t>2021</w:t>
            </w:r>
          </w:p>
        </w:tc>
        <w:tc>
          <w:tcPr>
            <w:tcW w:w="1106" w:type="dxa"/>
          </w:tcPr>
          <w:p w14:paraId="20A031DB" w14:textId="5BE17096" w:rsidR="00D65DC0" w:rsidRDefault="00D65DC0" w:rsidP="00D65DC0">
            <w:pPr>
              <w:cnfStyle w:val="100000000000" w:firstRow="1" w:lastRow="0" w:firstColumn="0" w:lastColumn="0" w:oddVBand="0" w:evenVBand="0" w:oddHBand="0" w:evenHBand="0" w:firstRowFirstColumn="0" w:firstRowLastColumn="0" w:lastRowFirstColumn="0" w:lastRowLastColumn="0"/>
              <w:rPr>
                <w:lang w:val="en-US"/>
              </w:rPr>
            </w:pPr>
            <w:r>
              <w:t>2022</w:t>
            </w:r>
          </w:p>
        </w:tc>
        <w:tc>
          <w:tcPr>
            <w:tcW w:w="1106" w:type="dxa"/>
          </w:tcPr>
          <w:p w14:paraId="3CA55435" w14:textId="72A91018" w:rsidR="00D65DC0" w:rsidRDefault="00D65DC0" w:rsidP="00D65DC0">
            <w:pPr>
              <w:cnfStyle w:val="100000000000" w:firstRow="1" w:lastRow="0" w:firstColumn="0" w:lastColumn="0" w:oddVBand="0" w:evenVBand="0" w:oddHBand="0" w:evenHBand="0" w:firstRowFirstColumn="0" w:firstRowLastColumn="0" w:lastRowFirstColumn="0" w:lastRowLastColumn="0"/>
              <w:rPr>
                <w:lang w:val="en-US"/>
              </w:rPr>
            </w:pPr>
            <w:r>
              <w:t>2023</w:t>
            </w:r>
          </w:p>
        </w:tc>
        <w:tc>
          <w:tcPr>
            <w:tcW w:w="1106" w:type="dxa"/>
          </w:tcPr>
          <w:p w14:paraId="2D9C5131" w14:textId="5ADB4E3F" w:rsidR="00D65DC0" w:rsidRDefault="00D65DC0" w:rsidP="00D65DC0">
            <w:pPr>
              <w:cnfStyle w:val="100000000000" w:firstRow="1" w:lastRow="0" w:firstColumn="0" w:lastColumn="0" w:oddVBand="0" w:evenVBand="0" w:oddHBand="0" w:evenHBand="0" w:firstRowFirstColumn="0" w:firstRowLastColumn="0" w:lastRowFirstColumn="0" w:lastRowLastColumn="0"/>
              <w:rPr>
                <w:lang w:val="en-US"/>
              </w:rPr>
            </w:pPr>
            <w:r>
              <w:t>2024</w:t>
            </w:r>
          </w:p>
        </w:tc>
      </w:tr>
      <w:tr w:rsidR="00D65DC0" w14:paraId="58B41FB9" w14:textId="77777777" w:rsidTr="39989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68EF3A9" w14:textId="25EBF457" w:rsidR="00D65DC0" w:rsidRDefault="00D65DC0" w:rsidP="00D65DC0">
            <w:pPr>
              <w:rPr>
                <w:lang w:val="en-US"/>
              </w:rPr>
            </w:pPr>
            <w:r w:rsidRPr="00B81123">
              <w:t>Score</w:t>
            </w:r>
          </w:p>
        </w:tc>
        <w:tc>
          <w:tcPr>
            <w:tcW w:w="1082" w:type="dxa"/>
          </w:tcPr>
          <w:p w14:paraId="05264CC0" w14:textId="71F827A8" w:rsidR="00D65DC0" w:rsidRDefault="00D65DC0" w:rsidP="00D65DC0">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A</w:t>
            </w:r>
          </w:p>
        </w:tc>
        <w:tc>
          <w:tcPr>
            <w:tcW w:w="1119" w:type="dxa"/>
          </w:tcPr>
          <w:p w14:paraId="295B17A0" w14:textId="22CC48FB" w:rsidR="00D65DC0" w:rsidRDefault="00D65DC0" w:rsidP="00D65DC0">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B</w:t>
            </w:r>
          </w:p>
        </w:tc>
        <w:tc>
          <w:tcPr>
            <w:tcW w:w="1120" w:type="dxa"/>
          </w:tcPr>
          <w:p w14:paraId="26A61F9B" w14:textId="1EC85B21" w:rsidR="00D65DC0" w:rsidRPr="00D65DC0" w:rsidRDefault="00D65DC0" w:rsidP="00D65DC0">
            <w:pPr>
              <w:jc w:val="center"/>
              <w:cnfStyle w:val="000000100000" w:firstRow="0" w:lastRow="0" w:firstColumn="0" w:lastColumn="0" w:oddVBand="0" w:evenVBand="0" w:oddHBand="1" w:evenHBand="0" w:firstRowFirstColumn="0" w:firstRowLastColumn="0" w:lastRowFirstColumn="0" w:lastRowLastColumn="0"/>
              <w:rPr>
                <w:b/>
                <w:bCs/>
                <w:lang w:val="en-US"/>
              </w:rPr>
            </w:pPr>
            <w:r w:rsidRPr="00D65DC0">
              <w:rPr>
                <w:b/>
                <w:bCs/>
                <w:lang w:val="en-US"/>
              </w:rPr>
              <w:t>B</w:t>
            </w:r>
          </w:p>
        </w:tc>
        <w:tc>
          <w:tcPr>
            <w:tcW w:w="1106" w:type="dxa"/>
          </w:tcPr>
          <w:p w14:paraId="4E1745EA" w14:textId="77777777" w:rsidR="00D65DC0" w:rsidRDefault="00D65DC0" w:rsidP="00D65DC0">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106" w:type="dxa"/>
          </w:tcPr>
          <w:p w14:paraId="6DE1FC38" w14:textId="77777777" w:rsidR="00D65DC0" w:rsidRDefault="00D65DC0" w:rsidP="00D65DC0">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106" w:type="dxa"/>
          </w:tcPr>
          <w:p w14:paraId="1195E4DC" w14:textId="77777777" w:rsidR="00D65DC0" w:rsidRDefault="00D65DC0" w:rsidP="00D65DC0">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106" w:type="dxa"/>
          </w:tcPr>
          <w:p w14:paraId="3E7990C8" w14:textId="77777777" w:rsidR="00D65DC0" w:rsidRDefault="00D65DC0" w:rsidP="00D65DC0">
            <w:pPr>
              <w:jc w:val="center"/>
              <w:cnfStyle w:val="000000100000" w:firstRow="0" w:lastRow="0" w:firstColumn="0" w:lastColumn="0" w:oddVBand="0" w:evenVBand="0" w:oddHBand="1" w:evenHBand="0" w:firstRowFirstColumn="0" w:firstRowLastColumn="0" w:lastRowFirstColumn="0" w:lastRowLastColumn="0"/>
              <w:rPr>
                <w:lang w:val="en-US"/>
              </w:rPr>
            </w:pPr>
          </w:p>
        </w:tc>
      </w:tr>
      <w:tr w:rsidR="00D65DC0" w14:paraId="657F073F" w14:textId="77777777" w:rsidTr="39989AF0">
        <w:tc>
          <w:tcPr>
            <w:cnfStyle w:val="001000000000" w:firstRow="0" w:lastRow="0" w:firstColumn="1" w:lastColumn="0" w:oddVBand="0" w:evenVBand="0" w:oddHBand="0" w:evenHBand="0" w:firstRowFirstColumn="0" w:firstRowLastColumn="0" w:lastRowFirstColumn="0" w:lastRowLastColumn="0"/>
            <w:tcW w:w="1271" w:type="dxa"/>
          </w:tcPr>
          <w:p w14:paraId="1131D899" w14:textId="680967BF" w:rsidR="00D65DC0" w:rsidRDefault="00D65DC0" w:rsidP="00D65DC0">
            <w:pPr>
              <w:rPr>
                <w:lang w:val="en-US"/>
              </w:rPr>
            </w:pPr>
            <w:r w:rsidRPr="00B81123">
              <w:t>Risk Rating</w:t>
            </w:r>
          </w:p>
        </w:tc>
        <w:tc>
          <w:tcPr>
            <w:tcW w:w="1082" w:type="dxa"/>
          </w:tcPr>
          <w:p w14:paraId="404F17A2" w14:textId="3374CC3F" w:rsidR="00D65DC0" w:rsidRDefault="00D65DC0" w:rsidP="00D65DC0">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Moderate</w:t>
            </w:r>
          </w:p>
        </w:tc>
        <w:tc>
          <w:tcPr>
            <w:tcW w:w="1119" w:type="dxa"/>
          </w:tcPr>
          <w:p w14:paraId="354A8894" w14:textId="1CAC731A" w:rsidR="00D65DC0" w:rsidRDefault="00D65DC0" w:rsidP="00D65DC0">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Moderate / Major</w:t>
            </w:r>
          </w:p>
        </w:tc>
        <w:tc>
          <w:tcPr>
            <w:tcW w:w="1120" w:type="dxa"/>
          </w:tcPr>
          <w:p w14:paraId="076670BB" w14:textId="290CBD31" w:rsidR="00D65DC0" w:rsidRPr="00D65DC0" w:rsidRDefault="36A8F03E" w:rsidP="00D65DC0">
            <w:pPr>
              <w:jc w:val="center"/>
              <w:cnfStyle w:val="000000000000" w:firstRow="0" w:lastRow="0" w:firstColumn="0" w:lastColumn="0" w:oddVBand="0" w:evenVBand="0" w:oddHBand="0" w:evenHBand="0" w:firstRowFirstColumn="0" w:firstRowLastColumn="0" w:lastRowFirstColumn="0" w:lastRowLastColumn="0"/>
              <w:rPr>
                <w:b/>
                <w:bCs/>
                <w:lang w:val="en-US"/>
              </w:rPr>
            </w:pPr>
            <w:r w:rsidRPr="39989AF0">
              <w:rPr>
                <w:b/>
                <w:bCs/>
                <w:lang w:val="en-US"/>
              </w:rPr>
              <w:t>Major</w:t>
            </w:r>
          </w:p>
        </w:tc>
        <w:tc>
          <w:tcPr>
            <w:tcW w:w="1106" w:type="dxa"/>
          </w:tcPr>
          <w:p w14:paraId="7FFF7D09" w14:textId="77777777" w:rsidR="00D65DC0" w:rsidRDefault="00D65DC0" w:rsidP="00D65DC0">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106" w:type="dxa"/>
          </w:tcPr>
          <w:p w14:paraId="076CD0F0" w14:textId="77777777" w:rsidR="00D65DC0" w:rsidRDefault="00D65DC0" w:rsidP="00D65DC0">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106" w:type="dxa"/>
          </w:tcPr>
          <w:p w14:paraId="749834AB" w14:textId="77777777" w:rsidR="00D65DC0" w:rsidRDefault="00D65DC0" w:rsidP="00D65DC0">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106" w:type="dxa"/>
          </w:tcPr>
          <w:p w14:paraId="0E2967C7" w14:textId="77777777" w:rsidR="00D65DC0" w:rsidRDefault="00D65DC0" w:rsidP="00D65DC0">
            <w:pPr>
              <w:jc w:val="center"/>
              <w:cnfStyle w:val="000000000000" w:firstRow="0" w:lastRow="0" w:firstColumn="0" w:lastColumn="0" w:oddVBand="0" w:evenVBand="0" w:oddHBand="0" w:evenHBand="0" w:firstRowFirstColumn="0" w:firstRowLastColumn="0" w:lastRowFirstColumn="0" w:lastRowLastColumn="0"/>
              <w:rPr>
                <w:lang w:val="en-US"/>
              </w:rPr>
            </w:pPr>
          </w:p>
        </w:tc>
      </w:tr>
    </w:tbl>
    <w:p w14:paraId="7796B028" w14:textId="77777777" w:rsidR="00D65DC0" w:rsidRDefault="00D65DC0" w:rsidP="00D65DC0">
      <w:pPr>
        <w:spacing w:after="0" w:line="22" w:lineRule="atLeast"/>
      </w:pPr>
    </w:p>
    <w:tbl>
      <w:tblPr>
        <w:tblStyle w:val="GridTable6Colorful-Accent5"/>
        <w:tblW w:w="9016" w:type="dxa"/>
        <w:tblLayout w:type="fixed"/>
        <w:tblLook w:val="04A0" w:firstRow="1" w:lastRow="0" w:firstColumn="1" w:lastColumn="0" w:noHBand="0" w:noVBand="1"/>
      </w:tblPr>
      <w:tblGrid>
        <w:gridCol w:w="2240"/>
        <w:gridCol w:w="6776"/>
      </w:tblGrid>
      <w:tr w:rsidR="00D65DC0" w14:paraId="09C094D7" w14:textId="77777777" w:rsidTr="2C3563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14:paraId="6AF0DB2D" w14:textId="77777777" w:rsidR="00D65DC0" w:rsidRPr="00825ACC" w:rsidRDefault="00D65DC0" w:rsidP="00BB7661">
            <w:pPr>
              <w:spacing w:line="22" w:lineRule="atLeast"/>
            </w:pPr>
            <w:r w:rsidRPr="00825ACC">
              <w:t>DevTracker link to Business Case:</w:t>
            </w:r>
          </w:p>
        </w:tc>
        <w:tc>
          <w:tcPr>
            <w:tcW w:w="6776" w:type="dxa"/>
          </w:tcPr>
          <w:p w14:paraId="351535E0" w14:textId="126CDC64" w:rsidR="00D65DC0" w:rsidRPr="00E2141B" w:rsidRDefault="00726032" w:rsidP="00BB7661">
            <w:pPr>
              <w:spacing w:line="22" w:lineRule="atLeast"/>
              <w:cnfStyle w:val="100000000000" w:firstRow="1" w:lastRow="0" w:firstColumn="0" w:lastColumn="0" w:oddVBand="0" w:evenVBand="0" w:oddHBand="0" w:evenHBand="0" w:firstRowFirstColumn="0" w:firstRowLastColumn="0" w:lastRowFirstColumn="0" w:lastRowLastColumn="0"/>
              <w:rPr>
                <w:b w:val="0"/>
                <w:bCs w:val="0"/>
              </w:rPr>
            </w:pPr>
            <w:hyperlink r:id="rId12" w:history="1">
              <w:r w:rsidR="00E2141B" w:rsidRPr="00E2141B">
                <w:rPr>
                  <w:rStyle w:val="Hyperlink"/>
                  <w:b w:val="0"/>
                  <w:bCs w:val="0"/>
                </w:rPr>
                <w:t>https://devtracker.fcdo.gov.uk/projects/GB-GOV-7-ICF-PO008-UKBLUECARBONFUND/summary</w:t>
              </w:r>
            </w:hyperlink>
            <w:r w:rsidR="00E2141B" w:rsidRPr="00E2141B">
              <w:rPr>
                <w:b w:val="0"/>
                <w:bCs w:val="0"/>
              </w:rPr>
              <w:t xml:space="preserve"> </w:t>
            </w:r>
          </w:p>
        </w:tc>
      </w:tr>
      <w:tr w:rsidR="00D65DC0" w14:paraId="0DCED16A" w14:textId="77777777" w:rsidTr="2C3563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14:paraId="3C1AB401" w14:textId="77777777" w:rsidR="00D65DC0" w:rsidRPr="00825ACC" w:rsidRDefault="00D65DC0" w:rsidP="00BB7661">
            <w:pPr>
              <w:spacing w:line="22" w:lineRule="atLeast"/>
            </w:pPr>
            <w:r w:rsidRPr="00825ACC">
              <w:t>DevTracker Link to results framework:</w:t>
            </w:r>
          </w:p>
        </w:tc>
        <w:tc>
          <w:tcPr>
            <w:tcW w:w="6776" w:type="dxa"/>
          </w:tcPr>
          <w:p w14:paraId="6778512B" w14:textId="7503EE96" w:rsidR="00D65DC0" w:rsidRDefault="17257EAC" w:rsidP="2C356364">
            <w:pPr>
              <w:spacing w:line="259" w:lineRule="auto"/>
              <w:cnfStyle w:val="000000100000" w:firstRow="0" w:lastRow="0" w:firstColumn="0" w:lastColumn="0" w:oddVBand="0" w:evenVBand="0" w:oddHBand="1" w:evenHBand="0" w:firstRowFirstColumn="0" w:firstRowLastColumn="0" w:lastRowFirstColumn="0" w:lastRowLastColumn="0"/>
              <w:rPr>
                <w:color w:val="auto"/>
              </w:rPr>
            </w:pPr>
            <w:r w:rsidRPr="2C356364">
              <w:rPr>
                <w:color w:val="auto"/>
              </w:rPr>
              <w:t>No agreed results framework available.</w:t>
            </w:r>
          </w:p>
        </w:tc>
      </w:tr>
    </w:tbl>
    <w:p w14:paraId="52448D79" w14:textId="77777777" w:rsidR="00D65DC0" w:rsidRDefault="00D65DC0" w:rsidP="00D65DC0">
      <w:pPr>
        <w:spacing w:after="0" w:line="22" w:lineRule="atLeast"/>
      </w:pPr>
    </w:p>
    <w:p w14:paraId="2AF43D1D" w14:textId="5A7E3D3D" w:rsidR="00D65DC0" w:rsidRDefault="26795B54" w:rsidP="00D65DC0">
      <w:pPr>
        <w:spacing w:line="22" w:lineRule="atLeast"/>
        <w:jc w:val="both"/>
      </w:pPr>
      <w:r>
        <w:t xml:space="preserve">This </w:t>
      </w:r>
      <w:r w:rsidR="006A1BC2">
        <w:t xml:space="preserve">is the third </w:t>
      </w:r>
      <w:r w:rsidR="2B87CCAF">
        <w:t>A</w:t>
      </w:r>
      <w:r>
        <w:t xml:space="preserve">nnual </w:t>
      </w:r>
      <w:r w:rsidR="2B87CCAF">
        <w:t>R</w:t>
      </w:r>
      <w:r>
        <w:t xml:space="preserve">eview </w:t>
      </w:r>
      <w:r w:rsidR="006A1BC2">
        <w:t>of the UK Blue Carbon Fund (UK BCF) and</w:t>
      </w:r>
      <w:r w:rsidR="00890CAF">
        <w:t xml:space="preserve"> </w:t>
      </w:r>
      <w:r>
        <w:t xml:space="preserve">covers the period </w:t>
      </w:r>
      <w:r w:rsidR="2B87CCAF">
        <w:t>July</w:t>
      </w:r>
      <w:r>
        <w:t xml:space="preserve"> 2020 to June 2021</w:t>
      </w:r>
      <w:r w:rsidR="00266921">
        <w:t xml:space="preserve">. </w:t>
      </w:r>
      <w:r w:rsidR="00142DE2">
        <w:t xml:space="preserve">It </w:t>
      </w:r>
      <w:r>
        <w:t>reflects on the overall performance and progress of the</w:t>
      </w:r>
      <w:r w:rsidR="00142DE2">
        <w:t xml:space="preserve"> UK BCF</w:t>
      </w:r>
      <w:r>
        <w:t xml:space="preserve"> in 2020</w:t>
      </w:r>
      <w:r w:rsidR="3EC14181">
        <w:t>/21, captures the successes of the programme,</w:t>
      </w:r>
      <w:r>
        <w:t xml:space="preserve"> identifies the challenges experienced and lessons learned throughout the year, and </w:t>
      </w:r>
      <w:r w:rsidR="00D33018">
        <w:t xml:space="preserve">provides </w:t>
      </w:r>
      <w:r>
        <w:t xml:space="preserve">recommendations for the year ahead. </w:t>
      </w:r>
    </w:p>
    <w:p w14:paraId="018F42B6" w14:textId="6F9F3291" w:rsidR="008819EA" w:rsidRDefault="24BE561A" w:rsidP="00D65DC0">
      <w:pPr>
        <w:spacing w:line="22" w:lineRule="atLeast"/>
        <w:jc w:val="both"/>
      </w:pPr>
      <w:r>
        <w:t>This</w:t>
      </w:r>
      <w:r w:rsidR="00914E8C">
        <w:t xml:space="preserve"> year’s</w:t>
      </w:r>
      <w:r>
        <w:t xml:space="preserve"> Annual Review is</w:t>
      </w:r>
      <w:r w:rsidR="00A25EF0">
        <w:t xml:space="preserve"> </w:t>
      </w:r>
      <w:r>
        <w:t>process-focussed</w:t>
      </w:r>
      <w:r w:rsidR="00E57AEB">
        <w:t>,</w:t>
      </w:r>
      <w:r w:rsidR="00640573">
        <w:t xml:space="preserve"> by</w:t>
      </w:r>
      <w:r w:rsidR="513F2DE6">
        <w:t xml:space="preserve"> mutual agree</w:t>
      </w:r>
      <w:r w:rsidR="00640573">
        <w:t xml:space="preserve">ment </w:t>
      </w:r>
      <w:r w:rsidR="513F2DE6">
        <w:t>between Defra and the IDB,</w:t>
      </w:r>
      <w:r>
        <w:t xml:space="preserve"> for two reasons i)</w:t>
      </w:r>
      <w:r w:rsidR="6AAFC2BB">
        <w:t xml:space="preserve"> </w:t>
      </w:r>
      <w:r>
        <w:t xml:space="preserve">there are no programme-level milestones to report against as </w:t>
      </w:r>
      <w:r w:rsidR="00186C02">
        <w:t xml:space="preserve">the more detailed </w:t>
      </w:r>
      <w:r>
        <w:t>programme-level logical framework</w:t>
      </w:r>
      <w:r w:rsidR="00186C02">
        <w:t xml:space="preserve"> with indicators and baselines is </w:t>
      </w:r>
      <w:r w:rsidR="00706593">
        <w:t xml:space="preserve">not yet </w:t>
      </w:r>
      <w:r w:rsidR="00186C02">
        <w:t xml:space="preserve">finalised </w:t>
      </w:r>
      <w:r>
        <w:t xml:space="preserve">ii) the majority of </w:t>
      </w:r>
      <w:r w:rsidR="775F6AD3">
        <w:t>project-level milestones for</w:t>
      </w:r>
      <w:r w:rsidR="7A13C6C6">
        <w:t xml:space="preserve"> </w:t>
      </w:r>
      <w:r w:rsidR="00706593">
        <w:t xml:space="preserve">individual </w:t>
      </w:r>
      <w:r w:rsidR="775F6AD3">
        <w:t xml:space="preserve">projects </w:t>
      </w:r>
      <w:r w:rsidR="00706593">
        <w:t xml:space="preserve">under implementation </w:t>
      </w:r>
      <w:r w:rsidR="775F6AD3">
        <w:t>are</w:t>
      </w:r>
      <w:r w:rsidR="003046D5">
        <w:t xml:space="preserve"> only</w:t>
      </w:r>
      <w:r w:rsidR="775F6AD3">
        <w:t xml:space="preserve"> </w:t>
      </w:r>
      <w:r w:rsidR="464C1F5C">
        <w:t>d</w:t>
      </w:r>
      <w:r w:rsidR="775F6AD3">
        <w:t>ue</w:t>
      </w:r>
      <w:r w:rsidR="003046D5">
        <w:t xml:space="preserve"> after the current reporting period in </w:t>
      </w:r>
      <w:r w:rsidR="775F6AD3">
        <w:t>December 2021</w:t>
      </w:r>
      <w:r w:rsidR="51689423">
        <w:t xml:space="preserve"> </w:t>
      </w:r>
      <w:r w:rsidR="7A13C6C6">
        <w:t>(see Section 4.2.3 below)</w:t>
      </w:r>
      <w:r w:rsidR="775F6AD3">
        <w:t>.</w:t>
      </w:r>
    </w:p>
    <w:p w14:paraId="00B1D1FF" w14:textId="5A11BD2E" w:rsidR="70189F0B" w:rsidRDefault="70189F0B" w:rsidP="70189F0B">
      <w:pPr>
        <w:spacing w:line="22" w:lineRule="atLeast"/>
        <w:jc w:val="both"/>
      </w:pPr>
      <w:r>
        <w:t xml:space="preserve">While </w:t>
      </w:r>
      <w:r w:rsidR="00BF4F0D">
        <w:t xml:space="preserve">there </w:t>
      </w:r>
      <w:r w:rsidR="000265FB">
        <w:t xml:space="preserve">are some </w:t>
      </w:r>
      <w:r w:rsidR="00C64FBB">
        <w:t xml:space="preserve">key </w:t>
      </w:r>
      <w:r>
        <w:t xml:space="preserve">successes over the past year (see Section 1.1.2 below) the </w:t>
      </w:r>
      <w:r w:rsidR="000265FB">
        <w:t>central</w:t>
      </w:r>
      <w:r>
        <w:t xml:space="preserve"> message of this Annual Review is that </w:t>
      </w:r>
      <w:r w:rsidRPr="70189F0B">
        <w:rPr>
          <w:b/>
          <w:bCs/>
        </w:rPr>
        <w:t xml:space="preserve">overall progress is not meeting expectations </w:t>
      </w:r>
      <w:r>
        <w:t>and a clear plan to improve programme performance should be developed.</w:t>
      </w:r>
    </w:p>
    <w:p w14:paraId="76D9596C" w14:textId="0AC56A3F" w:rsidR="00D65DC0" w:rsidRPr="00621542" w:rsidRDefault="501FF2C9" w:rsidP="00D65DC0">
      <w:pPr>
        <w:spacing w:line="22" w:lineRule="atLeast"/>
        <w:jc w:val="both"/>
        <w:rPr>
          <w:color w:val="FF0000"/>
        </w:rPr>
      </w:pPr>
      <w:r>
        <w:t xml:space="preserve">The impacts of the COVID-19 pandemic on the delivery of International Climate Finance (ICF) programmes, and the response of delivery partners to mitigate these impacts, have been taken into consideration when assessing progress and performance. The most evident impact on the </w:t>
      </w:r>
      <w:r w:rsidR="421907E7">
        <w:t xml:space="preserve">UK </w:t>
      </w:r>
      <w:r w:rsidR="00D33DD9">
        <w:t xml:space="preserve">BCF </w:t>
      </w:r>
      <w:r>
        <w:t>has been</w:t>
      </w:r>
      <w:r w:rsidR="464C1F5C">
        <w:t xml:space="preserve"> delays to</w:t>
      </w:r>
      <w:r w:rsidR="73110A2F">
        <w:t xml:space="preserve"> project delivery as travel and meeting restrictions prevented key activities from taking place on the ground. The lack of technology infrastructure and capacity of benefitting countries also limited alternative delivery options.</w:t>
      </w:r>
    </w:p>
    <w:p w14:paraId="0B4886EA" w14:textId="77777777" w:rsidR="00D65DC0" w:rsidRDefault="00D65DC0" w:rsidP="00AF04EE">
      <w:pPr>
        <w:pStyle w:val="Heading3"/>
      </w:pPr>
      <w:bookmarkStart w:id="1" w:name="_heading=h.pkwqa1" w:colFirst="0" w:colLast="0"/>
      <w:bookmarkEnd w:id="1"/>
      <w:r>
        <w:t xml:space="preserve">     Summary of Progress</w:t>
      </w:r>
    </w:p>
    <w:p w14:paraId="1196D3D1" w14:textId="5289A217" w:rsidR="001D41CE" w:rsidRDefault="4B3D4DC5" w:rsidP="00D65DC0">
      <w:pPr>
        <w:spacing w:line="22" w:lineRule="atLeast"/>
        <w:jc w:val="both"/>
      </w:pPr>
      <w:r>
        <w:t xml:space="preserve">The </w:t>
      </w:r>
      <w:r w:rsidR="044CBAD6">
        <w:t>UK BCF</w:t>
      </w:r>
      <w:r>
        <w:t xml:space="preserve"> currently </w:t>
      </w:r>
      <w:r w:rsidR="044CBAD6">
        <w:t>has</w:t>
      </w:r>
      <w:r w:rsidR="58703CED">
        <w:t xml:space="preserve"> five projects which have been approved by Defra.</w:t>
      </w:r>
      <w:r w:rsidRPr="367BE1D9">
        <w:rPr>
          <w:rStyle w:val="FootnoteReference"/>
        </w:rPr>
        <w:footnoteReference w:id="2"/>
      </w:r>
      <w:r w:rsidR="58703CED">
        <w:t xml:space="preserve"> Of these, three projects are</w:t>
      </w:r>
      <w:r w:rsidR="044CBAD6">
        <w:t xml:space="preserve"> in </w:t>
      </w:r>
      <w:r>
        <w:t xml:space="preserve">implementation or </w:t>
      </w:r>
      <w:r w:rsidR="16668785">
        <w:t>execution</w:t>
      </w:r>
      <w:r w:rsidR="044CBAD6">
        <w:t xml:space="preserve"> </w:t>
      </w:r>
      <w:r w:rsidR="3C7418A8">
        <w:t>across Latin America and the Caribbean</w:t>
      </w:r>
      <w:r w:rsidR="58703CED">
        <w:t>,</w:t>
      </w:r>
      <w:r w:rsidR="3C7418A8">
        <w:t xml:space="preserve"> operating</w:t>
      </w:r>
      <w:r w:rsidR="6CCDDAA7">
        <w:t xml:space="preserve"> specifically</w:t>
      </w:r>
      <w:r w:rsidR="3C7418A8">
        <w:t xml:space="preserve"> in </w:t>
      </w:r>
      <w:r w:rsidR="3C7418A8">
        <w:lastRenderedPageBreak/>
        <w:t>Panama, Colombia, and Jamaica</w:t>
      </w:r>
      <w:r w:rsidR="12061D77">
        <w:t xml:space="preserve"> (see Section 1.2 below). The Dasgupta component was completed in 2021 following the publication of the report and the IDB’s dissemination of findings (see Section 3.2.1).</w:t>
      </w:r>
    </w:p>
    <w:p w14:paraId="081CA2BA" w14:textId="66983917" w:rsidR="00135E86" w:rsidRDefault="4637A3FE" w:rsidP="00D65DC0">
      <w:pPr>
        <w:spacing w:line="22" w:lineRule="atLeast"/>
        <w:jc w:val="both"/>
      </w:pPr>
      <w:r>
        <w:t>Project execution in</w:t>
      </w:r>
      <w:r w:rsidR="605B9F94">
        <w:t xml:space="preserve"> Panama and Jamaica has been slower than expected due</w:t>
      </w:r>
      <w:r w:rsidR="1A2F551F">
        <w:t>, in part,</w:t>
      </w:r>
      <w:r w:rsidR="605B9F94">
        <w:t xml:space="preserve"> to </w:t>
      </w:r>
      <w:r w:rsidR="65F2F8C3">
        <w:t>activities being postponed until 2021 in order to adhere to national and regional COVID-19 restrictions</w:t>
      </w:r>
      <w:r w:rsidR="605B9F94">
        <w:t>.</w:t>
      </w:r>
      <w:r w:rsidR="605B9F94" w:rsidRPr="1F047E0C">
        <w:rPr>
          <w:color w:val="FF0000"/>
        </w:rPr>
        <w:t xml:space="preserve"> </w:t>
      </w:r>
      <w:r w:rsidR="605B9F94" w:rsidRPr="00E90AC2">
        <w:t xml:space="preserve">Development of the </w:t>
      </w:r>
      <w:r w:rsidR="22E5A97B" w:rsidRPr="00E90AC2">
        <w:t>R</w:t>
      </w:r>
      <w:r w:rsidR="605B9F94" w:rsidRPr="00E90AC2">
        <w:t xml:space="preserve">egional </w:t>
      </w:r>
      <w:r w:rsidR="22E5A97B" w:rsidRPr="00E90AC2">
        <w:t>B</w:t>
      </w:r>
      <w:r w:rsidR="605B9F94" w:rsidRPr="00E90AC2">
        <w:t xml:space="preserve">lue </w:t>
      </w:r>
      <w:r w:rsidR="22E5A97B" w:rsidRPr="00E90AC2">
        <w:t>C</w:t>
      </w:r>
      <w:r w:rsidR="605B9F94" w:rsidRPr="00E90AC2">
        <w:t>arbon MRV (monitoring, reporting and verification) project has also been slower th</w:t>
      </w:r>
      <w:r w:rsidR="65F2F8C3" w:rsidRPr="00E90AC2">
        <w:t>a</w:t>
      </w:r>
      <w:r w:rsidR="605B9F94" w:rsidRPr="00E90AC2">
        <w:t>n expected</w:t>
      </w:r>
      <w:r w:rsidR="605B9F94">
        <w:t>. This is due to unavoidable delays</w:t>
      </w:r>
      <w:r w:rsidR="605B9F94" w:rsidRPr="00E90AC2">
        <w:t xml:space="preserve"> as IDB sought necessary</w:t>
      </w:r>
      <w:r w:rsidR="225242B5" w:rsidRPr="00E90AC2">
        <w:t xml:space="preserve"> </w:t>
      </w:r>
      <w:r w:rsidR="38B0B069" w:rsidRPr="00E90AC2">
        <w:t xml:space="preserve">changes to the approval pathway to meet </w:t>
      </w:r>
      <w:r w:rsidR="12CC56AC" w:rsidRPr="00E90AC2">
        <w:t>c</w:t>
      </w:r>
      <w:r w:rsidR="38B0B069" w:rsidRPr="00E90AC2">
        <w:t xml:space="preserve">lient expectations </w:t>
      </w:r>
      <w:r w:rsidR="65F2F8C3" w:rsidRPr="00E90AC2">
        <w:t>(see below for more detail).</w:t>
      </w:r>
    </w:p>
    <w:p w14:paraId="722EDF33" w14:textId="33F260DA" w:rsidR="00D65DC0" w:rsidRPr="00CE6752" w:rsidRDefault="295B3933" w:rsidP="00B132A6">
      <w:pPr>
        <w:spacing w:line="22" w:lineRule="atLeast"/>
        <w:jc w:val="both"/>
      </w:pPr>
      <w:r>
        <w:t xml:space="preserve">Overall, the </w:t>
      </w:r>
      <w:r w:rsidR="17B76EF8">
        <w:t xml:space="preserve">UK </w:t>
      </w:r>
      <w:r w:rsidR="00141CFA">
        <w:t>BCF</w:t>
      </w:r>
      <w:r>
        <w:t xml:space="preserve"> </w:t>
      </w:r>
      <w:r w:rsidR="2A1D151F">
        <w:t xml:space="preserve">struggled </w:t>
      </w:r>
      <w:r w:rsidR="6584677C">
        <w:t xml:space="preserve">to deliver some key recommendations from last year which are vital to delivering robust ICF </w:t>
      </w:r>
      <w:r w:rsidR="3B88E904">
        <w:t xml:space="preserve">programmes. The global COVID-19 pandemic also limited progress. </w:t>
      </w:r>
      <w:r w:rsidR="413C2E0B">
        <w:t xml:space="preserve"> </w:t>
      </w:r>
      <w:r>
        <w:t>Travel restrictions and social distancing measures implemented by the Government of </w:t>
      </w:r>
      <w:r w:rsidR="67A9B2C9">
        <w:t>Panama</w:t>
      </w:r>
      <w:r>
        <w:t xml:space="preserve"> and the Government of </w:t>
      </w:r>
      <w:r w:rsidR="67A9B2C9">
        <w:t>Jamaica</w:t>
      </w:r>
      <w:r>
        <w:t xml:space="preserve"> resulted in planned activities being</w:t>
      </w:r>
      <w:r w:rsidR="72E402F7">
        <w:t xml:space="preserve"> </w:t>
      </w:r>
      <w:r>
        <w:t>delayed or prevented from taking place.</w:t>
      </w:r>
      <w:r w:rsidR="7E748A7D">
        <w:t xml:space="preserve"> This has delayed the implementation</w:t>
      </w:r>
      <w:r w:rsidR="72E402F7">
        <w:t xml:space="preserve"> and </w:t>
      </w:r>
      <w:r w:rsidR="7E748A7D">
        <w:t xml:space="preserve">execution of projects </w:t>
      </w:r>
      <w:r w:rsidR="413C2E0B">
        <w:t xml:space="preserve">in Panama and Jamaica. While some impacts are inevitable with activities postponed to 2021, the IDB’s response has been limited with </w:t>
      </w:r>
      <w:r w:rsidR="621D8760">
        <w:t xml:space="preserve">some missed </w:t>
      </w:r>
      <w:r w:rsidR="413C2E0B">
        <w:t xml:space="preserve">opportunities to </w:t>
      </w:r>
      <w:r w:rsidR="5C5109AF">
        <w:t>deliver some activities vir</w:t>
      </w:r>
      <w:r w:rsidR="621D8760">
        <w:t>tually</w:t>
      </w:r>
      <w:r w:rsidR="5CB9E598">
        <w:t xml:space="preserve">. For </w:t>
      </w:r>
      <w:r w:rsidR="2E4B279A">
        <w:t>e</w:t>
      </w:r>
      <w:r w:rsidR="5CB9E598">
        <w:t>xample, virtual training in restoration monitoring for the project in Jamaica was considered by the executing agency, but a decision on adopting this method has not yet been made. K</w:t>
      </w:r>
      <w:r w:rsidR="415C1741">
        <w:t>ey risks</w:t>
      </w:r>
      <w:r w:rsidR="621D8760">
        <w:t xml:space="preserve"> and impacts of the pandemic w</w:t>
      </w:r>
      <w:r w:rsidR="415C1741">
        <w:t>ere</w:t>
      </w:r>
      <w:r w:rsidR="5CB9E598">
        <w:t xml:space="preserve"> also</w:t>
      </w:r>
      <w:r w:rsidR="415C1741">
        <w:t xml:space="preserve"> not</w:t>
      </w:r>
      <w:r w:rsidR="54A6209C">
        <w:t xml:space="preserve"> </w:t>
      </w:r>
      <w:r w:rsidR="415C1741">
        <w:t>communicated to</w:t>
      </w:r>
      <w:r w:rsidR="621D8760">
        <w:t xml:space="preserve"> Defra in a timely manner.</w:t>
      </w:r>
      <w:r w:rsidR="413C2E0B">
        <w:t xml:space="preserve"> </w:t>
      </w:r>
    </w:p>
    <w:p w14:paraId="5E5CF5EF" w14:textId="0105E188" w:rsidR="00CE04C5" w:rsidRDefault="00D65DC0" w:rsidP="367BE1D9">
      <w:pPr>
        <w:spacing w:line="22" w:lineRule="atLeast"/>
        <w:jc w:val="both"/>
        <w:rPr>
          <w:rFonts w:ascii="Quattrocento Sans" w:eastAsia="Quattrocento Sans" w:hAnsi="Quattrocento Sans" w:cs="Quattrocento Sans"/>
          <w:sz w:val="18"/>
          <w:szCs w:val="18"/>
        </w:rPr>
      </w:pPr>
      <w:r w:rsidRPr="00257C4D">
        <w:t>As a result</w:t>
      </w:r>
      <w:r>
        <w:t>, the </w:t>
      </w:r>
      <w:r w:rsidR="00FD070A" w:rsidRPr="367BE1D9">
        <w:rPr>
          <w:b/>
          <w:bCs/>
        </w:rPr>
        <w:t xml:space="preserve">UK </w:t>
      </w:r>
      <w:r w:rsidR="00141CFA">
        <w:rPr>
          <w:b/>
          <w:bCs/>
        </w:rPr>
        <w:t>BCF</w:t>
      </w:r>
      <w:r w:rsidRPr="367BE1D9">
        <w:rPr>
          <w:b/>
          <w:bCs/>
        </w:rPr>
        <w:t xml:space="preserve"> has scored an average of </w:t>
      </w:r>
      <w:r w:rsidR="00CE6752" w:rsidRPr="367BE1D9">
        <w:rPr>
          <w:b/>
          <w:bCs/>
        </w:rPr>
        <w:t>B</w:t>
      </w:r>
      <w:r w:rsidRPr="367BE1D9">
        <w:rPr>
          <w:b/>
          <w:bCs/>
          <w:color w:val="FF0000"/>
        </w:rPr>
        <w:t xml:space="preserve"> </w:t>
      </w:r>
      <w:r w:rsidRPr="367BE1D9">
        <w:rPr>
          <w:b/>
          <w:bCs/>
        </w:rPr>
        <w:t>for this Annual Review</w:t>
      </w:r>
      <w:r>
        <w:t>, </w:t>
      </w:r>
      <w:r w:rsidR="00CE6752">
        <w:t>performing below expectations.</w:t>
      </w:r>
      <w:r w:rsidR="000156B2">
        <w:t xml:space="preserve"> </w:t>
      </w:r>
    </w:p>
    <w:p w14:paraId="12FE3445" w14:textId="72619AD1" w:rsidR="00CE04C5" w:rsidRDefault="2AA6BDDF" w:rsidP="00D65DC0">
      <w:pPr>
        <w:spacing w:line="22" w:lineRule="atLeast"/>
        <w:jc w:val="both"/>
      </w:pPr>
      <w:r>
        <w:t>In June 2021, Defra placed the programme on hold</w:t>
      </w:r>
      <w:r w:rsidR="6ECB74CA">
        <w:t xml:space="preserve"> </w:t>
      </w:r>
      <w:r w:rsidR="07625796">
        <w:t xml:space="preserve">temporarily to escalate </w:t>
      </w:r>
      <w:r>
        <w:t>concerns relating to programme</w:t>
      </w:r>
      <w:r w:rsidR="00C61873">
        <w:t xml:space="preserve"> performance</w:t>
      </w:r>
      <w:r>
        <w:t xml:space="preserve"> to</w:t>
      </w:r>
      <w:r w:rsidR="00DC3C3B">
        <w:t xml:space="preserve"> Defra’s</w:t>
      </w:r>
      <w:r>
        <w:t xml:space="preserve"> senior management,</w:t>
      </w:r>
      <w:r w:rsidR="00897015">
        <w:t xml:space="preserve"> and to </w:t>
      </w:r>
      <w:r w:rsidR="00063CDC">
        <w:t>discuss further</w:t>
      </w:r>
      <w:r w:rsidR="00897015">
        <w:t xml:space="preserve"> internally</w:t>
      </w:r>
      <w:r>
        <w:t>.</w:t>
      </w:r>
      <w:r w:rsidR="5ED4871F">
        <w:t xml:space="preserve"> </w:t>
      </w:r>
      <w:r w:rsidR="00063CDC">
        <w:t>Although</w:t>
      </w:r>
      <w:r w:rsidR="00A868D9">
        <w:t xml:space="preserve"> Defra recognised</w:t>
      </w:r>
      <w:r w:rsidR="69B5F38D">
        <w:t xml:space="preserve"> this </w:t>
      </w:r>
      <w:r w:rsidR="00A868D9">
        <w:t>would cause some</w:t>
      </w:r>
      <w:r w:rsidR="008C25CB">
        <w:t xml:space="preserve"> further immediate delays to</w:t>
      </w:r>
      <w:r w:rsidR="00A868D9">
        <w:t xml:space="preserve"> implementation</w:t>
      </w:r>
      <w:r w:rsidR="69B5F38D">
        <w:t xml:space="preserve">, </w:t>
      </w:r>
      <w:r w:rsidR="00347720">
        <w:t xml:space="preserve">this was necessary to establish the options available to </w:t>
      </w:r>
      <w:r w:rsidR="00C40592">
        <w:t xml:space="preserve">address </w:t>
      </w:r>
      <w:r w:rsidR="004F3549">
        <w:t xml:space="preserve">critical </w:t>
      </w:r>
      <w:r w:rsidR="00C40592">
        <w:t xml:space="preserve">concerns about programme </w:t>
      </w:r>
      <w:r w:rsidR="003830E7">
        <w:t xml:space="preserve">performance </w:t>
      </w:r>
      <w:r w:rsidR="00C40592">
        <w:t>and ability to meet ICF requirements</w:t>
      </w:r>
      <w:r w:rsidR="004F3549">
        <w:t>,</w:t>
      </w:r>
      <w:r w:rsidR="003830E7">
        <w:t xml:space="preserve"> and to discuss and agree these with the IDB</w:t>
      </w:r>
      <w:r w:rsidR="00C40592">
        <w:t>.</w:t>
      </w:r>
      <w:r w:rsidR="51C3B80F">
        <w:t xml:space="preserve">  </w:t>
      </w:r>
      <w:r w:rsidR="008C25CB">
        <w:t>As a result of this process, Defra proposed that</w:t>
      </w:r>
      <w:r w:rsidR="00CA47E8">
        <w:t xml:space="preserve"> </w:t>
      </w:r>
      <w:r w:rsidR="51C3B80F">
        <w:t>the IDB and Defra should agree and implement an</w:t>
      </w:r>
      <w:r w:rsidR="6C77D393">
        <w:t xml:space="preserve"> initial high-level</w:t>
      </w:r>
      <w:r w:rsidR="51C3B80F">
        <w:t xml:space="preserve"> Action Plan</w:t>
      </w:r>
      <w:r w:rsidR="00CA47E8">
        <w:t xml:space="preserve"> with regular monitoring</w:t>
      </w:r>
      <w:r w:rsidR="51C3B80F">
        <w:t xml:space="preserve"> to ensure the delivery of key products, which are essential to meet ICF requirements and standards (see Section 1.1.4 for more detail). </w:t>
      </w:r>
    </w:p>
    <w:p w14:paraId="123EC694" w14:textId="6FB93A35" w:rsidR="00D65DC0" w:rsidRDefault="00D65DC0" w:rsidP="00AF04EE">
      <w:pPr>
        <w:pStyle w:val="Heading3"/>
      </w:pPr>
      <w:bookmarkStart w:id="2" w:name="_heading=h.3znysh7" w:colFirst="0" w:colLast="0"/>
      <w:bookmarkStart w:id="3" w:name="_heading=h.39kk8xu" w:colFirst="0" w:colLast="0"/>
      <w:bookmarkEnd w:id="2"/>
      <w:bookmarkEnd w:id="3"/>
      <w:r>
        <w:t xml:space="preserve">     Progress against the Delivery Plan</w:t>
      </w:r>
    </w:p>
    <w:p w14:paraId="0D54E400" w14:textId="60985749" w:rsidR="00D65DC0" w:rsidRDefault="00D65DC0" w:rsidP="00D65DC0">
      <w:pPr>
        <w:spacing w:line="22" w:lineRule="atLeast"/>
        <w:jc w:val="both"/>
      </w:pPr>
      <w:r>
        <w:t xml:space="preserve">The </w:t>
      </w:r>
      <w:r w:rsidR="003E458E">
        <w:t xml:space="preserve">UK </w:t>
      </w:r>
      <w:r w:rsidR="00141CFA">
        <w:t>BCF</w:t>
      </w:r>
      <w:r w:rsidRPr="00CE6752">
        <w:t xml:space="preserve"> continues to </w:t>
      </w:r>
      <w:r w:rsidR="00CE6752" w:rsidRPr="00CE6752">
        <w:t>experience delays a</w:t>
      </w:r>
      <w:r w:rsidRPr="00CE6752">
        <w:t>gainst the delivery plan</w:t>
      </w:r>
      <w:r w:rsidR="00CE6752" w:rsidRPr="00CE6752">
        <w:t xml:space="preserve">. Despite this, the programme has made some progress. </w:t>
      </w:r>
      <w:r>
        <w:t>The major accomplishments of the programme in 20</w:t>
      </w:r>
      <w:r w:rsidR="00CC3704">
        <w:t>20</w:t>
      </w:r>
      <w:r w:rsidR="00996C4D">
        <w:t>/</w:t>
      </w:r>
      <w:r w:rsidR="00CE6752">
        <w:t>2</w:t>
      </w:r>
      <w:r w:rsidR="00CC3704">
        <w:t>1</w:t>
      </w:r>
      <w:r>
        <w:t xml:space="preserve"> are:</w:t>
      </w:r>
    </w:p>
    <w:p w14:paraId="6B84A534" w14:textId="355877A9" w:rsidR="00E90AC2" w:rsidRDefault="32CE55DB" w:rsidP="00D33DD9">
      <w:pPr>
        <w:pStyle w:val="ListParagraph"/>
        <w:numPr>
          <w:ilvl w:val="0"/>
          <w:numId w:val="5"/>
        </w:numPr>
        <w:spacing w:line="22" w:lineRule="atLeast"/>
        <w:jc w:val="both"/>
      </w:pPr>
      <w:r w:rsidRPr="70189F0B">
        <w:rPr>
          <w:b/>
          <w:bCs/>
        </w:rPr>
        <w:t>The Dasgupta Review was published on 2 February, to which the IDB contributed key research and evidence</w:t>
      </w:r>
      <w:r w:rsidRPr="70189F0B">
        <w:rPr>
          <w:b/>
          <w:bCs/>
          <w:color w:val="1F4E79" w:themeColor="accent5" w:themeShade="80"/>
        </w:rPr>
        <w:t>.</w:t>
      </w:r>
      <w:r w:rsidR="35CCE5BF">
        <w:t xml:space="preserve"> </w:t>
      </w:r>
      <w:r w:rsidR="656BCE7A">
        <w:t xml:space="preserve">A £200,000 extension to the </w:t>
      </w:r>
      <w:r w:rsidR="154EC9D8">
        <w:t xml:space="preserve">UK </w:t>
      </w:r>
      <w:r w:rsidR="00141CFA">
        <w:t>BCF</w:t>
      </w:r>
      <w:r w:rsidR="656BCE7A">
        <w:t xml:space="preserve"> </w:t>
      </w:r>
      <w:r w:rsidR="154EC9D8">
        <w:t xml:space="preserve">enabled the IDB to provide supporting research and evidence for an independent global review on the Economics of Biodiversity, led by Professor Sir Partha Dasgupta (the Dasgupta Review). The IDB contributed key research and evidence specifically on links between nature, including mangrove forests, and biodiversity, and extreme situation such as regime shifts within ecosystems. The Dasgupta Review was published on 2 February 2021 and has since shifted and shaped the direction of global discussions </w:t>
      </w:r>
      <w:r w:rsidR="0B8FC470">
        <w:t>o</w:t>
      </w:r>
      <w:r w:rsidR="154EC9D8">
        <w:t>n nature, people</w:t>
      </w:r>
      <w:r w:rsidR="00257C4D">
        <w:t>,</w:t>
      </w:r>
      <w:r w:rsidR="154EC9D8">
        <w:t xml:space="preserve"> and the economy.</w:t>
      </w:r>
      <w:r w:rsidR="3C627847">
        <w:t xml:space="preserve"> </w:t>
      </w:r>
    </w:p>
    <w:p w14:paraId="62F73EEF" w14:textId="11DEC623" w:rsidR="00711218" w:rsidRDefault="00711218" w:rsidP="00D33DD9">
      <w:pPr>
        <w:pStyle w:val="ListParagraph"/>
        <w:numPr>
          <w:ilvl w:val="0"/>
          <w:numId w:val="5"/>
        </w:numPr>
        <w:spacing w:line="22" w:lineRule="atLeast"/>
        <w:jc w:val="both"/>
      </w:pPr>
      <w:r w:rsidRPr="4B7D6B8A">
        <w:rPr>
          <w:b/>
          <w:bCs/>
        </w:rPr>
        <w:t>The IDB shared experi</w:t>
      </w:r>
      <w:r w:rsidR="37EA6098" w:rsidRPr="4B7D6B8A">
        <w:rPr>
          <w:b/>
          <w:bCs/>
        </w:rPr>
        <w:t>e</w:t>
      </w:r>
      <w:r w:rsidRPr="4B7D6B8A">
        <w:rPr>
          <w:b/>
          <w:bCs/>
        </w:rPr>
        <w:t>n</w:t>
      </w:r>
      <w:r w:rsidR="37EA6098" w:rsidRPr="4B7D6B8A">
        <w:rPr>
          <w:b/>
          <w:bCs/>
        </w:rPr>
        <w:t>ce</w:t>
      </w:r>
      <w:r w:rsidRPr="4B7D6B8A">
        <w:rPr>
          <w:b/>
          <w:bCs/>
        </w:rPr>
        <w:t xml:space="preserve"> from the UK BCF at a British Embassy Adaptation Event in Costa Rica </w:t>
      </w:r>
      <w:r w:rsidR="37EA6098" w:rsidRPr="4B7D6B8A">
        <w:rPr>
          <w:b/>
          <w:bCs/>
        </w:rPr>
        <w:t xml:space="preserve">on 25 March </w:t>
      </w:r>
      <w:r w:rsidRPr="4B7D6B8A">
        <w:rPr>
          <w:b/>
          <w:bCs/>
        </w:rPr>
        <w:t>2021.</w:t>
      </w:r>
      <w:r w:rsidR="37EA6098">
        <w:t xml:space="preserve"> The session titled “Investing in Nature makes economic sense” focused on the fact that financial solutions are real and the momentum towards environmental and ethical investment is growing. </w:t>
      </w:r>
      <w:r w:rsidR="37EA6098" w:rsidRPr="4B7D6B8A">
        <w:rPr>
          <w:rFonts w:eastAsia="Times New Roman"/>
          <w:color w:val="0A0A0A"/>
          <w:lang w:val="en" w:eastAsia="en-GB"/>
        </w:rPr>
        <w:t>The IDB presented on case studies from the UK BCF to show the benefits and successes of financing models to support adaptation projects and increase private finance and natural capital funds in such projects.</w:t>
      </w:r>
    </w:p>
    <w:p w14:paraId="581C5CB1" w14:textId="021CB5D0" w:rsidR="70189F0B" w:rsidRPr="00E90AC2" w:rsidRDefault="208802D4" w:rsidP="00D33DD9">
      <w:pPr>
        <w:pStyle w:val="ListParagraph"/>
        <w:numPr>
          <w:ilvl w:val="0"/>
          <w:numId w:val="5"/>
        </w:numPr>
        <w:spacing w:line="22" w:lineRule="atLeast"/>
        <w:jc w:val="both"/>
      </w:pPr>
      <w:r w:rsidRPr="36A10EBE">
        <w:rPr>
          <w:b/>
          <w:bCs/>
        </w:rPr>
        <w:t xml:space="preserve">The IDB </w:t>
      </w:r>
      <w:r w:rsidR="00711218" w:rsidRPr="36A10EBE">
        <w:rPr>
          <w:b/>
          <w:bCs/>
        </w:rPr>
        <w:t>held</w:t>
      </w:r>
      <w:r w:rsidR="3C638636" w:rsidRPr="36A10EBE">
        <w:rPr>
          <w:b/>
          <w:bCs/>
        </w:rPr>
        <w:t xml:space="preserve"> </w:t>
      </w:r>
      <w:r w:rsidRPr="36A10EBE">
        <w:rPr>
          <w:b/>
          <w:bCs/>
        </w:rPr>
        <w:t xml:space="preserve">a leading role in the Multilateral Development Bank (MDB) Joint Statement on Nature, People and Planet for COP26. </w:t>
      </w:r>
      <w:r w:rsidR="092494A9">
        <w:t xml:space="preserve">IDB participation in the Dasgupta Review </w:t>
      </w:r>
      <w:r w:rsidR="6C43C5DF">
        <w:t xml:space="preserve">helped build internal support to lead the MDB work to draft and approve the </w:t>
      </w:r>
      <w:hyperlink r:id="rId13">
        <w:r w:rsidR="6C43C5DF" w:rsidRPr="36A10EBE">
          <w:rPr>
            <w:rStyle w:val="Hyperlink"/>
          </w:rPr>
          <w:t xml:space="preserve">MDB Joint Statement on </w:t>
        </w:r>
        <w:r w:rsidR="6C43C5DF" w:rsidRPr="36A10EBE">
          <w:rPr>
            <w:rStyle w:val="Hyperlink"/>
          </w:rPr>
          <w:lastRenderedPageBreak/>
          <w:t>Nature, People and Planet</w:t>
        </w:r>
      </w:hyperlink>
      <w:r w:rsidR="6C43C5DF">
        <w:t xml:space="preserve"> for COP26. The statement aims to reflect the signatories’ commitment to mainstream nature into their policies, analysis, assessments, advice, investments, and operations to support benefitting countries to achieve the Sustainable Development Goals (SDGs), Paris aligned climate goals and the Convention on Biological Diversity (CBD) goals. It also aims to promote sustainability and support the private sector to invest in solutions which tackle the challenges of sustainable development, climate change and nature loss.</w:t>
      </w:r>
    </w:p>
    <w:p w14:paraId="25EE0368" w14:textId="2277A97B" w:rsidR="00A365B8" w:rsidRPr="007B6E6F" w:rsidRDefault="1851E2E3" w:rsidP="00D33DD9">
      <w:pPr>
        <w:pStyle w:val="ListParagraph"/>
        <w:numPr>
          <w:ilvl w:val="0"/>
          <w:numId w:val="5"/>
        </w:numPr>
        <w:spacing w:line="22" w:lineRule="atLeast"/>
        <w:jc w:val="both"/>
        <w:rPr>
          <w:rStyle w:val="normaltextrun"/>
        </w:rPr>
      </w:pPr>
      <w:r w:rsidRPr="002E2A5E">
        <w:rPr>
          <w:b/>
          <w:bCs/>
        </w:rPr>
        <w:t>The IDB selected and trained the National Audubon Society (NAS) as the executing agency for the project in Panama.</w:t>
      </w:r>
      <w:r w:rsidR="3275E8A2" w:rsidRPr="007B6E6F">
        <w:rPr>
          <w:b/>
          <w:bCs/>
        </w:rPr>
        <w:t xml:space="preserve"> </w:t>
      </w:r>
      <w:r w:rsidR="21E110FC" w:rsidRPr="007B6E6F">
        <w:t xml:space="preserve">The IDB’s Natural Capital Lab (NCL) convened a number of </w:t>
      </w:r>
      <w:r w:rsidR="59FBE467" w:rsidRPr="007B6E6F">
        <w:t>training sessions to ensure compliance with IDB policies and procedures</w:t>
      </w:r>
      <w:r w:rsidR="54A6209C">
        <w:t>.</w:t>
      </w:r>
      <w:r w:rsidR="59FBE467" w:rsidRPr="007B6E6F">
        <w:t xml:space="preserve"> The NAS works closely with local agency </w:t>
      </w:r>
      <w:r w:rsidR="59FBE467" w:rsidRPr="007B6E6F">
        <w:rPr>
          <w:rStyle w:val="normaltextrun"/>
          <w:rFonts w:cs="Arial"/>
          <w:bdr w:val="none" w:sz="0" w:space="0" w:color="auto" w:frame="1"/>
        </w:rPr>
        <w:t>Sociedad Audubon de Panamá to deliver the project in Panama.</w:t>
      </w:r>
      <w:r w:rsidR="1D4D8569" w:rsidRPr="10B17927">
        <w:rPr>
          <w:rStyle w:val="normaltextrun"/>
          <w:rFonts w:cs="Arial"/>
        </w:rPr>
        <w:t xml:space="preserve"> The project in Panama undertook several fundamental research studies on</w:t>
      </w:r>
      <w:r w:rsidR="1D4D8569" w:rsidRPr="01CD349F">
        <w:rPr>
          <w:rStyle w:val="normaltextrun"/>
          <w:rFonts w:cs="Arial"/>
        </w:rPr>
        <w:t xml:space="preserve"> </w:t>
      </w:r>
      <w:r w:rsidR="004C14D4" w:rsidRPr="01CD349F">
        <w:rPr>
          <w:rStyle w:val="normaltextrun"/>
          <w:rFonts w:cs="Arial"/>
        </w:rPr>
        <w:t>the health of mangrove ecosystems in the Bay of Parita</w:t>
      </w:r>
      <w:r w:rsidR="1D4D8569" w:rsidRPr="01CD349F">
        <w:rPr>
          <w:rStyle w:val="normaltextrun"/>
          <w:rFonts w:cs="Arial"/>
        </w:rPr>
        <w:t xml:space="preserve">, </w:t>
      </w:r>
      <w:r w:rsidR="1D4D8569" w:rsidRPr="10B17927">
        <w:rPr>
          <w:rStyle w:val="normaltextrun"/>
          <w:rFonts w:cs="Arial"/>
        </w:rPr>
        <w:t xml:space="preserve">held several trainings, </w:t>
      </w:r>
      <w:r w:rsidR="24A47796" w:rsidRPr="10B17927">
        <w:rPr>
          <w:rStyle w:val="normaltextrun"/>
          <w:rFonts w:cs="Arial"/>
        </w:rPr>
        <w:t>and disseminated research and value cases to influence behaviour</w:t>
      </w:r>
      <w:r w:rsidR="654A4DB7" w:rsidRPr="10B17927">
        <w:rPr>
          <w:rStyle w:val="normaltextrun"/>
          <w:rFonts w:cs="Arial"/>
        </w:rPr>
        <w:t xml:space="preserve"> in its first year of operation.</w:t>
      </w:r>
    </w:p>
    <w:p w14:paraId="4772E06F" w14:textId="28B9C1CA" w:rsidR="00A365B8" w:rsidRPr="002E2A5E" w:rsidRDefault="00113614" w:rsidP="00D33DD9">
      <w:pPr>
        <w:pStyle w:val="ListParagraph"/>
        <w:numPr>
          <w:ilvl w:val="0"/>
          <w:numId w:val="5"/>
        </w:numPr>
        <w:spacing w:line="22" w:lineRule="atLeast"/>
        <w:jc w:val="both"/>
      </w:pPr>
      <w:r w:rsidRPr="4A5319B4">
        <w:rPr>
          <w:b/>
          <w:bCs/>
        </w:rPr>
        <w:t>The projects in Panama and Jamaica received their first instalments.</w:t>
      </w:r>
      <w:r>
        <w:t xml:space="preserve"> </w:t>
      </w:r>
      <w:r w:rsidR="00A365B8">
        <w:t>IDB made the first disbursement</w:t>
      </w:r>
      <w:r w:rsidR="00D23AFB">
        <w:t>s</w:t>
      </w:r>
      <w:r w:rsidR="00A365B8">
        <w:t xml:space="preserve"> for projects in </w:t>
      </w:r>
      <w:r w:rsidR="00997DAB">
        <w:t>Jamaica</w:t>
      </w:r>
      <w:r w:rsidR="00A365B8">
        <w:t xml:space="preserve"> and </w:t>
      </w:r>
      <w:r w:rsidR="00997DAB">
        <w:t>Panama</w:t>
      </w:r>
      <w:r w:rsidR="00A365B8">
        <w:t xml:space="preserve"> on 9 October 2020 and 24 November 2020 respectively</w:t>
      </w:r>
      <w:r>
        <w:t>, enabling some activities to take place on the ground</w:t>
      </w:r>
      <w:r w:rsidR="002E2A5E">
        <w:t xml:space="preserve"> although others are delayed due to the impacts of the Covid-19 pandemic</w:t>
      </w:r>
      <w:r>
        <w:t>.</w:t>
      </w:r>
    </w:p>
    <w:p w14:paraId="4861BD66" w14:textId="62B5BC9D" w:rsidR="00997DAB" w:rsidRPr="00362BFA" w:rsidRDefault="00113614" w:rsidP="00D33DD9">
      <w:pPr>
        <w:pStyle w:val="ListParagraph"/>
        <w:numPr>
          <w:ilvl w:val="0"/>
          <w:numId w:val="5"/>
        </w:numPr>
        <w:spacing w:line="22" w:lineRule="atLeast"/>
        <w:jc w:val="both"/>
      </w:pPr>
      <w:r w:rsidRPr="4A5319B4">
        <w:rPr>
          <w:b/>
          <w:bCs/>
        </w:rPr>
        <w:t>The project in Colombia has progressed to implementation</w:t>
      </w:r>
      <w:r w:rsidR="00E2141B" w:rsidRPr="4A5319B4">
        <w:rPr>
          <w:b/>
          <w:bCs/>
        </w:rPr>
        <w:t xml:space="preserve"> on 26 May 2021</w:t>
      </w:r>
      <w:r>
        <w:t>,</w:t>
      </w:r>
      <w:r w:rsidR="00997DAB">
        <w:t xml:space="preserve"> following approval by the IDB Board</w:t>
      </w:r>
      <w:r w:rsidR="00E2141B">
        <w:t xml:space="preserve"> and relevant </w:t>
      </w:r>
      <w:r w:rsidR="00CC3704">
        <w:t xml:space="preserve">non-objection letters </w:t>
      </w:r>
      <w:r w:rsidR="00E2141B">
        <w:t>from target country officials</w:t>
      </w:r>
      <w:r w:rsidR="00997DAB">
        <w:t>.</w:t>
      </w:r>
      <w:r w:rsidR="0044100D">
        <w:t xml:space="preserve"> Agreements </w:t>
      </w:r>
      <w:r w:rsidR="00C54849">
        <w:t>have been</w:t>
      </w:r>
      <w:r w:rsidR="0044100D">
        <w:t xml:space="preserve"> signed with the executing agencies, Conservation International and Puerta del Oro</w:t>
      </w:r>
      <w:r w:rsidR="001518A5">
        <w:t xml:space="preserve"> and both entities began working to achieve conditions for first disbursement</w:t>
      </w:r>
      <w:r w:rsidR="00867DBC">
        <w:t>.</w:t>
      </w:r>
    </w:p>
    <w:p w14:paraId="19EAFDFA" w14:textId="5EA973B1" w:rsidR="00997DAB" w:rsidRPr="007B6E6F" w:rsidRDefault="00113614" w:rsidP="00D33DD9">
      <w:pPr>
        <w:pStyle w:val="ListParagraph"/>
        <w:numPr>
          <w:ilvl w:val="0"/>
          <w:numId w:val="5"/>
        </w:numPr>
        <w:spacing w:line="22" w:lineRule="atLeast"/>
        <w:jc w:val="both"/>
      </w:pPr>
      <w:r w:rsidRPr="1F047E0C">
        <w:rPr>
          <w:b/>
          <w:bCs/>
        </w:rPr>
        <w:t xml:space="preserve">The IDB unblocked challenges facing the </w:t>
      </w:r>
      <w:r w:rsidR="00EB634B" w:rsidRPr="1F047E0C">
        <w:rPr>
          <w:b/>
          <w:bCs/>
        </w:rPr>
        <w:t>R</w:t>
      </w:r>
      <w:r w:rsidRPr="1F047E0C">
        <w:rPr>
          <w:b/>
          <w:bCs/>
        </w:rPr>
        <w:t>egional MRV project in June 2021,</w:t>
      </w:r>
      <w:r w:rsidR="00997DAB" w:rsidRPr="1F047E0C">
        <w:rPr>
          <w:b/>
          <w:bCs/>
        </w:rPr>
        <w:t xml:space="preserve"> </w:t>
      </w:r>
      <w:r w:rsidR="00997DAB">
        <w:t>enabling the project to progress to the next stage of the IDB’s internal approval processes</w:t>
      </w:r>
      <w:r>
        <w:t>, subject to receiving funds from Defra.</w:t>
      </w:r>
    </w:p>
    <w:p w14:paraId="493111A4" w14:textId="25C826D8" w:rsidR="00997DAB" w:rsidRPr="00362BFA" w:rsidRDefault="32CE55DB" w:rsidP="00D33DD9">
      <w:pPr>
        <w:pStyle w:val="ListParagraph"/>
        <w:numPr>
          <w:ilvl w:val="0"/>
          <w:numId w:val="5"/>
        </w:numPr>
        <w:spacing w:line="22" w:lineRule="atLeast"/>
        <w:jc w:val="both"/>
      </w:pPr>
      <w:r w:rsidRPr="36A10EBE">
        <w:rPr>
          <w:b/>
          <w:bCs/>
        </w:rPr>
        <w:t xml:space="preserve">The IDB submitted one project proposal for Defra’s consideration. </w:t>
      </w:r>
      <w:r w:rsidR="41331210">
        <w:t xml:space="preserve">The </w:t>
      </w:r>
      <w:r w:rsidR="6BEAD7CD" w:rsidRPr="36A10EBE">
        <w:rPr>
          <w:i/>
          <w:iCs/>
        </w:rPr>
        <w:t xml:space="preserve">Blue Carbon Restoration in </w:t>
      </w:r>
      <w:r w:rsidR="35CCE5BF" w:rsidRPr="36A10EBE">
        <w:rPr>
          <w:i/>
          <w:iCs/>
        </w:rPr>
        <w:t>B</w:t>
      </w:r>
      <w:r w:rsidR="6BEAD7CD" w:rsidRPr="36A10EBE">
        <w:rPr>
          <w:i/>
          <w:iCs/>
        </w:rPr>
        <w:t>igi Pan MUMA</w:t>
      </w:r>
      <w:r w:rsidR="35CCE5BF" w:rsidRPr="36A10EBE">
        <w:rPr>
          <w:i/>
          <w:iCs/>
        </w:rPr>
        <w:t xml:space="preserve"> (Multiple Use Management Area)</w:t>
      </w:r>
      <w:r w:rsidR="41331210">
        <w:t xml:space="preserve"> project, expected to operate in Suriname</w:t>
      </w:r>
      <w:r w:rsidR="65A9FF27">
        <w:t>,</w:t>
      </w:r>
      <w:r w:rsidR="41331210">
        <w:t xml:space="preserve"> was submitted </w:t>
      </w:r>
      <w:r w:rsidR="6BEAD7CD">
        <w:t xml:space="preserve">for Defra’s review </w:t>
      </w:r>
      <w:r w:rsidR="41331210">
        <w:t xml:space="preserve">on </w:t>
      </w:r>
      <w:r w:rsidR="6BEAD7CD">
        <w:t>2 November 2020.</w:t>
      </w:r>
      <w:r w:rsidR="2280BDBA">
        <w:t xml:space="preserve"> Defra and the IDB have been working together to prepare the proposal for official submission for approval. Further drafts</w:t>
      </w:r>
      <w:r w:rsidR="68D36E9E">
        <w:t xml:space="preserve"> </w:t>
      </w:r>
      <w:r w:rsidR="7822D6CE">
        <w:t xml:space="preserve">in response to clarifications </w:t>
      </w:r>
      <w:r w:rsidR="31983448">
        <w:t xml:space="preserve">needed </w:t>
      </w:r>
      <w:r w:rsidR="7822D6CE">
        <w:t xml:space="preserve">on the content of the </w:t>
      </w:r>
      <w:r w:rsidR="68D36E9E">
        <w:t>project were s</w:t>
      </w:r>
      <w:r w:rsidR="6D2F9DAC">
        <w:t>u</w:t>
      </w:r>
      <w:r w:rsidR="68D36E9E">
        <w:t>bmitted on 3 February 2021 and 24 March 2021.</w:t>
      </w:r>
    </w:p>
    <w:p w14:paraId="62CF6B57" w14:textId="73A33493" w:rsidR="00D65DC0" w:rsidRDefault="2BFDE702" w:rsidP="00D65DC0">
      <w:pPr>
        <w:spacing w:line="22" w:lineRule="atLeast"/>
        <w:jc w:val="both"/>
      </w:pPr>
      <w:r>
        <w:t>The programme has also faced a number of challenges which have impacted progress and resulted in delays to</w:t>
      </w:r>
      <w:r w:rsidR="03B5F308">
        <w:t xml:space="preserve"> project</w:t>
      </w:r>
      <w:r>
        <w:t xml:space="preserve"> delivery</w:t>
      </w:r>
      <w:r w:rsidR="47B8D1E7">
        <w:t>:</w:t>
      </w:r>
    </w:p>
    <w:p w14:paraId="6066AC47" w14:textId="58336686" w:rsidR="00362BFA" w:rsidRPr="00EB634B" w:rsidRDefault="7858B2A6" w:rsidP="00D65DC0">
      <w:pPr>
        <w:spacing w:line="22" w:lineRule="atLeast"/>
        <w:jc w:val="both"/>
      </w:pPr>
      <w:r w:rsidRPr="4521EDEC">
        <w:rPr>
          <w:b/>
          <w:bCs/>
        </w:rPr>
        <w:t xml:space="preserve">Barriers to a timely approval of the </w:t>
      </w:r>
      <w:r w:rsidR="156CE63B" w:rsidRPr="4521EDEC">
        <w:rPr>
          <w:b/>
          <w:bCs/>
        </w:rPr>
        <w:t xml:space="preserve">Regional </w:t>
      </w:r>
      <w:r w:rsidRPr="4521EDEC">
        <w:rPr>
          <w:b/>
          <w:bCs/>
        </w:rPr>
        <w:t xml:space="preserve">MRV project. </w:t>
      </w:r>
      <w:r w:rsidR="326C5214">
        <w:t>Changes in the IDB’s internal processes now require all benefitting country governments to formally provide approval of projects</w:t>
      </w:r>
      <w:r w:rsidR="5474D765">
        <w:t xml:space="preserve"> via non-objection letters</w:t>
      </w:r>
      <w:r w:rsidR="326C5214">
        <w:t xml:space="preserve"> before the IDB can provide </w:t>
      </w:r>
      <w:r w:rsidR="7B1461C6">
        <w:t>eligibility</w:t>
      </w:r>
      <w:r w:rsidR="326C5214">
        <w:t>. Delays were expected as the IDB worked to revise the approval pathway to meet these new requirements. All non-objection letters were received in June 2021, resolving th</w:t>
      </w:r>
      <w:r w:rsidR="003522A8">
        <w:t>is</w:t>
      </w:r>
      <w:r w:rsidR="326C5214">
        <w:t xml:space="preserve"> issue </w:t>
      </w:r>
      <w:r w:rsidR="156CE63B">
        <w:t xml:space="preserve">(see Section </w:t>
      </w:r>
      <w:r w:rsidR="4B777544">
        <w:t>3.2.1</w:t>
      </w:r>
      <w:r w:rsidR="156CE63B">
        <w:t xml:space="preserve"> for more detail).</w:t>
      </w:r>
      <w:r w:rsidR="61D26906">
        <w:t xml:space="preserve"> </w:t>
      </w:r>
    </w:p>
    <w:p w14:paraId="72B41D15" w14:textId="1E099670" w:rsidR="00076A19" w:rsidRDefault="7556E367" w:rsidP="00D65DC0">
      <w:pPr>
        <w:spacing w:line="22" w:lineRule="atLeast"/>
        <w:jc w:val="both"/>
      </w:pPr>
      <w:r w:rsidRPr="728A5628">
        <w:rPr>
          <w:b/>
          <w:bCs/>
        </w:rPr>
        <w:t>Barriers to f</w:t>
      </w:r>
      <w:r w:rsidR="40286754" w:rsidRPr="728A5628">
        <w:rPr>
          <w:b/>
          <w:bCs/>
        </w:rPr>
        <w:t>inalising the programme</w:t>
      </w:r>
      <w:r w:rsidR="503B87CA">
        <w:rPr>
          <w:b/>
          <w:bCs/>
        </w:rPr>
        <w:t>-</w:t>
      </w:r>
      <w:r w:rsidR="40286754" w:rsidRPr="728A5628">
        <w:rPr>
          <w:b/>
          <w:bCs/>
        </w:rPr>
        <w:t>level logical framework and Theory of Change.</w:t>
      </w:r>
      <w:r w:rsidR="55A3782F" w:rsidRPr="728A5628">
        <w:rPr>
          <w:b/>
          <w:bCs/>
        </w:rPr>
        <w:t xml:space="preserve"> </w:t>
      </w:r>
      <w:r w:rsidR="292B290E" w:rsidRPr="00EE6DA5">
        <w:t xml:space="preserve">The </w:t>
      </w:r>
      <w:r w:rsidR="00141CFA">
        <w:t>UK BCF</w:t>
      </w:r>
      <w:r w:rsidR="292B290E" w:rsidRPr="00EE6DA5">
        <w:t xml:space="preserve"> is the third</w:t>
      </w:r>
      <w:r w:rsidR="00076A19">
        <w:rPr>
          <w:rStyle w:val="FootnoteReference"/>
        </w:rPr>
        <w:footnoteReference w:id="3"/>
      </w:r>
      <w:r w:rsidR="292B290E" w:rsidRPr="00EE6DA5">
        <w:t xml:space="preserve"> </w:t>
      </w:r>
      <w:r w:rsidR="00983427">
        <w:t xml:space="preserve">HMG-funded </w:t>
      </w:r>
      <w:r w:rsidR="292B290E" w:rsidRPr="00EE6DA5">
        <w:t xml:space="preserve">programme delivered by the IDB to experience severe delays and </w:t>
      </w:r>
      <w:r w:rsidR="45C8BBBD">
        <w:t xml:space="preserve">face </w:t>
      </w:r>
      <w:r w:rsidR="7004E4EF">
        <w:t xml:space="preserve">delivery </w:t>
      </w:r>
      <w:r w:rsidR="45C8BBBD">
        <w:t>challenges</w:t>
      </w:r>
      <w:r w:rsidR="292B290E" w:rsidRPr="00EE6DA5">
        <w:t>, suggesting th</w:t>
      </w:r>
      <w:r w:rsidR="04476B70">
        <w:t xml:space="preserve">ere may be </w:t>
      </w:r>
      <w:r w:rsidR="292B290E" w:rsidRPr="00EE6DA5">
        <w:t>wider underlying</w:t>
      </w:r>
      <w:r w:rsidR="00B4673F">
        <w:t xml:space="preserve"> capacity and resourcing </w:t>
      </w:r>
      <w:r w:rsidR="292B290E" w:rsidRPr="00EE6DA5">
        <w:t xml:space="preserve">issues within the IDB </w:t>
      </w:r>
      <w:r w:rsidR="04476B70">
        <w:t xml:space="preserve">that </w:t>
      </w:r>
      <w:r w:rsidR="292B290E" w:rsidRPr="00EE6DA5">
        <w:t>need to be addressed</w:t>
      </w:r>
      <w:r w:rsidR="04476B70">
        <w:t xml:space="preserve"> along with improved</w:t>
      </w:r>
      <w:r w:rsidR="292B290E" w:rsidRPr="00EE6DA5">
        <w:t xml:space="preserve"> ways of working between the IDB and HMG. </w:t>
      </w:r>
    </w:p>
    <w:p w14:paraId="798A7518" w14:textId="6424F152" w:rsidR="00511D1F" w:rsidRDefault="7630AED2" w:rsidP="00D65DC0">
      <w:pPr>
        <w:spacing w:line="22" w:lineRule="atLeast"/>
        <w:jc w:val="both"/>
      </w:pPr>
      <w:r>
        <w:t>The IDB has noted two key barriers:</w:t>
      </w:r>
    </w:p>
    <w:p w14:paraId="15BAFF71" w14:textId="108AA463" w:rsidR="00511D1F" w:rsidRPr="001F242B" w:rsidRDefault="4A486EE9" w:rsidP="367BE1D9">
      <w:pPr>
        <w:pStyle w:val="ListParagraph"/>
        <w:numPr>
          <w:ilvl w:val="0"/>
          <w:numId w:val="12"/>
        </w:numPr>
        <w:spacing w:line="22" w:lineRule="atLeast"/>
        <w:jc w:val="both"/>
        <w:rPr>
          <w:rFonts w:eastAsiaTheme="minorEastAsia"/>
        </w:rPr>
      </w:pPr>
      <w:r w:rsidRPr="001F242B">
        <w:t>P</w:t>
      </w:r>
      <w:r w:rsidR="786DF399" w:rsidRPr="001F242B">
        <w:t>roject</w:t>
      </w:r>
      <w:r w:rsidR="16C69163" w:rsidRPr="001F242B">
        <w:t>-</w:t>
      </w:r>
      <w:r w:rsidR="786DF399" w:rsidRPr="001F242B">
        <w:t xml:space="preserve">level results </w:t>
      </w:r>
      <w:r w:rsidR="2499CFF8" w:rsidRPr="001F242B">
        <w:t>have proved difficult to integrate into Defra’s ICF programme</w:t>
      </w:r>
      <w:r w:rsidR="1D54FD39" w:rsidRPr="001F242B">
        <w:t>-</w:t>
      </w:r>
      <w:r w:rsidR="2499CFF8" w:rsidRPr="001F242B">
        <w:t xml:space="preserve">level logical </w:t>
      </w:r>
      <w:r w:rsidR="786DF399" w:rsidRPr="001F242B">
        <w:t xml:space="preserve">framework and Theory of Change. In </w:t>
      </w:r>
      <w:r w:rsidR="2499CFF8" w:rsidRPr="001F242B">
        <w:t xml:space="preserve">line with Defra’s ICF requirements, </w:t>
      </w:r>
      <w:r w:rsidR="786DF399" w:rsidRPr="001F242B">
        <w:t>the programme</w:t>
      </w:r>
      <w:r w:rsidR="16C69163" w:rsidRPr="001F242B">
        <w:t>-</w:t>
      </w:r>
      <w:r w:rsidR="786DF399" w:rsidRPr="001F242B">
        <w:t xml:space="preserve">level results framework provided in the Business Case is high-level and indicative and </w:t>
      </w:r>
      <w:r w:rsidR="2499CFF8" w:rsidRPr="001F242B">
        <w:t>sh</w:t>
      </w:r>
      <w:r w:rsidR="786DF399" w:rsidRPr="001F242B">
        <w:t xml:space="preserve">ould be </w:t>
      </w:r>
      <w:r w:rsidR="786DF399" w:rsidRPr="001F242B">
        <w:lastRenderedPageBreak/>
        <w:t xml:space="preserve">further developed and approved </w:t>
      </w:r>
      <w:r w:rsidR="2499CFF8" w:rsidRPr="001F242B">
        <w:t xml:space="preserve">within the first 6 months of signing the </w:t>
      </w:r>
      <w:r w:rsidR="59BADB83" w:rsidRPr="001F242B">
        <w:t>Administrative Agreement</w:t>
      </w:r>
      <w:r w:rsidR="2499CFF8" w:rsidRPr="001F242B">
        <w:t xml:space="preserve"> to ensure projects are designed and aligned to ICF outcomes and </w:t>
      </w:r>
      <w:r w:rsidR="786DF399" w:rsidRPr="001F242B">
        <w:t>indicators</w:t>
      </w:r>
      <w:r w:rsidR="2499CFF8" w:rsidRPr="001F242B">
        <w:t>. While this was submitted by the IDB, it was not approved</w:t>
      </w:r>
      <w:r w:rsidR="001F242B" w:rsidRPr="001F242B">
        <w:t>,</w:t>
      </w:r>
      <w:r w:rsidR="2499CFF8" w:rsidRPr="001F242B">
        <w:t xml:space="preserve"> and further work was required. To avoid further delays to implementation, UK BCF projects </w:t>
      </w:r>
      <w:r w:rsidR="59BADB83" w:rsidRPr="001F242B">
        <w:t>continued to be designed and approved without the required final programme</w:t>
      </w:r>
      <w:r w:rsidR="1D54FD39" w:rsidRPr="001F242B">
        <w:t>-</w:t>
      </w:r>
      <w:r w:rsidR="59BADB83" w:rsidRPr="001F242B">
        <w:t>level logical framework and Theory of Change</w:t>
      </w:r>
      <w:r w:rsidR="7FD96902" w:rsidRPr="001F242B">
        <w:t>. The results matrices agreed between the IDB and executing agencies</w:t>
      </w:r>
      <w:r w:rsidR="78C1A0C3" w:rsidRPr="001F242B">
        <w:t xml:space="preserve"> therefore</w:t>
      </w:r>
      <w:r w:rsidR="5A6A6FBC" w:rsidRPr="001F242B">
        <w:t xml:space="preserve"> </w:t>
      </w:r>
      <w:r w:rsidR="7FD96902" w:rsidRPr="001F242B">
        <w:t>do not align with</w:t>
      </w:r>
      <w:r w:rsidR="78C1A0C3" w:rsidRPr="001F242B">
        <w:t xml:space="preserve"> ICF </w:t>
      </w:r>
      <w:r w:rsidR="2499CFF8" w:rsidRPr="001F242B">
        <w:t>outcomes and indictors which has led to signif</w:t>
      </w:r>
      <w:r w:rsidR="460884CB" w:rsidRPr="001F242B">
        <w:t>ic</w:t>
      </w:r>
      <w:r w:rsidR="2499CFF8" w:rsidRPr="001F242B">
        <w:t xml:space="preserve">ant challenges in further developing the </w:t>
      </w:r>
      <w:r w:rsidR="07096403" w:rsidRPr="001F242B">
        <w:t>programme</w:t>
      </w:r>
      <w:r w:rsidR="59BADB83" w:rsidRPr="001F242B">
        <w:t xml:space="preserve"> </w:t>
      </w:r>
      <w:r w:rsidR="07096403" w:rsidRPr="001F242B">
        <w:t xml:space="preserve">level </w:t>
      </w:r>
      <w:r w:rsidR="2499CFF8" w:rsidRPr="001F242B">
        <w:t>log</w:t>
      </w:r>
      <w:r w:rsidR="460884CB" w:rsidRPr="001F242B">
        <w:t>ical</w:t>
      </w:r>
      <w:r w:rsidR="2499CFF8" w:rsidRPr="001F242B">
        <w:t xml:space="preserve"> frame</w:t>
      </w:r>
      <w:r w:rsidR="460884CB" w:rsidRPr="001F242B">
        <w:t>work</w:t>
      </w:r>
      <w:r w:rsidR="2499CFF8" w:rsidRPr="001F242B">
        <w:t xml:space="preserve">. </w:t>
      </w:r>
      <w:r w:rsidR="518ABC8C" w:rsidRPr="001F242B">
        <w:t>This has</w:t>
      </w:r>
      <w:r w:rsidR="73AAEAA1" w:rsidRPr="001F242B">
        <w:t xml:space="preserve"> not</w:t>
      </w:r>
      <w:r w:rsidR="518ABC8C" w:rsidRPr="001F242B">
        <w:t xml:space="preserve"> previously been communicated clearly to Defra. The IDB and Defra are working together to </w:t>
      </w:r>
      <w:r w:rsidR="19AB9343" w:rsidRPr="001F242B">
        <w:t xml:space="preserve">overcome this challenge and </w:t>
      </w:r>
      <w:r w:rsidR="518ABC8C" w:rsidRPr="001F242B">
        <w:t>design a logical framework that both parties can approve.</w:t>
      </w:r>
    </w:p>
    <w:p w14:paraId="6A6CB991" w14:textId="0C203FBD" w:rsidR="00A159B4" w:rsidRDefault="00A159B4" w:rsidP="00EE6DA5">
      <w:pPr>
        <w:spacing w:line="22" w:lineRule="atLeast"/>
        <w:ind w:left="720"/>
        <w:jc w:val="both"/>
      </w:pPr>
      <w:r>
        <w:t>In addition, last year’s Annual Review recommended that the IDB hold a teach-in on the IDB’s internal processes including for approvals and M&amp;E. This workshop took place in November 2020 but did not include the IDB’s M&amp;E processes. It is possible that the issues above may have been anticipated or communicated to Defra earlier and clearer if a teach-in on these M&amp;E processes had taken place.</w:t>
      </w:r>
    </w:p>
    <w:p w14:paraId="47E492A6" w14:textId="6933A664" w:rsidR="00362BFA" w:rsidRPr="00E90AC2" w:rsidRDefault="49C9A24E" w:rsidP="00D33DD9">
      <w:pPr>
        <w:pStyle w:val="ListParagraph"/>
        <w:numPr>
          <w:ilvl w:val="0"/>
          <w:numId w:val="12"/>
        </w:numPr>
        <w:spacing w:line="22" w:lineRule="atLeast"/>
        <w:jc w:val="both"/>
        <w:rPr>
          <w:rFonts w:eastAsiaTheme="minorEastAsia"/>
        </w:rPr>
      </w:pPr>
      <w:r>
        <w:t xml:space="preserve">Some delays have been a result of changes to Defra’s policy team and Programme Lead for the UK </w:t>
      </w:r>
      <w:r w:rsidR="00141CFA">
        <w:t>BCF</w:t>
      </w:r>
      <w:r>
        <w:t xml:space="preserve"> which has slowed progress during handover. Despite administrative changes, all guidance and advice provided by Defra has been sustained and in line with ICF MEL requirements. </w:t>
      </w:r>
      <w:r w:rsidR="4BA99CCE">
        <w:t xml:space="preserve">IDB and Defra M&amp;E experts have also met a number of times to incorporate changes. </w:t>
      </w:r>
      <w:r>
        <w:t>Defra recognises that</w:t>
      </w:r>
      <w:r w:rsidR="1E48B198">
        <w:t xml:space="preserve"> limited capacity amongst Defra’s M&amp;E experts</w:t>
      </w:r>
      <w:r>
        <w:t xml:space="preserve"> has also proved challenging, making it difficult to provide the IDB with additional support needed to complete these final products</w:t>
      </w:r>
      <w:r w:rsidR="1E48B198">
        <w:t>.</w:t>
      </w:r>
      <w:r w:rsidR="4BA99CCE">
        <w:t xml:space="preserve">  </w:t>
      </w:r>
      <w:r>
        <w:t>While some progress has been made to date, Defra has not yet seen g</w:t>
      </w:r>
      <w:r w:rsidR="0D110203">
        <w:t xml:space="preserve">uidance and advice </w:t>
      </w:r>
      <w:r w:rsidR="1ECD0E45">
        <w:t>sufficiently</w:t>
      </w:r>
      <w:r w:rsidR="0D110203">
        <w:t xml:space="preserve"> incorporated into products</w:t>
      </w:r>
      <w:r w:rsidR="139E2580">
        <w:t>.</w:t>
      </w:r>
      <w:r w:rsidR="4BA99CCE">
        <w:t xml:space="preserve"> The logical framework and Theory of Change</w:t>
      </w:r>
      <w:r w:rsidR="0D110203">
        <w:t xml:space="preserve"> continue to be </w:t>
      </w:r>
      <w:r w:rsidR="69781254">
        <w:t>misaligned,</w:t>
      </w:r>
      <w:r w:rsidR="0D110203">
        <w:t xml:space="preserve"> and Defra cannot confidently approve products that do not meet ICF requirements and standards which are designed to ensure the robust monitoring and evaluation of programmes.</w:t>
      </w:r>
      <w:r w:rsidR="4BA99CCE">
        <w:t xml:space="preserve"> To mitigate misalignment, t</w:t>
      </w:r>
      <w:r w:rsidR="139E2580">
        <w:t>he IDB has sought lessons learned from other internal teams who also deliver ICF programmes in partnership with Defra.</w:t>
      </w:r>
    </w:p>
    <w:p w14:paraId="41466CEF" w14:textId="63AC2695" w:rsidR="00D65DC0" w:rsidRDefault="4B3D4DC5" w:rsidP="70189F0B">
      <w:pPr>
        <w:spacing w:line="22" w:lineRule="atLeast"/>
        <w:jc w:val="both"/>
        <w:rPr>
          <w:color w:val="000000" w:themeColor="text1"/>
        </w:rPr>
      </w:pPr>
      <w:r w:rsidRPr="70189F0B">
        <w:rPr>
          <w:b/>
          <w:bCs/>
        </w:rPr>
        <w:t>Impacts of COVID-19.</w:t>
      </w:r>
      <w:r>
        <w:t xml:space="preserve"> </w:t>
      </w:r>
      <w:r w:rsidRPr="00E90AC2">
        <w:t>To adhere to the national health guidance within target countries, many key activities were not able to take place due to restricted travel and social gatherings. Delays have been exacerbated further by the lack of digital capacity of benefitting countries which means that the use of virtual platforms has been limited. Activities have therefore been delayed in the most part</w:t>
      </w:r>
      <w:r w:rsidR="70189F0B" w:rsidRPr="00E90AC2">
        <w:t xml:space="preserve"> </w:t>
      </w:r>
      <w:r w:rsidRPr="00E90AC2">
        <w:t xml:space="preserve">and are expected to take place later in the year. </w:t>
      </w:r>
      <w:r w:rsidR="4764E515" w:rsidRPr="70189F0B">
        <w:rPr>
          <w:color w:val="000000" w:themeColor="text1"/>
        </w:rPr>
        <w:t xml:space="preserve">Defra recommends that the IDB monitors the impacts of the COVID-19 pandemic on individual projects, taking </w:t>
      </w:r>
      <w:r w:rsidR="2A3BD380" w:rsidRPr="70189F0B">
        <w:rPr>
          <w:color w:val="000000" w:themeColor="text1"/>
        </w:rPr>
        <w:t>into account</w:t>
      </w:r>
      <w:r w:rsidR="4764E515" w:rsidRPr="70189F0B">
        <w:rPr>
          <w:color w:val="000000" w:themeColor="text1"/>
        </w:rPr>
        <w:t xml:space="preserve"> the context of each country of operation. The IDB should also conduct an assessment of how these delays to the delivery of implementing projects has impacted expected targets to date.</w:t>
      </w:r>
    </w:p>
    <w:p w14:paraId="30B37C60" w14:textId="77777777" w:rsidR="0024527A" w:rsidRPr="00971850" w:rsidRDefault="0024527A" w:rsidP="00D65DC0">
      <w:pPr>
        <w:spacing w:line="22" w:lineRule="atLeast"/>
        <w:jc w:val="both"/>
        <w:rPr>
          <w:b/>
          <w:color w:val="000000" w:themeColor="text1"/>
        </w:rPr>
      </w:pPr>
    </w:p>
    <w:p w14:paraId="45CDE04B" w14:textId="5BF036C6" w:rsidR="00D65DC0" w:rsidRDefault="00D65DC0" w:rsidP="00AF04EE">
      <w:pPr>
        <w:pStyle w:val="Heading3"/>
      </w:pPr>
      <w:r>
        <w:t>Action against Previous Year (20</w:t>
      </w:r>
      <w:r w:rsidR="00A33D33">
        <w:t>20</w:t>
      </w:r>
      <w:r w:rsidR="003E458E">
        <w:t>/2</w:t>
      </w:r>
      <w:r w:rsidR="00A33D33">
        <w:t>1</w:t>
      </w:r>
      <w:r>
        <w:t>) Recommendations</w:t>
      </w:r>
    </w:p>
    <w:p w14:paraId="0622846D" w14:textId="312BD995" w:rsidR="00D65DC0" w:rsidRDefault="00D65DC0" w:rsidP="00D65DC0">
      <w:pPr>
        <w:spacing w:line="22" w:lineRule="atLeast"/>
        <w:jc w:val="both"/>
      </w:pPr>
      <w:r>
        <w:t>Recommendations for the previous year were</w:t>
      </w:r>
      <w:r w:rsidR="003E458E">
        <w:t xml:space="preserve"> focused on four key areas</w:t>
      </w:r>
      <w:r>
        <w:t>:</w:t>
      </w:r>
    </w:p>
    <w:p w14:paraId="3FA8A204" w14:textId="30399BCE" w:rsidR="00756116" w:rsidRDefault="5BD74414" w:rsidP="4B7D6B8A">
      <w:pPr>
        <w:numPr>
          <w:ilvl w:val="0"/>
          <w:numId w:val="2"/>
        </w:numPr>
        <w:pBdr>
          <w:top w:val="nil"/>
          <w:left w:val="nil"/>
          <w:bottom w:val="nil"/>
          <w:right w:val="nil"/>
          <w:between w:val="nil"/>
        </w:pBdr>
        <w:spacing w:after="0" w:line="22" w:lineRule="atLeast"/>
        <w:ind w:left="709" w:hanging="284"/>
        <w:jc w:val="both"/>
        <w:rPr>
          <w:rFonts w:eastAsiaTheme="minorEastAsia"/>
        </w:rPr>
      </w:pPr>
      <w:r w:rsidRPr="4B7D6B8A">
        <w:rPr>
          <w:color w:val="1F4E79" w:themeColor="accent5" w:themeShade="80"/>
        </w:rPr>
        <w:t>Improved processes and products for project proposals</w:t>
      </w:r>
      <w:r w:rsidR="641BF52D" w:rsidRPr="4B7D6B8A">
        <w:rPr>
          <w:color w:val="1F4E79" w:themeColor="accent5" w:themeShade="80"/>
        </w:rPr>
        <w:t xml:space="preserve">. </w:t>
      </w:r>
      <w:r w:rsidR="2482B6B6">
        <w:t xml:space="preserve">In November 2020, the IDB provided Defra with an outline of the IDB’s approval and governance processes for project proposals. The workshop highlighted a misalignment between Defra’s expectations and the IDB’s internal processes. Ideally, projects under the UK </w:t>
      </w:r>
      <w:r w:rsidR="00141CFA">
        <w:t>BCF</w:t>
      </w:r>
      <w:r w:rsidR="2482B6B6">
        <w:t xml:space="preserve"> should begin implementation within 9 months of receiving Defra’s approval.</w:t>
      </w:r>
      <w:r w:rsidR="70CBB053">
        <w:t xml:space="preserve"> However, the workshop indicated that the IDB’s processes and procedures can take much longer. It can take up to 6 months following Defra’s approval of the project proposal to develop the fully formed Technical Consultation Document (TCD), receive </w:t>
      </w:r>
      <w:r w:rsidR="70CBB053">
        <w:lastRenderedPageBreak/>
        <w:t>IDB eligibility (i.e. secure non-objection letters from target countries) and approval from the IDB Board, and a further 15 months for projects to begin implementation.</w:t>
      </w:r>
      <w:r w:rsidR="208802D4">
        <w:t xml:space="preserve"> </w:t>
      </w:r>
      <w:r w:rsidR="70CBB053">
        <w:t xml:space="preserve"> </w:t>
      </w:r>
    </w:p>
    <w:p w14:paraId="44E357E1" w14:textId="77777777" w:rsidR="00756116" w:rsidRDefault="00756116" w:rsidP="00756116">
      <w:pPr>
        <w:pBdr>
          <w:top w:val="nil"/>
          <w:left w:val="nil"/>
          <w:bottom w:val="nil"/>
          <w:right w:val="nil"/>
          <w:between w:val="nil"/>
        </w:pBdr>
        <w:spacing w:after="0" w:line="22" w:lineRule="atLeast"/>
        <w:ind w:left="426"/>
        <w:jc w:val="both"/>
        <w:rPr>
          <w:color w:val="1F4E79"/>
        </w:rPr>
      </w:pPr>
    </w:p>
    <w:p w14:paraId="4ABD8CCB" w14:textId="7E956573" w:rsidR="00756116" w:rsidRDefault="2EE0BC07" w:rsidP="70189F0B">
      <w:pPr>
        <w:pBdr>
          <w:top w:val="nil"/>
          <w:left w:val="nil"/>
          <w:bottom w:val="nil"/>
          <w:right w:val="nil"/>
          <w:between w:val="nil"/>
        </w:pBdr>
        <w:spacing w:after="0" w:line="22" w:lineRule="atLeast"/>
        <w:ind w:left="709"/>
        <w:jc w:val="both"/>
      </w:pPr>
      <w:r>
        <w:t>Project proposals</w:t>
      </w:r>
      <w:r w:rsidR="51093E68">
        <w:t xml:space="preserve"> </w:t>
      </w:r>
      <w:r w:rsidR="315FA77C">
        <w:t xml:space="preserve">submitted to Defra for approval </w:t>
      </w:r>
      <w:r w:rsidR="51093E68">
        <w:t>must include</w:t>
      </w:r>
      <w:r>
        <w:t xml:space="preserve"> an indicative timeline and work plan toward approval showing when key activities are expected to be delivered</w:t>
      </w:r>
      <w:r w:rsidR="51093E68">
        <w:t xml:space="preserve"> </w:t>
      </w:r>
      <w:r>
        <w:t>and information on how projects align with relevant country/countries’ national strategies</w:t>
      </w:r>
      <w:r w:rsidR="315FA77C">
        <w:t xml:space="preserve">. To approve, Defra must be confident that a project aligns with the overarching goal of the UK </w:t>
      </w:r>
      <w:r w:rsidR="00141CFA">
        <w:t>BCF</w:t>
      </w:r>
      <w:r w:rsidR="315FA77C">
        <w:t xml:space="preserve"> and addresses key drivers and barriers within its target geography/geographies, while balancing this with the understanding that proposals are not yet fully formed when reviewed by Defra. One project proposal has been submitted to Defra </w:t>
      </w:r>
      <w:r w:rsidR="2849B014">
        <w:t xml:space="preserve">for review </w:t>
      </w:r>
      <w:r w:rsidR="315FA77C">
        <w:t xml:space="preserve">in 2020/21 and </w:t>
      </w:r>
      <w:r w:rsidR="2849B014">
        <w:t>Defra and the IDB continue to work together to prepare the proposal for official submission for approval. At the time of this Annual Review, some clarity continues to be missing, for example on land rights, assumptions, barriers, and links to the wider programme aim. Defra accepts that some information will not be known at this stage, and this should be clearly outlined in the project proposal along with an explanation on how any ‘unknowns’ can be managed. Further work is required for</w:t>
      </w:r>
      <w:r w:rsidR="2D758F32">
        <w:t xml:space="preserve"> </w:t>
      </w:r>
      <w:r w:rsidR="2849B014">
        <w:t>Defra to be confident that it will receive approval.</w:t>
      </w:r>
      <w:r w:rsidR="2C67CE91">
        <w:t xml:space="preserve"> </w:t>
      </w:r>
      <w:r w:rsidR="2849B014">
        <w:t>The most recent version of the proposal was submitted to Defra on 24 March 2021.</w:t>
      </w:r>
      <w:r w:rsidR="2C67CE91">
        <w:t xml:space="preserve"> </w:t>
      </w:r>
      <w:r w:rsidR="315FA77C">
        <w:t xml:space="preserve"> </w:t>
      </w:r>
    </w:p>
    <w:p w14:paraId="7BB24D5B" w14:textId="77777777" w:rsidR="00756116" w:rsidRDefault="00756116" w:rsidP="00756116">
      <w:pPr>
        <w:pBdr>
          <w:top w:val="nil"/>
          <w:left w:val="nil"/>
          <w:bottom w:val="nil"/>
          <w:right w:val="nil"/>
          <w:between w:val="nil"/>
        </w:pBdr>
        <w:spacing w:after="0" w:line="22" w:lineRule="atLeast"/>
        <w:ind w:left="426"/>
        <w:jc w:val="both"/>
      </w:pPr>
    </w:p>
    <w:p w14:paraId="753F01A4" w14:textId="7B7CBCD0" w:rsidR="00D65DC0" w:rsidRDefault="0E332EA0" w:rsidP="00FC7CF9">
      <w:pPr>
        <w:pBdr>
          <w:top w:val="nil"/>
          <w:left w:val="nil"/>
          <w:bottom w:val="nil"/>
          <w:right w:val="nil"/>
          <w:between w:val="nil"/>
        </w:pBdr>
        <w:spacing w:after="0" w:line="22" w:lineRule="atLeast"/>
        <w:ind w:left="709"/>
        <w:jc w:val="both"/>
      </w:pPr>
      <w:r>
        <w:t>Project milestones must also be provided within 3 months of agreeing the annual operating plan with executing agencies, as well as the expected results, timelines, and fully formed TCD</w:t>
      </w:r>
      <w:r w:rsidR="138C1F60">
        <w:t xml:space="preserve"> </w:t>
      </w:r>
      <w:r>
        <w:t>which is developed in collaboration with the executing agencies after receiving IDB eligibility</w:t>
      </w:r>
      <w:r w:rsidR="0D2DA196">
        <w:t>.</w:t>
      </w:r>
      <w:r>
        <w:t xml:space="preserve"> The IDB has provided </w:t>
      </w:r>
      <w:r w:rsidR="138C1F60">
        <w:t xml:space="preserve">these “approval packages” for </w:t>
      </w:r>
      <w:r w:rsidR="5F46835F">
        <w:t>three</w:t>
      </w:r>
      <w:r w:rsidR="5F46835F" w:rsidRPr="4B7D6B8A">
        <w:rPr>
          <w:color w:val="FF0000"/>
        </w:rPr>
        <w:t xml:space="preserve"> </w:t>
      </w:r>
      <w:r w:rsidR="138C1F60">
        <w:t>of the four eligible</w:t>
      </w:r>
      <w:r>
        <w:t xml:space="preserve"> projects (Panama</w:t>
      </w:r>
      <w:r w:rsidR="5F46835F">
        <w:t>, Jamaica,</w:t>
      </w:r>
      <w:r w:rsidR="138C1F60">
        <w:t xml:space="preserve"> </w:t>
      </w:r>
      <w:r>
        <w:t>and Colombia)</w:t>
      </w:r>
      <w:r w:rsidR="138C1F60">
        <w:t xml:space="preserve"> to date. The TCD package for the project in Colombia was provided in Spanish and a translated version will be required as soon as possible.</w:t>
      </w:r>
    </w:p>
    <w:p w14:paraId="5F4F9910" w14:textId="77777777" w:rsidR="00A333BE" w:rsidRDefault="00A333BE" w:rsidP="00A333BE">
      <w:pPr>
        <w:pBdr>
          <w:top w:val="nil"/>
          <w:left w:val="nil"/>
          <w:bottom w:val="nil"/>
          <w:right w:val="nil"/>
          <w:between w:val="nil"/>
        </w:pBdr>
        <w:spacing w:after="0" w:line="22" w:lineRule="atLeast"/>
        <w:jc w:val="both"/>
      </w:pPr>
    </w:p>
    <w:p w14:paraId="76ABB530" w14:textId="7A3266E3" w:rsidR="00017586" w:rsidRPr="00017586" w:rsidRDefault="39FA4F66" w:rsidP="00D33DD9">
      <w:pPr>
        <w:numPr>
          <w:ilvl w:val="0"/>
          <w:numId w:val="2"/>
        </w:numPr>
        <w:pBdr>
          <w:top w:val="nil"/>
          <w:left w:val="nil"/>
          <w:bottom w:val="nil"/>
          <w:right w:val="nil"/>
          <w:between w:val="nil"/>
        </w:pBdr>
        <w:spacing w:after="0" w:line="22" w:lineRule="atLeast"/>
        <w:ind w:left="709" w:hanging="284"/>
        <w:jc w:val="both"/>
        <w:rPr>
          <w:color w:val="FF0000"/>
        </w:rPr>
      </w:pPr>
      <w:r w:rsidRPr="00BE0961">
        <w:rPr>
          <w:color w:val="1F4E79"/>
        </w:rPr>
        <w:t>Improved communication between the IDB and Defra</w:t>
      </w:r>
      <w:r w:rsidR="4B3D4DC5" w:rsidRPr="00BE0961">
        <w:rPr>
          <w:color w:val="1F4E79"/>
        </w:rPr>
        <w:t xml:space="preserve">. </w:t>
      </w:r>
      <w:r w:rsidR="5841FDB7">
        <w:t>In the first quarter of 2021, IDB and Defra worked together to design</w:t>
      </w:r>
      <w:r w:rsidR="25B3F9A3">
        <w:t xml:space="preserve"> </w:t>
      </w:r>
      <w:r w:rsidR="6A2B0E5D">
        <w:t>a</w:t>
      </w:r>
      <w:r w:rsidR="25B3F9A3">
        <w:t xml:space="preserve"> Programme Management Manual</w:t>
      </w:r>
      <w:r w:rsidR="6A2B0E5D">
        <w:t xml:space="preserve"> (PMM). </w:t>
      </w:r>
      <w:r w:rsidR="609149CB">
        <w:t xml:space="preserve">This is a jointly owned document </w:t>
      </w:r>
      <w:r w:rsidR="3935A12F">
        <w:t xml:space="preserve">which was finalised in June 2021. </w:t>
      </w:r>
      <w:r w:rsidR="6A2B0E5D">
        <w:t xml:space="preserve">The aim of the PMM </w:t>
      </w:r>
      <w:r w:rsidR="7A646EC2">
        <w:t>is</w:t>
      </w:r>
      <w:r w:rsidR="6A2B0E5D">
        <w:t xml:space="preserve"> to align expectations and agree on critical programme management processes and milestones including project approval and implementation timelines; content of the Advisory Board and supplementary quarterly meetings (also known as bi-annual Checkpoints); deadlines for the submission of key monitoring and evaluation (M&amp;E) tools</w:t>
      </w:r>
      <w:r w:rsidR="00BC67C7">
        <w:rPr>
          <w:rStyle w:val="FootnoteReference"/>
        </w:rPr>
        <w:footnoteReference w:id="4"/>
      </w:r>
      <w:r w:rsidR="6A2B0E5D">
        <w:t>; and other programme management requirements such as the joint risk register and Project Completion Review.</w:t>
      </w:r>
      <w:r w:rsidR="3935A12F">
        <w:t xml:space="preserve"> The PMM should be reviewed on a regular basis and updated as required to ensure the document remain</w:t>
      </w:r>
      <w:r w:rsidR="5773AD9C">
        <w:t>s</w:t>
      </w:r>
      <w:r w:rsidR="3935A12F">
        <w:t xml:space="preserve"> relevant as projects are approved and progress through implementation and execution; and responds to any risks and issues that may occur (see Annex A for more information).</w:t>
      </w:r>
    </w:p>
    <w:p w14:paraId="6B3C45E1" w14:textId="77777777" w:rsidR="00017586" w:rsidRDefault="00017586" w:rsidP="00017586">
      <w:pPr>
        <w:pBdr>
          <w:top w:val="nil"/>
          <w:left w:val="nil"/>
          <w:bottom w:val="nil"/>
          <w:right w:val="nil"/>
          <w:between w:val="nil"/>
        </w:pBdr>
        <w:spacing w:after="0" w:line="22" w:lineRule="atLeast"/>
        <w:ind w:left="709"/>
        <w:jc w:val="both"/>
      </w:pPr>
    </w:p>
    <w:p w14:paraId="260509B5" w14:textId="1C5B476E" w:rsidR="00BE0961" w:rsidRPr="00A333BE" w:rsidRDefault="16E8CEB7" w:rsidP="00017586">
      <w:pPr>
        <w:pBdr>
          <w:top w:val="nil"/>
          <w:left w:val="nil"/>
          <w:bottom w:val="nil"/>
          <w:right w:val="nil"/>
          <w:between w:val="nil"/>
        </w:pBdr>
        <w:spacing w:after="0" w:line="22" w:lineRule="atLeast"/>
        <w:ind w:left="709"/>
        <w:jc w:val="both"/>
        <w:rPr>
          <w:color w:val="FF0000"/>
        </w:rPr>
      </w:pPr>
      <w:r>
        <w:t xml:space="preserve">The IDB have responded to a variety of requests quickly. However, there have been a number of instances where delays and updates have not been shared with Defra </w:t>
      </w:r>
      <w:r w:rsidR="7938E2DB">
        <w:t>in a timely manner</w:t>
      </w:r>
      <w:r>
        <w:t>.</w:t>
      </w:r>
      <w:r w:rsidR="3EB207E9">
        <w:t xml:space="preserve"> For example, Defra was not made aware of the extent of delays caused by the impacts of the COVID-19 pandemic.</w:t>
      </w:r>
      <w:r w:rsidR="303BE53E">
        <w:t xml:space="preserve"> </w:t>
      </w:r>
      <w:r w:rsidR="2CFB7722">
        <w:t xml:space="preserve">At times, communication has also been unclear and/or lacked required </w:t>
      </w:r>
      <w:r w:rsidR="65E3D8BE">
        <w:t xml:space="preserve">information </w:t>
      </w:r>
      <w:r w:rsidR="2CFB7722">
        <w:t xml:space="preserve">(see Section </w:t>
      </w:r>
      <w:r w:rsidR="3EB207E9">
        <w:t>3.3.1</w:t>
      </w:r>
      <w:r w:rsidR="2CFB7722">
        <w:t xml:space="preserve"> for more detail). In addition, quarterly meetings to discuss progress, risks and issues have been recommended but not implemented.</w:t>
      </w:r>
      <w:r w:rsidR="303BE53E">
        <w:t xml:space="preserve"> </w:t>
      </w:r>
      <w:r w:rsidR="00D14D79">
        <w:t xml:space="preserve">These </w:t>
      </w:r>
      <w:r w:rsidR="303BE53E">
        <w:t>Advisory Board</w:t>
      </w:r>
      <w:r w:rsidR="00D14D79">
        <w:t>s</w:t>
      </w:r>
      <w:r w:rsidR="303BE53E">
        <w:t xml:space="preserve"> and Checkpoints have been postponed due to little progress made on vital products and </w:t>
      </w:r>
      <w:r w:rsidR="303BE53E" w:rsidRPr="444D1C45">
        <w:rPr>
          <w:rStyle w:val="CommentReference"/>
          <w:sz w:val="22"/>
          <w:szCs w:val="22"/>
        </w:rPr>
        <w:t>p</w:t>
      </w:r>
      <w:r w:rsidR="303BE53E">
        <w:t xml:space="preserve">roject implementation. Instead, open items have been discussed at regular meetings which have taken place on an ad hoc basis, and at times, </w:t>
      </w:r>
      <w:r w:rsidR="65E3D8BE">
        <w:t>up to weekly</w:t>
      </w:r>
      <w:r w:rsidR="303BE53E">
        <w:t xml:space="preserve">. </w:t>
      </w:r>
      <w:r w:rsidR="2CFB7722">
        <w:t>Defra is keen to establish these progress updates particularly as projects are entering implementation and these are a key tool for monitoring delivery and financial progress and risk.</w:t>
      </w:r>
    </w:p>
    <w:p w14:paraId="07E71247" w14:textId="77777777" w:rsidR="00A333BE" w:rsidRPr="00BE0961" w:rsidRDefault="00A333BE" w:rsidP="00FC7CF9">
      <w:pPr>
        <w:pBdr>
          <w:top w:val="nil"/>
          <w:left w:val="nil"/>
          <w:bottom w:val="nil"/>
          <w:right w:val="nil"/>
          <w:between w:val="nil"/>
        </w:pBdr>
        <w:spacing w:after="0" w:line="22" w:lineRule="atLeast"/>
        <w:ind w:left="709"/>
        <w:jc w:val="both"/>
        <w:rPr>
          <w:color w:val="FF0000"/>
        </w:rPr>
      </w:pPr>
    </w:p>
    <w:p w14:paraId="5065D43F" w14:textId="5F959C1C" w:rsidR="00BE0961" w:rsidRPr="00350900" w:rsidRDefault="609149CB" w:rsidP="00D33DD9">
      <w:pPr>
        <w:numPr>
          <w:ilvl w:val="0"/>
          <w:numId w:val="2"/>
        </w:numPr>
        <w:pBdr>
          <w:top w:val="nil"/>
          <w:left w:val="nil"/>
          <w:bottom w:val="nil"/>
          <w:right w:val="nil"/>
          <w:between w:val="nil"/>
        </w:pBdr>
        <w:spacing w:after="0" w:line="22" w:lineRule="atLeast"/>
        <w:ind w:left="709" w:hanging="284"/>
        <w:jc w:val="both"/>
      </w:pPr>
      <w:r w:rsidRPr="70189F0B">
        <w:rPr>
          <w:color w:val="1F4E79" w:themeColor="accent5" w:themeShade="80"/>
        </w:rPr>
        <w:t>Improved monitoring, evaluation and learning products and processes.</w:t>
      </w:r>
      <w:r w:rsidR="501FF2C9" w:rsidRPr="70189F0B">
        <w:rPr>
          <w:color w:val="000000" w:themeColor="text1"/>
        </w:rPr>
        <w:t xml:space="preserve"> </w:t>
      </w:r>
      <w:r w:rsidR="09A7D935" w:rsidRPr="70189F0B">
        <w:rPr>
          <w:color w:val="000000" w:themeColor="text1"/>
        </w:rPr>
        <w:t xml:space="preserve">To date, guidance and advice provided by Defra on </w:t>
      </w:r>
      <w:r w:rsidR="1564FBD6" w:rsidRPr="70189F0B">
        <w:rPr>
          <w:color w:val="000000" w:themeColor="text1"/>
        </w:rPr>
        <w:t xml:space="preserve">MEL requirements for ICF programmes has not been sufficiently addressed and/or </w:t>
      </w:r>
      <w:r w:rsidR="0ACE2E9B" w:rsidRPr="70189F0B">
        <w:rPr>
          <w:color w:val="000000" w:themeColor="text1"/>
        </w:rPr>
        <w:t>incorporated into key M&amp;E products</w:t>
      </w:r>
      <w:r w:rsidR="1564FBD6" w:rsidRPr="70189F0B">
        <w:rPr>
          <w:color w:val="000000" w:themeColor="text1"/>
        </w:rPr>
        <w:t>. Defra has</w:t>
      </w:r>
      <w:r w:rsidR="0ACE2E9B" w:rsidRPr="70189F0B">
        <w:rPr>
          <w:color w:val="000000" w:themeColor="text1"/>
        </w:rPr>
        <w:t xml:space="preserve"> therefore been unable to approve the programme</w:t>
      </w:r>
      <w:r w:rsidR="1564FBD6" w:rsidRPr="70189F0B">
        <w:rPr>
          <w:color w:val="000000" w:themeColor="text1"/>
        </w:rPr>
        <w:t xml:space="preserve"> </w:t>
      </w:r>
      <w:r w:rsidR="0ACE2E9B" w:rsidRPr="70189F0B">
        <w:rPr>
          <w:color w:val="000000" w:themeColor="text1"/>
        </w:rPr>
        <w:t xml:space="preserve">level logical framework and Theory of Change. Continued quality issues and delays in finalising these products resulted in the programme being put on hold </w:t>
      </w:r>
      <w:r w:rsidR="00D14D79">
        <w:rPr>
          <w:color w:val="000000" w:themeColor="text1"/>
        </w:rPr>
        <w:t xml:space="preserve">temporarily </w:t>
      </w:r>
      <w:r w:rsidR="0ACE2E9B" w:rsidRPr="70189F0B">
        <w:rPr>
          <w:color w:val="000000" w:themeColor="text1"/>
        </w:rPr>
        <w:t>in June 2021 while Defra escalated issues internally.</w:t>
      </w:r>
      <w:r w:rsidR="00350900">
        <w:rPr>
          <w:color w:val="000000" w:themeColor="text1"/>
        </w:rPr>
        <w:t xml:space="preserve"> </w:t>
      </w:r>
    </w:p>
    <w:p w14:paraId="6289A196" w14:textId="12FFB663" w:rsidR="00350900" w:rsidRDefault="00350900" w:rsidP="00350900">
      <w:pPr>
        <w:pBdr>
          <w:top w:val="nil"/>
          <w:left w:val="nil"/>
          <w:bottom w:val="nil"/>
          <w:right w:val="nil"/>
          <w:between w:val="nil"/>
        </w:pBdr>
        <w:spacing w:after="0" w:line="22" w:lineRule="atLeast"/>
        <w:jc w:val="both"/>
      </w:pPr>
    </w:p>
    <w:p w14:paraId="7704A2CB" w14:textId="1C6B4DE3" w:rsidR="00350900" w:rsidRPr="00A333BE" w:rsidRDefault="00350900" w:rsidP="00350900">
      <w:pPr>
        <w:pBdr>
          <w:top w:val="nil"/>
          <w:left w:val="nil"/>
          <w:bottom w:val="nil"/>
          <w:right w:val="nil"/>
          <w:between w:val="nil"/>
        </w:pBdr>
        <w:spacing w:after="0" w:line="22" w:lineRule="atLeast"/>
        <w:ind w:left="709"/>
        <w:jc w:val="both"/>
      </w:pPr>
      <w:r>
        <w:t xml:space="preserve">Defra and the IDB agreed to pause last year’s recommendation to finalise the Evaluation Plan within 6 months of the 2019/20 Annual Review. This was mutually agreed to allow Defra and the IDB to focus on developing and finalising the programme-level logical framework and Theory of Change. </w:t>
      </w:r>
      <w:r w:rsidR="000968CD">
        <w:t>As such, the Evaluation Plan is not accounted for in this year’s assessment of the programme. Defra recommends that t</w:t>
      </w:r>
      <w:r>
        <w:t>his item should be re-</w:t>
      </w:r>
      <w:r w:rsidR="000968CD">
        <w:t>opened,</w:t>
      </w:r>
      <w:r>
        <w:t xml:space="preserve"> and the Evaluation Plan finalised to include further detail on methodologies, baselines, data collection, work plans, and costs within 6 months of being re-opened.</w:t>
      </w:r>
    </w:p>
    <w:p w14:paraId="23C2CAC9" w14:textId="77777777" w:rsidR="00A333BE" w:rsidRPr="00BE0961" w:rsidRDefault="00A333BE" w:rsidP="00A333BE">
      <w:pPr>
        <w:pBdr>
          <w:top w:val="nil"/>
          <w:left w:val="nil"/>
          <w:bottom w:val="nil"/>
          <w:right w:val="nil"/>
          <w:between w:val="nil"/>
        </w:pBdr>
        <w:spacing w:after="0" w:line="22" w:lineRule="atLeast"/>
        <w:jc w:val="both"/>
      </w:pPr>
    </w:p>
    <w:p w14:paraId="387933D0" w14:textId="75991243" w:rsidR="00F83C59" w:rsidRDefault="609149CB" w:rsidP="00D33DD9">
      <w:pPr>
        <w:numPr>
          <w:ilvl w:val="0"/>
          <w:numId w:val="2"/>
        </w:numPr>
        <w:pBdr>
          <w:top w:val="nil"/>
          <w:left w:val="nil"/>
          <w:bottom w:val="nil"/>
          <w:right w:val="nil"/>
          <w:between w:val="nil"/>
        </w:pBdr>
        <w:spacing w:line="22" w:lineRule="atLeast"/>
        <w:ind w:left="709" w:hanging="284"/>
        <w:jc w:val="both"/>
      </w:pPr>
      <w:r w:rsidRPr="70189F0B">
        <w:rPr>
          <w:color w:val="1F4E79" w:themeColor="accent5" w:themeShade="80"/>
        </w:rPr>
        <w:t>Improved internal engagement and ways of working within Defra.</w:t>
      </w:r>
      <w:r>
        <w:t xml:space="preserve"> </w:t>
      </w:r>
      <w:r w:rsidR="54950FFC">
        <w:t xml:space="preserve">Defra’s policy team has changed over the last year and handovers have been critical to minimising disruption to the operation of the UK </w:t>
      </w:r>
      <w:r w:rsidR="00141CFA">
        <w:t>BCF</w:t>
      </w:r>
      <w:r w:rsidR="54950FFC">
        <w:t xml:space="preserve">. Handovers have ensured overlap between current and new Programme Leads to </w:t>
      </w:r>
      <w:r w:rsidR="242235F0">
        <w:t xml:space="preserve">allow </w:t>
      </w:r>
      <w:r w:rsidR="00D14D79">
        <w:t>the</w:t>
      </w:r>
      <w:r w:rsidR="242235F0">
        <w:t xml:space="preserve"> current</w:t>
      </w:r>
      <w:r w:rsidR="29A1B08C">
        <w:t xml:space="preserve"> </w:t>
      </w:r>
      <w:r w:rsidR="242235F0">
        <w:t>P</w:t>
      </w:r>
      <w:r w:rsidR="29A1B08C">
        <w:t xml:space="preserve">rogramme </w:t>
      </w:r>
      <w:r w:rsidR="242235F0">
        <w:t>L</w:t>
      </w:r>
      <w:r w:rsidR="29A1B08C">
        <w:t>ead</w:t>
      </w:r>
      <w:r w:rsidR="242235F0">
        <w:t xml:space="preserve"> to bring new policy teams up to date on key action points and </w:t>
      </w:r>
      <w:r w:rsidR="54950FFC">
        <w:t>introduce the IDB team and new P</w:t>
      </w:r>
      <w:r w:rsidR="0F80CC7F">
        <w:t xml:space="preserve">rogramme </w:t>
      </w:r>
      <w:r w:rsidR="54950FFC">
        <w:t>L</w:t>
      </w:r>
      <w:r w:rsidR="0F80CC7F">
        <w:t>ead</w:t>
      </w:r>
      <w:r w:rsidR="242235F0">
        <w:t>.</w:t>
      </w:r>
      <w:r w:rsidR="54950FFC">
        <w:t xml:space="preserve"> This aims for a smooth transition between policy teams while recognising that the UK </w:t>
      </w:r>
      <w:r w:rsidR="00141CFA">
        <w:t>BCF</w:t>
      </w:r>
      <w:r w:rsidR="54950FFC">
        <w:t xml:space="preserve"> is a complex programme in terms of delivery and processes.</w:t>
      </w:r>
      <w:r w:rsidR="0156E05C">
        <w:t xml:space="preserve"> </w:t>
      </w:r>
    </w:p>
    <w:p w14:paraId="5B89EC3E" w14:textId="3A1248C7" w:rsidR="00AD34D5" w:rsidRDefault="75179BF2" w:rsidP="00FC7CF9">
      <w:pPr>
        <w:pBdr>
          <w:top w:val="nil"/>
          <w:left w:val="nil"/>
          <w:bottom w:val="nil"/>
          <w:right w:val="nil"/>
          <w:between w:val="nil"/>
        </w:pBdr>
        <w:spacing w:line="22" w:lineRule="atLeast"/>
        <w:ind w:left="709"/>
        <w:jc w:val="both"/>
      </w:pPr>
      <w:r>
        <w:t xml:space="preserve">The 2019/20 Annual Review recommended Defra to agree with other government departments to establish a cross government Working Group by November 2020. This aimed to enable HMG to identify common issues and address these jointly where appropriate, ensuring a more </w:t>
      </w:r>
      <w:r w:rsidR="00D14D79">
        <w:t xml:space="preserve">cohesive and </w:t>
      </w:r>
      <w:r>
        <w:t>streamlined approach</w:t>
      </w:r>
      <w:r w:rsidR="00D14D79">
        <w:t xml:space="preserve"> to concerns and resolutions</w:t>
      </w:r>
      <w:r>
        <w:t xml:space="preserve">. While informal conversations between policy teams have taken place over the last year to better understand ways of working with the IDB and issues experienced across policy teams, no formal Working Group has been established. This Working Group should be established before the next Annual Review to ensure a systematic way of capturing and sharing lessons learned across policy teams working with the IDB and ensure continuity across advice provided by HMG to the IDB. Further improvements to internal coordination within HMG will enable policy teams to fully recognise the context of the UK </w:t>
      </w:r>
      <w:r w:rsidR="00141CFA">
        <w:t>BCF</w:t>
      </w:r>
      <w:r>
        <w:t xml:space="preserve"> within the strategic HMG-IDB portfolio. </w:t>
      </w:r>
    </w:p>
    <w:p w14:paraId="0270C85E" w14:textId="0C619F55" w:rsidR="4276FBD0" w:rsidRDefault="4276FBD0" w:rsidP="4276FBD0">
      <w:pPr>
        <w:spacing w:line="22" w:lineRule="atLeast"/>
        <w:ind w:left="709"/>
        <w:jc w:val="both"/>
      </w:pPr>
      <w:r>
        <w:t>The 2019/20 Annual Review also recommended greater communication between the Defra policy team and the UK Executive Director to the IDB to support the management of programme performance. The new policy team initiated</w:t>
      </w:r>
      <w:r w:rsidR="00345434">
        <w:t xml:space="preserve"> this</w:t>
      </w:r>
      <w:r>
        <w:t xml:space="preserve"> engagement in June 2021 and Defra recommends that this relationship is strengthened over the next year.</w:t>
      </w:r>
    </w:p>
    <w:p w14:paraId="19FA0137" w14:textId="4B3CC3B2" w:rsidR="00D65DC0" w:rsidRDefault="00D65DC0" w:rsidP="00AF04EE">
      <w:pPr>
        <w:pStyle w:val="Heading3"/>
      </w:pPr>
      <w:bookmarkStart w:id="4" w:name="_heading=h.48pi1tg" w:colFirst="0" w:colLast="0"/>
      <w:bookmarkEnd w:id="4"/>
      <w:r>
        <w:t>Recommendations for the Year Ahead (2021</w:t>
      </w:r>
      <w:r w:rsidR="00A33D33">
        <w:t>/22</w:t>
      </w:r>
      <w:r>
        <w:t>)</w:t>
      </w:r>
    </w:p>
    <w:p w14:paraId="00EA2EB7" w14:textId="008A8C66" w:rsidR="00884562" w:rsidRDefault="00D65DC0" w:rsidP="00884562">
      <w:pPr>
        <w:spacing w:line="22" w:lineRule="atLeast"/>
        <w:jc w:val="both"/>
      </w:pPr>
      <w:r>
        <w:t>Recommendations for the year ahead focus on</w:t>
      </w:r>
      <w:r w:rsidR="00884562">
        <w:t xml:space="preserve"> improving programme performance and the key products and processes required to achieve this</w:t>
      </w:r>
      <w:r w:rsidR="00362BFA">
        <w:t>.</w:t>
      </w:r>
      <w:r w:rsidR="004A3E5A">
        <w:t xml:space="preserve"> </w:t>
      </w:r>
      <w:r w:rsidR="00DC039F">
        <w:t>Many of the recommendations from last year remain relevant</w:t>
      </w:r>
      <w:r w:rsidR="00A363E4">
        <w:t>. An overview of recommendations is provided below while</w:t>
      </w:r>
      <w:r w:rsidR="00DC039F">
        <w:t xml:space="preserve"> </w:t>
      </w:r>
      <w:r w:rsidR="00A33D33">
        <w:t>a full inventory of</w:t>
      </w:r>
      <w:r w:rsidR="004A3E5A">
        <w:t xml:space="preserve"> detailed recommendations </w:t>
      </w:r>
      <w:r w:rsidR="00A33D33">
        <w:t>is</w:t>
      </w:r>
      <w:r w:rsidR="004A3E5A">
        <w:t xml:space="preserve"> provided in </w:t>
      </w:r>
      <w:r w:rsidR="004A3E5A" w:rsidRPr="00971850">
        <w:t xml:space="preserve">Annex </w:t>
      </w:r>
      <w:r w:rsidR="00971850">
        <w:t>A</w:t>
      </w:r>
      <w:r w:rsidR="004A3E5A">
        <w:t>.</w:t>
      </w:r>
      <w:r w:rsidR="001B0EC6">
        <w:t xml:space="preserve"> </w:t>
      </w:r>
    </w:p>
    <w:p w14:paraId="4E6FB614" w14:textId="1FBF40F7" w:rsidR="00F83C59" w:rsidRDefault="00F83C59" w:rsidP="00884562">
      <w:pPr>
        <w:spacing w:line="22" w:lineRule="atLeast"/>
        <w:jc w:val="both"/>
      </w:pPr>
      <w:r w:rsidRPr="00F83C59">
        <w:t>Section 7</w:t>
      </w:r>
      <w:r>
        <w:t>.2</w:t>
      </w:r>
      <w:r w:rsidRPr="00F83C59">
        <w:t xml:space="preserve"> of the Administrative Agreement for the UK </w:t>
      </w:r>
      <w:r w:rsidR="00141CFA">
        <w:t>BCF</w:t>
      </w:r>
      <w:r w:rsidRPr="00F83C59">
        <w:t>, signed by Defra and the IDB, stipulates that</w:t>
      </w:r>
      <w:r>
        <w:t>:</w:t>
      </w:r>
      <w:r w:rsidRPr="00F83C59">
        <w:t xml:space="preserve"> </w:t>
      </w:r>
    </w:p>
    <w:p w14:paraId="410E25D5" w14:textId="3AD3123E" w:rsidR="00F83C59" w:rsidRDefault="00F83C59" w:rsidP="00F83C59">
      <w:pPr>
        <w:spacing w:line="22" w:lineRule="atLeast"/>
        <w:ind w:left="720"/>
        <w:jc w:val="both"/>
      </w:pPr>
      <w:r w:rsidRPr="00F83C59">
        <w:rPr>
          <w:i/>
          <w:iCs/>
        </w:rPr>
        <w:t xml:space="preserve">‘Should the Fund have an overall score of B or below in the Donor Annual Review […] for two consecutive years and/or should there be, in the Donor’s opinion, significant delays in delivering against milestones set out in the Project Document, Defra will consult with the IDB </w:t>
      </w:r>
      <w:r w:rsidRPr="00F83C59">
        <w:rPr>
          <w:i/>
          <w:iCs/>
        </w:rPr>
        <w:lastRenderedPageBreak/>
        <w:t>as to how to rectify the situation. As part of these consultations, Defra may send a written notice to the IDB requesting that the IDB provide to Defra a plan of action to remedy the delay in delivery against milestones (a “Remedial Action Plan”) for its approval. The Remedial Action Plan shall set out the implementing measures the IDB proposes to mitigate any delays or improve performance.’</w:t>
      </w:r>
    </w:p>
    <w:p w14:paraId="1C5D73CC" w14:textId="3170692D" w:rsidR="004A3E5A" w:rsidRDefault="00DC039F" w:rsidP="00AE50BE">
      <w:pPr>
        <w:spacing w:before="240" w:line="22" w:lineRule="atLeast"/>
        <w:jc w:val="both"/>
      </w:pPr>
      <w:r>
        <w:t>As such, a key recommendation for the year ahead is for the IDB and Defra to agree and implement an</w:t>
      </w:r>
      <w:r w:rsidR="00A50441">
        <w:t xml:space="preserve"> initial light-touch</w:t>
      </w:r>
      <w:r>
        <w:t xml:space="preserve"> Action Plan</w:t>
      </w:r>
      <w:r w:rsidR="00FD4074">
        <w:t xml:space="preserve"> </w:t>
      </w:r>
      <w:r w:rsidR="00A50441">
        <w:t xml:space="preserve">identifying key priority tasks and associated timeframes </w:t>
      </w:r>
      <w:r>
        <w:t>to</w:t>
      </w:r>
      <w:r w:rsidR="001B0EC6">
        <w:t xml:space="preserve"> </w:t>
      </w:r>
      <w:r w:rsidR="00A50441">
        <w:t xml:space="preserve">put the programme back on track. This should be reviewed on a regular basis and, if Defra considers it appropriate, be followed by a detailed Remedial Plan outlining a detailed work plan and information on what actions will be taken to ensure delivery (i.e. </w:t>
      </w:r>
      <w:r w:rsidR="00A50441" w:rsidRPr="1F047E0C">
        <w:rPr>
          <w:i/>
          <w:iCs/>
        </w:rPr>
        <w:t xml:space="preserve">how </w:t>
      </w:r>
      <w:r w:rsidR="00A50441">
        <w:t xml:space="preserve">this will be delivered as well as </w:t>
      </w:r>
      <w:r w:rsidR="00A50441" w:rsidRPr="1F047E0C">
        <w:rPr>
          <w:i/>
          <w:iCs/>
        </w:rPr>
        <w:t xml:space="preserve">what </w:t>
      </w:r>
      <w:r w:rsidR="00A50441">
        <w:t xml:space="preserve">will be delivered). This will </w:t>
      </w:r>
      <w:r>
        <w:t>ensure the delivery of key products which are essential to meet ICF requirements and standards</w:t>
      </w:r>
      <w:r w:rsidR="001B0EC6">
        <w:t xml:space="preserve"> and improve the overall performance of the programme</w:t>
      </w:r>
      <w:r>
        <w:t>.</w:t>
      </w:r>
      <w:r w:rsidR="00A33D33">
        <w:t xml:space="preserve"> </w:t>
      </w:r>
      <w:r w:rsidR="00FD4074">
        <w:t>In addition, the IDB Technical Team should work closely with their internal MEL expert to deliver and finalise key M&amp;E products imminently.</w:t>
      </w:r>
    </w:p>
    <w:p w14:paraId="69FFE6C4" w14:textId="7B6464A8" w:rsidR="001B0EC6" w:rsidRDefault="00A363E4" w:rsidP="00AE50BE">
      <w:pPr>
        <w:spacing w:before="240" w:line="22" w:lineRule="atLeast"/>
        <w:jc w:val="both"/>
      </w:pPr>
      <w:r>
        <w:t xml:space="preserve">Further </w:t>
      </w:r>
      <w:r w:rsidR="001B0EC6">
        <w:t xml:space="preserve">recommendations </w:t>
      </w:r>
      <w:r>
        <w:t xml:space="preserve">focus </w:t>
      </w:r>
      <w:r w:rsidR="001B0EC6">
        <w:t>on programme and project management, monitoring and evaluation, and communication</w:t>
      </w:r>
      <w:r>
        <w:t xml:space="preserve"> (see Table 1 below)</w:t>
      </w:r>
      <w:r w:rsidR="001B0EC6">
        <w:t>.</w:t>
      </w:r>
    </w:p>
    <w:p w14:paraId="4E66AC9E" w14:textId="7FBC49E8" w:rsidR="471CE20B" w:rsidRDefault="471CE20B" w:rsidP="471CE20B">
      <w:pPr>
        <w:spacing w:before="240" w:line="22" w:lineRule="atLeast"/>
        <w:jc w:val="both"/>
        <w:rPr>
          <w:i/>
          <w:iCs/>
          <w:u w:val="single"/>
        </w:rPr>
      </w:pPr>
      <w:r w:rsidRPr="471CE20B">
        <w:rPr>
          <w:u w:val="single"/>
        </w:rPr>
        <w:t xml:space="preserve">Table 1: </w:t>
      </w:r>
      <w:r w:rsidRPr="471CE20B">
        <w:rPr>
          <w:i/>
          <w:iCs/>
          <w:u w:val="single"/>
        </w:rPr>
        <w:t>Overview of Recommendations for the Year Ahead</w:t>
      </w:r>
    </w:p>
    <w:tbl>
      <w:tblPr>
        <w:tblStyle w:val="GridTable4-Accent5"/>
        <w:tblW w:w="0" w:type="auto"/>
        <w:tblLayout w:type="fixed"/>
        <w:tblLook w:val="04A0" w:firstRow="1" w:lastRow="0" w:firstColumn="1" w:lastColumn="0" w:noHBand="0" w:noVBand="1"/>
      </w:tblPr>
      <w:tblGrid>
        <w:gridCol w:w="3000"/>
        <w:gridCol w:w="3000"/>
        <w:gridCol w:w="3000"/>
      </w:tblGrid>
      <w:tr w:rsidR="471CE20B" w14:paraId="534C1841" w14:textId="77777777" w:rsidTr="4521ED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2D8346AF" w14:textId="15636574" w:rsidR="471CE20B" w:rsidRDefault="471CE20B">
            <w:r w:rsidRPr="471CE20B">
              <w:rPr>
                <w:lang w:val="en-US"/>
              </w:rPr>
              <w:t>Programme and Project Management</w:t>
            </w:r>
          </w:p>
        </w:tc>
        <w:tc>
          <w:tcPr>
            <w:tcW w:w="3000" w:type="dxa"/>
          </w:tcPr>
          <w:p w14:paraId="2AF857E5" w14:textId="25EB1D37" w:rsidR="471CE20B" w:rsidRDefault="471CE20B">
            <w:pPr>
              <w:cnfStyle w:val="100000000000" w:firstRow="1" w:lastRow="0" w:firstColumn="0" w:lastColumn="0" w:oddVBand="0" w:evenVBand="0" w:oddHBand="0" w:evenHBand="0" w:firstRowFirstColumn="0" w:firstRowLastColumn="0" w:lastRowFirstColumn="0" w:lastRowLastColumn="0"/>
            </w:pPr>
            <w:r w:rsidRPr="471CE20B">
              <w:rPr>
                <w:lang w:val="en-US"/>
              </w:rPr>
              <w:t>Monitoring and Evaluation</w:t>
            </w:r>
          </w:p>
        </w:tc>
        <w:tc>
          <w:tcPr>
            <w:tcW w:w="3000" w:type="dxa"/>
          </w:tcPr>
          <w:p w14:paraId="799F7527" w14:textId="6D63380A" w:rsidR="471CE20B" w:rsidRDefault="471CE20B">
            <w:pPr>
              <w:cnfStyle w:val="100000000000" w:firstRow="1" w:lastRow="0" w:firstColumn="0" w:lastColumn="0" w:oddVBand="0" w:evenVBand="0" w:oddHBand="0" w:evenHBand="0" w:firstRowFirstColumn="0" w:firstRowLastColumn="0" w:lastRowFirstColumn="0" w:lastRowLastColumn="0"/>
            </w:pPr>
            <w:r w:rsidRPr="471CE20B">
              <w:rPr>
                <w:lang w:val="en-US"/>
              </w:rPr>
              <w:t>Communication</w:t>
            </w:r>
          </w:p>
        </w:tc>
      </w:tr>
      <w:tr w:rsidR="471CE20B" w14:paraId="52338D3C" w14:textId="77777777" w:rsidTr="4521E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6DDDA073" w14:textId="6743F917" w:rsidR="471CE20B" w:rsidRPr="009A70AF" w:rsidRDefault="471CE20B" w:rsidP="444D1C45">
            <w:pPr>
              <w:rPr>
                <w:b w:val="0"/>
                <w:bCs w:val="0"/>
              </w:rPr>
            </w:pPr>
            <w:r w:rsidRPr="444D1C45">
              <w:rPr>
                <w:b w:val="0"/>
                <w:bCs w:val="0"/>
                <w:lang w:val="en-US"/>
              </w:rPr>
              <w:t>1. All recommendations listed below should be placed into a ‘recommendations tracker’ which will be reviewed and updated on a regular basis.</w:t>
            </w:r>
          </w:p>
        </w:tc>
        <w:tc>
          <w:tcPr>
            <w:tcW w:w="3000" w:type="dxa"/>
          </w:tcPr>
          <w:p w14:paraId="6841377D" w14:textId="02EA9651" w:rsidR="471CE20B" w:rsidRDefault="471CE20B" w:rsidP="444D1C45">
            <w:pPr>
              <w:cnfStyle w:val="000000100000" w:firstRow="0" w:lastRow="0" w:firstColumn="0" w:lastColumn="0" w:oddVBand="0" w:evenVBand="0" w:oddHBand="1" w:evenHBand="0" w:firstRowFirstColumn="0" w:firstRowLastColumn="0" w:lastRowFirstColumn="0" w:lastRowLastColumn="0"/>
            </w:pPr>
            <w:r>
              <w:t xml:space="preserve">9. </w:t>
            </w:r>
            <w:r w:rsidR="2A2E531E">
              <w:t>IDB programme team hires a dedicated MEL expert for the UK BCF to deliver essential M&amp;E products which are a requirement of ICF programmes.</w:t>
            </w:r>
          </w:p>
        </w:tc>
        <w:tc>
          <w:tcPr>
            <w:tcW w:w="3000" w:type="dxa"/>
          </w:tcPr>
          <w:p w14:paraId="1005F8AC" w14:textId="320A027A" w:rsidR="471CE20B" w:rsidRDefault="471CE20B" w:rsidP="444D1C45">
            <w:pPr>
              <w:cnfStyle w:val="000000100000" w:firstRow="0" w:lastRow="0" w:firstColumn="0" w:lastColumn="0" w:oddVBand="0" w:evenVBand="0" w:oddHBand="1" w:evenHBand="0" w:firstRowFirstColumn="0" w:firstRowLastColumn="0" w:lastRowFirstColumn="0" w:lastRowLastColumn="0"/>
            </w:pPr>
            <w:r w:rsidRPr="444D1C45">
              <w:t xml:space="preserve">19. </w:t>
            </w:r>
            <w:r w:rsidR="444D1C45" w:rsidRPr="444D1C45">
              <w:t>IDB and Defra continue to improve communication, ensuring this is clear and timely</w:t>
            </w:r>
            <w:r w:rsidRPr="444D1C45">
              <w:t>.</w:t>
            </w:r>
          </w:p>
        </w:tc>
      </w:tr>
      <w:tr w:rsidR="471CE20B" w14:paraId="40BA2084" w14:textId="77777777" w:rsidTr="4521EDEC">
        <w:tc>
          <w:tcPr>
            <w:cnfStyle w:val="001000000000" w:firstRow="0" w:lastRow="0" w:firstColumn="1" w:lastColumn="0" w:oddVBand="0" w:evenVBand="0" w:oddHBand="0" w:evenHBand="0" w:firstRowFirstColumn="0" w:firstRowLastColumn="0" w:lastRowFirstColumn="0" w:lastRowLastColumn="0"/>
            <w:tcW w:w="3000" w:type="dxa"/>
          </w:tcPr>
          <w:p w14:paraId="42A9C784" w14:textId="6A575C09" w:rsidR="471CE20B" w:rsidRPr="009A70AF" w:rsidRDefault="471CE20B" w:rsidP="444D1C45">
            <w:pPr>
              <w:rPr>
                <w:b w:val="0"/>
                <w:bCs w:val="0"/>
              </w:rPr>
            </w:pPr>
            <w:r w:rsidRPr="444D1C45">
              <w:rPr>
                <w:b w:val="0"/>
                <w:bCs w:val="0"/>
              </w:rPr>
              <w:t>2. Defra takes appropriate formal action to improve programme performance.</w:t>
            </w:r>
          </w:p>
        </w:tc>
        <w:tc>
          <w:tcPr>
            <w:tcW w:w="3000" w:type="dxa"/>
          </w:tcPr>
          <w:p w14:paraId="219960D3" w14:textId="44134D4C" w:rsidR="471CE20B" w:rsidRDefault="471CE20B" w:rsidP="444D1C45">
            <w:pPr>
              <w:cnfStyle w:val="000000000000" w:firstRow="0" w:lastRow="0" w:firstColumn="0" w:lastColumn="0" w:oddVBand="0" w:evenVBand="0" w:oddHBand="0" w:evenHBand="0" w:firstRowFirstColumn="0" w:firstRowLastColumn="0" w:lastRowFirstColumn="0" w:lastRowLastColumn="0"/>
            </w:pPr>
            <w:r w:rsidRPr="444D1C45">
              <w:t xml:space="preserve">10. </w:t>
            </w:r>
            <w:r w:rsidR="444D1C45" w:rsidRPr="444D1C45">
              <w:t>The programme-level logical framework (with baselines and milestones) and Theory of Change should be finalised in line with ICF requirements and approved by June 2022</w:t>
            </w:r>
          </w:p>
        </w:tc>
        <w:tc>
          <w:tcPr>
            <w:tcW w:w="3000" w:type="dxa"/>
          </w:tcPr>
          <w:p w14:paraId="79950414" w14:textId="1B7382D7" w:rsidR="471CE20B" w:rsidRDefault="471CE20B" w:rsidP="444D1C45">
            <w:pPr>
              <w:cnfStyle w:val="000000000000" w:firstRow="0" w:lastRow="0" w:firstColumn="0" w:lastColumn="0" w:oddVBand="0" w:evenVBand="0" w:oddHBand="0" w:evenHBand="0" w:firstRowFirstColumn="0" w:firstRowLastColumn="0" w:lastRowFirstColumn="0" w:lastRowLastColumn="0"/>
            </w:pPr>
            <w:r w:rsidRPr="444D1C45">
              <w:t xml:space="preserve">20. </w:t>
            </w:r>
            <w:r w:rsidR="444D1C45" w:rsidRPr="444D1C45">
              <w:t>IDB and Defra continue to improve communication, ensuring this is clear and timely</w:t>
            </w:r>
          </w:p>
        </w:tc>
      </w:tr>
      <w:tr w:rsidR="471CE20B" w14:paraId="4D9E24BE" w14:textId="77777777" w:rsidTr="4521E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17BBCB2E" w14:textId="6B9ECA2A" w:rsidR="471CE20B" w:rsidRPr="009A70AF" w:rsidRDefault="471CE20B" w:rsidP="444D1C45">
            <w:pPr>
              <w:rPr>
                <w:b w:val="0"/>
                <w:bCs w:val="0"/>
              </w:rPr>
            </w:pPr>
            <w:r w:rsidRPr="444D1C45">
              <w:rPr>
                <w:b w:val="0"/>
                <w:bCs w:val="0"/>
              </w:rPr>
              <w:t>3. IDB and Defra develop an Action Plan to deliver key products which are essential to meet ICF requirements and standards.</w:t>
            </w:r>
          </w:p>
        </w:tc>
        <w:tc>
          <w:tcPr>
            <w:tcW w:w="3000" w:type="dxa"/>
          </w:tcPr>
          <w:p w14:paraId="65E3BE04" w14:textId="03ED7895" w:rsidR="471CE20B" w:rsidRDefault="471CE20B" w:rsidP="444D1C45">
            <w:pPr>
              <w:cnfStyle w:val="000000100000" w:firstRow="0" w:lastRow="0" w:firstColumn="0" w:lastColumn="0" w:oddVBand="0" w:evenVBand="0" w:oddHBand="1" w:evenHBand="0" w:firstRowFirstColumn="0" w:firstRowLastColumn="0" w:lastRowFirstColumn="0" w:lastRowLastColumn="0"/>
            </w:pPr>
            <w:r w:rsidRPr="444D1C45">
              <w:t xml:space="preserve">11. </w:t>
            </w:r>
            <w:r w:rsidR="444D1C45" w:rsidRPr="444D1C45">
              <w:t>The Evaluation Plan should be finalised in line with ICF requirements and approved within 6 months of Defra’s approval of the programme-level logical framework and Theory of Change</w:t>
            </w:r>
            <w:r w:rsidRPr="444D1C45">
              <w:t>.</w:t>
            </w:r>
          </w:p>
        </w:tc>
        <w:tc>
          <w:tcPr>
            <w:tcW w:w="3000" w:type="dxa"/>
          </w:tcPr>
          <w:p w14:paraId="226CD2D7" w14:textId="5AAAC5C6" w:rsidR="471CE20B" w:rsidRDefault="471CE20B" w:rsidP="444D1C45">
            <w:pPr>
              <w:cnfStyle w:val="000000100000" w:firstRow="0" w:lastRow="0" w:firstColumn="0" w:lastColumn="0" w:oddVBand="0" w:evenVBand="0" w:oddHBand="1" w:evenHBand="0" w:firstRowFirstColumn="0" w:firstRowLastColumn="0" w:lastRowFirstColumn="0" w:lastRowLastColumn="0"/>
            </w:pPr>
            <w:r w:rsidRPr="444D1C45">
              <w:t xml:space="preserve">21. </w:t>
            </w:r>
            <w:r w:rsidR="444D1C45" w:rsidRPr="444D1C45">
              <w:t>IDB present a detailed progress update once every quarter</w:t>
            </w:r>
          </w:p>
        </w:tc>
      </w:tr>
      <w:tr w:rsidR="471CE20B" w14:paraId="1820E9D2" w14:textId="77777777" w:rsidTr="4521EDEC">
        <w:tc>
          <w:tcPr>
            <w:cnfStyle w:val="001000000000" w:firstRow="0" w:lastRow="0" w:firstColumn="1" w:lastColumn="0" w:oddVBand="0" w:evenVBand="0" w:oddHBand="0" w:evenHBand="0" w:firstRowFirstColumn="0" w:firstRowLastColumn="0" w:lastRowFirstColumn="0" w:lastRowLastColumn="0"/>
            <w:tcW w:w="3000" w:type="dxa"/>
          </w:tcPr>
          <w:p w14:paraId="2C6227C4" w14:textId="3FE918D6" w:rsidR="471CE20B" w:rsidRPr="009A70AF" w:rsidRDefault="471CE20B" w:rsidP="444D1C45">
            <w:pPr>
              <w:rPr>
                <w:b w:val="0"/>
                <w:bCs w:val="0"/>
              </w:rPr>
            </w:pPr>
            <w:r w:rsidRPr="444D1C45">
              <w:rPr>
                <w:b w:val="0"/>
                <w:bCs w:val="0"/>
              </w:rPr>
              <w:t xml:space="preserve">4. </w:t>
            </w:r>
            <w:r w:rsidR="444D1C45" w:rsidRPr="444D1C45">
              <w:rPr>
                <w:b w:val="0"/>
                <w:bCs w:val="0"/>
              </w:rPr>
              <w:t>Defra and IDB review and update the Programme Management Manual (PMM) within 3 months of completion of this Annual Review and approval by Defra.</w:t>
            </w:r>
          </w:p>
        </w:tc>
        <w:tc>
          <w:tcPr>
            <w:tcW w:w="3000" w:type="dxa"/>
          </w:tcPr>
          <w:p w14:paraId="184C62F8" w14:textId="1BB51F7C" w:rsidR="471CE20B" w:rsidRDefault="471CE20B" w:rsidP="444D1C45">
            <w:pPr>
              <w:cnfStyle w:val="000000000000" w:firstRow="0" w:lastRow="0" w:firstColumn="0" w:lastColumn="0" w:oddVBand="0" w:evenVBand="0" w:oddHBand="0" w:evenHBand="0" w:firstRowFirstColumn="0" w:firstRowLastColumn="0" w:lastRowFirstColumn="0" w:lastRowLastColumn="0"/>
            </w:pPr>
            <w:r w:rsidRPr="444D1C45">
              <w:t xml:space="preserve">12. </w:t>
            </w:r>
            <w:r w:rsidR="444D1C45" w:rsidRPr="444D1C45">
              <w:t>IDB completes a full review of the programme risk register and meets with Defra to discuss within 3 months of approval of this Annual Review</w:t>
            </w:r>
            <w:r w:rsidRPr="444D1C45">
              <w:t>.</w:t>
            </w:r>
          </w:p>
        </w:tc>
        <w:tc>
          <w:tcPr>
            <w:tcW w:w="3000" w:type="dxa"/>
          </w:tcPr>
          <w:p w14:paraId="49B5CE95" w14:textId="7EDC7275" w:rsidR="471CE20B" w:rsidRDefault="471CE20B" w:rsidP="444D1C45">
            <w:pPr>
              <w:cnfStyle w:val="000000000000" w:firstRow="0" w:lastRow="0" w:firstColumn="0" w:lastColumn="0" w:oddVBand="0" w:evenVBand="0" w:oddHBand="0" w:evenHBand="0" w:firstRowFirstColumn="0" w:firstRowLastColumn="0" w:lastRowFirstColumn="0" w:lastRowLastColumn="0"/>
            </w:pPr>
            <w:r w:rsidRPr="444D1C45">
              <w:t xml:space="preserve">22. </w:t>
            </w:r>
            <w:r w:rsidR="444D1C45" w:rsidRPr="444D1C45">
              <w:t>Defra revitalises efforts to establish a X-HMG IDB Working Group and engage with the UK Executive Director at the IDB, the HMG-IDB focal point</w:t>
            </w:r>
            <w:r w:rsidRPr="444D1C45">
              <w:t xml:space="preserve">.  </w:t>
            </w:r>
          </w:p>
        </w:tc>
      </w:tr>
      <w:tr w:rsidR="471CE20B" w14:paraId="493B9F63" w14:textId="77777777" w:rsidTr="4521E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05DD29DB" w14:textId="272D3F0B" w:rsidR="471CE20B" w:rsidRPr="009A70AF" w:rsidRDefault="471CE20B" w:rsidP="444D1C45">
            <w:pPr>
              <w:rPr>
                <w:b w:val="0"/>
                <w:bCs w:val="0"/>
              </w:rPr>
            </w:pPr>
            <w:r w:rsidRPr="444D1C45">
              <w:rPr>
                <w:b w:val="0"/>
                <w:bCs w:val="0"/>
              </w:rPr>
              <w:t xml:space="preserve">5. </w:t>
            </w:r>
            <w:r w:rsidR="444D1C45" w:rsidRPr="444D1C45">
              <w:rPr>
                <w:b w:val="0"/>
                <w:bCs w:val="0"/>
              </w:rPr>
              <w:t xml:space="preserve">IDB continues to improve project proposals to ensure </w:t>
            </w:r>
            <w:r w:rsidR="444D1C45" w:rsidRPr="444D1C45">
              <w:rPr>
                <w:b w:val="0"/>
                <w:bCs w:val="0"/>
              </w:rPr>
              <w:lastRenderedPageBreak/>
              <w:t>they meet Defra and ICF requirements and standards</w:t>
            </w:r>
            <w:r w:rsidRPr="444D1C45">
              <w:rPr>
                <w:b w:val="0"/>
                <w:bCs w:val="0"/>
              </w:rPr>
              <w:t>.</w:t>
            </w:r>
          </w:p>
        </w:tc>
        <w:tc>
          <w:tcPr>
            <w:tcW w:w="3000" w:type="dxa"/>
          </w:tcPr>
          <w:p w14:paraId="4C908AFD" w14:textId="3D8394BE" w:rsidR="471CE20B" w:rsidRDefault="471CE20B" w:rsidP="444D1C45">
            <w:pPr>
              <w:cnfStyle w:val="000000100000" w:firstRow="0" w:lastRow="0" w:firstColumn="0" w:lastColumn="0" w:oddVBand="0" w:evenVBand="0" w:oddHBand="1" w:evenHBand="0" w:firstRowFirstColumn="0" w:firstRowLastColumn="0" w:lastRowFirstColumn="0" w:lastRowLastColumn="0"/>
            </w:pPr>
            <w:r w:rsidRPr="444D1C45">
              <w:lastRenderedPageBreak/>
              <w:t xml:space="preserve">13. </w:t>
            </w:r>
            <w:r w:rsidR="444D1C45" w:rsidRPr="444D1C45">
              <w:t xml:space="preserve">IDB completes a full review of the impacts of the COVID-19 pandemic on the UK </w:t>
            </w:r>
            <w:r w:rsidR="00141CFA">
              <w:t>BCF</w:t>
            </w:r>
            <w:r w:rsidR="444D1C45" w:rsidRPr="444D1C45">
              <w:t xml:space="preserve"> and </w:t>
            </w:r>
            <w:r w:rsidR="444D1C45" w:rsidRPr="444D1C45">
              <w:lastRenderedPageBreak/>
              <w:t>its associated projects within 3 months of approval of this Annual Review and continues to report on the impacts quarterly (in line with Recommendation 21)</w:t>
            </w:r>
          </w:p>
        </w:tc>
        <w:tc>
          <w:tcPr>
            <w:tcW w:w="3000" w:type="dxa"/>
          </w:tcPr>
          <w:p w14:paraId="26929697" w14:textId="7BDC0147" w:rsidR="471CE20B" w:rsidRDefault="471CE20B" w:rsidP="444D1C45">
            <w:pPr>
              <w:cnfStyle w:val="000000100000" w:firstRow="0" w:lastRow="0" w:firstColumn="0" w:lastColumn="0" w:oddVBand="0" w:evenVBand="0" w:oddHBand="1" w:evenHBand="0" w:firstRowFirstColumn="0" w:firstRowLastColumn="0" w:lastRowFirstColumn="0" w:lastRowLastColumn="0"/>
            </w:pPr>
            <w:r w:rsidRPr="444D1C45">
              <w:lastRenderedPageBreak/>
              <w:t xml:space="preserve">23. </w:t>
            </w:r>
            <w:r w:rsidR="444D1C45" w:rsidRPr="444D1C45">
              <w:t xml:space="preserve">IDB establishes a X-IDB HMG Working Group with </w:t>
            </w:r>
            <w:r w:rsidR="444D1C45" w:rsidRPr="444D1C45">
              <w:lastRenderedPageBreak/>
              <w:t>colleagues delivering other ICF funded programmes</w:t>
            </w:r>
          </w:p>
        </w:tc>
      </w:tr>
      <w:tr w:rsidR="471CE20B" w14:paraId="60466562" w14:textId="77777777" w:rsidTr="4521EDEC">
        <w:tc>
          <w:tcPr>
            <w:cnfStyle w:val="001000000000" w:firstRow="0" w:lastRow="0" w:firstColumn="1" w:lastColumn="0" w:oddVBand="0" w:evenVBand="0" w:oddHBand="0" w:evenHBand="0" w:firstRowFirstColumn="0" w:firstRowLastColumn="0" w:lastRowFirstColumn="0" w:lastRowLastColumn="0"/>
            <w:tcW w:w="3000" w:type="dxa"/>
          </w:tcPr>
          <w:p w14:paraId="688E639E" w14:textId="06864ED6" w:rsidR="471CE20B" w:rsidRPr="009A70AF" w:rsidRDefault="471CE20B" w:rsidP="444D1C45">
            <w:pPr>
              <w:rPr>
                <w:b w:val="0"/>
                <w:bCs w:val="0"/>
              </w:rPr>
            </w:pPr>
            <w:r w:rsidRPr="444D1C45">
              <w:rPr>
                <w:b w:val="0"/>
                <w:bCs w:val="0"/>
              </w:rPr>
              <w:lastRenderedPageBreak/>
              <w:t>6. IDB provides a detailed execution plan within 3 months of project approval.</w:t>
            </w:r>
          </w:p>
        </w:tc>
        <w:tc>
          <w:tcPr>
            <w:tcW w:w="3000" w:type="dxa"/>
          </w:tcPr>
          <w:p w14:paraId="2ED48944" w14:textId="0217B765" w:rsidR="471CE20B" w:rsidRDefault="471CE20B" w:rsidP="444D1C45">
            <w:pPr>
              <w:cnfStyle w:val="000000000000" w:firstRow="0" w:lastRow="0" w:firstColumn="0" w:lastColumn="0" w:oddVBand="0" w:evenVBand="0" w:oddHBand="0" w:evenHBand="0" w:firstRowFirstColumn="0" w:firstRowLastColumn="0" w:lastRowFirstColumn="0" w:lastRowLastColumn="0"/>
            </w:pPr>
            <w:r w:rsidRPr="444D1C45">
              <w:t xml:space="preserve">14. </w:t>
            </w:r>
            <w:r w:rsidR="444D1C45" w:rsidRPr="444D1C45">
              <w:t>All future Annual Reviews will report against the programme-level logical framework and report on the period January through December</w:t>
            </w:r>
            <w:r w:rsidRPr="444D1C45">
              <w:t>.</w:t>
            </w:r>
          </w:p>
        </w:tc>
        <w:tc>
          <w:tcPr>
            <w:tcW w:w="3000" w:type="dxa"/>
          </w:tcPr>
          <w:p w14:paraId="2BCF438F" w14:textId="05102340" w:rsidR="471CE20B" w:rsidRDefault="471CE20B" w:rsidP="444D1C45">
            <w:pPr>
              <w:cnfStyle w:val="000000000000" w:firstRow="0" w:lastRow="0" w:firstColumn="0" w:lastColumn="0" w:oddVBand="0" w:evenVBand="0" w:oddHBand="0" w:evenHBand="0" w:firstRowFirstColumn="0" w:firstRowLastColumn="0" w:lastRowFirstColumn="0" w:lastRowLastColumn="0"/>
            </w:pPr>
            <w:r w:rsidRPr="444D1C45">
              <w:t xml:space="preserve">24. </w:t>
            </w:r>
            <w:r w:rsidR="444D1C45" w:rsidRPr="444D1C45">
              <w:t>IDB and Defra continue to ensure embassies are sighted on relevant project proposals and TCDs</w:t>
            </w:r>
            <w:r w:rsidRPr="444D1C45">
              <w:t>.</w:t>
            </w:r>
          </w:p>
        </w:tc>
      </w:tr>
      <w:tr w:rsidR="471CE20B" w14:paraId="1AA54B68" w14:textId="77777777" w:rsidTr="4521E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6CBCDFDD" w14:textId="624EDA6A" w:rsidR="471CE20B" w:rsidRPr="009A70AF" w:rsidRDefault="471CE20B" w:rsidP="444D1C45">
            <w:pPr>
              <w:rPr>
                <w:b w:val="0"/>
                <w:bCs w:val="0"/>
              </w:rPr>
            </w:pPr>
            <w:r w:rsidRPr="444D1C45">
              <w:rPr>
                <w:b w:val="0"/>
                <w:bCs w:val="0"/>
              </w:rPr>
              <w:t>7. Project activities continue take place virtually where possible to minimise delays to project implementation as the COVID-19 pandemic continues.</w:t>
            </w:r>
          </w:p>
        </w:tc>
        <w:tc>
          <w:tcPr>
            <w:tcW w:w="3000" w:type="dxa"/>
          </w:tcPr>
          <w:p w14:paraId="47E6D384" w14:textId="28F487BF" w:rsidR="471CE20B" w:rsidRDefault="471CE20B" w:rsidP="444D1C45">
            <w:pPr>
              <w:cnfStyle w:val="000000100000" w:firstRow="0" w:lastRow="0" w:firstColumn="0" w:lastColumn="0" w:oddVBand="0" w:evenVBand="0" w:oddHBand="1" w:evenHBand="0" w:firstRowFirstColumn="0" w:firstRowLastColumn="0" w:lastRowFirstColumn="0" w:lastRowLastColumn="0"/>
            </w:pPr>
            <w:r w:rsidRPr="444D1C45">
              <w:t xml:space="preserve">15. </w:t>
            </w:r>
            <w:r w:rsidR="444D1C45" w:rsidRPr="444D1C45">
              <w:t>Milestones for implementing projects will be incorporated into the programme-level logical framework within 3 months of entering implementation</w:t>
            </w:r>
            <w:r w:rsidRPr="444D1C45">
              <w:t>.</w:t>
            </w:r>
          </w:p>
        </w:tc>
        <w:tc>
          <w:tcPr>
            <w:tcW w:w="3000" w:type="dxa"/>
          </w:tcPr>
          <w:p w14:paraId="6F148E04" w14:textId="7B18E6D3" w:rsidR="471CE20B" w:rsidRDefault="471CE20B" w:rsidP="444D1C45">
            <w:pPr>
              <w:cnfStyle w:val="000000100000" w:firstRow="0" w:lastRow="0" w:firstColumn="0" w:lastColumn="0" w:oddVBand="0" w:evenVBand="0" w:oddHBand="1" w:evenHBand="0" w:firstRowFirstColumn="0" w:firstRowLastColumn="0" w:lastRowFirstColumn="0" w:lastRowLastColumn="0"/>
            </w:pPr>
            <w:r w:rsidRPr="444D1C45">
              <w:t xml:space="preserve">25. </w:t>
            </w:r>
            <w:r w:rsidR="444D1C45" w:rsidRPr="444D1C45">
              <w:t>IDB provides all TCDs and other key programme documents in English</w:t>
            </w:r>
            <w:r w:rsidRPr="444D1C45">
              <w:t>.</w:t>
            </w:r>
          </w:p>
        </w:tc>
      </w:tr>
      <w:tr w:rsidR="471CE20B" w14:paraId="7705D81B" w14:textId="77777777" w:rsidTr="4521EDEC">
        <w:tc>
          <w:tcPr>
            <w:cnfStyle w:val="001000000000" w:firstRow="0" w:lastRow="0" w:firstColumn="1" w:lastColumn="0" w:oddVBand="0" w:evenVBand="0" w:oddHBand="0" w:evenHBand="0" w:firstRowFirstColumn="0" w:firstRowLastColumn="0" w:lastRowFirstColumn="0" w:lastRowLastColumn="0"/>
            <w:tcW w:w="3000" w:type="dxa"/>
          </w:tcPr>
          <w:p w14:paraId="1895816D" w14:textId="5D8DC9BC" w:rsidR="471CE20B" w:rsidRPr="009A70AF" w:rsidRDefault="471CE20B" w:rsidP="444D1C45">
            <w:pPr>
              <w:rPr>
                <w:b w:val="0"/>
                <w:bCs w:val="0"/>
                <w:lang w:val="en-US"/>
              </w:rPr>
            </w:pPr>
            <w:r>
              <w:rPr>
                <w:b w:val="0"/>
                <w:bCs w:val="0"/>
              </w:rPr>
              <w:t xml:space="preserve">8. </w:t>
            </w:r>
            <w:r w:rsidR="2A2E531E" w:rsidRPr="4521EDEC">
              <w:rPr>
                <w:b w:val="0"/>
                <w:bCs w:val="0"/>
                <w:lang w:val="en-US"/>
              </w:rPr>
              <w:t>IDB formally submits three high quality project proposals (Suriname, IDB Lab Mangroves Challenge, and Honduras) for Defra’s approval by December 2022.</w:t>
            </w:r>
          </w:p>
        </w:tc>
        <w:tc>
          <w:tcPr>
            <w:tcW w:w="3000" w:type="dxa"/>
          </w:tcPr>
          <w:p w14:paraId="3106BE17" w14:textId="16C3CB0E" w:rsidR="471CE20B" w:rsidRDefault="471CE20B" w:rsidP="444D1C45">
            <w:pPr>
              <w:cnfStyle w:val="000000000000" w:firstRow="0" w:lastRow="0" w:firstColumn="0" w:lastColumn="0" w:oddVBand="0" w:evenVBand="0" w:oddHBand="0" w:evenHBand="0" w:firstRowFirstColumn="0" w:firstRowLastColumn="0" w:lastRowFirstColumn="0" w:lastRowLastColumn="0"/>
            </w:pPr>
            <w:r w:rsidRPr="444D1C45">
              <w:t xml:space="preserve">16. </w:t>
            </w:r>
            <w:r w:rsidR="444D1C45" w:rsidRPr="444D1C45">
              <w:t>The IDB BLU Annual Report submitted to Defra in June each year should be improved to include sufficient information to inform the ICF UK BCF Annual Review</w:t>
            </w:r>
            <w:r w:rsidRPr="444D1C45">
              <w:t>.</w:t>
            </w:r>
          </w:p>
        </w:tc>
        <w:tc>
          <w:tcPr>
            <w:tcW w:w="3000" w:type="dxa"/>
          </w:tcPr>
          <w:p w14:paraId="673C7447" w14:textId="225F1926" w:rsidR="471CE20B" w:rsidRDefault="471CE20B" w:rsidP="444D1C45">
            <w:pPr>
              <w:cnfStyle w:val="000000000000" w:firstRow="0" w:lastRow="0" w:firstColumn="0" w:lastColumn="0" w:oddVBand="0" w:evenVBand="0" w:oddHBand="0" w:evenHBand="0" w:firstRowFirstColumn="0" w:firstRowLastColumn="0" w:lastRowFirstColumn="0" w:lastRowLastColumn="0"/>
              <w:rPr>
                <w:lang w:val="en-US"/>
              </w:rPr>
            </w:pPr>
            <w:r w:rsidRPr="444D1C45">
              <w:rPr>
                <w:lang w:val="en-US"/>
              </w:rPr>
              <w:t xml:space="preserve"> </w:t>
            </w:r>
          </w:p>
        </w:tc>
      </w:tr>
      <w:tr w:rsidR="471CE20B" w14:paraId="5D97DC60" w14:textId="77777777" w:rsidTr="4521E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250A91A8" w14:textId="22F37340" w:rsidR="471CE20B" w:rsidRPr="009A70AF" w:rsidRDefault="471CE20B" w:rsidP="444D1C45">
            <w:pPr>
              <w:rPr>
                <w:b w:val="0"/>
                <w:bCs w:val="0"/>
                <w:lang w:val="en-US"/>
              </w:rPr>
            </w:pPr>
          </w:p>
        </w:tc>
        <w:tc>
          <w:tcPr>
            <w:tcW w:w="3000" w:type="dxa"/>
          </w:tcPr>
          <w:p w14:paraId="1F77BAEE" w14:textId="458BC80E" w:rsidR="471CE20B" w:rsidRDefault="471CE20B" w:rsidP="444D1C45">
            <w:pPr>
              <w:cnfStyle w:val="000000100000" w:firstRow="0" w:lastRow="0" w:firstColumn="0" w:lastColumn="0" w:oddVBand="0" w:evenVBand="0" w:oddHBand="1" w:evenHBand="0" w:firstRowFirstColumn="0" w:firstRowLastColumn="0" w:lastRowFirstColumn="0" w:lastRowLastColumn="0"/>
            </w:pPr>
            <w:r w:rsidRPr="444D1C45">
              <w:t xml:space="preserve">17. </w:t>
            </w:r>
            <w:r w:rsidR="444D1C45" w:rsidRPr="444D1C45">
              <w:t>IDB give a teach-in to Defra on the IDB’s internal MEL systems and processes</w:t>
            </w:r>
            <w:r w:rsidRPr="444D1C45">
              <w:t>.</w:t>
            </w:r>
          </w:p>
        </w:tc>
        <w:tc>
          <w:tcPr>
            <w:tcW w:w="3000" w:type="dxa"/>
          </w:tcPr>
          <w:p w14:paraId="14DA7C11" w14:textId="7C44A513" w:rsidR="471CE20B" w:rsidRDefault="471CE20B" w:rsidP="444D1C45">
            <w:pPr>
              <w:cnfStyle w:val="000000100000" w:firstRow="0" w:lastRow="0" w:firstColumn="0" w:lastColumn="0" w:oddVBand="0" w:evenVBand="0" w:oddHBand="1" w:evenHBand="0" w:firstRowFirstColumn="0" w:firstRowLastColumn="0" w:lastRowFirstColumn="0" w:lastRowLastColumn="0"/>
              <w:rPr>
                <w:lang w:val="en-US"/>
              </w:rPr>
            </w:pPr>
            <w:r w:rsidRPr="444D1C45">
              <w:rPr>
                <w:lang w:val="en-US"/>
              </w:rPr>
              <w:t xml:space="preserve"> </w:t>
            </w:r>
          </w:p>
        </w:tc>
      </w:tr>
      <w:tr w:rsidR="471CE20B" w14:paraId="1B801162" w14:textId="77777777" w:rsidTr="4521EDEC">
        <w:tc>
          <w:tcPr>
            <w:cnfStyle w:val="001000000000" w:firstRow="0" w:lastRow="0" w:firstColumn="1" w:lastColumn="0" w:oddVBand="0" w:evenVBand="0" w:oddHBand="0" w:evenHBand="0" w:firstRowFirstColumn="0" w:firstRowLastColumn="0" w:lastRowFirstColumn="0" w:lastRowLastColumn="0"/>
            <w:tcW w:w="3000" w:type="dxa"/>
          </w:tcPr>
          <w:p w14:paraId="1B7934FE" w14:textId="4BD1F4BC" w:rsidR="471CE20B" w:rsidRDefault="471CE20B" w:rsidP="444D1C45">
            <w:pPr>
              <w:rPr>
                <w:b w:val="0"/>
                <w:bCs w:val="0"/>
                <w:lang w:val="en-US"/>
              </w:rPr>
            </w:pPr>
            <w:r w:rsidRPr="444D1C45">
              <w:rPr>
                <w:b w:val="0"/>
                <w:bCs w:val="0"/>
                <w:lang w:val="en-US"/>
              </w:rPr>
              <w:t xml:space="preserve"> </w:t>
            </w:r>
          </w:p>
        </w:tc>
        <w:tc>
          <w:tcPr>
            <w:tcW w:w="3000" w:type="dxa"/>
          </w:tcPr>
          <w:p w14:paraId="60190383" w14:textId="7A03B607" w:rsidR="471CE20B" w:rsidRDefault="471CE20B" w:rsidP="444D1C45">
            <w:pPr>
              <w:cnfStyle w:val="000000000000" w:firstRow="0" w:lastRow="0" w:firstColumn="0" w:lastColumn="0" w:oddVBand="0" w:evenVBand="0" w:oddHBand="0" w:evenHBand="0" w:firstRowFirstColumn="0" w:firstRowLastColumn="0" w:lastRowFirstColumn="0" w:lastRowLastColumn="0"/>
            </w:pPr>
            <w:r w:rsidRPr="444D1C45">
              <w:t xml:space="preserve">18. </w:t>
            </w:r>
            <w:r w:rsidR="444D1C45" w:rsidRPr="444D1C45">
              <w:t xml:space="preserve">IDB continues to embed any lessons learned from the UK </w:t>
            </w:r>
            <w:r w:rsidR="00141CFA">
              <w:t>BCF</w:t>
            </w:r>
            <w:r w:rsidR="444D1C45" w:rsidRPr="444D1C45">
              <w:t xml:space="preserve"> more broadly into IDB planning in the benefitting countries and within national government systems</w:t>
            </w:r>
          </w:p>
        </w:tc>
        <w:tc>
          <w:tcPr>
            <w:tcW w:w="3000" w:type="dxa"/>
          </w:tcPr>
          <w:p w14:paraId="420D0FCA" w14:textId="6B325CE9" w:rsidR="471CE20B" w:rsidRDefault="471CE20B" w:rsidP="444D1C45">
            <w:pPr>
              <w:cnfStyle w:val="000000000000" w:firstRow="0" w:lastRow="0" w:firstColumn="0" w:lastColumn="0" w:oddVBand="0" w:evenVBand="0" w:oddHBand="0" w:evenHBand="0" w:firstRowFirstColumn="0" w:firstRowLastColumn="0" w:lastRowFirstColumn="0" w:lastRowLastColumn="0"/>
              <w:rPr>
                <w:lang w:val="en-US"/>
              </w:rPr>
            </w:pPr>
          </w:p>
        </w:tc>
      </w:tr>
    </w:tbl>
    <w:p w14:paraId="6D7B55CB" w14:textId="545C11B2" w:rsidR="471CE20B" w:rsidRPr="00236741" w:rsidRDefault="001357B6" w:rsidP="471CE20B">
      <w:pPr>
        <w:spacing w:before="240" w:line="22" w:lineRule="atLeast"/>
        <w:jc w:val="both"/>
      </w:pPr>
      <w:r>
        <w:t>Further information on these recommendations is provided in Annex A and a template for a ‘recommendations tracker’ (see Recommendation 1) is provided in Appendix 1.</w:t>
      </w:r>
    </w:p>
    <w:p w14:paraId="1B1EEE32" w14:textId="77777777" w:rsidR="00884562" w:rsidRDefault="00884562" w:rsidP="00AF04EE">
      <w:pPr>
        <w:pStyle w:val="Heading3"/>
      </w:pPr>
      <w:r>
        <w:t>Lessons Learned</w:t>
      </w:r>
    </w:p>
    <w:p w14:paraId="56523499" w14:textId="31D121DD" w:rsidR="004A3E5A" w:rsidRDefault="10D127D0" w:rsidP="00884562">
      <w:pPr>
        <w:spacing w:line="22" w:lineRule="atLeast"/>
        <w:jc w:val="both"/>
      </w:pPr>
      <w:r>
        <w:t>The lessons learned in 2020</w:t>
      </w:r>
      <w:r w:rsidR="1274D9E8">
        <w:t>/21</w:t>
      </w:r>
      <w:r>
        <w:t xml:space="preserve"> focus on </w:t>
      </w:r>
      <w:r w:rsidR="00BC702B">
        <w:t xml:space="preserve">three </w:t>
      </w:r>
      <w:r>
        <w:t>key areas:</w:t>
      </w:r>
    </w:p>
    <w:p w14:paraId="174E78F8" w14:textId="09A57398" w:rsidR="00A436CD" w:rsidRPr="00E90AC2" w:rsidRDefault="2099DC53" w:rsidP="00D33DD9">
      <w:pPr>
        <w:pStyle w:val="ListParagraph"/>
        <w:numPr>
          <w:ilvl w:val="0"/>
          <w:numId w:val="7"/>
        </w:numPr>
        <w:spacing w:line="22" w:lineRule="atLeast"/>
        <w:ind w:left="426"/>
        <w:jc w:val="both"/>
        <w:rPr>
          <w:rFonts w:eastAsiaTheme="minorEastAsia"/>
          <w:color w:val="FF0000"/>
        </w:rPr>
      </w:pPr>
      <w:r w:rsidRPr="1F047E0C">
        <w:rPr>
          <w:b/>
          <w:bCs/>
          <w:color w:val="1F4E79" w:themeColor="accent5" w:themeShade="80"/>
        </w:rPr>
        <w:t>Overcoming legal and bureaucratic obstacles.</w:t>
      </w:r>
      <w:r w:rsidRPr="1F047E0C">
        <w:rPr>
          <w:color w:val="1F4E79" w:themeColor="accent5" w:themeShade="80"/>
        </w:rPr>
        <w:t xml:space="preserve"> </w:t>
      </w:r>
      <w:r w:rsidR="16E8CEB7">
        <w:t xml:space="preserve">Intellectual property concerns between executing agencies and academic institutions are complex, and long legal negotiations can delay project implementation. In some cases, valuation models for mangroves or ecosystems are held by academic institutions which seek to publish studies based on the underlying data collected by projects managed by the executing agencies. Negotiating agreements which allow such use is challenging. To avoid the involvement of nonessential parties in negotiations, it is important to ensure that only necessary intellectual </w:t>
      </w:r>
      <w:r w:rsidR="00A436CD">
        <w:t>property</w:t>
      </w:r>
      <w:r w:rsidR="16E8CEB7">
        <w:t xml:space="preserve"> is held by the IDB. Simpler mechanisms for contractual relationships for this type of research are also needed.</w:t>
      </w:r>
    </w:p>
    <w:p w14:paraId="2B50545A" w14:textId="77777777" w:rsidR="00E90AC2" w:rsidRPr="00E90AC2" w:rsidRDefault="00E90AC2" w:rsidP="00E90AC2">
      <w:pPr>
        <w:pStyle w:val="ListParagraph"/>
        <w:spacing w:line="22" w:lineRule="atLeast"/>
        <w:ind w:left="426"/>
        <w:jc w:val="both"/>
        <w:rPr>
          <w:rFonts w:eastAsiaTheme="minorEastAsia"/>
          <w:color w:val="FF0000"/>
        </w:rPr>
      </w:pPr>
    </w:p>
    <w:p w14:paraId="58A38A68" w14:textId="198C4B2C" w:rsidR="00E90AC2" w:rsidRDefault="00A436CD" w:rsidP="00E90AC2">
      <w:pPr>
        <w:pStyle w:val="ListParagraph"/>
        <w:spacing w:before="240" w:line="22" w:lineRule="atLeast"/>
        <w:ind w:left="426"/>
        <w:jc w:val="both"/>
        <w:rPr>
          <w:rFonts w:eastAsiaTheme="minorEastAsia"/>
        </w:rPr>
      </w:pPr>
      <w:r w:rsidRPr="00E90AC2">
        <w:rPr>
          <w:rFonts w:eastAsiaTheme="minorEastAsia"/>
        </w:rPr>
        <w:t xml:space="preserve">International organisations in the conservation sector often hold important technical expertise but work through confederations of local chapters, partners, or locally chartered organisations. </w:t>
      </w:r>
      <w:r w:rsidRPr="00E90AC2">
        <w:rPr>
          <w:rFonts w:eastAsiaTheme="minorEastAsia"/>
        </w:rPr>
        <w:lastRenderedPageBreak/>
        <w:t xml:space="preserve">These partnerships require additional legal arrangements which must work in conjunction with the project delivery contracts held by the IDB. This can result in complex contractual processes which require ex-ante negotiation of execution arrangements. It is therefore vital to ensure the executing agencies are hired and trained in good time to engage them in negotiations and avoid delays. </w:t>
      </w:r>
    </w:p>
    <w:p w14:paraId="362C9CBE" w14:textId="77777777" w:rsidR="00E90AC2" w:rsidRPr="00E90AC2" w:rsidRDefault="00E90AC2" w:rsidP="00E90AC2">
      <w:pPr>
        <w:pStyle w:val="ListParagraph"/>
        <w:spacing w:before="240" w:line="22" w:lineRule="atLeast"/>
        <w:ind w:left="426"/>
        <w:jc w:val="both"/>
        <w:rPr>
          <w:rFonts w:eastAsiaTheme="minorEastAsia"/>
        </w:rPr>
      </w:pPr>
    </w:p>
    <w:p w14:paraId="35950536" w14:textId="77777777" w:rsidR="000A4429" w:rsidRDefault="2099DC53" w:rsidP="000A4429">
      <w:pPr>
        <w:pStyle w:val="ListParagraph"/>
        <w:numPr>
          <w:ilvl w:val="0"/>
          <w:numId w:val="7"/>
        </w:numPr>
        <w:spacing w:line="22" w:lineRule="atLeast"/>
        <w:ind w:left="426"/>
        <w:jc w:val="both"/>
      </w:pPr>
      <w:r w:rsidRPr="367BE1D9">
        <w:rPr>
          <w:b/>
          <w:bCs/>
          <w:color w:val="1F4E79" w:themeColor="accent5" w:themeShade="80"/>
        </w:rPr>
        <w:t>Responding to the COVID-19 pandemic.</w:t>
      </w:r>
      <w:r w:rsidR="00B94D00">
        <w:t xml:space="preserve"> Adaptive management is vital to the continuation of project implementation during a global crisis. However, delays are inevitable as staff and communities adapt to new ways of working and living </w:t>
      </w:r>
      <w:r w:rsidR="00BF4432">
        <w:t>in line with</w:t>
      </w:r>
      <w:r w:rsidR="00B94D00">
        <w:t xml:space="preserve"> national guid</w:t>
      </w:r>
      <w:r w:rsidR="00185B3F">
        <w:t>elines</w:t>
      </w:r>
      <w:r w:rsidR="00B94D00">
        <w:t>.</w:t>
      </w:r>
      <w:r w:rsidR="00BF4432">
        <w:t xml:space="preserve"> Risk mitigation has been strictly implemented and has considered vaccinations and public health protective measures.</w:t>
      </w:r>
      <w:r w:rsidR="00B94D00">
        <w:t xml:space="preserve"> </w:t>
      </w:r>
      <w:r w:rsidR="0078165C">
        <w:t xml:space="preserve">While some events have been delivered by the executing agencies though virtual platforms, some activities cannot be conducted virtually. For example, </w:t>
      </w:r>
      <w:r w:rsidR="00BC702B">
        <w:t xml:space="preserve">field visits to inform </w:t>
      </w:r>
      <w:r w:rsidR="0078165C">
        <w:t>the Environmental Impact Assessment in Jamaica</w:t>
      </w:r>
      <w:r w:rsidR="00BC702B">
        <w:t xml:space="preserve"> have not taken place due to travel restrictions</w:t>
      </w:r>
      <w:r w:rsidR="00185B3F">
        <w:t xml:space="preserve">. In addition, the digital capacity of benefitting countries has </w:t>
      </w:r>
      <w:r w:rsidR="00BF4432">
        <w:t>informed</w:t>
      </w:r>
      <w:r w:rsidR="00185B3F">
        <w:t xml:space="preserve"> the extent to which virtual platforms can be used as an alternative delivery mechanism.</w:t>
      </w:r>
      <w:r w:rsidR="00BF4432">
        <w:t xml:space="preserve"> </w:t>
      </w:r>
      <w:r w:rsidR="00BC702B">
        <w:t>It is likely that d</w:t>
      </w:r>
      <w:r w:rsidR="00BF4432">
        <w:t>igital capacity</w:t>
      </w:r>
      <w:r w:rsidR="00BC702B">
        <w:t xml:space="preserve"> and the use of virtual platforms </w:t>
      </w:r>
      <w:r w:rsidR="00BF4432">
        <w:t>will need to</w:t>
      </w:r>
      <w:r w:rsidR="00BC702B">
        <w:t xml:space="preserve"> be</w:t>
      </w:r>
      <w:r w:rsidR="00BF4432">
        <w:t xml:space="preserve"> expanded and strengthened </w:t>
      </w:r>
      <w:r w:rsidR="00BC702B">
        <w:t>to mitigate further delays if the COVID-19 pandemic continues.</w:t>
      </w:r>
    </w:p>
    <w:p w14:paraId="603A4847" w14:textId="77777777" w:rsidR="000A4429" w:rsidRPr="000A4429" w:rsidRDefault="000A4429" w:rsidP="000A4429">
      <w:pPr>
        <w:pStyle w:val="ListParagraph"/>
        <w:spacing w:line="22" w:lineRule="atLeast"/>
        <w:ind w:left="426"/>
        <w:jc w:val="both"/>
      </w:pPr>
    </w:p>
    <w:p w14:paraId="74AE2120" w14:textId="5ACEA289" w:rsidR="000A4429" w:rsidRPr="00502CD6" w:rsidRDefault="2099DC53" w:rsidP="000A4429">
      <w:pPr>
        <w:pStyle w:val="ListParagraph"/>
        <w:numPr>
          <w:ilvl w:val="0"/>
          <w:numId w:val="7"/>
        </w:numPr>
        <w:spacing w:line="22" w:lineRule="atLeast"/>
        <w:ind w:left="426"/>
        <w:jc w:val="both"/>
      </w:pPr>
      <w:r w:rsidRPr="36A10EBE">
        <w:rPr>
          <w:b/>
          <w:bCs/>
          <w:color w:val="1F4E79" w:themeColor="accent5" w:themeShade="80"/>
        </w:rPr>
        <w:t>Improving internal HMG coordination.</w:t>
      </w:r>
      <w:r w:rsidR="367BE1D9" w:rsidRPr="36A10EBE">
        <w:rPr>
          <w:b/>
          <w:bCs/>
        </w:rPr>
        <w:t xml:space="preserve"> </w:t>
      </w:r>
      <w:r w:rsidR="367BE1D9">
        <w:t>HMG holds regular country and region focused meetings for ICF policy teams across Defra, BEIS and FCDO. These ensure policy teams are up to date on relevant country and region contexts and significant developments in ICF programmes operating within the same geographies to identify synergies and aid collaboration across HMG. For the UK BCF, relevant meetings include X-HMG Caribbean and X-HMG Colombia. However, more tailored discussions</w:t>
      </w:r>
      <w:r w:rsidR="00502CD6">
        <w:t xml:space="preserve"> with HMG</w:t>
      </w:r>
      <w:r w:rsidR="367BE1D9">
        <w:t xml:space="preserve"> are required to ensure a </w:t>
      </w:r>
      <w:r w:rsidR="004D1C57">
        <w:t>cohesive</w:t>
      </w:r>
      <w:r w:rsidR="367BE1D9">
        <w:t xml:space="preserve"> working relationship </w:t>
      </w:r>
      <w:r w:rsidR="004D1C57">
        <w:t>with</w:t>
      </w:r>
      <w:r w:rsidR="00502CD6">
        <w:t xml:space="preserve"> </w:t>
      </w:r>
      <w:r w:rsidR="367BE1D9">
        <w:t xml:space="preserve">the IDB which addresses and resolves issues occurring across ICF programmes delivered by the IDB. A Working Group will offer opportunities to share lessons learned and best practice </w:t>
      </w:r>
      <w:r w:rsidR="00502CD6">
        <w:t xml:space="preserve">across Defra and HMG </w:t>
      </w:r>
      <w:r w:rsidR="367BE1D9">
        <w:t>for working with MDBs such as the IDB</w:t>
      </w:r>
      <w:r w:rsidR="000A4429">
        <w:t xml:space="preserve"> </w:t>
      </w:r>
      <w:r w:rsidR="367BE1D9">
        <w:t>and ensure continuity across advice provided by HMG policy teams to the IDB. In addition, further internal communication and coordination within HMG can deliver a greater quality of service to the IDB, including advice and guidance on the requirements for delivering ICF programmes and how this can be delivered in the context of IDB processes, policies, and procedures.</w:t>
      </w:r>
      <w:r w:rsidR="00502CD6">
        <w:t xml:space="preserve"> As highlighted in Section 1.1.3, this Working Group should be established before the next Annual Review.</w:t>
      </w:r>
    </w:p>
    <w:p w14:paraId="1FB159AE" w14:textId="130CFF62" w:rsidR="00884562" w:rsidRDefault="00884562" w:rsidP="00634FD8">
      <w:pPr>
        <w:pStyle w:val="Heading1"/>
        <w:spacing w:after="240" w:line="22" w:lineRule="atLeast"/>
        <w:rPr>
          <w:b/>
        </w:rPr>
      </w:pPr>
      <w:r>
        <w:rPr>
          <w:b/>
        </w:rPr>
        <w:t>Introduction and Context</w:t>
      </w:r>
    </w:p>
    <w:p w14:paraId="5D95506D" w14:textId="77777777" w:rsidR="00634FD8" w:rsidRDefault="00634FD8" w:rsidP="00E044A4">
      <w:pPr>
        <w:pStyle w:val="Heading2"/>
      </w:pPr>
      <w:r>
        <w:t>Outlines and Rationale for Intervention</w:t>
      </w:r>
    </w:p>
    <w:p w14:paraId="319B6ABD" w14:textId="5A002B5F" w:rsidR="00634FD8" w:rsidRDefault="00634FD8" w:rsidP="00E2141B">
      <w:pPr>
        <w:spacing w:line="240" w:lineRule="auto"/>
        <w:jc w:val="both"/>
      </w:pPr>
      <w:r>
        <w:t xml:space="preserve">The UK </w:t>
      </w:r>
      <w:r w:rsidR="00141CFA">
        <w:t>BCF</w:t>
      </w:r>
      <w:r>
        <w:t xml:space="preserve"> aims to produce a transformational change in the conservation of mangrove forests and ecosystems in target countries in Latin America and the Caribbean by developing and embedding operational blue carbon markets. To achieve this, the programme mobilises strategic public and </w:t>
      </w:r>
      <w:r w:rsidR="00B1613B">
        <w:t>private sector investment in the blue carbon sector. It also funds interventions in sectors such as sustainable aquaculture, coastal zone management and eco-tourism which target the main drivers of mangrove destruction and degradation and act as barriers to mangrove conservation. These interventions seek to encourage the sustainable management of mangrove forests and accelerate sustainable development in key mangrove countries in Latin America and the Caribbean. The programme also focuses on developing and implementing incentive-based instruments through the IDB Group, including technical cooperation grants, loans, high-risk investment grants, and equity.</w:t>
      </w:r>
    </w:p>
    <w:p w14:paraId="01ECC29C" w14:textId="5C435F42" w:rsidR="008E14A5" w:rsidRDefault="00B1613B" w:rsidP="00E2141B">
      <w:pPr>
        <w:spacing w:line="240" w:lineRule="auto"/>
      </w:pPr>
      <w:r>
        <w:t xml:space="preserve">Five projects which are directly funded </w:t>
      </w:r>
      <w:r w:rsidR="008E14A5">
        <w:t xml:space="preserve">by the UK </w:t>
      </w:r>
      <w:r w:rsidR="00141CFA">
        <w:t>BCF</w:t>
      </w:r>
      <w:r w:rsidR="008E14A5">
        <w:t xml:space="preserve"> have been approved by Defra. </w:t>
      </w:r>
    </w:p>
    <w:p w14:paraId="59A2BE40" w14:textId="71C76887" w:rsidR="008E14A5" w:rsidRDefault="008E14A5" w:rsidP="00D33DD9">
      <w:pPr>
        <w:pStyle w:val="Normal1"/>
        <w:numPr>
          <w:ilvl w:val="0"/>
          <w:numId w:val="5"/>
        </w:numPr>
        <w:jc w:val="both"/>
        <w:rPr>
          <w:rFonts w:ascii="Calibri" w:hAnsi="Calibri"/>
          <w:sz w:val="22"/>
          <w:szCs w:val="22"/>
        </w:rPr>
      </w:pPr>
      <w:r w:rsidRPr="001D41CE">
        <w:rPr>
          <w:rFonts w:ascii="Calibri" w:hAnsi="Calibri"/>
          <w:b/>
          <w:bCs/>
          <w:sz w:val="22"/>
          <w:szCs w:val="22"/>
        </w:rPr>
        <w:t>Valuing, Protecting and Enhancing Coastal Natural Capital in Panama</w:t>
      </w:r>
      <w:r w:rsidR="00E2141B">
        <w:rPr>
          <w:rFonts w:ascii="Calibri" w:hAnsi="Calibri"/>
          <w:b/>
          <w:bCs/>
          <w:sz w:val="22"/>
          <w:szCs w:val="22"/>
        </w:rPr>
        <w:t xml:space="preserve"> (Panama Project)</w:t>
      </w:r>
      <w:r>
        <w:rPr>
          <w:rFonts w:ascii="Calibri" w:hAnsi="Calibri"/>
          <w:sz w:val="22"/>
          <w:szCs w:val="22"/>
        </w:rPr>
        <w:t xml:space="preserve"> aims to develop the evidence base and promote understanding of the value of the region’s mangrove forests amongst key stakeholders to drive policy change, including the </w:t>
      </w:r>
      <w:r>
        <w:rPr>
          <w:rFonts w:ascii="Calibri" w:hAnsi="Calibri"/>
          <w:sz w:val="22"/>
          <w:szCs w:val="22"/>
        </w:rPr>
        <w:lastRenderedPageBreak/>
        <w:t>incorporation of blue carbon into Panama’s Nationally Determined Contributions (NDCs).</w:t>
      </w:r>
      <w:r w:rsidR="00EB5414">
        <w:rPr>
          <w:rFonts w:ascii="Calibri" w:hAnsi="Calibri"/>
          <w:sz w:val="22"/>
          <w:szCs w:val="22"/>
        </w:rPr>
        <w:t xml:space="preserve"> This project is in the execution phase.</w:t>
      </w:r>
    </w:p>
    <w:p w14:paraId="53698600" w14:textId="0DC18154" w:rsidR="008E14A5" w:rsidRDefault="008E14A5" w:rsidP="00D33DD9">
      <w:pPr>
        <w:pStyle w:val="Normal1"/>
        <w:numPr>
          <w:ilvl w:val="0"/>
          <w:numId w:val="4"/>
        </w:numPr>
        <w:jc w:val="both"/>
        <w:rPr>
          <w:rFonts w:ascii="Calibri" w:hAnsi="Calibri"/>
          <w:sz w:val="22"/>
          <w:szCs w:val="22"/>
        </w:rPr>
      </w:pPr>
      <w:r w:rsidRPr="00E11E2C">
        <w:rPr>
          <w:rFonts w:ascii="Calibri" w:hAnsi="Calibri"/>
          <w:b/>
          <w:bCs/>
          <w:sz w:val="22"/>
          <w:szCs w:val="22"/>
        </w:rPr>
        <w:t>Blue Carbon Restoration in Southern Clarendon, Jamaica</w:t>
      </w:r>
      <w:r w:rsidR="00E2141B">
        <w:rPr>
          <w:rFonts w:ascii="Calibri" w:hAnsi="Calibri"/>
          <w:b/>
          <w:bCs/>
          <w:sz w:val="22"/>
          <w:szCs w:val="22"/>
        </w:rPr>
        <w:t xml:space="preserve"> (Jamaica Project)</w:t>
      </w:r>
      <w:r>
        <w:rPr>
          <w:rFonts w:ascii="Calibri" w:hAnsi="Calibri"/>
          <w:sz w:val="22"/>
          <w:szCs w:val="22"/>
        </w:rPr>
        <w:t xml:space="preserve"> aims to restore mangrove forests and provide training for local communities on mangrove restoration. It also aims to address one of the main drivers of mangrove destruction in the area – the charcoal industry – by working with stakeholders to develop a sustainable charcoal production plan.</w:t>
      </w:r>
      <w:r w:rsidR="00EB5414">
        <w:rPr>
          <w:rFonts w:ascii="Calibri" w:hAnsi="Calibri"/>
          <w:sz w:val="22"/>
          <w:szCs w:val="22"/>
        </w:rPr>
        <w:t xml:space="preserve"> This project is in the execution phase.</w:t>
      </w:r>
    </w:p>
    <w:p w14:paraId="1246854B" w14:textId="482F4DC0" w:rsidR="008E14A5" w:rsidRDefault="008E14A5" w:rsidP="00D33DD9">
      <w:pPr>
        <w:pStyle w:val="Normal1"/>
        <w:numPr>
          <w:ilvl w:val="0"/>
          <w:numId w:val="4"/>
        </w:numPr>
        <w:jc w:val="both"/>
        <w:rPr>
          <w:rFonts w:ascii="Calibri" w:hAnsi="Calibri"/>
          <w:sz w:val="22"/>
          <w:szCs w:val="22"/>
        </w:rPr>
      </w:pPr>
      <w:r w:rsidRPr="00E11E2C">
        <w:rPr>
          <w:rFonts w:ascii="Calibri" w:hAnsi="Calibri"/>
          <w:b/>
          <w:bCs/>
          <w:sz w:val="22"/>
          <w:szCs w:val="22"/>
        </w:rPr>
        <w:t>Adding Value to Mangroves Conservation in Coastal-city Systems in Colombia</w:t>
      </w:r>
      <w:r w:rsidR="00E2141B">
        <w:rPr>
          <w:rFonts w:ascii="Calibri" w:hAnsi="Calibri"/>
          <w:b/>
          <w:bCs/>
          <w:sz w:val="22"/>
          <w:szCs w:val="22"/>
        </w:rPr>
        <w:t xml:space="preserve"> (Colombia Project)</w:t>
      </w:r>
      <w:r>
        <w:rPr>
          <w:rFonts w:ascii="Calibri" w:hAnsi="Calibri"/>
          <w:sz w:val="22"/>
          <w:szCs w:val="22"/>
        </w:rPr>
        <w:t xml:space="preserve"> aims to agree conservation agreements with and between local communities and stakeholders to end the key drivers of mangrove loss, including logging and agricultural expansion, and promote mangrove restoration. It also aims to support the development of sustainable economic alternatives such as ecotourism and develop a voluntary financial scheme for local tourists who are willing to pay for mangrove conservation.</w:t>
      </w:r>
      <w:r w:rsidR="00EB5414">
        <w:rPr>
          <w:rFonts w:ascii="Calibri" w:hAnsi="Calibri"/>
          <w:sz w:val="22"/>
          <w:szCs w:val="22"/>
        </w:rPr>
        <w:t xml:space="preserve"> This project is in the implementation phase.</w:t>
      </w:r>
    </w:p>
    <w:p w14:paraId="3674592D" w14:textId="58E9E645" w:rsidR="008E14A5" w:rsidRDefault="443FEC59" w:rsidP="00D33DD9">
      <w:pPr>
        <w:pStyle w:val="Normal1"/>
        <w:numPr>
          <w:ilvl w:val="0"/>
          <w:numId w:val="4"/>
        </w:numPr>
        <w:jc w:val="both"/>
        <w:rPr>
          <w:rFonts w:ascii="Calibri" w:hAnsi="Calibri"/>
          <w:sz w:val="22"/>
          <w:szCs w:val="22"/>
        </w:rPr>
      </w:pPr>
      <w:r w:rsidRPr="10B17927">
        <w:rPr>
          <w:rFonts w:ascii="Calibri" w:hAnsi="Calibri"/>
          <w:b/>
          <w:bCs/>
          <w:sz w:val="22"/>
          <w:szCs w:val="22"/>
        </w:rPr>
        <w:t>Regional Blue Carbon Monitoring, Reporting and Verification Mechanism</w:t>
      </w:r>
      <w:r w:rsidR="17DCC1E0" w:rsidRPr="10B17927">
        <w:rPr>
          <w:rFonts w:ascii="Calibri" w:hAnsi="Calibri"/>
          <w:b/>
          <w:bCs/>
          <w:sz w:val="22"/>
          <w:szCs w:val="22"/>
        </w:rPr>
        <w:t xml:space="preserve"> (MRV Project)</w:t>
      </w:r>
      <w:r w:rsidRPr="10B17927">
        <w:rPr>
          <w:rFonts w:ascii="Calibri" w:hAnsi="Calibri"/>
          <w:sz w:val="22"/>
          <w:szCs w:val="22"/>
        </w:rPr>
        <w:t xml:space="preserve"> aims to improve the monitoring, reporting and verification processes for blue carbon across all target countries in Latin America and the Caribbean. To date, these processes are labour intensive. This project aims to trial alternative approaches such as satellite and field measuring techniques to improve the data set and help value ecosystem services and encourage countries to include blue carbon data in their NDCs.</w:t>
      </w:r>
      <w:r w:rsidR="502A58AF" w:rsidRPr="10B17927">
        <w:rPr>
          <w:rFonts w:ascii="Calibri" w:hAnsi="Calibri"/>
          <w:sz w:val="22"/>
          <w:szCs w:val="22"/>
        </w:rPr>
        <w:t xml:space="preserve"> This project is ready to enter mobilisation subject to the </w:t>
      </w:r>
      <w:r w:rsidR="00BC702B">
        <w:rPr>
          <w:rFonts w:ascii="Calibri" w:hAnsi="Calibri"/>
          <w:sz w:val="22"/>
          <w:szCs w:val="22"/>
        </w:rPr>
        <w:t>disbursement</w:t>
      </w:r>
      <w:r w:rsidR="502A58AF" w:rsidRPr="10B17927">
        <w:rPr>
          <w:rFonts w:ascii="Calibri" w:hAnsi="Calibri"/>
          <w:sz w:val="22"/>
          <w:szCs w:val="22"/>
        </w:rPr>
        <w:t xml:space="preserve"> of funds from Defra. The </w:t>
      </w:r>
      <w:r w:rsidR="00BC702B">
        <w:rPr>
          <w:rFonts w:ascii="Calibri" w:hAnsi="Calibri"/>
          <w:sz w:val="22"/>
          <w:szCs w:val="22"/>
        </w:rPr>
        <w:t>encashment</w:t>
      </w:r>
      <w:r w:rsidR="502A58AF" w:rsidRPr="10B17927">
        <w:rPr>
          <w:rFonts w:ascii="Calibri" w:hAnsi="Calibri"/>
          <w:sz w:val="22"/>
          <w:szCs w:val="22"/>
        </w:rPr>
        <w:t xml:space="preserve"> is currently on hold as performance concerns are escalated. </w:t>
      </w:r>
    </w:p>
    <w:p w14:paraId="288DDF67" w14:textId="3968CC7F" w:rsidR="008E14A5" w:rsidRDefault="008E14A5" w:rsidP="00D33DD9">
      <w:pPr>
        <w:pStyle w:val="Normal1"/>
        <w:numPr>
          <w:ilvl w:val="0"/>
          <w:numId w:val="4"/>
        </w:numPr>
        <w:jc w:val="both"/>
        <w:rPr>
          <w:rFonts w:ascii="Calibri" w:hAnsi="Calibri"/>
          <w:sz w:val="22"/>
          <w:szCs w:val="22"/>
        </w:rPr>
      </w:pPr>
      <w:r>
        <w:rPr>
          <w:rFonts w:ascii="Calibri" w:hAnsi="Calibri"/>
          <w:sz w:val="22"/>
          <w:szCs w:val="22"/>
        </w:rPr>
        <w:t xml:space="preserve">The </w:t>
      </w:r>
      <w:r>
        <w:rPr>
          <w:rFonts w:ascii="Calibri" w:hAnsi="Calibri"/>
          <w:b/>
          <w:bCs/>
          <w:sz w:val="22"/>
          <w:szCs w:val="22"/>
        </w:rPr>
        <w:t xml:space="preserve">Dasgupta Review </w:t>
      </w:r>
      <w:r>
        <w:rPr>
          <w:rFonts w:ascii="Calibri" w:hAnsi="Calibri"/>
          <w:sz w:val="22"/>
          <w:szCs w:val="22"/>
        </w:rPr>
        <w:t>project provides supporting evidence to the Dasgupta Review by providing research on i) the links between nature (including mangrove forests) and biodiversity; and ii) extreme situations such as regime shifts within ecosystems</w:t>
      </w:r>
      <w:r w:rsidR="00EB5414">
        <w:rPr>
          <w:rFonts w:ascii="Calibri" w:hAnsi="Calibri"/>
          <w:sz w:val="22"/>
          <w:szCs w:val="22"/>
        </w:rPr>
        <w:t>. This project is in the closure phase.</w:t>
      </w:r>
    </w:p>
    <w:p w14:paraId="6F5A7353" w14:textId="77777777" w:rsidR="00EB5414" w:rsidRDefault="00EB5414" w:rsidP="00EB5414">
      <w:pPr>
        <w:pStyle w:val="Normal1"/>
        <w:jc w:val="both"/>
        <w:rPr>
          <w:rFonts w:ascii="Calibri" w:hAnsi="Calibri"/>
          <w:sz w:val="22"/>
          <w:szCs w:val="22"/>
        </w:rPr>
      </w:pPr>
    </w:p>
    <w:p w14:paraId="27056CC0" w14:textId="77777777" w:rsidR="00634FD8" w:rsidRDefault="00634FD8" w:rsidP="00E044A4">
      <w:pPr>
        <w:pStyle w:val="Heading2"/>
      </w:pPr>
      <w:bookmarkStart w:id="5" w:name="_heading=h.2250f4o"/>
      <w:bookmarkEnd w:id="5"/>
      <w:r>
        <w:t>Overview of Expected Results</w:t>
      </w:r>
    </w:p>
    <w:p w14:paraId="5E61F739" w14:textId="5D932A85" w:rsidR="00634FD8" w:rsidRPr="003F15A5" w:rsidRDefault="615EF8A9" w:rsidP="2C356364">
      <w:pPr>
        <w:pBdr>
          <w:top w:val="nil"/>
          <w:left w:val="nil"/>
          <w:bottom w:val="nil"/>
          <w:right w:val="nil"/>
          <w:between w:val="nil"/>
        </w:pBdr>
        <w:spacing w:line="22" w:lineRule="atLeast"/>
        <w:jc w:val="both"/>
      </w:pPr>
      <w:r w:rsidRPr="003F15A5">
        <w:t xml:space="preserve">The UK </w:t>
      </w:r>
      <w:r w:rsidR="00141CFA">
        <w:t>BCF</w:t>
      </w:r>
      <w:r w:rsidRPr="003F15A5">
        <w:t xml:space="preserve"> seeks to protect and restore mangrove forests in key sites across Latin America and the Caribbean. </w:t>
      </w:r>
      <w:r w:rsidR="00634FD8" w:rsidRPr="003F15A5">
        <w:t xml:space="preserve">Investment in the </w:t>
      </w:r>
      <w:r w:rsidR="4E3DA578" w:rsidRPr="003F15A5">
        <w:t xml:space="preserve">UK </w:t>
      </w:r>
      <w:r w:rsidR="00141CFA">
        <w:t>BCF</w:t>
      </w:r>
      <w:r w:rsidR="4E3DA578" w:rsidRPr="003F15A5">
        <w:t xml:space="preserve"> </w:t>
      </w:r>
      <w:r w:rsidR="00634FD8" w:rsidRPr="003F15A5">
        <w:t>is planned to be £1</w:t>
      </w:r>
      <w:r w:rsidR="25BF0642" w:rsidRPr="003F15A5">
        <w:t>2.95 million</w:t>
      </w:r>
      <w:r w:rsidR="00634FD8" w:rsidRPr="003F15A5">
        <w:t xml:space="preserve"> over a period of 8 years</w:t>
      </w:r>
      <w:r w:rsidR="5A89036C" w:rsidRPr="003F15A5">
        <w:t>.</w:t>
      </w:r>
      <w:r w:rsidR="00634FD8" w:rsidRPr="003F15A5">
        <w:t xml:space="preserve"> </w:t>
      </w:r>
      <w:r w:rsidR="371BACBC" w:rsidRPr="003F15A5">
        <w:t xml:space="preserve">A final </w:t>
      </w:r>
      <w:r w:rsidR="003F15A5" w:rsidRPr="003F15A5">
        <w:t>programme-level R</w:t>
      </w:r>
      <w:r w:rsidR="371BACBC" w:rsidRPr="003F15A5">
        <w:t xml:space="preserve">esults </w:t>
      </w:r>
      <w:r w:rsidR="003F15A5" w:rsidRPr="003F15A5">
        <w:t>F</w:t>
      </w:r>
      <w:r w:rsidR="371BACBC" w:rsidRPr="003F15A5">
        <w:t xml:space="preserve">ramework </w:t>
      </w:r>
      <w:r w:rsidR="003F15A5" w:rsidRPr="003F15A5">
        <w:t xml:space="preserve">(including logical Framework and Theory of Change) </w:t>
      </w:r>
      <w:r w:rsidR="371BACBC" w:rsidRPr="003F15A5">
        <w:t xml:space="preserve">has not yet been agreed, however, </w:t>
      </w:r>
      <w:r w:rsidR="7876C78A" w:rsidRPr="003F15A5">
        <w:t xml:space="preserve">the </w:t>
      </w:r>
      <w:r w:rsidR="371BACBC" w:rsidRPr="003F15A5">
        <w:t xml:space="preserve">Business Case identifies that </w:t>
      </w:r>
      <w:r w:rsidR="020C8611" w:rsidRPr="003F15A5">
        <w:t xml:space="preserve">overall, the programme expects to achieve the following indicative results: </w:t>
      </w:r>
    </w:p>
    <w:p w14:paraId="689E49DE" w14:textId="65D0E755" w:rsidR="003F15A5" w:rsidRPr="003F15A5" w:rsidRDefault="003F15A5" w:rsidP="00D33DD9">
      <w:pPr>
        <w:pStyle w:val="ListParagraph"/>
        <w:numPr>
          <w:ilvl w:val="0"/>
          <w:numId w:val="6"/>
        </w:numPr>
        <w:pBdr>
          <w:top w:val="nil"/>
          <w:left w:val="nil"/>
          <w:bottom w:val="nil"/>
          <w:right w:val="nil"/>
          <w:between w:val="nil"/>
        </w:pBdr>
        <w:spacing w:line="22" w:lineRule="atLeast"/>
        <w:jc w:val="both"/>
      </w:pPr>
      <w:r w:rsidRPr="003F15A5">
        <w:rPr>
          <w:b/>
          <w:bCs/>
        </w:rPr>
        <w:t>2,912,000 tonnes</w:t>
      </w:r>
      <w:r w:rsidRPr="003F15A5">
        <w:t xml:space="preserve"> of greenhouse gas emissions sequestered or avoided;</w:t>
      </w:r>
    </w:p>
    <w:p w14:paraId="1A478ED5" w14:textId="1A60FB6A" w:rsidR="003F15A5" w:rsidRPr="003F15A5" w:rsidRDefault="003F15A5" w:rsidP="00D33DD9">
      <w:pPr>
        <w:pStyle w:val="ListParagraph"/>
        <w:numPr>
          <w:ilvl w:val="0"/>
          <w:numId w:val="6"/>
        </w:numPr>
        <w:pBdr>
          <w:top w:val="nil"/>
          <w:left w:val="nil"/>
          <w:bottom w:val="nil"/>
          <w:right w:val="nil"/>
          <w:between w:val="nil"/>
        </w:pBdr>
        <w:spacing w:line="22" w:lineRule="atLeast"/>
        <w:jc w:val="both"/>
      </w:pPr>
      <w:r w:rsidRPr="003F15A5">
        <w:rPr>
          <w:b/>
          <w:bCs/>
        </w:rPr>
        <w:t>5,570 hectares</w:t>
      </w:r>
      <w:r w:rsidRPr="003F15A5">
        <w:t xml:space="preserve"> of mangrove forest restored or protected; and</w:t>
      </w:r>
    </w:p>
    <w:p w14:paraId="762226CC" w14:textId="1599C4D6" w:rsidR="003F15A5" w:rsidRPr="003F15A5" w:rsidRDefault="003F15A5" w:rsidP="00D33DD9">
      <w:pPr>
        <w:pStyle w:val="ListParagraph"/>
        <w:numPr>
          <w:ilvl w:val="0"/>
          <w:numId w:val="6"/>
        </w:numPr>
        <w:pBdr>
          <w:top w:val="nil"/>
          <w:left w:val="nil"/>
          <w:bottom w:val="nil"/>
          <w:right w:val="nil"/>
          <w:between w:val="nil"/>
        </w:pBdr>
        <w:spacing w:line="22" w:lineRule="atLeast"/>
        <w:jc w:val="both"/>
      </w:pPr>
      <w:r w:rsidRPr="003F15A5">
        <w:rPr>
          <w:b/>
          <w:bCs/>
        </w:rPr>
        <w:t>£48 million</w:t>
      </w:r>
      <w:r w:rsidRPr="003F15A5">
        <w:t xml:space="preserve"> of ecosystem services restored or protected.</w:t>
      </w:r>
    </w:p>
    <w:p w14:paraId="4721097A" w14:textId="72625485" w:rsidR="003F15A5" w:rsidRPr="00171777" w:rsidRDefault="5DF47217" w:rsidP="003F15A5">
      <w:pPr>
        <w:pBdr>
          <w:top w:val="nil"/>
          <w:left w:val="nil"/>
          <w:bottom w:val="nil"/>
          <w:right w:val="nil"/>
          <w:between w:val="nil"/>
        </w:pBdr>
        <w:spacing w:line="22" w:lineRule="atLeast"/>
        <w:jc w:val="both"/>
        <w:rPr>
          <w:color w:val="FF0000"/>
        </w:rPr>
      </w:pPr>
      <w:r>
        <w:t xml:space="preserve">The programme also aims to deliver significant livelihoods benefits for programme beneficiaries. An estimation of how many people the programme would benefit was due in November 2019, but this has not yet been delivered. Further work is needed to quantify </w:t>
      </w:r>
      <w:r w:rsidR="0FE45C45">
        <w:t>this,</w:t>
      </w:r>
      <w:r w:rsidR="70BBB95A">
        <w:t xml:space="preserve"> and this was also noted in last year’s Annual Review</w:t>
      </w:r>
      <w:r>
        <w:t>.</w:t>
      </w:r>
    </w:p>
    <w:p w14:paraId="1BC8714B" w14:textId="687831CA" w:rsidR="007F02A4" w:rsidRDefault="003F15A5" w:rsidP="003F15A5">
      <w:pPr>
        <w:pBdr>
          <w:top w:val="nil"/>
          <w:left w:val="nil"/>
          <w:bottom w:val="nil"/>
          <w:right w:val="nil"/>
          <w:between w:val="nil"/>
        </w:pBdr>
        <w:spacing w:line="22" w:lineRule="atLeast"/>
        <w:jc w:val="both"/>
      </w:pPr>
      <w:r>
        <w:t xml:space="preserve">Projects approved to date will help deliver these results and key targets for existing projects are outlined </w:t>
      </w:r>
      <w:r w:rsidR="007F02A4">
        <w:t xml:space="preserve">in Annex </w:t>
      </w:r>
      <w:r w:rsidR="00D4220C">
        <w:t>B</w:t>
      </w:r>
      <w:r w:rsidR="007F02A4">
        <w:t>.</w:t>
      </w:r>
    </w:p>
    <w:p w14:paraId="427BA1A9" w14:textId="77777777" w:rsidR="00634FD8" w:rsidRDefault="00634FD8" w:rsidP="00D33DD9">
      <w:pPr>
        <w:pStyle w:val="Heading1"/>
        <w:numPr>
          <w:ilvl w:val="0"/>
          <w:numId w:val="3"/>
        </w:numPr>
        <w:spacing w:line="22" w:lineRule="atLeast"/>
        <w:ind w:left="426" w:hanging="426"/>
        <w:rPr>
          <w:b/>
        </w:rPr>
      </w:pPr>
      <w:bookmarkStart w:id="6" w:name="_heading=h.haapch" w:colFirst="0" w:colLast="0"/>
      <w:bookmarkEnd w:id="6"/>
      <w:r>
        <w:rPr>
          <w:b/>
        </w:rPr>
        <w:t>Performance and Conclusions</w:t>
      </w:r>
    </w:p>
    <w:p w14:paraId="38EAB805" w14:textId="77777777" w:rsidR="007B6E6F" w:rsidRDefault="007B6E6F" w:rsidP="00E044A4">
      <w:pPr>
        <w:pStyle w:val="Heading2"/>
      </w:pPr>
      <w:r>
        <w:t>Programme Management Tool Summary</w:t>
      </w:r>
    </w:p>
    <w:p w14:paraId="1FA266B8" w14:textId="344B5E96" w:rsidR="007B6E6F" w:rsidRDefault="007B6E6F" w:rsidP="00484CCF">
      <w:pPr>
        <w:jc w:val="both"/>
        <w:rPr>
          <w:lang w:val="en-US"/>
        </w:rPr>
      </w:pPr>
      <w:r>
        <w:rPr>
          <w:lang w:val="en-US"/>
        </w:rPr>
        <w:t>This section briefly summarises the output / performance of some of the programme management tools over the past year:</w:t>
      </w:r>
    </w:p>
    <w:p w14:paraId="4A786DBE" w14:textId="4A391B2F" w:rsidR="007B6E6F" w:rsidRPr="00C609AD" w:rsidRDefault="00C609AD" w:rsidP="00D33DD9">
      <w:pPr>
        <w:pStyle w:val="ListParagraph"/>
        <w:numPr>
          <w:ilvl w:val="0"/>
          <w:numId w:val="10"/>
        </w:numPr>
        <w:jc w:val="both"/>
        <w:rPr>
          <w:lang w:val="en-US"/>
        </w:rPr>
      </w:pPr>
      <w:r w:rsidRPr="4276FBD0">
        <w:rPr>
          <w:b/>
          <w:bCs/>
          <w:color w:val="1F4E79" w:themeColor="accent5" w:themeShade="80"/>
        </w:rPr>
        <w:lastRenderedPageBreak/>
        <w:t xml:space="preserve">Log frame summary. </w:t>
      </w:r>
      <w:r>
        <w:t>As previously indicated, a programme</w:t>
      </w:r>
      <w:r w:rsidR="003F4959">
        <w:t>-</w:t>
      </w:r>
      <w:r>
        <w:t>level logical framework</w:t>
      </w:r>
      <w:r w:rsidR="003F4959">
        <w:t xml:space="preserve"> and Theory of Change are</w:t>
      </w:r>
      <w:r>
        <w:t xml:space="preserve"> not yet finalised and therefore cannot be reported against. Instead, Defra </w:t>
      </w:r>
      <w:r w:rsidR="00AE7F7C">
        <w:t xml:space="preserve">have </w:t>
      </w:r>
      <w:r>
        <w:t xml:space="preserve">used the Administrative Agreement, recommendations from last year’s Annual Review and commitments made over the course of the programme to develop the output indicators below. Defra is confident that these outputs have been designed to accurately reflect the overall performance of the UK </w:t>
      </w:r>
      <w:r w:rsidR="00141CFA">
        <w:t>BCF</w:t>
      </w:r>
      <w:r>
        <w:t xml:space="preserve"> in </w:t>
      </w:r>
      <w:r w:rsidR="00AE7F7C">
        <w:t>2020/21</w:t>
      </w:r>
      <w:r>
        <w:t>.</w:t>
      </w:r>
    </w:p>
    <w:p w14:paraId="40B4185B" w14:textId="2CBA3A3C" w:rsidR="00C609AD" w:rsidRPr="00C609AD" w:rsidRDefault="00C609AD" w:rsidP="00D33DD9">
      <w:pPr>
        <w:pStyle w:val="ListParagraph"/>
        <w:numPr>
          <w:ilvl w:val="0"/>
          <w:numId w:val="10"/>
        </w:numPr>
        <w:jc w:val="both"/>
        <w:rPr>
          <w:lang w:val="en-US"/>
        </w:rPr>
      </w:pPr>
      <w:r>
        <w:rPr>
          <w:b/>
          <w:bCs/>
          <w:color w:val="1F4E79"/>
        </w:rPr>
        <w:t>Value for money summary.</w:t>
      </w:r>
      <w:r>
        <w:rPr>
          <w:lang w:val="en-US"/>
        </w:rPr>
        <w:t xml:space="preserve"> </w:t>
      </w:r>
      <w:r w:rsidR="00563E56">
        <w:rPr>
          <w:lang w:val="en-US"/>
        </w:rPr>
        <w:t>A value for money assessment cannot be conducted at this time as a programme-level logical framework and related milestones and expected targets have not been finalised (see Section 4 for more detail). The impact of the COVID-19 pandemic on the capacity to deliver projects has also not been fully assessed (see Section 3.3).</w:t>
      </w:r>
    </w:p>
    <w:p w14:paraId="72C0130E" w14:textId="79437278" w:rsidR="00C609AD" w:rsidRDefault="00C609AD" w:rsidP="00D33DD9">
      <w:pPr>
        <w:pStyle w:val="ListParagraph"/>
        <w:numPr>
          <w:ilvl w:val="0"/>
          <w:numId w:val="10"/>
        </w:numPr>
        <w:jc w:val="both"/>
        <w:rPr>
          <w:lang w:val="en-US"/>
        </w:rPr>
      </w:pPr>
      <w:r>
        <w:rPr>
          <w:b/>
          <w:bCs/>
          <w:color w:val="1F4E79"/>
        </w:rPr>
        <w:t>Risk summary.</w:t>
      </w:r>
      <w:r>
        <w:rPr>
          <w:lang w:val="en-US"/>
        </w:rPr>
        <w:t xml:space="preserve"> The UK </w:t>
      </w:r>
      <w:r w:rsidR="00141CFA">
        <w:rPr>
          <w:lang w:val="en-US"/>
        </w:rPr>
        <w:t>BCF</w:t>
      </w:r>
      <w:r>
        <w:rPr>
          <w:lang w:val="en-US"/>
        </w:rPr>
        <w:t xml:space="preserve"> has an increased major risk rating with delayed and </w:t>
      </w:r>
      <w:r w:rsidR="003F1D02">
        <w:rPr>
          <w:lang w:val="en-US"/>
        </w:rPr>
        <w:t>poor-quality</w:t>
      </w:r>
      <w:r>
        <w:rPr>
          <w:lang w:val="en-US"/>
        </w:rPr>
        <w:t xml:space="preserve"> M&amp;E and programme management products posing the most prominent risks (see Section </w:t>
      </w:r>
      <w:r w:rsidR="00FE3ED2">
        <w:rPr>
          <w:lang w:val="en-US"/>
        </w:rPr>
        <w:t>5</w:t>
      </w:r>
      <w:r w:rsidR="003F1D02">
        <w:rPr>
          <w:lang w:val="en-US"/>
        </w:rPr>
        <w:t xml:space="preserve"> for more detail).</w:t>
      </w:r>
      <w:r>
        <w:rPr>
          <w:lang w:val="en-US"/>
        </w:rPr>
        <w:t xml:space="preserve">  </w:t>
      </w:r>
    </w:p>
    <w:p w14:paraId="482FDFFB" w14:textId="317737C1" w:rsidR="003F1D02" w:rsidRDefault="003F1D02" w:rsidP="00E044A4">
      <w:pPr>
        <w:pStyle w:val="Heading2"/>
      </w:pPr>
      <w:r>
        <w:t>Impact Assessment</w:t>
      </w:r>
    </w:p>
    <w:p w14:paraId="45A2AB00" w14:textId="1F7C4176" w:rsidR="003F1D02" w:rsidRDefault="003F1D02" w:rsidP="003F1D02">
      <w:pPr>
        <w:rPr>
          <w:lang w:val="en-US"/>
        </w:rPr>
      </w:pPr>
      <w:r>
        <w:rPr>
          <w:lang w:val="en-US"/>
        </w:rPr>
        <w:t>The 20</w:t>
      </w:r>
      <w:r w:rsidR="00BC1B3A">
        <w:rPr>
          <w:lang w:val="en-US"/>
        </w:rPr>
        <w:t>18</w:t>
      </w:r>
      <w:r>
        <w:rPr>
          <w:lang w:val="en-US"/>
        </w:rPr>
        <w:t xml:space="preserve"> Business Case identifies the overall impact aim of the UK </w:t>
      </w:r>
      <w:r w:rsidR="00141CFA">
        <w:rPr>
          <w:lang w:val="en-US"/>
        </w:rPr>
        <w:t>BCF</w:t>
      </w:r>
      <w:r>
        <w:rPr>
          <w:lang w:val="en-US"/>
        </w:rPr>
        <w:t xml:space="preserve"> as:</w:t>
      </w:r>
    </w:p>
    <w:p w14:paraId="44DA6761" w14:textId="76ECCAF7" w:rsidR="003F1D02" w:rsidRPr="00563E56" w:rsidRDefault="00563E56" w:rsidP="00563E56">
      <w:pPr>
        <w:pStyle w:val="Quote"/>
      </w:pPr>
      <w:r w:rsidRPr="00563E56">
        <w:t>Produce a transformational change in the conservation of mangroves by developing and embedding operational blue carbon markets across Latin America that provide local communities with a sustainable income and assist in moving low-income countries towards low-emission, climate-resilient development.</w:t>
      </w:r>
    </w:p>
    <w:p w14:paraId="33D59BB3" w14:textId="01FB95B6" w:rsidR="003F1D02" w:rsidRDefault="003F1D02" w:rsidP="00484CCF">
      <w:pPr>
        <w:jc w:val="both"/>
        <w:rPr>
          <w:lang w:val="en-US"/>
        </w:rPr>
      </w:pPr>
      <w:r w:rsidRPr="367BE1D9">
        <w:rPr>
          <w:lang w:val="en-US"/>
        </w:rPr>
        <w:t xml:space="preserve">Performance against </w:t>
      </w:r>
      <w:r w:rsidR="003F4959" w:rsidRPr="367BE1D9">
        <w:rPr>
          <w:lang w:val="en-US"/>
        </w:rPr>
        <w:t>the</w:t>
      </w:r>
      <w:r w:rsidRPr="367BE1D9">
        <w:rPr>
          <w:lang w:val="en-US"/>
        </w:rPr>
        <w:t xml:space="preserve"> impact</w:t>
      </w:r>
      <w:r w:rsidR="003F4959" w:rsidRPr="367BE1D9">
        <w:rPr>
          <w:lang w:val="en-US"/>
        </w:rPr>
        <w:t xml:space="preserve"> of the UK BCF</w:t>
      </w:r>
      <w:r w:rsidRPr="367BE1D9">
        <w:rPr>
          <w:lang w:val="en-US"/>
        </w:rPr>
        <w:t xml:space="preserve"> cannot be assessed without a robust programme-level results framework.  </w:t>
      </w:r>
      <w:r w:rsidR="003F4959" w:rsidRPr="367BE1D9">
        <w:rPr>
          <w:lang w:val="en-US"/>
        </w:rPr>
        <w:t xml:space="preserve">It is expected that </w:t>
      </w:r>
      <w:r w:rsidR="00B172CC" w:rsidRPr="367BE1D9">
        <w:rPr>
          <w:lang w:val="en-US"/>
        </w:rPr>
        <w:t xml:space="preserve">a Theory of Change and </w:t>
      </w:r>
      <w:r w:rsidR="003F4959" w:rsidRPr="367BE1D9">
        <w:rPr>
          <w:lang w:val="en-US"/>
        </w:rPr>
        <w:t xml:space="preserve">programme-level logical framework </w:t>
      </w:r>
      <w:r w:rsidR="00751B78" w:rsidRPr="367BE1D9">
        <w:rPr>
          <w:lang w:val="en-US"/>
        </w:rPr>
        <w:t xml:space="preserve">with robust indicators, baselines and targets </w:t>
      </w:r>
      <w:r w:rsidR="00B172CC" w:rsidRPr="367BE1D9">
        <w:rPr>
          <w:lang w:val="en-US"/>
        </w:rPr>
        <w:t xml:space="preserve">aligned with ICF KPIs </w:t>
      </w:r>
      <w:r w:rsidR="003F4959" w:rsidRPr="367BE1D9">
        <w:rPr>
          <w:lang w:val="en-US"/>
        </w:rPr>
        <w:t>will be finalised in time for the next Annual Review.</w:t>
      </w:r>
    </w:p>
    <w:p w14:paraId="5488E171" w14:textId="5BA57881" w:rsidR="003F1D02" w:rsidRDefault="003F1D02" w:rsidP="00E044A4">
      <w:pPr>
        <w:pStyle w:val="Heading2"/>
      </w:pPr>
      <w:r>
        <w:t>Annual Outcome Assessment</w:t>
      </w:r>
    </w:p>
    <w:p w14:paraId="0FAB2391" w14:textId="6B8F00E3" w:rsidR="003F1D02" w:rsidRDefault="003F1D02" w:rsidP="00484CCF">
      <w:pPr>
        <w:jc w:val="both"/>
        <w:rPr>
          <w:lang w:val="en-US"/>
        </w:rPr>
      </w:pPr>
      <w:r>
        <w:rPr>
          <w:lang w:val="en-US"/>
        </w:rPr>
        <w:t xml:space="preserve">Performance against </w:t>
      </w:r>
      <w:r w:rsidR="003F4959">
        <w:rPr>
          <w:lang w:val="en-US"/>
        </w:rPr>
        <w:t>the expected</w:t>
      </w:r>
      <w:r>
        <w:rPr>
          <w:lang w:val="en-US"/>
        </w:rPr>
        <w:t xml:space="preserve"> outcome</w:t>
      </w:r>
      <w:r w:rsidR="003F4959">
        <w:rPr>
          <w:lang w:val="en-US"/>
        </w:rPr>
        <w:t xml:space="preserve"> of the UK </w:t>
      </w:r>
      <w:r w:rsidR="00141CFA">
        <w:rPr>
          <w:lang w:val="en-US"/>
        </w:rPr>
        <w:t>BCF</w:t>
      </w:r>
      <w:r>
        <w:rPr>
          <w:lang w:val="en-US"/>
        </w:rPr>
        <w:t xml:space="preserve"> cannot be assessed without a programme-level logical framework</w:t>
      </w:r>
      <w:r w:rsidR="003F4959">
        <w:rPr>
          <w:lang w:val="en-US"/>
        </w:rPr>
        <w:t xml:space="preserve"> and Theory of Change</w:t>
      </w:r>
      <w:r>
        <w:rPr>
          <w:lang w:val="en-US"/>
        </w:rPr>
        <w:t>. It is expected that the programme-level logical framework will be finalised in time for the next Annual Review.</w:t>
      </w:r>
    </w:p>
    <w:p w14:paraId="0893E3DF" w14:textId="3DB95462" w:rsidR="003F1D02" w:rsidRPr="003F1D02" w:rsidRDefault="003F1D02" w:rsidP="00E044A4">
      <w:pPr>
        <w:pStyle w:val="Heading2"/>
      </w:pPr>
      <w:r>
        <w:t>Overall Output Score and Description</w:t>
      </w:r>
    </w:p>
    <w:p w14:paraId="1287EDB6" w14:textId="6AA04800" w:rsidR="00BB7661" w:rsidRDefault="6EB1058E" w:rsidP="00484CCF">
      <w:pPr>
        <w:jc w:val="both"/>
        <w:rPr>
          <w:lang w:val="en-US"/>
        </w:rPr>
      </w:pPr>
      <w:r w:rsidRPr="367BE1D9">
        <w:rPr>
          <w:lang w:val="en-US"/>
        </w:rPr>
        <w:t xml:space="preserve">The UK </w:t>
      </w:r>
      <w:r w:rsidR="00141CFA">
        <w:rPr>
          <w:lang w:val="en-US"/>
        </w:rPr>
        <w:t>BCF</w:t>
      </w:r>
      <w:r w:rsidRPr="367BE1D9">
        <w:rPr>
          <w:lang w:val="en-US"/>
        </w:rPr>
        <w:t xml:space="preserve"> has received an overall performance score of </w:t>
      </w:r>
      <w:r w:rsidRPr="367BE1D9">
        <w:rPr>
          <w:b/>
          <w:bCs/>
          <w:lang w:val="en-US"/>
        </w:rPr>
        <w:t>B</w:t>
      </w:r>
      <w:r w:rsidRPr="367BE1D9">
        <w:rPr>
          <w:lang w:val="en-US"/>
        </w:rPr>
        <w:t xml:space="preserve"> in 2020/21. This reflects </w:t>
      </w:r>
      <w:r w:rsidR="3486276F" w:rsidRPr="367BE1D9">
        <w:rPr>
          <w:lang w:val="en-US"/>
        </w:rPr>
        <w:t xml:space="preserve">the significant delays to project delivery and </w:t>
      </w:r>
      <w:r w:rsidR="72C70082" w:rsidRPr="367BE1D9">
        <w:rPr>
          <w:lang w:val="en-US"/>
        </w:rPr>
        <w:t>insufficient</w:t>
      </w:r>
      <w:r w:rsidR="3486276F" w:rsidRPr="367BE1D9">
        <w:rPr>
          <w:lang w:val="en-US"/>
        </w:rPr>
        <w:t xml:space="preserve"> progress against </w:t>
      </w:r>
      <w:r w:rsidR="00F97E4F" w:rsidRPr="367BE1D9">
        <w:rPr>
          <w:lang w:val="en-US"/>
        </w:rPr>
        <w:t xml:space="preserve">the 2019/20 Annual Review </w:t>
      </w:r>
      <w:r w:rsidR="3486276F" w:rsidRPr="367BE1D9">
        <w:rPr>
          <w:lang w:val="en-US"/>
        </w:rPr>
        <w:t>recommendations for this year.</w:t>
      </w:r>
      <w:r w:rsidR="009744AC" w:rsidRPr="367BE1D9">
        <w:rPr>
          <w:lang w:val="en-US"/>
        </w:rPr>
        <w:t xml:space="preserve"> </w:t>
      </w:r>
      <w:r w:rsidR="00605846" w:rsidRPr="367BE1D9">
        <w:rPr>
          <w:lang w:val="en-US"/>
        </w:rPr>
        <w:t>Thi</w:t>
      </w:r>
      <w:r w:rsidR="009744AC" w:rsidRPr="367BE1D9">
        <w:rPr>
          <w:lang w:val="en-US"/>
        </w:rPr>
        <w:t>s</w:t>
      </w:r>
      <w:r w:rsidR="00D805A7" w:rsidRPr="367BE1D9">
        <w:rPr>
          <w:lang w:val="en-US"/>
        </w:rPr>
        <w:t xml:space="preserve"> Annual Review focuses on </w:t>
      </w:r>
      <w:r w:rsidR="00BB7661" w:rsidRPr="367BE1D9">
        <w:rPr>
          <w:lang w:val="en-US"/>
        </w:rPr>
        <w:t xml:space="preserve">programme management processes and assesses the performance of the UK </w:t>
      </w:r>
      <w:r w:rsidR="00141CFA">
        <w:rPr>
          <w:lang w:val="en-US"/>
        </w:rPr>
        <w:t>BCF</w:t>
      </w:r>
      <w:r w:rsidR="00BB7661" w:rsidRPr="367BE1D9">
        <w:rPr>
          <w:lang w:val="en-US"/>
        </w:rPr>
        <w:t xml:space="preserve"> </w:t>
      </w:r>
      <w:r w:rsidR="009744AC" w:rsidRPr="367BE1D9">
        <w:rPr>
          <w:lang w:val="en-US"/>
        </w:rPr>
        <w:t xml:space="preserve">between July 2020 and June 2021 </w:t>
      </w:r>
      <w:r w:rsidR="00BB7661" w:rsidRPr="367BE1D9">
        <w:rPr>
          <w:lang w:val="en-US"/>
        </w:rPr>
        <w:t>using three outputs i) the efficacy and effectiveness of programme processes in the design phase ii) performance of projects in the implementation phase and iii) effectiveness of communication between the IDB and Defra.</w:t>
      </w:r>
      <w:r w:rsidR="003F1D02" w:rsidRPr="367BE1D9">
        <w:rPr>
          <w:lang w:val="en-US"/>
        </w:rPr>
        <w:t xml:space="preserve"> </w:t>
      </w:r>
    </w:p>
    <w:p w14:paraId="42521418" w14:textId="5819D482" w:rsidR="009744AC" w:rsidRDefault="009744AC" w:rsidP="367BE1D9">
      <w:pPr>
        <w:jc w:val="both"/>
        <w:rPr>
          <w:lang w:val="en-US"/>
        </w:rPr>
      </w:pPr>
      <w:r w:rsidRPr="367BE1D9">
        <w:rPr>
          <w:lang w:val="en-US"/>
        </w:rPr>
        <w:t xml:space="preserve">The next Annual Review is expected to be output focused and will cover the period January to December 2021 to align with the IDB’s reporting period and capture progress against the </w:t>
      </w:r>
      <w:r w:rsidR="009E36C9" w:rsidRPr="367BE1D9">
        <w:rPr>
          <w:lang w:val="en-US"/>
        </w:rPr>
        <w:t xml:space="preserve">programme </w:t>
      </w:r>
      <w:r w:rsidRPr="367BE1D9">
        <w:rPr>
          <w:lang w:val="en-US"/>
        </w:rPr>
        <w:t>logical framework</w:t>
      </w:r>
      <w:r w:rsidR="00510714" w:rsidRPr="367BE1D9">
        <w:rPr>
          <w:lang w:val="en-US"/>
        </w:rPr>
        <w:t xml:space="preserve"> that </w:t>
      </w:r>
      <w:r w:rsidR="00C119D4" w:rsidRPr="367BE1D9">
        <w:rPr>
          <w:lang w:val="en-US"/>
        </w:rPr>
        <w:t>Defra expects</w:t>
      </w:r>
      <w:r w:rsidR="00510714" w:rsidRPr="367BE1D9">
        <w:rPr>
          <w:lang w:val="en-US"/>
        </w:rPr>
        <w:t xml:space="preserve"> to be finali</w:t>
      </w:r>
      <w:r w:rsidR="00C119D4" w:rsidRPr="367BE1D9">
        <w:rPr>
          <w:lang w:val="en-US"/>
        </w:rPr>
        <w:t>s</w:t>
      </w:r>
      <w:r w:rsidR="00510714" w:rsidRPr="367BE1D9">
        <w:rPr>
          <w:lang w:val="en-US"/>
        </w:rPr>
        <w:t>ed</w:t>
      </w:r>
      <w:r w:rsidR="004C29E2" w:rsidRPr="367BE1D9">
        <w:rPr>
          <w:lang w:val="en-US"/>
        </w:rPr>
        <w:t xml:space="preserve"> and </w:t>
      </w:r>
      <w:r w:rsidR="00C119D4" w:rsidRPr="367BE1D9">
        <w:rPr>
          <w:lang w:val="en-US"/>
        </w:rPr>
        <w:t>agreed following this Annual Review</w:t>
      </w:r>
      <w:r w:rsidRPr="367BE1D9">
        <w:rPr>
          <w:lang w:val="en-US"/>
        </w:rPr>
        <w:t>. The change in reporting period from July to June to January to December will result in a second assessment of reporting months January to June 2021 (see Figure 1). As the next Annual Review and all subsequent Annual Reviews should be output focused rather than process focused, duplication will be avoided as much as possible</w:t>
      </w:r>
      <w:r w:rsidR="00345434">
        <w:rPr>
          <w:lang w:val="en-US"/>
        </w:rPr>
        <w:t>, although</w:t>
      </w:r>
      <w:r w:rsidRPr="367BE1D9">
        <w:rPr>
          <w:lang w:val="en-US"/>
        </w:rPr>
        <w:t xml:space="preserve"> </w:t>
      </w:r>
      <w:r w:rsidR="00345434">
        <w:rPr>
          <w:lang w:val="en-US"/>
        </w:rPr>
        <w:t>s</w:t>
      </w:r>
      <w:r w:rsidRPr="367BE1D9">
        <w:rPr>
          <w:lang w:val="en-US"/>
        </w:rPr>
        <w:t>ome duplication will be unavoidable due to the need to provide a narrative context.</w:t>
      </w:r>
    </w:p>
    <w:p w14:paraId="2517DADC" w14:textId="1FD10128" w:rsidR="367BE1D9" w:rsidRDefault="00AA1482" w:rsidP="367BE1D9">
      <w:pPr>
        <w:jc w:val="both"/>
        <w:rPr>
          <w:u w:val="single"/>
          <w:lang w:val="en-US"/>
        </w:rPr>
      </w:pPr>
      <w:r>
        <w:rPr>
          <w:noProof/>
          <w:u w:val="single"/>
          <w:lang w:val="en-US"/>
        </w:rPr>
        <w:lastRenderedPageBreak/>
        <mc:AlternateContent>
          <mc:Choice Requires="wpg">
            <w:drawing>
              <wp:anchor distT="0" distB="0" distL="114300" distR="114300" simplePos="0" relativeHeight="251658241" behindDoc="0" locked="0" layoutInCell="1" allowOverlap="1" wp14:anchorId="21AEC77A" wp14:editId="1C2DFF36">
                <wp:simplePos x="0" y="0"/>
                <wp:positionH relativeFrom="column">
                  <wp:posOffset>0</wp:posOffset>
                </wp:positionH>
                <wp:positionV relativeFrom="paragraph">
                  <wp:posOffset>370205</wp:posOffset>
                </wp:positionV>
                <wp:extent cx="5724525" cy="1981200"/>
                <wp:effectExtent l="0" t="0" r="28575" b="0"/>
                <wp:wrapTopAndBottom/>
                <wp:docPr id="8" name="Group 8"/>
                <wp:cNvGraphicFramePr/>
                <a:graphic xmlns:a="http://schemas.openxmlformats.org/drawingml/2006/main">
                  <a:graphicData uri="http://schemas.microsoft.com/office/word/2010/wordprocessingGroup">
                    <wpg:wgp>
                      <wpg:cNvGrpSpPr/>
                      <wpg:grpSpPr>
                        <a:xfrm>
                          <a:off x="0" y="0"/>
                          <a:ext cx="5724525" cy="1981200"/>
                          <a:chOff x="0" y="0"/>
                          <a:chExt cx="5508660" cy="1981200"/>
                        </a:xfrm>
                      </wpg:grpSpPr>
                      <wps:wsp>
                        <wps:cNvPr id="2" name="Rectangle: Rounded Corners 2"/>
                        <wps:cNvSpPr/>
                        <wps:spPr>
                          <a:xfrm>
                            <a:off x="1829519" y="714375"/>
                            <a:ext cx="1847850" cy="600075"/>
                          </a:xfrm>
                          <a:prstGeom prst="roundRect">
                            <a:avLst/>
                          </a:prstGeom>
                          <a:solidFill>
                            <a:schemeClr val="accent2">
                              <a:alpha val="25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Left Brace 5"/>
                        <wps:cNvSpPr/>
                        <wps:spPr>
                          <a:xfrm rot="5400000">
                            <a:off x="1702037" y="-1359137"/>
                            <a:ext cx="262255" cy="3666329"/>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Left Brace 6"/>
                        <wps:cNvSpPr/>
                        <wps:spPr>
                          <a:xfrm rot="16200000">
                            <a:off x="3575703" y="-327678"/>
                            <a:ext cx="233680" cy="3632234"/>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695685" y="0"/>
                            <a:ext cx="2292350" cy="390525"/>
                          </a:xfrm>
                          <a:prstGeom prst="rect">
                            <a:avLst/>
                          </a:prstGeom>
                          <a:solidFill>
                            <a:srgbClr val="FFFFFF"/>
                          </a:solidFill>
                          <a:ln w="9525">
                            <a:noFill/>
                            <a:miter lim="800000"/>
                            <a:headEnd/>
                            <a:tailEnd/>
                          </a:ln>
                        </wps:spPr>
                        <wps:txbx>
                          <w:txbxContent>
                            <w:p w14:paraId="27F05102" w14:textId="77777777" w:rsidR="006D7C46" w:rsidRPr="006D7C46" w:rsidRDefault="006D7C46" w:rsidP="006D7C46">
                              <w:pPr>
                                <w:jc w:val="center"/>
                                <w:rPr>
                                  <w:sz w:val="18"/>
                                  <w:szCs w:val="18"/>
                                </w:rPr>
                              </w:pPr>
                              <w:r w:rsidRPr="006D7C46">
                                <w:rPr>
                                  <w:sz w:val="18"/>
                                  <w:szCs w:val="18"/>
                                </w:rPr>
                                <w:t>Reporting period for this Annual Review (2020/21)</w:t>
                              </w:r>
                            </w:p>
                          </w:txbxContent>
                        </wps:txbx>
                        <wps:bodyPr rot="0" vert="horz" wrap="square" lIns="91440" tIns="45720" rIns="91440" bIns="45720" anchor="t" anchorCtr="0">
                          <a:noAutofit/>
                        </wps:bodyPr>
                      </wps:wsp>
                      <wps:wsp>
                        <wps:cNvPr id="7" name="Text Box 2"/>
                        <wps:cNvSpPr txBox="1">
                          <a:spLocks noChangeArrowheads="1"/>
                        </wps:cNvSpPr>
                        <wps:spPr bwMode="auto">
                          <a:xfrm>
                            <a:off x="2553777" y="1590675"/>
                            <a:ext cx="2292350" cy="390525"/>
                          </a:xfrm>
                          <a:prstGeom prst="rect">
                            <a:avLst/>
                          </a:prstGeom>
                          <a:solidFill>
                            <a:srgbClr val="FFFFFF"/>
                          </a:solidFill>
                          <a:ln w="9525">
                            <a:noFill/>
                            <a:miter lim="800000"/>
                            <a:headEnd/>
                            <a:tailEnd/>
                          </a:ln>
                        </wps:spPr>
                        <wps:txbx>
                          <w:txbxContent>
                            <w:p w14:paraId="4449BDD0" w14:textId="77777777" w:rsidR="006D7C46" w:rsidRPr="006D7C46" w:rsidRDefault="00DD40CD" w:rsidP="006D7C46">
                              <w:pPr>
                                <w:jc w:val="center"/>
                                <w:rPr>
                                  <w:sz w:val="18"/>
                                  <w:szCs w:val="18"/>
                                </w:rPr>
                              </w:pPr>
                              <w:r>
                                <w:rPr>
                                  <w:sz w:val="18"/>
                                  <w:szCs w:val="18"/>
                                </w:rPr>
                                <w:t>New r</w:t>
                              </w:r>
                              <w:r w:rsidR="006D7C46" w:rsidRPr="006D7C46">
                                <w:rPr>
                                  <w:sz w:val="18"/>
                                  <w:szCs w:val="18"/>
                                </w:rPr>
                                <w:t xml:space="preserve">eporting period for </w:t>
                              </w:r>
                              <w:r w:rsidR="006D7C46">
                                <w:rPr>
                                  <w:sz w:val="18"/>
                                  <w:szCs w:val="18"/>
                                </w:rPr>
                                <w:t>next</w:t>
                              </w:r>
                              <w:r w:rsidR="006D7C46" w:rsidRPr="006D7C46">
                                <w:rPr>
                                  <w:sz w:val="18"/>
                                  <w:szCs w:val="18"/>
                                </w:rPr>
                                <w:t xml:space="preserve"> Annual Review (</w:t>
                              </w:r>
                              <w:r w:rsidR="006D7C46">
                                <w:rPr>
                                  <w:sz w:val="18"/>
                                  <w:szCs w:val="18"/>
                                </w:rPr>
                                <w:t>2021</w:t>
                              </w:r>
                              <w:r w:rsidR="006D7C46" w:rsidRPr="006D7C46">
                                <w:rPr>
                                  <w:sz w:val="18"/>
                                  <w:szCs w:val="18"/>
                                </w:rPr>
                                <w:t>)</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1AEC77A" id="Group 8" o:spid="_x0000_s1026" style="position:absolute;left:0;text-align:left;margin-left:0;margin-top:29.15pt;width:450.75pt;height:156pt;z-index:251658241;mso-width-relative:margin" coordsize="55086,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">
                <v:roundrect id="Rectangle: Rounded Corners 2" o:spid="_x0000_s1027" style="position:absolute;left:18295;top:7143;width:18478;height:6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" fillcolor="#ed7d31 [3205]" strokecolor="#ed7d31 [3205]" strokeweight="1pt">
                  <v:fill opacity="16448f"/>
                  <v:stroke joinstyle="miter"/>
                </v:round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 o:spid="_x0000_s1028" type="#_x0000_t87" style="position:absolute;left:17021;top:-13592;width:2622;height:366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" adj="129" strokecolor="#4472c4 [3204]" strokeweight=".5pt">
                  <v:stroke joinstyle="miter"/>
                </v:shape>
                <v:shape id="Left Brace 6" o:spid="_x0000_s1029" type="#_x0000_t87" style="position:absolute;left:35756;top:-3277;width:2337;height:3632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" adj="116" strokecolor="#4472c4 [3204]" strokeweight=".5pt">
                  <v:stroke joinstyle="miter"/>
                </v:shape>
                <v:shapetype id="_x0000_t202" coordsize="21600,21600" o:spt="202" path="m,l,21600r21600,l21600,xe">
                  <v:stroke joinstyle="miter"/>
                  <v:path gradientshapeok="t" o:connecttype="rect"/>
                </v:shapetype>
                <v:shape id="Text Box 2" o:spid="_x0000_s1030" type="#_x0000_t202" style="position:absolute;left:6956;width:22924;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7F05102" w14:textId="77777777" w:rsidR="006D7C46" w:rsidRPr="006D7C46" w:rsidRDefault="006D7C46" w:rsidP="006D7C46">
                        <w:pPr>
                          <w:jc w:val="center"/>
                          <w:rPr>
                            <w:sz w:val="18"/>
                            <w:szCs w:val="18"/>
                          </w:rPr>
                        </w:pPr>
                        <w:r w:rsidRPr="006D7C46">
                          <w:rPr>
                            <w:sz w:val="18"/>
                            <w:szCs w:val="18"/>
                          </w:rPr>
                          <w:t>Reporting period for this Annual Review (2020/21)</w:t>
                        </w:r>
                      </w:p>
                    </w:txbxContent>
                  </v:textbox>
                </v:shape>
                <v:shape id="Text Box 2" o:spid="_x0000_s1031" type="#_x0000_t202" style="position:absolute;left:25537;top:15906;width:22924;height: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4449BDD0" w14:textId="77777777" w:rsidR="006D7C46" w:rsidRPr="006D7C46" w:rsidRDefault="00DD40CD" w:rsidP="006D7C46">
                        <w:pPr>
                          <w:jc w:val="center"/>
                          <w:rPr>
                            <w:sz w:val="18"/>
                            <w:szCs w:val="18"/>
                          </w:rPr>
                        </w:pPr>
                        <w:r>
                          <w:rPr>
                            <w:sz w:val="18"/>
                            <w:szCs w:val="18"/>
                          </w:rPr>
                          <w:t>New r</w:t>
                        </w:r>
                        <w:r w:rsidR="006D7C46" w:rsidRPr="006D7C46">
                          <w:rPr>
                            <w:sz w:val="18"/>
                            <w:szCs w:val="18"/>
                          </w:rPr>
                          <w:t xml:space="preserve">eporting period for </w:t>
                        </w:r>
                        <w:r w:rsidR="006D7C46">
                          <w:rPr>
                            <w:sz w:val="18"/>
                            <w:szCs w:val="18"/>
                          </w:rPr>
                          <w:t>next</w:t>
                        </w:r>
                        <w:r w:rsidR="006D7C46" w:rsidRPr="006D7C46">
                          <w:rPr>
                            <w:sz w:val="18"/>
                            <w:szCs w:val="18"/>
                          </w:rPr>
                          <w:t xml:space="preserve"> Annual Review (</w:t>
                        </w:r>
                        <w:r w:rsidR="006D7C46">
                          <w:rPr>
                            <w:sz w:val="18"/>
                            <w:szCs w:val="18"/>
                          </w:rPr>
                          <w:t>2021</w:t>
                        </w:r>
                        <w:r w:rsidR="006D7C46" w:rsidRPr="006D7C46">
                          <w:rPr>
                            <w:sz w:val="18"/>
                            <w:szCs w:val="18"/>
                          </w:rPr>
                          <w:t>)</w:t>
                        </w:r>
                      </w:p>
                    </w:txbxContent>
                  </v:textbox>
                </v:shape>
                <w10:wrap type="topAndBottom"/>
              </v:group>
            </w:pict>
          </mc:Fallback>
        </mc:AlternateContent>
      </w:r>
      <w:r>
        <w:rPr>
          <w:noProof/>
          <w:u w:val="single"/>
          <w:lang w:val="en-US"/>
        </w:rPr>
        <w:drawing>
          <wp:anchor distT="0" distB="0" distL="114300" distR="114300" simplePos="0" relativeHeight="251658240" behindDoc="0" locked="0" layoutInCell="1" allowOverlap="1" wp14:anchorId="02B803CA" wp14:editId="23E8D448">
            <wp:simplePos x="0" y="0"/>
            <wp:positionH relativeFrom="margin">
              <wp:align>right</wp:align>
            </wp:positionH>
            <wp:positionV relativeFrom="paragraph">
              <wp:posOffset>913130</wp:posOffset>
            </wp:positionV>
            <wp:extent cx="5686425" cy="914400"/>
            <wp:effectExtent l="19050" t="0" r="28575" b="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anchor>
        </w:drawing>
      </w:r>
      <w:r w:rsidR="367BE1D9" w:rsidRPr="0979A4B8">
        <w:rPr>
          <w:u w:val="single"/>
          <w:lang w:val="en-US"/>
        </w:rPr>
        <w:t xml:space="preserve">Figure 1: </w:t>
      </w:r>
      <w:r w:rsidR="367BE1D9" w:rsidRPr="0979A4B8">
        <w:rPr>
          <w:i/>
          <w:iCs/>
          <w:u w:val="single"/>
          <w:lang w:val="en-US"/>
        </w:rPr>
        <w:t>Change in Reporting Period for Defra’s UK BCF Annual Review</w:t>
      </w:r>
    </w:p>
    <w:p w14:paraId="4BD27E41" w14:textId="0FAB686C" w:rsidR="367BE1D9" w:rsidRPr="000A4429" w:rsidRDefault="367BE1D9" w:rsidP="367BE1D9">
      <w:pPr>
        <w:jc w:val="both"/>
        <w:rPr>
          <w:lang w:val="en-US"/>
        </w:rPr>
      </w:pPr>
    </w:p>
    <w:p w14:paraId="6253095C" w14:textId="71FA7084" w:rsidR="003F4959" w:rsidRDefault="003F4959" w:rsidP="00BB7661">
      <w:pPr>
        <w:rPr>
          <w:i/>
          <w:iCs/>
          <w:u w:val="single"/>
          <w:lang w:val="en-US"/>
        </w:rPr>
      </w:pPr>
      <w:r>
        <w:rPr>
          <w:u w:val="single"/>
          <w:lang w:val="en-US"/>
        </w:rPr>
        <w:t xml:space="preserve">Table </w:t>
      </w:r>
      <w:r w:rsidR="009A70AF">
        <w:rPr>
          <w:u w:val="single"/>
          <w:lang w:val="en-US"/>
        </w:rPr>
        <w:t>2</w:t>
      </w:r>
      <w:r>
        <w:rPr>
          <w:u w:val="single"/>
          <w:lang w:val="en-US"/>
        </w:rPr>
        <w:t xml:space="preserve">: </w:t>
      </w:r>
      <w:r>
        <w:rPr>
          <w:i/>
          <w:iCs/>
          <w:u w:val="single"/>
          <w:lang w:val="en-US"/>
        </w:rPr>
        <w:t>Output Indicator Performance</w:t>
      </w:r>
    </w:p>
    <w:p w14:paraId="2BC7C42B" w14:textId="40169E32" w:rsidR="003F4959" w:rsidRPr="00484CCF" w:rsidRDefault="003F4959" w:rsidP="003F4959">
      <w:pPr>
        <w:rPr>
          <w:i/>
          <w:iCs/>
          <w:sz w:val="18"/>
          <w:szCs w:val="18"/>
          <w:lang w:val="en-US"/>
        </w:rPr>
      </w:pPr>
      <w:r w:rsidRPr="00484CCF">
        <w:rPr>
          <w:i/>
          <w:iCs/>
          <w:sz w:val="18"/>
          <w:szCs w:val="18"/>
          <w:lang w:val="en-US"/>
        </w:rPr>
        <w:t>The indicators below are scored A++ to C based on a scale of substantially exceeded expectation &gt; moderately exceeded expectation &gt; met expectation &gt; moderately did not meet expectation &gt; substantially did not meet expectation.</w:t>
      </w:r>
    </w:p>
    <w:tbl>
      <w:tblPr>
        <w:tblStyle w:val="GridTable4-Accent5"/>
        <w:tblW w:w="0" w:type="auto"/>
        <w:tblLook w:val="04A0" w:firstRow="1" w:lastRow="0" w:firstColumn="1" w:lastColumn="0" w:noHBand="0" w:noVBand="1"/>
      </w:tblPr>
      <w:tblGrid>
        <w:gridCol w:w="5382"/>
        <w:gridCol w:w="1984"/>
        <w:gridCol w:w="1650"/>
      </w:tblGrid>
      <w:tr w:rsidR="003F4959" w14:paraId="6FBE9EFF" w14:textId="77777777" w:rsidTr="003F49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055B4B8A" w14:textId="1BA7988F" w:rsidR="003F4959" w:rsidRPr="003F4959" w:rsidRDefault="003F4959" w:rsidP="00BB7661">
            <w:pPr>
              <w:rPr>
                <w:lang w:val="en-US"/>
              </w:rPr>
            </w:pPr>
            <w:r>
              <w:rPr>
                <w:lang w:val="en-US"/>
              </w:rPr>
              <w:t>Output Number &amp; Description</w:t>
            </w:r>
          </w:p>
        </w:tc>
        <w:tc>
          <w:tcPr>
            <w:tcW w:w="1984" w:type="dxa"/>
          </w:tcPr>
          <w:p w14:paraId="1A6D9F7D" w14:textId="0A4832CA" w:rsidR="003F4959" w:rsidRPr="003F4959" w:rsidRDefault="003F4959" w:rsidP="003F4959">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Impact Weighting (%)</w:t>
            </w:r>
          </w:p>
        </w:tc>
        <w:tc>
          <w:tcPr>
            <w:tcW w:w="1650" w:type="dxa"/>
          </w:tcPr>
          <w:p w14:paraId="7A8C3448" w14:textId="088E4FCC" w:rsidR="003F4959" w:rsidRPr="003F4959" w:rsidRDefault="003F4959" w:rsidP="003F4959">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Score</w:t>
            </w:r>
          </w:p>
        </w:tc>
      </w:tr>
      <w:tr w:rsidR="003F4959" w14:paraId="52BD1F67" w14:textId="77777777" w:rsidTr="003F4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7EE68BC0" w14:textId="32EC9CE1" w:rsidR="003F4959" w:rsidRPr="003F4959" w:rsidRDefault="003F4959" w:rsidP="003F4959">
            <w:pPr>
              <w:rPr>
                <w:lang w:val="en-US"/>
              </w:rPr>
            </w:pPr>
            <w:r>
              <w:rPr>
                <w:b w:val="0"/>
                <w:bCs w:val="0"/>
                <w:lang w:val="en-US"/>
              </w:rPr>
              <w:t>1. Efficacy and effectiveness of programme processes in the design phase</w:t>
            </w:r>
          </w:p>
        </w:tc>
        <w:tc>
          <w:tcPr>
            <w:tcW w:w="1984" w:type="dxa"/>
          </w:tcPr>
          <w:p w14:paraId="6D8C5356" w14:textId="53FCF6AA" w:rsidR="003F4959" w:rsidRPr="003F4959" w:rsidRDefault="003F4959" w:rsidP="003F4959">
            <w:pPr>
              <w:jc w:val="center"/>
              <w:cnfStyle w:val="000000100000" w:firstRow="0" w:lastRow="0" w:firstColumn="0" w:lastColumn="0" w:oddVBand="0" w:evenVBand="0" w:oddHBand="1" w:evenHBand="0" w:firstRowFirstColumn="0" w:firstRowLastColumn="0" w:lastRowFirstColumn="0" w:lastRowLastColumn="0"/>
              <w:rPr>
                <w:lang w:val="en-US"/>
              </w:rPr>
            </w:pPr>
            <w:r w:rsidRPr="003F4959">
              <w:rPr>
                <w:lang w:val="en-US"/>
              </w:rPr>
              <w:t>33.3</w:t>
            </w:r>
          </w:p>
        </w:tc>
        <w:tc>
          <w:tcPr>
            <w:tcW w:w="1650" w:type="dxa"/>
          </w:tcPr>
          <w:p w14:paraId="3B65FD8F" w14:textId="2A8FA8C2" w:rsidR="003F4959" w:rsidRPr="003F4959" w:rsidRDefault="003F4959" w:rsidP="003F4959">
            <w:pPr>
              <w:jc w:val="center"/>
              <w:cnfStyle w:val="000000100000" w:firstRow="0" w:lastRow="0" w:firstColumn="0" w:lastColumn="0" w:oddVBand="0" w:evenVBand="0" w:oddHBand="1" w:evenHBand="0" w:firstRowFirstColumn="0" w:firstRowLastColumn="0" w:lastRowFirstColumn="0" w:lastRowLastColumn="0"/>
              <w:rPr>
                <w:lang w:val="en-US"/>
              </w:rPr>
            </w:pPr>
            <w:r w:rsidRPr="003F4959">
              <w:rPr>
                <w:lang w:val="en-US"/>
              </w:rPr>
              <w:t>B</w:t>
            </w:r>
          </w:p>
        </w:tc>
      </w:tr>
      <w:tr w:rsidR="003F4959" w14:paraId="37E73C01" w14:textId="77777777" w:rsidTr="003F4959">
        <w:tc>
          <w:tcPr>
            <w:cnfStyle w:val="001000000000" w:firstRow="0" w:lastRow="0" w:firstColumn="1" w:lastColumn="0" w:oddVBand="0" w:evenVBand="0" w:oddHBand="0" w:evenHBand="0" w:firstRowFirstColumn="0" w:firstRowLastColumn="0" w:lastRowFirstColumn="0" w:lastRowLastColumn="0"/>
            <w:tcW w:w="5382" w:type="dxa"/>
          </w:tcPr>
          <w:p w14:paraId="3C6AA50F" w14:textId="14109870" w:rsidR="003F4959" w:rsidRPr="003F4959" w:rsidRDefault="003F4959" w:rsidP="00BB7661">
            <w:pPr>
              <w:rPr>
                <w:b w:val="0"/>
                <w:bCs w:val="0"/>
                <w:lang w:val="en-US"/>
              </w:rPr>
            </w:pPr>
            <w:r>
              <w:rPr>
                <w:b w:val="0"/>
                <w:bCs w:val="0"/>
                <w:lang w:val="en-US"/>
              </w:rPr>
              <w:t>2. Performance of projects in the implementation phase</w:t>
            </w:r>
          </w:p>
        </w:tc>
        <w:tc>
          <w:tcPr>
            <w:tcW w:w="1984" w:type="dxa"/>
          </w:tcPr>
          <w:p w14:paraId="624B06D7" w14:textId="572C00EF" w:rsidR="003F4959" w:rsidRPr="003F4959" w:rsidRDefault="003F4959" w:rsidP="003F4959">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33.3</w:t>
            </w:r>
          </w:p>
        </w:tc>
        <w:tc>
          <w:tcPr>
            <w:tcW w:w="1650" w:type="dxa"/>
          </w:tcPr>
          <w:p w14:paraId="73525080" w14:textId="6449DB83" w:rsidR="003F4959" w:rsidRPr="003F4959" w:rsidRDefault="003F4959" w:rsidP="003F4959">
            <w:pPr>
              <w:jc w:val="center"/>
              <w:cnfStyle w:val="000000000000" w:firstRow="0" w:lastRow="0" w:firstColumn="0" w:lastColumn="0" w:oddVBand="0" w:evenVBand="0" w:oddHBand="0" w:evenHBand="0" w:firstRowFirstColumn="0" w:firstRowLastColumn="0" w:lastRowFirstColumn="0" w:lastRowLastColumn="0"/>
              <w:rPr>
                <w:lang w:val="en-US"/>
              </w:rPr>
            </w:pPr>
            <w:r w:rsidRPr="003F4959">
              <w:rPr>
                <w:lang w:val="en-US"/>
              </w:rPr>
              <w:t>B</w:t>
            </w:r>
          </w:p>
        </w:tc>
      </w:tr>
      <w:tr w:rsidR="003F4959" w14:paraId="7386F291" w14:textId="77777777" w:rsidTr="003F4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3CF5D5CB" w14:textId="06A19C7F" w:rsidR="003F4959" w:rsidRPr="003F4959" w:rsidRDefault="003F4959" w:rsidP="00BB7661">
            <w:pPr>
              <w:rPr>
                <w:b w:val="0"/>
                <w:bCs w:val="0"/>
                <w:lang w:val="en-US"/>
              </w:rPr>
            </w:pPr>
            <w:r>
              <w:rPr>
                <w:b w:val="0"/>
                <w:bCs w:val="0"/>
                <w:lang w:val="en-US"/>
              </w:rPr>
              <w:t>3. Effectiveness of communication between the IDB and Defra</w:t>
            </w:r>
          </w:p>
        </w:tc>
        <w:tc>
          <w:tcPr>
            <w:tcW w:w="1984" w:type="dxa"/>
          </w:tcPr>
          <w:p w14:paraId="3E17A802" w14:textId="1A599B52" w:rsidR="003F4959" w:rsidRPr="003F4959" w:rsidRDefault="003F4959" w:rsidP="003F4959">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33.3</w:t>
            </w:r>
          </w:p>
        </w:tc>
        <w:tc>
          <w:tcPr>
            <w:tcW w:w="1650" w:type="dxa"/>
          </w:tcPr>
          <w:p w14:paraId="2C9537B5" w14:textId="007723E9" w:rsidR="003F4959" w:rsidRPr="003F4959" w:rsidRDefault="003F4959" w:rsidP="003F4959">
            <w:pPr>
              <w:jc w:val="center"/>
              <w:cnfStyle w:val="000000100000" w:firstRow="0" w:lastRow="0" w:firstColumn="0" w:lastColumn="0" w:oddVBand="0" w:evenVBand="0" w:oddHBand="1" w:evenHBand="0" w:firstRowFirstColumn="0" w:firstRowLastColumn="0" w:lastRowFirstColumn="0" w:lastRowLastColumn="0"/>
              <w:rPr>
                <w:lang w:val="en-US"/>
              </w:rPr>
            </w:pPr>
            <w:r w:rsidRPr="003F4959">
              <w:rPr>
                <w:lang w:val="en-US"/>
              </w:rPr>
              <w:t>B</w:t>
            </w:r>
          </w:p>
        </w:tc>
      </w:tr>
    </w:tbl>
    <w:p w14:paraId="49B3EDCD" w14:textId="063582C2" w:rsidR="003F4959" w:rsidRDefault="003F4959" w:rsidP="00BB7661">
      <w:pPr>
        <w:rPr>
          <w:u w:val="single"/>
          <w:lang w:val="en-US"/>
        </w:rPr>
      </w:pPr>
    </w:p>
    <w:p w14:paraId="1ECD7F81" w14:textId="4DE2EE77" w:rsidR="003F4959" w:rsidRDefault="003F4959" w:rsidP="00D33DD9">
      <w:pPr>
        <w:pStyle w:val="Heading1"/>
        <w:numPr>
          <w:ilvl w:val="0"/>
          <w:numId w:val="3"/>
        </w:numPr>
        <w:ind w:left="426" w:hanging="426"/>
        <w:rPr>
          <w:lang w:val="en-US"/>
        </w:rPr>
      </w:pPr>
      <w:r>
        <w:rPr>
          <w:lang w:val="en-US"/>
        </w:rPr>
        <w:t>Detailed Output Scoring</w:t>
      </w:r>
    </w:p>
    <w:p w14:paraId="275E7925" w14:textId="39B086BE" w:rsidR="003F4959" w:rsidRPr="003F4959" w:rsidRDefault="003F4959" w:rsidP="00484CCF">
      <w:pPr>
        <w:jc w:val="both"/>
        <w:rPr>
          <w:lang w:val="en-US"/>
        </w:rPr>
      </w:pPr>
      <w:r>
        <w:rPr>
          <w:lang w:val="en-US"/>
        </w:rPr>
        <w:t xml:space="preserve">This section will go into detail on the progress toward </w:t>
      </w:r>
      <w:r w:rsidR="00A508A4">
        <w:rPr>
          <w:lang w:val="en-US"/>
        </w:rPr>
        <w:t>the programme output indicators designed for this process Annual Review, reflecting on key milestones and challenges over Year 3.</w:t>
      </w:r>
    </w:p>
    <w:p w14:paraId="7451FD84" w14:textId="6BF91D33" w:rsidR="00BB7661" w:rsidRDefault="00BB7661" w:rsidP="00E044A4">
      <w:pPr>
        <w:pStyle w:val="Heading2"/>
      </w:pPr>
      <w:r>
        <w:t>Process Output: Efficacy and Effectiveness of Programme Processes in the Design Phase</w:t>
      </w:r>
    </w:p>
    <w:p w14:paraId="318EBCDA" w14:textId="29C604F1" w:rsidR="00BB7661" w:rsidRPr="00BB7661" w:rsidRDefault="00BB7661" w:rsidP="00484CCF">
      <w:pPr>
        <w:spacing w:after="0" w:line="240" w:lineRule="auto"/>
        <w:jc w:val="both"/>
        <w:textAlignment w:val="baseline"/>
        <w:rPr>
          <w:rFonts w:ascii="Segoe UI" w:eastAsia="Times New Roman" w:hAnsi="Segoe UI" w:cs="Segoe UI"/>
          <w:color w:val="000000"/>
          <w:sz w:val="18"/>
          <w:szCs w:val="18"/>
          <w:lang w:eastAsia="en-GB"/>
        </w:rPr>
      </w:pPr>
      <w:r w:rsidRPr="00BB7661">
        <w:rPr>
          <w:rFonts w:ascii="Calibri" w:eastAsia="Times New Roman" w:hAnsi="Calibri" w:cs="Calibri"/>
          <w:color w:val="000000"/>
          <w:lang w:eastAsia="en-GB"/>
        </w:rPr>
        <w:t>The process output and associated indicators measure the efficacy and effectiveness of programme processes in the design phase, based on commitments made in the administrative agreement and over the course of the programme to date, including recommendations made in last year’s Annual Review. This output takes into account programme</w:t>
      </w:r>
      <w:r w:rsidR="00175758">
        <w:rPr>
          <w:rFonts w:ascii="Calibri" w:eastAsia="Times New Roman" w:hAnsi="Calibri" w:cs="Calibri"/>
          <w:color w:val="000000"/>
          <w:lang w:eastAsia="en-GB"/>
        </w:rPr>
        <w:t>-</w:t>
      </w:r>
      <w:r w:rsidRPr="00BB7661">
        <w:rPr>
          <w:rFonts w:ascii="Calibri" w:eastAsia="Times New Roman" w:hAnsi="Calibri" w:cs="Calibri"/>
          <w:color w:val="000000"/>
          <w:lang w:eastAsia="en-GB"/>
        </w:rPr>
        <w:t>level processes and progress on projects which have been in the design phase in Year 3. </w:t>
      </w:r>
    </w:p>
    <w:p w14:paraId="4BEFD574" w14:textId="639DE4D9" w:rsidR="00BB7661" w:rsidRPr="00BB7661" w:rsidRDefault="00BB7661" w:rsidP="00BB7661">
      <w:pPr>
        <w:spacing w:after="0" w:line="240" w:lineRule="auto"/>
        <w:jc w:val="both"/>
        <w:textAlignment w:val="baseline"/>
        <w:rPr>
          <w:rFonts w:ascii="Segoe UI" w:eastAsia="Times New Roman" w:hAnsi="Segoe UI" w:cs="Segoe UI"/>
          <w:color w:val="000000"/>
          <w:sz w:val="18"/>
          <w:szCs w:val="18"/>
          <w:lang w:eastAsia="en-GB"/>
        </w:rPr>
      </w:pPr>
      <w:r w:rsidRPr="00BB7661">
        <w:rPr>
          <w:rFonts w:ascii="Calibri" w:eastAsia="Times New Roman" w:hAnsi="Calibri" w:cs="Calibri"/>
          <w:color w:val="000000"/>
          <w:lang w:eastAsia="en-GB"/>
        </w:rPr>
        <w:t> </w:t>
      </w:r>
    </w:p>
    <w:tbl>
      <w:tblPr>
        <w:tblStyle w:val="GridTable4-Accent5"/>
        <w:tblW w:w="9015" w:type="dxa"/>
        <w:tblLook w:val="04A0" w:firstRow="1" w:lastRow="0" w:firstColumn="1" w:lastColumn="0" w:noHBand="0" w:noVBand="1"/>
      </w:tblPr>
      <w:tblGrid>
        <w:gridCol w:w="2689"/>
        <w:gridCol w:w="1796"/>
        <w:gridCol w:w="2250"/>
        <w:gridCol w:w="2280"/>
      </w:tblGrid>
      <w:tr w:rsidR="00BB7661" w:rsidRPr="00AB1372" w14:paraId="0F64B97E" w14:textId="77777777" w:rsidTr="10B179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gridSpan w:val="4"/>
            <w:hideMark/>
          </w:tcPr>
          <w:p w14:paraId="4ADCB050" w14:textId="41EB2113" w:rsidR="00BB7661" w:rsidRPr="00AB1372" w:rsidRDefault="00BB7661" w:rsidP="00BB7661">
            <w:pPr>
              <w:jc w:val="both"/>
              <w:textAlignment w:val="baseline"/>
              <w:divId w:val="1599214489"/>
              <w:rPr>
                <w:rFonts w:asciiTheme="minorHAnsi" w:eastAsia="Times New Roman" w:hAnsiTheme="minorHAnsi" w:cstheme="minorHAnsi"/>
                <w:color w:val="000000"/>
              </w:rPr>
            </w:pPr>
            <w:r w:rsidRPr="00AB1372">
              <w:rPr>
                <w:rFonts w:asciiTheme="minorHAnsi" w:eastAsia="Times New Roman" w:hAnsiTheme="minorHAnsi" w:cstheme="minorHAnsi"/>
                <w:color w:val="FFFFFF"/>
              </w:rPr>
              <w:t>Output</w:t>
            </w:r>
            <w:r w:rsidR="006B4D8C">
              <w:rPr>
                <w:rFonts w:asciiTheme="minorHAnsi" w:eastAsia="Times New Roman" w:hAnsiTheme="minorHAnsi" w:cstheme="minorHAnsi"/>
                <w:color w:val="FFFFFF"/>
              </w:rPr>
              <w:t xml:space="preserve"> 1</w:t>
            </w:r>
            <w:r w:rsidRPr="00AB1372">
              <w:rPr>
                <w:rFonts w:asciiTheme="minorHAnsi" w:eastAsia="Times New Roman" w:hAnsiTheme="minorHAnsi" w:cstheme="minorHAnsi"/>
                <w:color w:val="FFFFFF"/>
              </w:rPr>
              <w:t>: The efficacy and effectiveness of programme processes in the design phase. </w:t>
            </w:r>
          </w:p>
        </w:tc>
      </w:tr>
      <w:tr w:rsidR="00BB7661" w:rsidRPr="00AB1372" w14:paraId="583AF49B" w14:textId="77777777" w:rsidTr="10B17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hideMark/>
          </w:tcPr>
          <w:p w14:paraId="262CD4BE" w14:textId="77777777" w:rsidR="00BB7661" w:rsidRPr="00AB1372" w:rsidRDefault="00BB7661" w:rsidP="009E7BCD">
            <w:pPr>
              <w:textAlignment w:val="baseline"/>
              <w:rPr>
                <w:rFonts w:asciiTheme="minorHAnsi" w:eastAsia="Times New Roman" w:hAnsiTheme="minorHAnsi" w:cstheme="minorHAnsi"/>
                <w:color w:val="000000"/>
              </w:rPr>
            </w:pPr>
            <w:r w:rsidRPr="00AB1372">
              <w:rPr>
                <w:rFonts w:asciiTheme="minorHAnsi" w:eastAsia="Times New Roman" w:hAnsiTheme="minorHAnsi" w:cstheme="minorHAnsi"/>
                <w:color w:val="000000"/>
              </w:rPr>
              <w:t>Output number per LF: </w:t>
            </w:r>
          </w:p>
        </w:tc>
        <w:tc>
          <w:tcPr>
            <w:tcW w:w="1796" w:type="dxa"/>
            <w:hideMark/>
          </w:tcPr>
          <w:p w14:paraId="20EA38D2" w14:textId="77777777" w:rsidR="00BB7661" w:rsidRPr="00AB1372" w:rsidRDefault="00BB7661" w:rsidP="009E7BCD">
            <w:pP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AB1372">
              <w:rPr>
                <w:rFonts w:asciiTheme="minorHAnsi" w:eastAsia="Times New Roman" w:hAnsiTheme="minorHAnsi" w:cstheme="minorHAnsi"/>
                <w:color w:val="000000"/>
              </w:rPr>
              <w:t>n/a </w:t>
            </w:r>
          </w:p>
        </w:tc>
        <w:tc>
          <w:tcPr>
            <w:tcW w:w="2250" w:type="dxa"/>
            <w:hideMark/>
          </w:tcPr>
          <w:p w14:paraId="549281D1" w14:textId="77777777" w:rsidR="00BB7661" w:rsidRPr="00AB1372" w:rsidRDefault="00BB7661" w:rsidP="009E7BCD">
            <w:pP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AB1372">
              <w:rPr>
                <w:rFonts w:asciiTheme="minorHAnsi" w:eastAsia="Times New Roman" w:hAnsiTheme="minorHAnsi" w:cstheme="minorHAnsi"/>
                <w:b/>
                <w:bCs/>
                <w:color w:val="000000"/>
              </w:rPr>
              <w:t>Output score:</w:t>
            </w:r>
            <w:r w:rsidRPr="00AB1372">
              <w:rPr>
                <w:rFonts w:asciiTheme="minorHAnsi" w:eastAsia="Times New Roman" w:hAnsiTheme="minorHAnsi" w:cstheme="minorHAnsi"/>
                <w:color w:val="000000"/>
              </w:rPr>
              <w:t> </w:t>
            </w:r>
          </w:p>
        </w:tc>
        <w:tc>
          <w:tcPr>
            <w:tcW w:w="2280" w:type="dxa"/>
            <w:hideMark/>
          </w:tcPr>
          <w:p w14:paraId="138B0B3E" w14:textId="53300850" w:rsidR="00BB7661" w:rsidRPr="00AB1372" w:rsidRDefault="00BB7661" w:rsidP="009E7BCD">
            <w:pP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AB1372">
              <w:rPr>
                <w:rFonts w:asciiTheme="minorHAnsi" w:eastAsia="Times New Roman" w:hAnsiTheme="minorHAnsi" w:cstheme="minorHAnsi"/>
                <w:color w:val="000000"/>
              </w:rPr>
              <w:t> </w:t>
            </w:r>
            <w:r w:rsidR="006B4D8C">
              <w:rPr>
                <w:rFonts w:asciiTheme="minorHAnsi" w:eastAsia="Times New Roman" w:hAnsiTheme="minorHAnsi" w:cstheme="minorHAnsi"/>
                <w:color w:val="000000"/>
              </w:rPr>
              <w:t>B</w:t>
            </w:r>
          </w:p>
        </w:tc>
      </w:tr>
      <w:tr w:rsidR="00BB7661" w:rsidRPr="00AB1372" w14:paraId="2706E87C" w14:textId="77777777" w:rsidTr="10B17927">
        <w:tc>
          <w:tcPr>
            <w:cnfStyle w:val="001000000000" w:firstRow="0" w:lastRow="0" w:firstColumn="1" w:lastColumn="0" w:oddVBand="0" w:evenVBand="0" w:oddHBand="0" w:evenHBand="0" w:firstRowFirstColumn="0" w:firstRowLastColumn="0" w:lastRowFirstColumn="0" w:lastRowLastColumn="0"/>
            <w:tcW w:w="2689" w:type="dxa"/>
            <w:hideMark/>
          </w:tcPr>
          <w:p w14:paraId="68C6C927" w14:textId="77777777" w:rsidR="00BB7661" w:rsidRPr="00AB1372" w:rsidRDefault="00BB7661" w:rsidP="009E7BCD">
            <w:pPr>
              <w:textAlignment w:val="baseline"/>
              <w:rPr>
                <w:rFonts w:asciiTheme="minorHAnsi" w:eastAsia="Times New Roman" w:hAnsiTheme="minorHAnsi" w:cstheme="minorHAnsi"/>
                <w:color w:val="000000"/>
              </w:rPr>
            </w:pPr>
            <w:r w:rsidRPr="00AB1372">
              <w:rPr>
                <w:rFonts w:asciiTheme="minorHAnsi" w:eastAsia="Times New Roman" w:hAnsiTheme="minorHAnsi" w:cstheme="minorHAnsi"/>
                <w:color w:val="000000"/>
              </w:rPr>
              <w:t>Risk: </w:t>
            </w:r>
          </w:p>
        </w:tc>
        <w:tc>
          <w:tcPr>
            <w:tcW w:w="1796" w:type="dxa"/>
            <w:hideMark/>
          </w:tcPr>
          <w:p w14:paraId="2D1FDE1F" w14:textId="1A7DAE9A" w:rsidR="00BB7661" w:rsidRPr="00AB1372" w:rsidRDefault="5800ABE4" w:rsidP="10B17927">
            <w:pP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color w:val="000000"/>
              </w:rPr>
            </w:pPr>
            <w:r w:rsidRPr="10B17927">
              <w:rPr>
                <w:rFonts w:asciiTheme="minorHAnsi" w:eastAsia="Times New Roman" w:hAnsiTheme="minorHAnsi" w:cstheme="minorBidi"/>
                <w:color w:val="000000" w:themeColor="text1"/>
              </w:rPr>
              <w:t>Severe</w:t>
            </w:r>
          </w:p>
        </w:tc>
        <w:tc>
          <w:tcPr>
            <w:tcW w:w="2250" w:type="dxa"/>
            <w:hideMark/>
          </w:tcPr>
          <w:p w14:paraId="3A9915E4" w14:textId="77777777" w:rsidR="00BB7661" w:rsidRPr="00AB1372" w:rsidRDefault="00BB7661" w:rsidP="009E7BCD">
            <w:pPr>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AB1372">
              <w:rPr>
                <w:rFonts w:asciiTheme="minorHAnsi" w:eastAsia="Times New Roman" w:hAnsiTheme="minorHAnsi" w:cstheme="minorHAnsi"/>
                <w:b/>
                <w:bCs/>
                <w:color w:val="000000"/>
              </w:rPr>
              <w:t>Impact weighting (%):</w:t>
            </w:r>
            <w:r w:rsidRPr="00AB1372">
              <w:rPr>
                <w:rFonts w:asciiTheme="minorHAnsi" w:eastAsia="Times New Roman" w:hAnsiTheme="minorHAnsi" w:cstheme="minorHAnsi"/>
                <w:color w:val="000000"/>
              </w:rPr>
              <w:t> </w:t>
            </w:r>
          </w:p>
        </w:tc>
        <w:tc>
          <w:tcPr>
            <w:tcW w:w="2280" w:type="dxa"/>
            <w:hideMark/>
          </w:tcPr>
          <w:p w14:paraId="1DE9A25F" w14:textId="19B49E96" w:rsidR="00BB7661" w:rsidRPr="00AB1372" w:rsidRDefault="00BB7661" w:rsidP="009E7BCD">
            <w:pP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AB1372">
              <w:rPr>
                <w:rFonts w:asciiTheme="minorHAnsi" w:eastAsia="Times New Roman" w:hAnsiTheme="minorHAnsi" w:cstheme="minorHAnsi"/>
                <w:color w:val="000000"/>
              </w:rPr>
              <w:t> </w:t>
            </w:r>
            <w:r w:rsidR="009E7BCD">
              <w:rPr>
                <w:rFonts w:asciiTheme="minorHAnsi" w:eastAsia="Times New Roman" w:hAnsiTheme="minorHAnsi" w:cstheme="minorHAnsi"/>
                <w:color w:val="000000"/>
              </w:rPr>
              <w:t>33.3</w:t>
            </w:r>
          </w:p>
        </w:tc>
      </w:tr>
      <w:tr w:rsidR="00BB7661" w:rsidRPr="00AB1372" w14:paraId="1C87FF19" w14:textId="77777777" w:rsidTr="10B17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hideMark/>
          </w:tcPr>
          <w:p w14:paraId="4F11ABF2" w14:textId="77777777" w:rsidR="00BB7661" w:rsidRPr="00AB1372" w:rsidRDefault="00BB7661" w:rsidP="009E7BCD">
            <w:pPr>
              <w:textAlignment w:val="baseline"/>
              <w:rPr>
                <w:rFonts w:asciiTheme="minorHAnsi" w:eastAsia="Times New Roman" w:hAnsiTheme="minorHAnsi" w:cstheme="minorHAnsi"/>
                <w:color w:val="000000"/>
              </w:rPr>
            </w:pPr>
            <w:r w:rsidRPr="00AB1372">
              <w:rPr>
                <w:rFonts w:asciiTheme="minorHAnsi" w:eastAsia="Times New Roman" w:hAnsiTheme="minorHAnsi" w:cstheme="minorHAnsi"/>
                <w:color w:val="000000"/>
              </w:rPr>
              <w:t>Risk revised since last AR: </w:t>
            </w:r>
          </w:p>
        </w:tc>
        <w:tc>
          <w:tcPr>
            <w:tcW w:w="1796" w:type="dxa"/>
            <w:hideMark/>
          </w:tcPr>
          <w:p w14:paraId="73FE4704" w14:textId="77777777" w:rsidR="00BB7661" w:rsidRPr="00AB1372" w:rsidRDefault="00BB7661" w:rsidP="009E7BCD">
            <w:pP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AB1372">
              <w:rPr>
                <w:rFonts w:asciiTheme="minorHAnsi" w:eastAsia="Times New Roman" w:hAnsiTheme="minorHAnsi" w:cstheme="minorHAnsi"/>
                <w:color w:val="000000"/>
              </w:rPr>
              <w:t>n/a </w:t>
            </w:r>
          </w:p>
        </w:tc>
        <w:tc>
          <w:tcPr>
            <w:tcW w:w="2250" w:type="dxa"/>
            <w:hideMark/>
          </w:tcPr>
          <w:p w14:paraId="7CF75810" w14:textId="77777777" w:rsidR="00BB7661" w:rsidRPr="00AB1372" w:rsidRDefault="00BB7661" w:rsidP="009E7BCD">
            <w:pP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AB1372">
              <w:rPr>
                <w:rFonts w:asciiTheme="minorHAnsi" w:eastAsia="Times New Roman" w:hAnsiTheme="minorHAnsi" w:cstheme="minorHAnsi"/>
                <w:b/>
                <w:bCs/>
                <w:color w:val="000000"/>
              </w:rPr>
              <w:t>Impact weighting (%) revised since last AR:</w:t>
            </w:r>
            <w:r w:rsidRPr="00AB1372">
              <w:rPr>
                <w:rFonts w:asciiTheme="minorHAnsi" w:eastAsia="Times New Roman" w:hAnsiTheme="minorHAnsi" w:cstheme="minorHAnsi"/>
                <w:color w:val="000000"/>
              </w:rPr>
              <w:t> </w:t>
            </w:r>
          </w:p>
        </w:tc>
        <w:tc>
          <w:tcPr>
            <w:tcW w:w="2280" w:type="dxa"/>
            <w:hideMark/>
          </w:tcPr>
          <w:p w14:paraId="37FA6881" w14:textId="1D177EC9" w:rsidR="00BB7661" w:rsidRPr="00AB1372" w:rsidRDefault="00BB7661" w:rsidP="009E7BCD">
            <w:pP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AB1372">
              <w:rPr>
                <w:rFonts w:asciiTheme="minorHAnsi" w:eastAsia="Times New Roman" w:hAnsiTheme="minorHAnsi" w:cstheme="minorHAnsi"/>
                <w:color w:val="000000"/>
              </w:rPr>
              <w:t> </w:t>
            </w:r>
            <w:r w:rsidR="009E7BCD">
              <w:rPr>
                <w:rFonts w:asciiTheme="minorHAnsi" w:eastAsia="Times New Roman" w:hAnsiTheme="minorHAnsi" w:cstheme="minorHAnsi"/>
                <w:color w:val="000000"/>
              </w:rPr>
              <w:t>Yes</w:t>
            </w:r>
          </w:p>
        </w:tc>
      </w:tr>
    </w:tbl>
    <w:p w14:paraId="28521A94" w14:textId="41735050" w:rsidR="00BB7661" w:rsidRPr="00AB1372" w:rsidRDefault="00BB7661" w:rsidP="00BB7661">
      <w:pPr>
        <w:spacing w:after="0" w:line="240" w:lineRule="auto"/>
        <w:jc w:val="both"/>
        <w:textAlignment w:val="baseline"/>
        <w:rPr>
          <w:rFonts w:eastAsia="Times New Roman" w:cstheme="minorHAnsi"/>
          <w:color w:val="000000"/>
          <w:lang w:eastAsia="en-GB"/>
        </w:rPr>
      </w:pPr>
      <w:r w:rsidRPr="00AB1372">
        <w:rPr>
          <w:rFonts w:eastAsia="Times New Roman" w:cstheme="minorHAnsi"/>
          <w:color w:val="000000"/>
          <w:lang w:eastAsia="en-GB"/>
        </w:rPr>
        <w:t> </w:t>
      </w:r>
    </w:p>
    <w:tbl>
      <w:tblPr>
        <w:tblStyle w:val="GridTable4-Accent5"/>
        <w:tblW w:w="8985" w:type="dxa"/>
        <w:tblLook w:val="04A0" w:firstRow="1" w:lastRow="0" w:firstColumn="1" w:lastColumn="0" w:noHBand="0" w:noVBand="1"/>
      </w:tblPr>
      <w:tblGrid>
        <w:gridCol w:w="2689"/>
        <w:gridCol w:w="1782"/>
        <w:gridCol w:w="3976"/>
        <w:gridCol w:w="538"/>
      </w:tblGrid>
      <w:tr w:rsidR="009E7BCD" w:rsidRPr="00AB1372" w14:paraId="6224711F" w14:textId="77777777" w:rsidTr="4521ED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hideMark/>
          </w:tcPr>
          <w:p w14:paraId="70D277F4" w14:textId="77777777" w:rsidR="009E7BCD" w:rsidRPr="00AB1372" w:rsidRDefault="009E7BCD" w:rsidP="00BB7661">
            <w:pPr>
              <w:jc w:val="both"/>
              <w:textAlignment w:val="baseline"/>
              <w:rPr>
                <w:rFonts w:asciiTheme="minorHAnsi" w:eastAsia="Times New Roman" w:hAnsiTheme="minorHAnsi" w:cstheme="minorHAnsi"/>
                <w:color w:val="000000"/>
              </w:rPr>
            </w:pPr>
            <w:r w:rsidRPr="00AB1372">
              <w:rPr>
                <w:rFonts w:asciiTheme="minorHAnsi" w:eastAsia="Times New Roman" w:hAnsiTheme="minorHAnsi" w:cstheme="minorHAnsi"/>
                <w:color w:val="FFFFFF"/>
              </w:rPr>
              <w:t>Indicator </w:t>
            </w:r>
          </w:p>
        </w:tc>
        <w:tc>
          <w:tcPr>
            <w:tcW w:w="1782" w:type="dxa"/>
            <w:hideMark/>
          </w:tcPr>
          <w:p w14:paraId="5550C3D3" w14:textId="77777777" w:rsidR="009E7BCD" w:rsidRPr="00AB1372" w:rsidRDefault="009E7BCD" w:rsidP="00BB7661">
            <w:pPr>
              <w:jc w:val="both"/>
              <w:textAlignment w:val="baseline"/>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AB1372">
              <w:rPr>
                <w:rFonts w:asciiTheme="minorHAnsi" w:eastAsia="Times New Roman" w:hAnsiTheme="minorHAnsi" w:cstheme="minorHAnsi"/>
                <w:color w:val="FFFFFF"/>
              </w:rPr>
              <w:t>2021 Milestone </w:t>
            </w:r>
          </w:p>
        </w:tc>
        <w:tc>
          <w:tcPr>
            <w:tcW w:w="4514" w:type="dxa"/>
            <w:gridSpan w:val="2"/>
            <w:hideMark/>
          </w:tcPr>
          <w:p w14:paraId="2F7CCF2B" w14:textId="7364622E" w:rsidR="009E7BCD" w:rsidRPr="009E7BCD" w:rsidRDefault="009E7BCD" w:rsidP="009E7BCD">
            <w:pPr>
              <w:jc w:val="both"/>
              <w:textAlignment w:val="baseline"/>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rPr>
            </w:pPr>
            <w:r w:rsidRPr="00AB1372">
              <w:rPr>
                <w:rFonts w:asciiTheme="minorHAnsi" w:eastAsia="Times New Roman" w:hAnsiTheme="minorHAnsi" w:cstheme="minorHAnsi"/>
                <w:color w:val="FFFFFF"/>
              </w:rPr>
              <w:t>Progress </w:t>
            </w:r>
          </w:p>
        </w:tc>
      </w:tr>
      <w:tr w:rsidR="00BB7661" w:rsidRPr="00AB1372" w14:paraId="191D2AE7" w14:textId="77777777" w:rsidTr="4521E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hideMark/>
          </w:tcPr>
          <w:p w14:paraId="2B149D90" w14:textId="2646B7FC" w:rsidR="00BB7661" w:rsidRPr="0065367B" w:rsidRDefault="006B4D8C" w:rsidP="00BB7661">
            <w:pPr>
              <w:textAlignment w:val="baseline"/>
              <w:rPr>
                <w:rFonts w:asciiTheme="minorHAnsi" w:eastAsia="Times New Roman" w:hAnsiTheme="minorHAnsi" w:cstheme="minorHAnsi"/>
              </w:rPr>
            </w:pPr>
            <w:r w:rsidRPr="0065367B">
              <w:rPr>
                <w:rFonts w:asciiTheme="minorHAnsi" w:eastAsia="Times New Roman" w:hAnsiTheme="minorHAnsi" w:cstheme="minorHAnsi"/>
              </w:rPr>
              <w:t xml:space="preserve">1.1 </w:t>
            </w:r>
            <w:r w:rsidR="00BB7661" w:rsidRPr="0065367B">
              <w:rPr>
                <w:rFonts w:asciiTheme="minorHAnsi" w:eastAsia="Times New Roman" w:hAnsiTheme="minorHAnsi" w:cstheme="minorHAnsi"/>
              </w:rPr>
              <w:t xml:space="preserve">IDB to produce an indicative results framework, including </w:t>
            </w:r>
            <w:r w:rsidR="00BB7661" w:rsidRPr="0065367B">
              <w:rPr>
                <w:rFonts w:asciiTheme="minorHAnsi" w:eastAsia="Times New Roman" w:hAnsiTheme="minorHAnsi" w:cstheme="minorHAnsi"/>
              </w:rPr>
              <w:lastRenderedPageBreak/>
              <w:t>programme</w:t>
            </w:r>
            <w:r w:rsidR="00175758">
              <w:rPr>
                <w:rFonts w:asciiTheme="minorHAnsi" w:eastAsia="Times New Roman" w:hAnsiTheme="minorHAnsi" w:cstheme="minorHAnsi"/>
              </w:rPr>
              <w:t>-</w:t>
            </w:r>
            <w:r w:rsidR="00BB7661" w:rsidRPr="0065367B">
              <w:rPr>
                <w:rFonts w:asciiTheme="minorHAnsi" w:eastAsia="Times New Roman" w:hAnsiTheme="minorHAnsi" w:cstheme="minorHAnsi"/>
              </w:rPr>
              <w:t>level logical framework and Theory of Change </w:t>
            </w:r>
          </w:p>
        </w:tc>
        <w:tc>
          <w:tcPr>
            <w:tcW w:w="1782" w:type="dxa"/>
            <w:hideMark/>
          </w:tcPr>
          <w:p w14:paraId="50ED54FC" w14:textId="639D7D5C" w:rsidR="00BB7661" w:rsidRPr="0065367B" w:rsidRDefault="32F3F609" w:rsidP="63B8E9F6">
            <w:pP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rPr>
            </w:pPr>
            <w:r w:rsidRPr="00E90AC2">
              <w:rPr>
                <w:rFonts w:eastAsia="Times New Roman"/>
              </w:rPr>
              <w:lastRenderedPageBreak/>
              <w:t xml:space="preserve">1 indicative results framework </w:t>
            </w:r>
            <w:r w:rsidRPr="00E90AC2">
              <w:rPr>
                <w:rFonts w:eastAsia="Times New Roman"/>
              </w:rPr>
              <w:lastRenderedPageBreak/>
              <w:t xml:space="preserve">provided by the IDB meets </w:t>
            </w:r>
            <w:r w:rsidR="174B0B49" w:rsidRPr="00E90AC2">
              <w:rPr>
                <w:rFonts w:eastAsia="Times New Roman"/>
              </w:rPr>
              <w:t xml:space="preserve">ICF </w:t>
            </w:r>
            <w:r w:rsidRPr="00E90AC2">
              <w:rPr>
                <w:rFonts w:eastAsia="Times New Roman"/>
              </w:rPr>
              <w:t>requirements and accepted by Defra.</w:t>
            </w:r>
          </w:p>
        </w:tc>
        <w:tc>
          <w:tcPr>
            <w:tcW w:w="3976" w:type="dxa"/>
            <w:hideMark/>
          </w:tcPr>
          <w:p w14:paraId="3BE21FD0" w14:textId="65C8B692" w:rsidR="00CB4678" w:rsidRPr="0065367B" w:rsidRDefault="5FF6DDD9" w:rsidP="63B8E9F6">
            <w:pP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rPr>
            </w:pPr>
            <w:r w:rsidRPr="63B8E9F6">
              <w:rPr>
                <w:rFonts w:asciiTheme="minorHAnsi" w:eastAsia="Times New Roman" w:hAnsiTheme="minorHAnsi" w:cstheme="minorBidi"/>
              </w:rPr>
              <w:lastRenderedPageBreak/>
              <w:t>Partially</w:t>
            </w:r>
            <w:r w:rsidR="69C0A39B" w:rsidRPr="63B8E9F6">
              <w:rPr>
                <w:rFonts w:asciiTheme="minorHAnsi" w:eastAsia="Times New Roman" w:hAnsiTheme="minorHAnsi" w:cstheme="minorBidi"/>
              </w:rPr>
              <w:t xml:space="preserve"> achieved. </w:t>
            </w:r>
            <w:r w:rsidRPr="63B8E9F6">
              <w:rPr>
                <w:rFonts w:asciiTheme="minorHAnsi" w:eastAsia="Times New Roman" w:hAnsiTheme="minorHAnsi" w:cstheme="minorBidi"/>
              </w:rPr>
              <w:t xml:space="preserve">The </w:t>
            </w:r>
            <w:r w:rsidR="277AB97D" w:rsidRPr="63B8E9F6">
              <w:rPr>
                <w:rFonts w:asciiTheme="minorHAnsi" w:eastAsia="Times New Roman" w:hAnsiTheme="minorHAnsi" w:cstheme="minorBidi"/>
              </w:rPr>
              <w:t>IDB has produced a number of indicative logical frameworks</w:t>
            </w:r>
            <w:r w:rsidR="69C0A39B" w:rsidRPr="63B8E9F6">
              <w:rPr>
                <w:rFonts w:asciiTheme="minorHAnsi" w:eastAsia="Times New Roman" w:hAnsiTheme="minorHAnsi" w:cstheme="minorBidi"/>
              </w:rPr>
              <w:t>. However</w:t>
            </w:r>
            <w:r w:rsidR="1A28B463" w:rsidRPr="63B8E9F6">
              <w:rPr>
                <w:rFonts w:asciiTheme="minorHAnsi" w:eastAsia="Times New Roman" w:hAnsiTheme="minorHAnsi" w:cstheme="minorBidi"/>
              </w:rPr>
              <w:t xml:space="preserve">, these have not </w:t>
            </w:r>
            <w:r w:rsidR="1A28B463" w:rsidRPr="63B8E9F6">
              <w:rPr>
                <w:rFonts w:asciiTheme="minorHAnsi" w:eastAsia="Times New Roman" w:hAnsiTheme="minorHAnsi" w:cstheme="minorBidi"/>
              </w:rPr>
              <w:lastRenderedPageBreak/>
              <w:t xml:space="preserve">been to the required standard </w:t>
            </w:r>
            <w:r w:rsidR="326FC3E7" w:rsidRPr="63B8E9F6">
              <w:rPr>
                <w:rFonts w:asciiTheme="minorHAnsi" w:eastAsia="Times New Roman" w:hAnsiTheme="minorHAnsi" w:cstheme="minorBidi"/>
              </w:rPr>
              <w:t xml:space="preserve">for ICF programmes as </w:t>
            </w:r>
            <w:r w:rsidR="539CA839" w:rsidRPr="63B8E9F6">
              <w:rPr>
                <w:rFonts w:asciiTheme="minorHAnsi" w:eastAsia="Times New Roman" w:hAnsiTheme="minorHAnsi" w:cstheme="minorBidi"/>
              </w:rPr>
              <w:t>important detail and clarity has</w:t>
            </w:r>
            <w:r w:rsidR="326FC3E7" w:rsidRPr="63B8E9F6">
              <w:rPr>
                <w:rFonts w:asciiTheme="minorHAnsi" w:eastAsia="Times New Roman" w:hAnsiTheme="minorHAnsi" w:cstheme="minorBidi"/>
              </w:rPr>
              <w:t xml:space="preserve"> been lacking</w:t>
            </w:r>
            <w:r w:rsidR="539CA839" w:rsidRPr="63B8E9F6">
              <w:rPr>
                <w:rFonts w:asciiTheme="minorHAnsi" w:eastAsia="Times New Roman" w:hAnsiTheme="minorHAnsi" w:cstheme="minorBidi"/>
              </w:rPr>
              <w:t>.</w:t>
            </w:r>
            <w:r w:rsidR="326FC3E7" w:rsidRPr="63B8E9F6">
              <w:rPr>
                <w:rFonts w:asciiTheme="minorHAnsi" w:eastAsia="Times New Roman" w:hAnsiTheme="minorHAnsi" w:cstheme="minorBidi"/>
              </w:rPr>
              <w:t xml:space="preserve"> Key </w:t>
            </w:r>
            <w:r w:rsidR="16E8E907" w:rsidRPr="63B8E9F6">
              <w:rPr>
                <w:rFonts w:asciiTheme="minorHAnsi" w:eastAsia="Times New Roman" w:hAnsiTheme="minorHAnsi" w:cstheme="minorBidi"/>
              </w:rPr>
              <w:t>feedback</w:t>
            </w:r>
            <w:r w:rsidR="326FC3E7" w:rsidRPr="63B8E9F6">
              <w:rPr>
                <w:rFonts w:asciiTheme="minorHAnsi" w:eastAsia="Times New Roman" w:hAnsiTheme="minorHAnsi" w:cstheme="minorBidi"/>
              </w:rPr>
              <w:t xml:space="preserve"> from Defra</w:t>
            </w:r>
            <w:r w:rsidR="16E8E907" w:rsidRPr="63B8E9F6">
              <w:rPr>
                <w:rFonts w:asciiTheme="minorHAnsi" w:eastAsia="Times New Roman" w:hAnsiTheme="minorHAnsi" w:cstheme="minorBidi"/>
              </w:rPr>
              <w:t xml:space="preserve"> has </w:t>
            </w:r>
            <w:r w:rsidR="539CA839" w:rsidRPr="63B8E9F6">
              <w:rPr>
                <w:rFonts w:asciiTheme="minorHAnsi" w:eastAsia="Times New Roman" w:hAnsiTheme="minorHAnsi" w:cstheme="minorBidi"/>
              </w:rPr>
              <w:t xml:space="preserve">also </w:t>
            </w:r>
            <w:r w:rsidR="16E8E907" w:rsidRPr="63B8E9F6">
              <w:rPr>
                <w:rFonts w:asciiTheme="minorHAnsi" w:eastAsia="Times New Roman" w:hAnsiTheme="minorHAnsi" w:cstheme="minorBidi"/>
              </w:rPr>
              <w:t xml:space="preserve">not yet been </w:t>
            </w:r>
            <w:r w:rsidR="65465967" w:rsidRPr="63B8E9F6">
              <w:rPr>
                <w:rFonts w:asciiTheme="minorHAnsi" w:eastAsia="Times New Roman" w:hAnsiTheme="minorHAnsi" w:cstheme="minorBidi"/>
              </w:rPr>
              <w:t>sufficiently</w:t>
            </w:r>
            <w:r w:rsidR="094BC38C" w:rsidRPr="63B8E9F6">
              <w:rPr>
                <w:rFonts w:asciiTheme="minorHAnsi" w:eastAsia="Times New Roman" w:hAnsiTheme="minorHAnsi" w:cstheme="minorBidi"/>
              </w:rPr>
              <w:t xml:space="preserve"> incorporated or reflected in further</w:t>
            </w:r>
            <w:r w:rsidR="326FC3E7" w:rsidRPr="63B8E9F6">
              <w:rPr>
                <w:rFonts w:asciiTheme="minorHAnsi" w:eastAsia="Times New Roman" w:hAnsiTheme="minorHAnsi" w:cstheme="minorBidi"/>
              </w:rPr>
              <w:t xml:space="preserve"> iterations (see </w:t>
            </w:r>
            <w:r w:rsidR="00897B25">
              <w:rPr>
                <w:rFonts w:asciiTheme="minorHAnsi" w:eastAsia="Times New Roman" w:hAnsiTheme="minorHAnsi" w:cstheme="minorBidi"/>
              </w:rPr>
              <w:t xml:space="preserve">below and </w:t>
            </w:r>
            <w:r w:rsidR="326FC3E7" w:rsidRPr="63B8E9F6">
              <w:rPr>
                <w:rFonts w:asciiTheme="minorHAnsi" w:eastAsia="Times New Roman" w:hAnsiTheme="minorHAnsi" w:cstheme="minorBidi"/>
              </w:rPr>
              <w:t>Section 3.1.1 for more detail)</w:t>
            </w:r>
          </w:p>
        </w:tc>
        <w:tc>
          <w:tcPr>
            <w:tcW w:w="538" w:type="dxa"/>
            <w:hideMark/>
          </w:tcPr>
          <w:p w14:paraId="6CEB475A" w14:textId="2B7ECEFF" w:rsidR="00BB7661" w:rsidRPr="002E79CB" w:rsidRDefault="00932EEE" w:rsidP="00932EEE">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rPr>
            </w:pPr>
            <w:r w:rsidRPr="002E79CB">
              <w:rPr>
                <w:rFonts w:asciiTheme="minorHAnsi" w:eastAsia="Times New Roman" w:hAnsiTheme="minorHAnsi" w:cstheme="minorHAnsi"/>
                <w:b/>
                <w:bCs/>
              </w:rPr>
              <w:lastRenderedPageBreak/>
              <w:t>B</w:t>
            </w:r>
          </w:p>
        </w:tc>
      </w:tr>
      <w:tr w:rsidR="00BB7661" w:rsidRPr="00AB1372" w14:paraId="70014824" w14:textId="77777777" w:rsidTr="4521EDEC">
        <w:tc>
          <w:tcPr>
            <w:cnfStyle w:val="001000000000" w:firstRow="0" w:lastRow="0" w:firstColumn="1" w:lastColumn="0" w:oddVBand="0" w:evenVBand="0" w:oddHBand="0" w:evenHBand="0" w:firstRowFirstColumn="0" w:firstRowLastColumn="0" w:lastRowFirstColumn="0" w:lastRowLastColumn="0"/>
            <w:tcW w:w="2689" w:type="dxa"/>
            <w:hideMark/>
          </w:tcPr>
          <w:p w14:paraId="0F03A647" w14:textId="020D0CC7" w:rsidR="00BB7661" w:rsidRPr="0065367B" w:rsidRDefault="006B4D8C" w:rsidP="00BB7661">
            <w:pPr>
              <w:textAlignment w:val="baseline"/>
              <w:rPr>
                <w:rFonts w:asciiTheme="minorHAnsi" w:eastAsia="Times New Roman" w:hAnsiTheme="minorHAnsi" w:cstheme="minorHAnsi"/>
              </w:rPr>
            </w:pPr>
            <w:r w:rsidRPr="0065367B">
              <w:rPr>
                <w:rFonts w:asciiTheme="minorHAnsi" w:eastAsia="Times New Roman" w:hAnsiTheme="minorHAnsi" w:cstheme="minorHAnsi"/>
              </w:rPr>
              <w:t xml:space="preserve">1.2 </w:t>
            </w:r>
            <w:r w:rsidR="00BB7661" w:rsidRPr="0065367B">
              <w:rPr>
                <w:rFonts w:asciiTheme="minorHAnsi" w:eastAsia="Times New Roman" w:hAnsiTheme="minorHAnsi" w:cstheme="minorHAnsi"/>
              </w:rPr>
              <w:t>Results framework is finalised, including programme</w:t>
            </w:r>
            <w:r w:rsidR="00516DB6">
              <w:rPr>
                <w:rFonts w:asciiTheme="minorHAnsi" w:eastAsia="Times New Roman" w:hAnsiTheme="minorHAnsi" w:cstheme="minorHAnsi"/>
              </w:rPr>
              <w:t>-</w:t>
            </w:r>
            <w:r w:rsidR="00BB7661" w:rsidRPr="0065367B">
              <w:rPr>
                <w:rFonts w:asciiTheme="minorHAnsi" w:eastAsia="Times New Roman" w:hAnsiTheme="minorHAnsi" w:cstheme="minorHAnsi"/>
              </w:rPr>
              <w:t>level logical framework (with baselines) and Theory of Change </w:t>
            </w:r>
          </w:p>
        </w:tc>
        <w:tc>
          <w:tcPr>
            <w:tcW w:w="1782" w:type="dxa"/>
            <w:hideMark/>
          </w:tcPr>
          <w:p w14:paraId="1A0EBAC7" w14:textId="09179AA6" w:rsidR="00BB7661" w:rsidRPr="0065367B" w:rsidRDefault="00DF66DB" w:rsidP="00BB7661">
            <w:pP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1 results framework with baselines provided by the IDB and accepted by Defra.</w:t>
            </w:r>
          </w:p>
        </w:tc>
        <w:tc>
          <w:tcPr>
            <w:tcW w:w="3976" w:type="dxa"/>
            <w:hideMark/>
          </w:tcPr>
          <w:p w14:paraId="4220149F" w14:textId="30A720B3" w:rsidR="00BB7661" w:rsidRPr="0065367B" w:rsidRDefault="00605846" w:rsidP="00BB7661">
            <w:pP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Not achieved. </w:t>
            </w:r>
            <w:r w:rsidR="00AB1372" w:rsidRPr="0065367B">
              <w:rPr>
                <w:rFonts w:asciiTheme="minorHAnsi" w:eastAsia="Times New Roman" w:hAnsiTheme="minorHAnsi" w:cstheme="minorHAnsi"/>
              </w:rPr>
              <w:t xml:space="preserve">A final results framework including programme-level logical framework (with baselines) and Theory of Change </w:t>
            </w:r>
            <w:r w:rsidR="0065367B" w:rsidRPr="0065367B">
              <w:rPr>
                <w:rFonts w:asciiTheme="minorHAnsi" w:eastAsia="Times New Roman" w:hAnsiTheme="minorHAnsi" w:cstheme="minorHAnsi"/>
              </w:rPr>
              <w:t>has</w:t>
            </w:r>
            <w:r w:rsidR="00AB1372" w:rsidRPr="0065367B">
              <w:rPr>
                <w:rFonts w:asciiTheme="minorHAnsi" w:eastAsia="Times New Roman" w:hAnsiTheme="minorHAnsi" w:cstheme="minorHAnsi"/>
              </w:rPr>
              <w:t xml:space="preserve"> not</w:t>
            </w:r>
            <w:r w:rsidR="0065367B" w:rsidRPr="0065367B">
              <w:rPr>
                <w:rFonts w:asciiTheme="minorHAnsi" w:eastAsia="Times New Roman" w:hAnsiTheme="minorHAnsi" w:cstheme="minorHAnsi"/>
              </w:rPr>
              <w:t xml:space="preserve"> been</w:t>
            </w:r>
            <w:r w:rsidR="00AB1372" w:rsidRPr="0065367B">
              <w:rPr>
                <w:rFonts w:asciiTheme="minorHAnsi" w:eastAsia="Times New Roman" w:hAnsiTheme="minorHAnsi" w:cstheme="minorHAnsi"/>
              </w:rPr>
              <w:t xml:space="preserve"> provided by the end of June 2021.</w:t>
            </w:r>
          </w:p>
        </w:tc>
        <w:tc>
          <w:tcPr>
            <w:tcW w:w="538" w:type="dxa"/>
            <w:hideMark/>
          </w:tcPr>
          <w:p w14:paraId="63C3F7AB" w14:textId="308160D5" w:rsidR="00BB7661" w:rsidRPr="002E79CB" w:rsidRDefault="00C04030" w:rsidP="00932EEE">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2E79CB">
              <w:rPr>
                <w:rFonts w:asciiTheme="minorHAnsi" w:eastAsia="Times New Roman" w:hAnsiTheme="minorHAnsi" w:cstheme="minorHAnsi"/>
                <w:b/>
                <w:bCs/>
              </w:rPr>
              <w:t>C</w:t>
            </w:r>
          </w:p>
        </w:tc>
      </w:tr>
      <w:tr w:rsidR="00BB7661" w:rsidRPr="00AB1372" w14:paraId="41B4973E" w14:textId="77777777" w:rsidTr="4521E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hideMark/>
          </w:tcPr>
          <w:p w14:paraId="7C3971EE" w14:textId="74924F9C" w:rsidR="00BB7661" w:rsidRPr="0065367B" w:rsidRDefault="006B4D8C" w:rsidP="00BB7661">
            <w:pPr>
              <w:textAlignment w:val="baseline"/>
              <w:rPr>
                <w:rFonts w:asciiTheme="minorHAnsi" w:eastAsia="Times New Roman" w:hAnsiTheme="minorHAnsi" w:cstheme="minorHAnsi"/>
              </w:rPr>
            </w:pPr>
            <w:r w:rsidRPr="0065367B">
              <w:rPr>
                <w:rFonts w:asciiTheme="minorHAnsi" w:eastAsia="Times New Roman" w:hAnsiTheme="minorHAnsi" w:cstheme="minorHAnsi"/>
              </w:rPr>
              <w:t xml:space="preserve">1.3 </w:t>
            </w:r>
            <w:r w:rsidR="00BB7661" w:rsidRPr="0065367B">
              <w:rPr>
                <w:rFonts w:asciiTheme="minorHAnsi" w:eastAsia="Times New Roman" w:hAnsiTheme="minorHAnsi" w:cstheme="minorHAnsi"/>
              </w:rPr>
              <w:t>Evaluation plan is finalised within 6 months of the 2019/20 Annual Review </w:t>
            </w:r>
          </w:p>
        </w:tc>
        <w:tc>
          <w:tcPr>
            <w:tcW w:w="1782" w:type="dxa"/>
            <w:hideMark/>
          </w:tcPr>
          <w:p w14:paraId="42D4A42F" w14:textId="6994778B" w:rsidR="00BB7661" w:rsidRPr="0065367B" w:rsidRDefault="00DF66DB" w:rsidP="00BB7661">
            <w:pP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1 Evaluation Plan provided by the IDB and approved by Defra.</w:t>
            </w:r>
          </w:p>
        </w:tc>
        <w:tc>
          <w:tcPr>
            <w:tcW w:w="3976" w:type="dxa"/>
            <w:hideMark/>
          </w:tcPr>
          <w:p w14:paraId="09E4380B" w14:textId="7FBAF3E5" w:rsidR="0065367B" w:rsidRDefault="0065367B" w:rsidP="00BB7661">
            <w:pP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Not applicable</w:t>
            </w:r>
            <w:r w:rsidR="00605846">
              <w:rPr>
                <w:rFonts w:asciiTheme="minorHAnsi" w:eastAsia="Times New Roman" w:hAnsiTheme="minorHAnsi" w:cstheme="minorHAnsi"/>
              </w:rPr>
              <w:t>.</w:t>
            </w:r>
            <w:r>
              <w:rPr>
                <w:rFonts w:asciiTheme="minorHAnsi" w:eastAsia="Times New Roman" w:hAnsiTheme="minorHAnsi" w:cstheme="minorHAnsi"/>
              </w:rPr>
              <w:t xml:space="preserve"> </w:t>
            </w:r>
            <w:r w:rsidRPr="0065367B">
              <w:rPr>
                <w:rFonts w:asciiTheme="minorHAnsi" w:eastAsia="Times New Roman" w:hAnsiTheme="minorHAnsi" w:cstheme="minorHAnsi"/>
              </w:rPr>
              <w:t>Defra and the IDB have agreed that the Evaluation Plan cannot be completed until the results framework has been finalised.</w:t>
            </w:r>
            <w:r>
              <w:rPr>
                <w:rFonts w:asciiTheme="minorHAnsi" w:eastAsia="Times New Roman" w:hAnsiTheme="minorHAnsi" w:cstheme="minorHAnsi"/>
              </w:rPr>
              <w:t xml:space="preserve"> </w:t>
            </w:r>
          </w:p>
          <w:p w14:paraId="18F98D4E" w14:textId="77777777" w:rsidR="0065367B" w:rsidRDefault="0065367B" w:rsidP="00BB7661">
            <w:pP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p>
          <w:p w14:paraId="72AB6820" w14:textId="3BF3604A" w:rsidR="00BB7661" w:rsidRPr="0065367B" w:rsidRDefault="0065367B" w:rsidP="00BB7661">
            <w:pP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This indicator cannot be reported against as the key results framework has not been finalised.</w:t>
            </w:r>
          </w:p>
        </w:tc>
        <w:tc>
          <w:tcPr>
            <w:tcW w:w="538" w:type="dxa"/>
            <w:hideMark/>
          </w:tcPr>
          <w:p w14:paraId="34C697A6" w14:textId="0982A87A" w:rsidR="00BB7661" w:rsidRPr="002E79CB" w:rsidRDefault="0065367B" w:rsidP="00932EEE">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rPr>
            </w:pPr>
            <w:r w:rsidRPr="002E79CB">
              <w:rPr>
                <w:rFonts w:asciiTheme="minorHAnsi" w:eastAsia="Times New Roman" w:hAnsiTheme="minorHAnsi" w:cstheme="minorHAnsi"/>
                <w:b/>
                <w:bCs/>
              </w:rPr>
              <w:t>n/a</w:t>
            </w:r>
          </w:p>
        </w:tc>
      </w:tr>
      <w:tr w:rsidR="00BB7661" w:rsidRPr="00AB1372" w14:paraId="7E6685A3" w14:textId="77777777" w:rsidTr="4521EDEC">
        <w:tc>
          <w:tcPr>
            <w:cnfStyle w:val="001000000000" w:firstRow="0" w:lastRow="0" w:firstColumn="1" w:lastColumn="0" w:oddVBand="0" w:evenVBand="0" w:oddHBand="0" w:evenHBand="0" w:firstRowFirstColumn="0" w:firstRowLastColumn="0" w:lastRowFirstColumn="0" w:lastRowLastColumn="0"/>
            <w:tcW w:w="2689" w:type="dxa"/>
            <w:hideMark/>
          </w:tcPr>
          <w:p w14:paraId="481AFA7E" w14:textId="33D2545E" w:rsidR="00BB7661" w:rsidRPr="00A407DF" w:rsidRDefault="006B4D8C" w:rsidP="00BB7661">
            <w:pPr>
              <w:textAlignment w:val="baseline"/>
              <w:rPr>
                <w:rFonts w:asciiTheme="minorHAnsi" w:eastAsia="Times New Roman" w:hAnsiTheme="minorHAnsi" w:cstheme="minorHAnsi"/>
              </w:rPr>
            </w:pPr>
            <w:r w:rsidRPr="00A407DF">
              <w:rPr>
                <w:rFonts w:asciiTheme="minorHAnsi" w:eastAsia="Times New Roman" w:hAnsiTheme="minorHAnsi" w:cstheme="minorHAnsi"/>
              </w:rPr>
              <w:t xml:space="preserve">1.4 </w:t>
            </w:r>
            <w:r w:rsidR="00C4373C">
              <w:rPr>
                <w:rFonts w:asciiTheme="minorHAnsi" w:eastAsia="Times New Roman" w:hAnsiTheme="minorHAnsi" w:cstheme="minorHAnsi"/>
              </w:rPr>
              <w:t>P</w:t>
            </w:r>
            <w:r w:rsidR="00BB7661" w:rsidRPr="00A407DF">
              <w:rPr>
                <w:rFonts w:asciiTheme="minorHAnsi" w:eastAsia="Times New Roman" w:hAnsiTheme="minorHAnsi" w:cstheme="minorHAnsi"/>
              </w:rPr>
              <w:t>roject proposals</w:t>
            </w:r>
            <w:r w:rsidR="00DD2B91">
              <w:rPr>
                <w:rFonts w:asciiTheme="minorHAnsi" w:eastAsia="Times New Roman" w:hAnsiTheme="minorHAnsi" w:cstheme="minorHAnsi"/>
              </w:rPr>
              <w:t xml:space="preserve"> improved to</w:t>
            </w:r>
            <w:r w:rsidR="00BB7661" w:rsidRPr="00A407DF">
              <w:rPr>
                <w:rFonts w:asciiTheme="minorHAnsi" w:eastAsia="Times New Roman" w:hAnsiTheme="minorHAnsi" w:cstheme="minorHAnsi"/>
              </w:rPr>
              <w:t> outline how new projects align with relevant country/ countries’ national strategies and the aim of the UK BCF programme. </w:t>
            </w:r>
          </w:p>
        </w:tc>
        <w:tc>
          <w:tcPr>
            <w:tcW w:w="1782" w:type="dxa"/>
            <w:hideMark/>
          </w:tcPr>
          <w:p w14:paraId="4E088CDD" w14:textId="1E6B03AA" w:rsidR="00BB7661" w:rsidRPr="00A407DF" w:rsidRDefault="4571C29A" w:rsidP="4521EDEC">
            <w:pP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rPr>
            </w:pPr>
            <w:r w:rsidRPr="4521EDEC">
              <w:rPr>
                <w:rFonts w:asciiTheme="minorHAnsi" w:eastAsia="Times New Roman" w:hAnsiTheme="minorHAnsi" w:cstheme="minorBidi"/>
              </w:rPr>
              <w:t xml:space="preserve">1 proposal </w:t>
            </w:r>
            <w:r w:rsidR="00FE3ED2" w:rsidRPr="4521EDEC">
              <w:rPr>
                <w:rFonts w:asciiTheme="minorHAnsi" w:eastAsia="Times New Roman" w:hAnsiTheme="minorHAnsi" w:cstheme="minorBidi"/>
              </w:rPr>
              <w:t>(</w:t>
            </w:r>
            <w:r w:rsidR="79549E79" w:rsidRPr="4521EDEC">
              <w:rPr>
                <w:rFonts w:asciiTheme="minorHAnsi" w:eastAsia="Times New Roman" w:hAnsiTheme="minorHAnsi" w:cstheme="minorBidi"/>
              </w:rPr>
              <w:t>Suriname)</w:t>
            </w:r>
            <w:r w:rsidR="00FE3ED2" w:rsidRPr="4521EDEC">
              <w:rPr>
                <w:rFonts w:asciiTheme="minorHAnsi" w:eastAsia="Times New Roman" w:hAnsiTheme="minorHAnsi" w:cstheme="minorBidi"/>
              </w:rPr>
              <w:t xml:space="preserve"> </w:t>
            </w:r>
            <w:r w:rsidRPr="4521EDEC">
              <w:rPr>
                <w:rFonts w:asciiTheme="minorHAnsi" w:eastAsia="Times New Roman" w:hAnsiTheme="minorHAnsi" w:cstheme="minorBidi"/>
              </w:rPr>
              <w:t>provided by the IDB and approved by Defra.</w:t>
            </w:r>
          </w:p>
        </w:tc>
        <w:tc>
          <w:tcPr>
            <w:tcW w:w="3976" w:type="dxa"/>
            <w:hideMark/>
          </w:tcPr>
          <w:p w14:paraId="3910D300" w14:textId="456305ED" w:rsidR="00BB7661" w:rsidRPr="00A407DF" w:rsidRDefault="02E7BE2C" w:rsidP="4521EDEC">
            <w:pP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rPr>
            </w:pPr>
            <w:r w:rsidRPr="4521EDEC">
              <w:rPr>
                <w:rFonts w:asciiTheme="minorHAnsi" w:eastAsia="Times New Roman" w:hAnsiTheme="minorHAnsi" w:cstheme="minorBidi"/>
              </w:rPr>
              <w:t xml:space="preserve">Partially achieved. One draft project proposal has been provided and the IDB and Defra have been working to develop the final version which would be formally submitted to Defra for approval. The proposal is not yet </w:t>
            </w:r>
            <w:r w:rsidR="009304EE" w:rsidRPr="4521EDEC">
              <w:rPr>
                <w:rFonts w:asciiTheme="minorHAnsi" w:eastAsia="Times New Roman" w:hAnsiTheme="minorHAnsi" w:cstheme="minorBidi"/>
              </w:rPr>
              <w:t xml:space="preserve">sufficiently improved to meet the requirements to be approved by Defra (see Section 3.1.1 for more detail). The IDB submitted the most recent iteration on 24 March 2021 in response to feedback from Defra. </w:t>
            </w:r>
            <w:r w:rsidRPr="4521EDEC">
              <w:rPr>
                <w:rFonts w:asciiTheme="minorHAnsi" w:eastAsia="Times New Roman" w:hAnsiTheme="minorHAnsi" w:cstheme="minorBidi"/>
              </w:rPr>
              <w:t xml:space="preserve"> </w:t>
            </w:r>
          </w:p>
        </w:tc>
        <w:tc>
          <w:tcPr>
            <w:tcW w:w="538" w:type="dxa"/>
            <w:hideMark/>
          </w:tcPr>
          <w:p w14:paraId="557B833C" w14:textId="0A7852A0" w:rsidR="00BB7661" w:rsidRPr="002E79CB" w:rsidRDefault="1C24C179" w:rsidP="4B7D6B8A">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b/>
                <w:bCs/>
              </w:rPr>
            </w:pPr>
            <w:r w:rsidRPr="4B7D6B8A">
              <w:rPr>
                <w:rFonts w:asciiTheme="minorHAnsi" w:eastAsia="Times New Roman" w:hAnsiTheme="minorHAnsi" w:cstheme="minorBidi"/>
                <w:b/>
                <w:bCs/>
              </w:rPr>
              <w:t>B</w:t>
            </w:r>
          </w:p>
        </w:tc>
      </w:tr>
      <w:tr w:rsidR="00BB7661" w:rsidRPr="00AB1372" w14:paraId="0728A264" w14:textId="77777777" w:rsidTr="4521E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hideMark/>
          </w:tcPr>
          <w:p w14:paraId="3E21AD2F" w14:textId="72293EEF" w:rsidR="00BB7661" w:rsidRPr="00A407DF" w:rsidRDefault="5B16F09B" w:rsidP="10B17927">
            <w:pPr>
              <w:textAlignment w:val="baseline"/>
              <w:rPr>
                <w:rFonts w:asciiTheme="minorHAnsi" w:eastAsia="Times New Roman" w:hAnsiTheme="minorHAnsi" w:cstheme="minorBidi"/>
              </w:rPr>
            </w:pPr>
            <w:r w:rsidRPr="10B17927">
              <w:rPr>
                <w:rFonts w:asciiTheme="minorHAnsi" w:eastAsia="Times New Roman" w:hAnsiTheme="minorHAnsi" w:cstheme="minorBidi"/>
              </w:rPr>
              <w:t xml:space="preserve">1.5 </w:t>
            </w:r>
            <w:r w:rsidR="5B870FFF" w:rsidRPr="10B17927">
              <w:rPr>
                <w:rFonts w:asciiTheme="minorHAnsi" w:eastAsia="Times New Roman" w:hAnsiTheme="minorHAnsi" w:cstheme="minorBidi"/>
              </w:rPr>
              <w:t>IDB and Defra to produce and finalise a Programme Management Manual </w:t>
            </w:r>
          </w:p>
        </w:tc>
        <w:tc>
          <w:tcPr>
            <w:tcW w:w="1782" w:type="dxa"/>
            <w:hideMark/>
          </w:tcPr>
          <w:p w14:paraId="2CFDBE5D" w14:textId="354F0126" w:rsidR="00BB7661" w:rsidRPr="00A407DF" w:rsidRDefault="005C3B90" w:rsidP="00BB7661">
            <w:pP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A407DF">
              <w:rPr>
                <w:rFonts w:asciiTheme="minorHAnsi" w:eastAsia="Times New Roman" w:hAnsiTheme="minorHAnsi" w:cstheme="minorHAnsi"/>
              </w:rPr>
              <w:t>1 Programme Management Manual is produced and finalised</w:t>
            </w:r>
          </w:p>
        </w:tc>
        <w:tc>
          <w:tcPr>
            <w:tcW w:w="3976" w:type="dxa"/>
          </w:tcPr>
          <w:p w14:paraId="1D7CCAE8" w14:textId="0A069FE2" w:rsidR="005C3B90" w:rsidRPr="00A407DF" w:rsidRDefault="6E7FB53B" w:rsidP="444D1C45">
            <w:pP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rPr>
            </w:pPr>
            <w:r w:rsidRPr="444D1C45">
              <w:rPr>
                <w:rFonts w:asciiTheme="minorHAnsi" w:eastAsia="Times New Roman" w:hAnsiTheme="minorHAnsi" w:cstheme="minorBidi"/>
              </w:rPr>
              <w:t>Achieved.</w:t>
            </w:r>
            <w:r w:rsidR="2DE8083C" w:rsidRPr="444D1C45">
              <w:rPr>
                <w:rFonts w:asciiTheme="minorHAnsi" w:eastAsia="Times New Roman" w:hAnsiTheme="minorHAnsi" w:cstheme="minorBidi"/>
              </w:rPr>
              <w:t xml:space="preserve"> </w:t>
            </w:r>
            <w:r w:rsidR="080866D2" w:rsidRPr="444D1C45">
              <w:rPr>
                <w:rFonts w:asciiTheme="minorHAnsi" w:eastAsia="Times New Roman" w:hAnsiTheme="minorHAnsi" w:cstheme="minorBidi"/>
              </w:rPr>
              <w:t xml:space="preserve">In the first quarter of 2021, IDB and Defra worked together to design a Programme Management Manual which aims to align expectations and outline timelines for project approvals and implementation, content of Advisory Board and Checkpoints which provide quarterly updates, deadlines for the submission of monitoring tools and other programme management requirements. </w:t>
            </w:r>
            <w:r w:rsidR="78594925" w:rsidRPr="444D1C45">
              <w:rPr>
                <w:rFonts w:asciiTheme="minorHAnsi" w:eastAsia="Times New Roman" w:hAnsiTheme="minorHAnsi" w:cstheme="minorBidi"/>
              </w:rPr>
              <w:t>T</w:t>
            </w:r>
            <w:r w:rsidR="080866D2" w:rsidRPr="444D1C45">
              <w:rPr>
                <w:rFonts w:asciiTheme="minorHAnsi" w:eastAsia="Times New Roman" w:hAnsiTheme="minorHAnsi" w:cstheme="minorBidi"/>
              </w:rPr>
              <w:t>he P</w:t>
            </w:r>
            <w:r w:rsidR="78594925" w:rsidRPr="444D1C45">
              <w:rPr>
                <w:rFonts w:asciiTheme="minorHAnsi" w:eastAsia="Times New Roman" w:hAnsiTheme="minorHAnsi" w:cstheme="minorBidi"/>
              </w:rPr>
              <w:t xml:space="preserve">rogramme </w:t>
            </w:r>
            <w:r w:rsidR="080866D2" w:rsidRPr="444D1C45">
              <w:rPr>
                <w:rFonts w:asciiTheme="minorHAnsi" w:eastAsia="Times New Roman" w:hAnsiTheme="minorHAnsi" w:cstheme="minorBidi"/>
              </w:rPr>
              <w:t>M</w:t>
            </w:r>
            <w:r w:rsidR="78594925" w:rsidRPr="444D1C45">
              <w:rPr>
                <w:rFonts w:asciiTheme="minorHAnsi" w:eastAsia="Times New Roman" w:hAnsiTheme="minorHAnsi" w:cstheme="minorBidi"/>
              </w:rPr>
              <w:t xml:space="preserve">anagement </w:t>
            </w:r>
            <w:r w:rsidR="080866D2" w:rsidRPr="444D1C45">
              <w:rPr>
                <w:rFonts w:asciiTheme="minorHAnsi" w:eastAsia="Times New Roman" w:hAnsiTheme="minorHAnsi" w:cstheme="minorBidi"/>
              </w:rPr>
              <w:t>M</w:t>
            </w:r>
            <w:r w:rsidR="78594925" w:rsidRPr="444D1C45">
              <w:rPr>
                <w:rFonts w:asciiTheme="minorHAnsi" w:eastAsia="Times New Roman" w:hAnsiTheme="minorHAnsi" w:cstheme="minorBidi"/>
              </w:rPr>
              <w:t>anual</w:t>
            </w:r>
            <w:r w:rsidR="080866D2" w:rsidRPr="444D1C45">
              <w:rPr>
                <w:rFonts w:asciiTheme="minorHAnsi" w:eastAsia="Times New Roman" w:hAnsiTheme="minorHAnsi" w:cstheme="minorBidi"/>
              </w:rPr>
              <w:t xml:space="preserve"> was finalised in June 2021.</w:t>
            </w:r>
          </w:p>
        </w:tc>
        <w:tc>
          <w:tcPr>
            <w:tcW w:w="538" w:type="dxa"/>
            <w:hideMark/>
          </w:tcPr>
          <w:p w14:paraId="5780E6F1" w14:textId="134F5C87" w:rsidR="00BB7661" w:rsidRPr="002E79CB" w:rsidRDefault="068422BB" w:rsidP="10B17927">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b/>
                <w:bCs/>
              </w:rPr>
            </w:pPr>
            <w:r w:rsidRPr="10B17927">
              <w:rPr>
                <w:rFonts w:asciiTheme="minorHAnsi" w:eastAsia="Times New Roman" w:hAnsiTheme="minorHAnsi" w:cstheme="minorBidi"/>
                <w:b/>
                <w:bCs/>
              </w:rPr>
              <w:t>A</w:t>
            </w:r>
          </w:p>
        </w:tc>
      </w:tr>
      <w:tr w:rsidR="00BB7661" w:rsidRPr="00AB1372" w14:paraId="40640760" w14:textId="77777777" w:rsidTr="4521EDEC">
        <w:tc>
          <w:tcPr>
            <w:cnfStyle w:val="001000000000" w:firstRow="0" w:lastRow="0" w:firstColumn="1" w:lastColumn="0" w:oddVBand="0" w:evenVBand="0" w:oddHBand="0" w:evenHBand="0" w:firstRowFirstColumn="0" w:firstRowLastColumn="0" w:lastRowFirstColumn="0" w:lastRowLastColumn="0"/>
            <w:tcW w:w="2689" w:type="dxa"/>
            <w:hideMark/>
          </w:tcPr>
          <w:p w14:paraId="3CEA8CF4" w14:textId="6F7341C2" w:rsidR="00BB7661" w:rsidRPr="00A407DF" w:rsidRDefault="006B4D8C" w:rsidP="00BB7661">
            <w:pPr>
              <w:textAlignment w:val="baseline"/>
              <w:rPr>
                <w:rFonts w:asciiTheme="minorHAnsi" w:eastAsia="Times New Roman" w:hAnsiTheme="minorHAnsi" w:cstheme="minorHAnsi"/>
              </w:rPr>
            </w:pPr>
            <w:r w:rsidRPr="00A407DF">
              <w:rPr>
                <w:rFonts w:asciiTheme="minorHAnsi" w:eastAsia="Times New Roman" w:hAnsiTheme="minorHAnsi" w:cstheme="minorHAnsi"/>
              </w:rPr>
              <w:t xml:space="preserve">1.6 </w:t>
            </w:r>
            <w:r w:rsidR="00BB7661" w:rsidRPr="00A407DF">
              <w:rPr>
                <w:rFonts w:asciiTheme="minorHAnsi" w:eastAsia="Times New Roman" w:hAnsiTheme="minorHAnsi" w:cstheme="minorHAnsi"/>
              </w:rPr>
              <w:t>IDB to provide a teach-in on processes and timelines </w:t>
            </w:r>
          </w:p>
        </w:tc>
        <w:tc>
          <w:tcPr>
            <w:tcW w:w="1782" w:type="dxa"/>
            <w:hideMark/>
          </w:tcPr>
          <w:p w14:paraId="0D2E3014" w14:textId="46F4A451" w:rsidR="00BB7661" w:rsidRPr="00A407DF" w:rsidRDefault="00DF66DB" w:rsidP="00BB7661">
            <w:pP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6B7CEA">
              <w:rPr>
                <w:rFonts w:eastAsia="Times New Roman"/>
              </w:rPr>
              <w:t>1 teach-in provided by the IDB to Defra</w:t>
            </w:r>
            <w:r w:rsidR="00BB7661" w:rsidRPr="00A407DF">
              <w:rPr>
                <w:rFonts w:asciiTheme="minorHAnsi" w:eastAsia="Times New Roman" w:hAnsiTheme="minorHAnsi" w:cstheme="minorHAnsi"/>
              </w:rPr>
              <w:t> </w:t>
            </w:r>
          </w:p>
        </w:tc>
        <w:tc>
          <w:tcPr>
            <w:tcW w:w="3976" w:type="dxa"/>
          </w:tcPr>
          <w:p w14:paraId="3FF73506" w14:textId="49ADA650" w:rsidR="00BB7661" w:rsidRPr="00A407DF" w:rsidRDefault="00AB1372" w:rsidP="0065367B">
            <w:pP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A407DF">
              <w:rPr>
                <w:rFonts w:asciiTheme="minorHAnsi" w:eastAsia="Times New Roman" w:hAnsiTheme="minorHAnsi" w:cstheme="minorHAnsi"/>
              </w:rPr>
              <w:t>Achieved</w:t>
            </w:r>
            <w:r w:rsidR="00016553" w:rsidRPr="00A407DF">
              <w:rPr>
                <w:rFonts w:asciiTheme="minorHAnsi" w:eastAsia="Times New Roman" w:hAnsiTheme="minorHAnsi" w:cstheme="minorHAnsi"/>
              </w:rPr>
              <w:t>.</w:t>
            </w:r>
            <w:r w:rsidRPr="00A407DF">
              <w:rPr>
                <w:rFonts w:asciiTheme="minorHAnsi" w:eastAsia="Times New Roman" w:hAnsiTheme="minorHAnsi" w:cstheme="minorHAnsi"/>
              </w:rPr>
              <w:t xml:space="preserve"> </w:t>
            </w:r>
            <w:r w:rsidR="0065367B" w:rsidRPr="00A407DF">
              <w:rPr>
                <w:rFonts w:asciiTheme="minorHAnsi" w:eastAsia="Times New Roman" w:hAnsiTheme="minorHAnsi" w:cstheme="minorHAnsi"/>
              </w:rPr>
              <w:t xml:space="preserve">The </w:t>
            </w:r>
            <w:r w:rsidRPr="00A407DF">
              <w:rPr>
                <w:rFonts w:asciiTheme="minorHAnsi" w:eastAsia="Times New Roman" w:hAnsiTheme="minorHAnsi" w:cstheme="minorHAnsi"/>
              </w:rPr>
              <w:t xml:space="preserve">IDB convened a workshop in November 2020 to outline IDB’s approval and governance processes and timelines. </w:t>
            </w:r>
            <w:r w:rsidR="0065367B" w:rsidRPr="00A407DF">
              <w:rPr>
                <w:rFonts w:asciiTheme="minorHAnsi" w:eastAsia="Times New Roman" w:hAnsiTheme="minorHAnsi" w:cstheme="minorHAnsi"/>
              </w:rPr>
              <w:t>The workshop helped to align expectations regarding the timelines for IDB’s internal processes and therefore the approval of project proposals.</w:t>
            </w:r>
          </w:p>
        </w:tc>
        <w:tc>
          <w:tcPr>
            <w:tcW w:w="538" w:type="dxa"/>
            <w:hideMark/>
          </w:tcPr>
          <w:p w14:paraId="09BA0525" w14:textId="71FB0FDD" w:rsidR="00BB7661" w:rsidRPr="002E79CB" w:rsidRDefault="00932EEE" w:rsidP="00932EEE">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2E79CB">
              <w:rPr>
                <w:rFonts w:asciiTheme="minorHAnsi" w:eastAsia="Times New Roman" w:hAnsiTheme="minorHAnsi" w:cstheme="minorHAnsi"/>
                <w:b/>
                <w:bCs/>
              </w:rPr>
              <w:t>A</w:t>
            </w:r>
          </w:p>
        </w:tc>
      </w:tr>
      <w:tr w:rsidR="00BB7661" w:rsidRPr="00AB1372" w14:paraId="34DF7A4E" w14:textId="77777777" w:rsidTr="4521E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hideMark/>
          </w:tcPr>
          <w:p w14:paraId="587BCAC9" w14:textId="750D34BE" w:rsidR="00BB7661" w:rsidRPr="00A407DF" w:rsidRDefault="006B4D8C" w:rsidP="00BB7661">
            <w:pPr>
              <w:textAlignment w:val="baseline"/>
              <w:rPr>
                <w:rFonts w:asciiTheme="minorHAnsi" w:eastAsia="Times New Roman" w:hAnsiTheme="minorHAnsi" w:cstheme="minorHAnsi"/>
              </w:rPr>
            </w:pPr>
            <w:r w:rsidRPr="00A407DF">
              <w:rPr>
                <w:rFonts w:asciiTheme="minorHAnsi" w:eastAsia="Times New Roman" w:hAnsiTheme="minorHAnsi" w:cstheme="minorHAnsi"/>
              </w:rPr>
              <w:lastRenderedPageBreak/>
              <w:t xml:space="preserve">1.7 </w:t>
            </w:r>
            <w:r w:rsidR="00BB7661" w:rsidRPr="00A407DF">
              <w:rPr>
                <w:rFonts w:asciiTheme="minorHAnsi" w:eastAsia="Times New Roman" w:hAnsiTheme="minorHAnsi" w:cstheme="minorHAnsi"/>
              </w:rPr>
              <w:t>IDB to provide audited financial statement no later than 30 June of every second year </w:t>
            </w:r>
          </w:p>
        </w:tc>
        <w:tc>
          <w:tcPr>
            <w:tcW w:w="1782" w:type="dxa"/>
            <w:hideMark/>
          </w:tcPr>
          <w:p w14:paraId="201F63DA" w14:textId="12C9EDC1" w:rsidR="00BB7661" w:rsidRPr="00A407DF" w:rsidRDefault="005C3B90" w:rsidP="00BB7661">
            <w:pP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A407DF">
              <w:rPr>
                <w:rFonts w:asciiTheme="minorHAnsi" w:eastAsia="Times New Roman" w:hAnsiTheme="minorHAnsi" w:cstheme="minorHAnsi"/>
              </w:rPr>
              <w:t>1 audited financial statement provided no later than 30 June 2021</w:t>
            </w:r>
          </w:p>
        </w:tc>
        <w:tc>
          <w:tcPr>
            <w:tcW w:w="3976" w:type="dxa"/>
          </w:tcPr>
          <w:p w14:paraId="6F466C12" w14:textId="7ADAACB9" w:rsidR="005C3B90" w:rsidRPr="00A407DF" w:rsidRDefault="005C3B90" w:rsidP="000D56DA">
            <w:pP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A407DF">
              <w:rPr>
                <w:rFonts w:asciiTheme="minorHAnsi" w:eastAsia="Times New Roman" w:hAnsiTheme="minorHAnsi" w:cstheme="minorHAnsi"/>
              </w:rPr>
              <w:t>Achieved.</w:t>
            </w:r>
            <w:r w:rsidR="000D56DA" w:rsidRPr="00A407DF">
              <w:rPr>
                <w:rFonts w:asciiTheme="minorHAnsi" w:eastAsia="Times New Roman" w:hAnsiTheme="minorHAnsi" w:cstheme="minorHAnsi"/>
              </w:rPr>
              <w:t xml:space="preserve"> </w:t>
            </w:r>
            <w:r w:rsidRPr="00A407DF">
              <w:rPr>
                <w:rFonts w:asciiTheme="minorHAnsi" w:eastAsia="Times New Roman" w:hAnsiTheme="minorHAnsi" w:cstheme="minorHAnsi"/>
              </w:rPr>
              <w:t xml:space="preserve">Received </w:t>
            </w:r>
            <w:r w:rsidR="00CC2837" w:rsidRPr="00A407DF">
              <w:rPr>
                <w:rFonts w:asciiTheme="minorHAnsi" w:eastAsia="Times New Roman" w:hAnsiTheme="minorHAnsi" w:cstheme="minorHAnsi"/>
              </w:rPr>
              <w:t>7</w:t>
            </w:r>
            <w:r w:rsidRPr="00A407DF">
              <w:rPr>
                <w:rFonts w:asciiTheme="minorHAnsi" w:eastAsia="Times New Roman" w:hAnsiTheme="minorHAnsi" w:cstheme="minorHAnsi"/>
              </w:rPr>
              <w:t xml:space="preserve"> June 2021</w:t>
            </w:r>
            <w:r w:rsidR="00C316AC">
              <w:rPr>
                <w:rFonts w:asciiTheme="minorHAnsi" w:eastAsia="Times New Roman" w:hAnsiTheme="minorHAnsi" w:cstheme="minorHAnsi"/>
              </w:rPr>
              <w:t>. The IDB provided the audited and unaudited financial statements in the same report.</w:t>
            </w:r>
          </w:p>
        </w:tc>
        <w:tc>
          <w:tcPr>
            <w:tcW w:w="538" w:type="dxa"/>
            <w:hideMark/>
          </w:tcPr>
          <w:p w14:paraId="7BACF27C" w14:textId="479C92B0" w:rsidR="00BB7661" w:rsidRPr="002E79CB" w:rsidRDefault="00932EEE" w:rsidP="00932EEE">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rPr>
            </w:pPr>
            <w:r w:rsidRPr="002E79CB">
              <w:rPr>
                <w:rFonts w:asciiTheme="minorHAnsi" w:eastAsia="Times New Roman" w:hAnsiTheme="minorHAnsi" w:cstheme="minorHAnsi"/>
                <w:b/>
                <w:bCs/>
              </w:rPr>
              <w:t>A</w:t>
            </w:r>
          </w:p>
        </w:tc>
      </w:tr>
      <w:tr w:rsidR="00BB7661" w:rsidRPr="00AB1372" w14:paraId="0B7B5AF4" w14:textId="77777777" w:rsidTr="4521EDEC">
        <w:tc>
          <w:tcPr>
            <w:cnfStyle w:val="001000000000" w:firstRow="0" w:lastRow="0" w:firstColumn="1" w:lastColumn="0" w:oddVBand="0" w:evenVBand="0" w:oddHBand="0" w:evenHBand="0" w:firstRowFirstColumn="0" w:firstRowLastColumn="0" w:lastRowFirstColumn="0" w:lastRowLastColumn="0"/>
            <w:tcW w:w="2689" w:type="dxa"/>
            <w:hideMark/>
          </w:tcPr>
          <w:p w14:paraId="7C63D487" w14:textId="679EE7E5" w:rsidR="00BB7661" w:rsidRPr="002E79CB" w:rsidRDefault="006B4D8C" w:rsidP="00BB7661">
            <w:pPr>
              <w:textAlignment w:val="baseline"/>
              <w:rPr>
                <w:rFonts w:asciiTheme="minorHAnsi" w:eastAsia="Times New Roman" w:hAnsiTheme="minorHAnsi" w:cstheme="minorHAnsi"/>
              </w:rPr>
            </w:pPr>
            <w:r w:rsidRPr="002E79CB">
              <w:rPr>
                <w:rFonts w:asciiTheme="minorHAnsi" w:eastAsia="Times New Roman" w:hAnsiTheme="minorHAnsi" w:cstheme="minorHAnsi"/>
              </w:rPr>
              <w:t xml:space="preserve">1.8 </w:t>
            </w:r>
            <w:r w:rsidR="00BB7661" w:rsidRPr="002E79CB">
              <w:rPr>
                <w:rFonts w:asciiTheme="minorHAnsi" w:eastAsia="Times New Roman" w:hAnsiTheme="minorHAnsi" w:cstheme="minorHAnsi"/>
              </w:rPr>
              <w:t xml:space="preserve">IDB to provide unaudited statement no later than </w:t>
            </w:r>
            <w:r w:rsidR="00C316AC" w:rsidRPr="002E79CB">
              <w:rPr>
                <w:rFonts w:asciiTheme="minorHAnsi" w:eastAsia="Times New Roman" w:hAnsiTheme="minorHAnsi" w:cstheme="minorHAnsi"/>
              </w:rPr>
              <w:t>30 April</w:t>
            </w:r>
            <w:r w:rsidR="00BB7661" w:rsidRPr="002E79CB">
              <w:rPr>
                <w:rFonts w:asciiTheme="minorHAnsi" w:eastAsia="Times New Roman" w:hAnsiTheme="minorHAnsi" w:cstheme="minorHAnsi"/>
              </w:rPr>
              <w:t xml:space="preserve"> every year </w:t>
            </w:r>
          </w:p>
        </w:tc>
        <w:tc>
          <w:tcPr>
            <w:tcW w:w="1782" w:type="dxa"/>
            <w:hideMark/>
          </w:tcPr>
          <w:p w14:paraId="1CDD4937" w14:textId="69199849" w:rsidR="00BB7661" w:rsidRPr="00A407DF" w:rsidRDefault="005C3B90" w:rsidP="00BB7661">
            <w:pP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A407DF">
              <w:rPr>
                <w:rFonts w:asciiTheme="minorHAnsi" w:eastAsia="Times New Roman" w:hAnsiTheme="minorHAnsi" w:cstheme="minorHAnsi"/>
              </w:rPr>
              <w:t xml:space="preserve">1 unaudited financial statement provided no later than 30 </w:t>
            </w:r>
            <w:r w:rsidR="00C316AC">
              <w:rPr>
                <w:rFonts w:asciiTheme="minorHAnsi" w:eastAsia="Times New Roman" w:hAnsiTheme="minorHAnsi" w:cstheme="minorHAnsi"/>
              </w:rPr>
              <w:t>April</w:t>
            </w:r>
            <w:r w:rsidRPr="00A407DF">
              <w:rPr>
                <w:rFonts w:asciiTheme="minorHAnsi" w:eastAsia="Times New Roman" w:hAnsiTheme="minorHAnsi" w:cstheme="minorHAnsi"/>
              </w:rPr>
              <w:t xml:space="preserve"> 2021</w:t>
            </w:r>
          </w:p>
        </w:tc>
        <w:tc>
          <w:tcPr>
            <w:tcW w:w="3976" w:type="dxa"/>
          </w:tcPr>
          <w:p w14:paraId="704E745B" w14:textId="138DD2EC" w:rsidR="005C3B90" w:rsidRPr="00A407DF" w:rsidRDefault="00C316AC" w:rsidP="000D56DA">
            <w:pP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Partially achieved</w:t>
            </w:r>
            <w:r w:rsidR="00DF66DB">
              <w:rPr>
                <w:rFonts w:asciiTheme="minorHAnsi" w:eastAsia="Times New Roman" w:hAnsiTheme="minorHAnsi" w:cstheme="minorHAnsi"/>
              </w:rPr>
              <w:t xml:space="preserve">. </w:t>
            </w:r>
            <w:r w:rsidR="00817F21">
              <w:rPr>
                <w:rFonts w:asciiTheme="minorHAnsi" w:eastAsia="Times New Roman" w:hAnsiTheme="minorHAnsi" w:cstheme="minorHAnsi"/>
              </w:rPr>
              <w:t>Delayed and r</w:t>
            </w:r>
            <w:r w:rsidR="00DF66DB">
              <w:rPr>
                <w:rFonts w:asciiTheme="minorHAnsi" w:eastAsia="Times New Roman" w:hAnsiTheme="minorHAnsi" w:cstheme="minorHAnsi"/>
              </w:rPr>
              <w:t xml:space="preserve">eceived </w:t>
            </w:r>
            <w:r w:rsidRPr="00C316AC">
              <w:rPr>
                <w:rFonts w:asciiTheme="minorHAnsi" w:eastAsia="Times New Roman" w:hAnsiTheme="minorHAnsi" w:cstheme="minorHAnsi"/>
              </w:rPr>
              <w:t xml:space="preserve">7 June 2021. </w:t>
            </w:r>
            <w:r>
              <w:rPr>
                <w:rFonts w:asciiTheme="minorHAnsi" w:eastAsia="Times New Roman" w:hAnsiTheme="minorHAnsi" w:cstheme="minorHAnsi"/>
              </w:rPr>
              <w:t>The IDB provided the audited and unaudited financial statements in the same report.</w:t>
            </w:r>
          </w:p>
        </w:tc>
        <w:tc>
          <w:tcPr>
            <w:tcW w:w="538" w:type="dxa"/>
            <w:hideMark/>
          </w:tcPr>
          <w:p w14:paraId="0CD2BBCD" w14:textId="4D2B533B" w:rsidR="00BB7661" w:rsidRPr="002E79CB" w:rsidRDefault="00C316AC" w:rsidP="00932EEE">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2E79CB">
              <w:rPr>
                <w:rFonts w:asciiTheme="minorHAnsi" w:eastAsia="Times New Roman" w:hAnsiTheme="minorHAnsi" w:cstheme="minorHAnsi"/>
                <w:b/>
                <w:bCs/>
              </w:rPr>
              <w:t>B</w:t>
            </w:r>
          </w:p>
        </w:tc>
      </w:tr>
      <w:tr w:rsidR="00BB7661" w:rsidRPr="00AB1372" w14:paraId="19839BF9" w14:textId="77777777" w:rsidTr="4521E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hideMark/>
          </w:tcPr>
          <w:p w14:paraId="165CEDF4" w14:textId="38A45751" w:rsidR="00BB7661" w:rsidRPr="00A407DF" w:rsidRDefault="006B4D8C" w:rsidP="00BB7661">
            <w:pPr>
              <w:textAlignment w:val="baseline"/>
              <w:rPr>
                <w:rFonts w:asciiTheme="minorHAnsi" w:eastAsia="Times New Roman" w:hAnsiTheme="minorHAnsi" w:cstheme="minorHAnsi"/>
              </w:rPr>
            </w:pPr>
            <w:r w:rsidRPr="00A407DF">
              <w:rPr>
                <w:rFonts w:asciiTheme="minorHAnsi" w:eastAsia="Times New Roman" w:hAnsiTheme="minorHAnsi" w:cstheme="minorHAnsi"/>
              </w:rPr>
              <w:t xml:space="preserve">1.9 </w:t>
            </w:r>
            <w:r w:rsidR="00BB7661" w:rsidRPr="00A407DF">
              <w:rPr>
                <w:rFonts w:asciiTheme="minorHAnsi" w:eastAsia="Times New Roman" w:hAnsiTheme="minorHAnsi" w:cstheme="minorHAnsi"/>
              </w:rPr>
              <w:t xml:space="preserve">IDB to submit an annual </w:t>
            </w:r>
            <w:r w:rsidR="005C3B90" w:rsidRPr="00A407DF">
              <w:rPr>
                <w:rFonts w:asciiTheme="minorHAnsi" w:eastAsia="Times New Roman" w:hAnsiTheme="minorHAnsi" w:cstheme="minorHAnsi"/>
              </w:rPr>
              <w:t>report</w:t>
            </w:r>
            <w:r w:rsidR="00BB7661" w:rsidRPr="00A407DF">
              <w:rPr>
                <w:rFonts w:asciiTheme="minorHAnsi" w:eastAsia="Times New Roman" w:hAnsiTheme="minorHAnsi" w:cstheme="minorHAnsi"/>
              </w:rPr>
              <w:t xml:space="preserve"> no later than 30 June every year </w:t>
            </w:r>
          </w:p>
        </w:tc>
        <w:tc>
          <w:tcPr>
            <w:tcW w:w="1782" w:type="dxa"/>
            <w:hideMark/>
          </w:tcPr>
          <w:p w14:paraId="06215CAC" w14:textId="58395FD7" w:rsidR="00BB7661" w:rsidRPr="00A407DF" w:rsidRDefault="005C3B90" w:rsidP="00BB7661">
            <w:pP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A407DF">
              <w:rPr>
                <w:rFonts w:asciiTheme="minorHAnsi" w:eastAsia="Times New Roman" w:hAnsiTheme="minorHAnsi" w:cstheme="minorHAnsi"/>
              </w:rPr>
              <w:t>1 annual report submitted no later than 30 June 2021.</w:t>
            </w:r>
          </w:p>
        </w:tc>
        <w:tc>
          <w:tcPr>
            <w:tcW w:w="3976" w:type="dxa"/>
            <w:hideMark/>
          </w:tcPr>
          <w:p w14:paraId="48ECDA59" w14:textId="42E1749C" w:rsidR="00BB7661" w:rsidRPr="00A407DF" w:rsidRDefault="005C3B90" w:rsidP="000D56DA">
            <w:pP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A407DF">
              <w:rPr>
                <w:rFonts w:asciiTheme="minorHAnsi" w:eastAsia="Times New Roman" w:hAnsiTheme="minorHAnsi" w:cstheme="minorHAnsi"/>
              </w:rPr>
              <w:t>Achieved</w:t>
            </w:r>
            <w:r w:rsidR="000D56DA" w:rsidRPr="00A407DF">
              <w:rPr>
                <w:rFonts w:asciiTheme="minorHAnsi" w:eastAsia="Times New Roman" w:hAnsiTheme="minorHAnsi" w:cstheme="minorHAnsi"/>
              </w:rPr>
              <w:t xml:space="preserve">. </w:t>
            </w:r>
            <w:r w:rsidRPr="00A407DF">
              <w:rPr>
                <w:rFonts w:asciiTheme="minorHAnsi" w:eastAsia="Times New Roman" w:hAnsiTheme="minorHAnsi" w:cstheme="minorHAnsi"/>
              </w:rPr>
              <w:t xml:space="preserve">Received </w:t>
            </w:r>
            <w:r w:rsidR="000D56DA" w:rsidRPr="00A407DF">
              <w:rPr>
                <w:rFonts w:asciiTheme="minorHAnsi" w:eastAsia="Times New Roman" w:hAnsiTheme="minorHAnsi" w:cstheme="minorHAnsi"/>
              </w:rPr>
              <w:t>28</w:t>
            </w:r>
            <w:r w:rsidRPr="00A407DF">
              <w:rPr>
                <w:rFonts w:asciiTheme="minorHAnsi" w:eastAsia="Times New Roman" w:hAnsiTheme="minorHAnsi" w:cstheme="minorHAnsi"/>
              </w:rPr>
              <w:t xml:space="preserve"> June 2021</w:t>
            </w:r>
            <w:r w:rsidR="00817F21">
              <w:rPr>
                <w:rFonts w:asciiTheme="minorHAnsi" w:eastAsia="Times New Roman" w:hAnsiTheme="minorHAnsi" w:cstheme="minorHAnsi"/>
              </w:rPr>
              <w:t>.</w:t>
            </w:r>
          </w:p>
        </w:tc>
        <w:tc>
          <w:tcPr>
            <w:tcW w:w="538" w:type="dxa"/>
            <w:hideMark/>
          </w:tcPr>
          <w:p w14:paraId="41815416" w14:textId="08D88F25" w:rsidR="00BB7661" w:rsidRPr="002E79CB" w:rsidRDefault="00932EEE" w:rsidP="00932EEE">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rPr>
            </w:pPr>
            <w:r w:rsidRPr="002E79CB">
              <w:rPr>
                <w:rFonts w:asciiTheme="minorHAnsi" w:eastAsia="Times New Roman" w:hAnsiTheme="minorHAnsi" w:cstheme="minorHAnsi"/>
                <w:b/>
                <w:bCs/>
              </w:rPr>
              <w:t>A</w:t>
            </w:r>
          </w:p>
        </w:tc>
      </w:tr>
      <w:tr w:rsidR="00BB7661" w:rsidRPr="00AB1372" w14:paraId="5C51E01A" w14:textId="77777777" w:rsidTr="4521EDEC">
        <w:tc>
          <w:tcPr>
            <w:cnfStyle w:val="001000000000" w:firstRow="0" w:lastRow="0" w:firstColumn="1" w:lastColumn="0" w:oddVBand="0" w:evenVBand="0" w:oddHBand="0" w:evenHBand="0" w:firstRowFirstColumn="0" w:firstRowLastColumn="0" w:lastRowFirstColumn="0" w:lastRowLastColumn="0"/>
            <w:tcW w:w="2689" w:type="dxa"/>
            <w:hideMark/>
          </w:tcPr>
          <w:p w14:paraId="690359F9" w14:textId="35E5FD37" w:rsidR="00BB7661" w:rsidRPr="00A407DF" w:rsidRDefault="006B4D8C" w:rsidP="00BB7661">
            <w:pPr>
              <w:textAlignment w:val="baseline"/>
              <w:rPr>
                <w:rFonts w:asciiTheme="minorHAnsi" w:eastAsia="Times New Roman" w:hAnsiTheme="minorHAnsi" w:cstheme="minorHAnsi"/>
              </w:rPr>
            </w:pPr>
            <w:r w:rsidRPr="00A407DF">
              <w:rPr>
                <w:rFonts w:asciiTheme="minorHAnsi" w:eastAsia="Times New Roman" w:hAnsiTheme="minorHAnsi" w:cstheme="minorHAnsi"/>
              </w:rPr>
              <w:t xml:space="preserve">1.10 </w:t>
            </w:r>
            <w:r w:rsidR="00BB7661" w:rsidRPr="00A407DF">
              <w:rPr>
                <w:rFonts w:asciiTheme="minorHAnsi" w:eastAsia="Times New Roman" w:hAnsiTheme="minorHAnsi" w:cstheme="minorHAnsi"/>
              </w:rPr>
              <w:t>IDB approves project design within agreed timelines, ensuring timely programme implementation </w:t>
            </w:r>
          </w:p>
        </w:tc>
        <w:tc>
          <w:tcPr>
            <w:tcW w:w="1782" w:type="dxa"/>
            <w:hideMark/>
          </w:tcPr>
          <w:p w14:paraId="4FA89D02" w14:textId="38DBA0CD" w:rsidR="00DF66DB" w:rsidRDefault="0D180467" w:rsidP="10B17927">
            <w:pP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rPr>
            </w:pPr>
            <w:r w:rsidRPr="10B17927">
              <w:rPr>
                <w:rFonts w:asciiTheme="minorHAnsi" w:eastAsia="Times New Roman" w:hAnsiTheme="minorHAnsi" w:cstheme="minorBidi"/>
              </w:rPr>
              <w:t>1</w:t>
            </w:r>
            <w:r w:rsidR="36A24B2E" w:rsidRPr="10B17927">
              <w:rPr>
                <w:rFonts w:asciiTheme="minorHAnsi" w:eastAsia="Times New Roman" w:hAnsiTheme="minorHAnsi" w:cstheme="minorBidi"/>
              </w:rPr>
              <w:t xml:space="preserve"> project enter</w:t>
            </w:r>
            <w:r w:rsidR="00E90AC2">
              <w:rPr>
                <w:rFonts w:asciiTheme="minorHAnsi" w:eastAsia="Times New Roman" w:hAnsiTheme="minorHAnsi" w:cstheme="minorBidi"/>
              </w:rPr>
              <w:t>s</w:t>
            </w:r>
            <w:r w:rsidR="36A24B2E" w:rsidRPr="10B17927">
              <w:rPr>
                <w:rFonts w:asciiTheme="minorHAnsi" w:eastAsia="Times New Roman" w:hAnsiTheme="minorHAnsi" w:cstheme="minorBidi"/>
              </w:rPr>
              <w:t xml:space="preserve"> implementation: - Colombia (</w:t>
            </w:r>
            <w:r w:rsidR="3E4EEE3D" w:rsidRPr="10B17927">
              <w:rPr>
                <w:rFonts w:asciiTheme="minorHAnsi" w:eastAsia="Times New Roman" w:hAnsiTheme="minorHAnsi" w:cstheme="minorBidi"/>
              </w:rPr>
              <w:t xml:space="preserve">April </w:t>
            </w:r>
            <w:r w:rsidR="36A24B2E" w:rsidRPr="10B17927">
              <w:rPr>
                <w:rFonts w:asciiTheme="minorHAnsi" w:eastAsia="Times New Roman" w:hAnsiTheme="minorHAnsi" w:cstheme="minorBidi"/>
              </w:rPr>
              <w:t>2021)</w:t>
            </w:r>
          </w:p>
          <w:p w14:paraId="410B0554" w14:textId="535B651D" w:rsidR="00DF66DB" w:rsidRPr="00A407DF" w:rsidRDefault="00DF66DB" w:rsidP="10B17927">
            <w:pP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rPr>
            </w:pPr>
          </w:p>
        </w:tc>
        <w:tc>
          <w:tcPr>
            <w:tcW w:w="3976" w:type="dxa"/>
            <w:hideMark/>
          </w:tcPr>
          <w:p w14:paraId="5ED84181" w14:textId="7C48049A" w:rsidR="00BB7661" w:rsidRPr="00A407DF" w:rsidRDefault="581B2054" w:rsidP="70189F0B">
            <w:pP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rPr>
            </w:pPr>
            <w:r w:rsidRPr="70189F0B">
              <w:rPr>
                <w:rFonts w:asciiTheme="minorHAnsi" w:eastAsia="Times New Roman" w:hAnsiTheme="minorHAnsi" w:cstheme="minorBidi"/>
              </w:rPr>
              <w:t xml:space="preserve">Partially achieved. Some delays have occurred during the IDB’s internal approval process. The Colombia project was approved </w:t>
            </w:r>
            <w:r w:rsidR="602A1F0C" w:rsidRPr="70189F0B">
              <w:rPr>
                <w:rFonts w:asciiTheme="minorHAnsi" w:eastAsia="Times New Roman" w:hAnsiTheme="minorHAnsi" w:cstheme="minorBidi"/>
              </w:rPr>
              <w:t xml:space="preserve">on 25 May 2021 </w:t>
            </w:r>
            <w:r w:rsidRPr="70189F0B">
              <w:rPr>
                <w:rFonts w:asciiTheme="minorHAnsi" w:eastAsia="Times New Roman" w:hAnsiTheme="minorHAnsi" w:cstheme="minorBidi"/>
              </w:rPr>
              <w:t>with a</w:t>
            </w:r>
            <w:r w:rsidR="7D15FE6C" w:rsidRPr="70189F0B">
              <w:rPr>
                <w:rFonts w:asciiTheme="minorHAnsi" w:eastAsia="Times New Roman" w:hAnsiTheme="minorHAnsi" w:cstheme="minorBidi"/>
              </w:rPr>
              <w:t xml:space="preserve"> delay of </w:t>
            </w:r>
            <w:r w:rsidR="0CB7CED5" w:rsidRPr="70189F0B">
              <w:rPr>
                <w:rFonts w:asciiTheme="minorHAnsi" w:eastAsia="Times New Roman" w:hAnsiTheme="minorHAnsi" w:cstheme="minorBidi"/>
              </w:rPr>
              <w:t>1</w:t>
            </w:r>
            <w:r w:rsidRPr="70189F0B">
              <w:rPr>
                <w:rFonts w:asciiTheme="minorHAnsi" w:eastAsia="Times New Roman" w:hAnsiTheme="minorHAnsi" w:cstheme="minorBidi"/>
              </w:rPr>
              <w:t xml:space="preserve"> month</w:t>
            </w:r>
            <w:r w:rsidR="7D15FE6C" w:rsidRPr="70189F0B">
              <w:rPr>
                <w:rFonts w:asciiTheme="minorHAnsi" w:eastAsia="Times New Roman" w:hAnsiTheme="minorHAnsi" w:cstheme="minorBidi"/>
              </w:rPr>
              <w:t xml:space="preserve">. </w:t>
            </w:r>
          </w:p>
        </w:tc>
        <w:tc>
          <w:tcPr>
            <w:tcW w:w="538" w:type="dxa"/>
            <w:hideMark/>
          </w:tcPr>
          <w:p w14:paraId="2955D179" w14:textId="76F8282C" w:rsidR="00BB7661" w:rsidRPr="002E79CB" w:rsidRDefault="00932EEE" w:rsidP="00932EEE">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2E79CB">
              <w:rPr>
                <w:rFonts w:asciiTheme="minorHAnsi" w:eastAsia="Times New Roman" w:hAnsiTheme="minorHAnsi" w:cstheme="minorHAnsi"/>
                <w:b/>
                <w:bCs/>
              </w:rPr>
              <w:t>B</w:t>
            </w:r>
          </w:p>
        </w:tc>
      </w:tr>
    </w:tbl>
    <w:p w14:paraId="4C0F3AC8" w14:textId="4782C450" w:rsidR="00BB7661" w:rsidRDefault="00BB7661" w:rsidP="00BB7661">
      <w:pPr>
        <w:spacing w:after="0" w:line="240" w:lineRule="auto"/>
        <w:jc w:val="both"/>
        <w:textAlignment w:val="baseline"/>
        <w:rPr>
          <w:rFonts w:ascii="Calibri" w:eastAsia="Times New Roman" w:hAnsi="Calibri" w:cs="Calibri"/>
          <w:color w:val="000000"/>
          <w:lang w:eastAsia="en-GB"/>
        </w:rPr>
      </w:pPr>
      <w:r w:rsidRPr="00BB7661">
        <w:rPr>
          <w:rFonts w:ascii="Calibri" w:eastAsia="Times New Roman" w:hAnsi="Calibri" w:cs="Calibri"/>
          <w:color w:val="000000"/>
          <w:lang w:eastAsia="en-GB"/>
        </w:rPr>
        <w:t> </w:t>
      </w:r>
    </w:p>
    <w:p w14:paraId="7EB21CE1" w14:textId="77E76CED" w:rsidR="000F0621" w:rsidRDefault="000F0621" w:rsidP="00AF04EE">
      <w:pPr>
        <w:pStyle w:val="Heading3"/>
        <w:rPr>
          <w:lang w:eastAsia="en-GB"/>
        </w:rPr>
      </w:pPr>
      <w:r>
        <w:rPr>
          <w:lang w:eastAsia="en-GB"/>
        </w:rPr>
        <w:t>Key Points</w:t>
      </w:r>
    </w:p>
    <w:p w14:paraId="55731DC3" w14:textId="47666864" w:rsidR="002E277E" w:rsidRDefault="70E8A8B5" w:rsidP="00E90AC2">
      <w:pPr>
        <w:pStyle w:val="ListParagraph"/>
        <w:spacing w:line="22" w:lineRule="atLeast"/>
        <w:ind w:left="0"/>
        <w:jc w:val="both"/>
        <w:rPr>
          <w:lang w:eastAsia="en-GB"/>
        </w:rPr>
      </w:pPr>
      <w:r w:rsidRPr="70189F0B">
        <w:rPr>
          <w:lang w:eastAsia="en-GB"/>
        </w:rPr>
        <w:t>The IDB is an important strategic partner</w:t>
      </w:r>
      <w:r w:rsidR="625F3060" w:rsidRPr="70189F0B">
        <w:rPr>
          <w:lang w:eastAsia="en-GB"/>
        </w:rPr>
        <w:t>,</w:t>
      </w:r>
      <w:r w:rsidRPr="70189F0B">
        <w:rPr>
          <w:lang w:eastAsia="en-GB"/>
        </w:rPr>
        <w:t xml:space="preserve"> and the role </w:t>
      </w:r>
      <w:r w:rsidR="625F3060" w:rsidRPr="70189F0B">
        <w:rPr>
          <w:lang w:eastAsia="en-GB"/>
        </w:rPr>
        <w:t xml:space="preserve">MDBs </w:t>
      </w:r>
      <w:r w:rsidRPr="70189F0B">
        <w:rPr>
          <w:lang w:eastAsia="en-GB"/>
        </w:rPr>
        <w:t xml:space="preserve">play in supporting HMG’s priorities cannot be understated. For example, the IDB provided vital research and evidence for the Dasgupta Review which aims to result in a paradigm shift relating to the way we interact with and value nature. The IDB also holds a key role in the delivery of the MDB Joint Statement on Nature, People and Planet for COP26 which is expected to draw significant support and financial commitments from vital players in the conservation and finance sectors. However, significant challenges </w:t>
      </w:r>
      <w:r w:rsidR="7A330DCD" w:rsidRPr="70189F0B">
        <w:rPr>
          <w:lang w:eastAsia="en-GB"/>
        </w:rPr>
        <w:t xml:space="preserve">have occurred and </w:t>
      </w:r>
      <w:r w:rsidRPr="70189F0B">
        <w:rPr>
          <w:lang w:eastAsia="en-GB"/>
        </w:rPr>
        <w:t xml:space="preserve">need to be addressed at the programme-level. </w:t>
      </w:r>
    </w:p>
    <w:p w14:paraId="1111A169" w14:textId="23DCB044" w:rsidR="231849CF" w:rsidRDefault="520470B2" w:rsidP="70189F0B">
      <w:pPr>
        <w:spacing w:line="22" w:lineRule="atLeast"/>
        <w:jc w:val="both"/>
        <w:rPr>
          <w:rFonts w:ascii="Calibri" w:eastAsia="Calibri" w:hAnsi="Calibri" w:cs="Calibri"/>
          <w:color w:val="D13438"/>
          <w:u w:val="single"/>
        </w:rPr>
      </w:pPr>
      <w:r w:rsidRPr="63B8E9F6">
        <w:rPr>
          <w:lang w:eastAsia="en-GB"/>
        </w:rPr>
        <w:t>In 2020/21, t</w:t>
      </w:r>
      <w:r w:rsidR="1A781005" w:rsidRPr="63B8E9F6">
        <w:rPr>
          <w:lang w:eastAsia="en-GB"/>
        </w:rPr>
        <w:t xml:space="preserve">he UK </w:t>
      </w:r>
      <w:r w:rsidR="00141CFA">
        <w:rPr>
          <w:lang w:eastAsia="en-GB"/>
        </w:rPr>
        <w:t>BCF</w:t>
      </w:r>
      <w:r w:rsidR="1A781005" w:rsidRPr="63B8E9F6">
        <w:rPr>
          <w:lang w:eastAsia="en-GB"/>
        </w:rPr>
        <w:t xml:space="preserve"> continues to have no </w:t>
      </w:r>
      <w:r w:rsidR="00817F21">
        <w:rPr>
          <w:lang w:eastAsia="en-GB"/>
        </w:rPr>
        <w:t>approved</w:t>
      </w:r>
      <w:r w:rsidR="1A781005" w:rsidRPr="63B8E9F6">
        <w:rPr>
          <w:lang w:eastAsia="en-GB"/>
        </w:rPr>
        <w:t xml:space="preserve"> final logical framework and Theory of Change despite the requirement for all ICF programmes to finalise these vital M&amp;E products within 6 months of signing the Administrative Agreement.</w:t>
      </w:r>
      <w:r w:rsidRPr="63B8E9F6">
        <w:rPr>
          <w:lang w:eastAsia="en-GB"/>
        </w:rPr>
        <w:t xml:space="preserve"> </w:t>
      </w:r>
      <w:r>
        <w:t>T</w:t>
      </w:r>
      <w:r w:rsidRPr="63B8E9F6">
        <w:rPr>
          <w:lang w:eastAsia="en-GB"/>
        </w:rPr>
        <w:t xml:space="preserve">he </w:t>
      </w:r>
      <w:r w:rsidRPr="63B8E9F6">
        <w:rPr>
          <w:rFonts w:eastAsia="Times New Roman"/>
        </w:rPr>
        <w:t>IDB has produced a number of indicative logical frameworks, but these have not yet met the requirements needed for ICF programmes. For example, it is not always clear what is being measured by the proposed indicators and the value that they add to the monitoring of the programme. Important detail is also lacking, including</w:t>
      </w:r>
      <w:r w:rsidR="00502CD6">
        <w:rPr>
          <w:rFonts w:eastAsia="Times New Roman"/>
        </w:rPr>
        <w:t xml:space="preserve"> sources, assumptions, baselines and milestones</w:t>
      </w:r>
      <w:r w:rsidRPr="63B8E9F6">
        <w:rPr>
          <w:rFonts w:eastAsia="Times New Roman"/>
        </w:rPr>
        <w:t xml:space="preserve">. </w:t>
      </w:r>
    </w:p>
    <w:p w14:paraId="7D87A34A" w14:textId="3F169303" w:rsidR="70189F0B" w:rsidRPr="00E90AC2" w:rsidRDefault="70189F0B" w:rsidP="70189F0B">
      <w:pPr>
        <w:spacing w:line="22" w:lineRule="atLeast"/>
        <w:jc w:val="both"/>
        <w:rPr>
          <w:rFonts w:ascii="Calibri" w:eastAsia="Calibri" w:hAnsi="Calibri" w:cs="Calibri"/>
        </w:rPr>
      </w:pPr>
      <w:r w:rsidRPr="4521EDEC">
        <w:rPr>
          <w:rFonts w:ascii="Calibri" w:eastAsia="Calibri" w:hAnsi="Calibri" w:cs="Calibri"/>
        </w:rPr>
        <w:t>Some delay</w:t>
      </w:r>
      <w:r w:rsidR="00F72043" w:rsidRPr="4521EDEC">
        <w:rPr>
          <w:rFonts w:ascii="Calibri" w:eastAsia="Calibri" w:hAnsi="Calibri" w:cs="Calibri"/>
        </w:rPr>
        <w:t xml:space="preserve"> </w:t>
      </w:r>
      <w:r w:rsidR="00267DCF" w:rsidRPr="4521EDEC">
        <w:rPr>
          <w:rFonts w:ascii="Calibri" w:eastAsia="Calibri" w:hAnsi="Calibri" w:cs="Calibri"/>
        </w:rPr>
        <w:t xml:space="preserve">was </w:t>
      </w:r>
      <w:r w:rsidR="00F72043" w:rsidRPr="4521EDEC">
        <w:rPr>
          <w:rFonts w:ascii="Calibri" w:eastAsia="Calibri" w:hAnsi="Calibri" w:cs="Calibri"/>
        </w:rPr>
        <w:t>caused by</w:t>
      </w:r>
      <w:r w:rsidR="00267DCF" w:rsidRPr="4521EDEC">
        <w:rPr>
          <w:rFonts w:ascii="Calibri" w:eastAsia="Calibri" w:hAnsi="Calibri" w:cs="Calibri"/>
        </w:rPr>
        <w:t xml:space="preserve"> a</w:t>
      </w:r>
      <w:r w:rsidR="00F72043" w:rsidRPr="4521EDEC">
        <w:rPr>
          <w:rFonts w:ascii="Calibri" w:eastAsia="Calibri" w:hAnsi="Calibri" w:cs="Calibri"/>
        </w:rPr>
        <w:t xml:space="preserve"> </w:t>
      </w:r>
      <w:r w:rsidR="00AB7790" w:rsidRPr="4521EDEC">
        <w:rPr>
          <w:rFonts w:ascii="Calibri" w:eastAsia="Calibri" w:hAnsi="Calibri" w:cs="Calibri"/>
        </w:rPr>
        <w:t xml:space="preserve">restructure in Defra </w:t>
      </w:r>
      <w:r w:rsidR="00267DCF" w:rsidRPr="4521EDEC">
        <w:rPr>
          <w:rFonts w:ascii="Calibri" w:eastAsia="Calibri" w:hAnsi="Calibri" w:cs="Calibri"/>
        </w:rPr>
        <w:t xml:space="preserve">in April-May 2021 </w:t>
      </w:r>
      <w:r w:rsidR="00AB7790" w:rsidRPr="4521EDEC">
        <w:rPr>
          <w:rFonts w:ascii="Calibri" w:eastAsia="Calibri" w:hAnsi="Calibri" w:cs="Calibri"/>
        </w:rPr>
        <w:t xml:space="preserve">and </w:t>
      </w:r>
      <w:r w:rsidRPr="4521EDEC">
        <w:rPr>
          <w:rFonts w:ascii="Calibri" w:eastAsia="Calibri" w:hAnsi="Calibri" w:cs="Calibri"/>
        </w:rPr>
        <w:t xml:space="preserve">changes to </w:t>
      </w:r>
      <w:r w:rsidR="00817F21" w:rsidRPr="4521EDEC">
        <w:rPr>
          <w:rFonts w:ascii="Calibri" w:eastAsia="Calibri" w:hAnsi="Calibri" w:cs="Calibri"/>
        </w:rPr>
        <w:t>Defra’s</w:t>
      </w:r>
      <w:r w:rsidR="00AB7790" w:rsidRPr="4521EDEC">
        <w:rPr>
          <w:rFonts w:ascii="Calibri" w:eastAsia="Calibri" w:hAnsi="Calibri" w:cs="Calibri"/>
        </w:rPr>
        <w:t xml:space="preserve"> </w:t>
      </w:r>
      <w:r w:rsidRPr="4521EDEC">
        <w:rPr>
          <w:rFonts w:ascii="Calibri" w:eastAsia="Calibri" w:hAnsi="Calibri" w:cs="Calibri"/>
        </w:rPr>
        <w:t xml:space="preserve">Programme Lead for the UK </w:t>
      </w:r>
      <w:r w:rsidR="00141CFA" w:rsidRPr="4521EDEC">
        <w:rPr>
          <w:rFonts w:ascii="Calibri" w:eastAsia="Calibri" w:hAnsi="Calibri" w:cs="Calibri"/>
        </w:rPr>
        <w:t>BCF</w:t>
      </w:r>
      <w:r w:rsidR="00267DCF" w:rsidRPr="4521EDEC">
        <w:rPr>
          <w:rFonts w:ascii="Calibri" w:eastAsia="Calibri" w:hAnsi="Calibri" w:cs="Calibri"/>
        </w:rPr>
        <w:t xml:space="preserve"> towards the end of this review period</w:t>
      </w:r>
      <w:r w:rsidRPr="4521EDEC">
        <w:rPr>
          <w:rFonts w:ascii="Calibri" w:eastAsia="Calibri" w:hAnsi="Calibri" w:cs="Calibri"/>
        </w:rPr>
        <w:t xml:space="preserve">. </w:t>
      </w:r>
      <w:r w:rsidR="00C25869" w:rsidRPr="4521EDEC">
        <w:rPr>
          <w:rFonts w:ascii="Calibri" w:eastAsia="Calibri" w:hAnsi="Calibri" w:cs="Calibri"/>
        </w:rPr>
        <w:t xml:space="preserve">However, </w:t>
      </w:r>
      <w:r w:rsidR="231849CF">
        <w:t xml:space="preserve">Defra </w:t>
      </w:r>
      <w:r w:rsidR="00267DCF">
        <w:t xml:space="preserve">continued to provide </w:t>
      </w:r>
      <w:r w:rsidR="231849CF">
        <w:t>substantial feedback, guidance and advice</w:t>
      </w:r>
      <w:r w:rsidR="00267DCF">
        <w:t xml:space="preserve"> during this period</w:t>
      </w:r>
      <w:r w:rsidR="231849CF">
        <w:t>,</w:t>
      </w:r>
      <w:r w:rsidRPr="4521EDEC">
        <w:rPr>
          <w:rFonts w:ascii="Calibri" w:eastAsia="Calibri" w:hAnsi="Calibri" w:cs="Calibri"/>
        </w:rPr>
        <w:t xml:space="preserve"> in line with ICF MEL requirements. IDB and Defra M&amp;E experts have also met a number of times to incorporate changes. Defra recognises that limited capacity amongst Defra’s M&amp;E experts has also proved challenging, making it difficult to provide the IDB with additional support needed to complete these final products.  </w:t>
      </w:r>
    </w:p>
    <w:p w14:paraId="31580E5B" w14:textId="4EC1D069" w:rsidR="70189F0B" w:rsidRPr="00E90AC2" w:rsidRDefault="5D588664" w:rsidP="70189F0B">
      <w:pPr>
        <w:spacing w:line="22" w:lineRule="atLeast"/>
        <w:jc w:val="both"/>
        <w:rPr>
          <w:rFonts w:ascii="Calibri" w:eastAsia="Calibri" w:hAnsi="Calibri" w:cs="Calibri"/>
        </w:rPr>
      </w:pPr>
      <w:r w:rsidRPr="4521EDEC">
        <w:rPr>
          <w:rFonts w:ascii="Calibri" w:eastAsia="Calibri" w:hAnsi="Calibri" w:cs="Calibri"/>
        </w:rPr>
        <w:t>While some progress has been made to date, k</w:t>
      </w:r>
      <w:r w:rsidR="326FC3E7" w:rsidRPr="4521EDEC">
        <w:rPr>
          <w:rFonts w:eastAsia="Times New Roman"/>
        </w:rPr>
        <w:t xml:space="preserve">ey </w:t>
      </w:r>
      <w:r w:rsidR="16E8E907" w:rsidRPr="4521EDEC">
        <w:rPr>
          <w:rFonts w:eastAsia="Times New Roman"/>
        </w:rPr>
        <w:t>feedback</w:t>
      </w:r>
      <w:r w:rsidR="326FC3E7" w:rsidRPr="4521EDEC">
        <w:rPr>
          <w:rFonts w:eastAsia="Times New Roman"/>
        </w:rPr>
        <w:t xml:space="preserve"> from Defra</w:t>
      </w:r>
      <w:r w:rsidR="16E8E907" w:rsidRPr="4521EDEC">
        <w:rPr>
          <w:rFonts w:eastAsia="Times New Roman"/>
        </w:rPr>
        <w:t xml:space="preserve"> has </w:t>
      </w:r>
      <w:r w:rsidR="539CA839" w:rsidRPr="4521EDEC">
        <w:rPr>
          <w:rFonts w:eastAsia="Times New Roman"/>
        </w:rPr>
        <w:t xml:space="preserve">also </w:t>
      </w:r>
      <w:r w:rsidR="16E8E907" w:rsidRPr="4521EDEC">
        <w:rPr>
          <w:rFonts w:eastAsia="Times New Roman"/>
        </w:rPr>
        <w:t xml:space="preserve">not yet been </w:t>
      </w:r>
      <w:r w:rsidR="65465967" w:rsidRPr="4521EDEC">
        <w:rPr>
          <w:rFonts w:eastAsia="Times New Roman"/>
        </w:rPr>
        <w:t>sufficiently</w:t>
      </w:r>
      <w:r w:rsidR="094BC38C" w:rsidRPr="4521EDEC">
        <w:rPr>
          <w:rFonts w:eastAsia="Times New Roman"/>
        </w:rPr>
        <w:t xml:space="preserve"> incorporated or reflected in further</w:t>
      </w:r>
      <w:r w:rsidR="326FC3E7" w:rsidRPr="4521EDEC">
        <w:rPr>
          <w:rFonts w:eastAsia="Times New Roman"/>
        </w:rPr>
        <w:t xml:space="preserve"> iterations</w:t>
      </w:r>
      <w:r w:rsidRPr="4521EDEC">
        <w:rPr>
          <w:rFonts w:ascii="Calibri" w:eastAsia="Calibri" w:hAnsi="Calibri" w:cs="Calibri"/>
        </w:rPr>
        <w:t xml:space="preserve">. The logical framework and Theory of Change continue to be misaligned and important detail is still missing. In addition, clear expectations outlined in the previous Annual Review have not been met. This includes </w:t>
      </w:r>
      <w:r w:rsidR="007B4BA7" w:rsidRPr="4521EDEC">
        <w:rPr>
          <w:rFonts w:ascii="Calibri" w:eastAsia="Calibri" w:hAnsi="Calibri" w:cs="Calibri"/>
        </w:rPr>
        <w:t>the attribution of weighting, and baselines and milestones for implementing projects to the final programme-level logical framework by 31 November 2020.</w:t>
      </w:r>
      <w:r w:rsidRPr="4521EDEC">
        <w:rPr>
          <w:rFonts w:ascii="Calibri" w:eastAsia="Calibri" w:hAnsi="Calibri" w:cs="Calibri"/>
        </w:rPr>
        <w:t xml:space="preserve"> </w:t>
      </w:r>
      <w:r w:rsidR="00F01FB1" w:rsidRPr="4521EDEC">
        <w:rPr>
          <w:rFonts w:ascii="Calibri" w:eastAsia="Calibri" w:hAnsi="Calibri" w:cs="Calibri"/>
        </w:rPr>
        <w:t>I</w:t>
      </w:r>
      <w:r w:rsidRPr="4521EDEC">
        <w:rPr>
          <w:rFonts w:ascii="Calibri" w:eastAsia="Calibri" w:hAnsi="Calibri" w:cs="Calibri"/>
        </w:rPr>
        <w:t xml:space="preserve">t has been challenging to identify the root of the issues, particularly </w:t>
      </w:r>
      <w:r w:rsidR="00186B12" w:rsidRPr="4521EDEC">
        <w:rPr>
          <w:rFonts w:ascii="Calibri" w:eastAsia="Calibri" w:hAnsi="Calibri" w:cs="Calibri"/>
        </w:rPr>
        <w:lastRenderedPageBreak/>
        <w:t xml:space="preserve">any issues </w:t>
      </w:r>
      <w:r w:rsidRPr="4521EDEC">
        <w:rPr>
          <w:rFonts w:ascii="Calibri" w:eastAsia="Calibri" w:hAnsi="Calibri" w:cs="Calibri"/>
        </w:rPr>
        <w:t>the IDB may be facing internally</w:t>
      </w:r>
      <w:r w:rsidR="00186B12" w:rsidRPr="4521EDEC">
        <w:rPr>
          <w:rFonts w:ascii="Calibri" w:eastAsia="Calibri" w:hAnsi="Calibri" w:cs="Calibri"/>
        </w:rPr>
        <w:t xml:space="preserve"> especially in relation to </w:t>
      </w:r>
      <w:r w:rsidR="0032478C" w:rsidRPr="4521EDEC">
        <w:rPr>
          <w:rFonts w:ascii="Calibri" w:eastAsia="Calibri" w:hAnsi="Calibri" w:cs="Calibri"/>
        </w:rPr>
        <w:t>delivering robust MEL products and proposals</w:t>
      </w:r>
      <w:r w:rsidRPr="4521EDEC">
        <w:rPr>
          <w:rFonts w:ascii="Calibri" w:eastAsia="Calibri" w:hAnsi="Calibri" w:cs="Calibri"/>
        </w:rPr>
        <w:t>. For example, Defra is concerned that M&amp;E is not sufficiently resourced within the IDB. Defra cannot approve products that do not meet ICF requirements and standards which are designed to ensure the robust monitoring and evaluation of programmes.</w:t>
      </w:r>
    </w:p>
    <w:p w14:paraId="60717B87" w14:textId="0AB22085" w:rsidR="00BA7E94" w:rsidRPr="00BA7E94" w:rsidRDefault="37EF4EEE" w:rsidP="42C0C555">
      <w:pPr>
        <w:jc w:val="both"/>
        <w:rPr>
          <w:color w:val="FF0000"/>
        </w:rPr>
      </w:pPr>
      <w:r>
        <w:t>In addition, project proposals submitted for Defra’s approval continue to not meet expectation</w:t>
      </w:r>
      <w:r w:rsidR="304837C1">
        <w:t>s</w:t>
      </w:r>
      <w:r>
        <w:t xml:space="preserve"> or </w:t>
      </w:r>
      <w:r w:rsidR="304837C1">
        <w:t>sufficiently</w:t>
      </w:r>
      <w:r>
        <w:t xml:space="preserve"> incorporate </w:t>
      </w:r>
      <w:r w:rsidR="7120D0BD">
        <w:t xml:space="preserve">Defra’s </w:t>
      </w:r>
      <w:r>
        <w:t>feedback. The IDB submitted one project proposal</w:t>
      </w:r>
      <w:r w:rsidR="4E8A1A2F">
        <w:t xml:space="preserve"> </w:t>
      </w:r>
      <w:r>
        <w:t>in 2020/21 which has had a number of iterations</w:t>
      </w:r>
      <w:r w:rsidR="29BCF13A">
        <w:t xml:space="preserve">. Feedback provided by Defra throughout the year highlighted a lack of key information and clarity within the proposal, </w:t>
      </w:r>
      <w:r w:rsidR="0001C9E2">
        <w:t xml:space="preserve">for example on land rights, assumptions, barriers, and linkages to the wider programme aim. </w:t>
      </w:r>
      <w:r w:rsidR="2C67CE91" w:rsidRPr="4521EDEC">
        <w:rPr>
          <w:rFonts w:ascii="Calibri" w:eastAsia="Calibri" w:hAnsi="Calibri" w:cs="Calibri"/>
        </w:rPr>
        <w:t>Defra accepts that some information will not be known at th</w:t>
      </w:r>
      <w:r w:rsidR="5E40EC82" w:rsidRPr="4521EDEC">
        <w:rPr>
          <w:rFonts w:ascii="Calibri" w:eastAsia="Calibri" w:hAnsi="Calibri" w:cs="Calibri"/>
        </w:rPr>
        <w:t>e</w:t>
      </w:r>
      <w:r w:rsidR="2A680562" w:rsidRPr="4521EDEC">
        <w:rPr>
          <w:rFonts w:ascii="Calibri" w:eastAsia="Calibri" w:hAnsi="Calibri" w:cs="Calibri"/>
        </w:rPr>
        <w:t xml:space="preserve"> proposal submission</w:t>
      </w:r>
      <w:r w:rsidR="2C67CE91" w:rsidRPr="4521EDEC">
        <w:rPr>
          <w:rFonts w:ascii="Calibri" w:eastAsia="Calibri" w:hAnsi="Calibri" w:cs="Calibri"/>
        </w:rPr>
        <w:t xml:space="preserve"> stage, and this should be clearly outlined in the project proposals along with an explanation on how any ‘unknowns’ </w:t>
      </w:r>
      <w:r w:rsidR="2A680562" w:rsidRPr="4521EDEC">
        <w:rPr>
          <w:rFonts w:ascii="Calibri" w:eastAsia="Calibri" w:hAnsi="Calibri" w:cs="Calibri"/>
        </w:rPr>
        <w:t>will</w:t>
      </w:r>
      <w:r w:rsidR="2C67CE91" w:rsidRPr="4521EDEC">
        <w:rPr>
          <w:rFonts w:ascii="Calibri" w:eastAsia="Calibri" w:hAnsi="Calibri" w:cs="Calibri"/>
        </w:rPr>
        <w:t xml:space="preserve"> be managed. The most recent version of the proposal was submitted to Defra on 24 March 2021</w:t>
      </w:r>
      <w:r w:rsidR="52BCF9B9" w:rsidRPr="4521EDEC">
        <w:rPr>
          <w:rFonts w:ascii="Calibri" w:eastAsia="Calibri" w:hAnsi="Calibri" w:cs="Calibri"/>
        </w:rPr>
        <w:t xml:space="preserve"> and subsequently reviewed by Defra</w:t>
      </w:r>
      <w:r w:rsidR="2C67CE91" w:rsidRPr="4521EDEC">
        <w:rPr>
          <w:rFonts w:ascii="Calibri" w:eastAsia="Calibri" w:hAnsi="Calibri" w:cs="Calibri"/>
        </w:rPr>
        <w:t>.</w:t>
      </w:r>
      <w:r w:rsidR="52BCF9B9" w:rsidRPr="4521EDEC">
        <w:rPr>
          <w:rFonts w:ascii="Calibri" w:eastAsia="Calibri" w:hAnsi="Calibri" w:cs="Calibri"/>
        </w:rPr>
        <w:t xml:space="preserve"> </w:t>
      </w:r>
      <w:r w:rsidR="1B2E485A" w:rsidRPr="4521EDEC">
        <w:rPr>
          <w:rFonts w:ascii="Calibri" w:eastAsia="Calibri" w:hAnsi="Calibri" w:cs="Calibri"/>
        </w:rPr>
        <w:t xml:space="preserve">However, given broader concerns </w:t>
      </w:r>
      <w:r w:rsidR="2A9D2389" w:rsidRPr="4521EDEC">
        <w:rPr>
          <w:rFonts w:ascii="Calibri" w:eastAsia="Calibri" w:hAnsi="Calibri" w:cs="Calibri"/>
        </w:rPr>
        <w:t xml:space="preserve">regarding </w:t>
      </w:r>
      <w:r w:rsidR="1B2E485A" w:rsidRPr="4521EDEC">
        <w:rPr>
          <w:rFonts w:ascii="Calibri" w:eastAsia="Calibri" w:hAnsi="Calibri" w:cs="Calibri"/>
        </w:rPr>
        <w:t>programm</w:t>
      </w:r>
      <w:r w:rsidR="343AB797" w:rsidRPr="4521EDEC">
        <w:rPr>
          <w:rFonts w:ascii="Calibri" w:eastAsia="Calibri" w:hAnsi="Calibri" w:cs="Calibri"/>
        </w:rPr>
        <w:t>e</w:t>
      </w:r>
      <w:r w:rsidR="2A9D2389" w:rsidRPr="4521EDEC">
        <w:rPr>
          <w:rFonts w:ascii="Calibri" w:eastAsia="Calibri" w:hAnsi="Calibri" w:cs="Calibri"/>
        </w:rPr>
        <w:t xml:space="preserve"> performance</w:t>
      </w:r>
      <w:r w:rsidR="1B2E485A" w:rsidRPr="4521EDEC">
        <w:rPr>
          <w:rFonts w:ascii="Calibri" w:eastAsia="Calibri" w:hAnsi="Calibri" w:cs="Calibri"/>
        </w:rPr>
        <w:t xml:space="preserve">, </w:t>
      </w:r>
      <w:r w:rsidR="2A9D2389" w:rsidRPr="4521EDEC">
        <w:rPr>
          <w:rFonts w:ascii="Calibri" w:eastAsia="Calibri" w:hAnsi="Calibri" w:cs="Calibri"/>
        </w:rPr>
        <w:t xml:space="preserve">this review was paused in June 2021 when Defra placed the programme on hold to escalate concerns. Prior to </w:t>
      </w:r>
      <w:r w:rsidR="365261F3" w:rsidRPr="4521EDEC">
        <w:rPr>
          <w:rFonts w:ascii="Calibri" w:eastAsia="Calibri" w:hAnsi="Calibri" w:cs="Calibri"/>
        </w:rPr>
        <w:t>the pause,</w:t>
      </w:r>
      <w:r w:rsidR="2A9D2389" w:rsidRPr="4521EDEC">
        <w:rPr>
          <w:rFonts w:ascii="Calibri" w:eastAsia="Calibri" w:hAnsi="Calibri" w:cs="Calibri"/>
        </w:rPr>
        <w:t xml:space="preserve"> </w:t>
      </w:r>
      <w:r w:rsidR="1B2E485A" w:rsidRPr="4521EDEC">
        <w:rPr>
          <w:rFonts w:ascii="Calibri" w:eastAsia="Calibri" w:hAnsi="Calibri" w:cs="Calibri"/>
        </w:rPr>
        <w:t>Defra’s focus</w:t>
      </w:r>
      <w:r w:rsidR="343AB797" w:rsidRPr="4521EDEC">
        <w:rPr>
          <w:rFonts w:ascii="Calibri" w:eastAsia="Calibri" w:hAnsi="Calibri" w:cs="Calibri"/>
        </w:rPr>
        <w:t xml:space="preserve"> was t</w:t>
      </w:r>
      <w:r w:rsidR="4C86D3C7" w:rsidRPr="4521EDEC">
        <w:rPr>
          <w:rFonts w:ascii="Calibri" w:eastAsia="Calibri" w:hAnsi="Calibri" w:cs="Calibri"/>
        </w:rPr>
        <w:t xml:space="preserve">o finalise </w:t>
      </w:r>
      <w:r w:rsidR="29BCF13A" w:rsidRPr="4521EDEC">
        <w:rPr>
          <w:rFonts w:ascii="Calibri" w:eastAsia="Calibri" w:hAnsi="Calibri" w:cs="Calibri"/>
        </w:rPr>
        <w:t>a</w:t>
      </w:r>
      <w:r w:rsidR="4C86D3C7" w:rsidRPr="4521EDEC">
        <w:rPr>
          <w:rFonts w:ascii="Calibri" w:eastAsia="Calibri" w:hAnsi="Calibri" w:cs="Calibri"/>
        </w:rPr>
        <w:t xml:space="preserve"> P</w:t>
      </w:r>
      <w:r w:rsidR="29BCF13A" w:rsidRPr="4521EDEC">
        <w:rPr>
          <w:rFonts w:ascii="Calibri" w:eastAsia="Calibri" w:hAnsi="Calibri" w:cs="Calibri"/>
        </w:rPr>
        <w:t xml:space="preserve">rogramme </w:t>
      </w:r>
      <w:r w:rsidR="4C86D3C7" w:rsidRPr="4521EDEC">
        <w:rPr>
          <w:rFonts w:ascii="Calibri" w:eastAsia="Calibri" w:hAnsi="Calibri" w:cs="Calibri"/>
        </w:rPr>
        <w:t>M</w:t>
      </w:r>
      <w:r w:rsidR="29BCF13A" w:rsidRPr="4521EDEC">
        <w:rPr>
          <w:rFonts w:ascii="Calibri" w:eastAsia="Calibri" w:hAnsi="Calibri" w:cs="Calibri"/>
        </w:rPr>
        <w:t xml:space="preserve">anagement </w:t>
      </w:r>
      <w:r w:rsidR="4C86D3C7" w:rsidRPr="4521EDEC">
        <w:rPr>
          <w:rFonts w:ascii="Calibri" w:eastAsia="Calibri" w:hAnsi="Calibri" w:cs="Calibri"/>
        </w:rPr>
        <w:t>M</w:t>
      </w:r>
      <w:r w:rsidR="29BCF13A" w:rsidRPr="4521EDEC">
        <w:rPr>
          <w:rFonts w:ascii="Calibri" w:eastAsia="Calibri" w:hAnsi="Calibri" w:cs="Calibri"/>
        </w:rPr>
        <w:t xml:space="preserve">anual </w:t>
      </w:r>
      <w:r w:rsidR="2A9D2389" w:rsidRPr="4521EDEC">
        <w:rPr>
          <w:rFonts w:ascii="Calibri" w:eastAsia="Calibri" w:hAnsi="Calibri" w:cs="Calibri"/>
        </w:rPr>
        <w:t xml:space="preserve">(see below) and provide additional support to the IDB to further develop the programme-level logical framework and Theory of Change in an effort to </w:t>
      </w:r>
      <w:r w:rsidR="365261F3" w:rsidRPr="4521EDEC">
        <w:rPr>
          <w:rFonts w:ascii="Calibri" w:eastAsia="Calibri" w:hAnsi="Calibri" w:cs="Calibri"/>
        </w:rPr>
        <w:t>get the programme on track and avoid escalation</w:t>
      </w:r>
      <w:r w:rsidR="2A9D2389" w:rsidRPr="4521EDEC">
        <w:rPr>
          <w:rFonts w:ascii="Calibri" w:eastAsia="Calibri" w:hAnsi="Calibri" w:cs="Calibri"/>
        </w:rPr>
        <w:t xml:space="preserve">. </w:t>
      </w:r>
      <w:r w:rsidR="2C67CE91" w:rsidRPr="4521EDEC">
        <w:rPr>
          <w:rFonts w:ascii="Calibri" w:eastAsia="Calibri" w:hAnsi="Calibri" w:cs="Calibri"/>
        </w:rPr>
        <w:t>Defra and the IDB</w:t>
      </w:r>
      <w:r w:rsidR="2A9D2389" w:rsidRPr="4521EDEC">
        <w:rPr>
          <w:rFonts w:ascii="Calibri" w:eastAsia="Calibri" w:hAnsi="Calibri" w:cs="Calibri"/>
        </w:rPr>
        <w:t xml:space="preserve"> will</w:t>
      </w:r>
      <w:r w:rsidR="2C67CE91" w:rsidRPr="4521EDEC">
        <w:rPr>
          <w:rFonts w:ascii="Calibri" w:eastAsia="Calibri" w:hAnsi="Calibri" w:cs="Calibri"/>
        </w:rPr>
        <w:t xml:space="preserve"> continue to work together to prepare </w:t>
      </w:r>
      <w:r w:rsidR="2C67CE91" w:rsidRPr="4521EDEC">
        <w:rPr>
          <w:rFonts w:ascii="Calibri" w:eastAsia="Calibri" w:hAnsi="Calibri" w:cs="Calibri"/>
          <w:color w:val="000000" w:themeColor="text1"/>
        </w:rPr>
        <w:t>the proposal for official submission for approval</w:t>
      </w:r>
      <w:r w:rsidR="2A9D2389" w:rsidRPr="4521EDEC">
        <w:rPr>
          <w:rFonts w:ascii="Calibri" w:eastAsia="Calibri" w:hAnsi="Calibri" w:cs="Calibri"/>
          <w:color w:val="000000" w:themeColor="text1"/>
        </w:rPr>
        <w:t xml:space="preserve"> once these priority products have been developed and finalised</w:t>
      </w:r>
      <w:r w:rsidR="2C67CE91" w:rsidRPr="4521EDEC">
        <w:rPr>
          <w:rFonts w:ascii="Calibri" w:eastAsia="Calibri" w:hAnsi="Calibri" w:cs="Calibri"/>
          <w:color w:val="000000" w:themeColor="text1"/>
        </w:rPr>
        <w:t>.</w:t>
      </w:r>
      <w:r w:rsidR="074FD6BD" w:rsidRPr="4521EDEC">
        <w:rPr>
          <w:rFonts w:ascii="Calibri" w:eastAsia="Calibri" w:hAnsi="Calibri" w:cs="Calibri"/>
          <w:color w:val="000000" w:themeColor="text1"/>
        </w:rPr>
        <w:t xml:space="preserve"> </w:t>
      </w:r>
    </w:p>
    <w:p w14:paraId="40A9A20B" w14:textId="47C72C0E" w:rsidR="00BA7E94" w:rsidRPr="00BA7E94" w:rsidRDefault="4E5557EC" w:rsidP="00A363E4">
      <w:pPr>
        <w:jc w:val="both"/>
        <w:rPr>
          <w:color w:val="FF0000"/>
        </w:rPr>
      </w:pPr>
      <w:r>
        <w:rPr>
          <w:lang w:eastAsia="en-GB"/>
        </w:rPr>
        <w:t xml:space="preserve">Defra and the IDB </w:t>
      </w:r>
      <w:r w:rsidR="007B4BA7">
        <w:rPr>
          <w:lang w:eastAsia="en-GB"/>
        </w:rPr>
        <w:t>worked</w:t>
      </w:r>
      <w:r>
        <w:rPr>
          <w:lang w:eastAsia="en-GB"/>
        </w:rPr>
        <w:t xml:space="preserve"> together to develop a Programme Management Manual </w:t>
      </w:r>
      <w:r w:rsidR="007B4BA7">
        <w:rPr>
          <w:lang w:eastAsia="en-GB"/>
        </w:rPr>
        <w:t>(PMM) in the first quarter of 2021</w:t>
      </w:r>
      <w:r>
        <w:rPr>
          <w:lang w:eastAsia="en-GB"/>
        </w:rPr>
        <w:t xml:space="preserve">. The aim of the PMM </w:t>
      </w:r>
      <w:r>
        <w:t>is to align expectations and agree on critical programme management processes and milestones including project approval and implementation timelines; content of the Advisory Board and supplementary quarterly meetings (also known as bi-annual Checkpoints); deadlines for the submission of key monitoring and evaluation (M&amp;E) tools</w:t>
      </w:r>
      <w:r w:rsidR="00BA7E94">
        <w:rPr>
          <w:rStyle w:val="FootnoteReference"/>
        </w:rPr>
        <w:footnoteReference w:id="5"/>
      </w:r>
      <w:r>
        <w:t>; and other programme management requirements such as the joint risk register and Project Completion Review.</w:t>
      </w:r>
      <w:r>
        <w:rPr>
          <w:lang w:eastAsia="en-GB"/>
        </w:rPr>
        <w:t xml:space="preserve"> </w:t>
      </w:r>
      <w:r w:rsidR="55E12179">
        <w:rPr>
          <w:lang w:eastAsia="en-GB"/>
        </w:rPr>
        <w:t xml:space="preserve">The PMM was finalised in June 2021. </w:t>
      </w:r>
      <w:r>
        <w:rPr>
          <w:lang w:eastAsia="en-GB"/>
        </w:rPr>
        <w:t xml:space="preserve">This is a working document and should be reviewed as the UK </w:t>
      </w:r>
      <w:r w:rsidR="00141CFA">
        <w:rPr>
          <w:lang w:eastAsia="en-GB"/>
        </w:rPr>
        <w:t>BCF</w:t>
      </w:r>
      <w:r>
        <w:rPr>
          <w:lang w:eastAsia="en-GB"/>
        </w:rPr>
        <w:t xml:space="preserve"> progresses.</w:t>
      </w:r>
    </w:p>
    <w:p w14:paraId="778F41C5" w14:textId="410347CC" w:rsidR="00FE3ED2" w:rsidRPr="002E277E" w:rsidRDefault="0E4674B7" w:rsidP="002E277E">
      <w:pPr>
        <w:jc w:val="both"/>
        <w:rPr>
          <w:lang w:val="en-US"/>
        </w:rPr>
      </w:pPr>
      <w:r w:rsidRPr="00AE1A4C">
        <w:rPr>
          <w:lang w:eastAsia="en-GB"/>
        </w:rPr>
        <w:t xml:space="preserve">The UK </w:t>
      </w:r>
      <w:r w:rsidR="00141CFA">
        <w:rPr>
          <w:lang w:eastAsia="en-GB"/>
        </w:rPr>
        <w:t>BCF</w:t>
      </w:r>
      <w:r w:rsidRPr="00AE1A4C">
        <w:rPr>
          <w:lang w:eastAsia="en-GB"/>
        </w:rPr>
        <w:t xml:space="preserve"> is the third </w:t>
      </w:r>
      <w:r w:rsidR="004A0D45" w:rsidRPr="367BE1D9">
        <w:rPr>
          <w:lang w:eastAsia="en-GB"/>
        </w:rPr>
        <w:t>HM</w:t>
      </w:r>
      <w:r w:rsidR="00D97600" w:rsidRPr="367BE1D9">
        <w:rPr>
          <w:lang w:eastAsia="en-GB"/>
        </w:rPr>
        <w:t>G</w:t>
      </w:r>
      <w:r w:rsidR="004A0D45" w:rsidRPr="367BE1D9">
        <w:rPr>
          <w:lang w:eastAsia="en-GB"/>
        </w:rPr>
        <w:t>-funded</w:t>
      </w:r>
      <w:r w:rsidR="00D97600" w:rsidRPr="367BE1D9">
        <w:rPr>
          <w:lang w:eastAsia="en-GB"/>
        </w:rPr>
        <w:t xml:space="preserve"> </w:t>
      </w:r>
      <w:r w:rsidRPr="00AE1A4C">
        <w:rPr>
          <w:lang w:eastAsia="en-GB"/>
        </w:rPr>
        <w:t>programme</w:t>
      </w:r>
      <w:r w:rsidR="002E277E" w:rsidRPr="00AE1A4C">
        <w:rPr>
          <w:rStyle w:val="FootnoteReference"/>
          <w:lang w:eastAsia="en-GB"/>
        </w:rPr>
        <w:footnoteReference w:id="6"/>
      </w:r>
      <w:r w:rsidRPr="00AE1A4C">
        <w:rPr>
          <w:lang w:eastAsia="en-GB"/>
        </w:rPr>
        <w:t xml:space="preserve"> </w:t>
      </w:r>
      <w:r w:rsidR="04261293" w:rsidRPr="00AE1A4C">
        <w:rPr>
          <w:lang w:eastAsia="en-GB"/>
        </w:rPr>
        <w:t>delivered by the IDB to experience severe delays and continue to provide products</w:t>
      </w:r>
      <w:r w:rsidR="00D97600" w:rsidRPr="367BE1D9">
        <w:rPr>
          <w:lang w:eastAsia="en-GB"/>
        </w:rPr>
        <w:t xml:space="preserve"> that do not meet ICF/ODA standards</w:t>
      </w:r>
      <w:r w:rsidR="04261293" w:rsidRPr="00AE1A4C">
        <w:rPr>
          <w:lang w:eastAsia="en-GB"/>
        </w:rPr>
        <w:t xml:space="preserve">, </w:t>
      </w:r>
      <w:r w:rsidRPr="00AE1A4C">
        <w:rPr>
          <w:lang w:eastAsia="en-GB"/>
        </w:rPr>
        <w:t>suggesting th</w:t>
      </w:r>
      <w:r w:rsidR="00EA61F8" w:rsidRPr="367BE1D9">
        <w:rPr>
          <w:lang w:eastAsia="en-GB"/>
        </w:rPr>
        <w:t>ere may be</w:t>
      </w:r>
      <w:r w:rsidRPr="00AE1A4C">
        <w:rPr>
          <w:lang w:eastAsia="en-GB"/>
        </w:rPr>
        <w:t xml:space="preserve"> wider underlying issues within the IDB </w:t>
      </w:r>
      <w:r w:rsidR="00EA61F8" w:rsidRPr="367BE1D9">
        <w:rPr>
          <w:lang w:eastAsia="en-GB"/>
        </w:rPr>
        <w:t xml:space="preserve">that </w:t>
      </w:r>
      <w:r w:rsidRPr="00AE1A4C">
        <w:rPr>
          <w:lang w:eastAsia="en-GB"/>
        </w:rPr>
        <w:t xml:space="preserve">need to be addressed, </w:t>
      </w:r>
      <w:r w:rsidR="00EA61F8" w:rsidRPr="367BE1D9">
        <w:rPr>
          <w:lang w:eastAsia="en-GB"/>
        </w:rPr>
        <w:t xml:space="preserve">including improved </w:t>
      </w:r>
      <w:r w:rsidRPr="00AE1A4C">
        <w:rPr>
          <w:lang w:eastAsia="en-GB"/>
        </w:rPr>
        <w:t>ways of working between the IDB and HMG.</w:t>
      </w:r>
      <w:r w:rsidR="04261293" w:rsidRPr="00AE1A4C">
        <w:rPr>
          <w:lang w:eastAsia="en-GB"/>
        </w:rPr>
        <w:t xml:space="preserve"> </w:t>
      </w:r>
      <w:r w:rsidR="7A646EC2" w:rsidRPr="00AE1A4C">
        <w:t xml:space="preserve">Defra is concerned that these </w:t>
      </w:r>
      <w:r w:rsidR="2AE609A2">
        <w:t>performance issues</w:t>
      </w:r>
      <w:r w:rsidR="7A646EC2" w:rsidRPr="00AE1A4C">
        <w:t xml:space="preserve"> pose a serious risk to the delivery and monitoring of the programme. </w:t>
      </w:r>
      <w:r w:rsidR="04261293" w:rsidRPr="00AE1A4C">
        <w:rPr>
          <w:lang w:eastAsia="en-GB"/>
        </w:rPr>
        <w:t xml:space="preserve">Following consultations with Defra and BEIS policy teams also managing ICF programmes delivered by the IDB, the UK </w:t>
      </w:r>
      <w:r w:rsidR="00141CFA">
        <w:rPr>
          <w:lang w:eastAsia="en-GB"/>
        </w:rPr>
        <w:t>BCF</w:t>
      </w:r>
      <w:r w:rsidR="04261293" w:rsidRPr="00AE1A4C">
        <w:rPr>
          <w:lang w:eastAsia="en-GB"/>
        </w:rPr>
        <w:t xml:space="preserve"> was put on hold </w:t>
      </w:r>
      <w:r w:rsidR="2AE609A2" w:rsidRPr="70189F0B">
        <w:rPr>
          <w:lang w:eastAsia="en-GB"/>
        </w:rPr>
        <w:t xml:space="preserve">temporarily </w:t>
      </w:r>
      <w:r w:rsidR="04261293" w:rsidRPr="00AE1A4C">
        <w:rPr>
          <w:lang w:eastAsia="en-GB"/>
        </w:rPr>
        <w:t>in June 2021 while Defra escalated performance concerns internally</w:t>
      </w:r>
      <w:r w:rsidR="00EC7095" w:rsidRPr="367BE1D9">
        <w:rPr>
          <w:lang w:eastAsia="en-GB"/>
        </w:rPr>
        <w:t xml:space="preserve"> to identify potential solutions that could be discussed with the IDB</w:t>
      </w:r>
      <w:r w:rsidR="04261293" w:rsidRPr="00AE1A4C">
        <w:rPr>
          <w:lang w:eastAsia="en-GB"/>
        </w:rPr>
        <w:t>.</w:t>
      </w:r>
    </w:p>
    <w:p w14:paraId="29571599" w14:textId="77777777" w:rsidR="00BB7661" w:rsidRDefault="00BB7661" w:rsidP="00E044A4">
      <w:pPr>
        <w:pStyle w:val="Heading2"/>
      </w:pPr>
      <w:r>
        <w:t>Implementation Output: Performance of Projects in the Implementation Phase</w:t>
      </w:r>
    </w:p>
    <w:p w14:paraId="268A4238" w14:textId="38003397" w:rsidR="00BB7661" w:rsidRDefault="00BB7661" w:rsidP="00BB7661">
      <w:pPr>
        <w:spacing w:after="0" w:line="240" w:lineRule="auto"/>
        <w:jc w:val="both"/>
        <w:textAlignment w:val="baseline"/>
        <w:rPr>
          <w:rFonts w:ascii="Calibri" w:eastAsia="Times New Roman" w:hAnsi="Calibri" w:cs="Calibri"/>
          <w:color w:val="000000"/>
          <w:lang w:eastAsia="en-GB"/>
        </w:rPr>
      </w:pPr>
      <w:r w:rsidRPr="00BB7661">
        <w:rPr>
          <w:rFonts w:ascii="Calibri" w:eastAsia="Times New Roman" w:hAnsi="Calibri" w:cs="Calibri"/>
          <w:color w:val="000000"/>
          <w:lang w:eastAsia="en-GB"/>
        </w:rPr>
        <w:t>The implementation output and associated indicators measure the performance of UK BCF projects, based on commitments made in the administrative agreement and over the course of the programme to date. This output takes into account projects which have been in the implementation phase in Year 3. </w:t>
      </w:r>
    </w:p>
    <w:p w14:paraId="7AC7E6F1" w14:textId="77777777" w:rsidR="00141CFA" w:rsidRPr="00BB7661" w:rsidRDefault="00141CFA" w:rsidP="00BB7661">
      <w:pPr>
        <w:spacing w:after="0" w:line="240" w:lineRule="auto"/>
        <w:jc w:val="both"/>
        <w:textAlignment w:val="baseline"/>
        <w:rPr>
          <w:rFonts w:ascii="Segoe UI" w:eastAsia="Times New Roman" w:hAnsi="Segoe UI" w:cs="Segoe UI"/>
          <w:color w:val="000000"/>
          <w:sz w:val="18"/>
          <w:szCs w:val="18"/>
          <w:lang w:eastAsia="en-GB"/>
        </w:rPr>
      </w:pPr>
    </w:p>
    <w:p w14:paraId="211B2E72" w14:textId="77777777" w:rsidR="00BB7661" w:rsidRPr="00BB7661" w:rsidRDefault="00BB7661" w:rsidP="00BB7661">
      <w:pPr>
        <w:spacing w:after="0" w:line="240" w:lineRule="auto"/>
        <w:jc w:val="both"/>
        <w:textAlignment w:val="baseline"/>
        <w:rPr>
          <w:rFonts w:ascii="Segoe UI" w:eastAsia="Times New Roman" w:hAnsi="Segoe UI" w:cs="Segoe UI"/>
          <w:color w:val="000000"/>
          <w:sz w:val="18"/>
          <w:szCs w:val="18"/>
          <w:lang w:eastAsia="en-GB"/>
        </w:rPr>
      </w:pPr>
      <w:r w:rsidRPr="00BB7661">
        <w:rPr>
          <w:rFonts w:ascii="Calibri" w:eastAsia="Times New Roman" w:hAnsi="Calibri" w:cs="Calibri"/>
          <w:color w:val="000000"/>
          <w:lang w:eastAsia="en-GB"/>
        </w:rPr>
        <w:t> </w:t>
      </w:r>
    </w:p>
    <w:tbl>
      <w:tblPr>
        <w:tblStyle w:val="GridTable4-Accent5"/>
        <w:tblW w:w="9015" w:type="dxa"/>
        <w:tblLook w:val="04A0" w:firstRow="1" w:lastRow="0" w:firstColumn="1" w:lastColumn="0" w:noHBand="0" w:noVBand="1"/>
      </w:tblPr>
      <w:tblGrid>
        <w:gridCol w:w="2689"/>
        <w:gridCol w:w="1796"/>
        <w:gridCol w:w="2250"/>
        <w:gridCol w:w="2280"/>
      </w:tblGrid>
      <w:tr w:rsidR="00BB7661" w:rsidRPr="00BB7661" w14:paraId="42FD96FD" w14:textId="77777777" w:rsidTr="00E90A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gridSpan w:val="4"/>
            <w:hideMark/>
          </w:tcPr>
          <w:p w14:paraId="2AD1858F" w14:textId="14BFA902" w:rsidR="00BB7661" w:rsidRPr="00BB7661" w:rsidRDefault="00BB7661" w:rsidP="00BB7661">
            <w:pPr>
              <w:jc w:val="both"/>
              <w:textAlignment w:val="baseline"/>
              <w:divId w:val="1040663499"/>
              <w:rPr>
                <w:rFonts w:ascii="Times New Roman" w:eastAsia="Times New Roman" w:hAnsi="Times New Roman" w:cs="Times New Roman"/>
                <w:color w:val="000000"/>
                <w:sz w:val="24"/>
                <w:szCs w:val="24"/>
              </w:rPr>
            </w:pPr>
            <w:r w:rsidRPr="00BB7661">
              <w:rPr>
                <w:rFonts w:eastAsia="Times New Roman"/>
                <w:color w:val="FFFFFF"/>
              </w:rPr>
              <w:lastRenderedPageBreak/>
              <w:t>Output</w:t>
            </w:r>
            <w:r w:rsidR="006B4D8C">
              <w:rPr>
                <w:rFonts w:eastAsia="Times New Roman"/>
                <w:color w:val="FFFFFF"/>
              </w:rPr>
              <w:t xml:space="preserve"> 2</w:t>
            </w:r>
            <w:r w:rsidRPr="00BB7661">
              <w:rPr>
                <w:rFonts w:eastAsia="Times New Roman"/>
                <w:color w:val="FFFFFF"/>
              </w:rPr>
              <w:t>: The performance of projects in the implementation phase </w:t>
            </w:r>
          </w:p>
        </w:tc>
      </w:tr>
      <w:tr w:rsidR="00BB7661" w:rsidRPr="00BB7661" w14:paraId="780C7A41" w14:textId="77777777" w:rsidTr="00E9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hideMark/>
          </w:tcPr>
          <w:p w14:paraId="15965229" w14:textId="77777777" w:rsidR="00BB7661" w:rsidRPr="00BB7661" w:rsidRDefault="00BB7661" w:rsidP="00BB7661">
            <w:pPr>
              <w:jc w:val="both"/>
              <w:textAlignment w:val="baseline"/>
              <w:rPr>
                <w:rFonts w:ascii="Times New Roman" w:eastAsia="Times New Roman" w:hAnsi="Times New Roman" w:cs="Times New Roman"/>
                <w:color w:val="000000"/>
                <w:sz w:val="24"/>
                <w:szCs w:val="24"/>
              </w:rPr>
            </w:pPr>
            <w:r w:rsidRPr="00BB7661">
              <w:rPr>
                <w:rFonts w:eastAsia="Times New Roman"/>
                <w:color w:val="000000"/>
              </w:rPr>
              <w:t>Output number per LF: </w:t>
            </w:r>
          </w:p>
        </w:tc>
        <w:tc>
          <w:tcPr>
            <w:tcW w:w="1796" w:type="dxa"/>
            <w:hideMark/>
          </w:tcPr>
          <w:p w14:paraId="42DAB81A" w14:textId="77777777" w:rsidR="00BB7661" w:rsidRPr="00BB7661" w:rsidRDefault="00BB7661" w:rsidP="00BB7661">
            <w:pPr>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B7661">
              <w:rPr>
                <w:rFonts w:eastAsia="Times New Roman"/>
                <w:color w:val="000000"/>
              </w:rPr>
              <w:t>n/a </w:t>
            </w:r>
          </w:p>
        </w:tc>
        <w:tc>
          <w:tcPr>
            <w:tcW w:w="2250" w:type="dxa"/>
            <w:hideMark/>
          </w:tcPr>
          <w:p w14:paraId="5BD582AD" w14:textId="77777777" w:rsidR="00BB7661" w:rsidRPr="00BB7661" w:rsidRDefault="00BB7661" w:rsidP="00BB7661">
            <w:pPr>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B7661">
              <w:rPr>
                <w:rFonts w:eastAsia="Times New Roman"/>
                <w:b/>
                <w:bCs/>
                <w:color w:val="000000"/>
              </w:rPr>
              <w:t>Output score:</w:t>
            </w:r>
            <w:r w:rsidRPr="00BB7661">
              <w:rPr>
                <w:rFonts w:eastAsia="Times New Roman"/>
                <w:color w:val="000000"/>
              </w:rPr>
              <w:t> </w:t>
            </w:r>
          </w:p>
        </w:tc>
        <w:tc>
          <w:tcPr>
            <w:tcW w:w="2280" w:type="dxa"/>
            <w:hideMark/>
          </w:tcPr>
          <w:p w14:paraId="290320C2" w14:textId="1DFDB944" w:rsidR="00BB7661" w:rsidRPr="00BB7661" w:rsidRDefault="00BB7661" w:rsidP="00BB7661">
            <w:pPr>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B7661">
              <w:rPr>
                <w:rFonts w:eastAsia="Times New Roman"/>
                <w:color w:val="000000"/>
              </w:rPr>
              <w:t> </w:t>
            </w:r>
            <w:r w:rsidR="000F0621">
              <w:rPr>
                <w:rFonts w:eastAsia="Times New Roman"/>
                <w:color w:val="000000"/>
              </w:rPr>
              <w:t>B</w:t>
            </w:r>
          </w:p>
        </w:tc>
      </w:tr>
      <w:tr w:rsidR="00BB7661" w:rsidRPr="00BB7661" w14:paraId="031AABBF" w14:textId="77777777" w:rsidTr="00E90AC2">
        <w:tc>
          <w:tcPr>
            <w:cnfStyle w:val="001000000000" w:firstRow="0" w:lastRow="0" w:firstColumn="1" w:lastColumn="0" w:oddVBand="0" w:evenVBand="0" w:oddHBand="0" w:evenHBand="0" w:firstRowFirstColumn="0" w:firstRowLastColumn="0" w:lastRowFirstColumn="0" w:lastRowLastColumn="0"/>
            <w:tcW w:w="2689" w:type="dxa"/>
            <w:hideMark/>
          </w:tcPr>
          <w:p w14:paraId="11BB1045" w14:textId="77777777" w:rsidR="00BB7661" w:rsidRPr="00BB7661" w:rsidRDefault="00BB7661" w:rsidP="00BB7661">
            <w:pPr>
              <w:jc w:val="both"/>
              <w:textAlignment w:val="baseline"/>
              <w:rPr>
                <w:rFonts w:ascii="Times New Roman" w:eastAsia="Times New Roman" w:hAnsi="Times New Roman" w:cs="Times New Roman"/>
                <w:color w:val="000000"/>
                <w:sz w:val="24"/>
                <w:szCs w:val="24"/>
              </w:rPr>
            </w:pPr>
            <w:r w:rsidRPr="00BB7661">
              <w:rPr>
                <w:rFonts w:eastAsia="Times New Roman"/>
                <w:color w:val="000000"/>
              </w:rPr>
              <w:t>Risk: </w:t>
            </w:r>
          </w:p>
        </w:tc>
        <w:tc>
          <w:tcPr>
            <w:tcW w:w="1796" w:type="dxa"/>
            <w:hideMark/>
          </w:tcPr>
          <w:p w14:paraId="506BD5E5" w14:textId="0D60E56F" w:rsidR="00BB7661" w:rsidRPr="00BB7661" w:rsidRDefault="009E7BCD" w:rsidP="00BB7661">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eastAsia="Times New Roman"/>
                <w:color w:val="000000"/>
              </w:rPr>
              <w:t>Major</w:t>
            </w:r>
          </w:p>
        </w:tc>
        <w:tc>
          <w:tcPr>
            <w:tcW w:w="2250" w:type="dxa"/>
            <w:hideMark/>
          </w:tcPr>
          <w:p w14:paraId="53F9A02F" w14:textId="77777777" w:rsidR="00BB7661" w:rsidRPr="00BB7661" w:rsidRDefault="00BB7661" w:rsidP="00BB7661">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B7661">
              <w:rPr>
                <w:rFonts w:eastAsia="Times New Roman"/>
                <w:b/>
                <w:bCs/>
                <w:color w:val="000000"/>
              </w:rPr>
              <w:t>Impact weighting (%):</w:t>
            </w:r>
            <w:r w:rsidRPr="00BB7661">
              <w:rPr>
                <w:rFonts w:eastAsia="Times New Roman"/>
                <w:color w:val="000000"/>
              </w:rPr>
              <w:t> </w:t>
            </w:r>
          </w:p>
        </w:tc>
        <w:tc>
          <w:tcPr>
            <w:tcW w:w="2280" w:type="dxa"/>
            <w:hideMark/>
          </w:tcPr>
          <w:p w14:paraId="2A831DCB" w14:textId="51E8F8A0" w:rsidR="00BB7661" w:rsidRPr="00BB7661" w:rsidRDefault="00BB7661" w:rsidP="00BB7661">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B7661">
              <w:rPr>
                <w:rFonts w:eastAsia="Times New Roman"/>
                <w:color w:val="000000"/>
              </w:rPr>
              <w:t> </w:t>
            </w:r>
            <w:r w:rsidR="009E7BCD">
              <w:rPr>
                <w:rFonts w:eastAsia="Times New Roman"/>
                <w:color w:val="000000"/>
              </w:rPr>
              <w:t>33.3</w:t>
            </w:r>
          </w:p>
        </w:tc>
      </w:tr>
      <w:tr w:rsidR="00BB7661" w:rsidRPr="00BB7661" w14:paraId="2988D2D0" w14:textId="77777777" w:rsidTr="00E9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hideMark/>
          </w:tcPr>
          <w:p w14:paraId="313B7E4D" w14:textId="77777777" w:rsidR="00BB7661" w:rsidRPr="00BB7661" w:rsidRDefault="00BB7661" w:rsidP="00BB7661">
            <w:pPr>
              <w:jc w:val="both"/>
              <w:textAlignment w:val="baseline"/>
              <w:rPr>
                <w:rFonts w:ascii="Times New Roman" w:eastAsia="Times New Roman" w:hAnsi="Times New Roman" w:cs="Times New Roman"/>
                <w:color w:val="000000"/>
                <w:sz w:val="24"/>
                <w:szCs w:val="24"/>
              </w:rPr>
            </w:pPr>
            <w:r w:rsidRPr="00BB7661">
              <w:rPr>
                <w:rFonts w:eastAsia="Times New Roman"/>
                <w:color w:val="000000"/>
              </w:rPr>
              <w:t>Risk revised since last AR: </w:t>
            </w:r>
          </w:p>
        </w:tc>
        <w:tc>
          <w:tcPr>
            <w:tcW w:w="1796" w:type="dxa"/>
            <w:hideMark/>
          </w:tcPr>
          <w:p w14:paraId="5269277E" w14:textId="77777777" w:rsidR="00BB7661" w:rsidRPr="00BB7661" w:rsidRDefault="00BB7661" w:rsidP="00BB7661">
            <w:pPr>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B7661">
              <w:rPr>
                <w:rFonts w:eastAsia="Times New Roman"/>
                <w:color w:val="000000"/>
              </w:rPr>
              <w:t>n/a </w:t>
            </w:r>
          </w:p>
        </w:tc>
        <w:tc>
          <w:tcPr>
            <w:tcW w:w="2250" w:type="dxa"/>
            <w:hideMark/>
          </w:tcPr>
          <w:p w14:paraId="271CDD40" w14:textId="77777777" w:rsidR="00BB7661" w:rsidRPr="00BB7661" w:rsidRDefault="00BB7661" w:rsidP="00BB7661">
            <w:pPr>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B7661">
              <w:rPr>
                <w:rFonts w:eastAsia="Times New Roman"/>
                <w:b/>
                <w:bCs/>
                <w:color w:val="000000"/>
              </w:rPr>
              <w:t>Impact weighting (%) revised since last AR:</w:t>
            </w:r>
            <w:r w:rsidRPr="00BB7661">
              <w:rPr>
                <w:rFonts w:eastAsia="Times New Roman"/>
                <w:color w:val="000000"/>
              </w:rPr>
              <w:t> </w:t>
            </w:r>
          </w:p>
        </w:tc>
        <w:tc>
          <w:tcPr>
            <w:tcW w:w="2280" w:type="dxa"/>
            <w:hideMark/>
          </w:tcPr>
          <w:p w14:paraId="196096E0" w14:textId="5155B887" w:rsidR="00BB7661" w:rsidRPr="00BB7661" w:rsidRDefault="00BB7661" w:rsidP="00BB7661">
            <w:pPr>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B7661">
              <w:rPr>
                <w:rFonts w:eastAsia="Times New Roman"/>
                <w:color w:val="000000"/>
              </w:rPr>
              <w:t> </w:t>
            </w:r>
            <w:r w:rsidR="009E7BCD">
              <w:rPr>
                <w:rFonts w:eastAsia="Times New Roman"/>
                <w:color w:val="000000"/>
              </w:rPr>
              <w:t>Yes</w:t>
            </w:r>
          </w:p>
        </w:tc>
      </w:tr>
    </w:tbl>
    <w:p w14:paraId="010C3B53" w14:textId="77777777" w:rsidR="00BB7661" w:rsidRPr="00BB7661" w:rsidRDefault="00BB7661" w:rsidP="00BB7661">
      <w:pPr>
        <w:spacing w:after="0" w:line="240" w:lineRule="auto"/>
        <w:jc w:val="both"/>
        <w:textAlignment w:val="baseline"/>
        <w:rPr>
          <w:rFonts w:ascii="Segoe UI" w:eastAsia="Times New Roman" w:hAnsi="Segoe UI" w:cs="Segoe UI"/>
          <w:color w:val="000000"/>
          <w:sz w:val="18"/>
          <w:szCs w:val="18"/>
          <w:lang w:eastAsia="en-GB"/>
        </w:rPr>
      </w:pPr>
      <w:r w:rsidRPr="00BB7661">
        <w:rPr>
          <w:rFonts w:ascii="Calibri" w:eastAsia="Times New Roman" w:hAnsi="Calibri" w:cs="Calibri"/>
          <w:color w:val="000000"/>
          <w:lang w:eastAsia="en-GB"/>
        </w:rPr>
        <w:t> </w:t>
      </w:r>
    </w:p>
    <w:tbl>
      <w:tblPr>
        <w:tblStyle w:val="GridTable4-Accent5"/>
        <w:tblW w:w="9016" w:type="dxa"/>
        <w:tblLook w:val="04A0" w:firstRow="1" w:lastRow="0" w:firstColumn="1" w:lastColumn="0" w:noHBand="0" w:noVBand="1"/>
      </w:tblPr>
      <w:tblGrid>
        <w:gridCol w:w="2649"/>
        <w:gridCol w:w="2267"/>
        <w:gridCol w:w="3534"/>
        <w:gridCol w:w="566"/>
      </w:tblGrid>
      <w:tr w:rsidR="00E2141B" w:rsidRPr="00BB7661" w14:paraId="1C1A59B5" w14:textId="77777777" w:rsidTr="4521ED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9" w:type="dxa"/>
            <w:hideMark/>
          </w:tcPr>
          <w:p w14:paraId="4D4C96C0" w14:textId="77777777" w:rsidR="009E7BCD" w:rsidRPr="00BB7661" w:rsidRDefault="009E7BCD" w:rsidP="00932EEE">
            <w:pPr>
              <w:jc w:val="both"/>
              <w:textAlignment w:val="baseline"/>
              <w:rPr>
                <w:rFonts w:ascii="Times New Roman" w:eastAsia="Times New Roman" w:hAnsi="Times New Roman" w:cs="Times New Roman"/>
                <w:color w:val="000000"/>
                <w:sz w:val="24"/>
                <w:szCs w:val="24"/>
              </w:rPr>
            </w:pPr>
            <w:r w:rsidRPr="00BB7661">
              <w:rPr>
                <w:rFonts w:eastAsia="Times New Roman"/>
                <w:color w:val="FFFFFF"/>
              </w:rPr>
              <w:t>Indicator </w:t>
            </w:r>
          </w:p>
        </w:tc>
        <w:tc>
          <w:tcPr>
            <w:tcW w:w="2267" w:type="dxa"/>
            <w:hideMark/>
          </w:tcPr>
          <w:p w14:paraId="0E40150D" w14:textId="77777777" w:rsidR="009E7BCD" w:rsidRPr="00BB7661" w:rsidRDefault="009E7BCD" w:rsidP="00932EEE">
            <w:pPr>
              <w:jc w:val="both"/>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B7661">
              <w:rPr>
                <w:rFonts w:eastAsia="Times New Roman"/>
                <w:color w:val="FFFFFF"/>
              </w:rPr>
              <w:t>2021 Milestone </w:t>
            </w:r>
          </w:p>
        </w:tc>
        <w:tc>
          <w:tcPr>
            <w:tcW w:w="4100" w:type="dxa"/>
            <w:gridSpan w:val="2"/>
            <w:hideMark/>
          </w:tcPr>
          <w:p w14:paraId="4909E81C" w14:textId="34F522C8" w:rsidR="009E7BCD" w:rsidRPr="009E7BCD" w:rsidRDefault="009E7BCD" w:rsidP="00932EEE">
            <w:pPr>
              <w:jc w:val="both"/>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rPr>
            </w:pPr>
            <w:r w:rsidRPr="00BB7661">
              <w:rPr>
                <w:rFonts w:eastAsia="Times New Roman"/>
                <w:color w:val="FFFFFF"/>
              </w:rPr>
              <w:t>Progress </w:t>
            </w:r>
          </w:p>
        </w:tc>
      </w:tr>
      <w:tr w:rsidR="00E2141B" w:rsidRPr="00BB7661" w14:paraId="12D3CCAD" w14:textId="77777777" w:rsidTr="4521E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9" w:type="dxa"/>
            <w:hideMark/>
          </w:tcPr>
          <w:p w14:paraId="39F03EEF" w14:textId="55FF7E3E" w:rsidR="00BB7661" w:rsidRPr="00A407DF" w:rsidRDefault="006B4D8C" w:rsidP="00BB7661">
            <w:pPr>
              <w:textAlignment w:val="baseline"/>
              <w:rPr>
                <w:rFonts w:ascii="Times New Roman" w:eastAsia="Times New Roman" w:hAnsi="Times New Roman" w:cs="Times New Roman"/>
                <w:sz w:val="24"/>
                <w:szCs w:val="24"/>
              </w:rPr>
            </w:pPr>
            <w:r w:rsidRPr="00A407DF">
              <w:rPr>
                <w:rFonts w:eastAsia="Times New Roman"/>
              </w:rPr>
              <w:t xml:space="preserve">2.1 </w:t>
            </w:r>
            <w:r w:rsidR="00BB7661" w:rsidRPr="00A407DF">
              <w:rPr>
                <w:rFonts w:eastAsia="Times New Roman"/>
              </w:rPr>
              <w:t xml:space="preserve">Panama </w:t>
            </w:r>
            <w:r w:rsidR="00A407DF">
              <w:rPr>
                <w:rFonts w:eastAsia="Times New Roman"/>
              </w:rPr>
              <w:t>project enters</w:t>
            </w:r>
            <w:r w:rsidR="004C368C">
              <w:rPr>
                <w:rFonts w:eastAsia="Times New Roman"/>
              </w:rPr>
              <w:t xml:space="preserve"> execution </w:t>
            </w:r>
            <w:r w:rsidR="00BB7661" w:rsidRPr="00A407DF">
              <w:rPr>
                <w:rFonts w:eastAsia="Times New Roman"/>
              </w:rPr>
              <w:t>in September / October 2020 </w:t>
            </w:r>
          </w:p>
        </w:tc>
        <w:tc>
          <w:tcPr>
            <w:tcW w:w="2267" w:type="dxa"/>
            <w:hideMark/>
          </w:tcPr>
          <w:p w14:paraId="50AB29EB" w14:textId="5CD8FF6E" w:rsidR="00BB7661" w:rsidRPr="00A407DF" w:rsidRDefault="6416391A" w:rsidP="70189F0B">
            <w:pP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E90AC2">
              <w:rPr>
                <w:rFonts w:asciiTheme="minorHAnsi" w:eastAsia="Times New Roman" w:hAnsiTheme="minorHAnsi" w:cs="Times New Roman"/>
              </w:rPr>
              <w:t xml:space="preserve">1 project to enter execution within </w:t>
            </w:r>
            <w:r w:rsidR="52D3EEAD" w:rsidRPr="00E90AC2">
              <w:rPr>
                <w:rFonts w:asciiTheme="minorHAnsi" w:eastAsia="Times New Roman" w:hAnsiTheme="minorHAnsi" w:cs="Times New Roman"/>
              </w:rPr>
              <w:t>15</w:t>
            </w:r>
            <w:r w:rsidRPr="00E90AC2">
              <w:rPr>
                <w:rFonts w:asciiTheme="minorHAnsi" w:eastAsia="Times New Roman" w:hAnsiTheme="minorHAnsi" w:cs="Times New Roman"/>
              </w:rPr>
              <w:t xml:space="preserve"> </w:t>
            </w:r>
            <w:r w:rsidR="52D3EEAD" w:rsidRPr="00E90AC2">
              <w:rPr>
                <w:rFonts w:asciiTheme="minorHAnsi" w:eastAsia="Times New Roman" w:hAnsiTheme="minorHAnsi" w:cs="Times New Roman"/>
              </w:rPr>
              <w:t xml:space="preserve">months </w:t>
            </w:r>
            <w:r w:rsidRPr="00E90AC2">
              <w:rPr>
                <w:rFonts w:asciiTheme="minorHAnsi" w:eastAsia="Times New Roman" w:hAnsiTheme="minorHAnsi" w:cs="Times New Roman"/>
              </w:rPr>
              <w:t xml:space="preserve">of </w:t>
            </w:r>
            <w:r w:rsidR="52D3EEAD" w:rsidRPr="00E90AC2">
              <w:rPr>
                <w:rFonts w:asciiTheme="minorHAnsi" w:eastAsia="Times New Roman" w:hAnsiTheme="minorHAnsi" w:cs="Times New Roman"/>
              </w:rPr>
              <w:t>IDB approval</w:t>
            </w:r>
          </w:p>
        </w:tc>
        <w:tc>
          <w:tcPr>
            <w:tcW w:w="3534" w:type="dxa"/>
            <w:hideMark/>
          </w:tcPr>
          <w:p w14:paraId="51740711" w14:textId="6813A59B" w:rsidR="00BB7661" w:rsidRPr="006F297E" w:rsidRDefault="006F297E" w:rsidP="4521EDEC">
            <w:pP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4521EDEC">
              <w:rPr>
                <w:rFonts w:asciiTheme="minorHAnsi" w:eastAsia="Times New Roman" w:hAnsiTheme="minorHAnsi" w:cs="Times New Roman"/>
              </w:rPr>
              <w:t>Achieved. The Panama project entered execution on 9 October 2020 when IDB made the first disbursement to the executing agency, enabling activities to begin.</w:t>
            </w:r>
          </w:p>
        </w:tc>
        <w:tc>
          <w:tcPr>
            <w:tcW w:w="566" w:type="dxa"/>
            <w:hideMark/>
          </w:tcPr>
          <w:p w14:paraId="6B400A30" w14:textId="29B91B21" w:rsidR="00BB7661" w:rsidRPr="002E79CB" w:rsidRDefault="000F0621" w:rsidP="009E7BCD">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2E79CB">
              <w:rPr>
                <w:rFonts w:eastAsia="Times New Roman"/>
                <w:b/>
                <w:bCs/>
              </w:rPr>
              <w:t>A</w:t>
            </w:r>
          </w:p>
        </w:tc>
      </w:tr>
      <w:tr w:rsidR="00E2141B" w:rsidRPr="00BB7661" w14:paraId="1876B446" w14:textId="77777777" w:rsidTr="4521EDEC">
        <w:tc>
          <w:tcPr>
            <w:cnfStyle w:val="001000000000" w:firstRow="0" w:lastRow="0" w:firstColumn="1" w:lastColumn="0" w:oddVBand="0" w:evenVBand="0" w:oddHBand="0" w:evenHBand="0" w:firstRowFirstColumn="0" w:firstRowLastColumn="0" w:lastRowFirstColumn="0" w:lastRowLastColumn="0"/>
            <w:tcW w:w="2649" w:type="dxa"/>
            <w:hideMark/>
          </w:tcPr>
          <w:p w14:paraId="625FB86D" w14:textId="54BDEE6A" w:rsidR="00BB7661" w:rsidRPr="00A407DF" w:rsidRDefault="006B4D8C" w:rsidP="00BB7661">
            <w:pPr>
              <w:textAlignment w:val="baseline"/>
              <w:rPr>
                <w:rFonts w:ascii="Times New Roman" w:eastAsia="Times New Roman" w:hAnsi="Times New Roman" w:cs="Times New Roman"/>
                <w:sz w:val="24"/>
                <w:szCs w:val="24"/>
              </w:rPr>
            </w:pPr>
            <w:r w:rsidRPr="00A407DF">
              <w:rPr>
                <w:rFonts w:eastAsia="Times New Roman"/>
              </w:rPr>
              <w:t xml:space="preserve">2.2 </w:t>
            </w:r>
            <w:r w:rsidR="00BB7661" w:rsidRPr="00A407DF">
              <w:rPr>
                <w:rFonts w:eastAsia="Times New Roman"/>
              </w:rPr>
              <w:t>Colombia project</w:t>
            </w:r>
            <w:r w:rsidR="00A407DF">
              <w:rPr>
                <w:rFonts w:eastAsia="Times New Roman"/>
              </w:rPr>
              <w:t xml:space="preserve"> enters implementation</w:t>
            </w:r>
            <w:r w:rsidR="00BB7661" w:rsidRPr="00A407DF">
              <w:rPr>
                <w:rFonts w:eastAsia="Times New Roman"/>
              </w:rPr>
              <w:t xml:space="preserve"> in March 2021 </w:t>
            </w:r>
          </w:p>
        </w:tc>
        <w:tc>
          <w:tcPr>
            <w:tcW w:w="2267" w:type="dxa"/>
            <w:hideMark/>
          </w:tcPr>
          <w:p w14:paraId="0D33148D" w14:textId="77777777" w:rsidR="00BB7661" w:rsidRPr="00A407DF" w:rsidRDefault="00BB7661" w:rsidP="00BB7661">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407DF">
              <w:rPr>
                <w:rFonts w:eastAsia="Times New Roman"/>
              </w:rPr>
              <w:t>1 project to enter implementation within 180 days of IDB approval </w:t>
            </w:r>
          </w:p>
        </w:tc>
        <w:tc>
          <w:tcPr>
            <w:tcW w:w="3534" w:type="dxa"/>
            <w:hideMark/>
          </w:tcPr>
          <w:p w14:paraId="7BA82EB9" w14:textId="0BCC0F82" w:rsidR="00BB7661" w:rsidRPr="00A407DF" w:rsidRDefault="77E1EE8A" w:rsidP="006B4D8C">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70189F0B">
              <w:rPr>
                <w:rFonts w:eastAsia="Times New Roman"/>
              </w:rPr>
              <w:t>Partially met</w:t>
            </w:r>
            <w:r w:rsidR="0E5FE519" w:rsidRPr="70189F0B">
              <w:rPr>
                <w:rFonts w:eastAsia="Times New Roman"/>
              </w:rPr>
              <w:t>.</w:t>
            </w:r>
            <w:r w:rsidRPr="70189F0B">
              <w:rPr>
                <w:rFonts w:eastAsia="Times New Roman"/>
              </w:rPr>
              <w:t xml:space="preserve"> </w:t>
            </w:r>
            <w:r w:rsidR="0E5FE519" w:rsidRPr="70189F0B">
              <w:rPr>
                <w:rFonts w:eastAsia="Times New Roman"/>
              </w:rPr>
              <w:t>T</w:t>
            </w:r>
            <w:r w:rsidRPr="70189F0B">
              <w:rPr>
                <w:rFonts w:eastAsia="Times New Roman"/>
              </w:rPr>
              <w:t xml:space="preserve">he Colombia project </w:t>
            </w:r>
            <w:r w:rsidR="2C1B5CB5" w:rsidRPr="70189F0B">
              <w:rPr>
                <w:rFonts w:eastAsia="Times New Roman"/>
              </w:rPr>
              <w:t>entered implementation</w:t>
            </w:r>
            <w:r w:rsidRPr="70189F0B">
              <w:rPr>
                <w:rFonts w:eastAsia="Times New Roman"/>
              </w:rPr>
              <w:t xml:space="preserve"> on 25 May 2021</w:t>
            </w:r>
            <w:r w:rsidR="0E5FE519" w:rsidRPr="70189F0B">
              <w:rPr>
                <w:rFonts w:eastAsia="Times New Roman"/>
              </w:rPr>
              <w:t>, 7</w:t>
            </w:r>
            <w:r w:rsidR="407D71C6" w:rsidRPr="70189F0B">
              <w:rPr>
                <w:rFonts w:eastAsia="Times New Roman"/>
              </w:rPr>
              <w:t xml:space="preserve"> months </w:t>
            </w:r>
            <w:r w:rsidR="0E5FE519" w:rsidRPr="70189F0B">
              <w:rPr>
                <w:rFonts w:eastAsia="Times New Roman"/>
              </w:rPr>
              <w:t>after</w:t>
            </w:r>
            <w:r w:rsidR="407D71C6" w:rsidRPr="70189F0B">
              <w:rPr>
                <w:rFonts w:eastAsia="Times New Roman"/>
              </w:rPr>
              <w:t xml:space="preserve"> receiving IDB board approval. </w:t>
            </w:r>
            <w:r w:rsidRPr="70189F0B">
              <w:rPr>
                <w:rFonts w:eastAsia="Times New Roman"/>
              </w:rPr>
              <w:t>The final technical consultation document was provided to Defra in Spanish.</w:t>
            </w:r>
          </w:p>
        </w:tc>
        <w:tc>
          <w:tcPr>
            <w:tcW w:w="566" w:type="dxa"/>
            <w:hideMark/>
          </w:tcPr>
          <w:p w14:paraId="7E1576AD" w14:textId="2308E0EA" w:rsidR="00BB7661" w:rsidRPr="002E79CB" w:rsidRDefault="00A40550" w:rsidP="009E7BCD">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2E79CB">
              <w:rPr>
                <w:rFonts w:eastAsia="Times New Roman"/>
                <w:b/>
                <w:bCs/>
              </w:rPr>
              <w:t>B</w:t>
            </w:r>
          </w:p>
        </w:tc>
      </w:tr>
      <w:tr w:rsidR="00E2141B" w:rsidRPr="00BB7661" w14:paraId="74D36D0D" w14:textId="77777777" w:rsidTr="4521E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9" w:type="dxa"/>
            <w:hideMark/>
          </w:tcPr>
          <w:p w14:paraId="2A281BCA" w14:textId="2A3352EB" w:rsidR="00BB7661" w:rsidRPr="00BE5B49" w:rsidRDefault="5B16F09B" w:rsidP="10B17927">
            <w:pPr>
              <w:textAlignment w:val="baseline"/>
              <w:rPr>
                <w:rFonts w:asciiTheme="minorHAnsi" w:eastAsia="Times New Roman" w:hAnsiTheme="minorHAnsi" w:cs="Times New Roman"/>
              </w:rPr>
            </w:pPr>
            <w:r w:rsidRPr="10B17927">
              <w:rPr>
                <w:rFonts w:asciiTheme="minorHAnsi" w:eastAsia="Times New Roman" w:hAnsiTheme="minorHAnsi"/>
              </w:rPr>
              <w:t>2.</w:t>
            </w:r>
            <w:r w:rsidR="006571E1">
              <w:rPr>
                <w:rFonts w:asciiTheme="minorHAnsi" w:eastAsia="Times New Roman" w:hAnsiTheme="minorHAnsi"/>
              </w:rPr>
              <w:t>3</w:t>
            </w:r>
            <w:r w:rsidRPr="10B17927">
              <w:rPr>
                <w:rFonts w:asciiTheme="minorHAnsi" w:eastAsia="Times New Roman" w:hAnsiTheme="minorHAnsi"/>
              </w:rPr>
              <w:t xml:space="preserve"> </w:t>
            </w:r>
            <w:r w:rsidR="5B870FFF" w:rsidRPr="10B17927">
              <w:rPr>
                <w:rFonts w:asciiTheme="minorHAnsi" w:eastAsia="Times New Roman" w:hAnsiTheme="minorHAnsi"/>
              </w:rPr>
              <w:t>Explore and develop alternative knowledge products to disseminate findings from the Dasgupta</w:t>
            </w:r>
            <w:r w:rsidR="52507B10" w:rsidRPr="10B17927">
              <w:rPr>
                <w:rFonts w:asciiTheme="minorHAnsi" w:eastAsia="Times New Roman" w:hAnsiTheme="minorHAnsi"/>
              </w:rPr>
              <w:t xml:space="preserve"> Review</w:t>
            </w:r>
            <w:r w:rsidR="5B870FFF" w:rsidRPr="10B17927">
              <w:rPr>
                <w:rFonts w:asciiTheme="minorHAnsi" w:eastAsia="Times New Roman" w:hAnsiTheme="minorHAnsi"/>
              </w:rPr>
              <w:t xml:space="preserve"> project. </w:t>
            </w:r>
          </w:p>
        </w:tc>
        <w:tc>
          <w:tcPr>
            <w:tcW w:w="2267" w:type="dxa"/>
            <w:hideMark/>
          </w:tcPr>
          <w:p w14:paraId="5FBED186" w14:textId="16949817" w:rsidR="00BB7661" w:rsidRPr="00BE5B49" w:rsidRDefault="00BE5B49" w:rsidP="00BB7661">
            <w:pP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BE5B49">
              <w:rPr>
                <w:rFonts w:asciiTheme="minorHAnsi" w:eastAsia="Times New Roman" w:hAnsiTheme="minorHAnsi" w:cs="Times New Roman"/>
              </w:rPr>
              <w:t>Alternative knowledge products are identified and developed.</w:t>
            </w:r>
          </w:p>
        </w:tc>
        <w:tc>
          <w:tcPr>
            <w:tcW w:w="3534" w:type="dxa"/>
            <w:hideMark/>
          </w:tcPr>
          <w:p w14:paraId="3678E3E9" w14:textId="121B3BA5" w:rsidR="00E80E07" w:rsidRPr="00BE5B49" w:rsidRDefault="52507B10" w:rsidP="10B17927">
            <w:pP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rsidRPr="10B17927">
              <w:rPr>
                <w:rFonts w:asciiTheme="minorHAnsi" w:eastAsia="Times New Roman" w:hAnsiTheme="minorHAnsi"/>
              </w:rPr>
              <w:t>Achieved.</w:t>
            </w:r>
            <w:r w:rsidR="5ABCCA0D" w:rsidRPr="10B17927">
              <w:rPr>
                <w:rFonts w:asciiTheme="minorHAnsi" w:eastAsia="Times New Roman" w:hAnsiTheme="minorHAnsi"/>
              </w:rPr>
              <w:t xml:space="preserve"> The IDB have delivered a</w:t>
            </w:r>
            <w:r w:rsidR="5ABCCA0D" w:rsidRPr="10B17927">
              <w:rPr>
                <w:rFonts w:eastAsia="Times New Roman"/>
              </w:rPr>
              <w:t xml:space="preserve"> number of knowledge dissemination products ranging </w:t>
            </w:r>
            <w:r w:rsidR="5ABCCA0D" w:rsidRPr="00E90AC2">
              <w:rPr>
                <w:rFonts w:eastAsia="Times New Roman"/>
              </w:rPr>
              <w:t>from blogs to papers to webinars</w:t>
            </w:r>
            <w:r w:rsidR="5ABCCA0D" w:rsidRPr="10B17927">
              <w:rPr>
                <w:rFonts w:asciiTheme="minorHAnsi" w:eastAsia="Times New Roman" w:hAnsiTheme="minorHAnsi"/>
              </w:rPr>
              <w:t xml:space="preserve"> (see Section 3.2.1).</w:t>
            </w:r>
          </w:p>
        </w:tc>
        <w:tc>
          <w:tcPr>
            <w:tcW w:w="566" w:type="dxa"/>
            <w:hideMark/>
          </w:tcPr>
          <w:p w14:paraId="56CC4081" w14:textId="626CC971" w:rsidR="00BB7661" w:rsidRPr="002E79CB" w:rsidRDefault="6A455EC2" w:rsidP="10B17927">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bCs/>
              </w:rPr>
            </w:pPr>
            <w:r w:rsidRPr="10B17927">
              <w:rPr>
                <w:rFonts w:asciiTheme="minorHAnsi" w:eastAsia="Times New Roman" w:hAnsiTheme="minorHAnsi"/>
                <w:b/>
                <w:bCs/>
              </w:rPr>
              <w:t>A</w:t>
            </w:r>
          </w:p>
        </w:tc>
      </w:tr>
      <w:tr w:rsidR="00E2141B" w:rsidRPr="00BB7661" w14:paraId="723A4B97" w14:textId="77777777" w:rsidTr="4521EDEC">
        <w:tc>
          <w:tcPr>
            <w:cnfStyle w:val="001000000000" w:firstRow="0" w:lastRow="0" w:firstColumn="1" w:lastColumn="0" w:oddVBand="0" w:evenVBand="0" w:oddHBand="0" w:evenHBand="0" w:firstRowFirstColumn="0" w:firstRowLastColumn="0" w:lastRowFirstColumn="0" w:lastRowLastColumn="0"/>
            <w:tcW w:w="2649" w:type="dxa"/>
            <w:hideMark/>
          </w:tcPr>
          <w:p w14:paraId="6E0B83E8" w14:textId="0E00D3DF" w:rsidR="00BB7661" w:rsidRPr="00BE5B49" w:rsidRDefault="006B4D8C" w:rsidP="00BB7661">
            <w:pPr>
              <w:textAlignment w:val="baseline"/>
              <w:rPr>
                <w:rFonts w:ascii="Times New Roman" w:eastAsia="Times New Roman" w:hAnsi="Times New Roman" w:cs="Times New Roman"/>
                <w:sz w:val="24"/>
                <w:szCs w:val="24"/>
              </w:rPr>
            </w:pPr>
            <w:r w:rsidRPr="00BE5B49">
              <w:rPr>
                <w:rFonts w:eastAsia="Times New Roman"/>
              </w:rPr>
              <w:t>2.</w:t>
            </w:r>
            <w:r w:rsidR="006571E1">
              <w:rPr>
                <w:rFonts w:eastAsia="Times New Roman"/>
              </w:rPr>
              <w:t>4</w:t>
            </w:r>
            <w:r w:rsidRPr="00BE5B49">
              <w:rPr>
                <w:rFonts w:eastAsia="Times New Roman"/>
              </w:rPr>
              <w:t xml:space="preserve"> </w:t>
            </w:r>
            <w:r w:rsidR="00E2141B">
              <w:rPr>
                <w:rFonts w:eastAsia="Times New Roman"/>
              </w:rPr>
              <w:t>Baselines, milestones and targets for all approved projects to be added to the logical framework within 3 months of IDB Board approval.</w:t>
            </w:r>
          </w:p>
        </w:tc>
        <w:tc>
          <w:tcPr>
            <w:tcW w:w="2267" w:type="dxa"/>
            <w:hideMark/>
          </w:tcPr>
          <w:p w14:paraId="4AD0429B" w14:textId="192F1FA8" w:rsidR="00BB7661" w:rsidRPr="00BE5B49" w:rsidRDefault="00C04030" w:rsidP="00BB7661">
            <w:pP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BE5B49">
              <w:rPr>
                <w:rFonts w:asciiTheme="minorHAnsi" w:eastAsia="Times New Roman" w:hAnsiTheme="minorHAnsi" w:cstheme="minorHAnsi"/>
              </w:rPr>
              <w:t>Baselines, milestones and targets for 3 approved projects (Jamaica, Panama and Colombia) are added to the logical framework.</w:t>
            </w:r>
          </w:p>
        </w:tc>
        <w:tc>
          <w:tcPr>
            <w:tcW w:w="3534" w:type="dxa"/>
            <w:hideMark/>
          </w:tcPr>
          <w:p w14:paraId="329820BB" w14:textId="4E0F19ED" w:rsidR="00BB7661" w:rsidRPr="00BE5B49" w:rsidRDefault="00BA211C" w:rsidP="00BE5B49">
            <w:pP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BE5B49">
              <w:rPr>
                <w:rFonts w:eastAsia="Times New Roman"/>
              </w:rPr>
              <w:t>Not applicable.</w:t>
            </w:r>
            <w:r w:rsidR="00BE5B49" w:rsidRPr="00BE5B49">
              <w:rPr>
                <w:rFonts w:eastAsia="Times New Roman"/>
              </w:rPr>
              <w:t xml:space="preserve"> </w:t>
            </w:r>
            <w:r w:rsidRPr="00BE5B49">
              <w:rPr>
                <w:rFonts w:eastAsia="Times New Roman"/>
              </w:rPr>
              <w:t>This indicator cannot be reported against as no final logical framework has been agreed.</w:t>
            </w:r>
          </w:p>
        </w:tc>
        <w:tc>
          <w:tcPr>
            <w:tcW w:w="566" w:type="dxa"/>
            <w:hideMark/>
          </w:tcPr>
          <w:p w14:paraId="112C7968" w14:textId="4A12E7BD" w:rsidR="00BB7661" w:rsidRPr="002E79CB" w:rsidRDefault="00BA211C" w:rsidP="009E7BCD">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2E79CB">
              <w:rPr>
                <w:rFonts w:eastAsia="Times New Roman"/>
                <w:b/>
                <w:bCs/>
              </w:rPr>
              <w:t>n/a</w:t>
            </w:r>
          </w:p>
        </w:tc>
      </w:tr>
    </w:tbl>
    <w:p w14:paraId="4172E4A1" w14:textId="0120CEC6" w:rsidR="00BB7661" w:rsidRDefault="00BB7661" w:rsidP="00BB7661">
      <w:pPr>
        <w:spacing w:after="0" w:line="240" w:lineRule="auto"/>
        <w:textAlignment w:val="baseline"/>
        <w:rPr>
          <w:rFonts w:ascii="Calibri" w:eastAsia="Times New Roman" w:hAnsi="Calibri" w:cs="Calibri"/>
          <w:color w:val="000000"/>
          <w:lang w:eastAsia="en-GB"/>
        </w:rPr>
      </w:pPr>
      <w:r w:rsidRPr="00BB7661">
        <w:rPr>
          <w:rFonts w:ascii="Calibri" w:eastAsia="Times New Roman" w:hAnsi="Calibri" w:cs="Calibri"/>
          <w:color w:val="000000"/>
          <w:lang w:eastAsia="en-GB"/>
        </w:rPr>
        <w:t> </w:t>
      </w:r>
    </w:p>
    <w:p w14:paraId="62A93ED8" w14:textId="3E846442" w:rsidR="000F0621" w:rsidRDefault="000F0621" w:rsidP="00AF04EE">
      <w:pPr>
        <w:pStyle w:val="Heading3"/>
        <w:rPr>
          <w:lang w:eastAsia="en-GB"/>
        </w:rPr>
      </w:pPr>
      <w:r>
        <w:rPr>
          <w:lang w:eastAsia="en-GB"/>
        </w:rPr>
        <w:t>Key Points</w:t>
      </w:r>
    </w:p>
    <w:p w14:paraId="78071D34" w14:textId="5F0B4006" w:rsidR="000156B2" w:rsidRDefault="000156B2" w:rsidP="00484CCF">
      <w:pPr>
        <w:jc w:val="both"/>
        <w:rPr>
          <w:lang w:eastAsia="en-GB"/>
        </w:rPr>
      </w:pPr>
      <w:r>
        <w:rPr>
          <w:lang w:eastAsia="en-GB"/>
        </w:rPr>
        <w:t>A number of commitments have been delivered well and in good time in the year 2020/21. However, the programme has also experienced a number of delays</w:t>
      </w:r>
      <w:r w:rsidR="004C5E1F">
        <w:rPr>
          <w:lang w:eastAsia="en-GB"/>
        </w:rPr>
        <w:t xml:space="preserve">. </w:t>
      </w:r>
    </w:p>
    <w:p w14:paraId="30B823AA" w14:textId="4515FFA3" w:rsidR="000F0621" w:rsidRDefault="008A758E" w:rsidP="000F0621">
      <w:pPr>
        <w:pStyle w:val="Heading4"/>
        <w:rPr>
          <w:lang w:eastAsia="en-GB"/>
        </w:rPr>
      </w:pPr>
      <w:r>
        <w:rPr>
          <w:lang w:eastAsia="en-GB"/>
        </w:rPr>
        <w:t xml:space="preserve">Progress: </w:t>
      </w:r>
      <w:r w:rsidR="000F0621">
        <w:rPr>
          <w:lang w:eastAsia="en-GB"/>
        </w:rPr>
        <w:t>Panama Project</w:t>
      </w:r>
    </w:p>
    <w:p w14:paraId="756A480A" w14:textId="293D89FA" w:rsidR="000F0621" w:rsidRDefault="04FB9CA1" w:rsidP="00484CCF">
      <w:pPr>
        <w:jc w:val="both"/>
        <w:rPr>
          <w:lang w:eastAsia="en-GB"/>
        </w:rPr>
      </w:pPr>
      <w:r w:rsidRPr="4521EDEC">
        <w:rPr>
          <w:lang w:eastAsia="en-GB"/>
        </w:rPr>
        <w:t>The project in Panama receiv</w:t>
      </w:r>
      <w:r w:rsidR="268EEB0D" w:rsidRPr="4521EDEC">
        <w:rPr>
          <w:lang w:eastAsia="en-GB"/>
        </w:rPr>
        <w:t>ed</w:t>
      </w:r>
      <w:r w:rsidR="1D687728" w:rsidRPr="4521EDEC">
        <w:rPr>
          <w:lang w:eastAsia="en-GB"/>
        </w:rPr>
        <w:t xml:space="preserve"> </w:t>
      </w:r>
      <w:r w:rsidR="00C06B7D" w:rsidRPr="4521EDEC">
        <w:rPr>
          <w:lang w:eastAsia="en-GB"/>
        </w:rPr>
        <w:t xml:space="preserve">Defra and </w:t>
      </w:r>
      <w:r w:rsidR="1D687728" w:rsidRPr="4521EDEC">
        <w:rPr>
          <w:lang w:eastAsia="en-GB"/>
        </w:rPr>
        <w:t>IDB approval</w:t>
      </w:r>
      <w:r w:rsidRPr="4521EDEC">
        <w:rPr>
          <w:lang w:eastAsia="en-GB"/>
        </w:rPr>
        <w:t xml:space="preserve"> </w:t>
      </w:r>
      <w:r w:rsidR="1D687728" w:rsidRPr="4521EDEC">
        <w:rPr>
          <w:lang w:eastAsia="en-GB"/>
        </w:rPr>
        <w:t>on</w:t>
      </w:r>
      <w:r w:rsidR="6D3FB798" w:rsidRPr="4521EDEC">
        <w:rPr>
          <w:lang w:eastAsia="en-GB"/>
        </w:rPr>
        <w:t xml:space="preserve"> </w:t>
      </w:r>
      <w:r w:rsidR="1D687728" w:rsidRPr="4521EDEC">
        <w:rPr>
          <w:lang w:eastAsia="en-GB"/>
        </w:rPr>
        <w:t xml:space="preserve">18 </w:t>
      </w:r>
      <w:r w:rsidR="6D3FB798" w:rsidRPr="4521EDEC">
        <w:rPr>
          <w:lang w:eastAsia="en-GB"/>
        </w:rPr>
        <w:t>J</w:t>
      </w:r>
      <w:r w:rsidR="6A552269" w:rsidRPr="4521EDEC">
        <w:rPr>
          <w:lang w:eastAsia="en-GB"/>
        </w:rPr>
        <w:t>anuary</w:t>
      </w:r>
      <w:r w:rsidR="6D3FB798" w:rsidRPr="4521EDEC">
        <w:rPr>
          <w:lang w:eastAsia="en-GB"/>
        </w:rPr>
        <w:t xml:space="preserve"> 2020</w:t>
      </w:r>
      <w:r w:rsidRPr="4521EDEC">
        <w:rPr>
          <w:lang w:eastAsia="en-GB"/>
        </w:rPr>
        <w:t xml:space="preserve"> </w:t>
      </w:r>
      <w:r w:rsidR="1D687728" w:rsidRPr="4521EDEC">
        <w:rPr>
          <w:lang w:eastAsia="en-GB"/>
        </w:rPr>
        <w:t>and 27 May 2020 respectively, and subsequently</w:t>
      </w:r>
      <w:r w:rsidRPr="4521EDEC">
        <w:rPr>
          <w:lang w:eastAsia="en-GB"/>
        </w:rPr>
        <w:t xml:space="preserve"> </w:t>
      </w:r>
      <w:r w:rsidR="268EEB0D" w:rsidRPr="4521EDEC">
        <w:rPr>
          <w:lang w:eastAsia="en-GB"/>
        </w:rPr>
        <w:t>entered</w:t>
      </w:r>
      <w:r w:rsidRPr="4521EDEC">
        <w:rPr>
          <w:lang w:eastAsia="en-GB"/>
        </w:rPr>
        <w:t xml:space="preserve"> implementation in </w:t>
      </w:r>
      <w:r w:rsidR="6D3FB798" w:rsidRPr="4521EDEC">
        <w:rPr>
          <w:lang w:eastAsia="en-GB"/>
        </w:rPr>
        <w:t>October 2020</w:t>
      </w:r>
      <w:r w:rsidRPr="4521EDEC">
        <w:rPr>
          <w:lang w:eastAsia="en-GB"/>
        </w:rPr>
        <w:t xml:space="preserve">. </w:t>
      </w:r>
      <w:r w:rsidR="5317094E" w:rsidRPr="4521EDEC">
        <w:rPr>
          <w:lang w:eastAsia="en-GB"/>
        </w:rPr>
        <w:t xml:space="preserve">The </w:t>
      </w:r>
      <w:r w:rsidRPr="4521EDEC">
        <w:rPr>
          <w:lang w:eastAsia="en-GB"/>
        </w:rPr>
        <w:t>project</w:t>
      </w:r>
      <w:r w:rsidR="5317094E" w:rsidRPr="4521EDEC">
        <w:rPr>
          <w:lang w:eastAsia="en-GB"/>
        </w:rPr>
        <w:t xml:space="preserve"> has progress</w:t>
      </w:r>
      <w:r w:rsidR="3F4546D4" w:rsidRPr="4521EDEC">
        <w:rPr>
          <w:lang w:eastAsia="en-GB"/>
        </w:rPr>
        <w:t>ed</w:t>
      </w:r>
      <w:r w:rsidR="5317094E" w:rsidRPr="4521EDEC">
        <w:rPr>
          <w:lang w:eastAsia="en-GB"/>
        </w:rPr>
        <w:t xml:space="preserve"> well in </w:t>
      </w:r>
      <w:r w:rsidR="0C622535" w:rsidRPr="4521EDEC">
        <w:rPr>
          <w:lang w:eastAsia="en-GB"/>
        </w:rPr>
        <w:t>2020/21</w:t>
      </w:r>
      <w:r w:rsidR="5317094E" w:rsidRPr="4521EDEC">
        <w:rPr>
          <w:lang w:eastAsia="en-GB"/>
        </w:rPr>
        <w:t xml:space="preserve">. </w:t>
      </w:r>
      <w:r w:rsidR="52600452" w:rsidRPr="4521EDEC">
        <w:rPr>
          <w:lang w:eastAsia="en-GB"/>
        </w:rPr>
        <w:t xml:space="preserve">In 2020, IDB hired and trained the National Audubon Society (NAS) as the executing agency for the project in </w:t>
      </w:r>
      <w:r w:rsidR="5317094E" w:rsidRPr="4521EDEC">
        <w:rPr>
          <w:lang w:eastAsia="en-GB"/>
        </w:rPr>
        <w:t>Panama</w:t>
      </w:r>
      <w:r w:rsidR="52600452" w:rsidRPr="4521EDEC">
        <w:rPr>
          <w:lang w:eastAsia="en-GB"/>
        </w:rPr>
        <w:t xml:space="preserve">. </w:t>
      </w:r>
      <w:r w:rsidR="5317094E" w:rsidRPr="4521EDEC">
        <w:rPr>
          <w:lang w:eastAsia="en-GB"/>
        </w:rPr>
        <w:t xml:space="preserve">The </w:t>
      </w:r>
      <w:r w:rsidR="52600452" w:rsidRPr="4521EDEC">
        <w:rPr>
          <w:lang w:eastAsia="en-GB"/>
        </w:rPr>
        <w:t xml:space="preserve">NAS works closely with local agency Sociedad Audubon de Panamá (SAP) to implement the project. </w:t>
      </w:r>
      <w:r w:rsidR="5317094E" w:rsidRPr="4521EDEC">
        <w:rPr>
          <w:lang w:eastAsia="en-GB"/>
        </w:rPr>
        <w:t>The IDB’s Natural Capital Lab (NCL) convened a number of training sessions in all IDB reporting processes, including financial, procurement, and auditing, to ensure the executing agency remained in compliance with IDB policies and procedures.</w:t>
      </w:r>
    </w:p>
    <w:p w14:paraId="2A9CF37E" w14:textId="77777777" w:rsidR="009F4F9B" w:rsidRDefault="5B4C594A" w:rsidP="00484CCF">
      <w:pPr>
        <w:jc w:val="both"/>
        <w:rPr>
          <w:lang w:eastAsia="en-GB"/>
        </w:rPr>
      </w:pPr>
      <w:r w:rsidRPr="4521EDEC">
        <w:rPr>
          <w:lang w:eastAsia="en-GB"/>
        </w:rPr>
        <w:t>During the negotiation process with the executing agency, concerns regarding intellectual property rights arose, signalling the need for further involvement of the legal department in finalising the contract. The operation also required close coordination amongst the NAS, SAP, IDB headquarters, and IDB’s in-country office in Panama. The negotiation process took approximately six months</w:t>
      </w:r>
      <w:r w:rsidR="009F4F9B" w:rsidRPr="4521EDEC">
        <w:rPr>
          <w:lang w:eastAsia="en-GB"/>
        </w:rPr>
        <w:t>.</w:t>
      </w:r>
    </w:p>
    <w:p w14:paraId="15EF2F9B" w14:textId="6235E8D6" w:rsidR="008E040C" w:rsidRDefault="5B4C594A" w:rsidP="00484CCF">
      <w:pPr>
        <w:jc w:val="both"/>
        <w:rPr>
          <w:lang w:eastAsia="en-GB"/>
        </w:rPr>
      </w:pPr>
      <w:r w:rsidRPr="0BDD4FF3">
        <w:rPr>
          <w:lang w:eastAsia="en-GB"/>
        </w:rPr>
        <w:t xml:space="preserve">The project in Panama is now in execution and </w:t>
      </w:r>
      <w:r w:rsidR="008E040C" w:rsidRPr="0BDD4FF3">
        <w:rPr>
          <w:lang w:eastAsia="en-GB"/>
        </w:rPr>
        <w:t>the following activities are underway:</w:t>
      </w:r>
    </w:p>
    <w:p w14:paraId="65EF29D2" w14:textId="26AB2944" w:rsidR="00D827A4" w:rsidRDefault="008E040C" w:rsidP="00D33DD9">
      <w:pPr>
        <w:pStyle w:val="ListParagraph"/>
        <w:numPr>
          <w:ilvl w:val="0"/>
          <w:numId w:val="13"/>
        </w:numPr>
        <w:jc w:val="both"/>
        <w:rPr>
          <w:lang w:eastAsia="en-GB"/>
        </w:rPr>
      </w:pPr>
      <w:r>
        <w:rPr>
          <w:lang w:eastAsia="en-GB"/>
        </w:rPr>
        <w:lastRenderedPageBreak/>
        <w:t>D</w:t>
      </w:r>
      <w:r w:rsidR="00DD48A4">
        <w:rPr>
          <w:lang w:eastAsia="en-GB"/>
        </w:rPr>
        <w:t>eliver robust science to establish Blue Carbon Baselines for Panama’s mangroves. This includes the development and analysis of GIS mapping of mangrove and land use cover in the Bay of Parita and Bay of Panama. The Blue Carbon assessment is expected to be completed by December 2021</w:t>
      </w:r>
      <w:r>
        <w:rPr>
          <w:lang w:eastAsia="en-GB"/>
        </w:rPr>
        <w:t>.</w:t>
      </w:r>
    </w:p>
    <w:p w14:paraId="382A700F" w14:textId="0DE1FD27" w:rsidR="00DD48A4" w:rsidRPr="00E90AC2" w:rsidRDefault="06BEC8B9" w:rsidP="00D33DD9">
      <w:pPr>
        <w:pStyle w:val="ListParagraph"/>
        <w:numPr>
          <w:ilvl w:val="0"/>
          <w:numId w:val="9"/>
        </w:numPr>
        <w:jc w:val="both"/>
        <w:rPr>
          <w:lang w:eastAsia="en-GB"/>
        </w:rPr>
      </w:pPr>
      <w:r w:rsidRPr="4521EDEC">
        <w:rPr>
          <w:lang w:eastAsia="en-GB"/>
        </w:rPr>
        <w:t xml:space="preserve">Maintenance of the Eddy Flux Tower. </w:t>
      </w:r>
      <w:r w:rsidR="3AF7B75E" w:rsidRPr="4521EDEC">
        <w:rPr>
          <w:lang w:eastAsia="en-GB"/>
        </w:rPr>
        <w:t>Representatives from the Ministry of Health</w:t>
      </w:r>
      <w:r w:rsidR="5400719D" w:rsidRPr="4521EDEC">
        <w:rPr>
          <w:lang w:eastAsia="en-GB"/>
        </w:rPr>
        <w:t xml:space="preserve">, Panama Audubon, and </w:t>
      </w:r>
      <w:r w:rsidR="5400719D">
        <w:t>Universidad Tecnológica de Panamá visited the Eddy Flux Monitoring Tower to assess repairs. Once repaired, the tower will conduct research for the Panama project.</w:t>
      </w:r>
    </w:p>
    <w:p w14:paraId="31194EA2" w14:textId="2235D6FE" w:rsidR="63B8E9F6" w:rsidRPr="00236741" w:rsidRDefault="18325D16" w:rsidP="00D33DD9">
      <w:pPr>
        <w:pStyle w:val="ListParagraph"/>
        <w:numPr>
          <w:ilvl w:val="0"/>
          <w:numId w:val="9"/>
        </w:numPr>
        <w:jc w:val="both"/>
        <w:rPr>
          <w:lang w:eastAsia="en-GB"/>
        </w:rPr>
      </w:pPr>
      <w:r w:rsidRPr="00236741">
        <w:rPr>
          <w:lang w:eastAsia="en-GB"/>
        </w:rPr>
        <w:t xml:space="preserve">Research studies on </w:t>
      </w:r>
      <w:r w:rsidR="004C14D4" w:rsidRPr="00236741">
        <w:rPr>
          <w:lang w:eastAsia="en-GB"/>
        </w:rPr>
        <w:t xml:space="preserve">the mangrove ecosystems in the Bay of Parita were undertaken in 2020/21 and are expected to be published in Q4 2021. </w:t>
      </w:r>
    </w:p>
    <w:p w14:paraId="7597F1E7" w14:textId="101752AA" w:rsidR="000F0621" w:rsidRDefault="008A758E" w:rsidP="000F0621">
      <w:pPr>
        <w:pStyle w:val="Heading4"/>
        <w:rPr>
          <w:lang w:eastAsia="en-GB"/>
        </w:rPr>
      </w:pPr>
      <w:r>
        <w:rPr>
          <w:lang w:eastAsia="en-GB"/>
        </w:rPr>
        <w:t xml:space="preserve">Progress: </w:t>
      </w:r>
      <w:r w:rsidR="000F0621">
        <w:rPr>
          <w:lang w:eastAsia="en-GB"/>
        </w:rPr>
        <w:t>Jamaica Project</w:t>
      </w:r>
    </w:p>
    <w:p w14:paraId="1463B4DE" w14:textId="2D61B073" w:rsidR="000F0621" w:rsidRPr="000868C8" w:rsidRDefault="733E6750" w:rsidP="00484CCF">
      <w:pPr>
        <w:jc w:val="both"/>
        <w:rPr>
          <w:lang w:eastAsia="en-GB"/>
        </w:rPr>
      </w:pPr>
      <w:r w:rsidRPr="10B17927">
        <w:rPr>
          <w:lang w:eastAsia="en-GB"/>
        </w:rPr>
        <w:t>The projec</w:t>
      </w:r>
      <w:r w:rsidR="3B61BEB7" w:rsidRPr="10B17927">
        <w:rPr>
          <w:lang w:eastAsia="en-GB"/>
        </w:rPr>
        <w:t>t in Jamaica</w:t>
      </w:r>
      <w:r w:rsidR="7EF1F476" w:rsidRPr="10B17927">
        <w:rPr>
          <w:lang w:eastAsia="en-GB"/>
        </w:rPr>
        <w:t xml:space="preserve"> receiv</w:t>
      </w:r>
      <w:r w:rsidR="54FACB3D" w:rsidRPr="10B17927">
        <w:rPr>
          <w:lang w:eastAsia="en-GB"/>
        </w:rPr>
        <w:t>ed</w:t>
      </w:r>
      <w:r w:rsidR="7EF1F476" w:rsidRPr="10B17927">
        <w:rPr>
          <w:lang w:eastAsia="en-GB"/>
        </w:rPr>
        <w:t xml:space="preserve"> IDB eligibility in January 2020 and </w:t>
      </w:r>
      <w:r w:rsidR="54FACB3D" w:rsidRPr="10B17927">
        <w:rPr>
          <w:lang w:eastAsia="en-GB"/>
        </w:rPr>
        <w:t>entered</w:t>
      </w:r>
      <w:r w:rsidR="7EF1F476" w:rsidRPr="10B17927">
        <w:rPr>
          <w:lang w:eastAsia="en-GB"/>
        </w:rPr>
        <w:t xml:space="preserve"> implementation in August 2020. The project</w:t>
      </w:r>
      <w:r w:rsidR="3B61BEB7" w:rsidRPr="10B17927">
        <w:rPr>
          <w:lang w:eastAsia="en-GB"/>
        </w:rPr>
        <w:t xml:space="preserve"> </w:t>
      </w:r>
      <w:r w:rsidRPr="10B17927">
        <w:rPr>
          <w:lang w:eastAsia="en-GB"/>
        </w:rPr>
        <w:t xml:space="preserve">has experienced some delays </w:t>
      </w:r>
      <w:r w:rsidR="68EE0793" w:rsidRPr="10B17927">
        <w:rPr>
          <w:lang w:eastAsia="en-GB"/>
        </w:rPr>
        <w:t>in the period 2020/2021</w:t>
      </w:r>
      <w:r w:rsidR="004C14D4">
        <w:rPr>
          <w:lang w:eastAsia="en-GB"/>
        </w:rPr>
        <w:t xml:space="preserve"> </w:t>
      </w:r>
      <w:r w:rsidRPr="10B17927">
        <w:rPr>
          <w:lang w:eastAsia="en-GB"/>
        </w:rPr>
        <w:t>due to the impacts of the COVID-19 pandemic.</w:t>
      </w:r>
      <w:r w:rsidR="016D2377" w:rsidRPr="10B17927">
        <w:rPr>
          <w:lang w:eastAsia="en-GB"/>
        </w:rPr>
        <w:t xml:space="preserve"> Restrictions</w:t>
      </w:r>
      <w:r w:rsidR="1892C99D" w:rsidRPr="10B17927">
        <w:rPr>
          <w:lang w:eastAsia="en-GB"/>
        </w:rPr>
        <w:t xml:space="preserve"> implemented by the Government of Jamaica throughout 2020 and 2021 have included extensive curfews and lockdowns. This has restricted the movement of people across the country</w:t>
      </w:r>
      <w:r w:rsidRPr="10B17927">
        <w:rPr>
          <w:lang w:eastAsia="en-GB"/>
        </w:rPr>
        <w:t xml:space="preserve">, slowing the implementation process. </w:t>
      </w:r>
      <w:r w:rsidR="00791E12">
        <w:rPr>
          <w:lang w:eastAsia="en-GB"/>
        </w:rPr>
        <w:t xml:space="preserve">Global supply chains have also been disrupted, causing some activities to be delayed until December 2021. </w:t>
      </w:r>
      <w:r w:rsidRPr="10B17927">
        <w:rPr>
          <w:lang w:eastAsia="en-GB"/>
        </w:rPr>
        <w:t>The following planned activities in particular have been affected:</w:t>
      </w:r>
    </w:p>
    <w:p w14:paraId="5CF11CEC" w14:textId="5FE89504" w:rsidR="001E65E9" w:rsidRPr="000868C8" w:rsidRDefault="001E65E9" w:rsidP="00D33DD9">
      <w:pPr>
        <w:pStyle w:val="ListParagraph"/>
        <w:numPr>
          <w:ilvl w:val="0"/>
          <w:numId w:val="8"/>
        </w:numPr>
        <w:jc w:val="both"/>
        <w:rPr>
          <w:lang w:eastAsia="en-GB"/>
        </w:rPr>
      </w:pPr>
      <w:r w:rsidRPr="000868C8">
        <w:rPr>
          <w:lang w:eastAsia="en-GB"/>
        </w:rPr>
        <w:t>The Environmental Impact Assessment (EIA) required for restoration activities as part of the due diligence under the environmental regulations for Jamaica has not taken place</w:t>
      </w:r>
      <w:r w:rsidR="000868C8" w:rsidRPr="000868C8">
        <w:rPr>
          <w:lang w:eastAsia="en-GB"/>
        </w:rPr>
        <w:t xml:space="preserve"> and is delayed to 2021</w:t>
      </w:r>
      <w:r w:rsidRPr="000868C8">
        <w:rPr>
          <w:lang w:eastAsia="en-GB"/>
        </w:rPr>
        <w:t>.</w:t>
      </w:r>
    </w:p>
    <w:p w14:paraId="2198F309" w14:textId="77777777" w:rsidR="005017D5" w:rsidRDefault="001E65E9" w:rsidP="00D33DD9">
      <w:pPr>
        <w:pStyle w:val="ListParagraph"/>
        <w:numPr>
          <w:ilvl w:val="0"/>
          <w:numId w:val="8"/>
        </w:numPr>
        <w:jc w:val="both"/>
        <w:rPr>
          <w:lang w:eastAsia="en-GB"/>
        </w:rPr>
      </w:pPr>
      <w:r w:rsidRPr="000868C8">
        <w:rPr>
          <w:lang w:eastAsia="en-GB"/>
        </w:rPr>
        <w:t>The design of the project</w:t>
      </w:r>
      <w:r w:rsidR="000868C8" w:rsidRPr="000868C8">
        <w:rPr>
          <w:lang w:eastAsia="en-GB"/>
        </w:rPr>
        <w:t>’s</w:t>
      </w:r>
      <w:r w:rsidRPr="000868C8">
        <w:rPr>
          <w:lang w:eastAsia="en-GB"/>
        </w:rPr>
        <w:t xml:space="preserve"> </w:t>
      </w:r>
      <w:r w:rsidR="000868C8" w:rsidRPr="000868C8">
        <w:rPr>
          <w:lang w:eastAsia="en-GB"/>
        </w:rPr>
        <w:t>a</w:t>
      </w:r>
      <w:r w:rsidRPr="000868C8">
        <w:rPr>
          <w:lang w:eastAsia="en-GB"/>
        </w:rPr>
        <w:t xml:space="preserve">ction </w:t>
      </w:r>
      <w:r w:rsidR="000868C8" w:rsidRPr="000868C8">
        <w:rPr>
          <w:lang w:eastAsia="en-GB"/>
        </w:rPr>
        <w:t>p</w:t>
      </w:r>
      <w:r w:rsidRPr="000868C8">
        <w:rPr>
          <w:lang w:eastAsia="en-GB"/>
        </w:rPr>
        <w:t>lan,</w:t>
      </w:r>
      <w:r w:rsidR="000868C8" w:rsidRPr="000868C8">
        <w:rPr>
          <w:lang w:eastAsia="en-GB"/>
        </w:rPr>
        <w:t xml:space="preserve"> project implementation, and related training workshops for community members to help with the restoration of mangrove forests </w:t>
      </w:r>
      <w:r w:rsidR="000868C8">
        <w:rPr>
          <w:lang w:eastAsia="en-GB"/>
        </w:rPr>
        <w:t>have</w:t>
      </w:r>
      <w:r w:rsidR="000868C8" w:rsidRPr="000868C8">
        <w:rPr>
          <w:lang w:eastAsia="en-GB"/>
        </w:rPr>
        <w:t xml:space="preserve"> not taken place and is delayed to 2021.</w:t>
      </w:r>
      <w:r w:rsidR="005017D5">
        <w:rPr>
          <w:lang w:eastAsia="en-GB"/>
        </w:rPr>
        <w:t xml:space="preserve"> </w:t>
      </w:r>
    </w:p>
    <w:p w14:paraId="5BE72A91" w14:textId="21F3D0AB" w:rsidR="000868C8" w:rsidRDefault="000868C8" w:rsidP="00D33DD9">
      <w:pPr>
        <w:pStyle w:val="ListParagraph"/>
        <w:numPr>
          <w:ilvl w:val="0"/>
          <w:numId w:val="8"/>
        </w:numPr>
        <w:jc w:val="both"/>
        <w:rPr>
          <w:lang w:eastAsia="en-GB"/>
        </w:rPr>
      </w:pPr>
      <w:r w:rsidRPr="000868C8">
        <w:rPr>
          <w:lang w:eastAsia="en-GB"/>
        </w:rPr>
        <w:t>The development of the training programme has not taken place and is delayed to 2021.</w:t>
      </w:r>
    </w:p>
    <w:p w14:paraId="4ECBE540" w14:textId="4C439E70" w:rsidR="00AE69AB" w:rsidRPr="000868C8" w:rsidRDefault="000868C8" w:rsidP="00D33DD9">
      <w:pPr>
        <w:pStyle w:val="ListParagraph"/>
        <w:numPr>
          <w:ilvl w:val="0"/>
          <w:numId w:val="8"/>
        </w:numPr>
        <w:jc w:val="both"/>
        <w:rPr>
          <w:lang w:eastAsia="en-GB"/>
        </w:rPr>
      </w:pPr>
      <w:r w:rsidRPr="000868C8">
        <w:rPr>
          <w:lang w:eastAsia="en-GB"/>
        </w:rPr>
        <w:t>The design and implementation of the communication strategy for the project has not taken place and is delayed to 2021.</w:t>
      </w:r>
    </w:p>
    <w:p w14:paraId="79ED7747" w14:textId="25404CE2" w:rsidR="000868C8" w:rsidRDefault="5425EBAA" w:rsidP="00484CCF">
      <w:pPr>
        <w:jc w:val="both"/>
        <w:rPr>
          <w:lang w:eastAsia="en-GB"/>
        </w:rPr>
      </w:pPr>
      <w:r w:rsidRPr="10B17927">
        <w:rPr>
          <w:lang w:eastAsia="en-GB"/>
        </w:rPr>
        <w:t xml:space="preserve">The executing agency has considered the use of virtual training, but this has not yet been decided. </w:t>
      </w:r>
      <w:r w:rsidR="1892C99D" w:rsidRPr="10B17927">
        <w:rPr>
          <w:lang w:eastAsia="en-GB"/>
        </w:rPr>
        <w:t>Digital connectivity in Jamaica is limited and many stakeholders do not have the digital capacity to engage in virtual activities. Jamaica is working to expand its digital capacity to respond to the challenges of virtual</w:t>
      </w:r>
      <w:r w:rsidR="5E860EF7" w:rsidRPr="10B17927">
        <w:rPr>
          <w:lang w:eastAsia="en-GB"/>
        </w:rPr>
        <w:t xml:space="preserve"> working pushed by the</w:t>
      </w:r>
      <w:r w:rsidR="1892C99D" w:rsidRPr="10B17927">
        <w:rPr>
          <w:lang w:eastAsia="en-GB"/>
        </w:rPr>
        <w:t xml:space="preserve"> impacts of the Covid-19 pandemic </w:t>
      </w:r>
      <w:r w:rsidR="5E860EF7" w:rsidRPr="10B17927">
        <w:rPr>
          <w:lang w:eastAsia="en-GB"/>
        </w:rPr>
        <w:t>and subsequent restrictions.</w:t>
      </w:r>
    </w:p>
    <w:p w14:paraId="2EC8DA9F" w14:textId="1F451BEF" w:rsidR="00F205F3" w:rsidRDefault="310BA4A6" w:rsidP="00484CCF">
      <w:pPr>
        <w:jc w:val="both"/>
        <w:rPr>
          <w:lang w:eastAsia="en-GB"/>
        </w:rPr>
      </w:pPr>
      <w:r w:rsidRPr="09DEFDC0">
        <w:rPr>
          <w:lang w:eastAsia="en-GB"/>
        </w:rPr>
        <w:t xml:space="preserve">Despite these setbacks, </w:t>
      </w:r>
      <w:r w:rsidR="69755F45" w:rsidRPr="09DEFDC0">
        <w:rPr>
          <w:lang w:eastAsia="en-GB"/>
        </w:rPr>
        <w:t>the IDB made its first disbursement to the executing agency, SODECO, on 9 October 2020</w:t>
      </w:r>
      <w:r w:rsidRPr="09DEFDC0">
        <w:rPr>
          <w:lang w:eastAsia="en-GB"/>
        </w:rPr>
        <w:t xml:space="preserve">, enabling </w:t>
      </w:r>
      <w:r w:rsidR="69755F45" w:rsidRPr="09DEFDC0">
        <w:rPr>
          <w:lang w:eastAsia="en-GB"/>
        </w:rPr>
        <w:t xml:space="preserve">some activities on the ground </w:t>
      </w:r>
      <w:r w:rsidRPr="09DEFDC0">
        <w:rPr>
          <w:lang w:eastAsia="en-GB"/>
        </w:rPr>
        <w:t xml:space="preserve">to </w:t>
      </w:r>
      <w:r w:rsidR="69755F45" w:rsidRPr="09DEFDC0">
        <w:rPr>
          <w:lang w:eastAsia="en-GB"/>
        </w:rPr>
        <w:t xml:space="preserve">take place and </w:t>
      </w:r>
      <w:r w:rsidRPr="09DEFDC0">
        <w:rPr>
          <w:lang w:eastAsia="en-GB"/>
        </w:rPr>
        <w:t xml:space="preserve">progressing </w:t>
      </w:r>
      <w:r w:rsidR="69755F45" w:rsidRPr="09DEFDC0">
        <w:rPr>
          <w:lang w:eastAsia="en-GB"/>
        </w:rPr>
        <w:t>the project to the execution phase. The following activities have since taken place:</w:t>
      </w:r>
    </w:p>
    <w:p w14:paraId="60F309C2" w14:textId="14027B71" w:rsidR="007B54D8" w:rsidRDefault="00B50028" w:rsidP="00D33DD9">
      <w:pPr>
        <w:pStyle w:val="ListParagraph"/>
        <w:numPr>
          <w:ilvl w:val="0"/>
          <w:numId w:val="9"/>
        </w:numPr>
        <w:jc w:val="both"/>
        <w:rPr>
          <w:lang w:eastAsia="en-GB"/>
        </w:rPr>
      </w:pPr>
      <w:r w:rsidRPr="4521EDEC">
        <w:rPr>
          <w:lang w:eastAsia="en-GB"/>
        </w:rPr>
        <w:t xml:space="preserve">procurement processes </w:t>
      </w:r>
      <w:r w:rsidR="00F205F3" w:rsidRPr="4521EDEC">
        <w:rPr>
          <w:lang w:eastAsia="en-GB"/>
        </w:rPr>
        <w:t xml:space="preserve">commenced in January 2021 and </w:t>
      </w:r>
      <w:r w:rsidRPr="4521EDEC">
        <w:rPr>
          <w:lang w:eastAsia="en-GB"/>
        </w:rPr>
        <w:t xml:space="preserve">expressions of interest </w:t>
      </w:r>
      <w:r w:rsidR="001E65E9" w:rsidRPr="4521EDEC">
        <w:rPr>
          <w:lang w:eastAsia="en-GB"/>
        </w:rPr>
        <w:t>have been</w:t>
      </w:r>
      <w:r w:rsidRPr="4521EDEC">
        <w:rPr>
          <w:lang w:eastAsia="en-GB"/>
        </w:rPr>
        <w:t xml:space="preserve"> received from consultancy firms. </w:t>
      </w:r>
    </w:p>
    <w:p w14:paraId="288B083A" w14:textId="2A3017CA" w:rsidR="00F205F3" w:rsidRDefault="00F205F3" w:rsidP="00D33DD9">
      <w:pPr>
        <w:pStyle w:val="ListParagraph"/>
        <w:numPr>
          <w:ilvl w:val="0"/>
          <w:numId w:val="9"/>
        </w:numPr>
        <w:jc w:val="both"/>
        <w:rPr>
          <w:lang w:eastAsia="en-GB"/>
        </w:rPr>
      </w:pPr>
      <w:r>
        <w:rPr>
          <w:lang w:eastAsia="en-GB"/>
        </w:rPr>
        <w:t xml:space="preserve">Sensitization programme began with the production of a </w:t>
      </w:r>
      <w:hyperlink r:id="rId19" w:history="1">
        <w:r w:rsidRPr="0075377D">
          <w:rPr>
            <w:rStyle w:val="Hyperlink"/>
            <w:lang w:eastAsia="en-GB"/>
          </w:rPr>
          <w:t>video on mangrove restoration</w:t>
        </w:r>
      </w:hyperlink>
      <w:r>
        <w:rPr>
          <w:lang w:eastAsia="en-GB"/>
        </w:rPr>
        <w:t xml:space="preserve"> in February 2021. The video was completed in March 2021.</w:t>
      </w:r>
    </w:p>
    <w:p w14:paraId="27594DF0" w14:textId="1A49AA21" w:rsidR="0075377D" w:rsidRPr="0075377D" w:rsidRDefault="36B9BB59" w:rsidP="00D33DD9">
      <w:pPr>
        <w:pStyle w:val="ListParagraph"/>
        <w:numPr>
          <w:ilvl w:val="0"/>
          <w:numId w:val="8"/>
        </w:numPr>
        <w:jc w:val="both"/>
        <w:rPr>
          <w:color w:val="FF0000"/>
          <w:lang w:eastAsia="en-GB"/>
        </w:rPr>
      </w:pPr>
      <w:r w:rsidRPr="00E90AC2">
        <w:rPr>
          <w:lang w:eastAsia="en-GB"/>
        </w:rPr>
        <w:t xml:space="preserve">Creation of the </w:t>
      </w:r>
      <w:hyperlink r:id="rId20" w:history="1">
        <w:r w:rsidRPr="00E90AC2">
          <w:rPr>
            <w:rStyle w:val="Hyperlink"/>
            <w:lang w:eastAsia="en-GB"/>
          </w:rPr>
          <w:t>webpage</w:t>
        </w:r>
      </w:hyperlink>
      <w:r w:rsidRPr="00E90AC2">
        <w:rPr>
          <w:color w:val="FF0000"/>
          <w:lang w:eastAsia="en-GB"/>
        </w:rPr>
        <w:t xml:space="preserve"> </w:t>
      </w:r>
      <w:r w:rsidRPr="00E90AC2">
        <w:rPr>
          <w:lang w:eastAsia="en-GB"/>
        </w:rPr>
        <w:t>for the project commenced in April 2021.</w:t>
      </w:r>
    </w:p>
    <w:p w14:paraId="38E07C5D" w14:textId="26BF1C2D" w:rsidR="000F0621" w:rsidRDefault="008A758E" w:rsidP="000F0621">
      <w:pPr>
        <w:pStyle w:val="Heading4"/>
        <w:rPr>
          <w:lang w:eastAsia="en-GB"/>
        </w:rPr>
      </w:pPr>
      <w:r>
        <w:rPr>
          <w:lang w:eastAsia="en-GB"/>
        </w:rPr>
        <w:t xml:space="preserve">Progress: </w:t>
      </w:r>
      <w:r w:rsidR="000F0621">
        <w:rPr>
          <w:lang w:eastAsia="en-GB"/>
        </w:rPr>
        <w:t>Colombia Project</w:t>
      </w:r>
    </w:p>
    <w:p w14:paraId="0345DD55" w14:textId="634DCDBC" w:rsidR="00A00653" w:rsidRPr="00016553" w:rsidRDefault="3CDF0414" w:rsidP="00484CCF">
      <w:pPr>
        <w:jc w:val="both"/>
        <w:rPr>
          <w:color w:val="FF0000"/>
          <w:lang w:eastAsia="en-GB"/>
        </w:rPr>
      </w:pPr>
      <w:r w:rsidRPr="00E90AC2">
        <w:rPr>
          <w:lang w:eastAsia="en-GB"/>
        </w:rPr>
        <w:t xml:space="preserve">The project in Colombia entered implementation </w:t>
      </w:r>
      <w:r w:rsidR="42AD1CEC" w:rsidRPr="00E90AC2">
        <w:rPr>
          <w:lang w:eastAsia="en-GB"/>
        </w:rPr>
        <w:t>on 2</w:t>
      </w:r>
      <w:r w:rsidR="11A4F7E5" w:rsidRPr="00E90AC2">
        <w:rPr>
          <w:lang w:eastAsia="en-GB"/>
        </w:rPr>
        <w:t>5</w:t>
      </w:r>
      <w:r w:rsidR="42AD1CEC" w:rsidRPr="00E90AC2">
        <w:rPr>
          <w:lang w:eastAsia="en-GB"/>
        </w:rPr>
        <w:t xml:space="preserve"> May 2021, after receiving IDB </w:t>
      </w:r>
      <w:r w:rsidR="11A4F7E5" w:rsidRPr="00E90AC2">
        <w:rPr>
          <w:lang w:eastAsia="en-GB"/>
        </w:rPr>
        <w:t>Board approval</w:t>
      </w:r>
      <w:r w:rsidR="42AD1CEC" w:rsidRPr="00E90AC2">
        <w:rPr>
          <w:lang w:eastAsia="en-GB"/>
        </w:rPr>
        <w:t xml:space="preserve">. This comes </w:t>
      </w:r>
      <w:r w:rsidR="16C874A2" w:rsidRPr="00E90AC2">
        <w:rPr>
          <w:lang w:eastAsia="en-GB"/>
        </w:rPr>
        <w:t>7</w:t>
      </w:r>
      <w:r w:rsidR="42AD1CEC" w:rsidRPr="00E90AC2">
        <w:rPr>
          <w:lang w:eastAsia="en-GB"/>
        </w:rPr>
        <w:t xml:space="preserve"> months after receiving IDB </w:t>
      </w:r>
      <w:r w:rsidR="11A4F7E5" w:rsidRPr="00E90AC2">
        <w:rPr>
          <w:lang w:eastAsia="en-GB"/>
        </w:rPr>
        <w:t>eligibility</w:t>
      </w:r>
      <w:r w:rsidR="42AD1CEC" w:rsidRPr="00E90AC2">
        <w:rPr>
          <w:lang w:eastAsia="en-GB"/>
        </w:rPr>
        <w:t xml:space="preserve"> </w:t>
      </w:r>
      <w:r w:rsidR="16C874A2" w:rsidRPr="00E90AC2">
        <w:rPr>
          <w:lang w:eastAsia="en-GB"/>
        </w:rPr>
        <w:t>on 23</w:t>
      </w:r>
      <w:r w:rsidR="42AD1CEC" w:rsidRPr="00E90AC2">
        <w:rPr>
          <w:lang w:eastAsia="en-GB"/>
        </w:rPr>
        <w:t xml:space="preserve"> </w:t>
      </w:r>
      <w:r w:rsidR="11A4F7E5" w:rsidRPr="00E90AC2">
        <w:rPr>
          <w:lang w:eastAsia="en-GB"/>
        </w:rPr>
        <w:t>November</w:t>
      </w:r>
      <w:r w:rsidR="16C874A2" w:rsidRPr="00E90AC2">
        <w:rPr>
          <w:lang w:eastAsia="en-GB"/>
        </w:rPr>
        <w:t xml:space="preserve"> 2020</w:t>
      </w:r>
      <w:r w:rsidR="72F15357" w:rsidRPr="00E90AC2">
        <w:rPr>
          <w:lang w:eastAsia="en-GB"/>
        </w:rPr>
        <w:t xml:space="preserve">, </w:t>
      </w:r>
      <w:r w:rsidR="42AD1CEC" w:rsidRPr="00E90AC2">
        <w:rPr>
          <w:lang w:eastAsia="en-GB"/>
        </w:rPr>
        <w:t xml:space="preserve">and </w:t>
      </w:r>
      <w:r w:rsidR="37414C71" w:rsidRPr="00E90AC2">
        <w:rPr>
          <w:lang w:eastAsia="en-GB"/>
        </w:rPr>
        <w:t>14</w:t>
      </w:r>
      <w:r w:rsidR="42AD1CEC" w:rsidRPr="00E90AC2">
        <w:rPr>
          <w:lang w:eastAsia="en-GB"/>
        </w:rPr>
        <w:t xml:space="preserve"> months after Defra </w:t>
      </w:r>
      <w:r w:rsidR="127A364C" w:rsidRPr="00E90AC2">
        <w:rPr>
          <w:lang w:eastAsia="en-GB"/>
        </w:rPr>
        <w:t>approved the proposal</w:t>
      </w:r>
      <w:r w:rsidR="42AD1CEC" w:rsidRPr="00E90AC2">
        <w:rPr>
          <w:lang w:eastAsia="en-GB"/>
        </w:rPr>
        <w:t xml:space="preserve"> in April 2020. </w:t>
      </w:r>
      <w:r w:rsidR="16C874A2" w:rsidRPr="00E90AC2">
        <w:rPr>
          <w:lang w:eastAsia="en-GB"/>
        </w:rPr>
        <w:t>The IDB is arranging agreements with the executing agencies and the</w:t>
      </w:r>
      <w:r w:rsidR="127A364C" w:rsidRPr="00E90AC2">
        <w:rPr>
          <w:lang w:eastAsia="en-GB"/>
        </w:rPr>
        <w:t xml:space="preserve"> project is expected to enter execution in </w:t>
      </w:r>
      <w:r w:rsidR="2EE85F73" w:rsidRPr="00E90AC2">
        <w:rPr>
          <w:lang w:eastAsia="en-GB"/>
        </w:rPr>
        <w:t>the first quarter of 2022</w:t>
      </w:r>
      <w:r w:rsidR="127A364C" w:rsidRPr="00E90AC2">
        <w:rPr>
          <w:lang w:eastAsia="en-GB"/>
        </w:rPr>
        <w:t xml:space="preserve">. </w:t>
      </w:r>
    </w:p>
    <w:p w14:paraId="18B8330B" w14:textId="594A86D5" w:rsidR="000F0621" w:rsidRDefault="008A758E" w:rsidP="000F0621">
      <w:pPr>
        <w:pStyle w:val="Heading4"/>
        <w:rPr>
          <w:lang w:eastAsia="en-GB"/>
        </w:rPr>
      </w:pPr>
      <w:r>
        <w:rPr>
          <w:lang w:eastAsia="en-GB"/>
        </w:rPr>
        <w:lastRenderedPageBreak/>
        <w:t xml:space="preserve">Progress: </w:t>
      </w:r>
      <w:r w:rsidR="000F0621">
        <w:rPr>
          <w:lang w:eastAsia="en-GB"/>
        </w:rPr>
        <w:t>Regional MRV Project</w:t>
      </w:r>
    </w:p>
    <w:p w14:paraId="46334487" w14:textId="24587580" w:rsidR="00BC1B3A" w:rsidRDefault="0A6C1401" w:rsidP="00484CCF">
      <w:pPr>
        <w:jc w:val="both"/>
        <w:rPr>
          <w:color w:val="FF0000"/>
          <w:lang w:eastAsia="en-GB"/>
        </w:rPr>
      </w:pPr>
      <w:r w:rsidRPr="4521EDEC">
        <w:rPr>
          <w:lang w:eastAsia="en-GB"/>
        </w:rPr>
        <w:t>The Regional MRV project</w:t>
      </w:r>
      <w:r w:rsidR="733E6750" w:rsidRPr="4521EDEC">
        <w:rPr>
          <w:lang w:eastAsia="en-GB"/>
        </w:rPr>
        <w:t xml:space="preserve"> has</w:t>
      </w:r>
      <w:r w:rsidRPr="4521EDEC">
        <w:rPr>
          <w:lang w:eastAsia="en-GB"/>
        </w:rPr>
        <w:t xml:space="preserve"> </w:t>
      </w:r>
      <w:r w:rsidR="733E6750" w:rsidRPr="4521EDEC">
        <w:rPr>
          <w:lang w:eastAsia="en-GB"/>
        </w:rPr>
        <w:t>experienced</w:t>
      </w:r>
      <w:r w:rsidRPr="4521EDEC">
        <w:rPr>
          <w:lang w:eastAsia="en-GB"/>
        </w:rPr>
        <w:t xml:space="preserve"> significant delays due to unexpected legal challenges posed by the IDB Board. </w:t>
      </w:r>
      <w:r w:rsidR="208FD406" w:rsidRPr="4521EDEC">
        <w:rPr>
          <w:lang w:eastAsia="en-GB"/>
        </w:rPr>
        <w:t xml:space="preserve">The IDB cannot approve </w:t>
      </w:r>
      <w:r w:rsidR="119CA4AC" w:rsidRPr="4521EDEC">
        <w:rPr>
          <w:lang w:eastAsia="en-GB"/>
        </w:rPr>
        <w:t xml:space="preserve">a project until all </w:t>
      </w:r>
      <w:r w:rsidR="156CE63B" w:rsidRPr="4521EDEC">
        <w:rPr>
          <w:lang w:eastAsia="en-GB"/>
        </w:rPr>
        <w:t>benefitting</w:t>
      </w:r>
      <w:r w:rsidR="119CA4AC" w:rsidRPr="4521EDEC">
        <w:rPr>
          <w:lang w:eastAsia="en-GB"/>
        </w:rPr>
        <w:t xml:space="preserve"> country </w:t>
      </w:r>
      <w:r w:rsidR="156CE63B" w:rsidRPr="4521EDEC">
        <w:rPr>
          <w:lang w:eastAsia="en-GB"/>
        </w:rPr>
        <w:t>governments</w:t>
      </w:r>
      <w:r w:rsidR="119CA4AC" w:rsidRPr="4521EDEC">
        <w:rPr>
          <w:lang w:eastAsia="en-GB"/>
        </w:rPr>
        <w:t xml:space="preserve"> (in this case, Panama; Jamaica; Colombia; Suriname; Honduras; and more) have provided </w:t>
      </w:r>
      <w:r w:rsidR="156CE63B" w:rsidRPr="4521EDEC">
        <w:rPr>
          <w:lang w:eastAsia="en-GB"/>
        </w:rPr>
        <w:t xml:space="preserve">formal </w:t>
      </w:r>
      <w:r w:rsidR="119CA4AC" w:rsidRPr="4521EDEC">
        <w:rPr>
          <w:lang w:eastAsia="en-GB"/>
        </w:rPr>
        <w:t>permission for the project to operate in-country. However, c</w:t>
      </w:r>
      <w:r w:rsidR="208FD406" w:rsidRPr="4521EDEC">
        <w:rPr>
          <w:lang w:eastAsia="en-GB"/>
        </w:rPr>
        <w:t xml:space="preserve">ountry </w:t>
      </w:r>
      <w:r w:rsidR="119CA4AC" w:rsidRPr="4521EDEC">
        <w:rPr>
          <w:lang w:eastAsia="en-GB"/>
        </w:rPr>
        <w:t>signatories</w:t>
      </w:r>
      <w:r w:rsidR="208FD406" w:rsidRPr="4521EDEC">
        <w:rPr>
          <w:lang w:eastAsia="en-GB"/>
        </w:rPr>
        <w:t xml:space="preserve"> cannot grant the Regional MRV project permission to operate in-country until an IDB-funded mangroves project is in </w:t>
      </w:r>
      <w:r w:rsidR="119CA4AC" w:rsidRPr="4521EDEC">
        <w:rPr>
          <w:lang w:eastAsia="en-GB"/>
        </w:rPr>
        <w:t>implementation</w:t>
      </w:r>
      <w:r w:rsidR="208FD406" w:rsidRPr="4521EDEC">
        <w:rPr>
          <w:lang w:eastAsia="en-GB"/>
        </w:rPr>
        <w:t xml:space="preserve"> in the same countr</w:t>
      </w:r>
      <w:r w:rsidR="119CA4AC" w:rsidRPr="4521EDEC">
        <w:rPr>
          <w:lang w:eastAsia="en-GB"/>
        </w:rPr>
        <w:t>y</w:t>
      </w:r>
      <w:r w:rsidR="113BDC88" w:rsidRPr="4521EDEC">
        <w:rPr>
          <w:lang w:eastAsia="en-GB"/>
        </w:rPr>
        <w:t xml:space="preserve"> – i</w:t>
      </w:r>
      <w:r w:rsidR="156CE63B" w:rsidRPr="4521EDEC">
        <w:rPr>
          <w:lang w:eastAsia="en-GB"/>
        </w:rPr>
        <w:t xml:space="preserve">n other words, </w:t>
      </w:r>
      <w:r w:rsidR="113BDC88" w:rsidRPr="4521EDEC">
        <w:rPr>
          <w:lang w:eastAsia="en-GB"/>
        </w:rPr>
        <w:t xml:space="preserve">there must be an operating project to monitor. </w:t>
      </w:r>
      <w:r w:rsidR="119CA4AC" w:rsidRPr="4521EDEC">
        <w:rPr>
          <w:lang w:eastAsia="en-GB"/>
        </w:rPr>
        <w:t xml:space="preserve">At the moment, this would include Panama, Jamaica, and Colombia only. The dependency of the Regional MRV project on already implementing mangroves projects has resulted in a “gridlock” whereby progress cannot be made until a solution is found. </w:t>
      </w:r>
    </w:p>
    <w:p w14:paraId="7DC0C2E1" w14:textId="51B3BAB4" w:rsidR="00BC7831" w:rsidRDefault="6D2C1B5B" w:rsidP="00484CCF">
      <w:pPr>
        <w:jc w:val="both"/>
        <w:rPr>
          <w:lang w:eastAsia="en-GB"/>
        </w:rPr>
      </w:pPr>
      <w:r w:rsidRPr="7E4C024C">
        <w:rPr>
          <w:lang w:eastAsia="en-GB"/>
        </w:rPr>
        <w:t xml:space="preserve">Defra approved </w:t>
      </w:r>
      <w:r w:rsidR="3AD56478" w:rsidRPr="7E4C024C">
        <w:rPr>
          <w:lang w:eastAsia="en-GB"/>
        </w:rPr>
        <w:t xml:space="preserve">the project </w:t>
      </w:r>
      <w:r w:rsidRPr="7E4C024C">
        <w:rPr>
          <w:lang w:eastAsia="en-GB"/>
        </w:rPr>
        <w:t>in January 2020</w:t>
      </w:r>
      <w:r w:rsidR="3AD56478" w:rsidRPr="7E4C024C">
        <w:rPr>
          <w:lang w:eastAsia="en-GB"/>
        </w:rPr>
        <w:t xml:space="preserve"> and originally expected the project to receive IDB Board approval </w:t>
      </w:r>
      <w:r w:rsidRPr="7E4C024C">
        <w:rPr>
          <w:lang w:eastAsia="en-GB"/>
        </w:rPr>
        <w:t>by</w:t>
      </w:r>
      <w:r w:rsidR="3CD3BCDD" w:rsidRPr="7E4C024C">
        <w:rPr>
          <w:lang w:eastAsia="en-GB"/>
        </w:rPr>
        <w:t xml:space="preserve"> July 2020, within 6 months of receiving Defra approval</w:t>
      </w:r>
      <w:r w:rsidRPr="7E4C024C">
        <w:rPr>
          <w:lang w:eastAsia="en-GB"/>
        </w:rPr>
        <w:t>.</w:t>
      </w:r>
      <w:r w:rsidR="3AD56478" w:rsidRPr="7E4C024C">
        <w:rPr>
          <w:lang w:eastAsia="en-GB"/>
        </w:rPr>
        <w:t xml:space="preserve"> To allow for the issues to be resolved, Defra and </w:t>
      </w:r>
      <w:r w:rsidR="3CD3BCDD" w:rsidRPr="7E4C024C">
        <w:rPr>
          <w:lang w:eastAsia="en-GB"/>
        </w:rPr>
        <w:t xml:space="preserve">the </w:t>
      </w:r>
      <w:r w:rsidR="3AD56478" w:rsidRPr="7E4C024C">
        <w:rPr>
          <w:lang w:eastAsia="en-GB"/>
        </w:rPr>
        <w:t>IDB</w:t>
      </w:r>
      <w:r w:rsidRPr="7E4C024C">
        <w:rPr>
          <w:lang w:eastAsia="en-GB"/>
        </w:rPr>
        <w:t xml:space="preserve"> agreed to extend the implementation phase and push back the expected launch date to December 2020</w:t>
      </w:r>
      <w:r w:rsidR="2EAAAF04" w:rsidRPr="7E4C024C">
        <w:rPr>
          <w:lang w:eastAsia="en-GB"/>
        </w:rPr>
        <w:t xml:space="preserve">, giving an additional </w:t>
      </w:r>
      <w:r w:rsidR="3CD3BCDD" w:rsidRPr="7E4C024C">
        <w:rPr>
          <w:lang w:eastAsia="en-GB"/>
        </w:rPr>
        <w:t>6</w:t>
      </w:r>
      <w:r w:rsidR="2EAAAF04" w:rsidRPr="7E4C024C">
        <w:rPr>
          <w:lang w:eastAsia="en-GB"/>
        </w:rPr>
        <w:t xml:space="preserve"> months for the project to receive IDB </w:t>
      </w:r>
      <w:r w:rsidR="3CD3BCDD" w:rsidRPr="7E4C024C">
        <w:rPr>
          <w:lang w:eastAsia="en-GB"/>
        </w:rPr>
        <w:t>approval</w:t>
      </w:r>
      <w:r w:rsidRPr="7E4C024C">
        <w:rPr>
          <w:lang w:eastAsia="en-GB"/>
        </w:rPr>
        <w:t xml:space="preserve">. </w:t>
      </w:r>
      <w:r w:rsidR="0010370B" w:rsidRPr="7E4C024C">
        <w:rPr>
          <w:lang w:eastAsia="en-GB"/>
        </w:rPr>
        <w:t xml:space="preserve">Negotiations proved more challenging than initially thought and the issues were resolved in June 2021. </w:t>
      </w:r>
    </w:p>
    <w:p w14:paraId="03CC93E4" w14:textId="4820FB52" w:rsidR="000F0621" w:rsidRDefault="008A758E" w:rsidP="000F0621">
      <w:pPr>
        <w:pStyle w:val="Heading4"/>
        <w:rPr>
          <w:lang w:eastAsia="en-GB"/>
        </w:rPr>
      </w:pPr>
      <w:r>
        <w:rPr>
          <w:lang w:eastAsia="en-GB"/>
        </w:rPr>
        <w:t xml:space="preserve">Progress: </w:t>
      </w:r>
      <w:r w:rsidR="000F0621">
        <w:rPr>
          <w:lang w:eastAsia="en-GB"/>
        </w:rPr>
        <w:t>Dasgupta Project</w:t>
      </w:r>
    </w:p>
    <w:p w14:paraId="421D859C" w14:textId="0DE04A21" w:rsidR="009A33C3" w:rsidRDefault="00B50028" w:rsidP="00484CCF">
      <w:pPr>
        <w:jc w:val="both"/>
      </w:pPr>
      <w:r>
        <w:t>This project aimed to create and disseminate five knowledge products on the economic value of biodiversity and its conservation and sustainable use in productive sectors. However, this mission was cancelled by mutual agreement in 2019-20 due to the impacts of the COVID-19 pandemic</w:t>
      </w:r>
      <w:r w:rsidRPr="00B50028">
        <w:rPr>
          <w:color w:val="FF0000"/>
        </w:rPr>
        <w:t>.</w:t>
      </w:r>
      <w:r w:rsidRPr="00BC7831">
        <w:t xml:space="preserve"> </w:t>
      </w:r>
      <w:r w:rsidR="009A33C3">
        <w:t>Alternative ways to disseminate findings have been developed and implemented</w:t>
      </w:r>
      <w:r w:rsidR="008B1478">
        <w:t xml:space="preserve"> throughout 2020/21</w:t>
      </w:r>
      <w:r w:rsidR="009A33C3">
        <w:t>:</w:t>
      </w:r>
    </w:p>
    <w:p w14:paraId="2F6F3F28" w14:textId="3809FF9D" w:rsidR="009A33C3" w:rsidRDefault="009A33C3" w:rsidP="00D33DD9">
      <w:pPr>
        <w:pStyle w:val="ListParagraph"/>
        <w:numPr>
          <w:ilvl w:val="0"/>
          <w:numId w:val="8"/>
        </w:numPr>
        <w:jc w:val="both"/>
      </w:pPr>
      <w:r>
        <w:t xml:space="preserve">Key findings have </w:t>
      </w:r>
      <w:r w:rsidR="004743C4">
        <w:t xml:space="preserve">been </w:t>
      </w:r>
      <w:r>
        <w:t>presented to inform the development of the IDB’s country strategy with Colombia, where the Colombia modelling from the Dasgupta Review was used</w:t>
      </w:r>
      <w:r w:rsidR="004743C4">
        <w:t>;</w:t>
      </w:r>
    </w:p>
    <w:p w14:paraId="610529B7" w14:textId="66EF9CBE" w:rsidR="009A33C3" w:rsidRDefault="009A33C3" w:rsidP="00D33DD9">
      <w:pPr>
        <w:pStyle w:val="ListParagraph"/>
        <w:numPr>
          <w:ilvl w:val="0"/>
          <w:numId w:val="8"/>
        </w:numPr>
        <w:jc w:val="both"/>
      </w:pPr>
      <w:r>
        <w:t>Four blogs have been published by the IDB to disseminate key findings from the Dasgupta Review</w:t>
      </w:r>
      <w:r w:rsidR="004743C4">
        <w:t>;</w:t>
      </w:r>
      <w:r>
        <w:rPr>
          <w:rStyle w:val="FootnoteReference"/>
        </w:rPr>
        <w:footnoteReference w:id="7"/>
      </w:r>
    </w:p>
    <w:p w14:paraId="115D10C6" w14:textId="236424D6" w:rsidR="004743C4" w:rsidRDefault="004743C4" w:rsidP="00D33DD9">
      <w:pPr>
        <w:pStyle w:val="ListParagraph"/>
        <w:numPr>
          <w:ilvl w:val="0"/>
          <w:numId w:val="8"/>
        </w:numPr>
        <w:jc w:val="both"/>
      </w:pPr>
      <w:r>
        <w:t>One high-level plenary on Natural Capital took place on Day 3 of the IDB’s One Region, One Commitment campaign (28-30 June 2021). This focused on the Dasgupta Review and included a discussion on the Report’s key themes;</w:t>
      </w:r>
    </w:p>
    <w:p w14:paraId="26A6471A" w14:textId="2792F9BB" w:rsidR="004743C4" w:rsidRDefault="004743C4" w:rsidP="00D33DD9">
      <w:pPr>
        <w:pStyle w:val="ListParagraph"/>
        <w:numPr>
          <w:ilvl w:val="0"/>
          <w:numId w:val="8"/>
        </w:numPr>
        <w:jc w:val="both"/>
      </w:pPr>
      <w:r>
        <w:t>One webinar titled “how can nature support a green and inclusive economy?” took place on 14 June 2020.</w:t>
      </w:r>
    </w:p>
    <w:p w14:paraId="4C833527" w14:textId="34565C12" w:rsidR="004743C4" w:rsidRDefault="004743C4" w:rsidP="00D33DD9">
      <w:pPr>
        <w:pStyle w:val="ListParagraph"/>
        <w:numPr>
          <w:ilvl w:val="0"/>
          <w:numId w:val="8"/>
        </w:numPr>
        <w:jc w:val="both"/>
      </w:pPr>
      <w:r>
        <w:t xml:space="preserve">Several papers relating to </w:t>
      </w:r>
      <w:r w:rsidR="0010370B">
        <w:t>modelling</w:t>
      </w:r>
      <w:r>
        <w:t xml:space="preserve"> have been published on the IDB’s </w:t>
      </w:r>
      <w:hyperlink r:id="rId21" w:anchor="/library" w:history="1">
        <w:r w:rsidRPr="004743C4">
          <w:rPr>
            <w:rStyle w:val="Hyperlink"/>
          </w:rPr>
          <w:t>OPEN IEEM</w:t>
        </w:r>
      </w:hyperlink>
      <w:r>
        <w:t xml:space="preserve"> site.</w:t>
      </w:r>
    </w:p>
    <w:p w14:paraId="3C7ECB03" w14:textId="43E15564" w:rsidR="004743C4" w:rsidRDefault="004743C4" w:rsidP="00D33DD9">
      <w:pPr>
        <w:pStyle w:val="ListParagraph"/>
        <w:numPr>
          <w:ilvl w:val="0"/>
          <w:numId w:val="8"/>
        </w:numPr>
        <w:jc w:val="both"/>
      </w:pPr>
      <w:r>
        <w:t xml:space="preserve">Key findings have </w:t>
      </w:r>
      <w:r w:rsidR="00453B6C">
        <w:t xml:space="preserve">helped </w:t>
      </w:r>
      <w:r>
        <w:t>inform</w:t>
      </w:r>
      <w:r w:rsidR="00453B6C">
        <w:t xml:space="preserve"> a number of bilateral meetings where papers have been shared with stakeholders.</w:t>
      </w:r>
    </w:p>
    <w:p w14:paraId="013E39A2" w14:textId="77777777" w:rsidR="00BB7661" w:rsidRDefault="00BB7661" w:rsidP="00E044A4">
      <w:pPr>
        <w:pStyle w:val="Heading2"/>
      </w:pPr>
      <w:r>
        <w:t>Communication Output: Effectiveness of Communication Between the IDB and Defra</w:t>
      </w:r>
    </w:p>
    <w:p w14:paraId="3D5D6F7D" w14:textId="77777777" w:rsidR="00BB7661" w:rsidRPr="00BB7661" w:rsidRDefault="00BB7661" w:rsidP="00484CCF">
      <w:pPr>
        <w:spacing w:after="0" w:line="240" w:lineRule="auto"/>
        <w:jc w:val="both"/>
        <w:textAlignment w:val="baseline"/>
        <w:rPr>
          <w:rFonts w:ascii="Segoe UI" w:eastAsia="Times New Roman" w:hAnsi="Segoe UI" w:cs="Segoe UI"/>
          <w:color w:val="000000"/>
          <w:sz w:val="18"/>
          <w:szCs w:val="18"/>
          <w:lang w:eastAsia="en-GB"/>
        </w:rPr>
      </w:pPr>
      <w:r w:rsidRPr="00BB7661">
        <w:rPr>
          <w:rFonts w:ascii="Calibri" w:eastAsia="Times New Roman" w:hAnsi="Calibri" w:cs="Calibri"/>
          <w:color w:val="000000"/>
          <w:lang w:eastAsia="en-GB"/>
        </w:rPr>
        <w:t>The communication output and associated indicators measure the effectiveness of communication between delivery partner and donor to support programme processes and implementation, based on commitments made in the administrative agreement and over the course of the programme to date, including recommendations made in last year’s Annual Review. </w:t>
      </w:r>
    </w:p>
    <w:p w14:paraId="448AD67E" w14:textId="77777777" w:rsidR="00BB7661" w:rsidRPr="00BB7661" w:rsidRDefault="00BB7661" w:rsidP="00BB7661">
      <w:pPr>
        <w:spacing w:after="0" w:line="240" w:lineRule="auto"/>
        <w:textAlignment w:val="baseline"/>
        <w:rPr>
          <w:rFonts w:ascii="Segoe UI" w:eastAsia="Times New Roman" w:hAnsi="Segoe UI" w:cs="Segoe UI"/>
          <w:color w:val="000000"/>
          <w:sz w:val="18"/>
          <w:szCs w:val="18"/>
          <w:lang w:eastAsia="en-GB"/>
        </w:rPr>
      </w:pPr>
      <w:r w:rsidRPr="00BB7661">
        <w:rPr>
          <w:rFonts w:ascii="Calibri" w:eastAsia="Times New Roman" w:hAnsi="Calibri" w:cs="Calibri"/>
          <w:color w:val="000000"/>
          <w:lang w:eastAsia="en-GB"/>
        </w:rPr>
        <w:t> </w:t>
      </w:r>
    </w:p>
    <w:tbl>
      <w:tblPr>
        <w:tblStyle w:val="GridTable4-Accent5"/>
        <w:tblW w:w="9015" w:type="dxa"/>
        <w:tblLook w:val="04A0" w:firstRow="1" w:lastRow="0" w:firstColumn="1" w:lastColumn="0" w:noHBand="0" w:noVBand="1"/>
      </w:tblPr>
      <w:tblGrid>
        <w:gridCol w:w="2689"/>
        <w:gridCol w:w="1796"/>
        <w:gridCol w:w="2250"/>
        <w:gridCol w:w="2280"/>
      </w:tblGrid>
      <w:tr w:rsidR="00BB7661" w:rsidRPr="00BB7661" w14:paraId="24EC1F0A" w14:textId="77777777" w:rsidTr="009E7B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gridSpan w:val="4"/>
            <w:hideMark/>
          </w:tcPr>
          <w:p w14:paraId="1D536F93" w14:textId="5FDA8D90" w:rsidR="00BB7661" w:rsidRPr="00BB7661" w:rsidRDefault="00BB7661" w:rsidP="00BB7661">
            <w:pPr>
              <w:jc w:val="both"/>
              <w:textAlignment w:val="baseline"/>
              <w:divId w:val="671950726"/>
              <w:rPr>
                <w:rFonts w:ascii="Times New Roman" w:eastAsia="Times New Roman" w:hAnsi="Times New Roman" w:cs="Times New Roman"/>
                <w:color w:val="000000"/>
                <w:sz w:val="24"/>
                <w:szCs w:val="24"/>
              </w:rPr>
            </w:pPr>
            <w:r w:rsidRPr="00BB7661">
              <w:rPr>
                <w:rFonts w:eastAsia="Times New Roman"/>
                <w:color w:val="FFFFFF"/>
              </w:rPr>
              <w:t>Output</w:t>
            </w:r>
            <w:r w:rsidR="006B4D8C">
              <w:rPr>
                <w:rFonts w:eastAsia="Times New Roman"/>
                <w:color w:val="FFFFFF"/>
              </w:rPr>
              <w:t xml:space="preserve"> 3</w:t>
            </w:r>
            <w:r w:rsidRPr="00BB7661">
              <w:rPr>
                <w:rFonts w:eastAsia="Times New Roman"/>
                <w:color w:val="FFFFFF"/>
              </w:rPr>
              <w:t>: The performance of communication between the IDB and Defra </w:t>
            </w:r>
          </w:p>
        </w:tc>
      </w:tr>
      <w:tr w:rsidR="00BB7661" w:rsidRPr="00BB7661" w14:paraId="3980C3C0" w14:textId="77777777" w:rsidTr="009E7B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hideMark/>
          </w:tcPr>
          <w:p w14:paraId="116F84CC" w14:textId="77777777" w:rsidR="00BB7661" w:rsidRPr="00BB7661" w:rsidRDefault="00BB7661" w:rsidP="009E7BCD">
            <w:pPr>
              <w:textAlignment w:val="baseline"/>
              <w:rPr>
                <w:rFonts w:ascii="Times New Roman" w:eastAsia="Times New Roman" w:hAnsi="Times New Roman" w:cs="Times New Roman"/>
                <w:color w:val="000000"/>
                <w:sz w:val="24"/>
                <w:szCs w:val="24"/>
              </w:rPr>
            </w:pPr>
            <w:r w:rsidRPr="00BB7661">
              <w:rPr>
                <w:rFonts w:eastAsia="Times New Roman"/>
                <w:color w:val="000000"/>
              </w:rPr>
              <w:t>Output number per LF: </w:t>
            </w:r>
          </w:p>
        </w:tc>
        <w:tc>
          <w:tcPr>
            <w:tcW w:w="1796" w:type="dxa"/>
            <w:hideMark/>
          </w:tcPr>
          <w:p w14:paraId="7E46487E" w14:textId="77777777" w:rsidR="00BB7661" w:rsidRPr="00BB7661" w:rsidRDefault="00BB7661" w:rsidP="009E7BCD">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B7661">
              <w:rPr>
                <w:rFonts w:eastAsia="Times New Roman"/>
                <w:color w:val="000000"/>
              </w:rPr>
              <w:t>n/a </w:t>
            </w:r>
          </w:p>
        </w:tc>
        <w:tc>
          <w:tcPr>
            <w:tcW w:w="2250" w:type="dxa"/>
            <w:hideMark/>
          </w:tcPr>
          <w:p w14:paraId="6958076D" w14:textId="77777777" w:rsidR="00BB7661" w:rsidRPr="00BB7661" w:rsidRDefault="00BB7661" w:rsidP="009E7BCD">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B7661">
              <w:rPr>
                <w:rFonts w:eastAsia="Times New Roman"/>
                <w:b/>
                <w:bCs/>
                <w:color w:val="000000"/>
              </w:rPr>
              <w:t>Output score:</w:t>
            </w:r>
            <w:r w:rsidRPr="00BB7661">
              <w:rPr>
                <w:rFonts w:eastAsia="Times New Roman"/>
                <w:color w:val="000000"/>
              </w:rPr>
              <w:t> </w:t>
            </w:r>
          </w:p>
        </w:tc>
        <w:tc>
          <w:tcPr>
            <w:tcW w:w="2280" w:type="dxa"/>
            <w:hideMark/>
          </w:tcPr>
          <w:p w14:paraId="7121D1F6" w14:textId="5B6F8D83" w:rsidR="00BB7661" w:rsidRPr="00BB7661" w:rsidRDefault="006B4D8C" w:rsidP="009E7BCD">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eastAsia="Times New Roman"/>
                <w:color w:val="000000"/>
              </w:rPr>
              <w:t>B</w:t>
            </w:r>
          </w:p>
        </w:tc>
      </w:tr>
      <w:tr w:rsidR="00BB7661" w:rsidRPr="00BB7661" w14:paraId="333CEDAF" w14:textId="77777777" w:rsidTr="009E7BCD">
        <w:tc>
          <w:tcPr>
            <w:cnfStyle w:val="001000000000" w:firstRow="0" w:lastRow="0" w:firstColumn="1" w:lastColumn="0" w:oddVBand="0" w:evenVBand="0" w:oddHBand="0" w:evenHBand="0" w:firstRowFirstColumn="0" w:firstRowLastColumn="0" w:lastRowFirstColumn="0" w:lastRowLastColumn="0"/>
            <w:tcW w:w="2689" w:type="dxa"/>
            <w:hideMark/>
          </w:tcPr>
          <w:p w14:paraId="1BE2807B" w14:textId="77777777" w:rsidR="00BB7661" w:rsidRPr="00BB7661" w:rsidRDefault="00BB7661" w:rsidP="009E7BCD">
            <w:pPr>
              <w:textAlignment w:val="baseline"/>
              <w:rPr>
                <w:rFonts w:ascii="Times New Roman" w:eastAsia="Times New Roman" w:hAnsi="Times New Roman" w:cs="Times New Roman"/>
                <w:color w:val="000000"/>
                <w:sz w:val="24"/>
                <w:szCs w:val="24"/>
              </w:rPr>
            </w:pPr>
            <w:r w:rsidRPr="00BB7661">
              <w:rPr>
                <w:rFonts w:eastAsia="Times New Roman"/>
                <w:color w:val="000000"/>
              </w:rPr>
              <w:lastRenderedPageBreak/>
              <w:t>Risk: </w:t>
            </w:r>
          </w:p>
        </w:tc>
        <w:tc>
          <w:tcPr>
            <w:tcW w:w="1796" w:type="dxa"/>
            <w:hideMark/>
          </w:tcPr>
          <w:p w14:paraId="5B67BF74" w14:textId="457133F2" w:rsidR="00BB7661" w:rsidRPr="00BB7661" w:rsidRDefault="009E7BCD" w:rsidP="009E7BCD">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eastAsia="Times New Roman"/>
                <w:color w:val="000000"/>
                <w:sz w:val="24"/>
                <w:szCs w:val="24"/>
              </w:rPr>
              <w:t>Major</w:t>
            </w:r>
          </w:p>
        </w:tc>
        <w:tc>
          <w:tcPr>
            <w:tcW w:w="2250" w:type="dxa"/>
            <w:hideMark/>
          </w:tcPr>
          <w:p w14:paraId="3628BE00" w14:textId="77777777" w:rsidR="00BB7661" w:rsidRPr="00BB7661" w:rsidRDefault="00BB7661" w:rsidP="009E7BCD">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B7661">
              <w:rPr>
                <w:rFonts w:eastAsia="Times New Roman"/>
                <w:b/>
                <w:bCs/>
                <w:color w:val="000000"/>
              </w:rPr>
              <w:t>Impact weighting (%):</w:t>
            </w:r>
            <w:r w:rsidRPr="00BB7661">
              <w:rPr>
                <w:rFonts w:eastAsia="Times New Roman"/>
                <w:color w:val="000000"/>
              </w:rPr>
              <w:t> </w:t>
            </w:r>
          </w:p>
        </w:tc>
        <w:tc>
          <w:tcPr>
            <w:tcW w:w="2280" w:type="dxa"/>
            <w:hideMark/>
          </w:tcPr>
          <w:p w14:paraId="540DDF50" w14:textId="155AE77E" w:rsidR="00BB7661" w:rsidRPr="00BB7661" w:rsidRDefault="009E7BCD" w:rsidP="009E7BCD">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eastAsia="Times New Roman"/>
                <w:color w:val="000000"/>
                <w:sz w:val="24"/>
                <w:szCs w:val="24"/>
              </w:rPr>
              <w:t>33.3</w:t>
            </w:r>
          </w:p>
        </w:tc>
      </w:tr>
      <w:tr w:rsidR="00BB7661" w:rsidRPr="00BB7661" w14:paraId="682E5329" w14:textId="77777777" w:rsidTr="009E7B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hideMark/>
          </w:tcPr>
          <w:p w14:paraId="43772273" w14:textId="77777777" w:rsidR="00BB7661" w:rsidRPr="00BB7661" w:rsidRDefault="00BB7661" w:rsidP="009E7BCD">
            <w:pPr>
              <w:textAlignment w:val="baseline"/>
              <w:rPr>
                <w:rFonts w:ascii="Times New Roman" w:eastAsia="Times New Roman" w:hAnsi="Times New Roman" w:cs="Times New Roman"/>
                <w:color w:val="000000"/>
                <w:sz w:val="24"/>
                <w:szCs w:val="24"/>
              </w:rPr>
            </w:pPr>
            <w:r w:rsidRPr="00BB7661">
              <w:rPr>
                <w:rFonts w:eastAsia="Times New Roman"/>
                <w:color w:val="000000"/>
              </w:rPr>
              <w:t>Risk revised since last AR: </w:t>
            </w:r>
          </w:p>
        </w:tc>
        <w:tc>
          <w:tcPr>
            <w:tcW w:w="1796" w:type="dxa"/>
            <w:hideMark/>
          </w:tcPr>
          <w:p w14:paraId="4C716161" w14:textId="77777777" w:rsidR="00BB7661" w:rsidRPr="00BB7661" w:rsidRDefault="00BB7661" w:rsidP="009E7BCD">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B7661">
              <w:rPr>
                <w:rFonts w:eastAsia="Times New Roman"/>
                <w:color w:val="000000"/>
              </w:rPr>
              <w:t>n/a </w:t>
            </w:r>
          </w:p>
        </w:tc>
        <w:tc>
          <w:tcPr>
            <w:tcW w:w="2250" w:type="dxa"/>
            <w:hideMark/>
          </w:tcPr>
          <w:p w14:paraId="34B1AAA5" w14:textId="77777777" w:rsidR="00BB7661" w:rsidRPr="00BB7661" w:rsidRDefault="00BB7661" w:rsidP="009E7BCD">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B7661">
              <w:rPr>
                <w:rFonts w:eastAsia="Times New Roman"/>
                <w:b/>
                <w:bCs/>
                <w:color w:val="000000"/>
              </w:rPr>
              <w:t>Impact weighting (%) revised since last AR:</w:t>
            </w:r>
            <w:r w:rsidRPr="00BB7661">
              <w:rPr>
                <w:rFonts w:eastAsia="Times New Roman"/>
                <w:color w:val="000000"/>
              </w:rPr>
              <w:t> </w:t>
            </w:r>
          </w:p>
        </w:tc>
        <w:tc>
          <w:tcPr>
            <w:tcW w:w="2280" w:type="dxa"/>
            <w:hideMark/>
          </w:tcPr>
          <w:p w14:paraId="1EEC3EB4" w14:textId="381030BE" w:rsidR="00BB7661" w:rsidRPr="00BB7661" w:rsidRDefault="009E7BCD" w:rsidP="009E7BCD">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eastAsia="Times New Roman"/>
                <w:color w:val="000000"/>
              </w:rPr>
              <w:t>Yes</w:t>
            </w:r>
            <w:r w:rsidR="00BB7661" w:rsidRPr="00BB7661">
              <w:rPr>
                <w:rFonts w:eastAsia="Times New Roman"/>
                <w:color w:val="000000"/>
              </w:rPr>
              <w:t> </w:t>
            </w:r>
          </w:p>
        </w:tc>
      </w:tr>
    </w:tbl>
    <w:p w14:paraId="54392894" w14:textId="77777777" w:rsidR="00BB7661" w:rsidRPr="00BB7661" w:rsidRDefault="00BB7661" w:rsidP="00BB7661">
      <w:pPr>
        <w:spacing w:after="0" w:line="240" w:lineRule="auto"/>
        <w:textAlignment w:val="baseline"/>
        <w:rPr>
          <w:rFonts w:ascii="Segoe UI" w:eastAsia="Times New Roman" w:hAnsi="Segoe UI" w:cs="Segoe UI"/>
          <w:color w:val="000000"/>
          <w:sz w:val="18"/>
          <w:szCs w:val="18"/>
          <w:lang w:eastAsia="en-GB"/>
        </w:rPr>
      </w:pPr>
      <w:r w:rsidRPr="00BB7661">
        <w:rPr>
          <w:rFonts w:ascii="Calibri" w:eastAsia="Times New Roman" w:hAnsi="Calibri" w:cs="Calibri"/>
          <w:color w:val="000000"/>
          <w:lang w:eastAsia="en-GB"/>
        </w:rPr>
        <w:t> </w:t>
      </w:r>
    </w:p>
    <w:tbl>
      <w:tblPr>
        <w:tblStyle w:val="GridTable4-Accent5"/>
        <w:tblW w:w="8985" w:type="dxa"/>
        <w:tblLook w:val="04A0" w:firstRow="1" w:lastRow="0" w:firstColumn="1" w:lastColumn="0" w:noHBand="0" w:noVBand="1"/>
      </w:tblPr>
      <w:tblGrid>
        <w:gridCol w:w="2689"/>
        <w:gridCol w:w="1781"/>
        <w:gridCol w:w="3867"/>
        <w:gridCol w:w="648"/>
      </w:tblGrid>
      <w:tr w:rsidR="009E7BCD" w:rsidRPr="00BB7661" w14:paraId="6EEFE27E" w14:textId="77777777" w:rsidTr="0BDD4F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hideMark/>
          </w:tcPr>
          <w:p w14:paraId="2FD6AA0E" w14:textId="77777777" w:rsidR="009E7BCD" w:rsidRPr="00BB7661" w:rsidRDefault="009E7BCD" w:rsidP="00932EEE">
            <w:pPr>
              <w:jc w:val="both"/>
              <w:textAlignment w:val="baseline"/>
              <w:rPr>
                <w:rFonts w:ascii="Times New Roman" w:eastAsia="Times New Roman" w:hAnsi="Times New Roman" w:cs="Times New Roman"/>
                <w:color w:val="000000"/>
                <w:sz w:val="24"/>
                <w:szCs w:val="24"/>
              </w:rPr>
            </w:pPr>
            <w:r w:rsidRPr="00BB7661">
              <w:rPr>
                <w:rFonts w:eastAsia="Times New Roman"/>
                <w:color w:val="FFFFFF"/>
              </w:rPr>
              <w:t>Indicator </w:t>
            </w:r>
          </w:p>
        </w:tc>
        <w:tc>
          <w:tcPr>
            <w:tcW w:w="1781" w:type="dxa"/>
            <w:hideMark/>
          </w:tcPr>
          <w:p w14:paraId="5946B154" w14:textId="77777777" w:rsidR="009E7BCD" w:rsidRPr="00BB7661" w:rsidRDefault="009E7BCD" w:rsidP="00932EEE">
            <w:pPr>
              <w:jc w:val="both"/>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B7661">
              <w:rPr>
                <w:rFonts w:eastAsia="Times New Roman"/>
                <w:color w:val="FFFFFF"/>
              </w:rPr>
              <w:t>2021 Milestone </w:t>
            </w:r>
          </w:p>
        </w:tc>
        <w:tc>
          <w:tcPr>
            <w:tcW w:w="4515" w:type="dxa"/>
            <w:gridSpan w:val="2"/>
            <w:hideMark/>
          </w:tcPr>
          <w:p w14:paraId="128AB935" w14:textId="164533D7" w:rsidR="009E7BCD" w:rsidRPr="009E7BCD" w:rsidRDefault="009E7BCD" w:rsidP="00932EEE">
            <w:pPr>
              <w:jc w:val="both"/>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rPr>
            </w:pPr>
            <w:r w:rsidRPr="00BB7661">
              <w:rPr>
                <w:rFonts w:eastAsia="Times New Roman"/>
                <w:color w:val="FFFFFF"/>
              </w:rPr>
              <w:t>Progress </w:t>
            </w:r>
          </w:p>
        </w:tc>
      </w:tr>
      <w:tr w:rsidR="00932EEE" w:rsidRPr="00BB7661" w14:paraId="4770BF62" w14:textId="77777777" w:rsidTr="0BDD4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hideMark/>
          </w:tcPr>
          <w:p w14:paraId="03D0FD7A" w14:textId="3B7E1F69" w:rsidR="00932EEE" w:rsidRPr="00A407DF" w:rsidRDefault="74E64B9F" w:rsidP="00932EEE">
            <w:pPr>
              <w:textAlignment w:val="baseline"/>
              <w:rPr>
                <w:rFonts w:ascii="Times New Roman" w:eastAsia="Times New Roman" w:hAnsi="Times New Roman" w:cs="Times New Roman"/>
                <w:sz w:val="24"/>
                <w:szCs w:val="24"/>
              </w:rPr>
            </w:pPr>
            <w:r w:rsidRPr="444D1C45">
              <w:rPr>
                <w:rFonts w:eastAsia="Times New Roman"/>
              </w:rPr>
              <w:t xml:space="preserve">3.1 </w:t>
            </w:r>
            <w:r w:rsidR="58E3E53E" w:rsidRPr="444D1C45">
              <w:rPr>
                <w:rFonts w:eastAsia="Times New Roman"/>
              </w:rPr>
              <w:t>Advisory Board meetings to take place every 6 months, supplemented by bi-annual Checkpoints to update on progress quarterly and discuss issues.  </w:t>
            </w:r>
          </w:p>
        </w:tc>
        <w:tc>
          <w:tcPr>
            <w:tcW w:w="1781" w:type="dxa"/>
            <w:hideMark/>
          </w:tcPr>
          <w:p w14:paraId="0398F4FC" w14:textId="13B0F0CD" w:rsidR="00932EEE" w:rsidRPr="00A407DF" w:rsidRDefault="713D1B36" w:rsidP="00932EEE">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444D1C45">
              <w:rPr>
                <w:rFonts w:eastAsia="Times New Roman"/>
              </w:rPr>
              <w:t>1</w:t>
            </w:r>
            <w:r w:rsidR="16025F5F" w:rsidRPr="444D1C45">
              <w:rPr>
                <w:rFonts w:eastAsia="Times New Roman"/>
              </w:rPr>
              <w:t xml:space="preserve"> Advisory Board meeting and </w:t>
            </w:r>
            <w:r w:rsidRPr="444D1C45">
              <w:rPr>
                <w:rFonts w:eastAsia="Times New Roman"/>
              </w:rPr>
              <w:t>1</w:t>
            </w:r>
            <w:r w:rsidR="16025F5F" w:rsidRPr="444D1C45">
              <w:rPr>
                <w:rFonts w:eastAsia="Times New Roman"/>
              </w:rPr>
              <w:t xml:space="preserve"> Checkpoint take place in 2020/21.</w:t>
            </w:r>
          </w:p>
        </w:tc>
        <w:tc>
          <w:tcPr>
            <w:tcW w:w="3867" w:type="dxa"/>
            <w:hideMark/>
          </w:tcPr>
          <w:p w14:paraId="1DFB1BD9" w14:textId="59521F1C" w:rsidR="00932EEE" w:rsidRPr="00A407DF" w:rsidRDefault="1D326F5E" w:rsidP="00932EEE">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444D1C45">
              <w:rPr>
                <w:rFonts w:eastAsia="Times New Roman"/>
              </w:rPr>
              <w:t xml:space="preserve">Partially met. Advisory Board meetings were postponed by mutual agreement between Defra and the IDB. This is due to the lack of progress made on the programme during the last year. Supplementary Checkpoints have also not taken place. However, </w:t>
            </w:r>
            <w:r w:rsidR="1A76AC9B" w:rsidRPr="444D1C45">
              <w:rPr>
                <w:rFonts w:eastAsia="Times New Roman"/>
              </w:rPr>
              <w:t>regular meetings to discuss issues and challenges have taken place.</w:t>
            </w:r>
          </w:p>
        </w:tc>
        <w:tc>
          <w:tcPr>
            <w:tcW w:w="648" w:type="dxa"/>
            <w:hideMark/>
          </w:tcPr>
          <w:p w14:paraId="4568256E" w14:textId="7D42A958" w:rsidR="00932EEE" w:rsidRPr="002E79CB" w:rsidRDefault="00EF280D" w:rsidP="009E7BCD">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eastAsia="Times New Roman"/>
                <w:b/>
                <w:bCs/>
              </w:rPr>
              <w:t>A</w:t>
            </w:r>
          </w:p>
        </w:tc>
      </w:tr>
      <w:tr w:rsidR="00932EEE" w:rsidRPr="00BB7661" w14:paraId="7F8CAD0C" w14:textId="77777777" w:rsidTr="0BDD4FF3">
        <w:tc>
          <w:tcPr>
            <w:cnfStyle w:val="001000000000" w:firstRow="0" w:lastRow="0" w:firstColumn="1" w:lastColumn="0" w:oddVBand="0" w:evenVBand="0" w:oddHBand="0" w:evenHBand="0" w:firstRowFirstColumn="0" w:firstRowLastColumn="0" w:lastRowFirstColumn="0" w:lastRowLastColumn="0"/>
            <w:tcW w:w="2689" w:type="dxa"/>
            <w:hideMark/>
          </w:tcPr>
          <w:p w14:paraId="4B6AE4F3" w14:textId="2529826E" w:rsidR="00932EEE" w:rsidRPr="00A407DF" w:rsidRDefault="042A708F" w:rsidP="00932EEE">
            <w:pPr>
              <w:textAlignment w:val="baseline"/>
              <w:rPr>
                <w:rFonts w:ascii="Times New Roman" w:eastAsia="Times New Roman" w:hAnsi="Times New Roman" w:cs="Times New Roman"/>
                <w:sz w:val="24"/>
                <w:szCs w:val="24"/>
              </w:rPr>
            </w:pPr>
            <w:r w:rsidRPr="4B7D6B8A">
              <w:rPr>
                <w:rFonts w:eastAsia="Times New Roman"/>
              </w:rPr>
              <w:t xml:space="preserve">3.2 </w:t>
            </w:r>
            <w:r w:rsidR="753A415A" w:rsidRPr="4B7D6B8A">
              <w:rPr>
                <w:rFonts w:eastAsia="Times New Roman"/>
              </w:rPr>
              <w:t>Embassies are sighted on relevant project proposals and fully formed TCDs. </w:t>
            </w:r>
          </w:p>
        </w:tc>
        <w:tc>
          <w:tcPr>
            <w:tcW w:w="1781" w:type="dxa"/>
            <w:hideMark/>
          </w:tcPr>
          <w:p w14:paraId="5EDE09A7" w14:textId="1F16B70C" w:rsidR="00932EEE" w:rsidRPr="00A407DF" w:rsidRDefault="48503EA0" w:rsidP="00932EEE">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4B7D6B8A">
              <w:rPr>
                <w:rFonts w:eastAsia="Times New Roman"/>
              </w:rPr>
              <w:t>Embassies sighted on all project proposals formally submitted in 2020/21 and fully formed TCDs approved by the IDB Board in 2020/21.</w:t>
            </w:r>
          </w:p>
        </w:tc>
        <w:tc>
          <w:tcPr>
            <w:tcW w:w="3867" w:type="dxa"/>
            <w:hideMark/>
          </w:tcPr>
          <w:p w14:paraId="07254189" w14:textId="4879B57C" w:rsidR="00932EEE" w:rsidRPr="00A407DF" w:rsidRDefault="734C2B61" w:rsidP="00932EEE">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BDD4FF3">
              <w:rPr>
                <w:rFonts w:eastAsia="Times New Roman"/>
              </w:rPr>
              <w:t>Met. No proposals were formally submitted to Defra for approval in 2020/21. One TCD was approved by the IDB Board and provided to Defra following IDB approval in 2020/21 - the Colombia embassy was sighted.</w:t>
            </w:r>
          </w:p>
        </w:tc>
        <w:tc>
          <w:tcPr>
            <w:tcW w:w="648" w:type="dxa"/>
            <w:hideMark/>
          </w:tcPr>
          <w:p w14:paraId="3B4FCD88" w14:textId="589DFB90" w:rsidR="00932EEE" w:rsidRPr="002E79CB" w:rsidRDefault="4B7D6B8A" w:rsidP="00236741">
            <w:pPr>
              <w:spacing w:line="259" w:lineRule="auto"/>
              <w:jc w:val="center"/>
              <w:cnfStyle w:val="000000000000" w:firstRow="0" w:lastRow="0" w:firstColumn="0" w:lastColumn="0" w:oddVBand="0" w:evenVBand="0" w:oddHBand="0" w:evenHBand="0" w:firstRowFirstColumn="0" w:firstRowLastColumn="0" w:lastRowFirstColumn="0" w:lastRowLastColumn="0"/>
            </w:pPr>
            <w:r w:rsidRPr="4B7D6B8A">
              <w:rPr>
                <w:rFonts w:asciiTheme="minorHAnsi" w:eastAsia="Times New Roman" w:hAnsiTheme="minorHAnsi" w:cs="Times New Roman"/>
                <w:b/>
                <w:bCs/>
              </w:rPr>
              <w:t>A</w:t>
            </w:r>
          </w:p>
        </w:tc>
      </w:tr>
      <w:tr w:rsidR="00932EEE" w:rsidRPr="00BB7661" w14:paraId="290EA0B8" w14:textId="77777777" w:rsidTr="0BDD4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hideMark/>
          </w:tcPr>
          <w:p w14:paraId="52D7B2F9" w14:textId="6F678D9F" w:rsidR="00C7787A" w:rsidRPr="00C7787A" w:rsidRDefault="006B4D8C" w:rsidP="00932EEE">
            <w:pPr>
              <w:textAlignment w:val="baseline"/>
              <w:rPr>
                <w:rFonts w:eastAsia="Times New Roman"/>
              </w:rPr>
            </w:pPr>
            <w:r w:rsidRPr="00A407DF">
              <w:rPr>
                <w:rFonts w:eastAsia="Times New Roman"/>
              </w:rPr>
              <w:t xml:space="preserve">3.3 </w:t>
            </w:r>
            <w:r w:rsidR="00932EEE" w:rsidRPr="00A407DF">
              <w:rPr>
                <w:rFonts w:eastAsia="Times New Roman"/>
              </w:rPr>
              <w:t>IDB and Defra agree on work plans for the coming year</w:t>
            </w:r>
            <w:r w:rsidR="00C7787A">
              <w:rPr>
                <w:rFonts w:eastAsia="Times New Roman"/>
              </w:rPr>
              <w:t xml:space="preserve"> and IDB provide</w:t>
            </w:r>
            <w:r w:rsidR="00C7787A">
              <w:t xml:space="preserve"> execution plans for projects in implementation.</w:t>
            </w:r>
          </w:p>
        </w:tc>
        <w:tc>
          <w:tcPr>
            <w:tcW w:w="1781" w:type="dxa"/>
            <w:hideMark/>
          </w:tcPr>
          <w:p w14:paraId="37F9DFFC" w14:textId="39B072C0" w:rsidR="00C7787A" w:rsidRPr="00A407DF" w:rsidRDefault="5F68D605" w:rsidP="07F4DF78">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t xml:space="preserve">Execution plans for 3 projects provided within 3 months of IDB approval </w:t>
            </w:r>
            <w:r w:rsidRPr="00C766CA">
              <w:t xml:space="preserve">to </w:t>
            </w:r>
            <w:r w:rsidR="00C766CA" w:rsidRPr="00C766CA">
              <w:t xml:space="preserve">identify and </w:t>
            </w:r>
            <w:r w:rsidRPr="00C766CA">
              <w:t>assess activities taking place on the ground</w:t>
            </w:r>
            <w:r w:rsidR="00C766CA" w:rsidRPr="00C766CA">
              <w:t>.</w:t>
            </w:r>
            <w:r w:rsidRPr="00C766CA">
              <w:t xml:space="preserve"> </w:t>
            </w:r>
          </w:p>
        </w:tc>
        <w:tc>
          <w:tcPr>
            <w:tcW w:w="3867" w:type="dxa"/>
            <w:hideMark/>
          </w:tcPr>
          <w:p w14:paraId="0812A51C" w14:textId="65528041" w:rsidR="00932EEE" w:rsidRPr="00C766CA" w:rsidRDefault="3DD5A575" w:rsidP="00DD7E57">
            <w:pPr>
              <w:cnfStyle w:val="000000100000" w:firstRow="0" w:lastRow="0" w:firstColumn="0" w:lastColumn="0" w:oddVBand="0" w:evenVBand="0" w:oddHBand="1" w:evenHBand="0" w:firstRowFirstColumn="0" w:firstRowLastColumn="0" w:lastRowFirstColumn="0" w:lastRowLastColumn="0"/>
            </w:pPr>
            <w:r>
              <w:t xml:space="preserve">Partially met. </w:t>
            </w:r>
            <w:r w:rsidR="5F13B274">
              <w:t xml:space="preserve">High level IDB process work plans </w:t>
            </w:r>
            <w:r w:rsidR="1ABB05CB">
              <w:t>for the Panama, Jamaica, and Colombia projects were included in the proposals approved by Defra. Further execution plans (a</w:t>
            </w:r>
            <w:r w:rsidR="00345434">
              <w:t xml:space="preserve">lso </w:t>
            </w:r>
            <w:r w:rsidR="1ABB05CB">
              <w:t>k</w:t>
            </w:r>
            <w:r w:rsidR="00345434">
              <w:t xml:space="preserve">nown </w:t>
            </w:r>
            <w:r w:rsidR="1ABB05CB">
              <w:t>a</w:t>
            </w:r>
            <w:r w:rsidR="00345434">
              <w:t>s</w:t>
            </w:r>
            <w:r w:rsidR="1ABB05CB">
              <w:t xml:space="preserve"> procurement plans) which capture expected activities on the ground for implementing projects were provided in the TCD approvals package for the Panama, Jamaica and Colombia projects. However, these are not clea</w:t>
            </w:r>
            <w:r w:rsidR="00345434">
              <w:t xml:space="preserve">r </w:t>
            </w:r>
            <w:r w:rsidR="1ABB05CB">
              <w:t>or sufficiently detailed to assess activities taking place on the ground. In addition, the execution plan for the Colombia project was provided in Spanish and therefore does not meet reporting and transparency requirements.</w:t>
            </w:r>
          </w:p>
        </w:tc>
        <w:tc>
          <w:tcPr>
            <w:tcW w:w="648" w:type="dxa"/>
            <w:hideMark/>
          </w:tcPr>
          <w:p w14:paraId="4E54DF7D" w14:textId="290F2E88" w:rsidR="00932EEE" w:rsidRPr="002E79CB" w:rsidRDefault="09397E55" w:rsidP="583E8D06">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b/>
                <w:bCs/>
                <w:color w:val="FF0000"/>
              </w:rPr>
            </w:pPr>
            <w:r w:rsidRPr="4276FBD0">
              <w:rPr>
                <w:rFonts w:eastAsia="Times New Roman"/>
                <w:b/>
                <w:bCs/>
              </w:rPr>
              <w:t>B</w:t>
            </w:r>
          </w:p>
        </w:tc>
      </w:tr>
      <w:tr w:rsidR="00407FCD" w:rsidRPr="00BB7661" w14:paraId="701530AB" w14:textId="77777777" w:rsidTr="0BDD4FF3">
        <w:tc>
          <w:tcPr>
            <w:cnfStyle w:val="001000000000" w:firstRow="0" w:lastRow="0" w:firstColumn="1" w:lastColumn="0" w:oddVBand="0" w:evenVBand="0" w:oddHBand="0" w:evenHBand="0" w:firstRowFirstColumn="0" w:firstRowLastColumn="0" w:lastRowFirstColumn="0" w:lastRowLastColumn="0"/>
            <w:tcW w:w="2689" w:type="dxa"/>
            <w:hideMark/>
          </w:tcPr>
          <w:p w14:paraId="775CB7F2" w14:textId="2FB109E9" w:rsidR="00407FCD" w:rsidRPr="00A407DF" w:rsidRDefault="006B4D8C" w:rsidP="00407FCD">
            <w:pPr>
              <w:textAlignment w:val="baseline"/>
              <w:rPr>
                <w:rFonts w:ascii="Times New Roman" w:eastAsia="Times New Roman" w:hAnsi="Times New Roman" w:cs="Times New Roman"/>
                <w:sz w:val="24"/>
                <w:szCs w:val="24"/>
              </w:rPr>
            </w:pPr>
            <w:r w:rsidRPr="00A407DF">
              <w:rPr>
                <w:rFonts w:eastAsia="Times New Roman"/>
              </w:rPr>
              <w:t>3.</w:t>
            </w:r>
            <w:r w:rsidR="00A50441">
              <w:rPr>
                <w:rFonts w:eastAsia="Times New Roman"/>
              </w:rPr>
              <w:t>4</w:t>
            </w:r>
            <w:r w:rsidRPr="00A407DF">
              <w:rPr>
                <w:rFonts w:eastAsia="Times New Roman"/>
              </w:rPr>
              <w:t xml:space="preserve"> </w:t>
            </w:r>
            <w:r w:rsidR="00407FCD" w:rsidRPr="00A407DF">
              <w:rPr>
                <w:rFonts w:eastAsia="Times New Roman"/>
              </w:rPr>
              <w:t>IDB to communicate early on updates and new issues, and respond to ad hoc requests from Defra </w:t>
            </w:r>
          </w:p>
        </w:tc>
        <w:tc>
          <w:tcPr>
            <w:tcW w:w="1781" w:type="dxa"/>
            <w:hideMark/>
          </w:tcPr>
          <w:p w14:paraId="3B09BEF8" w14:textId="71372153" w:rsidR="00407FCD" w:rsidRPr="00A407DF" w:rsidRDefault="00407FCD" w:rsidP="00407FCD">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407DF">
              <w:rPr>
                <w:rFonts w:eastAsia="Times New Roman"/>
              </w:rPr>
              <w:t>Updates as required</w:t>
            </w:r>
          </w:p>
        </w:tc>
        <w:tc>
          <w:tcPr>
            <w:tcW w:w="3867" w:type="dxa"/>
            <w:hideMark/>
          </w:tcPr>
          <w:p w14:paraId="7FEFF3E6" w14:textId="0EA30BB3" w:rsidR="00407FCD" w:rsidRPr="001C7292" w:rsidRDefault="752E776D" w:rsidP="10B17927">
            <w:pP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10B17927">
              <w:rPr>
                <w:rFonts w:asciiTheme="minorHAnsi" w:eastAsia="Times New Roman" w:hAnsiTheme="minorHAnsi" w:cs="Times New Roman"/>
              </w:rPr>
              <w:t xml:space="preserve">Partially achieved. The IDB have responded to a variety of requests quickly. However, there have been a number of instances where delays and updates have not been shared with Defra as early, or in as much detail, as expected (see below for more information). </w:t>
            </w:r>
          </w:p>
        </w:tc>
        <w:tc>
          <w:tcPr>
            <w:tcW w:w="648" w:type="dxa"/>
            <w:hideMark/>
          </w:tcPr>
          <w:p w14:paraId="336CCD85" w14:textId="44E068C6" w:rsidR="00407FCD" w:rsidRPr="002E79CB" w:rsidRDefault="00407FCD" w:rsidP="009E7BCD">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2E79CB">
              <w:rPr>
                <w:rFonts w:eastAsia="Times New Roman"/>
                <w:b/>
                <w:bCs/>
              </w:rPr>
              <w:t>B</w:t>
            </w:r>
          </w:p>
        </w:tc>
      </w:tr>
      <w:tr w:rsidR="00407FCD" w:rsidRPr="00BB7661" w14:paraId="6B1031EA" w14:textId="77777777" w:rsidTr="0BDD4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hideMark/>
          </w:tcPr>
          <w:p w14:paraId="77F909A7" w14:textId="35D5F2B5" w:rsidR="00407FCD" w:rsidRPr="00A407DF" w:rsidRDefault="006B4D8C" w:rsidP="00407FCD">
            <w:pPr>
              <w:textAlignment w:val="baseline"/>
              <w:rPr>
                <w:rFonts w:ascii="Times New Roman" w:eastAsia="Times New Roman" w:hAnsi="Times New Roman" w:cs="Times New Roman"/>
                <w:sz w:val="24"/>
                <w:szCs w:val="24"/>
              </w:rPr>
            </w:pPr>
            <w:r w:rsidRPr="00A407DF">
              <w:rPr>
                <w:rFonts w:eastAsia="Times New Roman"/>
              </w:rPr>
              <w:t>3.</w:t>
            </w:r>
            <w:r w:rsidR="00A50441">
              <w:rPr>
                <w:rFonts w:eastAsia="Times New Roman"/>
              </w:rPr>
              <w:t>5</w:t>
            </w:r>
            <w:r w:rsidRPr="00A407DF">
              <w:rPr>
                <w:rFonts w:eastAsia="Times New Roman"/>
              </w:rPr>
              <w:t xml:space="preserve"> </w:t>
            </w:r>
            <w:r w:rsidR="00407FCD" w:rsidRPr="00A407DF">
              <w:rPr>
                <w:rFonts w:eastAsia="Times New Roman"/>
              </w:rPr>
              <w:t xml:space="preserve">IDB to provide updates when significant new risks </w:t>
            </w:r>
            <w:r w:rsidR="00407FCD" w:rsidRPr="00A407DF">
              <w:rPr>
                <w:rFonts w:eastAsia="Times New Roman"/>
              </w:rPr>
              <w:lastRenderedPageBreak/>
              <w:t>emerge, or when status of risks increases significantly </w:t>
            </w:r>
          </w:p>
        </w:tc>
        <w:tc>
          <w:tcPr>
            <w:tcW w:w="1781" w:type="dxa"/>
            <w:hideMark/>
          </w:tcPr>
          <w:p w14:paraId="27F43D7C" w14:textId="51D470EA" w:rsidR="00407FCD" w:rsidRPr="00A407DF" w:rsidRDefault="34F1E77E" w:rsidP="00407FCD">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10B17927">
              <w:rPr>
                <w:rFonts w:eastAsia="Times New Roman"/>
              </w:rPr>
              <w:lastRenderedPageBreak/>
              <w:t>Updates as required</w:t>
            </w:r>
          </w:p>
        </w:tc>
        <w:tc>
          <w:tcPr>
            <w:tcW w:w="3867" w:type="dxa"/>
            <w:hideMark/>
          </w:tcPr>
          <w:p w14:paraId="5FE79496" w14:textId="655FA8CC" w:rsidR="00407FCD" w:rsidRPr="001C7292" w:rsidRDefault="001C7292" w:rsidP="00CC2837">
            <w:pP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1C7292">
              <w:rPr>
                <w:rFonts w:asciiTheme="minorHAnsi" w:eastAsia="Times New Roman" w:hAnsiTheme="minorHAnsi" w:cs="Times New Roman"/>
              </w:rPr>
              <w:t xml:space="preserve">Partially achieved. The IDB have provided updates when necessary. </w:t>
            </w:r>
            <w:r w:rsidRPr="001C7292">
              <w:rPr>
                <w:rFonts w:asciiTheme="minorHAnsi" w:eastAsia="Times New Roman" w:hAnsiTheme="minorHAnsi" w:cs="Times New Roman"/>
              </w:rPr>
              <w:lastRenderedPageBreak/>
              <w:t>However, there have been a number of instances where the IDB have not clearly communicated, or have downplayed, risks to programme delivery (see below for more information).</w:t>
            </w:r>
          </w:p>
        </w:tc>
        <w:tc>
          <w:tcPr>
            <w:tcW w:w="648" w:type="dxa"/>
            <w:hideMark/>
          </w:tcPr>
          <w:p w14:paraId="523C36D4" w14:textId="4A20CB08" w:rsidR="00407FCD" w:rsidRPr="002E79CB" w:rsidRDefault="00407FCD" w:rsidP="009E7BCD">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2E79CB">
              <w:rPr>
                <w:rFonts w:eastAsia="Times New Roman"/>
                <w:b/>
                <w:bCs/>
              </w:rPr>
              <w:lastRenderedPageBreak/>
              <w:t>B</w:t>
            </w:r>
          </w:p>
        </w:tc>
      </w:tr>
    </w:tbl>
    <w:p w14:paraId="2175C798" w14:textId="77777777" w:rsidR="00CB4678" w:rsidRDefault="00CB4678" w:rsidP="00BB7661">
      <w:pPr>
        <w:spacing w:after="0" w:line="240" w:lineRule="auto"/>
        <w:textAlignment w:val="baseline"/>
      </w:pPr>
    </w:p>
    <w:p w14:paraId="22390927" w14:textId="5905D1E8" w:rsidR="000F0621" w:rsidRDefault="000F0621" w:rsidP="00AF04EE">
      <w:pPr>
        <w:pStyle w:val="Heading3"/>
      </w:pPr>
      <w:r>
        <w:t>Key Points</w:t>
      </w:r>
    </w:p>
    <w:p w14:paraId="140F26D5" w14:textId="21D75F03" w:rsidR="00FB43DE" w:rsidRDefault="00667993" w:rsidP="00D06DA9">
      <w:pPr>
        <w:jc w:val="both"/>
        <w:rPr>
          <w:lang w:eastAsia="en-GB"/>
        </w:rPr>
      </w:pPr>
      <w:r w:rsidRPr="0BDD4FF3">
        <w:rPr>
          <w:lang w:eastAsia="en-GB"/>
        </w:rPr>
        <w:t xml:space="preserve">Communication has fallen short of expectations throughout 2020/21 with insufficient communication of critical risks as the most significant issue. </w:t>
      </w:r>
      <w:r w:rsidR="00FB43DE" w:rsidRPr="0BDD4FF3">
        <w:rPr>
          <w:lang w:eastAsia="en-GB"/>
        </w:rPr>
        <w:t xml:space="preserve">Greater clarity on expectations regarding communication would be beneficial and Defra recommends including these in the PMM which should be revised shortly after this Annual Review. This should include a clear formal process for reporting risks, challenges, and issues; templates and outlines for indicative work plans and further detailed execution plans including content and timeframes; </w:t>
      </w:r>
      <w:r w:rsidR="00480BAC" w:rsidRPr="0BDD4FF3">
        <w:rPr>
          <w:lang w:eastAsia="en-GB"/>
        </w:rPr>
        <w:t xml:space="preserve">and a </w:t>
      </w:r>
      <w:r w:rsidR="00FB43DE" w:rsidRPr="0BDD4FF3">
        <w:rPr>
          <w:lang w:eastAsia="en-GB"/>
        </w:rPr>
        <w:t>clear formal process for regular progress updates.</w:t>
      </w:r>
    </w:p>
    <w:p w14:paraId="6F426DF4" w14:textId="77777777" w:rsidR="00074D87" w:rsidRDefault="00FB43DE" w:rsidP="00D06DA9">
      <w:pPr>
        <w:jc w:val="both"/>
        <w:rPr>
          <w:lang w:eastAsia="en-GB"/>
        </w:rPr>
      </w:pPr>
      <w:r>
        <w:rPr>
          <w:lang w:eastAsia="en-GB"/>
        </w:rPr>
        <w:t xml:space="preserve">In line with ICF requirements, risks should be reviewed quarterly and be a standing agenda at the bi-annual Advisory Board and bi-annual Checkpoint meetings. </w:t>
      </w:r>
      <w:r w:rsidR="00074D87">
        <w:rPr>
          <w:lang w:eastAsia="en-GB"/>
        </w:rPr>
        <w:t xml:space="preserve">However, any new risks or significant changes to the status of risks should be reported to Defra as soon as possible. </w:t>
      </w:r>
      <w:r>
        <w:rPr>
          <w:lang w:eastAsia="en-GB"/>
        </w:rPr>
        <w:t xml:space="preserve">The Administrative Agreement </w:t>
      </w:r>
      <w:r w:rsidR="00074D87">
        <w:rPr>
          <w:lang w:eastAsia="en-GB"/>
        </w:rPr>
        <w:t>states:</w:t>
      </w:r>
    </w:p>
    <w:p w14:paraId="5AF202F9" w14:textId="1168E426" w:rsidR="00074D87" w:rsidRDefault="00074D87" w:rsidP="00074D87">
      <w:pPr>
        <w:ind w:left="720"/>
        <w:jc w:val="both"/>
        <w:rPr>
          <w:i/>
          <w:iCs/>
          <w:lang w:eastAsia="en-GB"/>
        </w:rPr>
      </w:pPr>
      <w:r>
        <w:rPr>
          <w:i/>
          <w:iCs/>
          <w:lang w:eastAsia="en-GB"/>
        </w:rPr>
        <w:t>The IDB and Defra, and other stakeholder representatives, if agreed by the Parties (the “Advisory Board”) will meet at least once every 6 (six) months to review the progress of the Fund and to discuss issues of mutual interest … In the event there are matters that require attention prior to the next scheduled Advisory Board, either Party may request a special ad-hoc meeting.</w:t>
      </w:r>
    </w:p>
    <w:p w14:paraId="60F2E8D5" w14:textId="77777777" w:rsidR="00074D87" w:rsidRDefault="00074D87" w:rsidP="00074D87">
      <w:pPr>
        <w:jc w:val="both"/>
        <w:rPr>
          <w:lang w:eastAsia="en-GB"/>
        </w:rPr>
      </w:pPr>
      <w:r>
        <w:rPr>
          <w:lang w:eastAsia="en-GB"/>
        </w:rPr>
        <w:t xml:space="preserve">This includes important agenda items such as risk. By implementing best practice with regards to risk monitoring and reporting, risk can be mitigated or resolved as soon as possible to reduce potential negative impacts on the delivery of the UK BCF and the expected impact of the programme. </w:t>
      </w:r>
      <w:bookmarkStart w:id="7" w:name="_Hlk103007090"/>
      <w:r>
        <w:rPr>
          <w:lang w:eastAsia="en-GB"/>
        </w:rPr>
        <w:t xml:space="preserve">Defra can provide support to mitigate or resolve risks such as working with the IDB to develop solutions, engaging relevant embassies, and seeking advice from FCDO where appropriate. </w:t>
      </w:r>
    </w:p>
    <w:bookmarkEnd w:id="7"/>
    <w:p w14:paraId="3116C33D" w14:textId="17613037" w:rsidR="00C922EA" w:rsidRDefault="00480BAC" w:rsidP="00074D87">
      <w:pPr>
        <w:jc w:val="both"/>
        <w:rPr>
          <w:lang w:eastAsia="en-GB"/>
        </w:rPr>
      </w:pPr>
      <w:r>
        <w:rPr>
          <w:lang w:eastAsia="en-GB"/>
        </w:rPr>
        <w:t xml:space="preserve">However, </w:t>
      </w:r>
      <w:r w:rsidR="5C7E46B6" w:rsidRPr="500835CD">
        <w:rPr>
          <w:lang w:eastAsia="en-GB"/>
        </w:rPr>
        <w:t xml:space="preserve">Defra has not been informed in a sufficiently timely manner of </w:t>
      </w:r>
      <w:r w:rsidR="1AE6251E" w:rsidRPr="500835CD">
        <w:rPr>
          <w:lang w:eastAsia="en-GB"/>
        </w:rPr>
        <w:t>significant changes to the status of risks. For example, Defra was not made aware of the extent of delays caused by the impacts of the COVID-19 pandemic. The IDB initially communicated that the programme would not be impacted as planned activities were in the early stages of implementation and were primarily focused on desk-based studies. It is evident in this Annual Review that the risk of delays due to the COVID-19 pandemic increased significantly as projects progressed through implementation and activities were delayed, although this was not communicated to Defra at the time.</w:t>
      </w:r>
    </w:p>
    <w:p w14:paraId="500A63FC" w14:textId="613E9A93" w:rsidR="00942BD4" w:rsidRDefault="005A5E07" w:rsidP="00D06DA9">
      <w:pPr>
        <w:jc w:val="both"/>
      </w:pPr>
      <w:r w:rsidRPr="444D1C45">
        <w:rPr>
          <w:lang w:eastAsia="en-GB"/>
        </w:rPr>
        <w:t>Delays are also not always clearly explained and, at times, do not come with a robust justification, explanation of expected impacts, or updated work plan</w:t>
      </w:r>
      <w:r w:rsidR="007009F1" w:rsidRPr="444D1C45">
        <w:rPr>
          <w:lang w:eastAsia="en-GB"/>
        </w:rPr>
        <w:t>s</w:t>
      </w:r>
      <w:r w:rsidRPr="444D1C45">
        <w:rPr>
          <w:lang w:eastAsia="en-GB"/>
        </w:rPr>
        <w:t xml:space="preserve"> to identify how delays will be rectified and further delays mitigated. </w:t>
      </w:r>
      <w:r w:rsidR="00C13004" w:rsidRPr="444D1C45">
        <w:rPr>
          <w:lang w:eastAsia="en-GB"/>
        </w:rPr>
        <w:t>This information is also crucial to ensuring that delays and changes to expected impacts are accurately reflected in M&amp;E tools such as the logical framework.</w:t>
      </w:r>
      <w:r w:rsidRPr="444D1C45">
        <w:rPr>
          <w:lang w:eastAsia="en-GB"/>
        </w:rPr>
        <w:t xml:space="preserve"> To ensure confidence going forward, the IDB should notify Defra of any delays at the soonest possible moment</w:t>
      </w:r>
      <w:r w:rsidR="00942BD4" w:rsidRPr="444D1C45">
        <w:rPr>
          <w:lang w:eastAsia="en-GB"/>
        </w:rPr>
        <w:t xml:space="preserve"> and ensure the supporting information identified above is provided. In addition, bi-annual Checkpoints</w:t>
      </w:r>
      <w:r w:rsidRPr="444D1C45">
        <w:rPr>
          <w:lang w:eastAsia="en-GB"/>
        </w:rPr>
        <w:t xml:space="preserve"> should be introduced to supplement bi-annual Advisory Boards and provide a quarterly progress update to help ensure delays can be addressed quickly and appropriately.</w:t>
      </w:r>
      <w:r w:rsidR="00942BD4">
        <w:t xml:space="preserve"> An increase in communication with IDB country offices is also needed to ensure Defra is updated on new issues, and in good time.</w:t>
      </w:r>
    </w:p>
    <w:p w14:paraId="3DF8A023" w14:textId="6A170AA1" w:rsidR="0094682B" w:rsidRDefault="5BE58120" w:rsidP="00D06DA9">
      <w:pPr>
        <w:jc w:val="both"/>
        <w:rPr>
          <w:color w:val="FF0000"/>
        </w:rPr>
      </w:pPr>
      <w:r>
        <w:lastRenderedPageBreak/>
        <w:t xml:space="preserve">The IDB formally presented on progress in June 2021, outlining </w:t>
      </w:r>
      <w:r w:rsidR="3F5CF9C6">
        <w:t>achievements, 6</w:t>
      </w:r>
      <w:r w:rsidR="40F4371E">
        <w:t>-</w:t>
      </w:r>
      <w:r w:rsidR="3F5CF9C6">
        <w:t xml:space="preserve">month forward look, and risks of approved projects; </w:t>
      </w:r>
      <w:r w:rsidR="40F4371E">
        <w:t>status, expected approval, and risks of pipeline projects; status of pre-pipeline projects; finance update</w:t>
      </w:r>
      <w:r w:rsidR="79947773">
        <w:t>; and actions taken against last year’s recommendations</w:t>
      </w:r>
      <w:r>
        <w:t xml:space="preserve">. This has been an improvement on previous communication and offered Defra’s new policy team a welcomed introduction to the programme. However, </w:t>
      </w:r>
      <w:r w:rsidR="79947773">
        <w:t xml:space="preserve">this was high level, </w:t>
      </w:r>
      <w:r w:rsidR="339E085C">
        <w:t xml:space="preserve">and </w:t>
      </w:r>
      <w:r>
        <w:t xml:space="preserve">more </w:t>
      </w:r>
      <w:r w:rsidR="40F4371E">
        <w:t>detail</w:t>
      </w:r>
      <w:r>
        <w:t xml:space="preserve"> is required in the future. The presentation lacked a detailed work plan beyond Defra’s expected approval dates</w:t>
      </w:r>
      <w:r w:rsidR="40F4371E">
        <w:t xml:space="preserve"> for pipeline projects, as well as </w:t>
      </w:r>
      <w:r>
        <w:t>important information relating to risks</w:t>
      </w:r>
      <w:r w:rsidR="40F4371E">
        <w:t xml:space="preserve">, </w:t>
      </w:r>
      <w:r>
        <w:t>challenges</w:t>
      </w:r>
      <w:r w:rsidR="40F4371E">
        <w:t xml:space="preserve">, and next steps for the </w:t>
      </w:r>
      <w:r w:rsidR="79947773">
        <w:t>programme</w:t>
      </w:r>
      <w:r>
        <w:t>. This means that Defra cannot confidently confirm if project activities are in line with project delivery plans</w:t>
      </w:r>
      <w:r w:rsidR="40F4371E">
        <w:t xml:space="preserve"> </w:t>
      </w:r>
      <w:r>
        <w:t xml:space="preserve">and the extent of delays is uncertain. </w:t>
      </w:r>
      <w:r w:rsidR="40F4371E">
        <w:t xml:space="preserve"> Due to struggles with time management during the presentation, the slide pack provided was not fully presented on. Performance concerns needed to be addressed and so the programme was put on hold prior to further discussions taking place.</w:t>
      </w:r>
    </w:p>
    <w:p w14:paraId="718BCB28" w14:textId="370AD0D3" w:rsidR="000B7547" w:rsidRDefault="73E5073E" w:rsidP="00D06DA9">
      <w:pPr>
        <w:jc w:val="both"/>
        <w:rPr>
          <w:color w:val="FF0000"/>
        </w:rPr>
      </w:pPr>
      <w:r>
        <w:t xml:space="preserve">High level </w:t>
      </w:r>
      <w:r w:rsidR="0EE50259">
        <w:t xml:space="preserve">indicative </w:t>
      </w:r>
      <w:r>
        <w:t>work plans for all implementing projects have been provided</w:t>
      </w:r>
      <w:r w:rsidR="43FD00E4">
        <w:t xml:space="preserve"> in project proposals</w:t>
      </w:r>
      <w:r>
        <w:t xml:space="preserve"> up to execution (also known as the disbursement of funds to the executing agency).</w:t>
      </w:r>
      <w:r w:rsidR="3A97A0CC">
        <w:t xml:space="preserve"> </w:t>
      </w:r>
      <w:r w:rsidR="7923D572">
        <w:t xml:space="preserve">Defra expects </w:t>
      </w:r>
      <w:r w:rsidR="43FD00E4">
        <w:t xml:space="preserve">further detailed execution </w:t>
      </w:r>
      <w:r w:rsidR="7923D572">
        <w:t xml:space="preserve">plans </w:t>
      </w:r>
      <w:r w:rsidR="001357B6">
        <w:t xml:space="preserve">(also known as procurement plans), which capture expected activities on the ground for implementing projects, </w:t>
      </w:r>
      <w:r w:rsidR="7923D572">
        <w:t>to be</w:t>
      </w:r>
      <w:r w:rsidR="43FD00E4">
        <w:t xml:space="preserve"> </w:t>
      </w:r>
      <w:r w:rsidR="7923D572">
        <w:t xml:space="preserve">developed as projects progress through implementation </w:t>
      </w:r>
      <w:r w:rsidR="3853A0F4">
        <w:t xml:space="preserve">and </w:t>
      </w:r>
      <w:r w:rsidR="43FD00E4">
        <w:t>be provided to Defra</w:t>
      </w:r>
      <w:r w:rsidR="3853A0F4">
        <w:t xml:space="preserve"> within 3 months of IDB approval.</w:t>
      </w:r>
      <w:r w:rsidR="7923D572">
        <w:t xml:space="preserve"> These are provided as part of the TCD package</w:t>
      </w:r>
      <w:r w:rsidR="000755A7">
        <w:t xml:space="preserve"> for implementing projects and have been</w:t>
      </w:r>
      <w:r w:rsidR="001357B6">
        <w:t xml:space="preserve"> provided </w:t>
      </w:r>
      <w:r w:rsidR="000755A7">
        <w:t xml:space="preserve">for </w:t>
      </w:r>
      <w:r w:rsidR="001357B6">
        <w:t xml:space="preserve">the Panama, Jamaica, and Colombia projects. However, they are not clear or sufficiently detailed to assess activities taking place on the ground. In addition, the execution plan for the Colombia project was provided in Spanish and therefore does not meet reporting and transparency requirements. </w:t>
      </w:r>
      <w:r w:rsidR="000755A7">
        <w:t xml:space="preserve">Defra should be informed of any updates or changes to these plans, which may occur due to unforeseen delays or further progress than expected as projects progress through execution. </w:t>
      </w:r>
      <w:r w:rsidR="001357B6">
        <w:t xml:space="preserve">Defra recommends that expectations for the execution plans </w:t>
      </w:r>
      <w:r w:rsidR="000755A7">
        <w:t xml:space="preserve">and reporting on progress against these plans </w:t>
      </w:r>
      <w:r w:rsidR="001357B6">
        <w:t xml:space="preserve">should be included in the revised Programme Management Manual to ensure that these are clear and accessible. </w:t>
      </w:r>
    </w:p>
    <w:p w14:paraId="6C1F6FFF" w14:textId="1160281E" w:rsidR="000B7547" w:rsidRPr="000B7547" w:rsidRDefault="1A15C089" w:rsidP="00D06DA9">
      <w:pPr>
        <w:jc w:val="both"/>
      </w:pPr>
      <w:r>
        <w:t xml:space="preserve">In addition, the IDB is expected to submit a written statement indicating expected instalments based on the project pipeline in December and March of each year. This was agreed in 2021 and Defra received the first written statement on 30 March 2021. </w:t>
      </w:r>
    </w:p>
    <w:p w14:paraId="10BEF7F8" w14:textId="2DEBD33E" w:rsidR="00AE20C3" w:rsidRDefault="00AE20C3" w:rsidP="00D33DD9">
      <w:pPr>
        <w:pStyle w:val="Heading1"/>
        <w:numPr>
          <w:ilvl w:val="0"/>
          <w:numId w:val="3"/>
        </w:numPr>
        <w:ind w:left="426" w:hanging="426"/>
        <w:rPr>
          <w:lang w:val="en-US"/>
        </w:rPr>
      </w:pPr>
      <w:r>
        <w:rPr>
          <w:lang w:val="en-US"/>
        </w:rPr>
        <w:t>Value for Money &amp; Financial Performance</w:t>
      </w:r>
    </w:p>
    <w:p w14:paraId="4B13B7BB" w14:textId="3F253AF0" w:rsidR="00AE20C3" w:rsidRDefault="00AE20C3" w:rsidP="00E044A4">
      <w:pPr>
        <w:pStyle w:val="Heading2"/>
      </w:pPr>
      <w:r>
        <w:t>Key Cost Drivers and Performance</w:t>
      </w:r>
    </w:p>
    <w:p w14:paraId="1252D193" w14:textId="0AB351E9" w:rsidR="00AE20C3" w:rsidRPr="003F4053" w:rsidRDefault="00AE20C3" w:rsidP="003F4053">
      <w:pPr>
        <w:jc w:val="both"/>
        <w:rPr>
          <w:lang w:val="en-US"/>
        </w:rPr>
      </w:pPr>
      <w:r w:rsidRPr="003F4053">
        <w:rPr>
          <w:lang w:val="en-US"/>
        </w:rPr>
        <w:t>Administrative costs are capped at 5% at the programme level. Project</w:t>
      </w:r>
      <w:r w:rsidR="00516DB6">
        <w:rPr>
          <w:lang w:val="en-US"/>
        </w:rPr>
        <w:t>-</w:t>
      </w:r>
      <w:r w:rsidRPr="003F4053">
        <w:rPr>
          <w:lang w:val="en-US"/>
        </w:rPr>
        <w:t>level administrative costs, however, are considered on a case-by-case basis in line with FCDO guidance. They take account of the local needs of the project executor, the type of executing agency, and the local cost structure</w:t>
      </w:r>
      <w:r w:rsidR="00445E8C" w:rsidRPr="003F4053">
        <w:rPr>
          <w:lang w:val="en-US"/>
        </w:rPr>
        <w:t xml:space="preserve"> within operating countries</w:t>
      </w:r>
      <w:r w:rsidRPr="003F4053">
        <w:rPr>
          <w:lang w:val="en-US"/>
        </w:rPr>
        <w:t>. For example, some countries have higher costs for labour or services</w:t>
      </w:r>
      <w:r w:rsidR="00445E8C" w:rsidRPr="003F4053">
        <w:rPr>
          <w:lang w:val="en-US"/>
        </w:rPr>
        <w:t>, or require different levels of foreign or domestic travel.</w:t>
      </w:r>
    </w:p>
    <w:p w14:paraId="642FB022" w14:textId="2C4E31B4" w:rsidR="00D25CB6" w:rsidRDefault="00445E8C" w:rsidP="003F4053">
      <w:pPr>
        <w:jc w:val="both"/>
      </w:pPr>
      <w:r w:rsidRPr="003F4053">
        <w:t xml:space="preserve">Defra and the IDB continue to work to ensure administrative costs at the project level offer value for money. As reported in the previous Annual Review, administrative fees are set at 10% for the Panama Project; 13.3% for the Jamaica Project; 10% for the Colombia Project; and 9.7% for the Regional MRV Project. </w:t>
      </w:r>
      <w:r w:rsidR="003F4053" w:rsidRPr="003F4053">
        <w:t>The disparity in administrative costs between the Panama and Jamaica projects and other projects reflects the generally higher local cost structure in the Caribbean compared to other countries. There are no admin fees for the Dasgupta Review Project.</w:t>
      </w:r>
    </w:p>
    <w:p w14:paraId="6A96DDC2" w14:textId="3B860B14" w:rsidR="003F4053" w:rsidRDefault="6000D9E1" w:rsidP="00E044A4">
      <w:pPr>
        <w:pStyle w:val="Heading2"/>
      </w:pPr>
      <w:r>
        <w:t>Value for Money Performance</w:t>
      </w:r>
    </w:p>
    <w:p w14:paraId="2063D3E9" w14:textId="61D8B11A" w:rsidR="003F4053" w:rsidRPr="00DA13B5" w:rsidRDefault="00892231" w:rsidP="00484CCF">
      <w:pPr>
        <w:jc w:val="both"/>
        <w:rPr>
          <w:lang w:val="en-US"/>
        </w:rPr>
      </w:pPr>
      <w:r w:rsidRPr="00DA13B5">
        <w:rPr>
          <w:lang w:val="en-US"/>
        </w:rPr>
        <w:t xml:space="preserve">A full value for money assessment cannot be conducted at this time as the logical framework and related milestones and expected targets are not yet finalised. It is expected that the results framework </w:t>
      </w:r>
      <w:r w:rsidRPr="00DA13B5">
        <w:rPr>
          <w:lang w:val="en-US"/>
        </w:rPr>
        <w:lastRenderedPageBreak/>
        <w:t>will be finalised in time for the next Annual Review and a full value for money assessment will be carried out, including an updated benefit-cost ratio and net present value.</w:t>
      </w:r>
    </w:p>
    <w:p w14:paraId="46E368ED" w14:textId="74735F52" w:rsidR="003F4053" w:rsidRDefault="003F4053" w:rsidP="00E90AC2">
      <w:pPr>
        <w:pStyle w:val="Heading3"/>
        <w:rPr>
          <w:lang w:val="en-US"/>
        </w:rPr>
      </w:pPr>
      <w:r>
        <w:rPr>
          <w:lang w:val="en-US"/>
        </w:rPr>
        <w:t>Economy</w:t>
      </w:r>
    </w:p>
    <w:p w14:paraId="091CBB2A" w14:textId="1C5A0979" w:rsidR="003F4053" w:rsidRDefault="006A5FAF" w:rsidP="00484CCF">
      <w:pPr>
        <w:jc w:val="both"/>
        <w:rPr>
          <w:lang w:val="en-US"/>
        </w:rPr>
      </w:pPr>
      <w:r>
        <w:rPr>
          <w:rStyle w:val="normaltextrun"/>
          <w:rFonts w:cs="Calibri"/>
          <w:color w:val="000000"/>
          <w:bdr w:val="none" w:sz="0" w:space="0" w:color="auto" w:frame="1"/>
        </w:rPr>
        <w:t xml:space="preserve">Economy relates to buying inputs of the appropriate quality at the right price. </w:t>
      </w:r>
      <w:r w:rsidR="003F4053">
        <w:rPr>
          <w:lang w:val="en-US"/>
        </w:rPr>
        <w:t>Project</w:t>
      </w:r>
      <w:r w:rsidR="00516DB6">
        <w:rPr>
          <w:lang w:val="en-US"/>
        </w:rPr>
        <w:t>-</w:t>
      </w:r>
      <w:r w:rsidR="003F4053">
        <w:rPr>
          <w:lang w:val="en-US"/>
        </w:rPr>
        <w:t>level costs are minimi</w:t>
      </w:r>
      <w:r>
        <w:rPr>
          <w:lang w:val="en-US"/>
        </w:rPr>
        <w:t>s</w:t>
      </w:r>
      <w:r w:rsidR="003F4053">
        <w:rPr>
          <w:lang w:val="en-US"/>
        </w:rPr>
        <w:t>ed through the IDB’s use of in-country expertise and existing delivery frameworks. Projected budget breakdowns are provided at project conception to e</w:t>
      </w:r>
      <w:r w:rsidR="00273986">
        <w:rPr>
          <w:lang w:val="en-US"/>
        </w:rPr>
        <w:t>n</w:t>
      </w:r>
      <w:r w:rsidR="003F4053">
        <w:rPr>
          <w:lang w:val="en-US"/>
        </w:rPr>
        <w:t xml:space="preserve">able Defra to identify and mitigate any areas of potential financial risk. All projects </w:t>
      </w:r>
      <w:r w:rsidR="00273986">
        <w:rPr>
          <w:lang w:val="en-US"/>
        </w:rPr>
        <w:t>utilize the incentive-based instruments of the IDB Group such as technical cooperation grants, loans, high-risk investment grants and equity. To maximise value for money, these instruments are tailored to the individual intervention.</w:t>
      </w:r>
    </w:p>
    <w:p w14:paraId="70C6B681" w14:textId="75B6CDCC" w:rsidR="00273986" w:rsidRDefault="00273986" w:rsidP="00E90AC2">
      <w:pPr>
        <w:pStyle w:val="Heading3"/>
        <w:rPr>
          <w:lang w:val="en-US"/>
        </w:rPr>
      </w:pPr>
      <w:r>
        <w:rPr>
          <w:lang w:val="en-US"/>
        </w:rPr>
        <w:t>Efficiency</w:t>
      </w:r>
    </w:p>
    <w:p w14:paraId="01020639" w14:textId="1CA25E82" w:rsidR="00273986" w:rsidRDefault="006A5FAF" w:rsidP="00484CCF">
      <w:pPr>
        <w:jc w:val="both"/>
        <w:rPr>
          <w:lang w:val="en-US"/>
        </w:rPr>
      </w:pPr>
      <w:r>
        <w:rPr>
          <w:rStyle w:val="normaltextrun"/>
          <w:rFonts w:cs="Calibri"/>
          <w:color w:val="000000"/>
          <w:bdr w:val="none" w:sz="0" w:space="0" w:color="auto" w:frame="1"/>
        </w:rPr>
        <w:t xml:space="preserve">Efficiency relates to how well inputs are converted into outputs, i.e. ‘spending well.’ </w:t>
      </w:r>
      <w:r w:rsidR="00273986" w:rsidRPr="00256472">
        <w:rPr>
          <w:lang w:val="en-US"/>
        </w:rPr>
        <w:t>Of the five projects approved by Defra, four have entered implementation (Panama; Jamaica; Dasgupta; and Colombia) with the Regional MRV Project continuing to experience delays in receiving IDB eligibility.</w:t>
      </w:r>
    </w:p>
    <w:p w14:paraId="3FF91369" w14:textId="2E827237" w:rsidR="00273986" w:rsidRPr="00273986" w:rsidRDefault="00273986" w:rsidP="00484CCF">
      <w:pPr>
        <w:jc w:val="both"/>
        <w:rPr>
          <w:lang w:val="en-US"/>
        </w:rPr>
      </w:pPr>
      <w:r>
        <w:rPr>
          <w:lang w:val="en-US"/>
        </w:rPr>
        <w:t>In addition, the IDB has not yet finalised a detailed monitoring framework with clear timeframes and milestones. All ICF programmes require a logical framework and Theory of Change to be developed and finalised within the first 6 months of a programme</w:t>
      </w:r>
      <w:r w:rsidR="007C1A04">
        <w:rPr>
          <w:lang w:val="en-US"/>
        </w:rPr>
        <w:t xml:space="preserve">. While a number of updated versions </w:t>
      </w:r>
      <w:r w:rsidR="0002696A">
        <w:rPr>
          <w:lang w:val="en-US"/>
        </w:rPr>
        <w:t>of the indicative logical framework</w:t>
      </w:r>
      <w:r w:rsidR="00935E85">
        <w:rPr>
          <w:lang w:val="en-US"/>
        </w:rPr>
        <w:t xml:space="preserve"> and Theory of Change</w:t>
      </w:r>
      <w:r w:rsidR="0002696A">
        <w:rPr>
          <w:lang w:val="en-US"/>
        </w:rPr>
        <w:t xml:space="preserve"> </w:t>
      </w:r>
      <w:r w:rsidR="007C1A04">
        <w:rPr>
          <w:lang w:val="en-US"/>
        </w:rPr>
        <w:t xml:space="preserve">have been provided to Defra, these </w:t>
      </w:r>
      <w:r w:rsidR="0002696A">
        <w:rPr>
          <w:lang w:val="en-US"/>
        </w:rPr>
        <w:t xml:space="preserve">have not </w:t>
      </w:r>
      <w:r w:rsidR="009F672E">
        <w:rPr>
          <w:lang w:val="en-US"/>
        </w:rPr>
        <w:t xml:space="preserve">yet </w:t>
      </w:r>
      <w:r w:rsidR="0002696A">
        <w:rPr>
          <w:lang w:val="en-US"/>
        </w:rPr>
        <w:t xml:space="preserve">met </w:t>
      </w:r>
      <w:r w:rsidR="007C1A04">
        <w:rPr>
          <w:lang w:val="en-US"/>
        </w:rPr>
        <w:t xml:space="preserve">the </w:t>
      </w:r>
      <w:r w:rsidR="0002696A">
        <w:rPr>
          <w:lang w:val="en-US"/>
        </w:rPr>
        <w:t xml:space="preserve">required </w:t>
      </w:r>
      <w:r w:rsidR="007C1A04">
        <w:rPr>
          <w:lang w:val="en-US"/>
        </w:rPr>
        <w:t>standards for</w:t>
      </w:r>
      <w:r w:rsidR="009F672E">
        <w:rPr>
          <w:lang w:val="en-US"/>
        </w:rPr>
        <w:t xml:space="preserve"> a final </w:t>
      </w:r>
      <w:r w:rsidR="00935E85">
        <w:rPr>
          <w:lang w:val="en-US"/>
        </w:rPr>
        <w:t xml:space="preserve">ICF </w:t>
      </w:r>
      <w:r w:rsidR="009F672E">
        <w:rPr>
          <w:lang w:val="en-US"/>
        </w:rPr>
        <w:t>programme</w:t>
      </w:r>
      <w:r w:rsidR="00081D98">
        <w:rPr>
          <w:lang w:val="en-US"/>
        </w:rPr>
        <w:t xml:space="preserve"> level</w:t>
      </w:r>
      <w:r w:rsidR="009F672E">
        <w:rPr>
          <w:lang w:val="en-US"/>
        </w:rPr>
        <w:t xml:space="preserve"> </w:t>
      </w:r>
      <w:r w:rsidR="00935E85">
        <w:rPr>
          <w:lang w:val="en-US"/>
        </w:rPr>
        <w:t>results framework</w:t>
      </w:r>
      <w:r w:rsidR="004F6F60">
        <w:rPr>
          <w:lang w:val="en-US"/>
        </w:rPr>
        <w:t xml:space="preserve">. </w:t>
      </w:r>
      <w:r w:rsidR="007C1A04">
        <w:rPr>
          <w:lang w:val="en-US"/>
        </w:rPr>
        <w:t xml:space="preserve"> Significant delays to finalising the monitoring framework </w:t>
      </w:r>
      <w:r w:rsidR="004F6F60">
        <w:rPr>
          <w:lang w:val="en-US"/>
        </w:rPr>
        <w:t>have meant</w:t>
      </w:r>
      <w:r w:rsidR="007C1A04">
        <w:rPr>
          <w:lang w:val="en-US"/>
        </w:rPr>
        <w:t xml:space="preserve"> that Defra is unable to assess the effectiveness of the programme (see Section 4.2.3 for more detail). It also indicates a lack of efficiency and suggests that the IDB </w:t>
      </w:r>
      <w:r w:rsidR="00DD46CC">
        <w:rPr>
          <w:lang w:val="en-US"/>
        </w:rPr>
        <w:t xml:space="preserve">may not be </w:t>
      </w:r>
      <w:r w:rsidR="00081D98">
        <w:rPr>
          <w:lang w:val="en-US"/>
        </w:rPr>
        <w:t xml:space="preserve">sufficiently resourcing M&amp;E within the UK BCF team or </w:t>
      </w:r>
      <w:r w:rsidR="00DD46CC">
        <w:rPr>
          <w:lang w:val="en-US"/>
        </w:rPr>
        <w:t xml:space="preserve">adequately leveraging </w:t>
      </w:r>
      <w:r w:rsidR="007C1A04">
        <w:rPr>
          <w:lang w:val="en-US"/>
        </w:rPr>
        <w:t>M&amp;E expertise within the IDB Group. The lack of monitoring framework continues to be a significant risk.</w:t>
      </w:r>
    </w:p>
    <w:p w14:paraId="4ED59FEE" w14:textId="5F157547" w:rsidR="003F4053" w:rsidRDefault="002F707C" w:rsidP="00E90AC2">
      <w:pPr>
        <w:pStyle w:val="Heading3"/>
      </w:pPr>
      <w:r>
        <w:t>Effectiveness</w:t>
      </w:r>
    </w:p>
    <w:p w14:paraId="1D1787E3" w14:textId="5AC5C63C" w:rsidR="0088313E" w:rsidRDefault="006A5FAF" w:rsidP="00484CCF">
      <w:pPr>
        <w:jc w:val="both"/>
      </w:pPr>
      <w:r>
        <w:rPr>
          <w:rStyle w:val="normaltextrun"/>
          <w:rFonts w:cs="Calibri"/>
          <w:color w:val="000000"/>
          <w:shd w:val="clear" w:color="auto" w:fill="FFFFFF"/>
        </w:rPr>
        <w:t>This relates to whether the outputs produced by the intervention are having the intended effect, i.e. ‘spending wisely’.</w:t>
      </w:r>
      <w:r>
        <w:rPr>
          <w:rStyle w:val="eop"/>
          <w:rFonts w:ascii="Calibri" w:hAnsi="Calibri" w:cs="Calibri"/>
          <w:color w:val="000000"/>
          <w:shd w:val="clear" w:color="auto" w:fill="FFFFFF"/>
        </w:rPr>
        <w:t> </w:t>
      </w:r>
      <w:r w:rsidR="002F707C">
        <w:t xml:space="preserve">Defra is not able to confidently assess the effectiveness of the UK </w:t>
      </w:r>
      <w:r w:rsidR="00141CFA">
        <w:t>BCF</w:t>
      </w:r>
      <w:r w:rsidR="002F707C">
        <w:t xml:space="preserve"> at </w:t>
      </w:r>
      <w:r w:rsidR="002F707C" w:rsidRPr="00206937">
        <w:t>this time</w:t>
      </w:r>
      <w:r w:rsidRPr="00206937">
        <w:t xml:space="preserve"> due to the</w:t>
      </w:r>
      <w:r w:rsidR="002F707C" w:rsidRPr="00206937">
        <w:t xml:space="preserve"> lack of programme</w:t>
      </w:r>
      <w:r w:rsidR="00516DB6">
        <w:t>-</w:t>
      </w:r>
      <w:r w:rsidR="002F707C" w:rsidRPr="00206937">
        <w:t>level logical framework and Theory of Change</w:t>
      </w:r>
      <w:r w:rsidRPr="00206937">
        <w:t>.</w:t>
      </w:r>
      <w:r w:rsidR="00691E7B" w:rsidRPr="00206937">
        <w:t xml:space="preserve"> </w:t>
      </w:r>
      <w:r w:rsidR="00206937" w:rsidRPr="00206937">
        <w:t>In addition, r</w:t>
      </w:r>
      <w:r w:rsidR="00691E7B" w:rsidRPr="00206937">
        <w:t xml:space="preserve">eporting against </w:t>
      </w:r>
      <w:r w:rsidR="00206937" w:rsidRPr="00206937">
        <w:t xml:space="preserve">the first set of </w:t>
      </w:r>
      <w:r w:rsidR="00691E7B" w:rsidRPr="00206937">
        <w:t>project-specific milestones</w:t>
      </w:r>
      <w:r w:rsidR="00206937" w:rsidRPr="00206937">
        <w:t xml:space="preserve"> for implementing projects are not due until the end of </w:t>
      </w:r>
      <w:r w:rsidR="00713925" w:rsidRPr="00713925">
        <w:t>2021</w:t>
      </w:r>
      <w:r w:rsidR="00206937" w:rsidRPr="00713925">
        <w:t xml:space="preserve"> </w:t>
      </w:r>
      <w:r w:rsidR="00206937" w:rsidRPr="00206937">
        <w:t xml:space="preserve">(Panama) and </w:t>
      </w:r>
      <w:r w:rsidR="00713925" w:rsidRPr="00713925">
        <w:t>2022</w:t>
      </w:r>
      <w:r w:rsidR="00206937" w:rsidRPr="00713925">
        <w:t xml:space="preserve"> </w:t>
      </w:r>
      <w:r w:rsidR="00206937" w:rsidRPr="00206937">
        <w:t>(Colombia)</w:t>
      </w:r>
      <w:r w:rsidR="00691E7B" w:rsidRPr="00206937">
        <w:t xml:space="preserve">, as laid </w:t>
      </w:r>
      <w:r w:rsidR="00691E7B">
        <w:t>out in the</w:t>
      </w:r>
      <w:r w:rsidR="00206937">
        <w:t xml:space="preserve"> individual</w:t>
      </w:r>
      <w:r w:rsidR="00691E7B">
        <w:t xml:space="preserve"> results matrix</w:t>
      </w:r>
      <w:r w:rsidR="00206937">
        <w:t xml:space="preserve"> for the projects</w:t>
      </w:r>
      <w:r w:rsidR="00691E7B">
        <w:t>.</w:t>
      </w:r>
      <w:r>
        <w:t xml:space="preserve"> </w:t>
      </w:r>
      <w:r w:rsidR="0088313E">
        <w:t>While the first project-specific milestones for the Jamaica Project were due in December 2020, there is no programme</w:t>
      </w:r>
      <w:r w:rsidR="00516DB6">
        <w:t>-</w:t>
      </w:r>
      <w:r w:rsidR="0088313E">
        <w:t xml:space="preserve">level logical framework for these to feed into. </w:t>
      </w:r>
      <w:r w:rsidR="00206937" w:rsidRPr="00206937">
        <w:t xml:space="preserve">Therefore, Defra cannot assess </w:t>
      </w:r>
      <w:r w:rsidR="002F707C" w:rsidRPr="00206937">
        <w:t xml:space="preserve">how well the projects and overall programme are meeting </w:t>
      </w:r>
      <w:r w:rsidR="00DA13B5" w:rsidRPr="00206937">
        <w:t xml:space="preserve">goals and </w:t>
      </w:r>
      <w:r w:rsidR="002F707C" w:rsidRPr="00206937">
        <w:t xml:space="preserve">key objectives, or the effectiveness of different pathways from outputs to outcomes. </w:t>
      </w:r>
    </w:p>
    <w:p w14:paraId="554114CF" w14:textId="7E98A5DD" w:rsidR="002F707C" w:rsidRDefault="002F707C" w:rsidP="00484CCF">
      <w:pPr>
        <w:jc w:val="both"/>
      </w:pPr>
      <w:r>
        <w:t xml:space="preserve">To provide confidence going forward, the IDB must provide a robust </w:t>
      </w:r>
      <w:r w:rsidR="00713925">
        <w:t>programme</w:t>
      </w:r>
      <w:r w:rsidR="00516DB6">
        <w:t>-</w:t>
      </w:r>
      <w:r w:rsidR="00713925">
        <w:t xml:space="preserve">level </w:t>
      </w:r>
      <w:r>
        <w:t>monitoring framework that will allow the programme to be accurately assessed alongside detailed work plans. Progress against implementing projects will be captured in the next Annual Review which will report against the approved programme-level logical framework. Supplementary quarterly meetings (also known as Checkpoints), as mentioned above and in last year’s Annual Review, to discuss progress and risks will also provide the confidence required to assess the effectiveness of the programme and its projects.</w:t>
      </w:r>
    </w:p>
    <w:p w14:paraId="17EC0BC6" w14:textId="29CAD027" w:rsidR="002F707C" w:rsidRDefault="00063EA2" w:rsidP="00FD26CC">
      <w:pPr>
        <w:pStyle w:val="Heading3"/>
        <w:jc w:val="both"/>
      </w:pPr>
      <w:r>
        <w:lastRenderedPageBreak/>
        <w:t>Equity</w:t>
      </w:r>
    </w:p>
    <w:p w14:paraId="64A03E7C" w14:textId="10816C20" w:rsidR="00063EA2" w:rsidRDefault="006A5FAF" w:rsidP="00484CCF">
      <w:pPr>
        <w:jc w:val="both"/>
      </w:pPr>
      <w:r w:rsidRPr="00AE1A4C">
        <w:rPr>
          <w:rStyle w:val="normaltextrun"/>
          <w:rFonts w:cs="Calibri"/>
          <w:color w:val="000000"/>
          <w:shd w:val="clear" w:color="auto" w:fill="FFFFFF"/>
        </w:rPr>
        <w:t>Equity refers to how fairly the benefits are distributed and to what extent marginalised groups will be met, i.e. ‘spending fairly’.</w:t>
      </w:r>
      <w:r w:rsidRPr="00AE1A4C">
        <w:rPr>
          <w:rStyle w:val="eop"/>
          <w:rFonts w:ascii="Calibri" w:hAnsi="Calibri" w:cs="Calibri"/>
          <w:color w:val="000000"/>
          <w:shd w:val="clear" w:color="auto" w:fill="FFFFFF"/>
        </w:rPr>
        <w:t> </w:t>
      </w:r>
      <w:r w:rsidR="00063EA2" w:rsidRPr="00AE1A4C">
        <w:t>A combination of delays to progress on the ground and the lack of monitoring framework means that Defra cannot be confident that the programme is delivering equity.</w:t>
      </w:r>
      <w:r w:rsidRPr="00AE1A4C">
        <w:t xml:space="preserve"> While some project</w:t>
      </w:r>
      <w:r w:rsidR="00516DB6" w:rsidRPr="00AE1A4C">
        <w:t>-</w:t>
      </w:r>
      <w:r w:rsidRPr="00AE1A4C">
        <w:t>level impacts are disaggregated by gender in their design, others will depend on conditions in the IDB’s disbursement to executing agencies as activities begin. To provide confidence going forward, the IDB must provide a robust monitoring framework that will allow the programme to be accurately assessed. Equity should also be considered thoroughly in the Evaluation Plan and project design phase wherever possible.</w:t>
      </w:r>
    </w:p>
    <w:p w14:paraId="305CA9CC" w14:textId="33916316" w:rsidR="006A5FAF" w:rsidRDefault="006A5FAF" w:rsidP="00E044A4">
      <w:pPr>
        <w:pStyle w:val="Heading2"/>
      </w:pPr>
      <w:r>
        <w:t xml:space="preserve">Value for Money Assessment: Does the UK </w:t>
      </w:r>
      <w:r w:rsidR="00141CFA">
        <w:t>BCF</w:t>
      </w:r>
      <w:r>
        <w:t xml:space="preserve"> Continue to </w:t>
      </w:r>
    </w:p>
    <w:p w14:paraId="68C317A1" w14:textId="5D886A22" w:rsidR="006A5FAF" w:rsidRDefault="006A5FAF" w:rsidP="00E044A4">
      <w:pPr>
        <w:pStyle w:val="Heading2"/>
        <w:numPr>
          <w:ilvl w:val="0"/>
          <w:numId w:val="0"/>
        </w:numPr>
        <w:ind w:left="720"/>
      </w:pPr>
      <w:r>
        <w:t>Represent Value for Money?</w:t>
      </w:r>
    </w:p>
    <w:p w14:paraId="7FC8FA6B" w14:textId="0F1A2583" w:rsidR="00F052A1" w:rsidRPr="002559B7" w:rsidRDefault="00F052A1" w:rsidP="002559B7">
      <w:pPr>
        <w:jc w:val="both"/>
        <w:rPr>
          <w:color w:val="000000" w:themeColor="text1"/>
          <w:lang w:val="en-US"/>
        </w:rPr>
      </w:pPr>
      <w:r w:rsidRPr="002559B7">
        <w:rPr>
          <w:color w:val="000000" w:themeColor="text1"/>
          <w:lang w:val="en-US"/>
        </w:rPr>
        <w:t xml:space="preserve">Defra </w:t>
      </w:r>
      <w:r w:rsidR="00A721FE" w:rsidRPr="002559B7">
        <w:rPr>
          <w:color w:val="000000" w:themeColor="text1"/>
          <w:lang w:val="en-US"/>
        </w:rPr>
        <w:t>cannot conclude if</w:t>
      </w:r>
      <w:r w:rsidRPr="002559B7">
        <w:rPr>
          <w:color w:val="000000" w:themeColor="text1"/>
          <w:lang w:val="en-US"/>
        </w:rPr>
        <w:t xml:space="preserve"> the UK </w:t>
      </w:r>
      <w:r w:rsidR="000755A7">
        <w:rPr>
          <w:color w:val="000000" w:themeColor="text1"/>
          <w:lang w:val="en-US"/>
        </w:rPr>
        <w:t>BCF</w:t>
      </w:r>
      <w:r w:rsidRPr="002559B7">
        <w:rPr>
          <w:color w:val="000000" w:themeColor="text1"/>
          <w:lang w:val="en-US"/>
        </w:rPr>
        <w:t xml:space="preserve"> </w:t>
      </w:r>
      <w:r w:rsidR="00A721FE" w:rsidRPr="002559B7">
        <w:rPr>
          <w:color w:val="000000" w:themeColor="text1"/>
          <w:lang w:val="en-US"/>
        </w:rPr>
        <w:t>continues to</w:t>
      </w:r>
      <w:r w:rsidRPr="002559B7">
        <w:rPr>
          <w:color w:val="000000" w:themeColor="text1"/>
          <w:lang w:val="en-US"/>
        </w:rPr>
        <w:t xml:space="preserve"> represent good value for money</w:t>
      </w:r>
      <w:r w:rsidR="00A721FE" w:rsidRPr="002559B7">
        <w:rPr>
          <w:color w:val="000000" w:themeColor="text1"/>
          <w:lang w:val="en-US"/>
        </w:rPr>
        <w:t xml:space="preserve"> as a formal assessment has not been conducted since the original Business Case.</w:t>
      </w:r>
    </w:p>
    <w:p w14:paraId="5968C83F" w14:textId="10B7DB97" w:rsidR="002559B7" w:rsidRPr="002559B7" w:rsidRDefault="00F052A1" w:rsidP="002559B7">
      <w:pPr>
        <w:jc w:val="both"/>
        <w:rPr>
          <w:color w:val="FF0000"/>
          <w:lang w:val="en-US"/>
        </w:rPr>
      </w:pPr>
      <w:r w:rsidRPr="002559B7">
        <w:rPr>
          <w:color w:val="000000" w:themeColor="text1"/>
          <w:lang w:val="en-US"/>
        </w:rPr>
        <w:t xml:space="preserve">The original Business Case appraised </w:t>
      </w:r>
      <w:r w:rsidR="00A721FE" w:rsidRPr="002559B7">
        <w:rPr>
          <w:color w:val="000000" w:themeColor="text1"/>
          <w:lang w:val="en-US"/>
        </w:rPr>
        <w:t>two</w:t>
      </w:r>
      <w:r w:rsidRPr="002559B7">
        <w:rPr>
          <w:color w:val="000000" w:themeColor="text1"/>
          <w:lang w:val="en-US"/>
        </w:rPr>
        <w:t xml:space="preserve"> funding options: </w:t>
      </w:r>
      <w:r w:rsidR="00A721FE" w:rsidRPr="002559B7">
        <w:rPr>
          <w:color w:val="000000" w:themeColor="text1"/>
          <w:lang w:val="en-US"/>
        </w:rPr>
        <w:t>£12.75m</w:t>
      </w:r>
      <w:r w:rsidRPr="002559B7">
        <w:rPr>
          <w:color w:val="000000" w:themeColor="text1"/>
          <w:lang w:val="en-US"/>
        </w:rPr>
        <w:t xml:space="preserve"> </w:t>
      </w:r>
      <w:r w:rsidR="00A721FE" w:rsidRPr="002559B7">
        <w:rPr>
          <w:color w:val="000000" w:themeColor="text1"/>
          <w:lang w:val="en-US"/>
        </w:rPr>
        <w:t>to establish a blue carbon programme with the IDB</w:t>
      </w:r>
      <w:r w:rsidRPr="002559B7">
        <w:rPr>
          <w:color w:val="000000" w:themeColor="text1"/>
          <w:lang w:val="en-US"/>
        </w:rPr>
        <w:t xml:space="preserve">; </w:t>
      </w:r>
      <w:r w:rsidR="00A721FE" w:rsidRPr="002559B7">
        <w:rPr>
          <w:color w:val="000000" w:themeColor="text1"/>
          <w:lang w:val="en-US"/>
        </w:rPr>
        <w:t>and £12.75m</w:t>
      </w:r>
      <w:r w:rsidRPr="002559B7">
        <w:rPr>
          <w:color w:val="000000" w:themeColor="text1"/>
          <w:lang w:val="en-US"/>
        </w:rPr>
        <w:t xml:space="preserve"> </w:t>
      </w:r>
      <w:r w:rsidR="00A721FE" w:rsidRPr="002559B7">
        <w:rPr>
          <w:color w:val="000000" w:themeColor="text1"/>
          <w:lang w:val="en-US"/>
        </w:rPr>
        <w:t>to establish a similar sustainable mangroves programme.</w:t>
      </w:r>
      <w:r w:rsidRPr="002559B7">
        <w:rPr>
          <w:color w:val="000000" w:themeColor="text1"/>
          <w:lang w:val="en-US"/>
        </w:rPr>
        <w:t xml:space="preserve"> </w:t>
      </w:r>
      <w:r w:rsidRPr="008D7ED5">
        <w:rPr>
          <w:lang w:val="en-US"/>
        </w:rPr>
        <w:t xml:space="preserve">Defra chose to invest in the </w:t>
      </w:r>
      <w:r w:rsidR="002559B7" w:rsidRPr="008D7ED5">
        <w:rPr>
          <w:lang w:val="en-US"/>
        </w:rPr>
        <w:t>IDB’s blue carbon programme</w:t>
      </w:r>
      <w:r w:rsidRPr="008D7ED5">
        <w:rPr>
          <w:lang w:val="en-US"/>
        </w:rPr>
        <w:t xml:space="preserve"> as </w:t>
      </w:r>
      <w:r w:rsidR="002559B7" w:rsidRPr="008D7ED5">
        <w:rPr>
          <w:lang w:val="en-US"/>
        </w:rPr>
        <w:t xml:space="preserve">this had the highest BCR and NPV and </w:t>
      </w:r>
      <w:r w:rsidR="008D7ED5" w:rsidRPr="008D7ED5">
        <w:rPr>
          <w:lang w:val="en-US"/>
        </w:rPr>
        <w:t>offered a lower risk investment</w:t>
      </w:r>
      <w:r w:rsidRPr="008D7ED5">
        <w:rPr>
          <w:lang w:val="en-US"/>
        </w:rPr>
        <w:t xml:space="preserve">. For this option, the NPV was calculated at </w:t>
      </w:r>
      <w:r w:rsidR="002559B7" w:rsidRPr="008D7ED5">
        <w:rPr>
          <w:lang w:val="en-US"/>
        </w:rPr>
        <w:t>£198.9m</w:t>
      </w:r>
      <w:r w:rsidR="00A721FE" w:rsidRPr="008D7ED5">
        <w:rPr>
          <w:lang w:val="en-US"/>
        </w:rPr>
        <w:t xml:space="preserve"> over 20 years and the BCR </w:t>
      </w:r>
      <w:r w:rsidR="00A721FE" w:rsidRPr="002559B7">
        <w:rPr>
          <w:lang w:val="en-US"/>
        </w:rPr>
        <w:t>was</w:t>
      </w:r>
      <w:r w:rsidR="002559B7" w:rsidRPr="002559B7">
        <w:rPr>
          <w:lang w:val="en-US"/>
        </w:rPr>
        <w:t xml:space="preserve"> </w:t>
      </w:r>
      <w:r w:rsidR="00A721FE" w:rsidRPr="002559B7">
        <w:rPr>
          <w:lang w:val="en-US"/>
        </w:rPr>
        <w:t xml:space="preserve">calculated at </w:t>
      </w:r>
      <w:r w:rsidR="002559B7" w:rsidRPr="002559B7">
        <w:rPr>
          <w:lang w:val="en-US"/>
        </w:rPr>
        <w:t>1:10.8</w:t>
      </w:r>
      <w:r w:rsidR="00A721FE" w:rsidRPr="002559B7">
        <w:rPr>
          <w:lang w:val="en-US"/>
        </w:rPr>
        <w:t>.</w:t>
      </w:r>
    </w:p>
    <w:p w14:paraId="6A00E066" w14:textId="04DFD138" w:rsidR="00F052A1" w:rsidRPr="002559B7" w:rsidRDefault="00F052A1" w:rsidP="002559B7">
      <w:pPr>
        <w:jc w:val="both"/>
        <w:rPr>
          <w:color w:val="000000" w:themeColor="text1"/>
          <w:lang w:val="en-US"/>
        </w:rPr>
      </w:pPr>
      <w:r w:rsidRPr="0BDD4FF3">
        <w:rPr>
          <w:color w:val="000000" w:themeColor="text1"/>
          <w:lang w:val="en-US"/>
        </w:rPr>
        <w:t xml:space="preserve">A number of changes and delays to the programme have taken place since the Business Case, </w:t>
      </w:r>
      <w:r w:rsidR="00A721FE" w:rsidRPr="0BDD4FF3">
        <w:rPr>
          <w:color w:val="000000" w:themeColor="text1"/>
          <w:lang w:val="en-US"/>
        </w:rPr>
        <w:t>including an internal escalation of issues</w:t>
      </w:r>
      <w:r w:rsidR="00C54849">
        <w:rPr>
          <w:color w:val="000000" w:themeColor="text1"/>
          <w:lang w:val="en-US"/>
        </w:rPr>
        <w:t>.</w:t>
      </w:r>
      <w:r w:rsidR="00A721FE" w:rsidRPr="0BDD4FF3">
        <w:rPr>
          <w:color w:val="000000" w:themeColor="text1"/>
          <w:lang w:val="en-US"/>
        </w:rPr>
        <w:t xml:space="preserve"> </w:t>
      </w:r>
      <w:r w:rsidR="00C54849">
        <w:rPr>
          <w:color w:val="000000" w:themeColor="text1"/>
          <w:lang w:val="en-US"/>
        </w:rPr>
        <w:t>T</w:t>
      </w:r>
      <w:r w:rsidRPr="0BDD4FF3">
        <w:rPr>
          <w:color w:val="000000" w:themeColor="text1"/>
          <w:lang w:val="en-US"/>
        </w:rPr>
        <w:t xml:space="preserve">hese figures </w:t>
      </w:r>
      <w:r w:rsidR="00C54849">
        <w:rPr>
          <w:color w:val="000000" w:themeColor="text1"/>
          <w:lang w:val="en-US"/>
        </w:rPr>
        <w:t xml:space="preserve">may </w:t>
      </w:r>
      <w:r w:rsidRPr="0BDD4FF3">
        <w:rPr>
          <w:color w:val="000000" w:themeColor="text1"/>
          <w:lang w:val="en-US"/>
        </w:rPr>
        <w:t>no longer accurately reflect the value for money of the pr</w:t>
      </w:r>
      <w:r w:rsidR="00A721FE" w:rsidRPr="0BDD4FF3">
        <w:rPr>
          <w:color w:val="000000" w:themeColor="text1"/>
          <w:lang w:val="en-US"/>
        </w:rPr>
        <w:t>ogramme</w:t>
      </w:r>
      <w:r w:rsidR="00886CAB">
        <w:rPr>
          <w:color w:val="000000" w:themeColor="text1"/>
          <w:lang w:val="en-US"/>
        </w:rPr>
        <w:t xml:space="preserve"> and a</w:t>
      </w:r>
      <w:r w:rsidR="00A721FE" w:rsidRPr="0BDD4FF3">
        <w:rPr>
          <w:color w:val="000000" w:themeColor="text1"/>
          <w:lang w:val="en-US"/>
        </w:rPr>
        <w:t xml:space="preserve"> full </w:t>
      </w:r>
      <w:r w:rsidR="00886CAB">
        <w:rPr>
          <w:color w:val="000000" w:themeColor="text1"/>
          <w:lang w:val="en-US"/>
        </w:rPr>
        <w:t>Value</w:t>
      </w:r>
      <w:r w:rsidR="00A721FE" w:rsidRPr="0BDD4FF3">
        <w:rPr>
          <w:color w:val="000000" w:themeColor="text1"/>
          <w:lang w:val="en-US"/>
        </w:rPr>
        <w:t xml:space="preserve"> for </w:t>
      </w:r>
      <w:r w:rsidR="00886CAB">
        <w:rPr>
          <w:color w:val="000000" w:themeColor="text1"/>
          <w:lang w:val="en-US"/>
        </w:rPr>
        <w:t>Money</w:t>
      </w:r>
      <w:r w:rsidR="00A721FE" w:rsidRPr="0BDD4FF3">
        <w:rPr>
          <w:color w:val="000000" w:themeColor="text1"/>
          <w:lang w:val="en-US"/>
        </w:rPr>
        <w:t xml:space="preserve"> assessment should be carried out for the next Annual Review</w:t>
      </w:r>
      <w:r w:rsidR="002559B7" w:rsidRPr="0BDD4FF3">
        <w:rPr>
          <w:color w:val="000000" w:themeColor="text1"/>
          <w:lang w:val="en-US"/>
        </w:rPr>
        <w:t>.</w:t>
      </w:r>
    </w:p>
    <w:p w14:paraId="1149F46F" w14:textId="5E7F4FF3" w:rsidR="006A5FAF" w:rsidRDefault="006A5FAF" w:rsidP="00E044A4">
      <w:pPr>
        <w:pStyle w:val="Heading2"/>
      </w:pPr>
      <w:r>
        <w:t>Quality of Financial Management</w:t>
      </w:r>
    </w:p>
    <w:p w14:paraId="552B001B" w14:textId="03E9A9A9" w:rsidR="006A5FAF" w:rsidRPr="00691E7B" w:rsidRDefault="112FBF4F" w:rsidP="00484CCF">
      <w:pPr>
        <w:jc w:val="both"/>
        <w:rPr>
          <w:lang w:val="en-US"/>
        </w:rPr>
      </w:pPr>
      <w:r w:rsidRPr="63B8E9F6">
        <w:rPr>
          <w:lang w:val="en-US"/>
        </w:rPr>
        <w:t xml:space="preserve">Defra are satisfied with the </w:t>
      </w:r>
      <w:r w:rsidR="753ADB45" w:rsidRPr="63B8E9F6">
        <w:rPr>
          <w:lang w:val="en-US"/>
        </w:rPr>
        <w:t xml:space="preserve">overall </w:t>
      </w:r>
      <w:r w:rsidRPr="63B8E9F6">
        <w:rPr>
          <w:lang w:val="en-US"/>
        </w:rPr>
        <w:t>quality of financial management deployed by the IDB. All operations that are fully or partially financed by the IDB are subject to financial management arrangements and requirements agreed between the IDB and executing agency. These requirements generally include financial planning and cash flow needs, financial records and reports, effective internal controls, external audits, and comprehensive supervision by the IDB. The IDB considers that all requirements should be specifically met by all parties.</w:t>
      </w:r>
    </w:p>
    <w:p w14:paraId="27513F76" w14:textId="57DE412A" w:rsidR="008D7ED5" w:rsidRPr="009137AE" w:rsidRDefault="0A9304F7" w:rsidP="008D7ED5">
      <w:pPr>
        <w:jc w:val="both"/>
        <w:rPr>
          <w:color w:val="FF0000"/>
        </w:rPr>
      </w:pPr>
      <w:r w:rsidRPr="45F269FA">
        <w:rPr>
          <w:lang w:val="en-US"/>
        </w:rPr>
        <w:t xml:space="preserve">As the number of projects entering implementation increases and projects progress through the execution phase, financial updates should be included in bi-annual Advisory Boards and supplementary bi-annual Checkpoints, </w:t>
      </w:r>
      <w:r>
        <w:t>also mentioned above and in last year’s Annual Review, to provide the confidence required to assess the quality of financial management and address any risks that may occur throughout the year.</w:t>
      </w:r>
      <w:r w:rsidR="566FC6EB">
        <w:t xml:space="preserve"> The IDB requires all EAs to submit a formal progress report</w:t>
      </w:r>
      <w:r w:rsidRPr="45F269FA">
        <w:rPr>
          <w:rStyle w:val="FootnoteReference"/>
        </w:rPr>
        <w:footnoteReference w:id="8"/>
      </w:r>
      <w:r w:rsidR="566FC6EB">
        <w:t xml:space="preserve"> every six months, in July and December of each year.</w:t>
      </w:r>
      <w:r>
        <w:t xml:space="preserve"> </w:t>
      </w:r>
    </w:p>
    <w:p w14:paraId="0500CFDC" w14:textId="0672462C" w:rsidR="00574075" w:rsidRDefault="516F7726" w:rsidP="00484CCF">
      <w:pPr>
        <w:jc w:val="both"/>
      </w:pPr>
      <w:r w:rsidRPr="282271EC">
        <w:rPr>
          <w:lang w:val="en-US"/>
        </w:rPr>
        <w:t>The majority of</w:t>
      </w:r>
      <w:r w:rsidR="61D9D9BD" w:rsidRPr="282271EC">
        <w:rPr>
          <w:lang w:val="en-US"/>
        </w:rPr>
        <w:t xml:space="preserve"> annual reports have been submitted on time</w:t>
      </w:r>
      <w:r w:rsidR="4D169C85" w:rsidRPr="282271EC">
        <w:rPr>
          <w:lang w:val="en-US"/>
        </w:rPr>
        <w:t xml:space="preserve">. </w:t>
      </w:r>
      <w:r w:rsidR="61D9D9BD">
        <w:t xml:space="preserve">The IDB’s financial year runs from </w:t>
      </w:r>
      <w:r w:rsidR="2D0C0AAF">
        <w:t xml:space="preserve">January </w:t>
      </w:r>
      <w:r w:rsidR="61D9D9BD">
        <w:t xml:space="preserve">to </w:t>
      </w:r>
      <w:r w:rsidR="2D0C0AAF">
        <w:t xml:space="preserve">December </w:t>
      </w:r>
      <w:r w:rsidR="61D9D9BD">
        <w:t xml:space="preserve">and </w:t>
      </w:r>
      <w:r w:rsidR="61D9D9BD" w:rsidRPr="00E90AC2">
        <w:t xml:space="preserve">a </w:t>
      </w:r>
      <w:r w:rsidR="76889D1F" w:rsidRPr="00E90AC2">
        <w:t>project</w:t>
      </w:r>
      <w:r w:rsidR="61D9D9BD" w:rsidRPr="00E90AC2">
        <w:t>-specific audit is budgeted for the end o</w:t>
      </w:r>
      <w:r w:rsidR="76889D1F" w:rsidRPr="00E90AC2">
        <w:t>f</w:t>
      </w:r>
      <w:r w:rsidR="61D9D9BD" w:rsidRPr="00E90AC2">
        <w:t xml:space="preserve"> the programme, as required</w:t>
      </w:r>
      <w:r w:rsidR="76889D1F" w:rsidRPr="00E90AC2">
        <w:t>.</w:t>
      </w:r>
      <w:r w:rsidR="76889D1F" w:rsidRPr="282271EC">
        <w:rPr>
          <w:color w:val="FF0000"/>
        </w:rPr>
        <w:t xml:space="preserve"> </w:t>
      </w:r>
      <w:r w:rsidR="76889D1F">
        <w:t xml:space="preserve">The Administrative </w:t>
      </w:r>
      <w:r>
        <w:t>A</w:t>
      </w:r>
      <w:r w:rsidR="76889D1F">
        <w:t xml:space="preserve">greement stipulates that the IDB will audit financial statements and submit audited financial reports to Defra no later than June 30 of every second year of the programme, </w:t>
      </w:r>
      <w:r w:rsidR="76889D1F">
        <w:lastRenderedPageBreak/>
        <w:t xml:space="preserve">and upon termination of the agreement. Unaudited financial statements </w:t>
      </w:r>
      <w:r w:rsidR="729C73CE">
        <w:t xml:space="preserve">are submitted to Defra on an annual basis, no later than April 30 each year. </w:t>
      </w:r>
      <w:r w:rsidR="76889D1F">
        <w:t xml:space="preserve"> </w:t>
      </w:r>
    </w:p>
    <w:tbl>
      <w:tblPr>
        <w:tblStyle w:val="GridTable4-Accent5"/>
        <w:tblW w:w="0" w:type="auto"/>
        <w:tblLook w:val="04A0" w:firstRow="1" w:lastRow="0" w:firstColumn="1" w:lastColumn="0" w:noHBand="0" w:noVBand="1"/>
      </w:tblPr>
      <w:tblGrid>
        <w:gridCol w:w="4508"/>
        <w:gridCol w:w="4508"/>
      </w:tblGrid>
      <w:tr w:rsidR="00574075" w14:paraId="7FCBEE7D" w14:textId="77777777" w:rsidTr="005740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1BBEBFAC" w14:textId="021153BB" w:rsidR="00574075" w:rsidRPr="00574075" w:rsidRDefault="00574075" w:rsidP="002B374C">
            <w:r w:rsidRPr="00574075">
              <w:t xml:space="preserve">Title: UK </w:t>
            </w:r>
            <w:r w:rsidR="00141CFA">
              <w:t>BCF</w:t>
            </w:r>
          </w:p>
        </w:tc>
      </w:tr>
      <w:tr w:rsidR="00574075" w14:paraId="444C0BDA" w14:textId="77777777" w:rsidTr="00574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D893CC7" w14:textId="3E73AD2B" w:rsidR="00574075" w:rsidRDefault="00574075" w:rsidP="002B374C">
            <w:r>
              <w:t>Date of last narrative financial report:</w:t>
            </w:r>
          </w:p>
        </w:tc>
        <w:tc>
          <w:tcPr>
            <w:tcW w:w="4508" w:type="dxa"/>
          </w:tcPr>
          <w:p w14:paraId="24ED7270" w14:textId="71BECBD7" w:rsidR="00574075" w:rsidRDefault="00C316AC" w:rsidP="002B374C">
            <w:pPr>
              <w:cnfStyle w:val="000000100000" w:firstRow="0" w:lastRow="0" w:firstColumn="0" w:lastColumn="0" w:oddVBand="0" w:evenVBand="0" w:oddHBand="1" w:evenHBand="0" w:firstRowFirstColumn="0" w:firstRowLastColumn="0" w:lastRowFirstColumn="0" w:lastRowLastColumn="0"/>
            </w:pPr>
            <w:r w:rsidRPr="00C316AC">
              <w:t>7 June 2021</w:t>
            </w:r>
          </w:p>
        </w:tc>
      </w:tr>
      <w:tr w:rsidR="00574075" w14:paraId="1F09206A" w14:textId="77777777" w:rsidTr="00574075">
        <w:tc>
          <w:tcPr>
            <w:cnfStyle w:val="001000000000" w:firstRow="0" w:lastRow="0" w:firstColumn="1" w:lastColumn="0" w:oddVBand="0" w:evenVBand="0" w:oddHBand="0" w:evenHBand="0" w:firstRowFirstColumn="0" w:firstRowLastColumn="0" w:lastRowFirstColumn="0" w:lastRowLastColumn="0"/>
            <w:tcW w:w="4508" w:type="dxa"/>
          </w:tcPr>
          <w:p w14:paraId="346F89E1" w14:textId="345D0859" w:rsidR="00574075" w:rsidRDefault="00574075" w:rsidP="002B374C">
            <w:r>
              <w:t>Date of last audited annual statement:</w:t>
            </w:r>
          </w:p>
        </w:tc>
        <w:tc>
          <w:tcPr>
            <w:tcW w:w="4508" w:type="dxa"/>
          </w:tcPr>
          <w:p w14:paraId="360954DB" w14:textId="6B09D799" w:rsidR="00574075" w:rsidRPr="00574075" w:rsidRDefault="00C316AC" w:rsidP="002B374C">
            <w:pPr>
              <w:cnfStyle w:val="000000000000" w:firstRow="0" w:lastRow="0" w:firstColumn="0" w:lastColumn="0" w:oddVBand="0" w:evenVBand="0" w:oddHBand="0" w:evenHBand="0" w:firstRowFirstColumn="0" w:firstRowLastColumn="0" w:lastRowFirstColumn="0" w:lastRowLastColumn="0"/>
              <w:rPr>
                <w:color w:val="FF0000"/>
              </w:rPr>
            </w:pPr>
            <w:r w:rsidRPr="00C316AC">
              <w:t>7</w:t>
            </w:r>
            <w:r w:rsidR="00574075" w:rsidRPr="00C316AC">
              <w:t xml:space="preserve"> June 2021</w:t>
            </w:r>
          </w:p>
        </w:tc>
      </w:tr>
    </w:tbl>
    <w:p w14:paraId="294CFB24" w14:textId="4DB5990F" w:rsidR="00C316AC" w:rsidRDefault="00C316AC" w:rsidP="002E79CB">
      <w:pPr>
        <w:spacing w:after="0"/>
        <w:jc w:val="both"/>
        <w:rPr>
          <w:color w:val="FF0000"/>
        </w:rPr>
      </w:pPr>
    </w:p>
    <w:tbl>
      <w:tblPr>
        <w:tblStyle w:val="GridTable4-Accent5"/>
        <w:tblW w:w="0" w:type="auto"/>
        <w:tblLook w:val="04A0" w:firstRow="1" w:lastRow="0" w:firstColumn="1" w:lastColumn="0" w:noHBand="0" w:noVBand="1"/>
      </w:tblPr>
      <w:tblGrid>
        <w:gridCol w:w="4508"/>
        <w:gridCol w:w="4508"/>
      </w:tblGrid>
      <w:tr w:rsidR="002E79CB" w14:paraId="5F005382" w14:textId="77777777" w:rsidTr="002E79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9CC2E5"/>
              <w:left w:val="single" w:sz="4" w:space="0" w:color="9CC2E5"/>
              <w:bottom w:val="single" w:sz="4" w:space="0" w:color="9CC2E5"/>
              <w:right w:val="single" w:sz="4" w:space="0" w:color="9CC2E5"/>
            </w:tcBorders>
            <w:shd w:val="clear" w:color="auto" w:fill="DEEAF6" w:themeFill="accent5" w:themeFillTint="33"/>
          </w:tcPr>
          <w:p w14:paraId="60C1069F" w14:textId="77777777" w:rsidR="002E79CB" w:rsidRPr="002E79CB" w:rsidRDefault="002E79CB" w:rsidP="00CF5B4C">
            <w:pPr>
              <w:rPr>
                <w:color w:val="auto"/>
              </w:rPr>
            </w:pPr>
            <w:r w:rsidRPr="002E79CB">
              <w:rPr>
                <w:color w:val="auto"/>
              </w:rPr>
              <w:t>Date of last Annual Report:</w:t>
            </w:r>
          </w:p>
        </w:tc>
        <w:tc>
          <w:tcPr>
            <w:tcW w:w="4508" w:type="dxa"/>
            <w:tcBorders>
              <w:top w:val="single" w:sz="4" w:space="0" w:color="9CC2E5"/>
              <w:left w:val="single" w:sz="4" w:space="0" w:color="9CC2E5"/>
              <w:bottom w:val="single" w:sz="4" w:space="0" w:color="9CC2E5"/>
              <w:right w:val="single" w:sz="4" w:space="0" w:color="9CC2E5"/>
            </w:tcBorders>
            <w:shd w:val="clear" w:color="auto" w:fill="DEEAF6" w:themeFill="accent5" w:themeFillTint="33"/>
          </w:tcPr>
          <w:p w14:paraId="6827EEC8" w14:textId="77777777" w:rsidR="002E79CB" w:rsidRPr="002E79CB" w:rsidRDefault="002E79CB" w:rsidP="00CF5B4C">
            <w:pPr>
              <w:cnfStyle w:val="100000000000" w:firstRow="1" w:lastRow="0" w:firstColumn="0" w:lastColumn="0" w:oddVBand="0" w:evenVBand="0" w:oddHBand="0" w:evenHBand="0" w:firstRowFirstColumn="0" w:firstRowLastColumn="0" w:lastRowFirstColumn="0" w:lastRowLastColumn="0"/>
              <w:rPr>
                <w:b w:val="0"/>
                <w:bCs w:val="0"/>
                <w:color w:val="auto"/>
              </w:rPr>
            </w:pPr>
            <w:r w:rsidRPr="002E79CB">
              <w:rPr>
                <w:b w:val="0"/>
                <w:bCs w:val="0"/>
                <w:color w:val="auto"/>
              </w:rPr>
              <w:t>28 June 2021</w:t>
            </w:r>
          </w:p>
        </w:tc>
      </w:tr>
    </w:tbl>
    <w:p w14:paraId="50C1F505" w14:textId="77777777" w:rsidR="002E79CB" w:rsidRDefault="002E79CB" w:rsidP="00484CCF">
      <w:pPr>
        <w:jc w:val="both"/>
        <w:rPr>
          <w:color w:val="FF0000"/>
        </w:rPr>
      </w:pPr>
    </w:p>
    <w:p w14:paraId="1DA71546" w14:textId="452C0A15" w:rsidR="00574075" w:rsidRDefault="00574075" w:rsidP="00D33DD9">
      <w:pPr>
        <w:pStyle w:val="Heading1"/>
        <w:numPr>
          <w:ilvl w:val="0"/>
          <w:numId w:val="3"/>
        </w:numPr>
        <w:ind w:left="426" w:hanging="426"/>
        <w:rPr>
          <w:lang w:val="en-US"/>
        </w:rPr>
      </w:pPr>
      <w:r>
        <w:rPr>
          <w:lang w:val="en-US"/>
        </w:rPr>
        <w:t>Risk and Risk Management</w:t>
      </w:r>
    </w:p>
    <w:p w14:paraId="31F95F22" w14:textId="17E6E9EB" w:rsidR="00574075" w:rsidRDefault="00574075" w:rsidP="00E044A4">
      <w:pPr>
        <w:pStyle w:val="Heading2"/>
      </w:pPr>
      <w:r>
        <w:t>Overall Risk Rating</w:t>
      </w:r>
    </w:p>
    <w:p w14:paraId="10A8A175" w14:textId="5DC2D0D9" w:rsidR="00574075" w:rsidRDefault="00574075" w:rsidP="00484CCF">
      <w:pPr>
        <w:jc w:val="both"/>
        <w:rPr>
          <w:color w:val="FF0000"/>
          <w:lang w:val="en-US"/>
        </w:rPr>
      </w:pPr>
      <w:r w:rsidRPr="2B4C08A7">
        <w:rPr>
          <w:lang w:val="en-US"/>
        </w:rPr>
        <w:t xml:space="preserve">The UK </w:t>
      </w:r>
      <w:r w:rsidR="00141CFA">
        <w:rPr>
          <w:lang w:val="en-US"/>
        </w:rPr>
        <w:t>BCF</w:t>
      </w:r>
      <w:r w:rsidRPr="2B4C08A7">
        <w:rPr>
          <w:lang w:val="en-US"/>
        </w:rPr>
        <w:t xml:space="preserve"> has increased from a moderate</w:t>
      </w:r>
      <w:r w:rsidR="00BB02B1" w:rsidRPr="2B4C08A7">
        <w:rPr>
          <w:lang w:val="en-US"/>
        </w:rPr>
        <w:t>/</w:t>
      </w:r>
      <w:r w:rsidRPr="2B4C08A7">
        <w:rPr>
          <w:lang w:val="en-US"/>
        </w:rPr>
        <w:t xml:space="preserve">major risk rating identified in last year’s Annual Review to a </w:t>
      </w:r>
      <w:r w:rsidRPr="2B4C08A7">
        <w:rPr>
          <w:b/>
          <w:bCs/>
          <w:lang w:val="en-US"/>
        </w:rPr>
        <w:t>major</w:t>
      </w:r>
      <w:r w:rsidRPr="2B4C08A7">
        <w:rPr>
          <w:lang w:val="en-US"/>
        </w:rPr>
        <w:t xml:space="preserve"> risk rating at the end of </w:t>
      </w:r>
      <w:r w:rsidR="000755A7">
        <w:rPr>
          <w:lang w:val="en-US"/>
        </w:rPr>
        <w:t>the 2020/21 period</w:t>
      </w:r>
      <w:r w:rsidRPr="2B4C08A7">
        <w:rPr>
          <w:lang w:val="en-US"/>
        </w:rPr>
        <w:t>. This is</w:t>
      </w:r>
      <w:r w:rsidR="00B10C11" w:rsidRPr="2B4C08A7">
        <w:rPr>
          <w:lang w:val="en-US"/>
        </w:rPr>
        <w:t xml:space="preserve"> primarily</w:t>
      </w:r>
      <w:r w:rsidRPr="2B4C08A7">
        <w:rPr>
          <w:lang w:val="en-US"/>
        </w:rPr>
        <w:t xml:space="preserve"> due to the continued</w:t>
      </w:r>
      <w:r w:rsidR="00B10C11" w:rsidRPr="2B4C08A7">
        <w:rPr>
          <w:lang w:val="en-US"/>
        </w:rPr>
        <w:t xml:space="preserve"> </w:t>
      </w:r>
      <w:r w:rsidR="00563E56" w:rsidRPr="2B4C08A7">
        <w:rPr>
          <w:lang w:val="en-US"/>
        </w:rPr>
        <w:t>poor quality</w:t>
      </w:r>
      <w:r w:rsidR="00B10C11" w:rsidRPr="2B4C08A7">
        <w:rPr>
          <w:lang w:val="en-US"/>
        </w:rPr>
        <w:t xml:space="preserve"> of M&amp;E</w:t>
      </w:r>
      <w:r w:rsidR="00563E56" w:rsidRPr="2B4C08A7">
        <w:rPr>
          <w:lang w:val="en-US"/>
        </w:rPr>
        <w:t xml:space="preserve"> </w:t>
      </w:r>
      <w:r w:rsidR="00B10C11" w:rsidRPr="2B4C08A7">
        <w:rPr>
          <w:lang w:val="en-US"/>
        </w:rPr>
        <w:t>products which is delaying progress on other vital programme management requirements</w:t>
      </w:r>
      <w:r w:rsidR="00BB02B1" w:rsidRPr="2B4C08A7">
        <w:rPr>
          <w:lang w:val="en-US"/>
        </w:rPr>
        <w:t>,</w:t>
      </w:r>
      <w:r w:rsidR="00B10C11" w:rsidRPr="2B4C08A7">
        <w:rPr>
          <w:lang w:val="en-US"/>
        </w:rPr>
        <w:t xml:space="preserve"> </w:t>
      </w:r>
      <w:r w:rsidR="000755A7">
        <w:rPr>
          <w:lang w:val="en-US"/>
        </w:rPr>
        <w:t>deferring</w:t>
      </w:r>
      <w:r w:rsidR="00B10C11" w:rsidRPr="2B4C08A7">
        <w:rPr>
          <w:lang w:val="en-US"/>
        </w:rPr>
        <w:t xml:space="preserve"> the accurate assessment of the programme to deliver its expected outcomes</w:t>
      </w:r>
      <w:r w:rsidR="00BB02B1" w:rsidRPr="2B4C08A7">
        <w:rPr>
          <w:lang w:val="en-US"/>
        </w:rPr>
        <w:t>,</w:t>
      </w:r>
      <w:r w:rsidR="00B10C11" w:rsidRPr="2B4C08A7">
        <w:rPr>
          <w:lang w:val="en-US"/>
        </w:rPr>
        <w:t xml:space="preserve"> and resulting in a third process Annual Review.</w:t>
      </w:r>
      <w:r w:rsidR="00BB02B1" w:rsidRPr="2B4C08A7">
        <w:rPr>
          <w:lang w:val="en-US"/>
        </w:rPr>
        <w:t xml:space="preserve"> As a result of the increased risk rating and concerns surrounding the performance of the programme, Defra placed the programme on hold in June 2021 while concerns were escalated internally</w:t>
      </w:r>
      <w:r w:rsidR="00081D98">
        <w:rPr>
          <w:lang w:val="en-US"/>
        </w:rPr>
        <w:t>,</w:t>
      </w:r>
      <w:r w:rsidR="00F06FF2">
        <w:rPr>
          <w:lang w:val="en-US"/>
        </w:rPr>
        <w:t xml:space="preserve"> and solutions identified</w:t>
      </w:r>
      <w:r w:rsidR="00BB02B1" w:rsidRPr="2B4C08A7">
        <w:rPr>
          <w:lang w:val="en-US"/>
        </w:rPr>
        <w:t>.</w:t>
      </w:r>
    </w:p>
    <w:p w14:paraId="67A9CF72" w14:textId="07191C5E" w:rsidR="00B10C11" w:rsidRPr="00713925" w:rsidRDefault="16AF4CC5" w:rsidP="00484CCF">
      <w:pPr>
        <w:jc w:val="both"/>
        <w:rPr>
          <w:color w:val="FF0000"/>
          <w:lang w:val="en-US"/>
        </w:rPr>
      </w:pPr>
      <w:r w:rsidRPr="10B17927">
        <w:rPr>
          <w:lang w:eastAsia="en-GB"/>
        </w:rPr>
        <w:t>In addition, t</w:t>
      </w:r>
      <w:r w:rsidR="229984D9" w:rsidRPr="10B17927">
        <w:rPr>
          <w:lang w:eastAsia="en-GB"/>
        </w:rPr>
        <w:t xml:space="preserve">he IDB initially communicated </w:t>
      </w:r>
      <w:r w:rsidR="00C766CA">
        <w:rPr>
          <w:lang w:eastAsia="en-GB"/>
        </w:rPr>
        <w:t xml:space="preserve">at the September 2020 Advisory Board </w:t>
      </w:r>
      <w:r w:rsidR="229984D9" w:rsidRPr="10B17927">
        <w:rPr>
          <w:lang w:eastAsia="en-GB"/>
        </w:rPr>
        <w:t xml:space="preserve">that the programme would not be </w:t>
      </w:r>
      <w:r w:rsidRPr="10B17927">
        <w:rPr>
          <w:lang w:eastAsia="en-GB"/>
        </w:rPr>
        <w:t>affected</w:t>
      </w:r>
      <w:r w:rsidR="229984D9" w:rsidRPr="10B17927">
        <w:rPr>
          <w:lang w:eastAsia="en-GB"/>
        </w:rPr>
        <w:t xml:space="preserve"> by the impacts of the COVID-19 pandemic</w:t>
      </w:r>
      <w:r w:rsidR="00C766CA">
        <w:rPr>
          <w:lang w:eastAsia="en-GB"/>
        </w:rPr>
        <w:t xml:space="preserve">. Instead, despite the difficulties </w:t>
      </w:r>
      <w:r w:rsidR="0096719C">
        <w:rPr>
          <w:lang w:eastAsia="en-GB"/>
        </w:rPr>
        <w:t>posed, the IDB has stepped up its responsibilities, increasing its lending to address the health emergency.</w:t>
      </w:r>
      <w:r w:rsidR="00081D98">
        <w:rPr>
          <w:lang w:eastAsia="en-GB"/>
        </w:rPr>
        <w:t xml:space="preserve"> </w:t>
      </w:r>
      <w:r w:rsidR="0096719C">
        <w:rPr>
          <w:lang w:eastAsia="en-GB"/>
        </w:rPr>
        <w:t xml:space="preserve">The IDB has subsequently highlighted that </w:t>
      </w:r>
      <w:r w:rsidR="00081D98">
        <w:rPr>
          <w:lang w:eastAsia="en-GB"/>
        </w:rPr>
        <w:t>p</w:t>
      </w:r>
      <w:r w:rsidR="229984D9" w:rsidRPr="10B17927">
        <w:rPr>
          <w:lang w:eastAsia="en-GB"/>
        </w:rPr>
        <w:t xml:space="preserve">lanned activities were in the early stages of implementation and were primarily focused on </w:t>
      </w:r>
      <w:r w:rsidR="0096719C">
        <w:rPr>
          <w:lang w:eastAsia="en-GB"/>
        </w:rPr>
        <w:t xml:space="preserve">procurement and/or </w:t>
      </w:r>
      <w:r w:rsidR="229984D9" w:rsidRPr="10B17927">
        <w:rPr>
          <w:lang w:eastAsia="en-GB"/>
        </w:rPr>
        <w:t xml:space="preserve">desk-based </w:t>
      </w:r>
      <w:r w:rsidR="0096719C">
        <w:rPr>
          <w:lang w:eastAsia="en-GB"/>
        </w:rPr>
        <w:t xml:space="preserve">or virtual </w:t>
      </w:r>
      <w:r w:rsidR="229984D9" w:rsidRPr="10B17927">
        <w:rPr>
          <w:lang w:eastAsia="en-GB"/>
        </w:rPr>
        <w:t>studies</w:t>
      </w:r>
      <w:r w:rsidR="0096719C">
        <w:rPr>
          <w:lang w:eastAsia="en-GB"/>
        </w:rPr>
        <w:t>.</w:t>
      </w:r>
      <w:r w:rsidR="229984D9" w:rsidRPr="10B17927">
        <w:rPr>
          <w:lang w:eastAsia="en-GB"/>
        </w:rPr>
        <w:t xml:space="preserve"> </w:t>
      </w:r>
      <w:r w:rsidR="00081D98">
        <w:rPr>
          <w:lang w:eastAsia="en-GB"/>
        </w:rPr>
        <w:t>T</w:t>
      </w:r>
      <w:r w:rsidR="229984D9" w:rsidRPr="10B17927">
        <w:rPr>
          <w:lang w:eastAsia="en-GB"/>
        </w:rPr>
        <w:t xml:space="preserve">he risk </w:t>
      </w:r>
      <w:r w:rsidRPr="10B17927">
        <w:rPr>
          <w:lang w:eastAsia="en-GB"/>
        </w:rPr>
        <w:t>posed by the</w:t>
      </w:r>
      <w:r w:rsidR="229984D9" w:rsidRPr="10B17927">
        <w:rPr>
          <w:lang w:eastAsia="en-GB"/>
        </w:rPr>
        <w:t xml:space="preserve"> COVID-19 pandemic increased significantly as projects progressed through implementation and execution</w:t>
      </w:r>
      <w:r w:rsidR="0096719C">
        <w:rPr>
          <w:lang w:eastAsia="en-GB"/>
        </w:rPr>
        <w:t xml:space="preserve"> and activities were due to begin on the ground</w:t>
      </w:r>
      <w:r w:rsidR="229984D9" w:rsidRPr="10B17927">
        <w:rPr>
          <w:lang w:eastAsia="en-GB"/>
        </w:rPr>
        <w:t xml:space="preserve">. </w:t>
      </w:r>
      <w:r w:rsidR="00081D98">
        <w:rPr>
          <w:lang w:eastAsia="en-GB"/>
        </w:rPr>
        <w:t>However, t</w:t>
      </w:r>
      <w:r w:rsidR="229984D9" w:rsidRPr="10B17927">
        <w:rPr>
          <w:lang w:eastAsia="en-GB"/>
        </w:rPr>
        <w:t>his</w:t>
      </w:r>
      <w:r w:rsidR="006D4BE4">
        <w:rPr>
          <w:lang w:eastAsia="en-GB"/>
        </w:rPr>
        <w:t xml:space="preserve"> change in</w:t>
      </w:r>
      <w:r w:rsidR="00081D98">
        <w:rPr>
          <w:lang w:eastAsia="en-GB"/>
        </w:rPr>
        <w:t xml:space="preserve"> status of the</w:t>
      </w:r>
      <w:r w:rsidR="006D4BE4">
        <w:rPr>
          <w:lang w:eastAsia="en-GB"/>
        </w:rPr>
        <w:t xml:space="preserve"> risk</w:t>
      </w:r>
      <w:r w:rsidR="229984D9" w:rsidRPr="10B17927">
        <w:rPr>
          <w:lang w:eastAsia="en-GB"/>
        </w:rPr>
        <w:t xml:space="preserve"> was not </w:t>
      </w:r>
      <w:r w:rsidR="00997971">
        <w:rPr>
          <w:lang w:eastAsia="en-GB"/>
        </w:rPr>
        <w:t>made clear</w:t>
      </w:r>
      <w:r w:rsidR="229984D9" w:rsidRPr="10B17927">
        <w:rPr>
          <w:lang w:eastAsia="en-GB"/>
        </w:rPr>
        <w:t xml:space="preserve"> to Defra </w:t>
      </w:r>
      <w:r w:rsidR="00081D98">
        <w:rPr>
          <w:lang w:eastAsia="en-GB"/>
        </w:rPr>
        <w:t>until the 202</w:t>
      </w:r>
      <w:r w:rsidR="00935E85">
        <w:rPr>
          <w:lang w:eastAsia="en-GB"/>
        </w:rPr>
        <w:t>0</w:t>
      </w:r>
      <w:r w:rsidR="00081D98">
        <w:rPr>
          <w:lang w:eastAsia="en-GB"/>
        </w:rPr>
        <w:t xml:space="preserve"> IDB Annual Report was submitted in June 202</w:t>
      </w:r>
      <w:r w:rsidR="00935E85">
        <w:rPr>
          <w:lang w:eastAsia="en-GB"/>
        </w:rPr>
        <w:t>1</w:t>
      </w:r>
      <w:r w:rsidR="00081D98">
        <w:rPr>
          <w:lang w:eastAsia="en-GB"/>
        </w:rPr>
        <w:t xml:space="preserve"> despite </w:t>
      </w:r>
      <w:r w:rsidR="000755A7">
        <w:rPr>
          <w:lang w:eastAsia="en-GB"/>
        </w:rPr>
        <w:t>risk</w:t>
      </w:r>
      <w:r w:rsidR="00081D98">
        <w:rPr>
          <w:lang w:eastAsia="en-GB"/>
        </w:rPr>
        <w:t xml:space="preserve"> </w:t>
      </w:r>
      <w:r w:rsidR="00935E85">
        <w:rPr>
          <w:lang w:eastAsia="en-GB"/>
        </w:rPr>
        <w:t xml:space="preserve">being a standing agenda </w:t>
      </w:r>
      <w:r w:rsidR="000755A7">
        <w:rPr>
          <w:lang w:eastAsia="en-GB"/>
        </w:rPr>
        <w:t>as per</w:t>
      </w:r>
      <w:r w:rsidR="00081D98">
        <w:rPr>
          <w:lang w:eastAsia="en-GB"/>
        </w:rPr>
        <w:t xml:space="preserve"> best practice</w:t>
      </w:r>
      <w:r w:rsidR="00DC1C83">
        <w:rPr>
          <w:lang w:eastAsia="en-GB"/>
        </w:rPr>
        <w:t>. This includes</w:t>
      </w:r>
      <w:r w:rsidR="00935E85">
        <w:rPr>
          <w:lang w:eastAsia="en-GB"/>
        </w:rPr>
        <w:t xml:space="preserve"> at bi-annual Advisory Boards, bi-annual Checkpoints, and </w:t>
      </w:r>
      <w:r w:rsidR="00DC1C83">
        <w:rPr>
          <w:lang w:eastAsia="en-GB"/>
        </w:rPr>
        <w:t xml:space="preserve">all </w:t>
      </w:r>
      <w:r w:rsidR="00935E85">
        <w:rPr>
          <w:lang w:eastAsia="en-GB"/>
        </w:rPr>
        <w:t>ad-hoc meetings</w:t>
      </w:r>
      <w:r w:rsidR="00081D98">
        <w:rPr>
          <w:lang w:eastAsia="en-GB"/>
        </w:rPr>
        <w:t>.</w:t>
      </w:r>
    </w:p>
    <w:p w14:paraId="0BC25183" w14:textId="69620223" w:rsidR="00B10C11" w:rsidRPr="009815B1" w:rsidRDefault="3326476A" w:rsidP="10B17927">
      <w:pPr>
        <w:jc w:val="both"/>
        <w:rPr>
          <w:lang w:val="en-US"/>
        </w:rPr>
      </w:pPr>
      <w:r w:rsidRPr="2B4C08A7">
        <w:rPr>
          <w:lang w:val="en-US"/>
        </w:rPr>
        <w:t>While this reflects significant process and communication issues,</w:t>
      </w:r>
      <w:r w:rsidR="16AF4CC5" w:rsidRPr="2B4C08A7">
        <w:rPr>
          <w:lang w:val="en-US"/>
        </w:rPr>
        <w:t xml:space="preserve"> the IDB and executing agencies have shown</w:t>
      </w:r>
      <w:r w:rsidR="54FACB3D" w:rsidRPr="2B4C08A7">
        <w:rPr>
          <w:lang w:val="en-US"/>
        </w:rPr>
        <w:t xml:space="preserve"> </w:t>
      </w:r>
      <w:r w:rsidR="16AF4CC5" w:rsidRPr="2B4C08A7">
        <w:rPr>
          <w:lang w:val="en-US"/>
        </w:rPr>
        <w:t>initiative in their joint response to the challenges caused by the COVID-19 pandemic. For example, t</w:t>
      </w:r>
      <w:r w:rsidR="16AF4CC5" w:rsidRPr="2B4C08A7">
        <w:rPr>
          <w:lang w:eastAsia="en-GB"/>
        </w:rPr>
        <w:t>he IDB</w:t>
      </w:r>
      <w:r w:rsidR="445D34BC" w:rsidRPr="2B4C08A7">
        <w:rPr>
          <w:lang w:eastAsia="en-GB"/>
        </w:rPr>
        <w:t xml:space="preserve"> worked with executing agencies to move some trainings or activities online, </w:t>
      </w:r>
      <w:r w:rsidR="1A762027" w:rsidRPr="2B4C08A7">
        <w:rPr>
          <w:lang w:eastAsia="en-GB"/>
        </w:rPr>
        <w:t xml:space="preserve">delay some fieldwork to months when </w:t>
      </w:r>
      <w:r w:rsidR="208DB480" w:rsidRPr="2B4C08A7">
        <w:rPr>
          <w:lang w:eastAsia="en-GB"/>
        </w:rPr>
        <w:t xml:space="preserve">on-site work was possible, or postponed some activities, moving future disbursements to future years. Mitigation measures such as these should be reported </w:t>
      </w:r>
      <w:r w:rsidR="00015650">
        <w:rPr>
          <w:lang w:eastAsia="en-GB"/>
        </w:rPr>
        <w:t xml:space="preserve">in real time </w:t>
      </w:r>
      <w:r w:rsidR="208DB480" w:rsidRPr="2B4C08A7">
        <w:rPr>
          <w:lang w:eastAsia="en-GB"/>
        </w:rPr>
        <w:t xml:space="preserve">to Defra as part of programme and risk management best practice. </w:t>
      </w:r>
    </w:p>
    <w:p w14:paraId="16415D1C" w14:textId="13C95EF3" w:rsidR="00574075" w:rsidRDefault="00B10C11" w:rsidP="00E044A4">
      <w:pPr>
        <w:pStyle w:val="Heading2"/>
      </w:pPr>
      <w:r>
        <w:t>Overview of Programme Risk</w:t>
      </w:r>
    </w:p>
    <w:p w14:paraId="76BF7F07" w14:textId="0B9E932A" w:rsidR="00ED7973" w:rsidRDefault="3AA5848B" w:rsidP="00484CCF">
      <w:pPr>
        <w:jc w:val="both"/>
        <w:rPr>
          <w:lang w:val="en-US"/>
        </w:rPr>
      </w:pPr>
      <w:r w:rsidRPr="444D1C45">
        <w:rPr>
          <w:lang w:val="en-US"/>
        </w:rPr>
        <w:t>Project-specific risks are flagged by the IDB in project proposals and fully formed TCDs. Risk registers are maintained by both Defra and the IDB and monitored regularly. As projects are developed and approved, risk registers are updated and the IDB has agreed to update Defra whenever a significant change to the status of a risk occurs</w:t>
      </w:r>
      <w:r w:rsidR="263CB3E3" w:rsidRPr="444D1C45">
        <w:rPr>
          <w:lang w:val="en-US"/>
        </w:rPr>
        <w:t>, also identified in last year’s Annual Review</w:t>
      </w:r>
      <w:r w:rsidRPr="444D1C45">
        <w:rPr>
          <w:lang w:val="en-US"/>
        </w:rPr>
        <w:t xml:space="preserve">. </w:t>
      </w:r>
      <w:r w:rsidR="01E8E857" w:rsidRPr="444D1C45">
        <w:rPr>
          <w:lang w:val="en-US"/>
        </w:rPr>
        <w:t xml:space="preserve">As the number of projects entering implementation increases and projects progress through the execution phase, risk updates should be included in bi-annual Advisory Boards and supplementary bi-annual Checkpoints, </w:t>
      </w:r>
      <w:r w:rsidR="01E8E857">
        <w:t>also mentioned above and in last year’s Annual Review, to provide the confidence required to respond to any risks that may occur in a timely and appropriate manner.</w:t>
      </w:r>
    </w:p>
    <w:p w14:paraId="5352B635" w14:textId="2D733EC3" w:rsidR="00ED7973" w:rsidRDefault="00ED7973" w:rsidP="00484CCF">
      <w:pPr>
        <w:jc w:val="both"/>
        <w:rPr>
          <w:lang w:val="en-US"/>
        </w:rPr>
      </w:pPr>
      <w:r>
        <w:rPr>
          <w:lang w:val="en-US"/>
        </w:rPr>
        <w:lastRenderedPageBreak/>
        <w:t xml:space="preserve">The </w:t>
      </w:r>
      <w:r w:rsidR="00001382">
        <w:rPr>
          <w:lang w:val="en-US"/>
        </w:rPr>
        <w:t>key risks</w:t>
      </w:r>
      <w:r>
        <w:rPr>
          <w:lang w:val="en-US"/>
        </w:rPr>
        <w:t xml:space="preserve"> and associated mitigation measures are listed in the table below.</w:t>
      </w:r>
      <w:r w:rsidR="006C6E79">
        <w:rPr>
          <w:lang w:val="en-US"/>
        </w:rPr>
        <w:t xml:space="preserve"> More detailed project specific risks are detailed in Annex </w:t>
      </w:r>
      <w:r w:rsidR="00D4220C" w:rsidRPr="00D4220C">
        <w:rPr>
          <w:lang w:val="en-US"/>
        </w:rPr>
        <w:t>C</w:t>
      </w:r>
      <w:r w:rsidR="006C6E79">
        <w:rPr>
          <w:lang w:val="en-US"/>
        </w:rPr>
        <w:t>.</w:t>
      </w:r>
    </w:p>
    <w:p w14:paraId="3F74579D" w14:textId="77777777" w:rsidR="00ED7973" w:rsidRPr="00ED7973" w:rsidRDefault="00ED7973" w:rsidP="00484CCF">
      <w:pPr>
        <w:spacing w:after="0" w:line="240" w:lineRule="auto"/>
        <w:jc w:val="both"/>
        <w:textAlignment w:val="baseline"/>
        <w:rPr>
          <w:rFonts w:ascii="Segoe UI" w:eastAsia="Times New Roman" w:hAnsi="Segoe UI" w:cs="Segoe UI"/>
          <w:sz w:val="18"/>
          <w:szCs w:val="18"/>
          <w:lang w:eastAsia="en-GB"/>
        </w:rPr>
      </w:pPr>
      <w:r w:rsidRPr="00ED7973">
        <w:rPr>
          <w:rFonts w:ascii="Calibri" w:eastAsia="Times New Roman" w:hAnsi="Calibri" w:cs="Calibri"/>
          <w:b/>
          <w:bCs/>
          <w:i/>
          <w:iCs/>
          <w:color w:val="000000"/>
          <w:sz w:val="20"/>
          <w:szCs w:val="20"/>
          <w:lang w:eastAsia="en-GB"/>
        </w:rPr>
        <w:t>Probability </w:t>
      </w:r>
      <w:r w:rsidRPr="00ED7973">
        <w:rPr>
          <w:rFonts w:ascii="Calibri" w:eastAsia="Times New Roman" w:hAnsi="Calibri" w:cs="Calibri"/>
          <w:i/>
          <w:iCs/>
          <w:color w:val="000000"/>
          <w:sz w:val="20"/>
          <w:szCs w:val="20"/>
          <w:lang w:eastAsia="en-GB"/>
        </w:rPr>
        <w:t>(or likelihood) is based on a scale of very unlikely &gt; unlikely &gt; possible &gt; likely &gt; almost certain.</w:t>
      </w:r>
      <w:r w:rsidRPr="00ED7973">
        <w:rPr>
          <w:rFonts w:ascii="Calibri" w:eastAsia="Times New Roman" w:hAnsi="Calibri" w:cs="Calibri"/>
          <w:color w:val="000000"/>
          <w:sz w:val="20"/>
          <w:szCs w:val="20"/>
          <w:lang w:eastAsia="en-GB"/>
        </w:rPr>
        <w:t>  </w:t>
      </w:r>
    </w:p>
    <w:p w14:paraId="6D51E70B" w14:textId="77777777" w:rsidR="00ED7973" w:rsidRPr="00ED7973" w:rsidRDefault="00ED7973" w:rsidP="00484CCF">
      <w:pPr>
        <w:spacing w:after="0" w:line="240" w:lineRule="auto"/>
        <w:jc w:val="both"/>
        <w:textAlignment w:val="baseline"/>
        <w:rPr>
          <w:rFonts w:ascii="Segoe UI" w:eastAsia="Times New Roman" w:hAnsi="Segoe UI" w:cs="Segoe UI"/>
          <w:sz w:val="18"/>
          <w:szCs w:val="18"/>
          <w:lang w:eastAsia="en-GB"/>
        </w:rPr>
      </w:pPr>
      <w:r w:rsidRPr="00ED7973">
        <w:rPr>
          <w:rFonts w:ascii="Calibri" w:eastAsia="Times New Roman" w:hAnsi="Calibri" w:cs="Calibri"/>
          <w:b/>
          <w:bCs/>
          <w:i/>
          <w:iCs/>
          <w:color w:val="000000"/>
          <w:sz w:val="20"/>
          <w:szCs w:val="20"/>
          <w:lang w:eastAsia="en-GB"/>
        </w:rPr>
        <w:t>Impact </w:t>
      </w:r>
      <w:r w:rsidRPr="00ED7973">
        <w:rPr>
          <w:rFonts w:ascii="Calibri" w:eastAsia="Times New Roman" w:hAnsi="Calibri" w:cs="Calibri"/>
          <w:i/>
          <w:iCs/>
          <w:color w:val="000000"/>
          <w:sz w:val="20"/>
          <w:szCs w:val="20"/>
          <w:lang w:eastAsia="en-GB"/>
        </w:rPr>
        <w:t>is based on the scale of insignificant &gt; minor &gt; moderate &gt; major &gt; severe.</w:t>
      </w:r>
      <w:r w:rsidRPr="00ED7973">
        <w:rPr>
          <w:rFonts w:ascii="Calibri" w:eastAsia="Times New Roman" w:hAnsi="Calibri" w:cs="Calibri"/>
          <w:color w:val="000000"/>
          <w:sz w:val="20"/>
          <w:szCs w:val="20"/>
          <w:lang w:eastAsia="en-GB"/>
        </w:rPr>
        <w:t>  </w:t>
      </w:r>
    </w:p>
    <w:p w14:paraId="7A1975FF" w14:textId="77777777" w:rsidR="00ED7973" w:rsidRPr="00ED7973" w:rsidRDefault="00ED7973" w:rsidP="00484CCF">
      <w:pPr>
        <w:spacing w:after="0" w:line="240" w:lineRule="auto"/>
        <w:jc w:val="both"/>
        <w:textAlignment w:val="baseline"/>
        <w:rPr>
          <w:rFonts w:ascii="Segoe UI" w:eastAsia="Times New Roman" w:hAnsi="Segoe UI" w:cs="Segoe UI"/>
          <w:sz w:val="18"/>
          <w:szCs w:val="18"/>
          <w:lang w:eastAsia="en-GB"/>
        </w:rPr>
      </w:pPr>
      <w:r w:rsidRPr="00ED7973">
        <w:rPr>
          <w:rFonts w:ascii="Calibri" w:eastAsia="Times New Roman" w:hAnsi="Calibri" w:cs="Calibri"/>
          <w:b/>
          <w:bCs/>
          <w:i/>
          <w:iCs/>
          <w:color w:val="000000"/>
          <w:sz w:val="20"/>
          <w:szCs w:val="20"/>
          <w:lang w:eastAsia="en-GB"/>
        </w:rPr>
        <w:t>Risk Rating </w:t>
      </w:r>
      <w:r w:rsidRPr="00ED7973">
        <w:rPr>
          <w:rFonts w:ascii="Calibri" w:eastAsia="Times New Roman" w:hAnsi="Calibri" w:cs="Calibri"/>
          <w:i/>
          <w:iCs/>
          <w:color w:val="000000"/>
          <w:sz w:val="20"/>
          <w:szCs w:val="20"/>
          <w:lang w:eastAsia="en-GB"/>
        </w:rPr>
        <w:t>is based on the Red Amber Green (RAG) system.</w:t>
      </w:r>
      <w:r w:rsidRPr="00ED7973">
        <w:rPr>
          <w:rFonts w:ascii="Calibri" w:eastAsia="Times New Roman" w:hAnsi="Calibri" w:cs="Calibri"/>
          <w:color w:val="000000"/>
          <w:sz w:val="20"/>
          <w:szCs w:val="20"/>
          <w:lang w:eastAsia="en-GB"/>
        </w:rPr>
        <w:t>  </w:t>
      </w:r>
    </w:p>
    <w:p w14:paraId="53234CFF" w14:textId="77777777" w:rsidR="00ED7973" w:rsidRDefault="00ED7973" w:rsidP="00C06ABA">
      <w:pPr>
        <w:spacing w:after="0"/>
        <w:rPr>
          <w:lang w:val="en-US"/>
        </w:rPr>
      </w:pPr>
    </w:p>
    <w:tbl>
      <w:tblPr>
        <w:tblStyle w:val="GridTable4-Accent5"/>
        <w:tblW w:w="9067" w:type="dxa"/>
        <w:tblLayout w:type="fixed"/>
        <w:tblLook w:val="04A0" w:firstRow="1" w:lastRow="0" w:firstColumn="1" w:lastColumn="0" w:noHBand="0" w:noVBand="1"/>
      </w:tblPr>
      <w:tblGrid>
        <w:gridCol w:w="3114"/>
        <w:gridCol w:w="1276"/>
        <w:gridCol w:w="1134"/>
        <w:gridCol w:w="850"/>
        <w:gridCol w:w="2693"/>
      </w:tblGrid>
      <w:tr w:rsidR="00AC20BA" w14:paraId="724FAB77" w14:textId="77777777" w:rsidTr="00935E8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F0EE576" w14:textId="0EC51399" w:rsidR="00AC20BA" w:rsidRPr="00545497" w:rsidRDefault="00AC20BA" w:rsidP="00ED7973">
            <w:pPr>
              <w:rPr>
                <w:sz w:val="20"/>
                <w:szCs w:val="20"/>
                <w:lang w:val="en-US"/>
              </w:rPr>
            </w:pPr>
            <w:r w:rsidRPr="00545497">
              <w:rPr>
                <w:sz w:val="20"/>
                <w:szCs w:val="20"/>
                <w:lang w:val="en-US"/>
              </w:rPr>
              <w:t>Risk</w:t>
            </w:r>
          </w:p>
        </w:tc>
        <w:tc>
          <w:tcPr>
            <w:tcW w:w="0" w:type="dxa"/>
          </w:tcPr>
          <w:p w14:paraId="3985A507" w14:textId="06CEB048" w:rsidR="00AC20BA" w:rsidRPr="00545497" w:rsidRDefault="00AC20BA" w:rsidP="00C06ABA">
            <w:pPr>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545497">
              <w:rPr>
                <w:sz w:val="20"/>
                <w:szCs w:val="20"/>
                <w:lang w:val="en-US"/>
              </w:rPr>
              <w:t>Probability</w:t>
            </w:r>
          </w:p>
        </w:tc>
        <w:tc>
          <w:tcPr>
            <w:tcW w:w="0" w:type="dxa"/>
          </w:tcPr>
          <w:p w14:paraId="5718CA1E" w14:textId="17C32C5E" w:rsidR="00AC20BA" w:rsidRPr="00545497" w:rsidRDefault="00AC20BA" w:rsidP="00C06ABA">
            <w:pPr>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545497">
              <w:rPr>
                <w:sz w:val="20"/>
                <w:szCs w:val="20"/>
                <w:lang w:val="en-US"/>
              </w:rPr>
              <w:t>Impact</w:t>
            </w:r>
          </w:p>
        </w:tc>
        <w:tc>
          <w:tcPr>
            <w:tcW w:w="0" w:type="dxa"/>
          </w:tcPr>
          <w:p w14:paraId="6D0ED329" w14:textId="64BE8767" w:rsidR="00AC20BA" w:rsidRPr="00545497" w:rsidRDefault="00AC20BA" w:rsidP="00C06ABA">
            <w:pPr>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545497">
              <w:rPr>
                <w:sz w:val="20"/>
                <w:szCs w:val="20"/>
                <w:lang w:val="en-US"/>
              </w:rPr>
              <w:t>Risk Rating</w:t>
            </w:r>
          </w:p>
        </w:tc>
        <w:tc>
          <w:tcPr>
            <w:tcW w:w="0" w:type="dxa"/>
          </w:tcPr>
          <w:p w14:paraId="6CC7CC2B" w14:textId="4172D0E7" w:rsidR="00AC20BA" w:rsidRPr="00545497" w:rsidRDefault="00AC20BA" w:rsidP="00ED7973">
            <w:pPr>
              <w:cnfStyle w:val="100000000000" w:firstRow="1" w:lastRow="0" w:firstColumn="0" w:lastColumn="0" w:oddVBand="0" w:evenVBand="0" w:oddHBand="0" w:evenHBand="0" w:firstRowFirstColumn="0" w:firstRowLastColumn="0" w:lastRowFirstColumn="0" w:lastRowLastColumn="0"/>
              <w:rPr>
                <w:sz w:val="20"/>
                <w:szCs w:val="20"/>
                <w:lang w:val="en-US"/>
              </w:rPr>
            </w:pPr>
            <w:r w:rsidRPr="00545497">
              <w:rPr>
                <w:sz w:val="20"/>
                <w:szCs w:val="20"/>
                <w:lang w:val="en-US"/>
              </w:rPr>
              <w:t>Mitigation</w:t>
            </w:r>
          </w:p>
        </w:tc>
      </w:tr>
      <w:tr w:rsidR="00AC20BA" w14:paraId="78019B82" w14:textId="77777777" w:rsidTr="10B17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265D8D8" w14:textId="2C902111" w:rsidR="00AC20BA" w:rsidRPr="00001382" w:rsidRDefault="00AC20BA" w:rsidP="00ED7973">
            <w:pPr>
              <w:rPr>
                <w:b w:val="0"/>
                <w:bCs w:val="0"/>
                <w:sz w:val="20"/>
                <w:szCs w:val="20"/>
                <w:lang w:val="en-US"/>
              </w:rPr>
            </w:pPr>
            <w:r w:rsidRPr="00001382">
              <w:rPr>
                <w:b w:val="0"/>
                <w:bCs w:val="0"/>
                <w:sz w:val="20"/>
                <w:szCs w:val="20"/>
                <w:lang w:val="en-US"/>
              </w:rPr>
              <w:t>Impacts of Covid-19 delay or prevent activities from being delivered. This may cause the programme to miss targets, underspend, and/or be unable to deliver expected results over the lifetime of the programme.</w:t>
            </w:r>
          </w:p>
        </w:tc>
        <w:tc>
          <w:tcPr>
            <w:tcW w:w="1276" w:type="dxa"/>
          </w:tcPr>
          <w:p w14:paraId="783CCD01" w14:textId="328246A5" w:rsidR="00AC20BA" w:rsidRPr="00001382" w:rsidRDefault="00AC20BA" w:rsidP="00545497">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001382">
              <w:rPr>
                <w:sz w:val="20"/>
                <w:szCs w:val="20"/>
                <w:lang w:val="en-US"/>
              </w:rPr>
              <w:t>Likely</w:t>
            </w:r>
          </w:p>
        </w:tc>
        <w:tc>
          <w:tcPr>
            <w:tcW w:w="1134" w:type="dxa"/>
          </w:tcPr>
          <w:p w14:paraId="4F9186D7" w14:textId="2C9A82C9" w:rsidR="00AC20BA" w:rsidRPr="00001382" w:rsidRDefault="00AC20BA" w:rsidP="00545497">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001382">
              <w:rPr>
                <w:sz w:val="20"/>
                <w:szCs w:val="20"/>
                <w:lang w:val="en-US"/>
              </w:rPr>
              <w:t>Major</w:t>
            </w:r>
          </w:p>
        </w:tc>
        <w:tc>
          <w:tcPr>
            <w:tcW w:w="850" w:type="dxa"/>
            <w:shd w:val="clear" w:color="auto" w:fill="FFC000" w:themeFill="accent4"/>
          </w:tcPr>
          <w:p w14:paraId="1CEEBA1A" w14:textId="7F11887B" w:rsidR="00AC20BA" w:rsidRPr="00001382" w:rsidRDefault="00AC20BA" w:rsidP="00545497">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001382">
              <w:rPr>
                <w:sz w:val="20"/>
                <w:szCs w:val="20"/>
                <w:lang w:val="en-US"/>
              </w:rPr>
              <w:t>Major</w:t>
            </w:r>
          </w:p>
        </w:tc>
        <w:tc>
          <w:tcPr>
            <w:tcW w:w="2693" w:type="dxa"/>
          </w:tcPr>
          <w:p w14:paraId="0D6642AD" w14:textId="36B8938D" w:rsidR="00AC20BA" w:rsidRPr="00001382" w:rsidRDefault="00AC20BA" w:rsidP="00ED7973">
            <w:pPr>
              <w:cnfStyle w:val="000000100000" w:firstRow="0" w:lastRow="0" w:firstColumn="0" w:lastColumn="0" w:oddVBand="0" w:evenVBand="0" w:oddHBand="1" w:evenHBand="0" w:firstRowFirstColumn="0" w:firstRowLastColumn="0" w:lastRowFirstColumn="0" w:lastRowLastColumn="0"/>
              <w:rPr>
                <w:sz w:val="20"/>
                <w:szCs w:val="20"/>
                <w:lang w:val="en-US"/>
              </w:rPr>
            </w:pPr>
            <w:r w:rsidRPr="00001382">
              <w:rPr>
                <w:sz w:val="20"/>
                <w:szCs w:val="20"/>
                <w:lang w:val="en-US"/>
              </w:rPr>
              <w:t>Monitor the Covid-1</w:t>
            </w:r>
            <w:r w:rsidR="00545497" w:rsidRPr="00001382">
              <w:rPr>
                <w:sz w:val="20"/>
                <w:szCs w:val="20"/>
                <w:lang w:val="en-US"/>
              </w:rPr>
              <w:t>9</w:t>
            </w:r>
            <w:r w:rsidRPr="00001382">
              <w:rPr>
                <w:sz w:val="20"/>
                <w:szCs w:val="20"/>
                <w:lang w:val="en-US"/>
              </w:rPr>
              <w:t xml:space="preserve"> situation and response. Defra and the IDB discuss potential risks, mitigation</w:t>
            </w:r>
            <w:r w:rsidR="006C6E79" w:rsidRPr="00001382">
              <w:rPr>
                <w:sz w:val="20"/>
                <w:szCs w:val="20"/>
                <w:lang w:val="en-US"/>
              </w:rPr>
              <w:t xml:space="preserve">, </w:t>
            </w:r>
            <w:r w:rsidRPr="00001382">
              <w:rPr>
                <w:sz w:val="20"/>
                <w:szCs w:val="20"/>
                <w:lang w:val="en-US"/>
              </w:rPr>
              <w:t>and contingency options.</w:t>
            </w:r>
          </w:p>
        </w:tc>
      </w:tr>
      <w:tr w:rsidR="00AC20BA" w14:paraId="5C0A8B55" w14:textId="77777777" w:rsidTr="10B17927">
        <w:tc>
          <w:tcPr>
            <w:cnfStyle w:val="001000000000" w:firstRow="0" w:lastRow="0" w:firstColumn="1" w:lastColumn="0" w:oddVBand="0" w:evenVBand="0" w:oddHBand="0" w:evenHBand="0" w:firstRowFirstColumn="0" w:firstRowLastColumn="0" w:lastRowFirstColumn="0" w:lastRowLastColumn="0"/>
            <w:tcW w:w="3114" w:type="dxa"/>
          </w:tcPr>
          <w:p w14:paraId="7571F029" w14:textId="76240884" w:rsidR="00AC20BA" w:rsidRPr="00001382" w:rsidRDefault="00AC20BA" w:rsidP="00ED7973">
            <w:pPr>
              <w:rPr>
                <w:b w:val="0"/>
                <w:bCs w:val="0"/>
                <w:sz w:val="20"/>
                <w:szCs w:val="20"/>
                <w:lang w:val="en-US"/>
              </w:rPr>
            </w:pPr>
            <w:r w:rsidRPr="00001382">
              <w:rPr>
                <w:b w:val="0"/>
                <w:bCs w:val="0"/>
                <w:sz w:val="20"/>
                <w:szCs w:val="20"/>
                <w:lang w:val="en-US"/>
              </w:rPr>
              <w:t>Delays within the IDB’s processes prevent or slow the approval of projects. This may cause the programme to miss targets, underspend, and/or be unable to deliver expected results over the lifetime of the programme.</w:t>
            </w:r>
          </w:p>
        </w:tc>
        <w:tc>
          <w:tcPr>
            <w:tcW w:w="1276" w:type="dxa"/>
          </w:tcPr>
          <w:p w14:paraId="2F173F85" w14:textId="2D66F14C" w:rsidR="00AC20BA" w:rsidRPr="00001382" w:rsidRDefault="00001382" w:rsidP="00545497">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001382">
              <w:rPr>
                <w:sz w:val="20"/>
                <w:szCs w:val="20"/>
                <w:lang w:val="en-US"/>
              </w:rPr>
              <w:t>Possible</w:t>
            </w:r>
          </w:p>
        </w:tc>
        <w:tc>
          <w:tcPr>
            <w:tcW w:w="1134" w:type="dxa"/>
          </w:tcPr>
          <w:p w14:paraId="29EC9714" w14:textId="0D7B2FED" w:rsidR="00AC20BA" w:rsidRPr="00001382" w:rsidRDefault="00001382" w:rsidP="00545497">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001382">
              <w:rPr>
                <w:sz w:val="20"/>
                <w:szCs w:val="20"/>
                <w:lang w:val="en-US"/>
              </w:rPr>
              <w:t>Major</w:t>
            </w:r>
          </w:p>
        </w:tc>
        <w:tc>
          <w:tcPr>
            <w:tcW w:w="850" w:type="dxa"/>
            <w:shd w:val="clear" w:color="auto" w:fill="FFC000" w:themeFill="accent4"/>
          </w:tcPr>
          <w:p w14:paraId="746C91DC" w14:textId="223F8352" w:rsidR="00AC20BA" w:rsidRPr="00001382" w:rsidRDefault="00001382" w:rsidP="00545497">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001382">
              <w:rPr>
                <w:sz w:val="20"/>
                <w:szCs w:val="20"/>
                <w:lang w:val="en-US"/>
              </w:rPr>
              <w:t>Major</w:t>
            </w:r>
          </w:p>
        </w:tc>
        <w:tc>
          <w:tcPr>
            <w:tcW w:w="2693" w:type="dxa"/>
          </w:tcPr>
          <w:p w14:paraId="04249C96" w14:textId="004B3C75" w:rsidR="00AC20BA" w:rsidRPr="00001382" w:rsidRDefault="00001382" w:rsidP="00ED7973">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Defra and IDB ensure regular communication during project design and monitor timelines closely. Defra and IDB discuss risk regularly, particularly if risk increases.</w:t>
            </w:r>
          </w:p>
        </w:tc>
      </w:tr>
      <w:tr w:rsidR="00AC20BA" w14:paraId="3E0E6617" w14:textId="77777777" w:rsidTr="10B17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E3AFDC3" w14:textId="4932ADB5" w:rsidR="00AC20BA" w:rsidRPr="00001382" w:rsidRDefault="00AC20BA" w:rsidP="00ED7973">
            <w:pPr>
              <w:rPr>
                <w:b w:val="0"/>
                <w:bCs w:val="0"/>
                <w:sz w:val="20"/>
                <w:szCs w:val="20"/>
                <w:lang w:val="en-US"/>
              </w:rPr>
            </w:pPr>
            <w:r w:rsidRPr="00001382">
              <w:rPr>
                <w:b w:val="0"/>
                <w:bCs w:val="0"/>
                <w:sz w:val="20"/>
                <w:szCs w:val="20"/>
                <w:lang w:val="en-US"/>
              </w:rPr>
              <w:t xml:space="preserve">Delays </w:t>
            </w:r>
            <w:r w:rsidR="005A0395" w:rsidRPr="00001382">
              <w:rPr>
                <w:b w:val="0"/>
                <w:bCs w:val="0"/>
                <w:sz w:val="20"/>
                <w:szCs w:val="20"/>
                <w:lang w:val="en-US"/>
              </w:rPr>
              <w:t>to</w:t>
            </w:r>
            <w:r w:rsidRPr="00001382">
              <w:rPr>
                <w:b w:val="0"/>
                <w:bCs w:val="0"/>
                <w:sz w:val="20"/>
                <w:szCs w:val="20"/>
                <w:lang w:val="en-US"/>
              </w:rPr>
              <w:t xml:space="preserve"> implementation of approved projects may cause the programme to miss targets, underspend, and/or be unable to deliver expected results over the lifetime of the programme.</w:t>
            </w:r>
          </w:p>
        </w:tc>
        <w:tc>
          <w:tcPr>
            <w:tcW w:w="1276" w:type="dxa"/>
          </w:tcPr>
          <w:p w14:paraId="2825F623" w14:textId="09BF261E" w:rsidR="00AC20BA" w:rsidRPr="00001382" w:rsidRDefault="00001382" w:rsidP="00545497">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001382">
              <w:rPr>
                <w:sz w:val="20"/>
                <w:szCs w:val="20"/>
                <w:lang w:val="en-US"/>
              </w:rPr>
              <w:t>Possible</w:t>
            </w:r>
          </w:p>
        </w:tc>
        <w:tc>
          <w:tcPr>
            <w:tcW w:w="1134" w:type="dxa"/>
          </w:tcPr>
          <w:p w14:paraId="53605D74" w14:textId="69154E04" w:rsidR="00AC20BA" w:rsidRPr="00001382" w:rsidRDefault="00001382" w:rsidP="00545497">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001382">
              <w:rPr>
                <w:sz w:val="20"/>
                <w:szCs w:val="20"/>
                <w:lang w:val="en-US"/>
              </w:rPr>
              <w:t>Major</w:t>
            </w:r>
          </w:p>
        </w:tc>
        <w:tc>
          <w:tcPr>
            <w:tcW w:w="850" w:type="dxa"/>
            <w:shd w:val="clear" w:color="auto" w:fill="FFC000" w:themeFill="accent4"/>
          </w:tcPr>
          <w:p w14:paraId="32EE0295" w14:textId="0368811E" w:rsidR="00AC20BA" w:rsidRPr="00001382" w:rsidRDefault="00001382" w:rsidP="00545497">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001382">
              <w:rPr>
                <w:sz w:val="20"/>
                <w:szCs w:val="20"/>
                <w:lang w:val="en-US"/>
              </w:rPr>
              <w:t>Major</w:t>
            </w:r>
          </w:p>
        </w:tc>
        <w:tc>
          <w:tcPr>
            <w:tcW w:w="2693" w:type="dxa"/>
          </w:tcPr>
          <w:p w14:paraId="6FE5E6FE" w14:textId="4585BC09" w:rsidR="00AC20BA" w:rsidRPr="00001382" w:rsidRDefault="00001382" w:rsidP="00ED7973">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Defra and IDB ensure regular communication during project implementation and monitor timelines closely. Defra and IDB discuss risk regularly, particularly if risk increases.</w:t>
            </w:r>
          </w:p>
        </w:tc>
      </w:tr>
      <w:tr w:rsidR="00AC20BA" w14:paraId="569BB997" w14:textId="77777777" w:rsidTr="10B17927">
        <w:tc>
          <w:tcPr>
            <w:cnfStyle w:val="001000000000" w:firstRow="0" w:lastRow="0" w:firstColumn="1" w:lastColumn="0" w:oddVBand="0" w:evenVBand="0" w:oddHBand="0" w:evenHBand="0" w:firstRowFirstColumn="0" w:firstRowLastColumn="0" w:lastRowFirstColumn="0" w:lastRowLastColumn="0"/>
            <w:tcW w:w="3114" w:type="dxa"/>
          </w:tcPr>
          <w:p w14:paraId="142BE179" w14:textId="57A545EB" w:rsidR="00AC20BA" w:rsidRPr="00001382" w:rsidRDefault="00AC20BA" w:rsidP="00ED7973">
            <w:pPr>
              <w:rPr>
                <w:b w:val="0"/>
                <w:bCs w:val="0"/>
                <w:sz w:val="20"/>
                <w:szCs w:val="20"/>
                <w:lang w:val="en-US"/>
              </w:rPr>
            </w:pPr>
            <w:r w:rsidRPr="00001382">
              <w:rPr>
                <w:b w:val="0"/>
                <w:bCs w:val="0"/>
                <w:sz w:val="20"/>
                <w:szCs w:val="20"/>
                <w:lang w:val="en-US"/>
              </w:rPr>
              <w:t>IDB is unable to effectively manage the programme due to internal or external factors and/or insufficient or complex internal systems. This may lead to delays and slow progress which would result in failure to meet expected targets</w:t>
            </w:r>
          </w:p>
        </w:tc>
        <w:tc>
          <w:tcPr>
            <w:tcW w:w="1276" w:type="dxa"/>
          </w:tcPr>
          <w:p w14:paraId="72759D25" w14:textId="703F2C8F" w:rsidR="00AC20BA" w:rsidRPr="00001382" w:rsidRDefault="00545497" w:rsidP="00545497">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001382">
              <w:rPr>
                <w:sz w:val="20"/>
                <w:szCs w:val="20"/>
                <w:lang w:val="en-US"/>
              </w:rPr>
              <w:t>Possible</w:t>
            </w:r>
          </w:p>
        </w:tc>
        <w:tc>
          <w:tcPr>
            <w:tcW w:w="1134" w:type="dxa"/>
          </w:tcPr>
          <w:p w14:paraId="251A8B81" w14:textId="5BAAAAF4" w:rsidR="00AC20BA" w:rsidRPr="00001382" w:rsidRDefault="00545497" w:rsidP="00545497">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001382">
              <w:rPr>
                <w:sz w:val="20"/>
                <w:szCs w:val="20"/>
                <w:lang w:val="en-US"/>
              </w:rPr>
              <w:t>Major</w:t>
            </w:r>
          </w:p>
        </w:tc>
        <w:tc>
          <w:tcPr>
            <w:tcW w:w="850" w:type="dxa"/>
            <w:shd w:val="clear" w:color="auto" w:fill="FFC000" w:themeFill="accent4"/>
          </w:tcPr>
          <w:p w14:paraId="06669F78" w14:textId="149127B6" w:rsidR="00AC20BA" w:rsidRPr="00001382" w:rsidRDefault="00545497" w:rsidP="00545497">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001382">
              <w:rPr>
                <w:sz w:val="20"/>
                <w:szCs w:val="20"/>
                <w:lang w:val="en-US"/>
              </w:rPr>
              <w:t>Major</w:t>
            </w:r>
          </w:p>
        </w:tc>
        <w:tc>
          <w:tcPr>
            <w:tcW w:w="2693" w:type="dxa"/>
          </w:tcPr>
          <w:p w14:paraId="2A007CA3" w14:textId="348BC789" w:rsidR="00AC20BA" w:rsidRPr="00001382" w:rsidRDefault="00545497" w:rsidP="00ED7973">
            <w:pPr>
              <w:cnfStyle w:val="000000000000" w:firstRow="0" w:lastRow="0" w:firstColumn="0" w:lastColumn="0" w:oddVBand="0" w:evenVBand="0" w:oddHBand="0" w:evenHBand="0" w:firstRowFirstColumn="0" w:firstRowLastColumn="0" w:lastRowFirstColumn="0" w:lastRowLastColumn="0"/>
              <w:rPr>
                <w:sz w:val="20"/>
                <w:szCs w:val="20"/>
                <w:lang w:val="en-US"/>
              </w:rPr>
            </w:pPr>
            <w:r w:rsidRPr="00001382">
              <w:rPr>
                <w:sz w:val="20"/>
                <w:szCs w:val="20"/>
                <w:lang w:val="en-US"/>
              </w:rPr>
              <w:t>Quarterly meetings (bi-annual Advisory Board and bi-annual checkpoint) take place with ‘risk’ as a standing agenda. The format of these meetings should be reviewed as the programme progresses and more projects enter implementation.</w:t>
            </w:r>
          </w:p>
        </w:tc>
      </w:tr>
      <w:tr w:rsidR="00545497" w14:paraId="7AD97C6B" w14:textId="77777777" w:rsidTr="10B17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8A3DA94" w14:textId="394A364F" w:rsidR="00545497" w:rsidRPr="00001382" w:rsidRDefault="00001382" w:rsidP="00ED7973">
            <w:pPr>
              <w:rPr>
                <w:b w:val="0"/>
                <w:bCs w:val="0"/>
                <w:sz w:val="20"/>
                <w:szCs w:val="20"/>
                <w:lang w:val="en-US"/>
              </w:rPr>
            </w:pPr>
            <w:r w:rsidRPr="00001382">
              <w:rPr>
                <w:b w:val="0"/>
                <w:bCs w:val="0"/>
                <w:sz w:val="20"/>
                <w:szCs w:val="20"/>
                <w:lang w:val="en-US"/>
              </w:rPr>
              <w:t>Programme</w:t>
            </w:r>
            <w:r w:rsidR="00545497" w:rsidRPr="00001382">
              <w:rPr>
                <w:b w:val="0"/>
                <w:bCs w:val="0"/>
                <w:sz w:val="20"/>
                <w:szCs w:val="20"/>
                <w:lang w:val="en-US"/>
              </w:rPr>
              <w:t xml:space="preserve"> continue</w:t>
            </w:r>
            <w:r w:rsidRPr="00001382">
              <w:rPr>
                <w:b w:val="0"/>
                <w:bCs w:val="0"/>
                <w:sz w:val="20"/>
                <w:szCs w:val="20"/>
                <w:lang w:val="en-US"/>
              </w:rPr>
              <w:t>s</w:t>
            </w:r>
            <w:r w:rsidR="00545497" w:rsidRPr="00001382">
              <w:rPr>
                <w:b w:val="0"/>
                <w:bCs w:val="0"/>
                <w:sz w:val="20"/>
                <w:szCs w:val="20"/>
                <w:lang w:val="en-US"/>
              </w:rPr>
              <w:t xml:space="preserve"> to underperform, leading to delays and slow progress which do not meet expectations for programme management, delivery and impact</w:t>
            </w:r>
          </w:p>
        </w:tc>
        <w:tc>
          <w:tcPr>
            <w:tcW w:w="1276" w:type="dxa"/>
          </w:tcPr>
          <w:p w14:paraId="11051378" w14:textId="45937A6C" w:rsidR="00545497" w:rsidRPr="00001382" w:rsidRDefault="00545497" w:rsidP="00545497">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001382">
              <w:rPr>
                <w:sz w:val="20"/>
                <w:szCs w:val="20"/>
                <w:lang w:val="en-US"/>
              </w:rPr>
              <w:t>Likely</w:t>
            </w:r>
          </w:p>
        </w:tc>
        <w:tc>
          <w:tcPr>
            <w:tcW w:w="1134" w:type="dxa"/>
          </w:tcPr>
          <w:p w14:paraId="0AC8A2D0" w14:textId="1241C060" w:rsidR="00545497" w:rsidRPr="00001382" w:rsidRDefault="00545497" w:rsidP="00545497">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001382">
              <w:rPr>
                <w:sz w:val="20"/>
                <w:szCs w:val="20"/>
                <w:lang w:val="en-US"/>
              </w:rPr>
              <w:t>Major</w:t>
            </w:r>
          </w:p>
        </w:tc>
        <w:tc>
          <w:tcPr>
            <w:tcW w:w="850" w:type="dxa"/>
            <w:shd w:val="clear" w:color="auto" w:fill="FF0000"/>
          </w:tcPr>
          <w:p w14:paraId="4E1AAC3A" w14:textId="2529D12D" w:rsidR="00545497" w:rsidRPr="00001382" w:rsidRDefault="00545497" w:rsidP="00545497">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001382">
              <w:rPr>
                <w:sz w:val="20"/>
                <w:szCs w:val="20"/>
                <w:lang w:val="en-US"/>
              </w:rPr>
              <w:t>Severe</w:t>
            </w:r>
          </w:p>
        </w:tc>
        <w:tc>
          <w:tcPr>
            <w:tcW w:w="2693" w:type="dxa"/>
          </w:tcPr>
          <w:p w14:paraId="704DFC6B" w14:textId="73BBD3AE" w:rsidR="00545497" w:rsidRPr="00001382" w:rsidRDefault="00545497" w:rsidP="00ED7973">
            <w:pPr>
              <w:cnfStyle w:val="000000100000" w:firstRow="0" w:lastRow="0" w:firstColumn="0" w:lastColumn="0" w:oddVBand="0" w:evenVBand="0" w:oddHBand="1" w:evenHBand="0" w:firstRowFirstColumn="0" w:firstRowLastColumn="0" w:lastRowFirstColumn="0" w:lastRowLastColumn="0"/>
              <w:rPr>
                <w:sz w:val="20"/>
                <w:szCs w:val="20"/>
                <w:lang w:val="en-US"/>
              </w:rPr>
            </w:pPr>
            <w:r w:rsidRPr="00001382">
              <w:rPr>
                <w:sz w:val="20"/>
                <w:szCs w:val="20"/>
                <w:lang w:val="en-US"/>
              </w:rPr>
              <w:t xml:space="preserve">Pause programme development and escalate performance </w:t>
            </w:r>
            <w:r w:rsidR="00001382" w:rsidRPr="00001382">
              <w:rPr>
                <w:sz w:val="20"/>
                <w:szCs w:val="20"/>
                <w:lang w:val="en-US"/>
              </w:rPr>
              <w:t>risk; address underperformance through official channels.</w:t>
            </w:r>
            <w:r w:rsidR="002474A3">
              <w:rPr>
                <w:sz w:val="20"/>
                <w:szCs w:val="20"/>
                <w:lang w:val="en-US"/>
              </w:rPr>
              <w:t xml:space="preserve"> IDB and Defra to agree an initial Action Plan to get the programme on track.</w:t>
            </w:r>
          </w:p>
        </w:tc>
      </w:tr>
      <w:tr w:rsidR="00001382" w14:paraId="2D52AF05" w14:textId="77777777" w:rsidTr="10B17927">
        <w:tc>
          <w:tcPr>
            <w:cnfStyle w:val="001000000000" w:firstRow="0" w:lastRow="0" w:firstColumn="1" w:lastColumn="0" w:oddVBand="0" w:evenVBand="0" w:oddHBand="0" w:evenHBand="0" w:firstRowFirstColumn="0" w:firstRowLastColumn="0" w:lastRowFirstColumn="0" w:lastRowLastColumn="0"/>
            <w:tcW w:w="3114" w:type="dxa"/>
          </w:tcPr>
          <w:p w14:paraId="69473083" w14:textId="103DE89E" w:rsidR="00AC20BA" w:rsidRPr="00001382" w:rsidRDefault="00AC20BA" w:rsidP="00ED7973">
            <w:pPr>
              <w:rPr>
                <w:b w:val="0"/>
                <w:bCs w:val="0"/>
                <w:sz w:val="20"/>
                <w:szCs w:val="20"/>
                <w:lang w:val="en-US"/>
              </w:rPr>
            </w:pPr>
            <w:r w:rsidRPr="00001382">
              <w:rPr>
                <w:b w:val="0"/>
                <w:bCs w:val="0"/>
                <w:sz w:val="20"/>
                <w:szCs w:val="20"/>
                <w:lang w:val="en-US"/>
              </w:rPr>
              <w:t>Lack of M&amp;E means that outcomes cannot be effectively measured</w:t>
            </w:r>
            <w:r w:rsidR="00545497" w:rsidRPr="00001382">
              <w:rPr>
                <w:b w:val="0"/>
                <w:bCs w:val="0"/>
                <w:sz w:val="20"/>
                <w:szCs w:val="20"/>
                <w:lang w:val="en-US"/>
              </w:rPr>
              <w:t>,</w:t>
            </w:r>
            <w:r w:rsidRPr="00001382">
              <w:rPr>
                <w:b w:val="0"/>
                <w:bCs w:val="0"/>
                <w:sz w:val="20"/>
                <w:szCs w:val="20"/>
                <w:lang w:val="en-US"/>
              </w:rPr>
              <w:t xml:space="preserve"> and the project cannot report effectively against KPIs and establish value for money.</w:t>
            </w:r>
          </w:p>
        </w:tc>
        <w:tc>
          <w:tcPr>
            <w:tcW w:w="1276" w:type="dxa"/>
          </w:tcPr>
          <w:p w14:paraId="6B1CF46B" w14:textId="51FD0952" w:rsidR="00AC20BA" w:rsidRPr="00001382" w:rsidRDefault="00545497" w:rsidP="00545497">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001382">
              <w:rPr>
                <w:sz w:val="20"/>
                <w:szCs w:val="20"/>
                <w:lang w:val="en-US"/>
              </w:rPr>
              <w:t>Likely</w:t>
            </w:r>
          </w:p>
        </w:tc>
        <w:tc>
          <w:tcPr>
            <w:tcW w:w="1134" w:type="dxa"/>
          </w:tcPr>
          <w:p w14:paraId="50D99D1D" w14:textId="7D731BA3" w:rsidR="00AC20BA" w:rsidRPr="00001382" w:rsidRDefault="00545497" w:rsidP="00545497">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001382">
              <w:rPr>
                <w:sz w:val="20"/>
                <w:szCs w:val="20"/>
                <w:lang w:val="en-US"/>
              </w:rPr>
              <w:t>Major</w:t>
            </w:r>
          </w:p>
        </w:tc>
        <w:tc>
          <w:tcPr>
            <w:tcW w:w="850" w:type="dxa"/>
            <w:shd w:val="clear" w:color="auto" w:fill="FF0000"/>
          </w:tcPr>
          <w:p w14:paraId="476D3F45" w14:textId="47973E4D" w:rsidR="00AC20BA" w:rsidRPr="00001382" w:rsidRDefault="00545497" w:rsidP="00545497">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001382">
              <w:rPr>
                <w:sz w:val="20"/>
                <w:szCs w:val="20"/>
                <w:lang w:val="en-US"/>
              </w:rPr>
              <w:t>Severe</w:t>
            </w:r>
          </w:p>
        </w:tc>
        <w:tc>
          <w:tcPr>
            <w:tcW w:w="2693" w:type="dxa"/>
          </w:tcPr>
          <w:p w14:paraId="45211CD2" w14:textId="2982096C" w:rsidR="00AC20BA" w:rsidRPr="00001382" w:rsidRDefault="002474A3" w:rsidP="00ED7973">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IDB draw on additional MEL expertise to accelerate development or robust M&amp;E products. Defra continues to provide guidance and feedback to ensure products and indicator methodologies align with</w:t>
            </w:r>
            <w:r w:rsidR="00171DEB">
              <w:rPr>
                <w:sz w:val="20"/>
                <w:szCs w:val="20"/>
                <w:lang w:val="en-US"/>
              </w:rPr>
              <w:t xml:space="preserve"> changing </w:t>
            </w:r>
            <w:r>
              <w:rPr>
                <w:sz w:val="20"/>
                <w:szCs w:val="20"/>
                <w:lang w:val="en-US"/>
              </w:rPr>
              <w:t xml:space="preserve">ICF requirements. </w:t>
            </w:r>
          </w:p>
        </w:tc>
      </w:tr>
      <w:tr w:rsidR="00001382" w14:paraId="6D3613A3" w14:textId="77777777" w:rsidTr="10B17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14ECB54" w14:textId="1397B161" w:rsidR="00AC20BA" w:rsidRPr="00001382" w:rsidRDefault="00AC20BA" w:rsidP="00ED7973">
            <w:pPr>
              <w:rPr>
                <w:b w:val="0"/>
                <w:bCs w:val="0"/>
                <w:sz w:val="20"/>
                <w:szCs w:val="20"/>
                <w:lang w:val="en-US"/>
              </w:rPr>
            </w:pPr>
            <w:r w:rsidRPr="00001382">
              <w:rPr>
                <w:b w:val="0"/>
                <w:bCs w:val="0"/>
                <w:sz w:val="20"/>
                <w:szCs w:val="20"/>
                <w:lang w:val="en-US"/>
              </w:rPr>
              <w:lastRenderedPageBreak/>
              <w:t>Political instability in target countries affects the implementation of projects and ability for the IDB to secure non-objection letters required to approve projects. This may cause the programme to miss targets, underspend, and/or be unable to deliver expected results over the lifetime of the programme.</w:t>
            </w:r>
          </w:p>
        </w:tc>
        <w:tc>
          <w:tcPr>
            <w:tcW w:w="1276" w:type="dxa"/>
          </w:tcPr>
          <w:p w14:paraId="46DB0638" w14:textId="0193279E" w:rsidR="00AC20BA" w:rsidRPr="00001382" w:rsidRDefault="00001382" w:rsidP="00545497">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001382">
              <w:rPr>
                <w:sz w:val="20"/>
                <w:szCs w:val="20"/>
                <w:lang w:val="en-US"/>
              </w:rPr>
              <w:t>Possible</w:t>
            </w:r>
          </w:p>
        </w:tc>
        <w:tc>
          <w:tcPr>
            <w:tcW w:w="1134" w:type="dxa"/>
          </w:tcPr>
          <w:p w14:paraId="5B8A6EBB" w14:textId="7B317143" w:rsidR="00AC20BA" w:rsidRPr="00001382" w:rsidRDefault="00001382" w:rsidP="00545497">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001382">
              <w:rPr>
                <w:sz w:val="20"/>
                <w:szCs w:val="20"/>
                <w:lang w:val="en-US"/>
              </w:rPr>
              <w:t>Major</w:t>
            </w:r>
          </w:p>
        </w:tc>
        <w:tc>
          <w:tcPr>
            <w:tcW w:w="850" w:type="dxa"/>
            <w:shd w:val="clear" w:color="auto" w:fill="FFC000" w:themeFill="accent4"/>
          </w:tcPr>
          <w:p w14:paraId="68C6DFD0" w14:textId="0BB4F87D" w:rsidR="00AC20BA" w:rsidRPr="00001382" w:rsidRDefault="00001382" w:rsidP="00545497">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001382">
              <w:rPr>
                <w:sz w:val="20"/>
                <w:szCs w:val="20"/>
                <w:lang w:val="en-US"/>
              </w:rPr>
              <w:t>Major</w:t>
            </w:r>
          </w:p>
        </w:tc>
        <w:tc>
          <w:tcPr>
            <w:tcW w:w="2693" w:type="dxa"/>
          </w:tcPr>
          <w:p w14:paraId="30850D46" w14:textId="5927929F" w:rsidR="00AC20BA" w:rsidRPr="00001382" w:rsidRDefault="00001382" w:rsidP="00ED7973">
            <w:pPr>
              <w:cnfStyle w:val="000000100000" w:firstRow="0" w:lastRow="0" w:firstColumn="0" w:lastColumn="0" w:oddVBand="0" w:evenVBand="0" w:oddHBand="1" w:evenHBand="0" w:firstRowFirstColumn="0" w:firstRowLastColumn="0" w:lastRowFirstColumn="0" w:lastRowLastColumn="0"/>
              <w:rPr>
                <w:sz w:val="20"/>
                <w:szCs w:val="20"/>
                <w:lang w:val="en-US"/>
              </w:rPr>
            </w:pPr>
            <w:r w:rsidRPr="005A0395">
              <w:rPr>
                <w:rFonts w:asciiTheme="minorHAnsi" w:hAnsiTheme="minorHAnsi" w:cstheme="minorHAnsi"/>
                <w:sz w:val="20"/>
                <w:szCs w:val="20"/>
                <w:lang w:val="en-US"/>
              </w:rPr>
              <w:t>IDB and Defra to monitor the political stability of target countries and discuss if risk increases. Engage with FCDO and Post as required.</w:t>
            </w:r>
          </w:p>
        </w:tc>
      </w:tr>
    </w:tbl>
    <w:p w14:paraId="76AD56AB" w14:textId="77777777" w:rsidR="00C06ABA" w:rsidRDefault="00C06ABA" w:rsidP="00ED7973">
      <w:pPr>
        <w:rPr>
          <w:lang w:val="en-US"/>
        </w:rPr>
      </w:pPr>
    </w:p>
    <w:p w14:paraId="588C9528" w14:textId="18564B54" w:rsidR="00C06ABA" w:rsidRDefault="00C06ABA" w:rsidP="00E044A4">
      <w:pPr>
        <w:pStyle w:val="Heading2"/>
      </w:pPr>
      <w:r>
        <w:t>Issues for Consideration</w:t>
      </w:r>
    </w:p>
    <w:p w14:paraId="4E42F982" w14:textId="2C124E59" w:rsidR="00C06ABA" w:rsidRPr="008B509E" w:rsidRDefault="00ED7973" w:rsidP="00484CCF">
      <w:pPr>
        <w:jc w:val="both"/>
        <w:rPr>
          <w:lang w:val="en-US"/>
        </w:rPr>
      </w:pPr>
      <w:r w:rsidRPr="007E0878">
        <w:rPr>
          <w:lang w:val="en-US"/>
        </w:rPr>
        <w:t xml:space="preserve">As detailed throughout this Annual Review, the UK </w:t>
      </w:r>
      <w:r w:rsidR="007E0878" w:rsidRPr="007E0878">
        <w:rPr>
          <w:lang w:val="en-US"/>
        </w:rPr>
        <w:t>BCF</w:t>
      </w:r>
      <w:r w:rsidRPr="007E0878">
        <w:rPr>
          <w:lang w:val="en-US"/>
        </w:rPr>
        <w:t xml:space="preserve"> has faced </w:t>
      </w:r>
      <w:r w:rsidR="007E0878" w:rsidRPr="007E0878">
        <w:rPr>
          <w:lang w:val="en-US"/>
        </w:rPr>
        <w:t>three</w:t>
      </w:r>
      <w:r w:rsidR="00935E85" w:rsidRPr="007E0878">
        <w:rPr>
          <w:lang w:val="en-US"/>
        </w:rPr>
        <w:t xml:space="preserve"> </w:t>
      </w:r>
      <w:r w:rsidRPr="007E0878">
        <w:rPr>
          <w:lang w:val="en-US"/>
        </w:rPr>
        <w:t>key issues throughout 2020</w:t>
      </w:r>
      <w:r w:rsidR="00935E85" w:rsidRPr="007E0878">
        <w:rPr>
          <w:lang w:val="en-US"/>
        </w:rPr>
        <w:t>/</w:t>
      </w:r>
      <w:r w:rsidRPr="007E0878">
        <w:rPr>
          <w:lang w:val="en-US"/>
        </w:rPr>
        <w:t>21 i) delays to project approvals</w:t>
      </w:r>
      <w:r w:rsidR="007E0878" w:rsidRPr="007E0878">
        <w:rPr>
          <w:lang w:val="en-US"/>
        </w:rPr>
        <w:t xml:space="preserve"> and implementation</w:t>
      </w:r>
      <w:r w:rsidRPr="007E0878">
        <w:rPr>
          <w:lang w:val="en-US"/>
        </w:rPr>
        <w:t xml:space="preserve"> </w:t>
      </w:r>
      <w:r w:rsidR="007E0878" w:rsidRPr="007E0878">
        <w:rPr>
          <w:lang w:val="en-US"/>
        </w:rPr>
        <w:t xml:space="preserve">ii) communication, particularly in relation to risk and project execution plans </w:t>
      </w:r>
      <w:r w:rsidRPr="007E0878">
        <w:rPr>
          <w:lang w:val="en-US"/>
        </w:rPr>
        <w:t>and ii</w:t>
      </w:r>
      <w:r w:rsidR="00935E85" w:rsidRPr="007E0878">
        <w:rPr>
          <w:lang w:val="en-US"/>
        </w:rPr>
        <w:t>i</w:t>
      </w:r>
      <w:r w:rsidRPr="007E0878">
        <w:rPr>
          <w:lang w:val="en-US"/>
        </w:rPr>
        <w:t>) continued delays to finalising vital M&amp;E pr</w:t>
      </w:r>
      <w:r w:rsidRPr="007B4BA7">
        <w:rPr>
          <w:lang w:val="en-US"/>
        </w:rPr>
        <w:t>oducts.</w:t>
      </w:r>
    </w:p>
    <w:p w14:paraId="33F154A3" w14:textId="316F0620" w:rsidR="00C06ABA" w:rsidRDefault="00C06ABA" w:rsidP="00E044A4">
      <w:pPr>
        <w:pStyle w:val="Heading2"/>
      </w:pPr>
      <w:r>
        <w:t>Safeguarding Concerns</w:t>
      </w:r>
    </w:p>
    <w:p w14:paraId="0B4AD292" w14:textId="413263C8" w:rsidR="00C06ABA" w:rsidRDefault="00C06ABA" w:rsidP="00484CCF">
      <w:pPr>
        <w:jc w:val="both"/>
        <w:rPr>
          <w:lang w:val="en-US"/>
        </w:rPr>
      </w:pPr>
      <w:r w:rsidRPr="0EB3B9BE">
        <w:rPr>
          <w:lang w:val="en-US"/>
        </w:rPr>
        <w:t>Defra has not been notified of any safeguarding concerns in 2020/21. All safeguarding concerns should to be reported to Defra at the soonest possible moment and Defra should remain informed of any developments relating to safeguarding concerns.</w:t>
      </w:r>
    </w:p>
    <w:p w14:paraId="09E4A403" w14:textId="181E7397" w:rsidR="00C06ABA" w:rsidRDefault="00C06ABA" w:rsidP="00D33DD9">
      <w:pPr>
        <w:pStyle w:val="Heading1"/>
        <w:numPr>
          <w:ilvl w:val="0"/>
          <w:numId w:val="3"/>
        </w:numPr>
        <w:ind w:left="426" w:hanging="426"/>
        <w:jc w:val="both"/>
        <w:rPr>
          <w:lang w:val="en-US"/>
        </w:rPr>
      </w:pPr>
      <w:r>
        <w:rPr>
          <w:lang w:val="en-US"/>
        </w:rPr>
        <w:t>Commercial Consideration</w:t>
      </w:r>
    </w:p>
    <w:p w14:paraId="634528BE" w14:textId="08DDC9A5" w:rsidR="00C06ABA" w:rsidRDefault="00C06ABA" w:rsidP="00E044A4">
      <w:pPr>
        <w:pStyle w:val="Heading2"/>
      </w:pPr>
      <w:r>
        <w:t>Delivery against the Planned Timeframe</w:t>
      </w:r>
    </w:p>
    <w:p w14:paraId="3F8D818E" w14:textId="5B232B3D" w:rsidR="00C06ABA" w:rsidRDefault="00C06ABA" w:rsidP="00484CCF">
      <w:pPr>
        <w:jc w:val="both"/>
        <w:rPr>
          <w:lang w:val="en-US"/>
        </w:rPr>
      </w:pPr>
      <w:r w:rsidRPr="0EB3B9BE">
        <w:rPr>
          <w:lang w:val="en-US"/>
        </w:rPr>
        <w:t xml:space="preserve">The UK </w:t>
      </w:r>
      <w:r w:rsidR="00141CFA">
        <w:rPr>
          <w:lang w:val="en-US"/>
        </w:rPr>
        <w:t>BCF</w:t>
      </w:r>
      <w:r w:rsidRPr="0EB3B9BE">
        <w:rPr>
          <w:lang w:val="en-US"/>
        </w:rPr>
        <w:t xml:space="preserve"> has experienced challenges throughout 2020-2021 relating to keeping pace against expected timeframes detailed in project workplans. The impact of these delays on meeting the expected targets of the programme are currently unknown as there is not yet a programme</w:t>
      </w:r>
      <w:r w:rsidR="00516DB6" w:rsidRPr="0EB3B9BE">
        <w:rPr>
          <w:lang w:val="en-US"/>
        </w:rPr>
        <w:t>-</w:t>
      </w:r>
      <w:r w:rsidRPr="0EB3B9BE">
        <w:rPr>
          <w:lang w:val="en-US"/>
        </w:rPr>
        <w:t>level logical framework, and therefore no milestones to assess these delays against. Delays to delivery are primarily across three</w:t>
      </w:r>
      <w:r w:rsidRPr="0EB3B9BE">
        <w:rPr>
          <w:color w:val="FF0000"/>
          <w:lang w:val="en-US"/>
        </w:rPr>
        <w:t xml:space="preserve"> </w:t>
      </w:r>
      <w:r w:rsidRPr="0EB3B9BE">
        <w:rPr>
          <w:lang w:val="en-US"/>
        </w:rPr>
        <w:t>focal areas:</w:t>
      </w:r>
    </w:p>
    <w:p w14:paraId="6307DA51" w14:textId="7CB02FCD" w:rsidR="00DE7C30" w:rsidRDefault="00DE7C30" w:rsidP="00D33DD9">
      <w:pPr>
        <w:pStyle w:val="ListParagraph"/>
        <w:numPr>
          <w:ilvl w:val="0"/>
          <w:numId w:val="11"/>
        </w:numPr>
        <w:jc w:val="both"/>
        <w:rPr>
          <w:color w:val="FF0000"/>
          <w:lang w:val="en-US"/>
        </w:rPr>
      </w:pPr>
      <w:r w:rsidRPr="00DE7C30">
        <w:rPr>
          <w:rStyle w:val="normaltextrun"/>
          <w:rFonts w:cs="Calibri"/>
          <w:b/>
          <w:bCs/>
          <w:color w:val="2F5496"/>
          <w:shd w:val="clear" w:color="auto" w:fill="FFFFFF"/>
        </w:rPr>
        <w:t xml:space="preserve">Delays </w:t>
      </w:r>
      <w:r>
        <w:rPr>
          <w:rStyle w:val="normaltextrun"/>
          <w:rFonts w:cs="Calibri"/>
          <w:b/>
          <w:bCs/>
          <w:color w:val="2F5496"/>
          <w:shd w:val="clear" w:color="auto" w:fill="FFFFFF"/>
        </w:rPr>
        <w:t xml:space="preserve">to finalising vital M&amp;E products. </w:t>
      </w:r>
      <w:r w:rsidR="005D23F0" w:rsidRPr="00D91AEC">
        <w:rPr>
          <w:rStyle w:val="normaltextrun"/>
          <w:rFonts w:cs="Calibri"/>
          <w:shd w:val="clear" w:color="auto" w:fill="FFFFFF"/>
        </w:rPr>
        <w:t xml:space="preserve">The IDB has not </w:t>
      </w:r>
      <w:r w:rsidR="00D91AEC">
        <w:rPr>
          <w:rStyle w:val="normaltextrun"/>
          <w:rFonts w:cs="Calibri"/>
          <w:shd w:val="clear" w:color="auto" w:fill="FFFFFF"/>
        </w:rPr>
        <w:t>sufficiently</w:t>
      </w:r>
      <w:r w:rsidR="005D23F0" w:rsidRPr="00D91AEC">
        <w:rPr>
          <w:rStyle w:val="normaltextrun"/>
          <w:rFonts w:cs="Calibri"/>
          <w:shd w:val="clear" w:color="auto" w:fill="FFFFFF"/>
        </w:rPr>
        <w:t xml:space="preserve"> incorporated feedback into versions of the logical framework and Theory of Change</w:t>
      </w:r>
      <w:r w:rsidR="00D91AEC">
        <w:rPr>
          <w:rStyle w:val="normaltextrun"/>
          <w:rFonts w:cs="Calibri"/>
          <w:shd w:val="clear" w:color="auto" w:fill="FFFFFF"/>
        </w:rPr>
        <w:t>, or sufficiently acted upon advice provided by Defra.</w:t>
      </w:r>
      <w:r w:rsidR="005D23F0" w:rsidRPr="00D91AEC">
        <w:rPr>
          <w:rStyle w:val="normaltextrun"/>
          <w:rFonts w:cs="Calibri"/>
          <w:b/>
          <w:bCs/>
          <w:shd w:val="clear" w:color="auto" w:fill="FFFFFF"/>
        </w:rPr>
        <w:t xml:space="preserve"> </w:t>
      </w:r>
      <w:r w:rsidR="005D23F0" w:rsidRPr="00D91AEC">
        <w:rPr>
          <w:lang w:val="en-US"/>
        </w:rPr>
        <w:t xml:space="preserve">Changes in Defra’s policy team has caused some further delays. </w:t>
      </w:r>
      <w:r w:rsidR="005D23F0" w:rsidRPr="00D91AEC">
        <w:rPr>
          <w:rStyle w:val="normaltextrun"/>
          <w:rFonts w:cs="Calibri"/>
          <w:shd w:val="clear" w:color="auto" w:fill="FFFFFF"/>
        </w:rPr>
        <w:t xml:space="preserve">Efforts to manage the programme have been focused on finalising </w:t>
      </w:r>
      <w:r w:rsidR="00D91AEC" w:rsidRPr="00D91AEC">
        <w:rPr>
          <w:rStyle w:val="normaltextrun"/>
          <w:rFonts w:cs="Calibri"/>
          <w:shd w:val="clear" w:color="auto" w:fill="FFFFFF"/>
        </w:rPr>
        <w:t>the programme</w:t>
      </w:r>
      <w:r w:rsidR="00516DB6">
        <w:rPr>
          <w:rStyle w:val="normaltextrun"/>
          <w:rFonts w:cs="Calibri"/>
          <w:shd w:val="clear" w:color="auto" w:fill="FFFFFF"/>
        </w:rPr>
        <w:t>-</w:t>
      </w:r>
      <w:r w:rsidR="00D91AEC" w:rsidRPr="00D91AEC">
        <w:rPr>
          <w:rStyle w:val="normaltextrun"/>
          <w:rFonts w:cs="Calibri"/>
          <w:shd w:val="clear" w:color="auto" w:fill="FFFFFF"/>
        </w:rPr>
        <w:t>level results framework</w:t>
      </w:r>
      <w:r w:rsidR="005D23F0" w:rsidRPr="00D91AEC">
        <w:rPr>
          <w:rStyle w:val="normaltextrun"/>
          <w:rFonts w:cs="Calibri"/>
          <w:shd w:val="clear" w:color="auto" w:fill="FFFFFF"/>
        </w:rPr>
        <w:t xml:space="preserve"> rather than the day-to-day management of the programm</w:t>
      </w:r>
      <w:r w:rsidR="00D91AEC">
        <w:rPr>
          <w:rStyle w:val="normaltextrun"/>
          <w:rFonts w:cs="Calibri"/>
          <w:shd w:val="clear" w:color="auto" w:fill="FFFFFF"/>
        </w:rPr>
        <w:t>e.</w:t>
      </w:r>
    </w:p>
    <w:p w14:paraId="3F9646C3" w14:textId="52D6DD06" w:rsidR="00C06ABA" w:rsidRPr="00DE7C30" w:rsidRDefault="005D23F0" w:rsidP="00D33DD9">
      <w:pPr>
        <w:pStyle w:val="ListParagraph"/>
        <w:numPr>
          <w:ilvl w:val="0"/>
          <w:numId w:val="11"/>
        </w:numPr>
        <w:jc w:val="both"/>
        <w:rPr>
          <w:color w:val="FF0000"/>
          <w:lang w:val="en-US"/>
        </w:rPr>
      </w:pPr>
      <w:r>
        <w:rPr>
          <w:rStyle w:val="normaltextrun"/>
          <w:rFonts w:cs="Calibri"/>
          <w:b/>
          <w:bCs/>
          <w:color w:val="2F5496"/>
          <w:shd w:val="clear" w:color="auto" w:fill="FFFFFF"/>
        </w:rPr>
        <w:t>Delays to communicating updates and issues.</w:t>
      </w:r>
      <w:r w:rsidR="00DE7C30">
        <w:rPr>
          <w:rStyle w:val="normaltextrun"/>
          <w:rFonts w:cs="Calibri"/>
          <w:b/>
          <w:bCs/>
          <w:color w:val="2F5496"/>
          <w:shd w:val="clear" w:color="auto" w:fill="FFFFFF"/>
        </w:rPr>
        <w:t xml:space="preserve"> </w:t>
      </w:r>
      <w:r w:rsidRPr="005D23F0">
        <w:rPr>
          <w:lang w:val="en-US"/>
        </w:rPr>
        <w:t>The IDB has not always communicated updates, issues</w:t>
      </w:r>
      <w:r w:rsidR="00D91AEC">
        <w:rPr>
          <w:lang w:val="en-US"/>
        </w:rPr>
        <w:t>,</w:t>
      </w:r>
      <w:r w:rsidRPr="005D23F0">
        <w:rPr>
          <w:lang w:val="en-US"/>
        </w:rPr>
        <w:t xml:space="preserve"> and changes to risks as early or in as much detail as Defra would expect,</w:t>
      </w:r>
      <w:r w:rsidR="00DE7C30" w:rsidRPr="005D23F0">
        <w:rPr>
          <w:lang w:val="en-US"/>
        </w:rPr>
        <w:t xml:space="preserve"> making it difficult for Defra to provide support when needed.</w:t>
      </w:r>
    </w:p>
    <w:p w14:paraId="42D130C1" w14:textId="0C318AE9" w:rsidR="00C06ABA" w:rsidRPr="00DE7C30" w:rsidRDefault="26138BD2" w:rsidP="00D33DD9">
      <w:pPr>
        <w:pStyle w:val="ListParagraph"/>
        <w:numPr>
          <w:ilvl w:val="0"/>
          <w:numId w:val="7"/>
        </w:numPr>
        <w:jc w:val="both"/>
        <w:rPr>
          <w:color w:val="FF0000"/>
          <w:lang w:val="en-US"/>
        </w:rPr>
      </w:pPr>
      <w:r w:rsidRPr="00DE7C30">
        <w:rPr>
          <w:rStyle w:val="normaltextrun"/>
          <w:rFonts w:cs="Calibri"/>
          <w:b/>
          <w:bCs/>
          <w:color w:val="2F5496"/>
          <w:shd w:val="clear" w:color="auto" w:fill="FFFFFF"/>
        </w:rPr>
        <w:t>Delays carrying out activities due to the COVID-19 pandemic.</w:t>
      </w:r>
      <w:r w:rsidRPr="00DE7C30">
        <w:rPr>
          <w:rStyle w:val="normaltextrun"/>
          <w:rFonts w:cs="Calibri"/>
          <w:color w:val="2F5496"/>
          <w:shd w:val="clear" w:color="auto" w:fill="FFFFFF"/>
        </w:rPr>
        <w:t xml:space="preserve"> </w:t>
      </w:r>
      <w:r w:rsidRPr="00DE7C30">
        <w:rPr>
          <w:rStyle w:val="normaltextrun"/>
          <w:rFonts w:cs="Calibri"/>
          <w:color w:val="000000"/>
          <w:shd w:val="clear" w:color="auto" w:fill="FFFFFF"/>
        </w:rPr>
        <w:t>Travel and meeting restrictions imposed worldwide prevented some activities from taking place</w:t>
      </w:r>
      <w:r>
        <w:rPr>
          <w:rStyle w:val="normaltextrun"/>
          <w:rFonts w:cs="Calibri"/>
          <w:color w:val="000000"/>
          <w:shd w:val="clear" w:color="auto" w:fill="FFFFFF"/>
        </w:rPr>
        <w:t>, slowing progress.</w:t>
      </w:r>
      <w:r w:rsidRPr="00DE7C30">
        <w:rPr>
          <w:rStyle w:val="normaltextrun"/>
          <w:rFonts w:cs="Calibri"/>
          <w:color w:val="000000"/>
          <w:shd w:val="clear" w:color="auto" w:fill="FFFFFF"/>
        </w:rPr>
        <w:t xml:space="preserve"> </w:t>
      </w:r>
      <w:r>
        <w:rPr>
          <w:rStyle w:val="normaltextrun"/>
          <w:rFonts w:cs="Calibri"/>
          <w:color w:val="000000"/>
          <w:shd w:val="clear" w:color="auto" w:fill="FFFFFF"/>
        </w:rPr>
        <w:t xml:space="preserve">The IDB </w:t>
      </w:r>
      <w:r w:rsidRPr="00DE7C30">
        <w:rPr>
          <w:rStyle w:val="normaltextrun"/>
          <w:rFonts w:cs="Calibri"/>
          <w:color w:val="000000"/>
          <w:shd w:val="clear" w:color="auto" w:fill="FFFFFF"/>
        </w:rPr>
        <w:t>will c</w:t>
      </w:r>
      <w:r>
        <w:rPr>
          <w:rStyle w:val="normaltextrun"/>
          <w:rFonts w:cs="Calibri"/>
          <w:color w:val="000000"/>
          <w:shd w:val="clear" w:color="auto" w:fill="FFFFFF"/>
        </w:rPr>
        <w:t>losely</w:t>
      </w:r>
      <w:r w:rsidRPr="00DE7C30">
        <w:rPr>
          <w:rStyle w:val="normaltextrun"/>
          <w:rFonts w:cs="Calibri"/>
          <w:color w:val="000000"/>
          <w:shd w:val="clear" w:color="auto" w:fill="FFFFFF"/>
        </w:rPr>
        <w:t xml:space="preserve"> monitor the impacts of the COVID-19 pandemic on the programme</w:t>
      </w:r>
      <w:r>
        <w:rPr>
          <w:rStyle w:val="normaltextrun"/>
          <w:rFonts w:cs="Calibri"/>
          <w:color w:val="000000"/>
          <w:shd w:val="clear" w:color="auto" w:fill="FFFFFF"/>
        </w:rPr>
        <w:t xml:space="preserve"> and inform Defra of any further delays or change in risk status</w:t>
      </w:r>
      <w:r w:rsidRPr="00DE7C30">
        <w:rPr>
          <w:rStyle w:val="normaltextrun"/>
          <w:rFonts w:cs="Calibri"/>
          <w:color w:val="000000"/>
          <w:shd w:val="clear" w:color="auto" w:fill="FFFFFF"/>
        </w:rPr>
        <w:t>.</w:t>
      </w:r>
    </w:p>
    <w:p w14:paraId="3F9246EF" w14:textId="6CC33726" w:rsidR="00C06ABA" w:rsidRPr="00FD4214" w:rsidRDefault="00C06ABA" w:rsidP="00484CCF">
      <w:pPr>
        <w:jc w:val="both"/>
        <w:rPr>
          <w:lang w:val="en-US"/>
        </w:rPr>
      </w:pPr>
      <w:r w:rsidRPr="4521EDEC">
        <w:rPr>
          <w:lang w:val="en-US"/>
        </w:rPr>
        <w:t xml:space="preserve">Despite delays, </w:t>
      </w:r>
      <w:r w:rsidR="00FD4214" w:rsidRPr="4521EDEC">
        <w:rPr>
          <w:lang w:val="en-US"/>
        </w:rPr>
        <w:t>one project received IDB approval and entered implementation, and two projects received their first financial instalments from the IDB and entered execution.</w:t>
      </w:r>
    </w:p>
    <w:p w14:paraId="3F83E5DC" w14:textId="55D42AF1" w:rsidR="00C06ABA" w:rsidRDefault="00C06ABA" w:rsidP="00E044A4">
      <w:pPr>
        <w:pStyle w:val="Heading2"/>
      </w:pPr>
      <w:r>
        <w:t>Performance of Partnershi</w:t>
      </w:r>
      <w:r w:rsidR="00BA3019">
        <w:t>p(s)</w:t>
      </w:r>
    </w:p>
    <w:p w14:paraId="478054F7" w14:textId="3FAC4FEA" w:rsidR="00BA3019" w:rsidRDefault="00BA3019" w:rsidP="00E90AC2">
      <w:pPr>
        <w:pStyle w:val="Heading3"/>
        <w:rPr>
          <w:lang w:val="en-US"/>
        </w:rPr>
      </w:pPr>
      <w:r>
        <w:rPr>
          <w:lang w:val="en-US"/>
        </w:rPr>
        <w:lastRenderedPageBreak/>
        <w:t>Defra / IDB</w:t>
      </w:r>
    </w:p>
    <w:p w14:paraId="508290BC" w14:textId="494B4E1B" w:rsidR="00BA3019" w:rsidRDefault="00740DFD" w:rsidP="00484CCF">
      <w:pPr>
        <w:jc w:val="both"/>
        <w:rPr>
          <w:lang w:val="en-US"/>
        </w:rPr>
      </w:pPr>
      <w:r>
        <w:rPr>
          <w:lang w:val="en-US"/>
        </w:rPr>
        <w:t xml:space="preserve">Defra and the IDB continue to maintain regular contact to ensure a good working relationship. </w:t>
      </w:r>
      <w:r>
        <w:rPr>
          <w:rFonts w:eastAsia="Times New Roman"/>
        </w:rPr>
        <w:t>Regular meetings to discuss open items</w:t>
      </w:r>
      <w:r w:rsidR="005658E7">
        <w:rPr>
          <w:rFonts w:eastAsia="Times New Roman"/>
        </w:rPr>
        <w:t xml:space="preserve"> </w:t>
      </w:r>
      <w:r>
        <w:rPr>
          <w:rFonts w:eastAsia="Times New Roman"/>
        </w:rPr>
        <w:t xml:space="preserve">and coordinate next steps took place between November 2020 and June 2021. Defra and the IDB have also been working together in 2021 to design a Programme Management Manual to align expectations and agree on: project approval and implementation timelines; content of the Advisory Board and check-point meetings; deadlines for the submission of M&amp;E products; and other programme management requirements. </w:t>
      </w:r>
      <w:r>
        <w:rPr>
          <w:lang w:val="en-US"/>
        </w:rPr>
        <w:t xml:space="preserve"> </w:t>
      </w:r>
    </w:p>
    <w:p w14:paraId="2125E1AA" w14:textId="3A34FB5F" w:rsidR="00BA3019" w:rsidRDefault="00BA3019" w:rsidP="00E90AC2">
      <w:pPr>
        <w:pStyle w:val="Heading3"/>
        <w:rPr>
          <w:lang w:val="en-US"/>
        </w:rPr>
      </w:pPr>
      <w:r>
        <w:rPr>
          <w:lang w:val="en-US"/>
        </w:rPr>
        <w:t>IDB / Additional Partners</w:t>
      </w:r>
    </w:p>
    <w:p w14:paraId="25E7458E" w14:textId="1A5DFD23" w:rsidR="18B3BD9F" w:rsidRDefault="1AC2BB15" w:rsidP="10B17927">
      <w:pPr>
        <w:jc w:val="both"/>
        <w:rPr>
          <w:lang w:val="en-US"/>
        </w:rPr>
      </w:pPr>
      <w:r w:rsidRPr="4B7D6B8A">
        <w:rPr>
          <w:lang w:val="en-US"/>
        </w:rPr>
        <w:t>Project proposals and TCDs include information on executing agencies and details why they have been chosen to deliver the relevant project(s). The IDB holds the relationships with all executing agencies and Defra are content that this arrangement is effective.</w:t>
      </w:r>
    </w:p>
    <w:p w14:paraId="4894508E" w14:textId="6B51FD0C" w:rsidR="00FD4214" w:rsidRDefault="18B3BD9F" w:rsidP="1AF4DE6A">
      <w:pPr>
        <w:jc w:val="both"/>
        <w:rPr>
          <w:lang w:val="en-US"/>
        </w:rPr>
      </w:pPr>
      <w:r w:rsidRPr="4521EDEC">
        <w:rPr>
          <w:lang w:val="en-US"/>
        </w:rPr>
        <w:t xml:space="preserve">The </w:t>
      </w:r>
      <w:r w:rsidR="61B2F37A" w:rsidRPr="4521EDEC">
        <w:rPr>
          <w:lang w:val="en-US"/>
        </w:rPr>
        <w:t xml:space="preserve">IDB’s relationships with clients and executing agencies relating to the UK </w:t>
      </w:r>
      <w:r w:rsidR="00331BDA" w:rsidRPr="4521EDEC">
        <w:rPr>
          <w:lang w:val="en-US"/>
        </w:rPr>
        <w:t>BCF</w:t>
      </w:r>
      <w:r w:rsidR="61B2F37A" w:rsidRPr="4521EDEC">
        <w:rPr>
          <w:lang w:val="en-US"/>
        </w:rPr>
        <w:t xml:space="preserve"> are managed in the context of the IDB’s usual IDB-EA reporting relationship. This standardises working relationships across the IDB and ensures consistency, however, it has caused challenges when additional progress updates are required by Defra for ICF programmes. The IDB-EA reporting relationship does not allow for significant additional reporting in terms of frequency or information required </w:t>
      </w:r>
      <w:r w:rsidR="46DA2DCC" w:rsidRPr="4521EDEC">
        <w:rPr>
          <w:lang w:val="en-US"/>
        </w:rPr>
        <w:t xml:space="preserve">requested </w:t>
      </w:r>
      <w:r w:rsidR="61B2F37A" w:rsidRPr="4521EDEC">
        <w:rPr>
          <w:lang w:val="en-US"/>
        </w:rPr>
        <w:t xml:space="preserve">above the general IDB </w:t>
      </w:r>
      <w:r w:rsidR="2F8DE8A8" w:rsidRPr="4521EDEC">
        <w:rPr>
          <w:lang w:val="en-US"/>
        </w:rPr>
        <w:t>requirements.</w:t>
      </w:r>
      <w:r w:rsidR="00FD4214" w:rsidRPr="4521EDEC">
        <w:rPr>
          <w:lang w:val="en-US"/>
        </w:rPr>
        <w:t xml:space="preserve"> The IDB and Defra are working to agree a solution which meets the reporting requirements of the executing agencies, the IDB, and Defra.</w:t>
      </w:r>
      <w:r w:rsidR="2F8DE8A8" w:rsidRPr="4521EDEC">
        <w:rPr>
          <w:lang w:val="en-US"/>
        </w:rPr>
        <w:t xml:space="preserve"> </w:t>
      </w:r>
    </w:p>
    <w:p w14:paraId="454225D8" w14:textId="15B2A0FE" w:rsidR="008B509E" w:rsidRPr="009278D1" w:rsidRDefault="008B509E" w:rsidP="1AF4DE6A">
      <w:pPr>
        <w:jc w:val="both"/>
        <w:rPr>
          <w:lang w:val="en-US"/>
        </w:rPr>
      </w:pPr>
      <w:r w:rsidRPr="4521EDEC">
        <w:rPr>
          <w:lang w:val="en-US"/>
        </w:rPr>
        <w:t>The day-to-day management of the executing agencies’ performance, contracts, and activities is generally undertaken in the country the executing agency is registered. This is often the same country as the project in operation. Additional technical or thematic conversations may be held periodically with technical teams based in IDB’s headquarters.</w:t>
      </w:r>
    </w:p>
    <w:p w14:paraId="7BD493C7" w14:textId="361E3D8A" w:rsidR="00BA3019" w:rsidRDefault="00BA3019" w:rsidP="00D33DD9">
      <w:pPr>
        <w:pStyle w:val="Heading1"/>
        <w:numPr>
          <w:ilvl w:val="0"/>
          <w:numId w:val="3"/>
        </w:numPr>
        <w:ind w:left="426" w:hanging="426"/>
        <w:rPr>
          <w:lang w:val="en-US"/>
        </w:rPr>
      </w:pPr>
      <w:r w:rsidRPr="4C87FD17">
        <w:rPr>
          <w:lang w:val="en-US"/>
        </w:rPr>
        <w:t>Monitoring and Evaluation</w:t>
      </w:r>
    </w:p>
    <w:p w14:paraId="0F614F3D" w14:textId="0EE0BA94" w:rsidR="00BA3019" w:rsidRDefault="00BA3019" w:rsidP="00E044A4">
      <w:pPr>
        <w:pStyle w:val="Heading2"/>
      </w:pPr>
      <w:r>
        <w:t>Evidence and Evaluation</w:t>
      </w:r>
    </w:p>
    <w:p w14:paraId="4DEDF54C" w14:textId="4C96A081" w:rsidR="00AE7F7C" w:rsidRDefault="00AE7F7C" w:rsidP="00AE7F7C">
      <w:pPr>
        <w:jc w:val="both"/>
        <w:rPr>
          <w:lang w:val="en-US"/>
        </w:rPr>
      </w:pPr>
      <w:r>
        <w:rPr>
          <w:lang w:val="en-US"/>
        </w:rPr>
        <w:t>The programme-level logical framework is a vital tool for providing evidence that accurately captures the progress of the UK BCF towards its expected impact. An iterative logical framework and Theory of Change were provided at the time of the 2016 Business Case</w:t>
      </w:r>
      <w:r w:rsidR="000E1AE9">
        <w:rPr>
          <w:lang w:val="en-US"/>
        </w:rPr>
        <w:t xml:space="preserve">. All ICF programmes require a further developed logical framework which includes robust indicators, baselines and milestones was expected within 6 months of signing the Administrative Agreement, but this has not yet been finalised. </w:t>
      </w:r>
      <w:r>
        <w:rPr>
          <w:lang w:val="en-US"/>
        </w:rPr>
        <w:t xml:space="preserve">While a number of iterations of the indicative logical framework and Theory of Change have been provided to Defra, further work is required to meet ICF requirements. </w:t>
      </w:r>
    </w:p>
    <w:p w14:paraId="4998584B" w14:textId="3DB6C9C4" w:rsidR="000E1AE9" w:rsidRDefault="000E1AE9" w:rsidP="00350900">
      <w:pPr>
        <w:jc w:val="both"/>
        <w:rPr>
          <w:lang w:val="en-US"/>
        </w:rPr>
      </w:pPr>
      <w:r w:rsidRPr="0BDD4FF3">
        <w:rPr>
          <w:lang w:val="en-US"/>
        </w:rPr>
        <w:t xml:space="preserve">Independent evaluations are also crucial for delivering robust M&amp;E and ensuring ICF programmes deliver the best possible outcome. </w:t>
      </w:r>
      <w:r w:rsidR="00350900" w:rsidRPr="0BDD4FF3">
        <w:rPr>
          <w:lang w:val="en-US"/>
        </w:rPr>
        <w:t xml:space="preserve">All ICF programmes require a robust Evaluation Plan within one year of signing the Administrative Agreement. </w:t>
      </w:r>
      <w:r w:rsidR="00051276" w:rsidRPr="0BDD4FF3">
        <w:rPr>
          <w:lang w:val="en-US"/>
        </w:rPr>
        <w:t xml:space="preserve">This requirement was not met by the IDB and as such, last year’s Annual Review recommended the Evaluation Plan should be finalised within 6 months of the 2019/20 Annual Review. Defra and the IDB subsequently agreed to pause this recommendation to prioritise the development of the programme-level logical framework and Theory of Change. </w:t>
      </w:r>
      <w:r w:rsidR="00051276">
        <w:t>This item should be re-opened</w:t>
      </w:r>
      <w:r w:rsidR="00257C4D">
        <w:t>,</w:t>
      </w:r>
      <w:r w:rsidR="00051276">
        <w:t xml:space="preserve"> and the Evaluation Plan finalised to include further detail on methodologies, baselines, data collection, work plans, and costs as soon as possible. Defra and IDB agreed that a Mid-term Evaluation would not be required due to the relatively short length of the programme and therefore the Evaluation Plan will outline the plan for a Final Evaluation only.</w:t>
      </w:r>
    </w:p>
    <w:p w14:paraId="72BF847F" w14:textId="2E32699E" w:rsidR="00BA3019" w:rsidRDefault="00BA3019" w:rsidP="00E044A4">
      <w:pPr>
        <w:pStyle w:val="Heading2"/>
      </w:pPr>
      <w:r>
        <w:t>Disaggregation of Data</w:t>
      </w:r>
    </w:p>
    <w:p w14:paraId="5F0AABA4" w14:textId="6F1BBD58" w:rsidR="00BA3019" w:rsidRDefault="00BA3019" w:rsidP="00484CCF">
      <w:pPr>
        <w:jc w:val="both"/>
        <w:rPr>
          <w:lang w:val="en-US"/>
        </w:rPr>
      </w:pPr>
      <w:r>
        <w:rPr>
          <w:lang w:val="en-US"/>
        </w:rPr>
        <w:lastRenderedPageBreak/>
        <w:t>Data will be disaggregated wherever possible across the programme as projects enter the implementation phase. As mentioned above, Defra recommends integrating the disaggregation of data into the project design phase and the upcoming iteration of the Evaluation Plan to ensure equity.</w:t>
      </w:r>
    </w:p>
    <w:p w14:paraId="163BC744" w14:textId="7202F84D" w:rsidR="00BA3019" w:rsidRDefault="00BA3019" w:rsidP="00E044A4">
      <w:pPr>
        <w:pStyle w:val="Heading2"/>
      </w:pPr>
      <w:r>
        <w:t>Monitoring Progress throughout the Review Period</w:t>
      </w:r>
    </w:p>
    <w:p w14:paraId="6DF50D61" w14:textId="5002DBB5" w:rsidR="00D32945" w:rsidRPr="00144992" w:rsidRDefault="00D32945" w:rsidP="379E682A">
      <w:pPr>
        <w:jc w:val="both"/>
        <w:rPr>
          <w:lang w:val="en-US"/>
        </w:rPr>
      </w:pPr>
      <w:r w:rsidRPr="4521EDEC">
        <w:rPr>
          <w:lang w:val="en-US"/>
        </w:rPr>
        <w:t>The IDB implemented a new reporting and monitoring system in 2015</w:t>
      </w:r>
      <w:r w:rsidR="00886CAB" w:rsidRPr="4521EDEC">
        <w:rPr>
          <w:lang w:val="en-US"/>
        </w:rPr>
        <w:t xml:space="preserve"> and Defra are content that this is effective</w:t>
      </w:r>
      <w:r w:rsidRPr="4521EDEC">
        <w:rPr>
          <w:lang w:val="en-US"/>
        </w:rPr>
        <w:t xml:space="preserve">. This system covers non-reimbursable operations which fall under two main instrument categories: Technical Cooperation (TC) and Non-reimbursable Investment Operations (IGR) up to US$3 million, regardless of their classification, degree of complexity, amount, or method of execution. The </w:t>
      </w:r>
      <w:r w:rsidR="00141CFA" w:rsidRPr="4521EDEC">
        <w:rPr>
          <w:lang w:val="en-US"/>
        </w:rPr>
        <w:t>UK BCF</w:t>
      </w:r>
      <w:r w:rsidRPr="4521EDEC">
        <w:rPr>
          <w:lang w:val="en-US"/>
        </w:rPr>
        <w:t xml:space="preserve"> is considered a TC operation and is thus subject to the following monitoring requirements:</w:t>
      </w:r>
    </w:p>
    <w:p w14:paraId="79B796D9" w14:textId="2B8A574E" w:rsidR="00D32945" w:rsidRPr="008B509E" w:rsidRDefault="00886CAB" w:rsidP="008B509E">
      <w:pPr>
        <w:jc w:val="both"/>
        <w:rPr>
          <w:lang w:val="en-US"/>
        </w:rPr>
      </w:pPr>
      <w:r>
        <w:rPr>
          <w:lang w:val="en-US"/>
        </w:rPr>
        <w:t>The results matrix</w:t>
      </w:r>
      <w:r w:rsidR="24B4E90D" w:rsidRPr="008B509E">
        <w:rPr>
          <w:b/>
          <w:bCs/>
          <w:lang w:val="en-US"/>
        </w:rPr>
        <w:t xml:space="preserve"> </w:t>
      </w:r>
      <w:r w:rsidR="24B4E90D" w:rsidRPr="008B509E">
        <w:rPr>
          <w:lang w:val="en-US"/>
        </w:rPr>
        <w:t xml:space="preserve">is the main instrument </w:t>
      </w:r>
      <w:r w:rsidR="483C1BF2" w:rsidRPr="008B509E">
        <w:rPr>
          <w:lang w:val="en-US"/>
        </w:rPr>
        <w:t xml:space="preserve">to monitor progress. It </w:t>
      </w:r>
      <w:r w:rsidR="5B7FFABA" w:rsidRPr="008B509E">
        <w:rPr>
          <w:lang w:val="en-US"/>
        </w:rPr>
        <w:t>i</w:t>
      </w:r>
      <w:r w:rsidR="43B3C7E1" w:rsidRPr="008B509E">
        <w:rPr>
          <w:lang w:val="en-US"/>
        </w:rPr>
        <w:t xml:space="preserve">dentifies and </w:t>
      </w:r>
      <w:r w:rsidR="29791797" w:rsidRPr="008B509E">
        <w:rPr>
          <w:lang w:val="en-US"/>
        </w:rPr>
        <w:t xml:space="preserve">assesses the impact of a </w:t>
      </w:r>
      <w:r w:rsidR="541CF643" w:rsidRPr="008B509E">
        <w:rPr>
          <w:lang w:val="en-US"/>
        </w:rPr>
        <w:t xml:space="preserve">specific </w:t>
      </w:r>
      <w:r w:rsidR="29791797" w:rsidRPr="008B509E">
        <w:rPr>
          <w:lang w:val="en-US"/>
        </w:rPr>
        <w:t>project at the outcome and output levels. Indicators, baselines, targets, and means of verification are identified during the design phase of the operation.  The Results Matrix is included in the TCD provided to Defra.</w:t>
      </w:r>
    </w:p>
    <w:p w14:paraId="77FE213F" w14:textId="4DBBEF51" w:rsidR="005012E5" w:rsidRPr="008B509E" w:rsidRDefault="566FC6EB" w:rsidP="008B509E">
      <w:pPr>
        <w:jc w:val="both"/>
        <w:rPr>
          <w:lang w:val="en-US"/>
        </w:rPr>
      </w:pPr>
      <w:r>
        <w:t>The IDB requires all EAs to submit a formal progress report every six months, in July and December of each year.</w:t>
      </w:r>
      <w:r w:rsidR="22899B28" w:rsidRPr="4521EDEC">
        <w:rPr>
          <w:b/>
          <w:bCs/>
          <w:lang w:val="en-US"/>
        </w:rPr>
        <w:t xml:space="preserve"> </w:t>
      </w:r>
      <w:r w:rsidR="22899B28" w:rsidRPr="4521EDEC">
        <w:rPr>
          <w:lang w:val="en-US"/>
        </w:rPr>
        <w:t xml:space="preserve">These feed in to the IDB’s BLU Annual Report which is submitted to Defra by 30 June each year. Executing agencies are expected to submit updates to the IDB Team Leader. This includes physical progress, financial progress, status update, and lessons learned. It provides an opportunity for delivery teams to </w:t>
      </w:r>
      <w:r w:rsidR="00D32945">
        <w:t>explain main factors (findings) affecting the preparation, execution</w:t>
      </w:r>
      <w:r w:rsidR="00935E85">
        <w:t xml:space="preserve"> </w:t>
      </w:r>
      <w:r w:rsidR="00D32945">
        <w:t>/</w:t>
      </w:r>
      <w:r w:rsidR="00935E85">
        <w:t xml:space="preserve"> </w:t>
      </w:r>
      <w:r w:rsidR="00D32945">
        <w:t>supervision and evaluation of the operation, and propose actionable proposals (recommendations) to improve results and performance.</w:t>
      </w:r>
    </w:p>
    <w:sectPr w:rsidR="005012E5" w:rsidRPr="008B509E">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44408" w14:textId="77777777" w:rsidR="00726032" w:rsidRDefault="00726032" w:rsidP="00884562">
      <w:pPr>
        <w:spacing w:after="0" w:line="240" w:lineRule="auto"/>
      </w:pPr>
      <w:r>
        <w:separator/>
      </w:r>
    </w:p>
  </w:endnote>
  <w:endnote w:type="continuationSeparator" w:id="0">
    <w:p w14:paraId="4197037B" w14:textId="77777777" w:rsidR="00726032" w:rsidRDefault="00726032" w:rsidP="00884562">
      <w:pPr>
        <w:spacing w:after="0" w:line="240" w:lineRule="auto"/>
      </w:pPr>
      <w:r>
        <w:continuationSeparator/>
      </w:r>
    </w:p>
  </w:endnote>
  <w:endnote w:type="continuationNotice" w:id="1">
    <w:p w14:paraId="524CFC7E" w14:textId="77777777" w:rsidR="00726032" w:rsidRDefault="007260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altName w:val="Calibri"/>
    <w:charset w:val="00"/>
    <w:family w:val="swiss"/>
    <w:pitch w:val="variable"/>
    <w:sig w:usb0="800000BF" w:usb1="4000005B"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301165"/>
      <w:docPartObj>
        <w:docPartGallery w:val="Page Numbers (Bottom of Page)"/>
        <w:docPartUnique/>
      </w:docPartObj>
    </w:sdtPr>
    <w:sdtEndPr/>
    <w:sdtContent>
      <w:p w14:paraId="0F58B88B" w14:textId="43F6501F" w:rsidR="00EE6DA5" w:rsidRDefault="00EE6DA5">
        <w:pPr>
          <w:pStyle w:val="Footer"/>
          <w:jc w:val="right"/>
        </w:pPr>
        <w:r>
          <w:t xml:space="preserve">Page |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r>
          <w:t xml:space="preserve"> </w:t>
        </w:r>
      </w:p>
    </w:sdtContent>
  </w:sdt>
  <w:p w14:paraId="736EB357" w14:textId="77777777" w:rsidR="00EE6DA5" w:rsidRDefault="00EE6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86336" w14:textId="77777777" w:rsidR="00726032" w:rsidRDefault="00726032" w:rsidP="00884562">
      <w:pPr>
        <w:spacing w:after="0" w:line="240" w:lineRule="auto"/>
      </w:pPr>
      <w:r>
        <w:separator/>
      </w:r>
    </w:p>
  </w:footnote>
  <w:footnote w:type="continuationSeparator" w:id="0">
    <w:p w14:paraId="03DE0CEA" w14:textId="77777777" w:rsidR="00726032" w:rsidRDefault="00726032" w:rsidP="00884562">
      <w:pPr>
        <w:spacing w:after="0" w:line="240" w:lineRule="auto"/>
      </w:pPr>
      <w:r>
        <w:continuationSeparator/>
      </w:r>
    </w:p>
  </w:footnote>
  <w:footnote w:type="continuationNotice" w:id="1">
    <w:p w14:paraId="7E382D0D" w14:textId="77777777" w:rsidR="00726032" w:rsidRDefault="00726032">
      <w:pPr>
        <w:spacing w:after="0" w:line="240" w:lineRule="auto"/>
      </w:pPr>
    </w:p>
  </w:footnote>
  <w:footnote w:id="2">
    <w:p w14:paraId="7D1220FC" w14:textId="691F96DC" w:rsidR="367BE1D9" w:rsidRDefault="367BE1D9" w:rsidP="00257C4D">
      <w:pPr>
        <w:pStyle w:val="FootnoteText"/>
      </w:pPr>
      <w:r w:rsidRPr="367BE1D9">
        <w:rPr>
          <w:rStyle w:val="FootnoteReference"/>
        </w:rPr>
        <w:footnoteRef/>
      </w:r>
      <w:r w:rsidRPr="367BE1D9">
        <w:t xml:space="preserve"> Projects approved by Defra are Panama, Jamaica, Colombia, Regional Blue Carbon MRV, and the Dasgupta component. </w:t>
      </w:r>
    </w:p>
  </w:footnote>
  <w:footnote w:id="3">
    <w:p w14:paraId="3327A4F2" w14:textId="0CBF43A5" w:rsidR="00076A19" w:rsidRDefault="00076A19">
      <w:pPr>
        <w:pStyle w:val="FootnoteText"/>
      </w:pPr>
      <w:r>
        <w:rPr>
          <w:rStyle w:val="FootnoteReference"/>
        </w:rPr>
        <w:footnoteRef/>
      </w:r>
      <w:r>
        <w:t xml:space="preserve"> </w:t>
      </w:r>
      <w:r w:rsidRPr="5EAB3502">
        <w:rPr>
          <w:sz w:val="18"/>
          <w:szCs w:val="18"/>
        </w:rPr>
        <w:t>The Sustainable Infrastructure Project-Latin America (SIP-LA) funded by BEIS and Rural Sustentavel programme funded by Defra have experienced similar challenges.</w:t>
      </w:r>
    </w:p>
  </w:footnote>
  <w:footnote w:id="4">
    <w:p w14:paraId="585C06A2" w14:textId="52EEF742" w:rsidR="00EE6DA5" w:rsidRDefault="00EE6DA5">
      <w:pPr>
        <w:pStyle w:val="FootnoteText"/>
      </w:pPr>
      <w:r>
        <w:rPr>
          <w:rStyle w:val="FootnoteReference"/>
        </w:rPr>
        <w:footnoteRef/>
      </w:r>
      <w:r>
        <w:t xml:space="preserve"> Key M&amp;E tools are required for all ICF programmes and include programme-level logical framework and Theory of Change; Annual Reviews, Evaluation Plan, Key Performance Indicators; Project Completion Reviews.</w:t>
      </w:r>
    </w:p>
  </w:footnote>
  <w:footnote w:id="5">
    <w:p w14:paraId="415CCE75" w14:textId="77777777" w:rsidR="00EE6DA5" w:rsidRDefault="00EE6DA5" w:rsidP="00BA7E94">
      <w:pPr>
        <w:pStyle w:val="FootnoteText"/>
      </w:pPr>
      <w:r>
        <w:rPr>
          <w:rStyle w:val="FootnoteReference"/>
        </w:rPr>
        <w:footnoteRef/>
      </w:r>
      <w:r>
        <w:t xml:space="preserve"> Key M&amp;E tools are required for all ICF programmes and include programme-level logical framework and Theory of Change; Annual Reviews, Evaluation Plan, Key Performance Indicators; Project Completion Reviews.</w:t>
      </w:r>
    </w:p>
  </w:footnote>
  <w:footnote w:id="6">
    <w:p w14:paraId="22376BCA" w14:textId="0719B93A" w:rsidR="00EE6DA5" w:rsidRPr="002E277E" w:rsidRDefault="00EE6DA5">
      <w:pPr>
        <w:pStyle w:val="FootnoteText"/>
        <w:rPr>
          <w:sz w:val="18"/>
          <w:szCs w:val="18"/>
        </w:rPr>
      </w:pPr>
      <w:r w:rsidRPr="002E277E">
        <w:rPr>
          <w:rStyle w:val="FootnoteReference"/>
          <w:sz w:val="18"/>
          <w:szCs w:val="18"/>
        </w:rPr>
        <w:footnoteRef/>
      </w:r>
      <w:r w:rsidRPr="002E277E">
        <w:rPr>
          <w:sz w:val="18"/>
          <w:szCs w:val="18"/>
        </w:rPr>
        <w:t xml:space="preserve"> The Sustainable Infrastructure Project-Latin America (SIP-LA) funded by BEIS and Rural Sustentavel programme funded by Defra have experienced similar challenges. </w:t>
      </w:r>
    </w:p>
  </w:footnote>
  <w:footnote w:id="7">
    <w:p w14:paraId="2D53B4DC" w14:textId="719EA625" w:rsidR="009A33C3" w:rsidRDefault="009A33C3">
      <w:pPr>
        <w:pStyle w:val="FootnoteText"/>
      </w:pPr>
      <w:r>
        <w:rPr>
          <w:rStyle w:val="FootnoteReference"/>
        </w:rPr>
        <w:footnoteRef/>
      </w:r>
      <w:r>
        <w:t xml:space="preserve"> Four blogs include: </w:t>
      </w:r>
      <w:hyperlink r:id="rId1" w:history="1">
        <w:r w:rsidRPr="009A33C3">
          <w:rPr>
            <w:rStyle w:val="Hyperlink"/>
          </w:rPr>
          <w:t>“Why is the Dasgupta Review on the Economics of Biodiversity a big deal?”</w:t>
        </w:r>
      </w:hyperlink>
      <w:r>
        <w:t xml:space="preserve"> (8 December 2020); </w:t>
      </w:r>
      <w:hyperlink r:id="rId2" w:history="1">
        <w:r w:rsidR="004743C4" w:rsidRPr="004743C4">
          <w:rPr>
            <w:rStyle w:val="Hyperlink"/>
          </w:rPr>
          <w:t>“Can investing in nature save us from ourselves”</w:t>
        </w:r>
      </w:hyperlink>
      <w:r w:rsidR="004743C4">
        <w:t xml:space="preserve"> (11 February 2021); </w:t>
      </w:r>
      <w:hyperlink r:id="rId3" w:history="1">
        <w:r w:rsidRPr="009A33C3">
          <w:rPr>
            <w:rStyle w:val="Hyperlink"/>
          </w:rPr>
          <w:t>“Investing in nature to reverse the biodiversity crisis”</w:t>
        </w:r>
      </w:hyperlink>
      <w:r>
        <w:t xml:space="preserve"> (26 February 2021); </w:t>
      </w:r>
      <w:r w:rsidR="004743C4">
        <w:t xml:space="preserve">and </w:t>
      </w:r>
      <w:hyperlink r:id="rId4" w:history="1">
        <w:r w:rsidRPr="009A33C3">
          <w:rPr>
            <w:rStyle w:val="Hyperlink"/>
          </w:rPr>
          <w:t>“The post-covid recovery must be an investment in nature”</w:t>
        </w:r>
      </w:hyperlink>
      <w:r>
        <w:t xml:space="preserve"> (21 April 2021); </w:t>
      </w:r>
    </w:p>
  </w:footnote>
  <w:footnote w:id="8">
    <w:p w14:paraId="510DC64E" w14:textId="67A4651B" w:rsidR="45F269FA" w:rsidRDefault="45F269FA" w:rsidP="00E90AC2">
      <w:pPr>
        <w:pStyle w:val="FootnoteText"/>
        <w:rPr>
          <w:rFonts w:ascii="Calibri" w:eastAsia="Calibri" w:hAnsi="Calibri" w:cs="Calibri"/>
        </w:rPr>
      </w:pPr>
      <w:r w:rsidRPr="45F269FA">
        <w:rPr>
          <w:rStyle w:val="FootnoteReference"/>
        </w:rPr>
        <w:footnoteRef/>
      </w:r>
      <w:r w:rsidRPr="45F269FA">
        <w:t xml:space="preserve"> </w:t>
      </w:r>
      <w:r w:rsidRPr="000755A7">
        <w:rPr>
          <w:rFonts w:ascii="Calibri" w:eastAsia="Calibri" w:hAnsi="Calibri" w:cs="Calibri"/>
          <w:sz w:val="18"/>
          <w:szCs w:val="18"/>
        </w:rPr>
        <w:t>These reports include a project overview; management of contractual clauses; output progress; change management; financial commitments; fiduciary management; risk monitoring; issues log; and cross cutting issues.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EE6DA5" w14:paraId="546FF560" w14:textId="77777777" w:rsidTr="1268EF04">
      <w:tc>
        <w:tcPr>
          <w:tcW w:w="3005" w:type="dxa"/>
        </w:tcPr>
        <w:p w14:paraId="4F8E9ED8" w14:textId="1CDD320F" w:rsidR="00EE6DA5" w:rsidRDefault="00EE6DA5" w:rsidP="1268EF04">
          <w:pPr>
            <w:pStyle w:val="Header"/>
            <w:ind w:left="-115"/>
          </w:pPr>
        </w:p>
      </w:tc>
      <w:tc>
        <w:tcPr>
          <w:tcW w:w="3005" w:type="dxa"/>
        </w:tcPr>
        <w:p w14:paraId="43D18D25" w14:textId="438C769A" w:rsidR="00EE6DA5" w:rsidRDefault="00EE6DA5" w:rsidP="1268EF04">
          <w:pPr>
            <w:pStyle w:val="Header"/>
            <w:jc w:val="center"/>
          </w:pPr>
        </w:p>
      </w:tc>
      <w:tc>
        <w:tcPr>
          <w:tcW w:w="3005" w:type="dxa"/>
        </w:tcPr>
        <w:p w14:paraId="32DB5A8F" w14:textId="24793E41" w:rsidR="00EE6DA5" w:rsidRDefault="00EE6DA5" w:rsidP="1268EF04">
          <w:pPr>
            <w:pStyle w:val="Header"/>
            <w:ind w:right="-115"/>
            <w:jc w:val="right"/>
          </w:pPr>
        </w:p>
      </w:tc>
    </w:tr>
  </w:tbl>
  <w:p w14:paraId="061126B7" w14:textId="53DDA45A" w:rsidR="00EE6DA5" w:rsidRDefault="00EE6DA5" w:rsidP="1268E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12D74"/>
    <w:multiLevelType w:val="hybridMultilevel"/>
    <w:tmpl w:val="44E80CB8"/>
    <w:lvl w:ilvl="0" w:tplc="8FCC068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1135D"/>
    <w:multiLevelType w:val="multilevel"/>
    <w:tmpl w:val="B6EC3296"/>
    <w:lvl w:ilvl="0">
      <w:start w:val="1"/>
      <w:numFmt w:val="lowerRoman"/>
      <w:lvlText w:val="%1."/>
      <w:lvlJc w:val="righ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C008A5"/>
    <w:multiLevelType w:val="multilevel"/>
    <w:tmpl w:val="33B868A2"/>
    <w:lvl w:ilvl="0">
      <w:start w:val="1"/>
      <w:numFmt w:val="lowerRoman"/>
      <w:lvlText w:val="%1."/>
      <w:lvlJc w:val="righ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F23496"/>
    <w:multiLevelType w:val="multilevel"/>
    <w:tmpl w:val="EC8EBD50"/>
    <w:lvl w:ilvl="0">
      <w:start w:val="1"/>
      <w:numFmt w:val="decimal"/>
      <w:lvlText w:val="%1."/>
      <w:lvlJc w:val="left"/>
      <w:pPr>
        <w:ind w:left="720" w:hanging="360"/>
      </w:pPr>
    </w:lvl>
    <w:lvl w:ilvl="1">
      <w:start w:val="1"/>
      <w:numFmt w:val="decimal"/>
      <w:pStyle w:val="Heading2"/>
      <w:lvlText w:val="%1.%2."/>
      <w:lvlJc w:val="left"/>
      <w:pPr>
        <w:ind w:left="1080" w:hanging="720"/>
      </w:pPr>
    </w:lvl>
    <w:lvl w:ilvl="2">
      <w:start w:val="1"/>
      <w:numFmt w:val="decimal"/>
      <w:pStyle w:val="Heading3"/>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 w15:restartNumberingAfterBreak="0">
    <w:nsid w:val="1B844E31"/>
    <w:multiLevelType w:val="hybridMultilevel"/>
    <w:tmpl w:val="02DAB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E2B01"/>
    <w:multiLevelType w:val="hybridMultilevel"/>
    <w:tmpl w:val="D4EC232C"/>
    <w:lvl w:ilvl="0" w:tplc="8FCC068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94476"/>
    <w:multiLevelType w:val="hybridMultilevel"/>
    <w:tmpl w:val="62724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4C02F6"/>
    <w:multiLevelType w:val="multilevel"/>
    <w:tmpl w:val="33B868A2"/>
    <w:lvl w:ilvl="0">
      <w:start w:val="1"/>
      <w:numFmt w:val="lowerRoman"/>
      <w:lvlText w:val="%1."/>
      <w:lvlJc w:val="righ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275ED4"/>
    <w:multiLevelType w:val="hybridMultilevel"/>
    <w:tmpl w:val="88300DB6"/>
    <w:lvl w:ilvl="0" w:tplc="1D1ABFD8">
      <w:start w:val="1"/>
      <w:numFmt w:val="bullet"/>
      <w:lvlText w:val="-"/>
      <w:lvlJc w:val="left"/>
      <w:pPr>
        <w:ind w:left="720" w:hanging="360"/>
      </w:pPr>
      <w:rPr>
        <w:rFonts w:ascii="Calibri" w:eastAsiaTheme="minorHAnsi" w:hAnsi="Calibri" w:cs="Calibr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3C5AD6"/>
    <w:multiLevelType w:val="hybridMultilevel"/>
    <w:tmpl w:val="073CE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2271D3"/>
    <w:multiLevelType w:val="hybridMultilevel"/>
    <w:tmpl w:val="D728D49C"/>
    <w:lvl w:ilvl="0" w:tplc="0809001B">
      <w:start w:val="1"/>
      <w:numFmt w:val="lowerRoman"/>
      <w:lvlText w:val="%1."/>
      <w:lvlJc w:val="right"/>
      <w:pPr>
        <w:ind w:left="720" w:hanging="360"/>
      </w:pPr>
    </w:lvl>
    <w:lvl w:ilvl="1" w:tplc="B6046F22">
      <w:start w:val="1"/>
      <w:numFmt w:val="lowerLetter"/>
      <w:lvlText w:val="%2."/>
      <w:lvlJc w:val="left"/>
      <w:pPr>
        <w:ind w:left="1440" w:hanging="360"/>
      </w:pPr>
    </w:lvl>
    <w:lvl w:ilvl="2" w:tplc="FC60A816">
      <w:start w:val="1"/>
      <w:numFmt w:val="lowerRoman"/>
      <w:lvlText w:val="%3."/>
      <w:lvlJc w:val="right"/>
      <w:pPr>
        <w:ind w:left="2160" w:hanging="180"/>
      </w:pPr>
    </w:lvl>
    <w:lvl w:ilvl="3" w:tplc="090EAF50">
      <w:start w:val="1"/>
      <w:numFmt w:val="decimal"/>
      <w:lvlText w:val="%4."/>
      <w:lvlJc w:val="left"/>
      <w:pPr>
        <w:ind w:left="2880" w:hanging="360"/>
      </w:pPr>
    </w:lvl>
    <w:lvl w:ilvl="4" w:tplc="411E7D6E">
      <w:start w:val="1"/>
      <w:numFmt w:val="lowerLetter"/>
      <w:lvlText w:val="%5."/>
      <w:lvlJc w:val="left"/>
      <w:pPr>
        <w:ind w:left="3600" w:hanging="360"/>
      </w:pPr>
    </w:lvl>
    <w:lvl w:ilvl="5" w:tplc="881C4190">
      <w:start w:val="1"/>
      <w:numFmt w:val="lowerRoman"/>
      <w:lvlText w:val="%6."/>
      <w:lvlJc w:val="right"/>
      <w:pPr>
        <w:ind w:left="4320" w:hanging="180"/>
      </w:pPr>
    </w:lvl>
    <w:lvl w:ilvl="6" w:tplc="AA4827F2">
      <w:start w:val="1"/>
      <w:numFmt w:val="decimal"/>
      <w:lvlText w:val="%7."/>
      <w:lvlJc w:val="left"/>
      <w:pPr>
        <w:ind w:left="5040" w:hanging="360"/>
      </w:pPr>
    </w:lvl>
    <w:lvl w:ilvl="7" w:tplc="CDC6E27E">
      <w:start w:val="1"/>
      <w:numFmt w:val="lowerLetter"/>
      <w:lvlText w:val="%8."/>
      <w:lvlJc w:val="left"/>
      <w:pPr>
        <w:ind w:left="5760" w:hanging="360"/>
      </w:pPr>
    </w:lvl>
    <w:lvl w:ilvl="8" w:tplc="BBCE4550">
      <w:start w:val="1"/>
      <w:numFmt w:val="lowerRoman"/>
      <w:lvlText w:val="%9."/>
      <w:lvlJc w:val="right"/>
      <w:pPr>
        <w:ind w:left="6480" w:hanging="180"/>
      </w:pPr>
    </w:lvl>
  </w:abstractNum>
  <w:abstractNum w:abstractNumId="11" w15:restartNumberingAfterBreak="0">
    <w:nsid w:val="7AB547DE"/>
    <w:multiLevelType w:val="hybridMultilevel"/>
    <w:tmpl w:val="E5E2B7E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757E51"/>
    <w:multiLevelType w:val="hybridMultilevel"/>
    <w:tmpl w:val="7B5608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9"/>
  </w:num>
  <w:num w:numId="5">
    <w:abstractNumId w:val="11"/>
  </w:num>
  <w:num w:numId="6">
    <w:abstractNumId w:val="4"/>
  </w:num>
  <w:num w:numId="7">
    <w:abstractNumId w:val="2"/>
  </w:num>
  <w:num w:numId="8">
    <w:abstractNumId w:val="8"/>
  </w:num>
  <w:num w:numId="9">
    <w:abstractNumId w:val="5"/>
  </w:num>
  <w:num w:numId="10">
    <w:abstractNumId w:val="12"/>
  </w:num>
  <w:num w:numId="11">
    <w:abstractNumId w:val="7"/>
  </w:num>
  <w:num w:numId="12">
    <w:abstractNumId w:val="10"/>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cwNTAzMbK0MLGwNDFT0lEKTi0uzszPAymwqAUAIVoOsywAAAA="/>
  </w:docVars>
  <w:rsids>
    <w:rsidRoot w:val="00810481"/>
    <w:rsid w:val="0000056A"/>
    <w:rsid w:val="00001382"/>
    <w:rsid w:val="00001E97"/>
    <w:rsid w:val="00003A98"/>
    <w:rsid w:val="00005074"/>
    <w:rsid w:val="000060BE"/>
    <w:rsid w:val="00006B90"/>
    <w:rsid w:val="000072DB"/>
    <w:rsid w:val="000073D4"/>
    <w:rsid w:val="00007440"/>
    <w:rsid w:val="00007C18"/>
    <w:rsid w:val="00011A49"/>
    <w:rsid w:val="000120EE"/>
    <w:rsid w:val="000125D6"/>
    <w:rsid w:val="00014E63"/>
    <w:rsid w:val="00015650"/>
    <w:rsid w:val="000156B2"/>
    <w:rsid w:val="00016553"/>
    <w:rsid w:val="00017586"/>
    <w:rsid w:val="0001C9E2"/>
    <w:rsid w:val="00022237"/>
    <w:rsid w:val="00024D46"/>
    <w:rsid w:val="000256F1"/>
    <w:rsid w:val="000265FB"/>
    <w:rsid w:val="0002696A"/>
    <w:rsid w:val="00030DF2"/>
    <w:rsid w:val="000328BC"/>
    <w:rsid w:val="00033BBF"/>
    <w:rsid w:val="00035CDF"/>
    <w:rsid w:val="00036F93"/>
    <w:rsid w:val="00037460"/>
    <w:rsid w:val="00040748"/>
    <w:rsid w:val="00040ED7"/>
    <w:rsid w:val="000412AD"/>
    <w:rsid w:val="00042904"/>
    <w:rsid w:val="0004497C"/>
    <w:rsid w:val="00045B34"/>
    <w:rsid w:val="00046C5E"/>
    <w:rsid w:val="00047D3E"/>
    <w:rsid w:val="000506E9"/>
    <w:rsid w:val="00050ED1"/>
    <w:rsid w:val="00051276"/>
    <w:rsid w:val="00051DE2"/>
    <w:rsid w:val="00053069"/>
    <w:rsid w:val="0005391F"/>
    <w:rsid w:val="00054E5E"/>
    <w:rsid w:val="00056B93"/>
    <w:rsid w:val="00056C6E"/>
    <w:rsid w:val="0006011C"/>
    <w:rsid w:val="00060323"/>
    <w:rsid w:val="000612EE"/>
    <w:rsid w:val="00061BE1"/>
    <w:rsid w:val="00061D1A"/>
    <w:rsid w:val="00061EC4"/>
    <w:rsid w:val="00062803"/>
    <w:rsid w:val="0006349B"/>
    <w:rsid w:val="00063CDC"/>
    <w:rsid w:val="00063EA2"/>
    <w:rsid w:val="00064A9C"/>
    <w:rsid w:val="00065311"/>
    <w:rsid w:val="00065833"/>
    <w:rsid w:val="00065BD2"/>
    <w:rsid w:val="00067C74"/>
    <w:rsid w:val="000705E0"/>
    <w:rsid w:val="000708C5"/>
    <w:rsid w:val="00070EAE"/>
    <w:rsid w:val="00071C03"/>
    <w:rsid w:val="00071CC7"/>
    <w:rsid w:val="00074D87"/>
    <w:rsid w:val="00075556"/>
    <w:rsid w:val="000755A7"/>
    <w:rsid w:val="00075AB0"/>
    <w:rsid w:val="00076091"/>
    <w:rsid w:val="0007620E"/>
    <w:rsid w:val="00076582"/>
    <w:rsid w:val="0007670A"/>
    <w:rsid w:val="00076A19"/>
    <w:rsid w:val="00076CA2"/>
    <w:rsid w:val="00081D58"/>
    <w:rsid w:val="00081D98"/>
    <w:rsid w:val="000824A3"/>
    <w:rsid w:val="0008274F"/>
    <w:rsid w:val="00086331"/>
    <w:rsid w:val="000868C8"/>
    <w:rsid w:val="00086B66"/>
    <w:rsid w:val="000871CB"/>
    <w:rsid w:val="0008754B"/>
    <w:rsid w:val="00087FA4"/>
    <w:rsid w:val="00090300"/>
    <w:rsid w:val="0009139B"/>
    <w:rsid w:val="00091449"/>
    <w:rsid w:val="00095FA5"/>
    <w:rsid w:val="000968CD"/>
    <w:rsid w:val="000979DE"/>
    <w:rsid w:val="000A043C"/>
    <w:rsid w:val="000A1A20"/>
    <w:rsid w:val="000A2C82"/>
    <w:rsid w:val="000A4429"/>
    <w:rsid w:val="000A48C8"/>
    <w:rsid w:val="000B051F"/>
    <w:rsid w:val="000B26CB"/>
    <w:rsid w:val="000B3C13"/>
    <w:rsid w:val="000B5205"/>
    <w:rsid w:val="000B537D"/>
    <w:rsid w:val="000B6AD6"/>
    <w:rsid w:val="000B6C0A"/>
    <w:rsid w:val="000B70ED"/>
    <w:rsid w:val="000B7547"/>
    <w:rsid w:val="000C1238"/>
    <w:rsid w:val="000C17D7"/>
    <w:rsid w:val="000C1E04"/>
    <w:rsid w:val="000C297E"/>
    <w:rsid w:val="000C43B1"/>
    <w:rsid w:val="000C453B"/>
    <w:rsid w:val="000C491E"/>
    <w:rsid w:val="000C574C"/>
    <w:rsid w:val="000C5816"/>
    <w:rsid w:val="000C6E80"/>
    <w:rsid w:val="000D07DC"/>
    <w:rsid w:val="000D1102"/>
    <w:rsid w:val="000D1822"/>
    <w:rsid w:val="000D2CF8"/>
    <w:rsid w:val="000D2FF9"/>
    <w:rsid w:val="000D348D"/>
    <w:rsid w:val="000D56DA"/>
    <w:rsid w:val="000D6854"/>
    <w:rsid w:val="000D6C97"/>
    <w:rsid w:val="000D6CC2"/>
    <w:rsid w:val="000D7096"/>
    <w:rsid w:val="000D743E"/>
    <w:rsid w:val="000D77CC"/>
    <w:rsid w:val="000E0843"/>
    <w:rsid w:val="000E08FE"/>
    <w:rsid w:val="000E1AE9"/>
    <w:rsid w:val="000E252B"/>
    <w:rsid w:val="000E2DEE"/>
    <w:rsid w:val="000E55E9"/>
    <w:rsid w:val="000E5609"/>
    <w:rsid w:val="000E5A6D"/>
    <w:rsid w:val="000E65CA"/>
    <w:rsid w:val="000E7040"/>
    <w:rsid w:val="000F0621"/>
    <w:rsid w:val="000F0C87"/>
    <w:rsid w:val="000F10F4"/>
    <w:rsid w:val="000F27B2"/>
    <w:rsid w:val="000F3BD7"/>
    <w:rsid w:val="000F478D"/>
    <w:rsid w:val="000F69DA"/>
    <w:rsid w:val="000F717A"/>
    <w:rsid w:val="0010370B"/>
    <w:rsid w:val="001037EA"/>
    <w:rsid w:val="0010413C"/>
    <w:rsid w:val="00105790"/>
    <w:rsid w:val="001061E5"/>
    <w:rsid w:val="0010775A"/>
    <w:rsid w:val="00110DE1"/>
    <w:rsid w:val="00110E2C"/>
    <w:rsid w:val="001114EA"/>
    <w:rsid w:val="00112205"/>
    <w:rsid w:val="0011309D"/>
    <w:rsid w:val="00113614"/>
    <w:rsid w:val="00113C6E"/>
    <w:rsid w:val="001158BB"/>
    <w:rsid w:val="00117CD6"/>
    <w:rsid w:val="0012050C"/>
    <w:rsid w:val="00122A7F"/>
    <w:rsid w:val="00124377"/>
    <w:rsid w:val="0012565E"/>
    <w:rsid w:val="00130F63"/>
    <w:rsid w:val="001357B6"/>
    <w:rsid w:val="00135C8D"/>
    <w:rsid w:val="00135CA3"/>
    <w:rsid w:val="00135E86"/>
    <w:rsid w:val="00137E0F"/>
    <w:rsid w:val="001402C8"/>
    <w:rsid w:val="00141CFA"/>
    <w:rsid w:val="00141E0D"/>
    <w:rsid w:val="0014231F"/>
    <w:rsid w:val="00142DE2"/>
    <w:rsid w:val="00143401"/>
    <w:rsid w:val="00145F62"/>
    <w:rsid w:val="001518A5"/>
    <w:rsid w:val="00152132"/>
    <w:rsid w:val="00152C16"/>
    <w:rsid w:val="00153E16"/>
    <w:rsid w:val="001604D7"/>
    <w:rsid w:val="00160FDC"/>
    <w:rsid w:val="001610F3"/>
    <w:rsid w:val="0016186A"/>
    <w:rsid w:val="00164693"/>
    <w:rsid w:val="001649E6"/>
    <w:rsid w:val="001658A6"/>
    <w:rsid w:val="00166191"/>
    <w:rsid w:val="00166281"/>
    <w:rsid w:val="00166509"/>
    <w:rsid w:val="0017060C"/>
    <w:rsid w:val="00170B01"/>
    <w:rsid w:val="00171777"/>
    <w:rsid w:val="00171DEB"/>
    <w:rsid w:val="00172053"/>
    <w:rsid w:val="00172961"/>
    <w:rsid w:val="00173F54"/>
    <w:rsid w:val="00175758"/>
    <w:rsid w:val="00177A64"/>
    <w:rsid w:val="00177D99"/>
    <w:rsid w:val="00180F30"/>
    <w:rsid w:val="00182FFA"/>
    <w:rsid w:val="00183710"/>
    <w:rsid w:val="00183B9F"/>
    <w:rsid w:val="00185B3F"/>
    <w:rsid w:val="00186B12"/>
    <w:rsid w:val="00186C02"/>
    <w:rsid w:val="00186C86"/>
    <w:rsid w:val="00191A25"/>
    <w:rsid w:val="0019209D"/>
    <w:rsid w:val="00192345"/>
    <w:rsid w:val="001930F7"/>
    <w:rsid w:val="00193F68"/>
    <w:rsid w:val="001968F8"/>
    <w:rsid w:val="00197678"/>
    <w:rsid w:val="001A0627"/>
    <w:rsid w:val="001A0E31"/>
    <w:rsid w:val="001A1F1F"/>
    <w:rsid w:val="001A3611"/>
    <w:rsid w:val="001A38CC"/>
    <w:rsid w:val="001A6020"/>
    <w:rsid w:val="001A6A49"/>
    <w:rsid w:val="001B0EC6"/>
    <w:rsid w:val="001B1426"/>
    <w:rsid w:val="001B2A9A"/>
    <w:rsid w:val="001B2FC3"/>
    <w:rsid w:val="001B45B5"/>
    <w:rsid w:val="001B534F"/>
    <w:rsid w:val="001B62BA"/>
    <w:rsid w:val="001B74E3"/>
    <w:rsid w:val="001C1CA5"/>
    <w:rsid w:val="001C258E"/>
    <w:rsid w:val="001C2816"/>
    <w:rsid w:val="001C2FD4"/>
    <w:rsid w:val="001C687C"/>
    <w:rsid w:val="001C69DE"/>
    <w:rsid w:val="001C7292"/>
    <w:rsid w:val="001D054B"/>
    <w:rsid w:val="001D0B75"/>
    <w:rsid w:val="001D26DD"/>
    <w:rsid w:val="001D27B2"/>
    <w:rsid w:val="001D3D33"/>
    <w:rsid w:val="001D419B"/>
    <w:rsid w:val="001D41CE"/>
    <w:rsid w:val="001D4733"/>
    <w:rsid w:val="001D7249"/>
    <w:rsid w:val="001E1F3C"/>
    <w:rsid w:val="001E35F7"/>
    <w:rsid w:val="001E485D"/>
    <w:rsid w:val="001E49BC"/>
    <w:rsid w:val="001E65E9"/>
    <w:rsid w:val="001E7513"/>
    <w:rsid w:val="001F19EA"/>
    <w:rsid w:val="001F1B9B"/>
    <w:rsid w:val="001F242B"/>
    <w:rsid w:val="001F25D9"/>
    <w:rsid w:val="001F378C"/>
    <w:rsid w:val="001F4450"/>
    <w:rsid w:val="001F610E"/>
    <w:rsid w:val="001F6C89"/>
    <w:rsid w:val="001F7654"/>
    <w:rsid w:val="0020028E"/>
    <w:rsid w:val="0020058D"/>
    <w:rsid w:val="00200DC6"/>
    <w:rsid w:val="002015D9"/>
    <w:rsid w:val="002016D2"/>
    <w:rsid w:val="00201A32"/>
    <w:rsid w:val="002028D2"/>
    <w:rsid w:val="00203DE7"/>
    <w:rsid w:val="00203FFD"/>
    <w:rsid w:val="0020443E"/>
    <w:rsid w:val="00204EA8"/>
    <w:rsid w:val="0020651D"/>
    <w:rsid w:val="0020655A"/>
    <w:rsid w:val="00206937"/>
    <w:rsid w:val="00206B75"/>
    <w:rsid w:val="00207CF9"/>
    <w:rsid w:val="002100F8"/>
    <w:rsid w:val="00212640"/>
    <w:rsid w:val="00212719"/>
    <w:rsid w:val="00213CDD"/>
    <w:rsid w:val="00214DBA"/>
    <w:rsid w:val="0021591B"/>
    <w:rsid w:val="0021699F"/>
    <w:rsid w:val="0021786A"/>
    <w:rsid w:val="0022382E"/>
    <w:rsid w:val="0022412D"/>
    <w:rsid w:val="002241AF"/>
    <w:rsid w:val="00224355"/>
    <w:rsid w:val="00225132"/>
    <w:rsid w:val="0022680E"/>
    <w:rsid w:val="00232DBE"/>
    <w:rsid w:val="002340A3"/>
    <w:rsid w:val="0023429C"/>
    <w:rsid w:val="00234368"/>
    <w:rsid w:val="002355F5"/>
    <w:rsid w:val="00236741"/>
    <w:rsid w:val="00240BE4"/>
    <w:rsid w:val="0024170B"/>
    <w:rsid w:val="00241934"/>
    <w:rsid w:val="0024226A"/>
    <w:rsid w:val="0024409C"/>
    <w:rsid w:val="0024527A"/>
    <w:rsid w:val="00245506"/>
    <w:rsid w:val="002474A3"/>
    <w:rsid w:val="00247B23"/>
    <w:rsid w:val="002509F8"/>
    <w:rsid w:val="002514FA"/>
    <w:rsid w:val="002519D3"/>
    <w:rsid w:val="00252790"/>
    <w:rsid w:val="00254861"/>
    <w:rsid w:val="0025581A"/>
    <w:rsid w:val="002559B7"/>
    <w:rsid w:val="00255BA6"/>
    <w:rsid w:val="00256318"/>
    <w:rsid w:val="00256472"/>
    <w:rsid w:val="00257C4D"/>
    <w:rsid w:val="00260CDF"/>
    <w:rsid w:val="00260EC1"/>
    <w:rsid w:val="00261AAB"/>
    <w:rsid w:val="00263D32"/>
    <w:rsid w:val="00264C9F"/>
    <w:rsid w:val="00265C11"/>
    <w:rsid w:val="00266921"/>
    <w:rsid w:val="00267DCF"/>
    <w:rsid w:val="00271906"/>
    <w:rsid w:val="00273986"/>
    <w:rsid w:val="00273A71"/>
    <w:rsid w:val="002748E2"/>
    <w:rsid w:val="00275F15"/>
    <w:rsid w:val="00277FF3"/>
    <w:rsid w:val="002801B9"/>
    <w:rsid w:val="0028058E"/>
    <w:rsid w:val="00281C7C"/>
    <w:rsid w:val="00282286"/>
    <w:rsid w:val="00282EF6"/>
    <w:rsid w:val="00284B68"/>
    <w:rsid w:val="0028737C"/>
    <w:rsid w:val="00290091"/>
    <w:rsid w:val="002926E0"/>
    <w:rsid w:val="00295477"/>
    <w:rsid w:val="00297096"/>
    <w:rsid w:val="002A1B39"/>
    <w:rsid w:val="002A1EC0"/>
    <w:rsid w:val="002A2889"/>
    <w:rsid w:val="002A3D72"/>
    <w:rsid w:val="002A4D35"/>
    <w:rsid w:val="002A4DD7"/>
    <w:rsid w:val="002A567B"/>
    <w:rsid w:val="002A5E11"/>
    <w:rsid w:val="002A63DC"/>
    <w:rsid w:val="002A699A"/>
    <w:rsid w:val="002B2749"/>
    <w:rsid w:val="002B2988"/>
    <w:rsid w:val="002B374C"/>
    <w:rsid w:val="002B6444"/>
    <w:rsid w:val="002C1638"/>
    <w:rsid w:val="002C6B24"/>
    <w:rsid w:val="002C6B43"/>
    <w:rsid w:val="002C7345"/>
    <w:rsid w:val="002D04EC"/>
    <w:rsid w:val="002D436D"/>
    <w:rsid w:val="002D44D8"/>
    <w:rsid w:val="002D4E00"/>
    <w:rsid w:val="002D58B8"/>
    <w:rsid w:val="002D5DCC"/>
    <w:rsid w:val="002D6463"/>
    <w:rsid w:val="002D6F2A"/>
    <w:rsid w:val="002D7395"/>
    <w:rsid w:val="002D7CE8"/>
    <w:rsid w:val="002E0BE7"/>
    <w:rsid w:val="002E1876"/>
    <w:rsid w:val="002E277E"/>
    <w:rsid w:val="002E2825"/>
    <w:rsid w:val="002E2A5E"/>
    <w:rsid w:val="002E5E75"/>
    <w:rsid w:val="002E6814"/>
    <w:rsid w:val="002E79CB"/>
    <w:rsid w:val="002E7DE8"/>
    <w:rsid w:val="002F283B"/>
    <w:rsid w:val="002F39AC"/>
    <w:rsid w:val="002F42EB"/>
    <w:rsid w:val="002F58D3"/>
    <w:rsid w:val="002F707C"/>
    <w:rsid w:val="002F7974"/>
    <w:rsid w:val="002F7DF9"/>
    <w:rsid w:val="002F7E2E"/>
    <w:rsid w:val="0030067F"/>
    <w:rsid w:val="00300758"/>
    <w:rsid w:val="00300F44"/>
    <w:rsid w:val="00301706"/>
    <w:rsid w:val="00301A1A"/>
    <w:rsid w:val="00301A48"/>
    <w:rsid w:val="00302428"/>
    <w:rsid w:val="003041E9"/>
    <w:rsid w:val="003046D5"/>
    <w:rsid w:val="00304DFA"/>
    <w:rsid w:val="00310047"/>
    <w:rsid w:val="0031041E"/>
    <w:rsid w:val="0031051D"/>
    <w:rsid w:val="00311D37"/>
    <w:rsid w:val="0031209C"/>
    <w:rsid w:val="00312AD6"/>
    <w:rsid w:val="003130C2"/>
    <w:rsid w:val="003143BD"/>
    <w:rsid w:val="00320F24"/>
    <w:rsid w:val="00323427"/>
    <w:rsid w:val="00323595"/>
    <w:rsid w:val="00323A33"/>
    <w:rsid w:val="00323DF1"/>
    <w:rsid w:val="003240EE"/>
    <w:rsid w:val="0032478C"/>
    <w:rsid w:val="00325B83"/>
    <w:rsid w:val="0032622B"/>
    <w:rsid w:val="00326663"/>
    <w:rsid w:val="00327605"/>
    <w:rsid w:val="00330A29"/>
    <w:rsid w:val="003310FC"/>
    <w:rsid w:val="00331BDA"/>
    <w:rsid w:val="0033279E"/>
    <w:rsid w:val="00332CB5"/>
    <w:rsid w:val="00333B68"/>
    <w:rsid w:val="00343E4B"/>
    <w:rsid w:val="003453BD"/>
    <w:rsid w:val="00345434"/>
    <w:rsid w:val="00345E53"/>
    <w:rsid w:val="00346A23"/>
    <w:rsid w:val="00347720"/>
    <w:rsid w:val="00350900"/>
    <w:rsid w:val="003517CE"/>
    <w:rsid w:val="00351FF4"/>
    <w:rsid w:val="003522A8"/>
    <w:rsid w:val="00353765"/>
    <w:rsid w:val="00353B22"/>
    <w:rsid w:val="003576FD"/>
    <w:rsid w:val="00357C6D"/>
    <w:rsid w:val="00357DFB"/>
    <w:rsid w:val="00360B24"/>
    <w:rsid w:val="0036115A"/>
    <w:rsid w:val="00362BFA"/>
    <w:rsid w:val="00365C8E"/>
    <w:rsid w:val="00365E7F"/>
    <w:rsid w:val="003665F9"/>
    <w:rsid w:val="0036788E"/>
    <w:rsid w:val="003722E8"/>
    <w:rsid w:val="0037548D"/>
    <w:rsid w:val="003755A0"/>
    <w:rsid w:val="00375E14"/>
    <w:rsid w:val="00375EF9"/>
    <w:rsid w:val="00376BF9"/>
    <w:rsid w:val="00377DA2"/>
    <w:rsid w:val="0038161E"/>
    <w:rsid w:val="00381728"/>
    <w:rsid w:val="003830E7"/>
    <w:rsid w:val="0038360C"/>
    <w:rsid w:val="00384225"/>
    <w:rsid w:val="003856C1"/>
    <w:rsid w:val="003863F9"/>
    <w:rsid w:val="00386944"/>
    <w:rsid w:val="00386F2C"/>
    <w:rsid w:val="00387188"/>
    <w:rsid w:val="0038791E"/>
    <w:rsid w:val="003904BB"/>
    <w:rsid w:val="0039076D"/>
    <w:rsid w:val="0039172E"/>
    <w:rsid w:val="003919DA"/>
    <w:rsid w:val="00392AFB"/>
    <w:rsid w:val="0039309B"/>
    <w:rsid w:val="00393871"/>
    <w:rsid w:val="00394FDF"/>
    <w:rsid w:val="00395102"/>
    <w:rsid w:val="00396C5C"/>
    <w:rsid w:val="00397852"/>
    <w:rsid w:val="00397A45"/>
    <w:rsid w:val="003A179A"/>
    <w:rsid w:val="003A2250"/>
    <w:rsid w:val="003A3092"/>
    <w:rsid w:val="003A31FC"/>
    <w:rsid w:val="003A35E0"/>
    <w:rsid w:val="003A3A9C"/>
    <w:rsid w:val="003A4E9C"/>
    <w:rsid w:val="003A5BFD"/>
    <w:rsid w:val="003A7B18"/>
    <w:rsid w:val="003B218A"/>
    <w:rsid w:val="003B62C7"/>
    <w:rsid w:val="003C0994"/>
    <w:rsid w:val="003C0DF0"/>
    <w:rsid w:val="003C0FE5"/>
    <w:rsid w:val="003C31FC"/>
    <w:rsid w:val="003C33F6"/>
    <w:rsid w:val="003C63C2"/>
    <w:rsid w:val="003C6E28"/>
    <w:rsid w:val="003C7461"/>
    <w:rsid w:val="003D044A"/>
    <w:rsid w:val="003D0A01"/>
    <w:rsid w:val="003D0BAD"/>
    <w:rsid w:val="003D0E3F"/>
    <w:rsid w:val="003D3680"/>
    <w:rsid w:val="003D3DCD"/>
    <w:rsid w:val="003D6A95"/>
    <w:rsid w:val="003D7300"/>
    <w:rsid w:val="003E1A90"/>
    <w:rsid w:val="003E2232"/>
    <w:rsid w:val="003E385F"/>
    <w:rsid w:val="003E3C52"/>
    <w:rsid w:val="003E41E6"/>
    <w:rsid w:val="003E458E"/>
    <w:rsid w:val="003E6122"/>
    <w:rsid w:val="003E67E9"/>
    <w:rsid w:val="003E68C0"/>
    <w:rsid w:val="003F00C6"/>
    <w:rsid w:val="003F0959"/>
    <w:rsid w:val="003F0E12"/>
    <w:rsid w:val="003F0FB6"/>
    <w:rsid w:val="003F14F5"/>
    <w:rsid w:val="003F15A5"/>
    <w:rsid w:val="003F1D02"/>
    <w:rsid w:val="003F21EB"/>
    <w:rsid w:val="003F4053"/>
    <w:rsid w:val="003F4118"/>
    <w:rsid w:val="003F4545"/>
    <w:rsid w:val="003F4959"/>
    <w:rsid w:val="003F4B5F"/>
    <w:rsid w:val="003F6063"/>
    <w:rsid w:val="003F6B04"/>
    <w:rsid w:val="003F6CA1"/>
    <w:rsid w:val="003F74BF"/>
    <w:rsid w:val="00400073"/>
    <w:rsid w:val="004029A3"/>
    <w:rsid w:val="004061D4"/>
    <w:rsid w:val="00407F40"/>
    <w:rsid w:val="00407FCD"/>
    <w:rsid w:val="00411C47"/>
    <w:rsid w:val="00413E62"/>
    <w:rsid w:val="0041616B"/>
    <w:rsid w:val="004223C1"/>
    <w:rsid w:val="00424CFA"/>
    <w:rsid w:val="00425A0F"/>
    <w:rsid w:val="00425BB2"/>
    <w:rsid w:val="00425CAA"/>
    <w:rsid w:val="00426351"/>
    <w:rsid w:val="00431748"/>
    <w:rsid w:val="00431C78"/>
    <w:rsid w:val="0043584A"/>
    <w:rsid w:val="00435C33"/>
    <w:rsid w:val="00435C6A"/>
    <w:rsid w:val="0043744A"/>
    <w:rsid w:val="0044099E"/>
    <w:rsid w:val="0044100D"/>
    <w:rsid w:val="004419D0"/>
    <w:rsid w:val="0044269B"/>
    <w:rsid w:val="004439FE"/>
    <w:rsid w:val="00445E8C"/>
    <w:rsid w:val="004477D3"/>
    <w:rsid w:val="00447DB3"/>
    <w:rsid w:val="00447EEC"/>
    <w:rsid w:val="00451190"/>
    <w:rsid w:val="00451239"/>
    <w:rsid w:val="004526F7"/>
    <w:rsid w:val="00453B6C"/>
    <w:rsid w:val="004579C0"/>
    <w:rsid w:val="00460DEE"/>
    <w:rsid w:val="00462219"/>
    <w:rsid w:val="00462667"/>
    <w:rsid w:val="004643B9"/>
    <w:rsid w:val="00464CC2"/>
    <w:rsid w:val="00464E0A"/>
    <w:rsid w:val="00466090"/>
    <w:rsid w:val="00472761"/>
    <w:rsid w:val="0047279F"/>
    <w:rsid w:val="00472D8A"/>
    <w:rsid w:val="0047409C"/>
    <w:rsid w:val="004743C4"/>
    <w:rsid w:val="00474916"/>
    <w:rsid w:val="00477EA2"/>
    <w:rsid w:val="00480BAC"/>
    <w:rsid w:val="00481AAB"/>
    <w:rsid w:val="004842F4"/>
    <w:rsid w:val="00484CCF"/>
    <w:rsid w:val="004850EF"/>
    <w:rsid w:val="00485ADB"/>
    <w:rsid w:val="00491470"/>
    <w:rsid w:val="0049223F"/>
    <w:rsid w:val="00493240"/>
    <w:rsid w:val="00495F1E"/>
    <w:rsid w:val="00496DF2"/>
    <w:rsid w:val="0049737D"/>
    <w:rsid w:val="00497B19"/>
    <w:rsid w:val="004A0D0B"/>
    <w:rsid w:val="004A0D45"/>
    <w:rsid w:val="004A3C30"/>
    <w:rsid w:val="004A3E5A"/>
    <w:rsid w:val="004A40C0"/>
    <w:rsid w:val="004A4EEA"/>
    <w:rsid w:val="004A5907"/>
    <w:rsid w:val="004A60CC"/>
    <w:rsid w:val="004A6547"/>
    <w:rsid w:val="004A7220"/>
    <w:rsid w:val="004B3B85"/>
    <w:rsid w:val="004B3BF1"/>
    <w:rsid w:val="004B4FD7"/>
    <w:rsid w:val="004B5490"/>
    <w:rsid w:val="004B5958"/>
    <w:rsid w:val="004B6A3B"/>
    <w:rsid w:val="004C14D4"/>
    <w:rsid w:val="004C1822"/>
    <w:rsid w:val="004C1BD4"/>
    <w:rsid w:val="004C2468"/>
    <w:rsid w:val="004C29E2"/>
    <w:rsid w:val="004C368C"/>
    <w:rsid w:val="004C3D32"/>
    <w:rsid w:val="004C4B8E"/>
    <w:rsid w:val="004C5E1F"/>
    <w:rsid w:val="004C78B7"/>
    <w:rsid w:val="004C7BBF"/>
    <w:rsid w:val="004D0AFA"/>
    <w:rsid w:val="004D14C7"/>
    <w:rsid w:val="004D1C57"/>
    <w:rsid w:val="004D2D17"/>
    <w:rsid w:val="004D2FCB"/>
    <w:rsid w:val="004D7E5B"/>
    <w:rsid w:val="004E1B15"/>
    <w:rsid w:val="004E34E1"/>
    <w:rsid w:val="004E5430"/>
    <w:rsid w:val="004E55BB"/>
    <w:rsid w:val="004E6E83"/>
    <w:rsid w:val="004F0AA6"/>
    <w:rsid w:val="004F0B25"/>
    <w:rsid w:val="004F15DC"/>
    <w:rsid w:val="004F1AE4"/>
    <w:rsid w:val="004F252E"/>
    <w:rsid w:val="004F3044"/>
    <w:rsid w:val="004F3549"/>
    <w:rsid w:val="004F5E27"/>
    <w:rsid w:val="004F66E3"/>
    <w:rsid w:val="004F6F60"/>
    <w:rsid w:val="004F719C"/>
    <w:rsid w:val="004F72DC"/>
    <w:rsid w:val="005009BA"/>
    <w:rsid w:val="005012E5"/>
    <w:rsid w:val="005017D5"/>
    <w:rsid w:val="00502657"/>
    <w:rsid w:val="00502CD6"/>
    <w:rsid w:val="00503C5A"/>
    <w:rsid w:val="0050594D"/>
    <w:rsid w:val="00510714"/>
    <w:rsid w:val="00510A46"/>
    <w:rsid w:val="00511D1F"/>
    <w:rsid w:val="00512FB8"/>
    <w:rsid w:val="00513A43"/>
    <w:rsid w:val="00513E2E"/>
    <w:rsid w:val="0051539B"/>
    <w:rsid w:val="00515418"/>
    <w:rsid w:val="00516740"/>
    <w:rsid w:val="00516DB6"/>
    <w:rsid w:val="00520DB4"/>
    <w:rsid w:val="005211DE"/>
    <w:rsid w:val="0052155B"/>
    <w:rsid w:val="00522A53"/>
    <w:rsid w:val="0052487C"/>
    <w:rsid w:val="00524FBB"/>
    <w:rsid w:val="005254E7"/>
    <w:rsid w:val="005262BE"/>
    <w:rsid w:val="00526705"/>
    <w:rsid w:val="0053426C"/>
    <w:rsid w:val="00536CB1"/>
    <w:rsid w:val="00540C0F"/>
    <w:rsid w:val="00541864"/>
    <w:rsid w:val="00541D4B"/>
    <w:rsid w:val="005428F3"/>
    <w:rsid w:val="00544415"/>
    <w:rsid w:val="00545497"/>
    <w:rsid w:val="00546AF6"/>
    <w:rsid w:val="00547894"/>
    <w:rsid w:val="00551CCF"/>
    <w:rsid w:val="00556F3A"/>
    <w:rsid w:val="00557143"/>
    <w:rsid w:val="0056076A"/>
    <w:rsid w:val="00561751"/>
    <w:rsid w:val="005624BA"/>
    <w:rsid w:val="0056280A"/>
    <w:rsid w:val="00563962"/>
    <w:rsid w:val="00563E56"/>
    <w:rsid w:val="005658E7"/>
    <w:rsid w:val="00565A6E"/>
    <w:rsid w:val="005670BD"/>
    <w:rsid w:val="00571440"/>
    <w:rsid w:val="0057166E"/>
    <w:rsid w:val="00573991"/>
    <w:rsid w:val="00574075"/>
    <w:rsid w:val="00574983"/>
    <w:rsid w:val="00576571"/>
    <w:rsid w:val="005777AD"/>
    <w:rsid w:val="005806E6"/>
    <w:rsid w:val="0058139E"/>
    <w:rsid w:val="005827A6"/>
    <w:rsid w:val="00582CAB"/>
    <w:rsid w:val="00585543"/>
    <w:rsid w:val="0058724F"/>
    <w:rsid w:val="00590C23"/>
    <w:rsid w:val="00592F5A"/>
    <w:rsid w:val="0059397F"/>
    <w:rsid w:val="00593A65"/>
    <w:rsid w:val="0059724E"/>
    <w:rsid w:val="005A0395"/>
    <w:rsid w:val="005A1ABC"/>
    <w:rsid w:val="005A2CAD"/>
    <w:rsid w:val="005A4B7A"/>
    <w:rsid w:val="005A5E07"/>
    <w:rsid w:val="005A6114"/>
    <w:rsid w:val="005B0303"/>
    <w:rsid w:val="005B0E8E"/>
    <w:rsid w:val="005B4FED"/>
    <w:rsid w:val="005C1C92"/>
    <w:rsid w:val="005C232A"/>
    <w:rsid w:val="005C3B90"/>
    <w:rsid w:val="005C3EBA"/>
    <w:rsid w:val="005C43E0"/>
    <w:rsid w:val="005C5EAC"/>
    <w:rsid w:val="005C73B5"/>
    <w:rsid w:val="005C7B1C"/>
    <w:rsid w:val="005D23F0"/>
    <w:rsid w:val="005D2E5E"/>
    <w:rsid w:val="005D6E4C"/>
    <w:rsid w:val="005D7698"/>
    <w:rsid w:val="005E0736"/>
    <w:rsid w:val="005E11BF"/>
    <w:rsid w:val="005E19C7"/>
    <w:rsid w:val="005E397B"/>
    <w:rsid w:val="005E4227"/>
    <w:rsid w:val="005E48A8"/>
    <w:rsid w:val="005E6D75"/>
    <w:rsid w:val="005E7DDC"/>
    <w:rsid w:val="005E7ECD"/>
    <w:rsid w:val="005F11CD"/>
    <w:rsid w:val="005F134D"/>
    <w:rsid w:val="005F2625"/>
    <w:rsid w:val="005F3FD7"/>
    <w:rsid w:val="005F4044"/>
    <w:rsid w:val="005F49BB"/>
    <w:rsid w:val="005F6E1D"/>
    <w:rsid w:val="005F73C0"/>
    <w:rsid w:val="005F74C5"/>
    <w:rsid w:val="005F7D6B"/>
    <w:rsid w:val="0060231D"/>
    <w:rsid w:val="0060340B"/>
    <w:rsid w:val="00603E1F"/>
    <w:rsid w:val="0060504F"/>
    <w:rsid w:val="00605188"/>
    <w:rsid w:val="0060574D"/>
    <w:rsid w:val="00605846"/>
    <w:rsid w:val="00605C96"/>
    <w:rsid w:val="00606D0C"/>
    <w:rsid w:val="0060782C"/>
    <w:rsid w:val="006111C3"/>
    <w:rsid w:val="006116F6"/>
    <w:rsid w:val="00611D87"/>
    <w:rsid w:val="006126C4"/>
    <w:rsid w:val="006134E6"/>
    <w:rsid w:val="006137D0"/>
    <w:rsid w:val="006141FA"/>
    <w:rsid w:val="00614990"/>
    <w:rsid w:val="00614D16"/>
    <w:rsid w:val="00615222"/>
    <w:rsid w:val="00616FEC"/>
    <w:rsid w:val="00621542"/>
    <w:rsid w:val="00621545"/>
    <w:rsid w:val="00622081"/>
    <w:rsid w:val="0062640B"/>
    <w:rsid w:val="00627286"/>
    <w:rsid w:val="00630765"/>
    <w:rsid w:val="00630B0B"/>
    <w:rsid w:val="00630CD6"/>
    <w:rsid w:val="00631BDF"/>
    <w:rsid w:val="00631E00"/>
    <w:rsid w:val="00632EB1"/>
    <w:rsid w:val="00634FD8"/>
    <w:rsid w:val="006361BC"/>
    <w:rsid w:val="006371E6"/>
    <w:rsid w:val="00640573"/>
    <w:rsid w:val="00641026"/>
    <w:rsid w:val="00641476"/>
    <w:rsid w:val="006448FA"/>
    <w:rsid w:val="00646020"/>
    <w:rsid w:val="00647D53"/>
    <w:rsid w:val="00651F72"/>
    <w:rsid w:val="006526CC"/>
    <w:rsid w:val="0065367B"/>
    <w:rsid w:val="0065470F"/>
    <w:rsid w:val="00654EF7"/>
    <w:rsid w:val="0065531C"/>
    <w:rsid w:val="00656B4F"/>
    <w:rsid w:val="006571E1"/>
    <w:rsid w:val="00657399"/>
    <w:rsid w:val="00660C6E"/>
    <w:rsid w:val="00660D1D"/>
    <w:rsid w:val="0066185B"/>
    <w:rsid w:val="00662589"/>
    <w:rsid w:val="00667993"/>
    <w:rsid w:val="00667CB3"/>
    <w:rsid w:val="00667D7A"/>
    <w:rsid w:val="00667F6F"/>
    <w:rsid w:val="0067072B"/>
    <w:rsid w:val="00670D63"/>
    <w:rsid w:val="00672232"/>
    <w:rsid w:val="006746EE"/>
    <w:rsid w:val="006764DB"/>
    <w:rsid w:val="006801E2"/>
    <w:rsid w:val="006807BF"/>
    <w:rsid w:val="00685410"/>
    <w:rsid w:val="0068679B"/>
    <w:rsid w:val="00686B55"/>
    <w:rsid w:val="00687C0A"/>
    <w:rsid w:val="006914E2"/>
    <w:rsid w:val="00691E7B"/>
    <w:rsid w:val="006A1BC2"/>
    <w:rsid w:val="006A5BE9"/>
    <w:rsid w:val="006A5FAF"/>
    <w:rsid w:val="006A663D"/>
    <w:rsid w:val="006A761F"/>
    <w:rsid w:val="006B184D"/>
    <w:rsid w:val="006B2492"/>
    <w:rsid w:val="006B3005"/>
    <w:rsid w:val="006B3881"/>
    <w:rsid w:val="006B4A36"/>
    <w:rsid w:val="006B4D8C"/>
    <w:rsid w:val="006B79F1"/>
    <w:rsid w:val="006B7CEA"/>
    <w:rsid w:val="006C09A1"/>
    <w:rsid w:val="006C1070"/>
    <w:rsid w:val="006C242E"/>
    <w:rsid w:val="006C29BE"/>
    <w:rsid w:val="006C3478"/>
    <w:rsid w:val="006C6E79"/>
    <w:rsid w:val="006D0191"/>
    <w:rsid w:val="006D0F8B"/>
    <w:rsid w:val="006D3BAA"/>
    <w:rsid w:val="006D4148"/>
    <w:rsid w:val="006D4BE4"/>
    <w:rsid w:val="006D6EC8"/>
    <w:rsid w:val="006D7C46"/>
    <w:rsid w:val="006E1D27"/>
    <w:rsid w:val="006E2CC8"/>
    <w:rsid w:val="006E2F02"/>
    <w:rsid w:val="006E39E8"/>
    <w:rsid w:val="006E3D31"/>
    <w:rsid w:val="006E6FB0"/>
    <w:rsid w:val="006F03BA"/>
    <w:rsid w:val="006F297E"/>
    <w:rsid w:val="006F2C8A"/>
    <w:rsid w:val="006F523C"/>
    <w:rsid w:val="006F551A"/>
    <w:rsid w:val="006F5D00"/>
    <w:rsid w:val="006F5E38"/>
    <w:rsid w:val="006F6CE7"/>
    <w:rsid w:val="006F7DD5"/>
    <w:rsid w:val="00700480"/>
    <w:rsid w:val="007009F1"/>
    <w:rsid w:val="00702147"/>
    <w:rsid w:val="00704B32"/>
    <w:rsid w:val="00704F83"/>
    <w:rsid w:val="00705F29"/>
    <w:rsid w:val="00706593"/>
    <w:rsid w:val="00710803"/>
    <w:rsid w:val="00711218"/>
    <w:rsid w:val="00711342"/>
    <w:rsid w:val="0071174C"/>
    <w:rsid w:val="00713658"/>
    <w:rsid w:val="00713925"/>
    <w:rsid w:val="00715BBD"/>
    <w:rsid w:val="00716FB4"/>
    <w:rsid w:val="00721706"/>
    <w:rsid w:val="00721968"/>
    <w:rsid w:val="00721D21"/>
    <w:rsid w:val="007238A8"/>
    <w:rsid w:val="007239E4"/>
    <w:rsid w:val="00724380"/>
    <w:rsid w:val="0072590F"/>
    <w:rsid w:val="00726032"/>
    <w:rsid w:val="00731542"/>
    <w:rsid w:val="007335BC"/>
    <w:rsid w:val="00733F27"/>
    <w:rsid w:val="007345F0"/>
    <w:rsid w:val="0073555A"/>
    <w:rsid w:val="00737B3B"/>
    <w:rsid w:val="00740743"/>
    <w:rsid w:val="00740DFD"/>
    <w:rsid w:val="0074214F"/>
    <w:rsid w:val="00742900"/>
    <w:rsid w:val="0074418C"/>
    <w:rsid w:val="00744CB8"/>
    <w:rsid w:val="00746D19"/>
    <w:rsid w:val="0074731C"/>
    <w:rsid w:val="00750332"/>
    <w:rsid w:val="0075133B"/>
    <w:rsid w:val="0075146A"/>
    <w:rsid w:val="00751B78"/>
    <w:rsid w:val="00752EC8"/>
    <w:rsid w:val="007531DD"/>
    <w:rsid w:val="0075377D"/>
    <w:rsid w:val="00753B04"/>
    <w:rsid w:val="0075447D"/>
    <w:rsid w:val="0075451C"/>
    <w:rsid w:val="007549DE"/>
    <w:rsid w:val="00754AB1"/>
    <w:rsid w:val="00756116"/>
    <w:rsid w:val="00757E26"/>
    <w:rsid w:val="007606EC"/>
    <w:rsid w:val="00760902"/>
    <w:rsid w:val="00760ED1"/>
    <w:rsid w:val="00761C19"/>
    <w:rsid w:val="00761C53"/>
    <w:rsid w:val="00762FB9"/>
    <w:rsid w:val="00767C3F"/>
    <w:rsid w:val="00775239"/>
    <w:rsid w:val="00780502"/>
    <w:rsid w:val="00781039"/>
    <w:rsid w:val="0078113D"/>
    <w:rsid w:val="0078165C"/>
    <w:rsid w:val="00781ED1"/>
    <w:rsid w:val="00782CA9"/>
    <w:rsid w:val="00783B2E"/>
    <w:rsid w:val="00783B39"/>
    <w:rsid w:val="00784008"/>
    <w:rsid w:val="00784D86"/>
    <w:rsid w:val="00784DAC"/>
    <w:rsid w:val="007876FC"/>
    <w:rsid w:val="00791227"/>
    <w:rsid w:val="00791E12"/>
    <w:rsid w:val="00793BCB"/>
    <w:rsid w:val="007960E7"/>
    <w:rsid w:val="0079766F"/>
    <w:rsid w:val="00797EF4"/>
    <w:rsid w:val="007A09E1"/>
    <w:rsid w:val="007A239B"/>
    <w:rsid w:val="007A5928"/>
    <w:rsid w:val="007B1B97"/>
    <w:rsid w:val="007B3897"/>
    <w:rsid w:val="007B4BA7"/>
    <w:rsid w:val="007B54D8"/>
    <w:rsid w:val="007B6CF6"/>
    <w:rsid w:val="007B6E6F"/>
    <w:rsid w:val="007B7866"/>
    <w:rsid w:val="007C0D86"/>
    <w:rsid w:val="007C16E5"/>
    <w:rsid w:val="007C1A04"/>
    <w:rsid w:val="007C1B0C"/>
    <w:rsid w:val="007C5950"/>
    <w:rsid w:val="007C74D9"/>
    <w:rsid w:val="007D0893"/>
    <w:rsid w:val="007D1329"/>
    <w:rsid w:val="007D3ECF"/>
    <w:rsid w:val="007D4AEB"/>
    <w:rsid w:val="007D77B7"/>
    <w:rsid w:val="007E00C0"/>
    <w:rsid w:val="007E01BD"/>
    <w:rsid w:val="007E0878"/>
    <w:rsid w:val="007E1AD4"/>
    <w:rsid w:val="007E213C"/>
    <w:rsid w:val="007E2DE7"/>
    <w:rsid w:val="007E3663"/>
    <w:rsid w:val="007E42B2"/>
    <w:rsid w:val="007E5FB0"/>
    <w:rsid w:val="007F02A4"/>
    <w:rsid w:val="007F08FD"/>
    <w:rsid w:val="007F2BEE"/>
    <w:rsid w:val="007F2CA1"/>
    <w:rsid w:val="007F3128"/>
    <w:rsid w:val="007F33DD"/>
    <w:rsid w:val="007F5B0A"/>
    <w:rsid w:val="007F65AB"/>
    <w:rsid w:val="00800A68"/>
    <w:rsid w:val="00800EFF"/>
    <w:rsid w:val="00801C56"/>
    <w:rsid w:val="00803EFE"/>
    <w:rsid w:val="008057CA"/>
    <w:rsid w:val="008057DD"/>
    <w:rsid w:val="00805D2A"/>
    <w:rsid w:val="00806C67"/>
    <w:rsid w:val="00807A7A"/>
    <w:rsid w:val="00810481"/>
    <w:rsid w:val="00810905"/>
    <w:rsid w:val="00810B54"/>
    <w:rsid w:val="008154BD"/>
    <w:rsid w:val="00816A85"/>
    <w:rsid w:val="00817630"/>
    <w:rsid w:val="00817733"/>
    <w:rsid w:val="00817F21"/>
    <w:rsid w:val="00820C00"/>
    <w:rsid w:val="008216EA"/>
    <w:rsid w:val="008220F7"/>
    <w:rsid w:val="00823082"/>
    <w:rsid w:val="00823143"/>
    <w:rsid w:val="00823467"/>
    <w:rsid w:val="00823BAE"/>
    <w:rsid w:val="008253C9"/>
    <w:rsid w:val="00826956"/>
    <w:rsid w:val="00827571"/>
    <w:rsid w:val="00827C26"/>
    <w:rsid w:val="00831C3B"/>
    <w:rsid w:val="00833E7F"/>
    <w:rsid w:val="008368E6"/>
    <w:rsid w:val="00836D70"/>
    <w:rsid w:val="00837EED"/>
    <w:rsid w:val="0084119B"/>
    <w:rsid w:val="00843077"/>
    <w:rsid w:val="008448AE"/>
    <w:rsid w:val="00844942"/>
    <w:rsid w:val="00846859"/>
    <w:rsid w:val="0085082B"/>
    <w:rsid w:val="008512FE"/>
    <w:rsid w:val="008519B0"/>
    <w:rsid w:val="008537E5"/>
    <w:rsid w:val="0085470C"/>
    <w:rsid w:val="0085490A"/>
    <w:rsid w:val="00854A68"/>
    <w:rsid w:val="00860AE6"/>
    <w:rsid w:val="0086234F"/>
    <w:rsid w:val="008627DF"/>
    <w:rsid w:val="00864A97"/>
    <w:rsid w:val="008655A5"/>
    <w:rsid w:val="00867077"/>
    <w:rsid w:val="00867DBC"/>
    <w:rsid w:val="00872445"/>
    <w:rsid w:val="00875FEE"/>
    <w:rsid w:val="00880571"/>
    <w:rsid w:val="00880DCF"/>
    <w:rsid w:val="008812C6"/>
    <w:rsid w:val="008819EA"/>
    <w:rsid w:val="0088313E"/>
    <w:rsid w:val="00884562"/>
    <w:rsid w:val="00884DD0"/>
    <w:rsid w:val="00885159"/>
    <w:rsid w:val="00885AF4"/>
    <w:rsid w:val="00886CAB"/>
    <w:rsid w:val="008877CD"/>
    <w:rsid w:val="00890208"/>
    <w:rsid w:val="00890CAF"/>
    <w:rsid w:val="00891B12"/>
    <w:rsid w:val="00891CBB"/>
    <w:rsid w:val="00892231"/>
    <w:rsid w:val="008938B3"/>
    <w:rsid w:val="00894DBC"/>
    <w:rsid w:val="008963D1"/>
    <w:rsid w:val="0089700D"/>
    <w:rsid w:val="00897015"/>
    <w:rsid w:val="00897025"/>
    <w:rsid w:val="00897B25"/>
    <w:rsid w:val="008A0782"/>
    <w:rsid w:val="008A1D43"/>
    <w:rsid w:val="008A20ED"/>
    <w:rsid w:val="008A2F7C"/>
    <w:rsid w:val="008A6DFE"/>
    <w:rsid w:val="008A7543"/>
    <w:rsid w:val="008A758E"/>
    <w:rsid w:val="008A76A9"/>
    <w:rsid w:val="008B12AA"/>
    <w:rsid w:val="008B1478"/>
    <w:rsid w:val="008B1A2E"/>
    <w:rsid w:val="008B509E"/>
    <w:rsid w:val="008B7979"/>
    <w:rsid w:val="008C0C70"/>
    <w:rsid w:val="008C21B2"/>
    <w:rsid w:val="008C25CB"/>
    <w:rsid w:val="008C27D5"/>
    <w:rsid w:val="008C3210"/>
    <w:rsid w:val="008C3C5C"/>
    <w:rsid w:val="008C40B4"/>
    <w:rsid w:val="008C481C"/>
    <w:rsid w:val="008C4FE3"/>
    <w:rsid w:val="008C585E"/>
    <w:rsid w:val="008C5E9B"/>
    <w:rsid w:val="008C7A56"/>
    <w:rsid w:val="008C7B5E"/>
    <w:rsid w:val="008D02C4"/>
    <w:rsid w:val="008D02CE"/>
    <w:rsid w:val="008D10F1"/>
    <w:rsid w:val="008D155E"/>
    <w:rsid w:val="008D1B31"/>
    <w:rsid w:val="008D2331"/>
    <w:rsid w:val="008D7ED5"/>
    <w:rsid w:val="008E00CC"/>
    <w:rsid w:val="008E040C"/>
    <w:rsid w:val="008E0997"/>
    <w:rsid w:val="008E13FF"/>
    <w:rsid w:val="008E14A5"/>
    <w:rsid w:val="008F087E"/>
    <w:rsid w:val="008F0DED"/>
    <w:rsid w:val="008F0F3C"/>
    <w:rsid w:val="008F10DF"/>
    <w:rsid w:val="008F1104"/>
    <w:rsid w:val="008F1629"/>
    <w:rsid w:val="008F1927"/>
    <w:rsid w:val="008F4106"/>
    <w:rsid w:val="008F49DA"/>
    <w:rsid w:val="008F53F4"/>
    <w:rsid w:val="008F545D"/>
    <w:rsid w:val="00905B0E"/>
    <w:rsid w:val="0090618F"/>
    <w:rsid w:val="009075FC"/>
    <w:rsid w:val="009125B6"/>
    <w:rsid w:val="00913044"/>
    <w:rsid w:val="009137AE"/>
    <w:rsid w:val="00914BCF"/>
    <w:rsid w:val="00914E6C"/>
    <w:rsid w:val="00914E8C"/>
    <w:rsid w:val="0091549A"/>
    <w:rsid w:val="009208C7"/>
    <w:rsid w:val="00921592"/>
    <w:rsid w:val="00922CB5"/>
    <w:rsid w:val="00924285"/>
    <w:rsid w:val="00924819"/>
    <w:rsid w:val="0092614E"/>
    <w:rsid w:val="00926F0A"/>
    <w:rsid w:val="009275EC"/>
    <w:rsid w:val="009278D1"/>
    <w:rsid w:val="00927C39"/>
    <w:rsid w:val="009304EE"/>
    <w:rsid w:val="00930F24"/>
    <w:rsid w:val="00932EEE"/>
    <w:rsid w:val="00933D5C"/>
    <w:rsid w:val="00933E1C"/>
    <w:rsid w:val="00935E7F"/>
    <w:rsid w:val="00935E85"/>
    <w:rsid w:val="00936C81"/>
    <w:rsid w:val="00936EF4"/>
    <w:rsid w:val="00937B6F"/>
    <w:rsid w:val="00937F7B"/>
    <w:rsid w:val="00940EED"/>
    <w:rsid w:val="0094112B"/>
    <w:rsid w:val="00941A78"/>
    <w:rsid w:val="00941F1E"/>
    <w:rsid w:val="00942BD4"/>
    <w:rsid w:val="00944796"/>
    <w:rsid w:val="009454D5"/>
    <w:rsid w:val="00946254"/>
    <w:rsid w:val="0094682B"/>
    <w:rsid w:val="00950A4C"/>
    <w:rsid w:val="00952781"/>
    <w:rsid w:val="00953081"/>
    <w:rsid w:val="009541A6"/>
    <w:rsid w:val="00957352"/>
    <w:rsid w:val="00957E2D"/>
    <w:rsid w:val="00960DBC"/>
    <w:rsid w:val="009627D1"/>
    <w:rsid w:val="009645A9"/>
    <w:rsid w:val="00967017"/>
    <w:rsid w:val="0096719C"/>
    <w:rsid w:val="00967F98"/>
    <w:rsid w:val="0097089C"/>
    <w:rsid w:val="00971850"/>
    <w:rsid w:val="0097270E"/>
    <w:rsid w:val="0097384B"/>
    <w:rsid w:val="0097386B"/>
    <w:rsid w:val="009744AC"/>
    <w:rsid w:val="00974662"/>
    <w:rsid w:val="00976232"/>
    <w:rsid w:val="00976388"/>
    <w:rsid w:val="009815B1"/>
    <w:rsid w:val="00981DE9"/>
    <w:rsid w:val="00981E62"/>
    <w:rsid w:val="00983427"/>
    <w:rsid w:val="00987F5E"/>
    <w:rsid w:val="0099043B"/>
    <w:rsid w:val="00996C4D"/>
    <w:rsid w:val="00996C7F"/>
    <w:rsid w:val="00996C9F"/>
    <w:rsid w:val="00997971"/>
    <w:rsid w:val="00997A9B"/>
    <w:rsid w:val="00997DAB"/>
    <w:rsid w:val="009A0BAE"/>
    <w:rsid w:val="009A33C3"/>
    <w:rsid w:val="009A48AB"/>
    <w:rsid w:val="009A562D"/>
    <w:rsid w:val="009A5DB5"/>
    <w:rsid w:val="009A6A4D"/>
    <w:rsid w:val="009A70AF"/>
    <w:rsid w:val="009B0AC6"/>
    <w:rsid w:val="009B247F"/>
    <w:rsid w:val="009B3B08"/>
    <w:rsid w:val="009B4800"/>
    <w:rsid w:val="009B55F6"/>
    <w:rsid w:val="009B7183"/>
    <w:rsid w:val="009B79E9"/>
    <w:rsid w:val="009C17CA"/>
    <w:rsid w:val="009C3CD0"/>
    <w:rsid w:val="009C4EED"/>
    <w:rsid w:val="009C5C83"/>
    <w:rsid w:val="009C6BDD"/>
    <w:rsid w:val="009C76E4"/>
    <w:rsid w:val="009C7BD7"/>
    <w:rsid w:val="009D006D"/>
    <w:rsid w:val="009D0BE2"/>
    <w:rsid w:val="009D4AF2"/>
    <w:rsid w:val="009D6153"/>
    <w:rsid w:val="009D6261"/>
    <w:rsid w:val="009E0BB0"/>
    <w:rsid w:val="009E12E5"/>
    <w:rsid w:val="009E14C4"/>
    <w:rsid w:val="009E36C9"/>
    <w:rsid w:val="009E555C"/>
    <w:rsid w:val="009E7BCD"/>
    <w:rsid w:val="009F0556"/>
    <w:rsid w:val="009F0739"/>
    <w:rsid w:val="009F085B"/>
    <w:rsid w:val="009F18CF"/>
    <w:rsid w:val="009F3B07"/>
    <w:rsid w:val="009F3FDC"/>
    <w:rsid w:val="009F44BC"/>
    <w:rsid w:val="009F4F9B"/>
    <w:rsid w:val="009F672E"/>
    <w:rsid w:val="009F72FD"/>
    <w:rsid w:val="009F750B"/>
    <w:rsid w:val="00A00653"/>
    <w:rsid w:val="00A01C83"/>
    <w:rsid w:val="00A020CC"/>
    <w:rsid w:val="00A0398B"/>
    <w:rsid w:val="00A03D10"/>
    <w:rsid w:val="00A03D57"/>
    <w:rsid w:val="00A06787"/>
    <w:rsid w:val="00A12A98"/>
    <w:rsid w:val="00A12B82"/>
    <w:rsid w:val="00A14C67"/>
    <w:rsid w:val="00A15164"/>
    <w:rsid w:val="00A159B4"/>
    <w:rsid w:val="00A16103"/>
    <w:rsid w:val="00A163DB"/>
    <w:rsid w:val="00A16C6D"/>
    <w:rsid w:val="00A229DE"/>
    <w:rsid w:val="00A22A7F"/>
    <w:rsid w:val="00A23DB2"/>
    <w:rsid w:val="00A256A8"/>
    <w:rsid w:val="00A25EF0"/>
    <w:rsid w:val="00A2695D"/>
    <w:rsid w:val="00A27E9B"/>
    <w:rsid w:val="00A32536"/>
    <w:rsid w:val="00A333BE"/>
    <w:rsid w:val="00A33869"/>
    <w:rsid w:val="00A33D33"/>
    <w:rsid w:val="00A349DE"/>
    <w:rsid w:val="00A3638B"/>
    <w:rsid w:val="00A363E4"/>
    <w:rsid w:val="00A365B8"/>
    <w:rsid w:val="00A3697B"/>
    <w:rsid w:val="00A4004E"/>
    <w:rsid w:val="00A40550"/>
    <w:rsid w:val="00A407DF"/>
    <w:rsid w:val="00A41BB7"/>
    <w:rsid w:val="00A436CD"/>
    <w:rsid w:val="00A43C24"/>
    <w:rsid w:val="00A43CA7"/>
    <w:rsid w:val="00A44F89"/>
    <w:rsid w:val="00A4555D"/>
    <w:rsid w:val="00A45988"/>
    <w:rsid w:val="00A47F71"/>
    <w:rsid w:val="00A50441"/>
    <w:rsid w:val="00A508A4"/>
    <w:rsid w:val="00A51636"/>
    <w:rsid w:val="00A51C12"/>
    <w:rsid w:val="00A524D5"/>
    <w:rsid w:val="00A551FC"/>
    <w:rsid w:val="00A55C84"/>
    <w:rsid w:val="00A5723E"/>
    <w:rsid w:val="00A60DFE"/>
    <w:rsid w:val="00A6114E"/>
    <w:rsid w:val="00A61600"/>
    <w:rsid w:val="00A62741"/>
    <w:rsid w:val="00A62E9C"/>
    <w:rsid w:val="00A631CD"/>
    <w:rsid w:val="00A63AF7"/>
    <w:rsid w:val="00A641BD"/>
    <w:rsid w:val="00A65A25"/>
    <w:rsid w:val="00A666B0"/>
    <w:rsid w:val="00A67367"/>
    <w:rsid w:val="00A67E64"/>
    <w:rsid w:val="00A71204"/>
    <w:rsid w:val="00A721FE"/>
    <w:rsid w:val="00A73AAB"/>
    <w:rsid w:val="00A74965"/>
    <w:rsid w:val="00A75DF8"/>
    <w:rsid w:val="00A7631D"/>
    <w:rsid w:val="00A77184"/>
    <w:rsid w:val="00A80D22"/>
    <w:rsid w:val="00A82723"/>
    <w:rsid w:val="00A82A26"/>
    <w:rsid w:val="00A83531"/>
    <w:rsid w:val="00A83AD5"/>
    <w:rsid w:val="00A83D56"/>
    <w:rsid w:val="00A85532"/>
    <w:rsid w:val="00A868D9"/>
    <w:rsid w:val="00A86962"/>
    <w:rsid w:val="00A8797B"/>
    <w:rsid w:val="00A87C54"/>
    <w:rsid w:val="00A901BF"/>
    <w:rsid w:val="00A92A52"/>
    <w:rsid w:val="00A94741"/>
    <w:rsid w:val="00A951EC"/>
    <w:rsid w:val="00A952E9"/>
    <w:rsid w:val="00A96D43"/>
    <w:rsid w:val="00AA1482"/>
    <w:rsid w:val="00AA1D6B"/>
    <w:rsid w:val="00AA4EC4"/>
    <w:rsid w:val="00AA6213"/>
    <w:rsid w:val="00AB1372"/>
    <w:rsid w:val="00AB2625"/>
    <w:rsid w:val="00AB5124"/>
    <w:rsid w:val="00AB5CA3"/>
    <w:rsid w:val="00AB62F6"/>
    <w:rsid w:val="00AB6D37"/>
    <w:rsid w:val="00AB7790"/>
    <w:rsid w:val="00AC101F"/>
    <w:rsid w:val="00AC20BA"/>
    <w:rsid w:val="00AC4D2D"/>
    <w:rsid w:val="00AC5694"/>
    <w:rsid w:val="00AC6191"/>
    <w:rsid w:val="00AC7101"/>
    <w:rsid w:val="00AC737E"/>
    <w:rsid w:val="00AC7712"/>
    <w:rsid w:val="00AC7CDB"/>
    <w:rsid w:val="00AD3133"/>
    <w:rsid w:val="00AD3394"/>
    <w:rsid w:val="00AD34D5"/>
    <w:rsid w:val="00AD45E4"/>
    <w:rsid w:val="00AD59D0"/>
    <w:rsid w:val="00AD634B"/>
    <w:rsid w:val="00AD7EB8"/>
    <w:rsid w:val="00AE0619"/>
    <w:rsid w:val="00AE1A4C"/>
    <w:rsid w:val="00AE1B20"/>
    <w:rsid w:val="00AE20C3"/>
    <w:rsid w:val="00AE329E"/>
    <w:rsid w:val="00AE4D98"/>
    <w:rsid w:val="00AE50BE"/>
    <w:rsid w:val="00AE69AB"/>
    <w:rsid w:val="00AE734C"/>
    <w:rsid w:val="00AE7F7C"/>
    <w:rsid w:val="00AF04EE"/>
    <w:rsid w:val="00AF05B0"/>
    <w:rsid w:val="00AF1B35"/>
    <w:rsid w:val="00AF2AE7"/>
    <w:rsid w:val="00AF4C33"/>
    <w:rsid w:val="00AF7DC2"/>
    <w:rsid w:val="00B0009E"/>
    <w:rsid w:val="00B00491"/>
    <w:rsid w:val="00B02BDA"/>
    <w:rsid w:val="00B04C68"/>
    <w:rsid w:val="00B057B0"/>
    <w:rsid w:val="00B07EE5"/>
    <w:rsid w:val="00B10C11"/>
    <w:rsid w:val="00B10C8C"/>
    <w:rsid w:val="00B132A6"/>
    <w:rsid w:val="00B136B8"/>
    <w:rsid w:val="00B13910"/>
    <w:rsid w:val="00B1613B"/>
    <w:rsid w:val="00B164E0"/>
    <w:rsid w:val="00B172CC"/>
    <w:rsid w:val="00B2023F"/>
    <w:rsid w:val="00B21748"/>
    <w:rsid w:val="00B30BB2"/>
    <w:rsid w:val="00B315AB"/>
    <w:rsid w:val="00B31E17"/>
    <w:rsid w:val="00B321ED"/>
    <w:rsid w:val="00B331C8"/>
    <w:rsid w:val="00B34526"/>
    <w:rsid w:val="00B34FAB"/>
    <w:rsid w:val="00B3588F"/>
    <w:rsid w:val="00B36AD4"/>
    <w:rsid w:val="00B374C9"/>
    <w:rsid w:val="00B37A76"/>
    <w:rsid w:val="00B40C80"/>
    <w:rsid w:val="00B410A1"/>
    <w:rsid w:val="00B41FCE"/>
    <w:rsid w:val="00B42300"/>
    <w:rsid w:val="00B4309B"/>
    <w:rsid w:val="00B4344E"/>
    <w:rsid w:val="00B43B05"/>
    <w:rsid w:val="00B44C72"/>
    <w:rsid w:val="00B4673F"/>
    <w:rsid w:val="00B50028"/>
    <w:rsid w:val="00B51221"/>
    <w:rsid w:val="00B51F20"/>
    <w:rsid w:val="00B53A6D"/>
    <w:rsid w:val="00B54004"/>
    <w:rsid w:val="00B55C64"/>
    <w:rsid w:val="00B567F1"/>
    <w:rsid w:val="00B57E33"/>
    <w:rsid w:val="00B607E9"/>
    <w:rsid w:val="00B61316"/>
    <w:rsid w:val="00B61464"/>
    <w:rsid w:val="00B621C4"/>
    <w:rsid w:val="00B62537"/>
    <w:rsid w:val="00B66BF6"/>
    <w:rsid w:val="00B74221"/>
    <w:rsid w:val="00B75BA2"/>
    <w:rsid w:val="00B777E9"/>
    <w:rsid w:val="00B802A0"/>
    <w:rsid w:val="00B80D24"/>
    <w:rsid w:val="00B839D9"/>
    <w:rsid w:val="00B83B6D"/>
    <w:rsid w:val="00B86660"/>
    <w:rsid w:val="00B868AD"/>
    <w:rsid w:val="00B86A97"/>
    <w:rsid w:val="00B86D02"/>
    <w:rsid w:val="00B8751F"/>
    <w:rsid w:val="00B9252B"/>
    <w:rsid w:val="00B9496D"/>
    <w:rsid w:val="00B94D00"/>
    <w:rsid w:val="00B97E23"/>
    <w:rsid w:val="00BA211C"/>
    <w:rsid w:val="00BA3019"/>
    <w:rsid w:val="00BA381E"/>
    <w:rsid w:val="00BA40FA"/>
    <w:rsid w:val="00BA5EE8"/>
    <w:rsid w:val="00BA6F25"/>
    <w:rsid w:val="00BA727C"/>
    <w:rsid w:val="00BA7E94"/>
    <w:rsid w:val="00BB02B1"/>
    <w:rsid w:val="00BB2881"/>
    <w:rsid w:val="00BB4DAD"/>
    <w:rsid w:val="00BB648D"/>
    <w:rsid w:val="00BB7661"/>
    <w:rsid w:val="00BC0110"/>
    <w:rsid w:val="00BC0D75"/>
    <w:rsid w:val="00BC1B3A"/>
    <w:rsid w:val="00BC1B85"/>
    <w:rsid w:val="00BC54A5"/>
    <w:rsid w:val="00BC67C7"/>
    <w:rsid w:val="00BC6882"/>
    <w:rsid w:val="00BC6CF7"/>
    <w:rsid w:val="00BC702B"/>
    <w:rsid w:val="00BC721F"/>
    <w:rsid w:val="00BC743E"/>
    <w:rsid w:val="00BC7831"/>
    <w:rsid w:val="00BC7942"/>
    <w:rsid w:val="00BD36AD"/>
    <w:rsid w:val="00BD3D45"/>
    <w:rsid w:val="00BD52B2"/>
    <w:rsid w:val="00BD59EE"/>
    <w:rsid w:val="00BD7165"/>
    <w:rsid w:val="00BD79EF"/>
    <w:rsid w:val="00BE0961"/>
    <w:rsid w:val="00BE53C1"/>
    <w:rsid w:val="00BE5526"/>
    <w:rsid w:val="00BE5B49"/>
    <w:rsid w:val="00BF0734"/>
    <w:rsid w:val="00BF3CF2"/>
    <w:rsid w:val="00BF4432"/>
    <w:rsid w:val="00BF4F0D"/>
    <w:rsid w:val="00BF5A26"/>
    <w:rsid w:val="00BF675C"/>
    <w:rsid w:val="00C003A6"/>
    <w:rsid w:val="00C0075B"/>
    <w:rsid w:val="00C01076"/>
    <w:rsid w:val="00C04030"/>
    <w:rsid w:val="00C05227"/>
    <w:rsid w:val="00C052EF"/>
    <w:rsid w:val="00C06ABA"/>
    <w:rsid w:val="00C06B7D"/>
    <w:rsid w:val="00C119D4"/>
    <w:rsid w:val="00C128B0"/>
    <w:rsid w:val="00C13004"/>
    <w:rsid w:val="00C138AC"/>
    <w:rsid w:val="00C1475B"/>
    <w:rsid w:val="00C15B24"/>
    <w:rsid w:val="00C168E8"/>
    <w:rsid w:val="00C204C5"/>
    <w:rsid w:val="00C20E9C"/>
    <w:rsid w:val="00C20FBF"/>
    <w:rsid w:val="00C24107"/>
    <w:rsid w:val="00C24489"/>
    <w:rsid w:val="00C245A5"/>
    <w:rsid w:val="00C25006"/>
    <w:rsid w:val="00C25869"/>
    <w:rsid w:val="00C25979"/>
    <w:rsid w:val="00C30492"/>
    <w:rsid w:val="00C305C4"/>
    <w:rsid w:val="00C316AC"/>
    <w:rsid w:val="00C31C99"/>
    <w:rsid w:val="00C33530"/>
    <w:rsid w:val="00C34599"/>
    <w:rsid w:val="00C36076"/>
    <w:rsid w:val="00C372EA"/>
    <w:rsid w:val="00C37492"/>
    <w:rsid w:val="00C40592"/>
    <w:rsid w:val="00C41913"/>
    <w:rsid w:val="00C4202D"/>
    <w:rsid w:val="00C42084"/>
    <w:rsid w:val="00C4373C"/>
    <w:rsid w:val="00C45D7A"/>
    <w:rsid w:val="00C4734C"/>
    <w:rsid w:val="00C47935"/>
    <w:rsid w:val="00C501EE"/>
    <w:rsid w:val="00C50DDB"/>
    <w:rsid w:val="00C50DF9"/>
    <w:rsid w:val="00C542DF"/>
    <w:rsid w:val="00C54849"/>
    <w:rsid w:val="00C54CF3"/>
    <w:rsid w:val="00C559D5"/>
    <w:rsid w:val="00C57975"/>
    <w:rsid w:val="00C606D2"/>
    <w:rsid w:val="00C6084A"/>
    <w:rsid w:val="00C609AD"/>
    <w:rsid w:val="00C61873"/>
    <w:rsid w:val="00C62A6A"/>
    <w:rsid w:val="00C64071"/>
    <w:rsid w:val="00C6493F"/>
    <w:rsid w:val="00C64FBB"/>
    <w:rsid w:val="00C66CBF"/>
    <w:rsid w:val="00C67C2A"/>
    <w:rsid w:val="00C7005B"/>
    <w:rsid w:val="00C70795"/>
    <w:rsid w:val="00C71550"/>
    <w:rsid w:val="00C71781"/>
    <w:rsid w:val="00C72CCE"/>
    <w:rsid w:val="00C75D15"/>
    <w:rsid w:val="00C76092"/>
    <w:rsid w:val="00C7646D"/>
    <w:rsid w:val="00C766CA"/>
    <w:rsid w:val="00C767BA"/>
    <w:rsid w:val="00C7787A"/>
    <w:rsid w:val="00C80106"/>
    <w:rsid w:val="00C82071"/>
    <w:rsid w:val="00C82CF2"/>
    <w:rsid w:val="00C82EBB"/>
    <w:rsid w:val="00C830AE"/>
    <w:rsid w:val="00C83882"/>
    <w:rsid w:val="00C8482C"/>
    <w:rsid w:val="00C856B2"/>
    <w:rsid w:val="00C86129"/>
    <w:rsid w:val="00C8623B"/>
    <w:rsid w:val="00C875F9"/>
    <w:rsid w:val="00C87F14"/>
    <w:rsid w:val="00C9097F"/>
    <w:rsid w:val="00C9140D"/>
    <w:rsid w:val="00C922EA"/>
    <w:rsid w:val="00C9234E"/>
    <w:rsid w:val="00C94E36"/>
    <w:rsid w:val="00C954FB"/>
    <w:rsid w:val="00C97F16"/>
    <w:rsid w:val="00CA03D4"/>
    <w:rsid w:val="00CA17B8"/>
    <w:rsid w:val="00CA3303"/>
    <w:rsid w:val="00CA4699"/>
    <w:rsid w:val="00CA47E8"/>
    <w:rsid w:val="00CA50EE"/>
    <w:rsid w:val="00CA5EB3"/>
    <w:rsid w:val="00CA5EE5"/>
    <w:rsid w:val="00CA6531"/>
    <w:rsid w:val="00CB4678"/>
    <w:rsid w:val="00CB4A3D"/>
    <w:rsid w:val="00CC0475"/>
    <w:rsid w:val="00CC2837"/>
    <w:rsid w:val="00CC337E"/>
    <w:rsid w:val="00CC3704"/>
    <w:rsid w:val="00CC47C0"/>
    <w:rsid w:val="00CC6FD5"/>
    <w:rsid w:val="00CD00C0"/>
    <w:rsid w:val="00CD062F"/>
    <w:rsid w:val="00CD1BBB"/>
    <w:rsid w:val="00CD2494"/>
    <w:rsid w:val="00CD3812"/>
    <w:rsid w:val="00CD515E"/>
    <w:rsid w:val="00CD69BB"/>
    <w:rsid w:val="00CE04C5"/>
    <w:rsid w:val="00CE148D"/>
    <w:rsid w:val="00CE3BF6"/>
    <w:rsid w:val="00CE4641"/>
    <w:rsid w:val="00CE548E"/>
    <w:rsid w:val="00CE55D4"/>
    <w:rsid w:val="00CE56B5"/>
    <w:rsid w:val="00CE6752"/>
    <w:rsid w:val="00CE7E34"/>
    <w:rsid w:val="00CF3FC4"/>
    <w:rsid w:val="00CF45A2"/>
    <w:rsid w:val="00CF5B4C"/>
    <w:rsid w:val="00D012B3"/>
    <w:rsid w:val="00D01D1A"/>
    <w:rsid w:val="00D05AD9"/>
    <w:rsid w:val="00D06DA9"/>
    <w:rsid w:val="00D07F3C"/>
    <w:rsid w:val="00D10FCC"/>
    <w:rsid w:val="00D1144D"/>
    <w:rsid w:val="00D11760"/>
    <w:rsid w:val="00D11FFD"/>
    <w:rsid w:val="00D14D79"/>
    <w:rsid w:val="00D1645F"/>
    <w:rsid w:val="00D16476"/>
    <w:rsid w:val="00D17867"/>
    <w:rsid w:val="00D22343"/>
    <w:rsid w:val="00D2292F"/>
    <w:rsid w:val="00D22D07"/>
    <w:rsid w:val="00D22F36"/>
    <w:rsid w:val="00D23031"/>
    <w:rsid w:val="00D23AFB"/>
    <w:rsid w:val="00D252C0"/>
    <w:rsid w:val="00D25CB6"/>
    <w:rsid w:val="00D307B4"/>
    <w:rsid w:val="00D30A59"/>
    <w:rsid w:val="00D319B9"/>
    <w:rsid w:val="00D31DD4"/>
    <w:rsid w:val="00D32239"/>
    <w:rsid w:val="00D324DE"/>
    <w:rsid w:val="00D32945"/>
    <w:rsid w:val="00D32C85"/>
    <w:rsid w:val="00D33018"/>
    <w:rsid w:val="00D330A8"/>
    <w:rsid w:val="00D33DD9"/>
    <w:rsid w:val="00D347C8"/>
    <w:rsid w:val="00D3628B"/>
    <w:rsid w:val="00D36A6D"/>
    <w:rsid w:val="00D36E38"/>
    <w:rsid w:val="00D370AF"/>
    <w:rsid w:val="00D37180"/>
    <w:rsid w:val="00D4220C"/>
    <w:rsid w:val="00D4222F"/>
    <w:rsid w:val="00D4279B"/>
    <w:rsid w:val="00D4439C"/>
    <w:rsid w:val="00D46558"/>
    <w:rsid w:val="00D46653"/>
    <w:rsid w:val="00D53711"/>
    <w:rsid w:val="00D54067"/>
    <w:rsid w:val="00D54077"/>
    <w:rsid w:val="00D55642"/>
    <w:rsid w:val="00D55869"/>
    <w:rsid w:val="00D622BE"/>
    <w:rsid w:val="00D627B3"/>
    <w:rsid w:val="00D62AC8"/>
    <w:rsid w:val="00D65DC0"/>
    <w:rsid w:val="00D663E8"/>
    <w:rsid w:val="00D70A88"/>
    <w:rsid w:val="00D70BF1"/>
    <w:rsid w:val="00D7276B"/>
    <w:rsid w:val="00D72D9F"/>
    <w:rsid w:val="00D732EE"/>
    <w:rsid w:val="00D73467"/>
    <w:rsid w:val="00D7498D"/>
    <w:rsid w:val="00D7727B"/>
    <w:rsid w:val="00D777D3"/>
    <w:rsid w:val="00D805A7"/>
    <w:rsid w:val="00D8169F"/>
    <w:rsid w:val="00D82558"/>
    <w:rsid w:val="00D827A4"/>
    <w:rsid w:val="00D83567"/>
    <w:rsid w:val="00D84537"/>
    <w:rsid w:val="00D84B7B"/>
    <w:rsid w:val="00D84EDA"/>
    <w:rsid w:val="00D86028"/>
    <w:rsid w:val="00D877AD"/>
    <w:rsid w:val="00D87B94"/>
    <w:rsid w:val="00D87F13"/>
    <w:rsid w:val="00D90A8D"/>
    <w:rsid w:val="00D914D9"/>
    <w:rsid w:val="00D91AEC"/>
    <w:rsid w:val="00D964AB"/>
    <w:rsid w:val="00D96EB9"/>
    <w:rsid w:val="00D97321"/>
    <w:rsid w:val="00D97600"/>
    <w:rsid w:val="00DA13B5"/>
    <w:rsid w:val="00DA20BE"/>
    <w:rsid w:val="00DA2B4C"/>
    <w:rsid w:val="00DA4CC3"/>
    <w:rsid w:val="00DB2D2C"/>
    <w:rsid w:val="00DB366C"/>
    <w:rsid w:val="00DB40CF"/>
    <w:rsid w:val="00DB5B7B"/>
    <w:rsid w:val="00DB6875"/>
    <w:rsid w:val="00DC039F"/>
    <w:rsid w:val="00DC0C10"/>
    <w:rsid w:val="00DC0F3F"/>
    <w:rsid w:val="00DC1415"/>
    <w:rsid w:val="00DC1C83"/>
    <w:rsid w:val="00DC3C3B"/>
    <w:rsid w:val="00DC5DFD"/>
    <w:rsid w:val="00DC6778"/>
    <w:rsid w:val="00DC6BA7"/>
    <w:rsid w:val="00DC6C4B"/>
    <w:rsid w:val="00DC72C9"/>
    <w:rsid w:val="00DD06CF"/>
    <w:rsid w:val="00DD2B91"/>
    <w:rsid w:val="00DD40CD"/>
    <w:rsid w:val="00DD46CC"/>
    <w:rsid w:val="00DD48A4"/>
    <w:rsid w:val="00DD6285"/>
    <w:rsid w:val="00DD7E57"/>
    <w:rsid w:val="00DE0F37"/>
    <w:rsid w:val="00DE2191"/>
    <w:rsid w:val="00DE29EB"/>
    <w:rsid w:val="00DE4240"/>
    <w:rsid w:val="00DE5657"/>
    <w:rsid w:val="00DE7C30"/>
    <w:rsid w:val="00DEA730"/>
    <w:rsid w:val="00DF0461"/>
    <w:rsid w:val="00DF0DA9"/>
    <w:rsid w:val="00DF166F"/>
    <w:rsid w:val="00DF17CE"/>
    <w:rsid w:val="00DF48F1"/>
    <w:rsid w:val="00DF59B1"/>
    <w:rsid w:val="00DF5B1D"/>
    <w:rsid w:val="00DF66DB"/>
    <w:rsid w:val="00DF7548"/>
    <w:rsid w:val="00E00E3F"/>
    <w:rsid w:val="00E019C8"/>
    <w:rsid w:val="00E044A4"/>
    <w:rsid w:val="00E04929"/>
    <w:rsid w:val="00E104AC"/>
    <w:rsid w:val="00E10DB9"/>
    <w:rsid w:val="00E1103F"/>
    <w:rsid w:val="00E114E7"/>
    <w:rsid w:val="00E11E2C"/>
    <w:rsid w:val="00E1313B"/>
    <w:rsid w:val="00E1504D"/>
    <w:rsid w:val="00E15C39"/>
    <w:rsid w:val="00E170BB"/>
    <w:rsid w:val="00E17AF9"/>
    <w:rsid w:val="00E17E7A"/>
    <w:rsid w:val="00E20980"/>
    <w:rsid w:val="00E2141B"/>
    <w:rsid w:val="00E226E3"/>
    <w:rsid w:val="00E2273F"/>
    <w:rsid w:val="00E22DF9"/>
    <w:rsid w:val="00E236C0"/>
    <w:rsid w:val="00E2401E"/>
    <w:rsid w:val="00E244D6"/>
    <w:rsid w:val="00E24C33"/>
    <w:rsid w:val="00E2741B"/>
    <w:rsid w:val="00E27897"/>
    <w:rsid w:val="00E31D9E"/>
    <w:rsid w:val="00E34285"/>
    <w:rsid w:val="00E355D5"/>
    <w:rsid w:val="00E36200"/>
    <w:rsid w:val="00E418DE"/>
    <w:rsid w:val="00E41D26"/>
    <w:rsid w:val="00E4310A"/>
    <w:rsid w:val="00E43454"/>
    <w:rsid w:val="00E44653"/>
    <w:rsid w:val="00E45A5B"/>
    <w:rsid w:val="00E46AA9"/>
    <w:rsid w:val="00E50234"/>
    <w:rsid w:val="00E518D2"/>
    <w:rsid w:val="00E5282E"/>
    <w:rsid w:val="00E52CD8"/>
    <w:rsid w:val="00E5536A"/>
    <w:rsid w:val="00E5715A"/>
    <w:rsid w:val="00E57AEB"/>
    <w:rsid w:val="00E57FB6"/>
    <w:rsid w:val="00E62675"/>
    <w:rsid w:val="00E62E19"/>
    <w:rsid w:val="00E6607C"/>
    <w:rsid w:val="00E7098B"/>
    <w:rsid w:val="00E70E1C"/>
    <w:rsid w:val="00E71693"/>
    <w:rsid w:val="00E75EC9"/>
    <w:rsid w:val="00E771F5"/>
    <w:rsid w:val="00E773F9"/>
    <w:rsid w:val="00E77B2E"/>
    <w:rsid w:val="00E80E07"/>
    <w:rsid w:val="00E824C2"/>
    <w:rsid w:val="00E833BB"/>
    <w:rsid w:val="00E83D88"/>
    <w:rsid w:val="00E853B2"/>
    <w:rsid w:val="00E865E8"/>
    <w:rsid w:val="00E8710E"/>
    <w:rsid w:val="00E8720A"/>
    <w:rsid w:val="00E87729"/>
    <w:rsid w:val="00E90AC2"/>
    <w:rsid w:val="00E91CF0"/>
    <w:rsid w:val="00E9237A"/>
    <w:rsid w:val="00E92A3B"/>
    <w:rsid w:val="00E92C35"/>
    <w:rsid w:val="00E9334A"/>
    <w:rsid w:val="00E93AD7"/>
    <w:rsid w:val="00E948AC"/>
    <w:rsid w:val="00E94980"/>
    <w:rsid w:val="00E96B62"/>
    <w:rsid w:val="00E96BD7"/>
    <w:rsid w:val="00EA1A83"/>
    <w:rsid w:val="00EA1CA8"/>
    <w:rsid w:val="00EA3565"/>
    <w:rsid w:val="00EA5EB7"/>
    <w:rsid w:val="00EA61F8"/>
    <w:rsid w:val="00EA6B6E"/>
    <w:rsid w:val="00EB1B9A"/>
    <w:rsid w:val="00EB1D85"/>
    <w:rsid w:val="00EB2DEB"/>
    <w:rsid w:val="00EB39A8"/>
    <w:rsid w:val="00EB5414"/>
    <w:rsid w:val="00EB5986"/>
    <w:rsid w:val="00EB634B"/>
    <w:rsid w:val="00EB7230"/>
    <w:rsid w:val="00EB7A99"/>
    <w:rsid w:val="00EC0735"/>
    <w:rsid w:val="00EC1CF7"/>
    <w:rsid w:val="00EC61D8"/>
    <w:rsid w:val="00EC6657"/>
    <w:rsid w:val="00EC6A9D"/>
    <w:rsid w:val="00EC7095"/>
    <w:rsid w:val="00ED0E31"/>
    <w:rsid w:val="00ED1796"/>
    <w:rsid w:val="00ED22BF"/>
    <w:rsid w:val="00ED3822"/>
    <w:rsid w:val="00ED3F50"/>
    <w:rsid w:val="00ED62B6"/>
    <w:rsid w:val="00ED7973"/>
    <w:rsid w:val="00EE01FB"/>
    <w:rsid w:val="00EE19AB"/>
    <w:rsid w:val="00EE255C"/>
    <w:rsid w:val="00EE6DA5"/>
    <w:rsid w:val="00EE7E2F"/>
    <w:rsid w:val="00EF155D"/>
    <w:rsid w:val="00EF280D"/>
    <w:rsid w:val="00EF503A"/>
    <w:rsid w:val="00EF5710"/>
    <w:rsid w:val="00EF7864"/>
    <w:rsid w:val="00F018C3"/>
    <w:rsid w:val="00F01FB1"/>
    <w:rsid w:val="00F04338"/>
    <w:rsid w:val="00F052A1"/>
    <w:rsid w:val="00F063B5"/>
    <w:rsid w:val="00F06FF2"/>
    <w:rsid w:val="00F1000A"/>
    <w:rsid w:val="00F100B8"/>
    <w:rsid w:val="00F109F9"/>
    <w:rsid w:val="00F12881"/>
    <w:rsid w:val="00F13C05"/>
    <w:rsid w:val="00F13F6A"/>
    <w:rsid w:val="00F17EBA"/>
    <w:rsid w:val="00F205F3"/>
    <w:rsid w:val="00F214F9"/>
    <w:rsid w:val="00F21E8F"/>
    <w:rsid w:val="00F22DA6"/>
    <w:rsid w:val="00F237EB"/>
    <w:rsid w:val="00F24EAF"/>
    <w:rsid w:val="00F2578B"/>
    <w:rsid w:val="00F26023"/>
    <w:rsid w:val="00F27D06"/>
    <w:rsid w:val="00F30AFE"/>
    <w:rsid w:val="00F3155A"/>
    <w:rsid w:val="00F3377E"/>
    <w:rsid w:val="00F34AFE"/>
    <w:rsid w:val="00F34D21"/>
    <w:rsid w:val="00F34E99"/>
    <w:rsid w:val="00F35112"/>
    <w:rsid w:val="00F36295"/>
    <w:rsid w:val="00F405D7"/>
    <w:rsid w:val="00F409D3"/>
    <w:rsid w:val="00F419F6"/>
    <w:rsid w:val="00F424A9"/>
    <w:rsid w:val="00F4296B"/>
    <w:rsid w:val="00F43802"/>
    <w:rsid w:val="00F43F5C"/>
    <w:rsid w:val="00F5196A"/>
    <w:rsid w:val="00F52216"/>
    <w:rsid w:val="00F53CF8"/>
    <w:rsid w:val="00F54593"/>
    <w:rsid w:val="00F560ED"/>
    <w:rsid w:val="00F60A8A"/>
    <w:rsid w:val="00F644E2"/>
    <w:rsid w:val="00F64E20"/>
    <w:rsid w:val="00F6630E"/>
    <w:rsid w:val="00F71EE1"/>
    <w:rsid w:val="00F72043"/>
    <w:rsid w:val="00F74925"/>
    <w:rsid w:val="00F74E71"/>
    <w:rsid w:val="00F83C59"/>
    <w:rsid w:val="00F84669"/>
    <w:rsid w:val="00F87013"/>
    <w:rsid w:val="00F8B4F8"/>
    <w:rsid w:val="00F905C6"/>
    <w:rsid w:val="00F915C9"/>
    <w:rsid w:val="00F92887"/>
    <w:rsid w:val="00F9576E"/>
    <w:rsid w:val="00F965AE"/>
    <w:rsid w:val="00F969C9"/>
    <w:rsid w:val="00F97AFD"/>
    <w:rsid w:val="00F97E4F"/>
    <w:rsid w:val="00FA0675"/>
    <w:rsid w:val="00FA074E"/>
    <w:rsid w:val="00FA0C4C"/>
    <w:rsid w:val="00FA114B"/>
    <w:rsid w:val="00FA1DFD"/>
    <w:rsid w:val="00FA35D1"/>
    <w:rsid w:val="00FA6E41"/>
    <w:rsid w:val="00FA72AF"/>
    <w:rsid w:val="00FA7FDC"/>
    <w:rsid w:val="00FB1D4C"/>
    <w:rsid w:val="00FB2A48"/>
    <w:rsid w:val="00FB429A"/>
    <w:rsid w:val="00FB43DE"/>
    <w:rsid w:val="00FB7086"/>
    <w:rsid w:val="00FB73C6"/>
    <w:rsid w:val="00FB872C"/>
    <w:rsid w:val="00FC07FD"/>
    <w:rsid w:val="00FC14A4"/>
    <w:rsid w:val="00FC161D"/>
    <w:rsid w:val="00FC1E61"/>
    <w:rsid w:val="00FC3513"/>
    <w:rsid w:val="00FC49AA"/>
    <w:rsid w:val="00FC5103"/>
    <w:rsid w:val="00FC5B21"/>
    <w:rsid w:val="00FC63D8"/>
    <w:rsid w:val="00FC7CF9"/>
    <w:rsid w:val="00FD070A"/>
    <w:rsid w:val="00FD0CBE"/>
    <w:rsid w:val="00FD26CC"/>
    <w:rsid w:val="00FD33FA"/>
    <w:rsid w:val="00FD35C1"/>
    <w:rsid w:val="00FD4074"/>
    <w:rsid w:val="00FD4214"/>
    <w:rsid w:val="00FD7A59"/>
    <w:rsid w:val="00FD7AB5"/>
    <w:rsid w:val="00FD7D68"/>
    <w:rsid w:val="00FE3ED2"/>
    <w:rsid w:val="00FE48DA"/>
    <w:rsid w:val="00FE61EC"/>
    <w:rsid w:val="00FE6705"/>
    <w:rsid w:val="00FE7D50"/>
    <w:rsid w:val="00FE7FD9"/>
    <w:rsid w:val="00FF1830"/>
    <w:rsid w:val="00FF3784"/>
    <w:rsid w:val="00FF4AF1"/>
    <w:rsid w:val="00FF56E5"/>
    <w:rsid w:val="00FF5F67"/>
    <w:rsid w:val="00FF6FB1"/>
    <w:rsid w:val="00FF781A"/>
    <w:rsid w:val="01173C4D"/>
    <w:rsid w:val="01198C74"/>
    <w:rsid w:val="0156E05C"/>
    <w:rsid w:val="016D2377"/>
    <w:rsid w:val="01797A62"/>
    <w:rsid w:val="017F4500"/>
    <w:rsid w:val="018457B9"/>
    <w:rsid w:val="018CFD13"/>
    <w:rsid w:val="01A03003"/>
    <w:rsid w:val="01A1B18C"/>
    <w:rsid w:val="01AF5137"/>
    <w:rsid w:val="01B73E64"/>
    <w:rsid w:val="01BFC77F"/>
    <w:rsid w:val="01CB658C"/>
    <w:rsid w:val="01CD349F"/>
    <w:rsid w:val="01E8E857"/>
    <w:rsid w:val="020C8611"/>
    <w:rsid w:val="024775CF"/>
    <w:rsid w:val="02546400"/>
    <w:rsid w:val="0255FE81"/>
    <w:rsid w:val="027D7688"/>
    <w:rsid w:val="028709F1"/>
    <w:rsid w:val="028FCA94"/>
    <w:rsid w:val="02AF894E"/>
    <w:rsid w:val="02B55CD5"/>
    <w:rsid w:val="02D0B4EA"/>
    <w:rsid w:val="02DB63FC"/>
    <w:rsid w:val="02E7BE2C"/>
    <w:rsid w:val="02EAA264"/>
    <w:rsid w:val="03002B41"/>
    <w:rsid w:val="0300C693"/>
    <w:rsid w:val="03461E4F"/>
    <w:rsid w:val="0350DA9D"/>
    <w:rsid w:val="0355B625"/>
    <w:rsid w:val="035B97E0"/>
    <w:rsid w:val="036C1151"/>
    <w:rsid w:val="039A404A"/>
    <w:rsid w:val="03B5F308"/>
    <w:rsid w:val="03B7CFBC"/>
    <w:rsid w:val="03E15DE5"/>
    <w:rsid w:val="03FB1C33"/>
    <w:rsid w:val="03FECD5B"/>
    <w:rsid w:val="040A2B8E"/>
    <w:rsid w:val="0423CA19"/>
    <w:rsid w:val="04261293"/>
    <w:rsid w:val="042A708F"/>
    <w:rsid w:val="04476B70"/>
    <w:rsid w:val="044CBAD6"/>
    <w:rsid w:val="045CB392"/>
    <w:rsid w:val="0463B93F"/>
    <w:rsid w:val="04670CF0"/>
    <w:rsid w:val="04822B40"/>
    <w:rsid w:val="04940A72"/>
    <w:rsid w:val="0498D609"/>
    <w:rsid w:val="04DE3FE4"/>
    <w:rsid w:val="04EC7ACB"/>
    <w:rsid w:val="04FB9CA1"/>
    <w:rsid w:val="0510F44A"/>
    <w:rsid w:val="051B98C4"/>
    <w:rsid w:val="053DC509"/>
    <w:rsid w:val="05422529"/>
    <w:rsid w:val="0556CF2D"/>
    <w:rsid w:val="059187DC"/>
    <w:rsid w:val="059BEEED"/>
    <w:rsid w:val="05E01680"/>
    <w:rsid w:val="05EF2D4F"/>
    <w:rsid w:val="061A7B03"/>
    <w:rsid w:val="062FD888"/>
    <w:rsid w:val="064F59D9"/>
    <w:rsid w:val="065E53A8"/>
    <w:rsid w:val="068422BB"/>
    <w:rsid w:val="0696484A"/>
    <w:rsid w:val="0699215C"/>
    <w:rsid w:val="069ADED8"/>
    <w:rsid w:val="069E405B"/>
    <w:rsid w:val="06A8A7D9"/>
    <w:rsid w:val="06A9D755"/>
    <w:rsid w:val="06B768B8"/>
    <w:rsid w:val="06BB786B"/>
    <w:rsid w:val="06BEC8B9"/>
    <w:rsid w:val="06C2F83C"/>
    <w:rsid w:val="0702DF34"/>
    <w:rsid w:val="07096403"/>
    <w:rsid w:val="074EA0EF"/>
    <w:rsid w:val="074FD6BD"/>
    <w:rsid w:val="07625796"/>
    <w:rsid w:val="077BE6E1"/>
    <w:rsid w:val="077CFB8C"/>
    <w:rsid w:val="0789B708"/>
    <w:rsid w:val="078A15C8"/>
    <w:rsid w:val="07921FF4"/>
    <w:rsid w:val="07E2B7E9"/>
    <w:rsid w:val="07E33FFA"/>
    <w:rsid w:val="07F4DF78"/>
    <w:rsid w:val="080866D2"/>
    <w:rsid w:val="080F7187"/>
    <w:rsid w:val="082E7FD1"/>
    <w:rsid w:val="082EAED0"/>
    <w:rsid w:val="08533919"/>
    <w:rsid w:val="085C1530"/>
    <w:rsid w:val="0869C6F6"/>
    <w:rsid w:val="08737920"/>
    <w:rsid w:val="08972FDE"/>
    <w:rsid w:val="08E10EC7"/>
    <w:rsid w:val="08F70701"/>
    <w:rsid w:val="0917B742"/>
    <w:rsid w:val="091F1263"/>
    <w:rsid w:val="092494A9"/>
    <w:rsid w:val="092DF055"/>
    <w:rsid w:val="09317D23"/>
    <w:rsid w:val="09344A6C"/>
    <w:rsid w:val="09397E55"/>
    <w:rsid w:val="093EF8D5"/>
    <w:rsid w:val="0942EA3F"/>
    <w:rsid w:val="094BC38C"/>
    <w:rsid w:val="09551C94"/>
    <w:rsid w:val="0971E0FA"/>
    <w:rsid w:val="0972770A"/>
    <w:rsid w:val="0979A4B8"/>
    <w:rsid w:val="097DD22A"/>
    <w:rsid w:val="099A9E1A"/>
    <w:rsid w:val="09A7D935"/>
    <w:rsid w:val="09C23AEA"/>
    <w:rsid w:val="09DEFDC0"/>
    <w:rsid w:val="09E17817"/>
    <w:rsid w:val="09E72556"/>
    <w:rsid w:val="0A440CBD"/>
    <w:rsid w:val="0A5A94B3"/>
    <w:rsid w:val="0A5F749E"/>
    <w:rsid w:val="0A6C1401"/>
    <w:rsid w:val="0A6DC440"/>
    <w:rsid w:val="0A9106F3"/>
    <w:rsid w:val="0A9304F7"/>
    <w:rsid w:val="0AACD55D"/>
    <w:rsid w:val="0ABF1D35"/>
    <w:rsid w:val="0ACE2E9B"/>
    <w:rsid w:val="0B021B30"/>
    <w:rsid w:val="0B298DE5"/>
    <w:rsid w:val="0B43815F"/>
    <w:rsid w:val="0B5C1CAF"/>
    <w:rsid w:val="0B8FC470"/>
    <w:rsid w:val="0BB431AD"/>
    <w:rsid w:val="0BD7F11F"/>
    <w:rsid w:val="0BDD4FF3"/>
    <w:rsid w:val="0BFCF58A"/>
    <w:rsid w:val="0C1A81B1"/>
    <w:rsid w:val="0C2E49AC"/>
    <w:rsid w:val="0C622535"/>
    <w:rsid w:val="0C710B6B"/>
    <w:rsid w:val="0C7A8B01"/>
    <w:rsid w:val="0C9DEB91"/>
    <w:rsid w:val="0CB7CED5"/>
    <w:rsid w:val="0CB82C6E"/>
    <w:rsid w:val="0CC4DEC5"/>
    <w:rsid w:val="0CCC061F"/>
    <w:rsid w:val="0CF87A1D"/>
    <w:rsid w:val="0CFD2DB4"/>
    <w:rsid w:val="0CFF434B"/>
    <w:rsid w:val="0D015C0F"/>
    <w:rsid w:val="0D0E2B8D"/>
    <w:rsid w:val="0D110203"/>
    <w:rsid w:val="0D180467"/>
    <w:rsid w:val="0D190817"/>
    <w:rsid w:val="0D1918D9"/>
    <w:rsid w:val="0D2DA196"/>
    <w:rsid w:val="0D406C2A"/>
    <w:rsid w:val="0D4B8AB4"/>
    <w:rsid w:val="0D55C73A"/>
    <w:rsid w:val="0D66D34F"/>
    <w:rsid w:val="0D6F17CE"/>
    <w:rsid w:val="0D73C180"/>
    <w:rsid w:val="0D8595EA"/>
    <w:rsid w:val="0D98C5EB"/>
    <w:rsid w:val="0DA9EBFF"/>
    <w:rsid w:val="0DC432EA"/>
    <w:rsid w:val="0DFFFD02"/>
    <w:rsid w:val="0E060682"/>
    <w:rsid w:val="0E268FF2"/>
    <w:rsid w:val="0E332EA0"/>
    <w:rsid w:val="0E4674B7"/>
    <w:rsid w:val="0E5E4861"/>
    <w:rsid w:val="0E5FE519"/>
    <w:rsid w:val="0E7B2221"/>
    <w:rsid w:val="0E849B58"/>
    <w:rsid w:val="0EB3B9BE"/>
    <w:rsid w:val="0EB96D51"/>
    <w:rsid w:val="0EBD52B2"/>
    <w:rsid w:val="0EC30682"/>
    <w:rsid w:val="0EE50259"/>
    <w:rsid w:val="0F34964C"/>
    <w:rsid w:val="0F3AC717"/>
    <w:rsid w:val="0F50504B"/>
    <w:rsid w:val="0F5306E2"/>
    <w:rsid w:val="0F5EF372"/>
    <w:rsid w:val="0F711A8E"/>
    <w:rsid w:val="0F80CC7F"/>
    <w:rsid w:val="0F872004"/>
    <w:rsid w:val="0F8DD958"/>
    <w:rsid w:val="0F9681EA"/>
    <w:rsid w:val="0FA834EC"/>
    <w:rsid w:val="0FB63DFD"/>
    <w:rsid w:val="0FBC6C71"/>
    <w:rsid w:val="0FD617F5"/>
    <w:rsid w:val="0FE45C45"/>
    <w:rsid w:val="0FEFCD30"/>
    <w:rsid w:val="100A2206"/>
    <w:rsid w:val="102EAA33"/>
    <w:rsid w:val="10651AA7"/>
    <w:rsid w:val="1081E502"/>
    <w:rsid w:val="1089AB4A"/>
    <w:rsid w:val="10A903EC"/>
    <w:rsid w:val="10B17927"/>
    <w:rsid w:val="10D127D0"/>
    <w:rsid w:val="110E465F"/>
    <w:rsid w:val="111DEF4B"/>
    <w:rsid w:val="111E7567"/>
    <w:rsid w:val="112FBF4F"/>
    <w:rsid w:val="113BDC88"/>
    <w:rsid w:val="114B0853"/>
    <w:rsid w:val="11695ACF"/>
    <w:rsid w:val="116DFD6D"/>
    <w:rsid w:val="1187CD4C"/>
    <w:rsid w:val="11905F9C"/>
    <w:rsid w:val="119CA4AC"/>
    <w:rsid w:val="11A4F7E5"/>
    <w:rsid w:val="11BF1AC4"/>
    <w:rsid w:val="11DEFAC4"/>
    <w:rsid w:val="11E1F883"/>
    <w:rsid w:val="12061D77"/>
    <w:rsid w:val="120A0141"/>
    <w:rsid w:val="12168C1A"/>
    <w:rsid w:val="12237331"/>
    <w:rsid w:val="1268EF04"/>
    <w:rsid w:val="1274D9E8"/>
    <w:rsid w:val="127A364C"/>
    <w:rsid w:val="12901C29"/>
    <w:rsid w:val="12BCE5BA"/>
    <w:rsid w:val="12CC56AC"/>
    <w:rsid w:val="12CDB057"/>
    <w:rsid w:val="1312BCE5"/>
    <w:rsid w:val="131D4EA4"/>
    <w:rsid w:val="131D5CAF"/>
    <w:rsid w:val="132790E3"/>
    <w:rsid w:val="1337EC01"/>
    <w:rsid w:val="133C0DCF"/>
    <w:rsid w:val="1341C2C8"/>
    <w:rsid w:val="134F8F63"/>
    <w:rsid w:val="137A23FD"/>
    <w:rsid w:val="137DC8E4"/>
    <w:rsid w:val="1388C99C"/>
    <w:rsid w:val="138C1F60"/>
    <w:rsid w:val="139E2580"/>
    <w:rsid w:val="139E569E"/>
    <w:rsid w:val="13BDF20D"/>
    <w:rsid w:val="13D56584"/>
    <w:rsid w:val="13D80240"/>
    <w:rsid w:val="144097FD"/>
    <w:rsid w:val="1442A592"/>
    <w:rsid w:val="148B9A23"/>
    <w:rsid w:val="14A260C8"/>
    <w:rsid w:val="14A49F91"/>
    <w:rsid w:val="14C26C67"/>
    <w:rsid w:val="14C9EECC"/>
    <w:rsid w:val="14D3BC62"/>
    <w:rsid w:val="14E70889"/>
    <w:rsid w:val="14F36502"/>
    <w:rsid w:val="1542D896"/>
    <w:rsid w:val="1549CB0C"/>
    <w:rsid w:val="154EC9D8"/>
    <w:rsid w:val="1564FBD6"/>
    <w:rsid w:val="156CE63B"/>
    <w:rsid w:val="15824B05"/>
    <w:rsid w:val="158D8E1D"/>
    <w:rsid w:val="15A223E6"/>
    <w:rsid w:val="15AAE4E2"/>
    <w:rsid w:val="15BCC029"/>
    <w:rsid w:val="15EF025C"/>
    <w:rsid w:val="16025F5F"/>
    <w:rsid w:val="165F0EB4"/>
    <w:rsid w:val="16668785"/>
    <w:rsid w:val="1673AE91"/>
    <w:rsid w:val="1678EF4C"/>
    <w:rsid w:val="1690340F"/>
    <w:rsid w:val="16AF4CC5"/>
    <w:rsid w:val="16B975F1"/>
    <w:rsid w:val="16BECBA3"/>
    <w:rsid w:val="16C69163"/>
    <w:rsid w:val="16C874A2"/>
    <w:rsid w:val="16E7F552"/>
    <w:rsid w:val="16E8CEB7"/>
    <w:rsid w:val="16E8E907"/>
    <w:rsid w:val="16F3AAAB"/>
    <w:rsid w:val="16F9140C"/>
    <w:rsid w:val="17242332"/>
    <w:rsid w:val="17257EAC"/>
    <w:rsid w:val="1727E25E"/>
    <w:rsid w:val="173A5CDF"/>
    <w:rsid w:val="174B0B49"/>
    <w:rsid w:val="17585508"/>
    <w:rsid w:val="17604529"/>
    <w:rsid w:val="17636327"/>
    <w:rsid w:val="177EDBBF"/>
    <w:rsid w:val="17A58DC3"/>
    <w:rsid w:val="17B76EF8"/>
    <w:rsid w:val="17D66605"/>
    <w:rsid w:val="17DBA8DB"/>
    <w:rsid w:val="17DCB33C"/>
    <w:rsid w:val="17DCC1E0"/>
    <w:rsid w:val="17F06C73"/>
    <w:rsid w:val="180B5D24"/>
    <w:rsid w:val="1829F1ED"/>
    <w:rsid w:val="182F0460"/>
    <w:rsid w:val="18325D16"/>
    <w:rsid w:val="18328AB0"/>
    <w:rsid w:val="1851E2E3"/>
    <w:rsid w:val="18798C58"/>
    <w:rsid w:val="1892C99D"/>
    <w:rsid w:val="18B3BD9F"/>
    <w:rsid w:val="18C29268"/>
    <w:rsid w:val="18D62D40"/>
    <w:rsid w:val="18D83088"/>
    <w:rsid w:val="18F3E452"/>
    <w:rsid w:val="1903BB92"/>
    <w:rsid w:val="190BE169"/>
    <w:rsid w:val="191C8C27"/>
    <w:rsid w:val="195671D0"/>
    <w:rsid w:val="196EAEAE"/>
    <w:rsid w:val="1972B7B6"/>
    <w:rsid w:val="19898385"/>
    <w:rsid w:val="199A4DFA"/>
    <w:rsid w:val="19AB9343"/>
    <w:rsid w:val="19D09D44"/>
    <w:rsid w:val="19DC464A"/>
    <w:rsid w:val="19F66C65"/>
    <w:rsid w:val="1A0D4206"/>
    <w:rsid w:val="1A15C089"/>
    <w:rsid w:val="1A1A43D4"/>
    <w:rsid w:val="1A28B463"/>
    <w:rsid w:val="1A2F551F"/>
    <w:rsid w:val="1A31DDFD"/>
    <w:rsid w:val="1A508412"/>
    <w:rsid w:val="1A535CC1"/>
    <w:rsid w:val="1A5BF996"/>
    <w:rsid w:val="1A5C98FF"/>
    <w:rsid w:val="1A613068"/>
    <w:rsid w:val="1A70CADA"/>
    <w:rsid w:val="1A762027"/>
    <w:rsid w:val="1A76AC9B"/>
    <w:rsid w:val="1A781005"/>
    <w:rsid w:val="1A7F62C2"/>
    <w:rsid w:val="1AB197BB"/>
    <w:rsid w:val="1ABB05CB"/>
    <w:rsid w:val="1AC2BB15"/>
    <w:rsid w:val="1ACC21A7"/>
    <w:rsid w:val="1ADFC7DA"/>
    <w:rsid w:val="1AE6251E"/>
    <w:rsid w:val="1AF4DE6A"/>
    <w:rsid w:val="1AF73AA5"/>
    <w:rsid w:val="1AF810E7"/>
    <w:rsid w:val="1B007F06"/>
    <w:rsid w:val="1B04F670"/>
    <w:rsid w:val="1B0F998B"/>
    <w:rsid w:val="1B2E485A"/>
    <w:rsid w:val="1B5D6F62"/>
    <w:rsid w:val="1B89898B"/>
    <w:rsid w:val="1B8ACA6E"/>
    <w:rsid w:val="1B8C15D1"/>
    <w:rsid w:val="1BA1328F"/>
    <w:rsid w:val="1BB99E46"/>
    <w:rsid w:val="1BD026A3"/>
    <w:rsid w:val="1BD2F3C2"/>
    <w:rsid w:val="1BDDF24B"/>
    <w:rsid w:val="1BEC5473"/>
    <w:rsid w:val="1C24C179"/>
    <w:rsid w:val="1C3B5C54"/>
    <w:rsid w:val="1C47ABF5"/>
    <w:rsid w:val="1C9D4F33"/>
    <w:rsid w:val="1CC405CD"/>
    <w:rsid w:val="1CC70A49"/>
    <w:rsid w:val="1CF0C658"/>
    <w:rsid w:val="1D1E01CC"/>
    <w:rsid w:val="1D20EF22"/>
    <w:rsid w:val="1D2B939C"/>
    <w:rsid w:val="1D2E0D27"/>
    <w:rsid w:val="1D326F5E"/>
    <w:rsid w:val="1D4AAEC1"/>
    <w:rsid w:val="1D4D8569"/>
    <w:rsid w:val="1D54FD39"/>
    <w:rsid w:val="1D572FE9"/>
    <w:rsid w:val="1D62D082"/>
    <w:rsid w:val="1D687728"/>
    <w:rsid w:val="1D9858F4"/>
    <w:rsid w:val="1D98A002"/>
    <w:rsid w:val="1DB4CF6C"/>
    <w:rsid w:val="1DD3A10A"/>
    <w:rsid w:val="1DD829F9"/>
    <w:rsid w:val="1DDD3304"/>
    <w:rsid w:val="1E2D9A6D"/>
    <w:rsid w:val="1E32F383"/>
    <w:rsid w:val="1E3DBA03"/>
    <w:rsid w:val="1E48B198"/>
    <w:rsid w:val="1E5B9C9F"/>
    <w:rsid w:val="1E7EC076"/>
    <w:rsid w:val="1EA5BF13"/>
    <w:rsid w:val="1EC7E483"/>
    <w:rsid w:val="1ECD0E45"/>
    <w:rsid w:val="1F047E0C"/>
    <w:rsid w:val="1F11C3EA"/>
    <w:rsid w:val="1F332070"/>
    <w:rsid w:val="1F6663B2"/>
    <w:rsid w:val="1FAEA88A"/>
    <w:rsid w:val="1FBE9205"/>
    <w:rsid w:val="2023CD15"/>
    <w:rsid w:val="2029AACA"/>
    <w:rsid w:val="202F8500"/>
    <w:rsid w:val="20361E57"/>
    <w:rsid w:val="203E7D09"/>
    <w:rsid w:val="203FEB7B"/>
    <w:rsid w:val="20588FE4"/>
    <w:rsid w:val="2075AF3B"/>
    <w:rsid w:val="207C5C1C"/>
    <w:rsid w:val="208802D4"/>
    <w:rsid w:val="208DB480"/>
    <w:rsid w:val="208FD406"/>
    <w:rsid w:val="2099DC53"/>
    <w:rsid w:val="209E7721"/>
    <w:rsid w:val="20ACCF7A"/>
    <w:rsid w:val="20D218D7"/>
    <w:rsid w:val="20E1812B"/>
    <w:rsid w:val="20E71149"/>
    <w:rsid w:val="210A08A0"/>
    <w:rsid w:val="210F06F0"/>
    <w:rsid w:val="21223ACE"/>
    <w:rsid w:val="212C5710"/>
    <w:rsid w:val="21360D71"/>
    <w:rsid w:val="21366E24"/>
    <w:rsid w:val="214F77C8"/>
    <w:rsid w:val="215A6266"/>
    <w:rsid w:val="216776F6"/>
    <w:rsid w:val="21708601"/>
    <w:rsid w:val="21933D61"/>
    <w:rsid w:val="21A377E6"/>
    <w:rsid w:val="21AC859F"/>
    <w:rsid w:val="21B57CF0"/>
    <w:rsid w:val="21CD0E03"/>
    <w:rsid w:val="21E110FC"/>
    <w:rsid w:val="21E1B915"/>
    <w:rsid w:val="21F70887"/>
    <w:rsid w:val="22127AAE"/>
    <w:rsid w:val="221F1D19"/>
    <w:rsid w:val="225242B5"/>
    <w:rsid w:val="225252CE"/>
    <w:rsid w:val="225559E9"/>
    <w:rsid w:val="225B2E30"/>
    <w:rsid w:val="226A17C0"/>
    <w:rsid w:val="2280BDBA"/>
    <w:rsid w:val="22899B28"/>
    <w:rsid w:val="2295844E"/>
    <w:rsid w:val="22970CA7"/>
    <w:rsid w:val="229984D9"/>
    <w:rsid w:val="22A31922"/>
    <w:rsid w:val="22E343B4"/>
    <w:rsid w:val="22E5A97B"/>
    <w:rsid w:val="22F2688E"/>
    <w:rsid w:val="231849CF"/>
    <w:rsid w:val="231D5F63"/>
    <w:rsid w:val="232F0DC2"/>
    <w:rsid w:val="233E49F7"/>
    <w:rsid w:val="234A5CE5"/>
    <w:rsid w:val="235CF56E"/>
    <w:rsid w:val="23E1488D"/>
    <w:rsid w:val="23E58944"/>
    <w:rsid w:val="23F0A3EB"/>
    <w:rsid w:val="23FF53DE"/>
    <w:rsid w:val="241B85C8"/>
    <w:rsid w:val="242235F0"/>
    <w:rsid w:val="2439D4D5"/>
    <w:rsid w:val="245B4349"/>
    <w:rsid w:val="246E8744"/>
    <w:rsid w:val="24781BA5"/>
    <w:rsid w:val="2482B6B6"/>
    <w:rsid w:val="248410CB"/>
    <w:rsid w:val="2492411A"/>
    <w:rsid w:val="2499CFF8"/>
    <w:rsid w:val="24A47796"/>
    <w:rsid w:val="24B4E90D"/>
    <w:rsid w:val="24BE561A"/>
    <w:rsid w:val="24BF5AB9"/>
    <w:rsid w:val="24D7256F"/>
    <w:rsid w:val="24D8AE29"/>
    <w:rsid w:val="25463309"/>
    <w:rsid w:val="2556BDDB"/>
    <w:rsid w:val="25844D57"/>
    <w:rsid w:val="25AACE04"/>
    <w:rsid w:val="25AF7433"/>
    <w:rsid w:val="25B3F9A3"/>
    <w:rsid w:val="25BF0642"/>
    <w:rsid w:val="25C2DAA5"/>
    <w:rsid w:val="25DD2420"/>
    <w:rsid w:val="26138BD2"/>
    <w:rsid w:val="261675D5"/>
    <w:rsid w:val="263CB3E3"/>
    <w:rsid w:val="26504AF1"/>
    <w:rsid w:val="26537412"/>
    <w:rsid w:val="26795B54"/>
    <w:rsid w:val="268EEB0D"/>
    <w:rsid w:val="26930E99"/>
    <w:rsid w:val="26A44556"/>
    <w:rsid w:val="26D4EF00"/>
    <w:rsid w:val="26DB97AE"/>
    <w:rsid w:val="26DCDCF3"/>
    <w:rsid w:val="26F28E3C"/>
    <w:rsid w:val="27091688"/>
    <w:rsid w:val="2720A4F2"/>
    <w:rsid w:val="2722F0C4"/>
    <w:rsid w:val="27596E68"/>
    <w:rsid w:val="276A6C32"/>
    <w:rsid w:val="276B7F90"/>
    <w:rsid w:val="27756C16"/>
    <w:rsid w:val="277AB97D"/>
    <w:rsid w:val="2781FC82"/>
    <w:rsid w:val="2794EA81"/>
    <w:rsid w:val="27B34614"/>
    <w:rsid w:val="27CA511B"/>
    <w:rsid w:val="27D8B3B2"/>
    <w:rsid w:val="27E62079"/>
    <w:rsid w:val="28042C9B"/>
    <w:rsid w:val="282271EC"/>
    <w:rsid w:val="282735F8"/>
    <w:rsid w:val="282AB593"/>
    <w:rsid w:val="2849B014"/>
    <w:rsid w:val="285F84F7"/>
    <w:rsid w:val="28907E1B"/>
    <w:rsid w:val="2891DFDA"/>
    <w:rsid w:val="28A2F60A"/>
    <w:rsid w:val="28A769C8"/>
    <w:rsid w:val="28ADFC08"/>
    <w:rsid w:val="28DAF892"/>
    <w:rsid w:val="28E360D6"/>
    <w:rsid w:val="28F2CFF8"/>
    <w:rsid w:val="290106A0"/>
    <w:rsid w:val="292B290E"/>
    <w:rsid w:val="292B848F"/>
    <w:rsid w:val="294C4BEE"/>
    <w:rsid w:val="295B3933"/>
    <w:rsid w:val="2961AA12"/>
    <w:rsid w:val="29791797"/>
    <w:rsid w:val="29792EEE"/>
    <w:rsid w:val="297F942A"/>
    <w:rsid w:val="29A1B08C"/>
    <w:rsid w:val="29AE0921"/>
    <w:rsid w:val="29BCF13A"/>
    <w:rsid w:val="29CCBDC4"/>
    <w:rsid w:val="29DA71D9"/>
    <w:rsid w:val="29E36103"/>
    <w:rsid w:val="2A0A540D"/>
    <w:rsid w:val="2A15E4BD"/>
    <w:rsid w:val="2A1C57AC"/>
    <w:rsid w:val="2A1D151F"/>
    <w:rsid w:val="2A2DB03B"/>
    <w:rsid w:val="2A2E531E"/>
    <w:rsid w:val="2A3BD380"/>
    <w:rsid w:val="2A680562"/>
    <w:rsid w:val="2A68A707"/>
    <w:rsid w:val="2A7AAA4F"/>
    <w:rsid w:val="2A801718"/>
    <w:rsid w:val="2A9D2389"/>
    <w:rsid w:val="2AA6BDDF"/>
    <w:rsid w:val="2ADABD11"/>
    <w:rsid w:val="2AE609A2"/>
    <w:rsid w:val="2B00CAB8"/>
    <w:rsid w:val="2B0C7981"/>
    <w:rsid w:val="2B29A664"/>
    <w:rsid w:val="2B4C08A7"/>
    <w:rsid w:val="2B4CD188"/>
    <w:rsid w:val="2B4D4F6E"/>
    <w:rsid w:val="2B56AC29"/>
    <w:rsid w:val="2B87CCAF"/>
    <w:rsid w:val="2B8CBEA8"/>
    <w:rsid w:val="2BA855FB"/>
    <w:rsid w:val="2BB4C420"/>
    <w:rsid w:val="2BCA7E0B"/>
    <w:rsid w:val="2BE313D2"/>
    <w:rsid w:val="2BFDE702"/>
    <w:rsid w:val="2BFEC527"/>
    <w:rsid w:val="2C1B5CB5"/>
    <w:rsid w:val="2C301FE6"/>
    <w:rsid w:val="2C356364"/>
    <w:rsid w:val="2C3D1ECF"/>
    <w:rsid w:val="2C54CE47"/>
    <w:rsid w:val="2C67CA04"/>
    <w:rsid w:val="2C67CE91"/>
    <w:rsid w:val="2C797B90"/>
    <w:rsid w:val="2C9247EA"/>
    <w:rsid w:val="2CC23ABE"/>
    <w:rsid w:val="2CCF8FB7"/>
    <w:rsid w:val="2CDC53AD"/>
    <w:rsid w:val="2CFB7722"/>
    <w:rsid w:val="2D01D968"/>
    <w:rsid w:val="2D02BCAA"/>
    <w:rsid w:val="2D0C0AAF"/>
    <w:rsid w:val="2D4B95B4"/>
    <w:rsid w:val="2D56616C"/>
    <w:rsid w:val="2D6D36D4"/>
    <w:rsid w:val="2D758F32"/>
    <w:rsid w:val="2D8CA326"/>
    <w:rsid w:val="2DCF634B"/>
    <w:rsid w:val="2DD8EF30"/>
    <w:rsid w:val="2DE8083C"/>
    <w:rsid w:val="2DE9C4D4"/>
    <w:rsid w:val="2DFE0590"/>
    <w:rsid w:val="2E05D58E"/>
    <w:rsid w:val="2E34A410"/>
    <w:rsid w:val="2E4B279A"/>
    <w:rsid w:val="2E4EA4AB"/>
    <w:rsid w:val="2E7BA311"/>
    <w:rsid w:val="2E7DE77E"/>
    <w:rsid w:val="2E8D0450"/>
    <w:rsid w:val="2EAAAF04"/>
    <w:rsid w:val="2EC8248E"/>
    <w:rsid w:val="2ECEC1C7"/>
    <w:rsid w:val="2EE0BC07"/>
    <w:rsid w:val="2EE85F73"/>
    <w:rsid w:val="2EEDB6CF"/>
    <w:rsid w:val="2EF055C8"/>
    <w:rsid w:val="2EF9F815"/>
    <w:rsid w:val="2F03D8C1"/>
    <w:rsid w:val="2F13BDF6"/>
    <w:rsid w:val="2F2BB6D7"/>
    <w:rsid w:val="2F32DE31"/>
    <w:rsid w:val="2F5DC212"/>
    <w:rsid w:val="2F68F36F"/>
    <w:rsid w:val="2F859535"/>
    <w:rsid w:val="2F8DE8A8"/>
    <w:rsid w:val="2F9B97DA"/>
    <w:rsid w:val="2FCB9FC3"/>
    <w:rsid w:val="2FE3675E"/>
    <w:rsid w:val="30021E10"/>
    <w:rsid w:val="30178C44"/>
    <w:rsid w:val="3026B8B5"/>
    <w:rsid w:val="3027C0F3"/>
    <w:rsid w:val="30373030"/>
    <w:rsid w:val="303BE53E"/>
    <w:rsid w:val="304837C1"/>
    <w:rsid w:val="30692A86"/>
    <w:rsid w:val="30839491"/>
    <w:rsid w:val="309FA922"/>
    <w:rsid w:val="30C97173"/>
    <w:rsid w:val="30CE5AFE"/>
    <w:rsid w:val="30D4236A"/>
    <w:rsid w:val="30D9BABE"/>
    <w:rsid w:val="31073007"/>
    <w:rsid w:val="310BA4A6"/>
    <w:rsid w:val="311648F1"/>
    <w:rsid w:val="31273B16"/>
    <w:rsid w:val="314AA72C"/>
    <w:rsid w:val="315FA77C"/>
    <w:rsid w:val="316B0423"/>
    <w:rsid w:val="316B9CB4"/>
    <w:rsid w:val="317DF2F7"/>
    <w:rsid w:val="31983448"/>
    <w:rsid w:val="31AA2AD5"/>
    <w:rsid w:val="3218B434"/>
    <w:rsid w:val="324EA015"/>
    <w:rsid w:val="32607EEA"/>
    <w:rsid w:val="326C5214"/>
    <w:rsid w:val="326FC3E7"/>
    <w:rsid w:val="32703C8B"/>
    <w:rsid w:val="3275E8A2"/>
    <w:rsid w:val="32B4F5DB"/>
    <w:rsid w:val="32CB96B2"/>
    <w:rsid w:val="32CE55DB"/>
    <w:rsid w:val="32D9FDB6"/>
    <w:rsid w:val="32E2314F"/>
    <w:rsid w:val="32F3F609"/>
    <w:rsid w:val="3312A01B"/>
    <w:rsid w:val="331A555A"/>
    <w:rsid w:val="3322E5BA"/>
    <w:rsid w:val="3326476A"/>
    <w:rsid w:val="332687A2"/>
    <w:rsid w:val="3327EA85"/>
    <w:rsid w:val="3359DC18"/>
    <w:rsid w:val="339E085C"/>
    <w:rsid w:val="33B4DE61"/>
    <w:rsid w:val="33D49281"/>
    <w:rsid w:val="33D639D6"/>
    <w:rsid w:val="34086438"/>
    <w:rsid w:val="341F203C"/>
    <w:rsid w:val="34218C95"/>
    <w:rsid w:val="343AB797"/>
    <w:rsid w:val="34683DEA"/>
    <w:rsid w:val="347E01B0"/>
    <w:rsid w:val="3480EF06"/>
    <w:rsid w:val="348247EE"/>
    <w:rsid w:val="3486276F"/>
    <w:rsid w:val="348BA1C8"/>
    <w:rsid w:val="349E0E5D"/>
    <w:rsid w:val="34EC76FF"/>
    <w:rsid w:val="34F1E77E"/>
    <w:rsid w:val="35110F1F"/>
    <w:rsid w:val="3517C8A4"/>
    <w:rsid w:val="351A2158"/>
    <w:rsid w:val="352EB561"/>
    <w:rsid w:val="35467203"/>
    <w:rsid w:val="3561D3B1"/>
    <w:rsid w:val="358346EF"/>
    <w:rsid w:val="3588ACB9"/>
    <w:rsid w:val="35CCE5BF"/>
    <w:rsid w:val="35F75873"/>
    <w:rsid w:val="3610E773"/>
    <w:rsid w:val="3612FB4E"/>
    <w:rsid w:val="36210B79"/>
    <w:rsid w:val="3632832D"/>
    <w:rsid w:val="3639DEBE"/>
    <w:rsid w:val="365261F3"/>
    <w:rsid w:val="365D49A0"/>
    <w:rsid w:val="367BE1D9"/>
    <w:rsid w:val="3682F141"/>
    <w:rsid w:val="36900A06"/>
    <w:rsid w:val="36920481"/>
    <w:rsid w:val="36A10EBE"/>
    <w:rsid w:val="36A24B2E"/>
    <w:rsid w:val="36A8F03E"/>
    <w:rsid w:val="36B9BB59"/>
    <w:rsid w:val="36C14876"/>
    <w:rsid w:val="36D75E36"/>
    <w:rsid w:val="36DEFCE4"/>
    <w:rsid w:val="37024C86"/>
    <w:rsid w:val="371338E1"/>
    <w:rsid w:val="371BACBC"/>
    <w:rsid w:val="372CED23"/>
    <w:rsid w:val="37414C71"/>
    <w:rsid w:val="375F8AD2"/>
    <w:rsid w:val="3763C061"/>
    <w:rsid w:val="377CBC56"/>
    <w:rsid w:val="378B1DC5"/>
    <w:rsid w:val="379E682A"/>
    <w:rsid w:val="37B88FC8"/>
    <w:rsid w:val="37B9E8B0"/>
    <w:rsid w:val="37C215F8"/>
    <w:rsid w:val="37D54707"/>
    <w:rsid w:val="37EA6098"/>
    <w:rsid w:val="37EF4EEE"/>
    <w:rsid w:val="37F3754B"/>
    <w:rsid w:val="382202EA"/>
    <w:rsid w:val="383C8417"/>
    <w:rsid w:val="384379C5"/>
    <w:rsid w:val="3853A0F4"/>
    <w:rsid w:val="387BB2CC"/>
    <w:rsid w:val="3887B1FE"/>
    <w:rsid w:val="38908036"/>
    <w:rsid w:val="389B6907"/>
    <w:rsid w:val="38A07AC7"/>
    <w:rsid w:val="38B0B069"/>
    <w:rsid w:val="38BAA03C"/>
    <w:rsid w:val="38C49A20"/>
    <w:rsid w:val="38CEA630"/>
    <w:rsid w:val="38E1C58E"/>
    <w:rsid w:val="38EA73B5"/>
    <w:rsid w:val="3935A12F"/>
    <w:rsid w:val="39989AF0"/>
    <w:rsid w:val="399E7DFA"/>
    <w:rsid w:val="39A032E0"/>
    <w:rsid w:val="39A8404C"/>
    <w:rsid w:val="39B7180F"/>
    <w:rsid w:val="39C65C10"/>
    <w:rsid w:val="39CBD840"/>
    <w:rsid w:val="39FA4F66"/>
    <w:rsid w:val="3A0A9DBC"/>
    <w:rsid w:val="3A203A6E"/>
    <w:rsid w:val="3A275F57"/>
    <w:rsid w:val="3A2A2C56"/>
    <w:rsid w:val="3A2A96B0"/>
    <w:rsid w:val="3A44064A"/>
    <w:rsid w:val="3A755C61"/>
    <w:rsid w:val="3A7D2354"/>
    <w:rsid w:val="3A97A0CC"/>
    <w:rsid w:val="3AA5848B"/>
    <w:rsid w:val="3ABF9194"/>
    <w:rsid w:val="3AC727A9"/>
    <w:rsid w:val="3ACA06A6"/>
    <w:rsid w:val="3AD56478"/>
    <w:rsid w:val="3AE2D18B"/>
    <w:rsid w:val="3AF7B75E"/>
    <w:rsid w:val="3B61BEB7"/>
    <w:rsid w:val="3B67E16A"/>
    <w:rsid w:val="3B88E904"/>
    <w:rsid w:val="3B8BD371"/>
    <w:rsid w:val="3C01363B"/>
    <w:rsid w:val="3C1001D6"/>
    <w:rsid w:val="3C33F256"/>
    <w:rsid w:val="3C414F87"/>
    <w:rsid w:val="3C44D00E"/>
    <w:rsid w:val="3C470D9E"/>
    <w:rsid w:val="3C5BD821"/>
    <w:rsid w:val="3C627847"/>
    <w:rsid w:val="3C638636"/>
    <w:rsid w:val="3C7418A8"/>
    <w:rsid w:val="3C8322D9"/>
    <w:rsid w:val="3C891395"/>
    <w:rsid w:val="3C8B2419"/>
    <w:rsid w:val="3C8BB599"/>
    <w:rsid w:val="3C92F0FB"/>
    <w:rsid w:val="3CA9C367"/>
    <w:rsid w:val="3CD3BCDD"/>
    <w:rsid w:val="3CDA1654"/>
    <w:rsid w:val="3CDF0414"/>
    <w:rsid w:val="3CEEB8D1"/>
    <w:rsid w:val="3D01D0BC"/>
    <w:rsid w:val="3D0A6594"/>
    <w:rsid w:val="3D28F616"/>
    <w:rsid w:val="3D3B2691"/>
    <w:rsid w:val="3D428BE7"/>
    <w:rsid w:val="3D5FC817"/>
    <w:rsid w:val="3D6190CA"/>
    <w:rsid w:val="3D6A39F0"/>
    <w:rsid w:val="3D797E77"/>
    <w:rsid w:val="3DAFC96E"/>
    <w:rsid w:val="3DC4807A"/>
    <w:rsid w:val="3DC9207D"/>
    <w:rsid w:val="3DD2D57D"/>
    <w:rsid w:val="3DD5A575"/>
    <w:rsid w:val="3E04717B"/>
    <w:rsid w:val="3E0CECA4"/>
    <w:rsid w:val="3E1C0E19"/>
    <w:rsid w:val="3E24E3F6"/>
    <w:rsid w:val="3E4EEE3D"/>
    <w:rsid w:val="3E85C3D5"/>
    <w:rsid w:val="3EB207E9"/>
    <w:rsid w:val="3EC14181"/>
    <w:rsid w:val="3EF34896"/>
    <w:rsid w:val="3EF3AB91"/>
    <w:rsid w:val="3EF7B7EC"/>
    <w:rsid w:val="3F107B71"/>
    <w:rsid w:val="3F12E3E6"/>
    <w:rsid w:val="3F1BB171"/>
    <w:rsid w:val="3F309FCA"/>
    <w:rsid w:val="3F4546D4"/>
    <w:rsid w:val="3F4A9D90"/>
    <w:rsid w:val="3F5CF9C6"/>
    <w:rsid w:val="3F9CB7C5"/>
    <w:rsid w:val="3FF37450"/>
    <w:rsid w:val="4008AB36"/>
    <w:rsid w:val="400A0F8D"/>
    <w:rsid w:val="40286754"/>
    <w:rsid w:val="404229FA"/>
    <w:rsid w:val="406096D8"/>
    <w:rsid w:val="407D71C6"/>
    <w:rsid w:val="40A1DAB2"/>
    <w:rsid w:val="40AC4BD2"/>
    <w:rsid w:val="40C0EAD0"/>
    <w:rsid w:val="40F4371E"/>
    <w:rsid w:val="410A763F"/>
    <w:rsid w:val="41331210"/>
    <w:rsid w:val="413AD7CC"/>
    <w:rsid w:val="413BE225"/>
    <w:rsid w:val="413C2E0B"/>
    <w:rsid w:val="4150B369"/>
    <w:rsid w:val="415C1741"/>
    <w:rsid w:val="415F720E"/>
    <w:rsid w:val="416EF42A"/>
    <w:rsid w:val="41936DED"/>
    <w:rsid w:val="41BA916A"/>
    <w:rsid w:val="41C0A1EA"/>
    <w:rsid w:val="41F2121D"/>
    <w:rsid w:val="41FD545E"/>
    <w:rsid w:val="4215809C"/>
    <w:rsid w:val="421907E7"/>
    <w:rsid w:val="42572136"/>
    <w:rsid w:val="4276FBD0"/>
    <w:rsid w:val="429600E1"/>
    <w:rsid w:val="42A59252"/>
    <w:rsid w:val="42AD1CEC"/>
    <w:rsid w:val="42B8E67E"/>
    <w:rsid w:val="42BBC7A2"/>
    <w:rsid w:val="42C0C555"/>
    <w:rsid w:val="42C80737"/>
    <w:rsid w:val="42D7B65D"/>
    <w:rsid w:val="42E4FD3B"/>
    <w:rsid w:val="42E8C524"/>
    <w:rsid w:val="42EA797E"/>
    <w:rsid w:val="42F255A8"/>
    <w:rsid w:val="4320223F"/>
    <w:rsid w:val="43742B7C"/>
    <w:rsid w:val="438F2C3C"/>
    <w:rsid w:val="439F656F"/>
    <w:rsid w:val="43B18002"/>
    <w:rsid w:val="43B3C7E1"/>
    <w:rsid w:val="43EF10F5"/>
    <w:rsid w:val="43FD00E4"/>
    <w:rsid w:val="44066AB6"/>
    <w:rsid w:val="443FEC59"/>
    <w:rsid w:val="44421701"/>
    <w:rsid w:val="444D1C45"/>
    <w:rsid w:val="445D34BC"/>
    <w:rsid w:val="447A0005"/>
    <w:rsid w:val="44840D07"/>
    <w:rsid w:val="4494257A"/>
    <w:rsid w:val="4495E8C6"/>
    <w:rsid w:val="449AE384"/>
    <w:rsid w:val="44B05820"/>
    <w:rsid w:val="44E73571"/>
    <w:rsid w:val="4519C29F"/>
    <w:rsid w:val="4521EDEC"/>
    <w:rsid w:val="453E2FB2"/>
    <w:rsid w:val="455237A8"/>
    <w:rsid w:val="45591C70"/>
    <w:rsid w:val="455E90EF"/>
    <w:rsid w:val="4562ED15"/>
    <w:rsid w:val="4571C29A"/>
    <w:rsid w:val="4582256A"/>
    <w:rsid w:val="45999283"/>
    <w:rsid w:val="45AC7E60"/>
    <w:rsid w:val="45B880E8"/>
    <w:rsid w:val="45C8BBBD"/>
    <w:rsid w:val="45CAE411"/>
    <w:rsid w:val="45E422FA"/>
    <w:rsid w:val="45E7E226"/>
    <w:rsid w:val="45E831CD"/>
    <w:rsid w:val="45E8EA08"/>
    <w:rsid w:val="45F269FA"/>
    <w:rsid w:val="45FFA7F9"/>
    <w:rsid w:val="460884CB"/>
    <w:rsid w:val="4637A3FE"/>
    <w:rsid w:val="464C1F5C"/>
    <w:rsid w:val="464DA24F"/>
    <w:rsid w:val="4668E78A"/>
    <w:rsid w:val="466AAFEB"/>
    <w:rsid w:val="4689F4FC"/>
    <w:rsid w:val="46AC4023"/>
    <w:rsid w:val="46AE87E3"/>
    <w:rsid w:val="46DA0013"/>
    <w:rsid w:val="46DA2DCC"/>
    <w:rsid w:val="46F6072E"/>
    <w:rsid w:val="46F67D5A"/>
    <w:rsid w:val="47184306"/>
    <w:rsid w:val="471CE20B"/>
    <w:rsid w:val="4723B8CE"/>
    <w:rsid w:val="472F86F0"/>
    <w:rsid w:val="4748E4E7"/>
    <w:rsid w:val="475876F4"/>
    <w:rsid w:val="4764E515"/>
    <w:rsid w:val="4766D06D"/>
    <w:rsid w:val="4784022E"/>
    <w:rsid w:val="47912DEF"/>
    <w:rsid w:val="47AAC0EB"/>
    <w:rsid w:val="47AC890F"/>
    <w:rsid w:val="47B1A0C7"/>
    <w:rsid w:val="47B8D1E7"/>
    <w:rsid w:val="47E597EA"/>
    <w:rsid w:val="4825C55D"/>
    <w:rsid w:val="483C1BF2"/>
    <w:rsid w:val="48503EA0"/>
    <w:rsid w:val="487857C1"/>
    <w:rsid w:val="4894EF42"/>
    <w:rsid w:val="48D559BD"/>
    <w:rsid w:val="4937CF8D"/>
    <w:rsid w:val="49536F3E"/>
    <w:rsid w:val="4976C874"/>
    <w:rsid w:val="497E37E8"/>
    <w:rsid w:val="4996651F"/>
    <w:rsid w:val="49A67EB4"/>
    <w:rsid w:val="49C9A24E"/>
    <w:rsid w:val="49CA7ED7"/>
    <w:rsid w:val="49DFB408"/>
    <w:rsid w:val="49E9DB4B"/>
    <w:rsid w:val="49FCB86B"/>
    <w:rsid w:val="4A07791E"/>
    <w:rsid w:val="4A39CD67"/>
    <w:rsid w:val="4A486EE9"/>
    <w:rsid w:val="4A5319B4"/>
    <w:rsid w:val="4A7AD36B"/>
    <w:rsid w:val="4AA9B01E"/>
    <w:rsid w:val="4ADA262E"/>
    <w:rsid w:val="4ADF34CA"/>
    <w:rsid w:val="4B02BA24"/>
    <w:rsid w:val="4B38FEAE"/>
    <w:rsid w:val="4B3D4DC5"/>
    <w:rsid w:val="4B777544"/>
    <w:rsid w:val="4B7D6B8A"/>
    <w:rsid w:val="4B9D2DF2"/>
    <w:rsid w:val="4BA3903C"/>
    <w:rsid w:val="4BA99CCE"/>
    <w:rsid w:val="4BAA55FC"/>
    <w:rsid w:val="4BCEFAD3"/>
    <w:rsid w:val="4BD72AD1"/>
    <w:rsid w:val="4BEE3F53"/>
    <w:rsid w:val="4BF63885"/>
    <w:rsid w:val="4C1E1BF4"/>
    <w:rsid w:val="4C247E12"/>
    <w:rsid w:val="4C26C434"/>
    <w:rsid w:val="4C3D6123"/>
    <w:rsid w:val="4C4D28E6"/>
    <w:rsid w:val="4C532CF5"/>
    <w:rsid w:val="4C577351"/>
    <w:rsid w:val="4C75DDF8"/>
    <w:rsid w:val="4C7A6AA7"/>
    <w:rsid w:val="4C86D3C7"/>
    <w:rsid w:val="4C87FD17"/>
    <w:rsid w:val="4CAB7469"/>
    <w:rsid w:val="4CBF00B1"/>
    <w:rsid w:val="4CD481F6"/>
    <w:rsid w:val="4CE54757"/>
    <w:rsid w:val="4CE8AC9D"/>
    <w:rsid w:val="4CEBF643"/>
    <w:rsid w:val="4D0BC9B0"/>
    <w:rsid w:val="4D0E2DF5"/>
    <w:rsid w:val="4D16839C"/>
    <w:rsid w:val="4D169C85"/>
    <w:rsid w:val="4D4F3F06"/>
    <w:rsid w:val="4D52BE92"/>
    <w:rsid w:val="4D81312F"/>
    <w:rsid w:val="4DB8266B"/>
    <w:rsid w:val="4DD64B10"/>
    <w:rsid w:val="4DDC57E9"/>
    <w:rsid w:val="4DE335D7"/>
    <w:rsid w:val="4DE35377"/>
    <w:rsid w:val="4DF0B4AA"/>
    <w:rsid w:val="4DF4702B"/>
    <w:rsid w:val="4E0B40B0"/>
    <w:rsid w:val="4E213CCA"/>
    <w:rsid w:val="4E3DA578"/>
    <w:rsid w:val="4E508677"/>
    <w:rsid w:val="4E549F5C"/>
    <w:rsid w:val="4E5557EC"/>
    <w:rsid w:val="4E5A6E86"/>
    <w:rsid w:val="4E8A1A2F"/>
    <w:rsid w:val="4EA2EEFF"/>
    <w:rsid w:val="4EB7DFDA"/>
    <w:rsid w:val="4ED0CC99"/>
    <w:rsid w:val="4EFDC2C1"/>
    <w:rsid w:val="4F30F536"/>
    <w:rsid w:val="4F346FF8"/>
    <w:rsid w:val="4F62AD7D"/>
    <w:rsid w:val="4F8DC477"/>
    <w:rsid w:val="4F980671"/>
    <w:rsid w:val="4FB5F416"/>
    <w:rsid w:val="4FC5F052"/>
    <w:rsid w:val="4FD59378"/>
    <w:rsid w:val="4FF06FBD"/>
    <w:rsid w:val="500835CD"/>
    <w:rsid w:val="501FF2C9"/>
    <w:rsid w:val="502A58AF"/>
    <w:rsid w:val="503B87CA"/>
    <w:rsid w:val="503ECFED"/>
    <w:rsid w:val="5060D31E"/>
    <w:rsid w:val="5063D6C3"/>
    <w:rsid w:val="506CFD87"/>
    <w:rsid w:val="50865577"/>
    <w:rsid w:val="50B52BD8"/>
    <w:rsid w:val="50BEF9EF"/>
    <w:rsid w:val="50BF041A"/>
    <w:rsid w:val="5100973B"/>
    <w:rsid w:val="51093E68"/>
    <w:rsid w:val="510A7628"/>
    <w:rsid w:val="510BB4C1"/>
    <w:rsid w:val="510F7F69"/>
    <w:rsid w:val="51176B87"/>
    <w:rsid w:val="513F2DE6"/>
    <w:rsid w:val="51660225"/>
    <w:rsid w:val="51689423"/>
    <w:rsid w:val="516F7726"/>
    <w:rsid w:val="517BFA5F"/>
    <w:rsid w:val="517D835E"/>
    <w:rsid w:val="518ABC8C"/>
    <w:rsid w:val="51BB5F90"/>
    <w:rsid w:val="51C3B80F"/>
    <w:rsid w:val="520470B2"/>
    <w:rsid w:val="523B1E1D"/>
    <w:rsid w:val="523B72B7"/>
    <w:rsid w:val="52507B10"/>
    <w:rsid w:val="525BDC9A"/>
    <w:rsid w:val="52600452"/>
    <w:rsid w:val="527488BD"/>
    <w:rsid w:val="52944777"/>
    <w:rsid w:val="52A64689"/>
    <w:rsid w:val="52AE22F7"/>
    <w:rsid w:val="52B46354"/>
    <w:rsid w:val="52BCF9B9"/>
    <w:rsid w:val="52BEADBF"/>
    <w:rsid w:val="52C1D490"/>
    <w:rsid w:val="52D3EEAD"/>
    <w:rsid w:val="52E379B4"/>
    <w:rsid w:val="52E53813"/>
    <w:rsid w:val="52ED94D8"/>
    <w:rsid w:val="52EFD632"/>
    <w:rsid w:val="52F95A43"/>
    <w:rsid w:val="52FB9394"/>
    <w:rsid w:val="5317094E"/>
    <w:rsid w:val="53201B5E"/>
    <w:rsid w:val="532657C5"/>
    <w:rsid w:val="5360FC4C"/>
    <w:rsid w:val="538623AC"/>
    <w:rsid w:val="539CA839"/>
    <w:rsid w:val="53B7CD87"/>
    <w:rsid w:val="53CF9152"/>
    <w:rsid w:val="53F9B747"/>
    <w:rsid w:val="5400719D"/>
    <w:rsid w:val="540D16B2"/>
    <w:rsid w:val="541BE09C"/>
    <w:rsid w:val="541CF643"/>
    <w:rsid w:val="5424E3C9"/>
    <w:rsid w:val="5425EBAA"/>
    <w:rsid w:val="5427D736"/>
    <w:rsid w:val="544EB8B5"/>
    <w:rsid w:val="54685EF8"/>
    <w:rsid w:val="54689663"/>
    <w:rsid w:val="5474D765"/>
    <w:rsid w:val="54896539"/>
    <w:rsid w:val="54950FFC"/>
    <w:rsid w:val="54A6209C"/>
    <w:rsid w:val="54E8353C"/>
    <w:rsid w:val="54F90826"/>
    <w:rsid w:val="54FACB3D"/>
    <w:rsid w:val="557BB1AB"/>
    <w:rsid w:val="558C13B2"/>
    <w:rsid w:val="55937ABE"/>
    <w:rsid w:val="55A3782F"/>
    <w:rsid w:val="55B32C69"/>
    <w:rsid w:val="55BD2C72"/>
    <w:rsid w:val="55C40055"/>
    <w:rsid w:val="55E12179"/>
    <w:rsid w:val="5607538D"/>
    <w:rsid w:val="561E401B"/>
    <w:rsid w:val="565BD664"/>
    <w:rsid w:val="566FC6EB"/>
    <w:rsid w:val="56AD32B8"/>
    <w:rsid w:val="56C16C41"/>
    <w:rsid w:val="56F2D0C5"/>
    <w:rsid w:val="56F3029B"/>
    <w:rsid w:val="571D7BFA"/>
    <w:rsid w:val="57543776"/>
    <w:rsid w:val="57625D28"/>
    <w:rsid w:val="576E88B3"/>
    <w:rsid w:val="577315BC"/>
    <w:rsid w:val="5773AD9C"/>
    <w:rsid w:val="577EC0ED"/>
    <w:rsid w:val="57A4B76B"/>
    <w:rsid w:val="57B01073"/>
    <w:rsid w:val="57B8FEB2"/>
    <w:rsid w:val="57C096BC"/>
    <w:rsid w:val="57C9D86C"/>
    <w:rsid w:val="57DE40FF"/>
    <w:rsid w:val="57DF4613"/>
    <w:rsid w:val="57E41489"/>
    <w:rsid w:val="5800ABE4"/>
    <w:rsid w:val="581B2054"/>
    <w:rsid w:val="583E8D06"/>
    <w:rsid w:val="5841FDB7"/>
    <w:rsid w:val="585FFFD1"/>
    <w:rsid w:val="58703CED"/>
    <w:rsid w:val="58B0B448"/>
    <w:rsid w:val="58B3B786"/>
    <w:rsid w:val="58E3E53E"/>
    <w:rsid w:val="58FFB590"/>
    <w:rsid w:val="5935A239"/>
    <w:rsid w:val="593722D2"/>
    <w:rsid w:val="5972C487"/>
    <w:rsid w:val="597B8CB3"/>
    <w:rsid w:val="59B334E5"/>
    <w:rsid w:val="59BADB83"/>
    <w:rsid w:val="59EFB970"/>
    <w:rsid w:val="59F2398D"/>
    <w:rsid w:val="59FBE467"/>
    <w:rsid w:val="5A2EDCA1"/>
    <w:rsid w:val="5A33F179"/>
    <w:rsid w:val="5A3FA3C7"/>
    <w:rsid w:val="5A6652F6"/>
    <w:rsid w:val="5A6A6FBC"/>
    <w:rsid w:val="5A6BA62F"/>
    <w:rsid w:val="5A89036C"/>
    <w:rsid w:val="5A9A6F0E"/>
    <w:rsid w:val="5A9F5C70"/>
    <w:rsid w:val="5ABCCA0D"/>
    <w:rsid w:val="5ABFEB16"/>
    <w:rsid w:val="5B0072FD"/>
    <w:rsid w:val="5B04B680"/>
    <w:rsid w:val="5B16F09B"/>
    <w:rsid w:val="5B1EDC7C"/>
    <w:rsid w:val="5B2B7934"/>
    <w:rsid w:val="5B3F3926"/>
    <w:rsid w:val="5B4C594A"/>
    <w:rsid w:val="5B59A9C0"/>
    <w:rsid w:val="5B618B4B"/>
    <w:rsid w:val="5B665CA3"/>
    <w:rsid w:val="5B7FFABA"/>
    <w:rsid w:val="5B870FFF"/>
    <w:rsid w:val="5B8ACD36"/>
    <w:rsid w:val="5BBB3F42"/>
    <w:rsid w:val="5BD74414"/>
    <w:rsid w:val="5BE58120"/>
    <w:rsid w:val="5C0E37D1"/>
    <w:rsid w:val="5C29BD0E"/>
    <w:rsid w:val="5C2D170D"/>
    <w:rsid w:val="5C3BEB87"/>
    <w:rsid w:val="5C5109AF"/>
    <w:rsid w:val="5C7E46B6"/>
    <w:rsid w:val="5C8A0769"/>
    <w:rsid w:val="5CB9E598"/>
    <w:rsid w:val="5CC18ACB"/>
    <w:rsid w:val="5CCEA0AC"/>
    <w:rsid w:val="5CD54BB9"/>
    <w:rsid w:val="5CDC6DFD"/>
    <w:rsid w:val="5CE63DD9"/>
    <w:rsid w:val="5CF681D3"/>
    <w:rsid w:val="5D022D04"/>
    <w:rsid w:val="5D050031"/>
    <w:rsid w:val="5D10EE78"/>
    <w:rsid w:val="5D588664"/>
    <w:rsid w:val="5D647149"/>
    <w:rsid w:val="5D70FD30"/>
    <w:rsid w:val="5D7D436E"/>
    <w:rsid w:val="5DBE6C4D"/>
    <w:rsid w:val="5DC8E76E"/>
    <w:rsid w:val="5DDA4983"/>
    <w:rsid w:val="5DEA1CFE"/>
    <w:rsid w:val="5DF47217"/>
    <w:rsid w:val="5E01CDF9"/>
    <w:rsid w:val="5E114311"/>
    <w:rsid w:val="5E21976D"/>
    <w:rsid w:val="5E40EC82"/>
    <w:rsid w:val="5E76D9E8"/>
    <w:rsid w:val="5E860EF7"/>
    <w:rsid w:val="5EB31831"/>
    <w:rsid w:val="5ED4871F"/>
    <w:rsid w:val="5EF2E004"/>
    <w:rsid w:val="5F06E76A"/>
    <w:rsid w:val="5F13B274"/>
    <w:rsid w:val="5F46835F"/>
    <w:rsid w:val="5F67C936"/>
    <w:rsid w:val="5F68D605"/>
    <w:rsid w:val="5FABFA04"/>
    <w:rsid w:val="5FBC83E7"/>
    <w:rsid w:val="5FEE1427"/>
    <w:rsid w:val="5FF6DDD9"/>
    <w:rsid w:val="5FFCBB71"/>
    <w:rsid w:val="6000D9E1"/>
    <w:rsid w:val="601A4C08"/>
    <w:rsid w:val="602614D8"/>
    <w:rsid w:val="602A1F0C"/>
    <w:rsid w:val="6056764D"/>
    <w:rsid w:val="605B9F94"/>
    <w:rsid w:val="607B49F3"/>
    <w:rsid w:val="607D95C5"/>
    <w:rsid w:val="6085F905"/>
    <w:rsid w:val="609149CB"/>
    <w:rsid w:val="60ADC0F3"/>
    <w:rsid w:val="60DB8432"/>
    <w:rsid w:val="610326F7"/>
    <w:rsid w:val="612BFD22"/>
    <w:rsid w:val="615BFF2C"/>
    <w:rsid w:val="615EF8A9"/>
    <w:rsid w:val="6171E744"/>
    <w:rsid w:val="6181925B"/>
    <w:rsid w:val="61AD2925"/>
    <w:rsid w:val="61B2F37A"/>
    <w:rsid w:val="61D26906"/>
    <w:rsid w:val="61D9D9BD"/>
    <w:rsid w:val="61DDDCC4"/>
    <w:rsid w:val="61F0179A"/>
    <w:rsid w:val="61F46801"/>
    <w:rsid w:val="620A1981"/>
    <w:rsid w:val="621BA2D4"/>
    <w:rsid w:val="621D1995"/>
    <w:rsid w:val="621D8760"/>
    <w:rsid w:val="6230BC5E"/>
    <w:rsid w:val="625F3060"/>
    <w:rsid w:val="6267EAF9"/>
    <w:rsid w:val="6271E02D"/>
    <w:rsid w:val="628D6900"/>
    <w:rsid w:val="62CF8915"/>
    <w:rsid w:val="62E50CAC"/>
    <w:rsid w:val="632CF972"/>
    <w:rsid w:val="63310E4A"/>
    <w:rsid w:val="6348C8D0"/>
    <w:rsid w:val="638DBFBF"/>
    <w:rsid w:val="63A2606A"/>
    <w:rsid w:val="63A86E7A"/>
    <w:rsid w:val="63ADF21A"/>
    <w:rsid w:val="63B8E9F6"/>
    <w:rsid w:val="63D97329"/>
    <w:rsid w:val="63F21EC0"/>
    <w:rsid w:val="63FB02E3"/>
    <w:rsid w:val="6416391A"/>
    <w:rsid w:val="641BF52D"/>
    <w:rsid w:val="64479583"/>
    <w:rsid w:val="6457E720"/>
    <w:rsid w:val="646D1D99"/>
    <w:rsid w:val="647DBFA7"/>
    <w:rsid w:val="647F6B27"/>
    <w:rsid w:val="64C4DA4A"/>
    <w:rsid w:val="64CCF30F"/>
    <w:rsid w:val="64D5EC64"/>
    <w:rsid w:val="64EB21E2"/>
    <w:rsid w:val="6501911A"/>
    <w:rsid w:val="652CB74E"/>
    <w:rsid w:val="6533FEB5"/>
    <w:rsid w:val="65465967"/>
    <w:rsid w:val="654A4DB7"/>
    <w:rsid w:val="656BCE7A"/>
    <w:rsid w:val="656F0548"/>
    <w:rsid w:val="657EBFE0"/>
    <w:rsid w:val="6584677C"/>
    <w:rsid w:val="65A9FF27"/>
    <w:rsid w:val="65D1F0D9"/>
    <w:rsid w:val="65E3D8BE"/>
    <w:rsid w:val="65F2F8C3"/>
    <w:rsid w:val="65F51EB3"/>
    <w:rsid w:val="66589891"/>
    <w:rsid w:val="66675B29"/>
    <w:rsid w:val="666874CF"/>
    <w:rsid w:val="666B6362"/>
    <w:rsid w:val="669245FF"/>
    <w:rsid w:val="66B6103C"/>
    <w:rsid w:val="66BF372C"/>
    <w:rsid w:val="66C19359"/>
    <w:rsid w:val="66C98C1B"/>
    <w:rsid w:val="66D28775"/>
    <w:rsid w:val="66D501C9"/>
    <w:rsid w:val="670C795D"/>
    <w:rsid w:val="673E636E"/>
    <w:rsid w:val="67480C75"/>
    <w:rsid w:val="675C9EFB"/>
    <w:rsid w:val="676C6FB5"/>
    <w:rsid w:val="677740C5"/>
    <w:rsid w:val="6779A2EC"/>
    <w:rsid w:val="67833C4D"/>
    <w:rsid w:val="678C0D20"/>
    <w:rsid w:val="67A9B2C9"/>
    <w:rsid w:val="67AE1E2A"/>
    <w:rsid w:val="67F792F8"/>
    <w:rsid w:val="681F03FE"/>
    <w:rsid w:val="6832B275"/>
    <w:rsid w:val="68776D27"/>
    <w:rsid w:val="688DF79A"/>
    <w:rsid w:val="68AB01D5"/>
    <w:rsid w:val="68AD5A78"/>
    <w:rsid w:val="68BE213E"/>
    <w:rsid w:val="68CF534E"/>
    <w:rsid w:val="68D1AB4E"/>
    <w:rsid w:val="68D36E9E"/>
    <w:rsid w:val="68D72C7D"/>
    <w:rsid w:val="68DCA91F"/>
    <w:rsid w:val="68EE0793"/>
    <w:rsid w:val="691CB373"/>
    <w:rsid w:val="691FB38D"/>
    <w:rsid w:val="693E21A9"/>
    <w:rsid w:val="696C1D01"/>
    <w:rsid w:val="69755F45"/>
    <w:rsid w:val="69781254"/>
    <w:rsid w:val="6984CDDD"/>
    <w:rsid w:val="6993C0D5"/>
    <w:rsid w:val="699495E0"/>
    <w:rsid w:val="69B5F38D"/>
    <w:rsid w:val="69C0A39B"/>
    <w:rsid w:val="69C2FFF3"/>
    <w:rsid w:val="69F79124"/>
    <w:rsid w:val="6A08F6CE"/>
    <w:rsid w:val="6A2B0E5D"/>
    <w:rsid w:val="6A3C1DE4"/>
    <w:rsid w:val="6A3E1622"/>
    <w:rsid w:val="6A3EC41D"/>
    <w:rsid w:val="6A3ED4AE"/>
    <w:rsid w:val="6A455EC2"/>
    <w:rsid w:val="6A4603A8"/>
    <w:rsid w:val="6A48B4AD"/>
    <w:rsid w:val="6A552269"/>
    <w:rsid w:val="6A6E78C7"/>
    <w:rsid w:val="6AAFC2BB"/>
    <w:rsid w:val="6AB1CA80"/>
    <w:rsid w:val="6AC2220E"/>
    <w:rsid w:val="6AD1A5E0"/>
    <w:rsid w:val="6AD7DC26"/>
    <w:rsid w:val="6AEFE0AE"/>
    <w:rsid w:val="6AF33AAD"/>
    <w:rsid w:val="6B419CFE"/>
    <w:rsid w:val="6B42FE8D"/>
    <w:rsid w:val="6B5BFA11"/>
    <w:rsid w:val="6B7BD356"/>
    <w:rsid w:val="6BACC241"/>
    <w:rsid w:val="6BAD695E"/>
    <w:rsid w:val="6BB9B170"/>
    <w:rsid w:val="6BC00AC6"/>
    <w:rsid w:val="6BDAA50F"/>
    <w:rsid w:val="6BDD311B"/>
    <w:rsid w:val="6BEAD7CD"/>
    <w:rsid w:val="6BEE4DA0"/>
    <w:rsid w:val="6C06A021"/>
    <w:rsid w:val="6C09047F"/>
    <w:rsid w:val="6C097E90"/>
    <w:rsid w:val="6C0ECD3F"/>
    <w:rsid w:val="6C11BF6D"/>
    <w:rsid w:val="6C22419C"/>
    <w:rsid w:val="6C383A10"/>
    <w:rsid w:val="6C43C5DF"/>
    <w:rsid w:val="6C4A8459"/>
    <w:rsid w:val="6C6FB2D3"/>
    <w:rsid w:val="6C77D393"/>
    <w:rsid w:val="6C8CD4E4"/>
    <w:rsid w:val="6C91034C"/>
    <w:rsid w:val="6C9957C2"/>
    <w:rsid w:val="6CA07926"/>
    <w:rsid w:val="6CC9F030"/>
    <w:rsid w:val="6CCDDAA7"/>
    <w:rsid w:val="6CD09CE3"/>
    <w:rsid w:val="6CD4CB4B"/>
    <w:rsid w:val="6D0C7810"/>
    <w:rsid w:val="6D2C1B5B"/>
    <w:rsid w:val="6D2F9DAC"/>
    <w:rsid w:val="6D399C91"/>
    <w:rsid w:val="6D3DE72F"/>
    <w:rsid w:val="6D3FB798"/>
    <w:rsid w:val="6D60F455"/>
    <w:rsid w:val="6D61F996"/>
    <w:rsid w:val="6D664301"/>
    <w:rsid w:val="6D721110"/>
    <w:rsid w:val="6D7B9604"/>
    <w:rsid w:val="6D8E07EF"/>
    <w:rsid w:val="6D9344E4"/>
    <w:rsid w:val="6DABD16C"/>
    <w:rsid w:val="6DB0F465"/>
    <w:rsid w:val="6DB7A245"/>
    <w:rsid w:val="6DBDA748"/>
    <w:rsid w:val="6DD9FC53"/>
    <w:rsid w:val="6DF38899"/>
    <w:rsid w:val="6E277DB2"/>
    <w:rsid w:val="6E47A5CC"/>
    <w:rsid w:val="6E7FB53B"/>
    <w:rsid w:val="6E8A4C87"/>
    <w:rsid w:val="6EA9A4E9"/>
    <w:rsid w:val="6EB1058E"/>
    <w:rsid w:val="6ECB74CA"/>
    <w:rsid w:val="6ED439F8"/>
    <w:rsid w:val="6EDEB68A"/>
    <w:rsid w:val="6EE01E78"/>
    <w:rsid w:val="6EE0911F"/>
    <w:rsid w:val="6FBE8666"/>
    <w:rsid w:val="6FBFFFB5"/>
    <w:rsid w:val="6FE39E64"/>
    <w:rsid w:val="6FE51525"/>
    <w:rsid w:val="6FEAD3E1"/>
    <w:rsid w:val="7004E4EF"/>
    <w:rsid w:val="70189F0B"/>
    <w:rsid w:val="702AA4AF"/>
    <w:rsid w:val="703976E1"/>
    <w:rsid w:val="705854D0"/>
    <w:rsid w:val="707A70FB"/>
    <w:rsid w:val="70BBB95A"/>
    <w:rsid w:val="70CBB053"/>
    <w:rsid w:val="70DE2966"/>
    <w:rsid w:val="70E8A8B5"/>
    <w:rsid w:val="711031BA"/>
    <w:rsid w:val="711A74AC"/>
    <w:rsid w:val="7120D0BD"/>
    <w:rsid w:val="7123AC60"/>
    <w:rsid w:val="713D1B36"/>
    <w:rsid w:val="71428051"/>
    <w:rsid w:val="7143B483"/>
    <w:rsid w:val="71501626"/>
    <w:rsid w:val="715DEE2F"/>
    <w:rsid w:val="7197B5F8"/>
    <w:rsid w:val="71FD0A8A"/>
    <w:rsid w:val="72311D1A"/>
    <w:rsid w:val="7231DF48"/>
    <w:rsid w:val="7237ED30"/>
    <w:rsid w:val="725F6537"/>
    <w:rsid w:val="728A5628"/>
    <w:rsid w:val="729C73CE"/>
    <w:rsid w:val="729F5E76"/>
    <w:rsid w:val="72A3D041"/>
    <w:rsid w:val="72BD08A8"/>
    <w:rsid w:val="72C70082"/>
    <w:rsid w:val="72E2EE0B"/>
    <w:rsid w:val="72E402F7"/>
    <w:rsid w:val="72F15357"/>
    <w:rsid w:val="73055289"/>
    <w:rsid w:val="73110A2F"/>
    <w:rsid w:val="73338686"/>
    <w:rsid w:val="733D868F"/>
    <w:rsid w:val="733E6750"/>
    <w:rsid w:val="734C2B61"/>
    <w:rsid w:val="735BA774"/>
    <w:rsid w:val="73675BC7"/>
    <w:rsid w:val="736D4D9F"/>
    <w:rsid w:val="737A7935"/>
    <w:rsid w:val="737EAF2B"/>
    <w:rsid w:val="7394BBB3"/>
    <w:rsid w:val="739547D2"/>
    <w:rsid w:val="73AAEAA1"/>
    <w:rsid w:val="73DE80D7"/>
    <w:rsid w:val="73E5073E"/>
    <w:rsid w:val="73FB9BA7"/>
    <w:rsid w:val="73FF554D"/>
    <w:rsid w:val="74042036"/>
    <w:rsid w:val="7437436D"/>
    <w:rsid w:val="74665E11"/>
    <w:rsid w:val="74751153"/>
    <w:rsid w:val="747B5545"/>
    <w:rsid w:val="74C9DA18"/>
    <w:rsid w:val="74D7446D"/>
    <w:rsid w:val="74E64B9F"/>
    <w:rsid w:val="75126FDD"/>
    <w:rsid w:val="75179BF2"/>
    <w:rsid w:val="752E776D"/>
    <w:rsid w:val="7538CE16"/>
    <w:rsid w:val="753A415A"/>
    <w:rsid w:val="753ADB45"/>
    <w:rsid w:val="7556E367"/>
    <w:rsid w:val="75750399"/>
    <w:rsid w:val="75957EEE"/>
    <w:rsid w:val="75B918F4"/>
    <w:rsid w:val="75BE21AC"/>
    <w:rsid w:val="75EEB0A4"/>
    <w:rsid w:val="7606795B"/>
    <w:rsid w:val="7630AED2"/>
    <w:rsid w:val="76398F54"/>
    <w:rsid w:val="7652DFE8"/>
    <w:rsid w:val="76889D1F"/>
    <w:rsid w:val="7695A4C1"/>
    <w:rsid w:val="76BF7083"/>
    <w:rsid w:val="76CA50F8"/>
    <w:rsid w:val="77175D74"/>
    <w:rsid w:val="771A28C8"/>
    <w:rsid w:val="77265648"/>
    <w:rsid w:val="7736E110"/>
    <w:rsid w:val="773AC3E0"/>
    <w:rsid w:val="77527341"/>
    <w:rsid w:val="775F6AD3"/>
    <w:rsid w:val="776E80F1"/>
    <w:rsid w:val="77747A87"/>
    <w:rsid w:val="777BA52E"/>
    <w:rsid w:val="77A1A591"/>
    <w:rsid w:val="77E1EE8A"/>
    <w:rsid w:val="7822B395"/>
    <w:rsid w:val="7822D6CE"/>
    <w:rsid w:val="784E5092"/>
    <w:rsid w:val="7856244B"/>
    <w:rsid w:val="7858B2A6"/>
    <w:rsid w:val="78594925"/>
    <w:rsid w:val="786DD861"/>
    <w:rsid w:val="786DF399"/>
    <w:rsid w:val="7876C78A"/>
    <w:rsid w:val="78802837"/>
    <w:rsid w:val="788AD23A"/>
    <w:rsid w:val="78C1A0C3"/>
    <w:rsid w:val="78D5F4CA"/>
    <w:rsid w:val="78E0B867"/>
    <w:rsid w:val="78F3D80E"/>
    <w:rsid w:val="79075B01"/>
    <w:rsid w:val="7923D572"/>
    <w:rsid w:val="7928EABB"/>
    <w:rsid w:val="7938E2DB"/>
    <w:rsid w:val="7947FD6A"/>
    <w:rsid w:val="7948397E"/>
    <w:rsid w:val="79549E79"/>
    <w:rsid w:val="7970F2B4"/>
    <w:rsid w:val="7974E478"/>
    <w:rsid w:val="798AD84F"/>
    <w:rsid w:val="7990BC42"/>
    <w:rsid w:val="79947773"/>
    <w:rsid w:val="79986E08"/>
    <w:rsid w:val="79A61ED2"/>
    <w:rsid w:val="79BF8151"/>
    <w:rsid w:val="79DA72EB"/>
    <w:rsid w:val="7A13C6C6"/>
    <w:rsid w:val="7A1E0F6D"/>
    <w:rsid w:val="7A317519"/>
    <w:rsid w:val="7A330DCD"/>
    <w:rsid w:val="7A63A33D"/>
    <w:rsid w:val="7A646EC2"/>
    <w:rsid w:val="7A6A94A4"/>
    <w:rsid w:val="7A6DEA5A"/>
    <w:rsid w:val="7A91FB2D"/>
    <w:rsid w:val="7A95CDC3"/>
    <w:rsid w:val="7AA55958"/>
    <w:rsid w:val="7AAC875A"/>
    <w:rsid w:val="7AB9FCF9"/>
    <w:rsid w:val="7AE409DF"/>
    <w:rsid w:val="7AE8B21A"/>
    <w:rsid w:val="7AF17E49"/>
    <w:rsid w:val="7B0A833F"/>
    <w:rsid w:val="7B1461C6"/>
    <w:rsid w:val="7B26D0C5"/>
    <w:rsid w:val="7B307A2A"/>
    <w:rsid w:val="7B343E69"/>
    <w:rsid w:val="7B35B4CF"/>
    <w:rsid w:val="7B3947A9"/>
    <w:rsid w:val="7B64612D"/>
    <w:rsid w:val="7B65F531"/>
    <w:rsid w:val="7BA94234"/>
    <w:rsid w:val="7C179B93"/>
    <w:rsid w:val="7C4E8527"/>
    <w:rsid w:val="7C682DEC"/>
    <w:rsid w:val="7C9EF2CD"/>
    <w:rsid w:val="7CA4BF80"/>
    <w:rsid w:val="7CB3FBB5"/>
    <w:rsid w:val="7CC2851E"/>
    <w:rsid w:val="7D00318E"/>
    <w:rsid w:val="7D0980D3"/>
    <w:rsid w:val="7D15FE6C"/>
    <w:rsid w:val="7DD16C47"/>
    <w:rsid w:val="7E1E6FF9"/>
    <w:rsid w:val="7E2927F7"/>
    <w:rsid w:val="7E299484"/>
    <w:rsid w:val="7E318414"/>
    <w:rsid w:val="7E4AE4FD"/>
    <w:rsid w:val="7E4C024C"/>
    <w:rsid w:val="7E546FB7"/>
    <w:rsid w:val="7E6366E8"/>
    <w:rsid w:val="7E748A7D"/>
    <w:rsid w:val="7EBAF729"/>
    <w:rsid w:val="7ED2386E"/>
    <w:rsid w:val="7ED2A839"/>
    <w:rsid w:val="7EF1F476"/>
    <w:rsid w:val="7EFFC2C9"/>
    <w:rsid w:val="7F05D9FF"/>
    <w:rsid w:val="7F27AB0F"/>
    <w:rsid w:val="7F2CAD68"/>
    <w:rsid w:val="7F304C84"/>
    <w:rsid w:val="7F388C63"/>
    <w:rsid w:val="7F45D5C5"/>
    <w:rsid w:val="7F57F058"/>
    <w:rsid w:val="7F5979EB"/>
    <w:rsid w:val="7F5BFF2B"/>
    <w:rsid w:val="7F5FEA78"/>
    <w:rsid w:val="7F62A9E5"/>
    <w:rsid w:val="7FB82445"/>
    <w:rsid w:val="7FD520E5"/>
    <w:rsid w:val="7FD96902"/>
    <w:rsid w:val="7FE88757"/>
    <w:rsid w:val="7FF846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ED269"/>
  <w15:docId w15:val="{037ADC3B-AA2B-43C3-A000-2B81782D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5D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Spacing"/>
    <w:next w:val="Normal"/>
    <w:link w:val="Heading2Char"/>
    <w:autoRedefine/>
    <w:uiPriority w:val="9"/>
    <w:unhideWhenUsed/>
    <w:qFormat/>
    <w:rsid w:val="00E044A4"/>
    <w:pPr>
      <w:numPr>
        <w:ilvl w:val="1"/>
        <w:numId w:val="3"/>
      </w:numPr>
      <w:tabs>
        <w:tab w:val="num" w:pos="360"/>
      </w:tabs>
      <w:spacing w:after="60" w:line="22" w:lineRule="atLeast"/>
      <w:ind w:left="709"/>
      <w:jc w:val="both"/>
      <w:outlineLvl w:val="1"/>
    </w:pPr>
    <w:rPr>
      <w:rFonts w:eastAsia="MS Gothic"/>
      <w:color w:val="2F5496" w:themeColor="accent1" w:themeShade="BF"/>
      <w:sz w:val="26"/>
      <w:lang w:val="en-US"/>
    </w:rPr>
  </w:style>
  <w:style w:type="paragraph" w:styleId="Heading3">
    <w:name w:val="heading 3"/>
    <w:basedOn w:val="Normal"/>
    <w:next w:val="Normal"/>
    <w:link w:val="Heading3Char"/>
    <w:autoRedefine/>
    <w:uiPriority w:val="9"/>
    <w:unhideWhenUsed/>
    <w:qFormat/>
    <w:rsid w:val="00AF04EE"/>
    <w:pPr>
      <w:keepNext/>
      <w:keepLines/>
      <w:numPr>
        <w:ilvl w:val="2"/>
        <w:numId w:val="3"/>
      </w:numPr>
      <w:spacing w:after="240" w:line="22" w:lineRule="atLeast"/>
      <w:ind w:left="709" w:hanging="709"/>
      <w:outlineLvl w:val="2"/>
    </w:pPr>
    <w:rPr>
      <w:rFonts w:ascii="Calibri" w:eastAsia="Calibri" w:hAnsi="Calibri" w:cstheme="minorHAnsi"/>
      <w:bCs/>
      <w:color w:val="1F3864" w:themeColor="accent1" w:themeShade="80"/>
      <w:szCs w:val="16"/>
    </w:rPr>
  </w:style>
  <w:style w:type="paragraph" w:styleId="Heading4">
    <w:name w:val="heading 4"/>
    <w:basedOn w:val="Normal"/>
    <w:next w:val="Normal"/>
    <w:link w:val="Heading4Char"/>
    <w:uiPriority w:val="9"/>
    <w:unhideWhenUsed/>
    <w:qFormat/>
    <w:rsid w:val="003F15A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autoRedefine/>
    <w:uiPriority w:val="9"/>
    <w:unhideWhenUsed/>
    <w:qFormat/>
    <w:rsid w:val="00EB1B9A"/>
    <w:pPr>
      <w:keepNext/>
      <w:keepLines/>
      <w:spacing w:before="200" w:after="0" w:line="276" w:lineRule="auto"/>
      <w:outlineLvl w:val="5"/>
    </w:pPr>
    <w:rPr>
      <w:rFonts w:ascii="Calibri Light" w:eastAsiaTheme="majorEastAsia" w:hAnsi="Calibri Light"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44A4"/>
    <w:rPr>
      <w:rFonts w:eastAsia="MS Gothic"/>
      <w:color w:val="2F5496" w:themeColor="accent1" w:themeShade="BF"/>
      <w:sz w:val="26"/>
      <w:lang w:val="en-US"/>
    </w:rPr>
  </w:style>
  <w:style w:type="paragraph" w:styleId="NoSpacing">
    <w:name w:val="No Spacing"/>
    <w:uiPriority w:val="1"/>
    <w:qFormat/>
    <w:rsid w:val="00EB1B9A"/>
    <w:pPr>
      <w:spacing w:after="0" w:line="240" w:lineRule="auto"/>
    </w:pPr>
  </w:style>
  <w:style w:type="character" w:customStyle="1" w:styleId="Heading3Char">
    <w:name w:val="Heading 3 Char"/>
    <w:basedOn w:val="DefaultParagraphFont"/>
    <w:link w:val="Heading3"/>
    <w:uiPriority w:val="9"/>
    <w:rsid w:val="00AF04EE"/>
    <w:rPr>
      <w:rFonts w:ascii="Calibri" w:eastAsia="Calibri" w:hAnsi="Calibri" w:cstheme="minorHAnsi"/>
      <w:bCs/>
      <w:color w:val="1F3864" w:themeColor="accent1" w:themeShade="80"/>
      <w:szCs w:val="16"/>
    </w:rPr>
  </w:style>
  <w:style w:type="character" w:customStyle="1" w:styleId="Heading6Char">
    <w:name w:val="Heading 6 Char"/>
    <w:basedOn w:val="DefaultParagraphFont"/>
    <w:link w:val="Heading6"/>
    <w:uiPriority w:val="9"/>
    <w:rsid w:val="00EB1B9A"/>
    <w:rPr>
      <w:rFonts w:ascii="Calibri Light" w:eastAsiaTheme="majorEastAsia" w:hAnsi="Calibri Light" w:cstheme="majorBidi"/>
      <w:i/>
      <w:iCs/>
      <w:color w:val="1F3763" w:themeColor="accent1" w:themeShade="7F"/>
    </w:rPr>
  </w:style>
  <w:style w:type="paragraph" w:styleId="Title">
    <w:name w:val="Title"/>
    <w:basedOn w:val="Normal"/>
    <w:next w:val="Normal"/>
    <w:link w:val="TitleChar"/>
    <w:uiPriority w:val="10"/>
    <w:qFormat/>
    <w:rsid w:val="00D65DC0"/>
    <w:pPr>
      <w:spacing w:after="0" w:line="240" w:lineRule="auto"/>
      <w:contextualSpacing/>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uiPriority w:val="10"/>
    <w:rsid w:val="00D65DC0"/>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D65DC0"/>
    <w:rPr>
      <w:rFonts w:ascii="Calibri" w:eastAsia="Calibri" w:hAnsi="Calibri" w:cs="Calibri"/>
      <w:color w:val="5A5A5A"/>
      <w:lang w:eastAsia="en-GB"/>
    </w:rPr>
  </w:style>
  <w:style w:type="character" w:customStyle="1" w:styleId="SubtitleChar">
    <w:name w:val="Subtitle Char"/>
    <w:basedOn w:val="DefaultParagraphFont"/>
    <w:link w:val="Subtitle"/>
    <w:uiPriority w:val="11"/>
    <w:rsid w:val="00D65DC0"/>
    <w:rPr>
      <w:rFonts w:ascii="Calibri" w:eastAsia="Calibri" w:hAnsi="Calibri" w:cs="Calibri"/>
      <w:color w:val="5A5A5A"/>
      <w:lang w:eastAsia="en-GB"/>
    </w:rPr>
  </w:style>
  <w:style w:type="character" w:customStyle="1" w:styleId="Heading1Char">
    <w:name w:val="Heading 1 Char"/>
    <w:basedOn w:val="DefaultParagraphFont"/>
    <w:link w:val="Heading1"/>
    <w:uiPriority w:val="9"/>
    <w:rsid w:val="00D65DC0"/>
    <w:rPr>
      <w:rFonts w:asciiTheme="majorHAnsi" w:eastAsiaTheme="majorEastAsia" w:hAnsiTheme="majorHAnsi" w:cstheme="majorBidi"/>
      <w:color w:val="2F5496" w:themeColor="accent1" w:themeShade="BF"/>
      <w:sz w:val="32"/>
      <w:szCs w:val="32"/>
    </w:rPr>
  </w:style>
  <w:style w:type="table" w:styleId="GridTable4-Accent5">
    <w:name w:val="Grid Table 4 Accent 5"/>
    <w:basedOn w:val="TableNormal"/>
    <w:uiPriority w:val="49"/>
    <w:rsid w:val="00D65DC0"/>
    <w:pPr>
      <w:spacing w:after="0" w:line="240" w:lineRule="auto"/>
    </w:pPr>
    <w:rPr>
      <w:rFonts w:ascii="Calibri" w:eastAsia="Calibri" w:hAnsi="Calibri" w:cs="Calibri"/>
      <w:lang w:eastAsia="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5">
    <w:name w:val="Grid Table 6 Colorful Accent 5"/>
    <w:basedOn w:val="TableNormal"/>
    <w:uiPriority w:val="51"/>
    <w:rsid w:val="00D65DC0"/>
    <w:pPr>
      <w:spacing w:after="0" w:line="240" w:lineRule="auto"/>
    </w:pPr>
    <w:rPr>
      <w:rFonts w:ascii="Calibri" w:eastAsia="Calibri" w:hAnsi="Calibri" w:cs="Calibri"/>
      <w:color w:val="2E74B5" w:themeColor="accent5" w:themeShade="BF"/>
      <w:lang w:eastAsia="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
    <w:name w:val="Table Grid"/>
    <w:basedOn w:val="TableNormal"/>
    <w:uiPriority w:val="39"/>
    <w:rsid w:val="00D65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1CE"/>
    <w:pPr>
      <w:ind w:left="720"/>
      <w:contextualSpacing/>
    </w:pPr>
  </w:style>
  <w:style w:type="paragraph" w:customStyle="1" w:styleId="Normal1">
    <w:name w:val="Normal1"/>
    <w:rsid w:val="001D41CE"/>
    <w:pPr>
      <w:pBdr>
        <w:top w:val="nil"/>
        <w:left w:val="nil"/>
        <w:bottom w:val="nil"/>
        <w:right w:val="nil"/>
        <w:between w:val="nil"/>
      </w:pBdr>
      <w:spacing w:after="0" w:line="240" w:lineRule="auto"/>
    </w:pPr>
    <w:rPr>
      <w:rFonts w:ascii="Arial" w:eastAsia="Arial" w:hAnsi="Arial" w:cs="Arial"/>
      <w:color w:val="000000"/>
      <w:sz w:val="24"/>
      <w:szCs w:val="24"/>
    </w:rPr>
  </w:style>
  <w:style w:type="character" w:styleId="FootnoteReference">
    <w:name w:val="footnote reference"/>
    <w:basedOn w:val="DefaultParagraphFont"/>
    <w:uiPriority w:val="99"/>
    <w:semiHidden/>
    <w:unhideWhenUsed/>
    <w:rsid w:val="00884562"/>
    <w:rPr>
      <w:vertAlign w:val="superscript"/>
    </w:rPr>
  </w:style>
  <w:style w:type="character" w:customStyle="1" w:styleId="Heading4Char">
    <w:name w:val="Heading 4 Char"/>
    <w:basedOn w:val="DefaultParagraphFont"/>
    <w:link w:val="Heading4"/>
    <w:uiPriority w:val="9"/>
    <w:rsid w:val="003F15A5"/>
    <w:rPr>
      <w:rFonts w:asciiTheme="majorHAnsi" w:eastAsiaTheme="majorEastAsia" w:hAnsiTheme="majorHAnsi" w:cstheme="majorBidi"/>
      <w:i/>
      <w:iCs/>
      <w:color w:val="2F5496" w:themeColor="accent1" w:themeShade="BF"/>
    </w:rPr>
  </w:style>
  <w:style w:type="character" w:customStyle="1" w:styleId="normaltextrun">
    <w:name w:val="normaltextrun"/>
    <w:basedOn w:val="DefaultParagraphFont"/>
    <w:rsid w:val="00997DAB"/>
  </w:style>
  <w:style w:type="paragraph" w:customStyle="1" w:styleId="paragraph">
    <w:name w:val="paragraph"/>
    <w:basedOn w:val="Normal"/>
    <w:rsid w:val="00BB76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BB7661"/>
  </w:style>
  <w:style w:type="character" w:styleId="CommentReference">
    <w:name w:val="annotation reference"/>
    <w:basedOn w:val="DefaultParagraphFont"/>
    <w:uiPriority w:val="99"/>
    <w:semiHidden/>
    <w:unhideWhenUsed/>
    <w:rsid w:val="000F0621"/>
    <w:rPr>
      <w:sz w:val="16"/>
      <w:szCs w:val="16"/>
    </w:rPr>
  </w:style>
  <w:style w:type="paragraph" w:styleId="CommentText">
    <w:name w:val="annotation text"/>
    <w:basedOn w:val="Normal"/>
    <w:link w:val="CommentTextChar"/>
    <w:uiPriority w:val="99"/>
    <w:unhideWhenUsed/>
    <w:rsid w:val="000F0621"/>
    <w:pPr>
      <w:spacing w:line="240" w:lineRule="auto"/>
    </w:pPr>
    <w:rPr>
      <w:sz w:val="20"/>
      <w:szCs w:val="20"/>
    </w:rPr>
  </w:style>
  <w:style w:type="character" w:customStyle="1" w:styleId="CommentTextChar">
    <w:name w:val="Comment Text Char"/>
    <w:basedOn w:val="DefaultParagraphFont"/>
    <w:link w:val="CommentText"/>
    <w:uiPriority w:val="99"/>
    <w:rsid w:val="000F0621"/>
    <w:rPr>
      <w:sz w:val="20"/>
      <w:szCs w:val="20"/>
    </w:rPr>
  </w:style>
  <w:style w:type="paragraph" w:styleId="CommentSubject">
    <w:name w:val="annotation subject"/>
    <w:basedOn w:val="CommentText"/>
    <w:next w:val="CommentText"/>
    <w:link w:val="CommentSubjectChar"/>
    <w:uiPriority w:val="99"/>
    <w:semiHidden/>
    <w:unhideWhenUsed/>
    <w:rsid w:val="000F0621"/>
    <w:rPr>
      <w:b/>
      <w:bCs/>
    </w:rPr>
  </w:style>
  <w:style w:type="character" w:customStyle="1" w:styleId="CommentSubjectChar">
    <w:name w:val="Comment Subject Char"/>
    <w:basedOn w:val="CommentTextChar"/>
    <w:link w:val="CommentSubject"/>
    <w:uiPriority w:val="99"/>
    <w:semiHidden/>
    <w:rsid w:val="000F0621"/>
    <w:rPr>
      <w:b/>
      <w:bCs/>
      <w:sz w:val="20"/>
      <w:szCs w:val="20"/>
    </w:rPr>
  </w:style>
  <w:style w:type="paragraph" w:styleId="Header">
    <w:name w:val="header"/>
    <w:basedOn w:val="Normal"/>
    <w:link w:val="HeaderChar"/>
    <w:uiPriority w:val="99"/>
    <w:unhideWhenUsed/>
    <w:rsid w:val="000156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6B2"/>
  </w:style>
  <w:style w:type="paragraph" w:styleId="Footer">
    <w:name w:val="footer"/>
    <w:basedOn w:val="Normal"/>
    <w:link w:val="FooterChar"/>
    <w:uiPriority w:val="99"/>
    <w:unhideWhenUsed/>
    <w:rsid w:val="000156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6B2"/>
  </w:style>
  <w:style w:type="paragraph" w:styleId="Quote">
    <w:name w:val="Quote"/>
    <w:basedOn w:val="Normal"/>
    <w:next w:val="Normal"/>
    <w:link w:val="QuoteChar"/>
    <w:uiPriority w:val="29"/>
    <w:qFormat/>
    <w:rsid w:val="003F1D0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F1D02"/>
    <w:rPr>
      <w:i/>
      <w:iCs/>
      <w:color w:val="404040" w:themeColor="text1" w:themeTint="BF"/>
    </w:rPr>
  </w:style>
  <w:style w:type="character" w:styleId="Hyperlink">
    <w:name w:val="Hyperlink"/>
    <w:basedOn w:val="DefaultParagraphFont"/>
    <w:uiPriority w:val="99"/>
    <w:unhideWhenUsed/>
    <w:rsid w:val="00E2141B"/>
    <w:rPr>
      <w:color w:val="0563C1" w:themeColor="hyperlink"/>
      <w:u w:val="single"/>
    </w:rPr>
  </w:style>
  <w:style w:type="character" w:styleId="UnresolvedMention">
    <w:name w:val="Unresolved Mention"/>
    <w:basedOn w:val="DefaultParagraphFont"/>
    <w:uiPriority w:val="99"/>
    <w:unhideWhenUsed/>
    <w:rsid w:val="00E2141B"/>
    <w:rPr>
      <w:color w:val="605E5C"/>
      <w:shd w:val="clear" w:color="auto" w:fill="E1DFDD"/>
    </w:rPr>
  </w:style>
  <w:style w:type="paragraph" w:styleId="FootnoteText">
    <w:name w:val="footnote text"/>
    <w:basedOn w:val="Normal"/>
    <w:link w:val="FootnoteTextChar"/>
    <w:uiPriority w:val="99"/>
    <w:semiHidden/>
    <w:unhideWhenUsed/>
    <w:rsid w:val="00BC67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67C7"/>
    <w:rPr>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B321ED"/>
    <w:pPr>
      <w:spacing w:after="0" w:line="240" w:lineRule="auto"/>
    </w:pPr>
  </w:style>
  <w:style w:type="paragraph" w:styleId="BodyText">
    <w:name w:val="Body Text"/>
    <w:basedOn w:val="Normal"/>
    <w:link w:val="BodyTextChar"/>
    <w:uiPriority w:val="1"/>
    <w:qFormat/>
    <w:rsid w:val="00312AD6"/>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312AD6"/>
    <w:rPr>
      <w:rFonts w:ascii="Arial" w:eastAsia="Arial" w:hAnsi="Arial" w:cs="Arial"/>
      <w:lang w:val="en-US"/>
    </w:rPr>
  </w:style>
  <w:style w:type="paragraph" w:customStyle="1" w:styleId="TableParagraph">
    <w:name w:val="Table Paragraph"/>
    <w:basedOn w:val="Normal"/>
    <w:uiPriority w:val="1"/>
    <w:qFormat/>
    <w:rsid w:val="00894DBC"/>
    <w:pPr>
      <w:widowControl w:val="0"/>
      <w:autoSpaceDE w:val="0"/>
      <w:autoSpaceDN w:val="0"/>
      <w:spacing w:after="0" w:line="240" w:lineRule="auto"/>
    </w:pPr>
    <w:rPr>
      <w:rFonts w:ascii="Arial" w:eastAsia="Arial" w:hAnsi="Arial" w:cs="Arial"/>
      <w:lang w:val="en-US"/>
    </w:rPr>
  </w:style>
  <w:style w:type="paragraph" w:styleId="NormalWeb">
    <w:name w:val="Normal (Web)"/>
    <w:basedOn w:val="Normal"/>
    <w:uiPriority w:val="99"/>
    <w:semiHidden/>
    <w:unhideWhenUsed/>
    <w:rsid w:val="00C250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460DEE"/>
    <w:pPr>
      <w:autoSpaceDE w:val="0"/>
      <w:autoSpaceDN w:val="0"/>
      <w:adjustRightInd w:val="0"/>
      <w:spacing w:after="0" w:line="240" w:lineRule="auto"/>
    </w:pPr>
    <w:rPr>
      <w:rFonts w:ascii="Calibri" w:hAnsi="Calibri" w:cs="Calibri"/>
      <w:color w:val="000000"/>
      <w:sz w:val="24"/>
      <w:szCs w:val="24"/>
      <w:lang w:val="en-US"/>
    </w:rPr>
  </w:style>
  <w:style w:type="character" w:styleId="FollowedHyperlink">
    <w:name w:val="FollowedHyperlink"/>
    <w:basedOn w:val="DefaultParagraphFont"/>
    <w:uiPriority w:val="99"/>
    <w:semiHidden/>
    <w:unhideWhenUsed/>
    <w:rsid w:val="00E83D88"/>
    <w:rPr>
      <w:color w:val="954F72" w:themeColor="followedHyperlink"/>
      <w:u w:val="single"/>
    </w:rPr>
  </w:style>
  <w:style w:type="character" w:customStyle="1" w:styleId="findhit">
    <w:name w:val="findhit"/>
    <w:basedOn w:val="DefaultParagraphFont"/>
    <w:rsid w:val="00255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6371">
      <w:bodyDiv w:val="1"/>
      <w:marLeft w:val="0"/>
      <w:marRight w:val="0"/>
      <w:marTop w:val="0"/>
      <w:marBottom w:val="0"/>
      <w:divBdr>
        <w:top w:val="none" w:sz="0" w:space="0" w:color="auto"/>
        <w:left w:val="none" w:sz="0" w:space="0" w:color="auto"/>
        <w:bottom w:val="none" w:sz="0" w:space="0" w:color="auto"/>
        <w:right w:val="none" w:sz="0" w:space="0" w:color="auto"/>
      </w:divBdr>
      <w:divsChild>
        <w:div w:id="736979266">
          <w:marLeft w:val="0"/>
          <w:marRight w:val="0"/>
          <w:marTop w:val="0"/>
          <w:marBottom w:val="0"/>
          <w:divBdr>
            <w:top w:val="none" w:sz="0" w:space="0" w:color="auto"/>
            <w:left w:val="none" w:sz="0" w:space="0" w:color="auto"/>
            <w:bottom w:val="none" w:sz="0" w:space="0" w:color="auto"/>
            <w:right w:val="none" w:sz="0" w:space="0" w:color="auto"/>
          </w:divBdr>
        </w:div>
        <w:div w:id="836503432">
          <w:marLeft w:val="0"/>
          <w:marRight w:val="0"/>
          <w:marTop w:val="0"/>
          <w:marBottom w:val="0"/>
          <w:divBdr>
            <w:top w:val="none" w:sz="0" w:space="0" w:color="auto"/>
            <w:left w:val="none" w:sz="0" w:space="0" w:color="auto"/>
            <w:bottom w:val="none" w:sz="0" w:space="0" w:color="auto"/>
            <w:right w:val="none" w:sz="0" w:space="0" w:color="auto"/>
          </w:divBdr>
        </w:div>
        <w:div w:id="1843740196">
          <w:marLeft w:val="0"/>
          <w:marRight w:val="0"/>
          <w:marTop w:val="0"/>
          <w:marBottom w:val="0"/>
          <w:divBdr>
            <w:top w:val="none" w:sz="0" w:space="0" w:color="auto"/>
            <w:left w:val="none" w:sz="0" w:space="0" w:color="auto"/>
            <w:bottom w:val="none" w:sz="0" w:space="0" w:color="auto"/>
            <w:right w:val="none" w:sz="0" w:space="0" w:color="auto"/>
          </w:divBdr>
        </w:div>
      </w:divsChild>
    </w:div>
    <w:div w:id="502822077">
      <w:bodyDiv w:val="1"/>
      <w:marLeft w:val="0"/>
      <w:marRight w:val="0"/>
      <w:marTop w:val="0"/>
      <w:marBottom w:val="0"/>
      <w:divBdr>
        <w:top w:val="none" w:sz="0" w:space="0" w:color="auto"/>
        <w:left w:val="none" w:sz="0" w:space="0" w:color="auto"/>
        <w:bottom w:val="none" w:sz="0" w:space="0" w:color="auto"/>
        <w:right w:val="none" w:sz="0" w:space="0" w:color="auto"/>
      </w:divBdr>
      <w:divsChild>
        <w:div w:id="302663462">
          <w:marLeft w:val="0"/>
          <w:marRight w:val="0"/>
          <w:marTop w:val="0"/>
          <w:marBottom w:val="0"/>
          <w:divBdr>
            <w:top w:val="none" w:sz="0" w:space="0" w:color="auto"/>
            <w:left w:val="none" w:sz="0" w:space="0" w:color="auto"/>
            <w:bottom w:val="none" w:sz="0" w:space="0" w:color="auto"/>
            <w:right w:val="none" w:sz="0" w:space="0" w:color="auto"/>
          </w:divBdr>
        </w:div>
        <w:div w:id="360595984">
          <w:marLeft w:val="0"/>
          <w:marRight w:val="0"/>
          <w:marTop w:val="0"/>
          <w:marBottom w:val="0"/>
          <w:divBdr>
            <w:top w:val="none" w:sz="0" w:space="0" w:color="auto"/>
            <w:left w:val="none" w:sz="0" w:space="0" w:color="auto"/>
            <w:bottom w:val="none" w:sz="0" w:space="0" w:color="auto"/>
            <w:right w:val="none" w:sz="0" w:space="0" w:color="auto"/>
          </w:divBdr>
        </w:div>
        <w:div w:id="521864199">
          <w:marLeft w:val="0"/>
          <w:marRight w:val="0"/>
          <w:marTop w:val="0"/>
          <w:marBottom w:val="0"/>
          <w:divBdr>
            <w:top w:val="none" w:sz="0" w:space="0" w:color="auto"/>
            <w:left w:val="none" w:sz="0" w:space="0" w:color="auto"/>
            <w:bottom w:val="none" w:sz="0" w:space="0" w:color="auto"/>
            <w:right w:val="none" w:sz="0" w:space="0" w:color="auto"/>
          </w:divBdr>
        </w:div>
        <w:div w:id="1084259751">
          <w:marLeft w:val="0"/>
          <w:marRight w:val="0"/>
          <w:marTop w:val="0"/>
          <w:marBottom w:val="0"/>
          <w:divBdr>
            <w:top w:val="none" w:sz="0" w:space="0" w:color="auto"/>
            <w:left w:val="none" w:sz="0" w:space="0" w:color="auto"/>
            <w:bottom w:val="none" w:sz="0" w:space="0" w:color="auto"/>
            <w:right w:val="none" w:sz="0" w:space="0" w:color="auto"/>
          </w:divBdr>
        </w:div>
        <w:div w:id="2133401789">
          <w:marLeft w:val="0"/>
          <w:marRight w:val="0"/>
          <w:marTop w:val="0"/>
          <w:marBottom w:val="0"/>
          <w:divBdr>
            <w:top w:val="none" w:sz="0" w:space="0" w:color="auto"/>
            <w:left w:val="none" w:sz="0" w:space="0" w:color="auto"/>
            <w:bottom w:val="none" w:sz="0" w:space="0" w:color="auto"/>
            <w:right w:val="none" w:sz="0" w:space="0" w:color="auto"/>
          </w:divBdr>
        </w:div>
      </w:divsChild>
    </w:div>
    <w:div w:id="512037563">
      <w:bodyDiv w:val="1"/>
      <w:marLeft w:val="0"/>
      <w:marRight w:val="0"/>
      <w:marTop w:val="0"/>
      <w:marBottom w:val="0"/>
      <w:divBdr>
        <w:top w:val="none" w:sz="0" w:space="0" w:color="auto"/>
        <w:left w:val="none" w:sz="0" w:space="0" w:color="auto"/>
        <w:bottom w:val="none" w:sz="0" w:space="0" w:color="auto"/>
        <w:right w:val="none" w:sz="0" w:space="0" w:color="auto"/>
      </w:divBdr>
      <w:divsChild>
        <w:div w:id="28409822">
          <w:marLeft w:val="0"/>
          <w:marRight w:val="0"/>
          <w:marTop w:val="0"/>
          <w:marBottom w:val="0"/>
          <w:divBdr>
            <w:top w:val="none" w:sz="0" w:space="0" w:color="auto"/>
            <w:left w:val="none" w:sz="0" w:space="0" w:color="auto"/>
            <w:bottom w:val="none" w:sz="0" w:space="0" w:color="auto"/>
            <w:right w:val="none" w:sz="0" w:space="0" w:color="auto"/>
          </w:divBdr>
        </w:div>
        <w:div w:id="181938419">
          <w:marLeft w:val="0"/>
          <w:marRight w:val="0"/>
          <w:marTop w:val="0"/>
          <w:marBottom w:val="0"/>
          <w:divBdr>
            <w:top w:val="none" w:sz="0" w:space="0" w:color="auto"/>
            <w:left w:val="none" w:sz="0" w:space="0" w:color="auto"/>
            <w:bottom w:val="none" w:sz="0" w:space="0" w:color="auto"/>
            <w:right w:val="none" w:sz="0" w:space="0" w:color="auto"/>
          </w:divBdr>
        </w:div>
        <w:div w:id="228469281">
          <w:marLeft w:val="0"/>
          <w:marRight w:val="0"/>
          <w:marTop w:val="0"/>
          <w:marBottom w:val="0"/>
          <w:divBdr>
            <w:top w:val="none" w:sz="0" w:space="0" w:color="auto"/>
            <w:left w:val="none" w:sz="0" w:space="0" w:color="auto"/>
            <w:bottom w:val="none" w:sz="0" w:space="0" w:color="auto"/>
            <w:right w:val="none" w:sz="0" w:space="0" w:color="auto"/>
          </w:divBdr>
        </w:div>
        <w:div w:id="263925310">
          <w:marLeft w:val="0"/>
          <w:marRight w:val="0"/>
          <w:marTop w:val="0"/>
          <w:marBottom w:val="0"/>
          <w:divBdr>
            <w:top w:val="none" w:sz="0" w:space="0" w:color="auto"/>
            <w:left w:val="none" w:sz="0" w:space="0" w:color="auto"/>
            <w:bottom w:val="none" w:sz="0" w:space="0" w:color="auto"/>
            <w:right w:val="none" w:sz="0" w:space="0" w:color="auto"/>
          </w:divBdr>
        </w:div>
        <w:div w:id="412896472">
          <w:marLeft w:val="0"/>
          <w:marRight w:val="0"/>
          <w:marTop w:val="0"/>
          <w:marBottom w:val="0"/>
          <w:divBdr>
            <w:top w:val="none" w:sz="0" w:space="0" w:color="auto"/>
            <w:left w:val="none" w:sz="0" w:space="0" w:color="auto"/>
            <w:bottom w:val="none" w:sz="0" w:space="0" w:color="auto"/>
            <w:right w:val="none" w:sz="0" w:space="0" w:color="auto"/>
          </w:divBdr>
        </w:div>
        <w:div w:id="982123087">
          <w:marLeft w:val="0"/>
          <w:marRight w:val="0"/>
          <w:marTop w:val="0"/>
          <w:marBottom w:val="0"/>
          <w:divBdr>
            <w:top w:val="none" w:sz="0" w:space="0" w:color="auto"/>
            <w:left w:val="none" w:sz="0" w:space="0" w:color="auto"/>
            <w:bottom w:val="none" w:sz="0" w:space="0" w:color="auto"/>
            <w:right w:val="none" w:sz="0" w:space="0" w:color="auto"/>
          </w:divBdr>
        </w:div>
      </w:divsChild>
    </w:div>
    <w:div w:id="944313878">
      <w:bodyDiv w:val="1"/>
      <w:marLeft w:val="0"/>
      <w:marRight w:val="0"/>
      <w:marTop w:val="0"/>
      <w:marBottom w:val="0"/>
      <w:divBdr>
        <w:top w:val="none" w:sz="0" w:space="0" w:color="auto"/>
        <w:left w:val="none" w:sz="0" w:space="0" w:color="auto"/>
        <w:bottom w:val="none" w:sz="0" w:space="0" w:color="auto"/>
        <w:right w:val="none" w:sz="0" w:space="0" w:color="auto"/>
      </w:divBdr>
      <w:divsChild>
        <w:div w:id="407461227">
          <w:marLeft w:val="0"/>
          <w:marRight w:val="0"/>
          <w:marTop w:val="0"/>
          <w:marBottom w:val="0"/>
          <w:divBdr>
            <w:top w:val="none" w:sz="0" w:space="0" w:color="auto"/>
            <w:left w:val="none" w:sz="0" w:space="0" w:color="auto"/>
            <w:bottom w:val="none" w:sz="0" w:space="0" w:color="auto"/>
            <w:right w:val="none" w:sz="0" w:space="0" w:color="auto"/>
          </w:divBdr>
        </w:div>
        <w:div w:id="641346842">
          <w:marLeft w:val="0"/>
          <w:marRight w:val="0"/>
          <w:marTop w:val="0"/>
          <w:marBottom w:val="0"/>
          <w:divBdr>
            <w:top w:val="none" w:sz="0" w:space="0" w:color="auto"/>
            <w:left w:val="none" w:sz="0" w:space="0" w:color="auto"/>
            <w:bottom w:val="none" w:sz="0" w:space="0" w:color="auto"/>
            <w:right w:val="none" w:sz="0" w:space="0" w:color="auto"/>
          </w:divBdr>
          <w:divsChild>
            <w:div w:id="1312831513">
              <w:marLeft w:val="-75"/>
              <w:marRight w:val="0"/>
              <w:marTop w:val="30"/>
              <w:marBottom w:val="30"/>
              <w:divBdr>
                <w:top w:val="none" w:sz="0" w:space="0" w:color="auto"/>
                <w:left w:val="none" w:sz="0" w:space="0" w:color="auto"/>
                <w:bottom w:val="none" w:sz="0" w:space="0" w:color="auto"/>
                <w:right w:val="none" w:sz="0" w:space="0" w:color="auto"/>
              </w:divBdr>
              <w:divsChild>
                <w:div w:id="30497620">
                  <w:marLeft w:val="0"/>
                  <w:marRight w:val="0"/>
                  <w:marTop w:val="0"/>
                  <w:marBottom w:val="0"/>
                  <w:divBdr>
                    <w:top w:val="none" w:sz="0" w:space="0" w:color="auto"/>
                    <w:left w:val="none" w:sz="0" w:space="0" w:color="auto"/>
                    <w:bottom w:val="none" w:sz="0" w:space="0" w:color="auto"/>
                    <w:right w:val="none" w:sz="0" w:space="0" w:color="auto"/>
                  </w:divBdr>
                  <w:divsChild>
                    <w:div w:id="1932816115">
                      <w:marLeft w:val="0"/>
                      <w:marRight w:val="0"/>
                      <w:marTop w:val="0"/>
                      <w:marBottom w:val="0"/>
                      <w:divBdr>
                        <w:top w:val="none" w:sz="0" w:space="0" w:color="auto"/>
                        <w:left w:val="none" w:sz="0" w:space="0" w:color="auto"/>
                        <w:bottom w:val="none" w:sz="0" w:space="0" w:color="auto"/>
                        <w:right w:val="none" w:sz="0" w:space="0" w:color="auto"/>
                      </w:divBdr>
                    </w:div>
                  </w:divsChild>
                </w:div>
                <w:div w:id="692809709">
                  <w:marLeft w:val="0"/>
                  <w:marRight w:val="0"/>
                  <w:marTop w:val="0"/>
                  <w:marBottom w:val="0"/>
                  <w:divBdr>
                    <w:top w:val="none" w:sz="0" w:space="0" w:color="auto"/>
                    <w:left w:val="none" w:sz="0" w:space="0" w:color="auto"/>
                    <w:bottom w:val="none" w:sz="0" w:space="0" w:color="auto"/>
                    <w:right w:val="none" w:sz="0" w:space="0" w:color="auto"/>
                  </w:divBdr>
                  <w:divsChild>
                    <w:div w:id="1101756395">
                      <w:marLeft w:val="0"/>
                      <w:marRight w:val="0"/>
                      <w:marTop w:val="0"/>
                      <w:marBottom w:val="0"/>
                      <w:divBdr>
                        <w:top w:val="none" w:sz="0" w:space="0" w:color="auto"/>
                        <w:left w:val="none" w:sz="0" w:space="0" w:color="auto"/>
                        <w:bottom w:val="none" w:sz="0" w:space="0" w:color="auto"/>
                        <w:right w:val="none" w:sz="0" w:space="0" w:color="auto"/>
                      </w:divBdr>
                    </w:div>
                  </w:divsChild>
                </w:div>
                <w:div w:id="761101203">
                  <w:marLeft w:val="0"/>
                  <w:marRight w:val="0"/>
                  <w:marTop w:val="0"/>
                  <w:marBottom w:val="0"/>
                  <w:divBdr>
                    <w:top w:val="none" w:sz="0" w:space="0" w:color="auto"/>
                    <w:left w:val="none" w:sz="0" w:space="0" w:color="auto"/>
                    <w:bottom w:val="none" w:sz="0" w:space="0" w:color="auto"/>
                    <w:right w:val="none" w:sz="0" w:space="0" w:color="auto"/>
                  </w:divBdr>
                  <w:divsChild>
                    <w:div w:id="1293559168">
                      <w:marLeft w:val="0"/>
                      <w:marRight w:val="0"/>
                      <w:marTop w:val="0"/>
                      <w:marBottom w:val="0"/>
                      <w:divBdr>
                        <w:top w:val="none" w:sz="0" w:space="0" w:color="auto"/>
                        <w:left w:val="none" w:sz="0" w:space="0" w:color="auto"/>
                        <w:bottom w:val="none" w:sz="0" w:space="0" w:color="auto"/>
                        <w:right w:val="none" w:sz="0" w:space="0" w:color="auto"/>
                      </w:divBdr>
                    </w:div>
                  </w:divsChild>
                </w:div>
                <w:div w:id="776407280">
                  <w:marLeft w:val="0"/>
                  <w:marRight w:val="0"/>
                  <w:marTop w:val="0"/>
                  <w:marBottom w:val="0"/>
                  <w:divBdr>
                    <w:top w:val="none" w:sz="0" w:space="0" w:color="auto"/>
                    <w:left w:val="none" w:sz="0" w:space="0" w:color="auto"/>
                    <w:bottom w:val="none" w:sz="0" w:space="0" w:color="auto"/>
                    <w:right w:val="none" w:sz="0" w:space="0" w:color="auto"/>
                  </w:divBdr>
                  <w:divsChild>
                    <w:div w:id="1599868453">
                      <w:marLeft w:val="0"/>
                      <w:marRight w:val="0"/>
                      <w:marTop w:val="0"/>
                      <w:marBottom w:val="0"/>
                      <w:divBdr>
                        <w:top w:val="none" w:sz="0" w:space="0" w:color="auto"/>
                        <w:left w:val="none" w:sz="0" w:space="0" w:color="auto"/>
                        <w:bottom w:val="none" w:sz="0" w:space="0" w:color="auto"/>
                        <w:right w:val="none" w:sz="0" w:space="0" w:color="auto"/>
                      </w:divBdr>
                    </w:div>
                  </w:divsChild>
                </w:div>
                <w:div w:id="866914640">
                  <w:marLeft w:val="0"/>
                  <w:marRight w:val="0"/>
                  <w:marTop w:val="0"/>
                  <w:marBottom w:val="0"/>
                  <w:divBdr>
                    <w:top w:val="none" w:sz="0" w:space="0" w:color="auto"/>
                    <w:left w:val="none" w:sz="0" w:space="0" w:color="auto"/>
                    <w:bottom w:val="none" w:sz="0" w:space="0" w:color="auto"/>
                    <w:right w:val="none" w:sz="0" w:space="0" w:color="auto"/>
                  </w:divBdr>
                  <w:divsChild>
                    <w:div w:id="1636182357">
                      <w:marLeft w:val="0"/>
                      <w:marRight w:val="0"/>
                      <w:marTop w:val="0"/>
                      <w:marBottom w:val="0"/>
                      <w:divBdr>
                        <w:top w:val="none" w:sz="0" w:space="0" w:color="auto"/>
                        <w:left w:val="none" w:sz="0" w:space="0" w:color="auto"/>
                        <w:bottom w:val="none" w:sz="0" w:space="0" w:color="auto"/>
                        <w:right w:val="none" w:sz="0" w:space="0" w:color="auto"/>
                      </w:divBdr>
                    </w:div>
                  </w:divsChild>
                </w:div>
                <w:div w:id="1036853114">
                  <w:marLeft w:val="0"/>
                  <w:marRight w:val="0"/>
                  <w:marTop w:val="0"/>
                  <w:marBottom w:val="0"/>
                  <w:divBdr>
                    <w:top w:val="none" w:sz="0" w:space="0" w:color="auto"/>
                    <w:left w:val="none" w:sz="0" w:space="0" w:color="auto"/>
                    <w:bottom w:val="none" w:sz="0" w:space="0" w:color="auto"/>
                    <w:right w:val="none" w:sz="0" w:space="0" w:color="auto"/>
                  </w:divBdr>
                  <w:divsChild>
                    <w:div w:id="159318668">
                      <w:marLeft w:val="0"/>
                      <w:marRight w:val="0"/>
                      <w:marTop w:val="0"/>
                      <w:marBottom w:val="0"/>
                      <w:divBdr>
                        <w:top w:val="none" w:sz="0" w:space="0" w:color="auto"/>
                        <w:left w:val="none" w:sz="0" w:space="0" w:color="auto"/>
                        <w:bottom w:val="none" w:sz="0" w:space="0" w:color="auto"/>
                        <w:right w:val="none" w:sz="0" w:space="0" w:color="auto"/>
                      </w:divBdr>
                    </w:div>
                  </w:divsChild>
                </w:div>
                <w:div w:id="1136727350">
                  <w:marLeft w:val="0"/>
                  <w:marRight w:val="0"/>
                  <w:marTop w:val="0"/>
                  <w:marBottom w:val="0"/>
                  <w:divBdr>
                    <w:top w:val="none" w:sz="0" w:space="0" w:color="auto"/>
                    <w:left w:val="none" w:sz="0" w:space="0" w:color="auto"/>
                    <w:bottom w:val="none" w:sz="0" w:space="0" w:color="auto"/>
                    <w:right w:val="none" w:sz="0" w:space="0" w:color="auto"/>
                  </w:divBdr>
                  <w:divsChild>
                    <w:div w:id="566231659">
                      <w:marLeft w:val="0"/>
                      <w:marRight w:val="0"/>
                      <w:marTop w:val="0"/>
                      <w:marBottom w:val="0"/>
                      <w:divBdr>
                        <w:top w:val="none" w:sz="0" w:space="0" w:color="auto"/>
                        <w:left w:val="none" w:sz="0" w:space="0" w:color="auto"/>
                        <w:bottom w:val="none" w:sz="0" w:space="0" w:color="auto"/>
                        <w:right w:val="none" w:sz="0" w:space="0" w:color="auto"/>
                      </w:divBdr>
                    </w:div>
                  </w:divsChild>
                </w:div>
                <w:div w:id="1138034446">
                  <w:marLeft w:val="0"/>
                  <w:marRight w:val="0"/>
                  <w:marTop w:val="0"/>
                  <w:marBottom w:val="0"/>
                  <w:divBdr>
                    <w:top w:val="none" w:sz="0" w:space="0" w:color="auto"/>
                    <w:left w:val="none" w:sz="0" w:space="0" w:color="auto"/>
                    <w:bottom w:val="none" w:sz="0" w:space="0" w:color="auto"/>
                    <w:right w:val="none" w:sz="0" w:space="0" w:color="auto"/>
                  </w:divBdr>
                  <w:divsChild>
                    <w:div w:id="926033264">
                      <w:marLeft w:val="0"/>
                      <w:marRight w:val="0"/>
                      <w:marTop w:val="0"/>
                      <w:marBottom w:val="0"/>
                      <w:divBdr>
                        <w:top w:val="none" w:sz="0" w:space="0" w:color="auto"/>
                        <w:left w:val="none" w:sz="0" w:space="0" w:color="auto"/>
                        <w:bottom w:val="none" w:sz="0" w:space="0" w:color="auto"/>
                        <w:right w:val="none" w:sz="0" w:space="0" w:color="auto"/>
                      </w:divBdr>
                    </w:div>
                  </w:divsChild>
                </w:div>
                <w:div w:id="1187327471">
                  <w:marLeft w:val="0"/>
                  <w:marRight w:val="0"/>
                  <w:marTop w:val="0"/>
                  <w:marBottom w:val="0"/>
                  <w:divBdr>
                    <w:top w:val="none" w:sz="0" w:space="0" w:color="auto"/>
                    <w:left w:val="none" w:sz="0" w:space="0" w:color="auto"/>
                    <w:bottom w:val="none" w:sz="0" w:space="0" w:color="auto"/>
                    <w:right w:val="none" w:sz="0" w:space="0" w:color="auto"/>
                  </w:divBdr>
                  <w:divsChild>
                    <w:div w:id="1567838662">
                      <w:marLeft w:val="0"/>
                      <w:marRight w:val="0"/>
                      <w:marTop w:val="0"/>
                      <w:marBottom w:val="0"/>
                      <w:divBdr>
                        <w:top w:val="none" w:sz="0" w:space="0" w:color="auto"/>
                        <w:left w:val="none" w:sz="0" w:space="0" w:color="auto"/>
                        <w:bottom w:val="none" w:sz="0" w:space="0" w:color="auto"/>
                        <w:right w:val="none" w:sz="0" w:space="0" w:color="auto"/>
                      </w:divBdr>
                    </w:div>
                  </w:divsChild>
                </w:div>
                <w:div w:id="1533497732">
                  <w:marLeft w:val="0"/>
                  <w:marRight w:val="0"/>
                  <w:marTop w:val="0"/>
                  <w:marBottom w:val="0"/>
                  <w:divBdr>
                    <w:top w:val="none" w:sz="0" w:space="0" w:color="auto"/>
                    <w:left w:val="none" w:sz="0" w:space="0" w:color="auto"/>
                    <w:bottom w:val="none" w:sz="0" w:space="0" w:color="auto"/>
                    <w:right w:val="none" w:sz="0" w:space="0" w:color="auto"/>
                  </w:divBdr>
                  <w:divsChild>
                    <w:div w:id="800458348">
                      <w:marLeft w:val="0"/>
                      <w:marRight w:val="0"/>
                      <w:marTop w:val="0"/>
                      <w:marBottom w:val="0"/>
                      <w:divBdr>
                        <w:top w:val="none" w:sz="0" w:space="0" w:color="auto"/>
                        <w:left w:val="none" w:sz="0" w:space="0" w:color="auto"/>
                        <w:bottom w:val="none" w:sz="0" w:space="0" w:color="auto"/>
                        <w:right w:val="none" w:sz="0" w:space="0" w:color="auto"/>
                      </w:divBdr>
                    </w:div>
                  </w:divsChild>
                </w:div>
                <w:div w:id="1606572753">
                  <w:marLeft w:val="0"/>
                  <w:marRight w:val="0"/>
                  <w:marTop w:val="0"/>
                  <w:marBottom w:val="0"/>
                  <w:divBdr>
                    <w:top w:val="none" w:sz="0" w:space="0" w:color="auto"/>
                    <w:left w:val="none" w:sz="0" w:space="0" w:color="auto"/>
                    <w:bottom w:val="none" w:sz="0" w:space="0" w:color="auto"/>
                    <w:right w:val="none" w:sz="0" w:space="0" w:color="auto"/>
                  </w:divBdr>
                  <w:divsChild>
                    <w:div w:id="1599214489">
                      <w:marLeft w:val="0"/>
                      <w:marRight w:val="0"/>
                      <w:marTop w:val="0"/>
                      <w:marBottom w:val="0"/>
                      <w:divBdr>
                        <w:top w:val="none" w:sz="0" w:space="0" w:color="auto"/>
                        <w:left w:val="none" w:sz="0" w:space="0" w:color="auto"/>
                        <w:bottom w:val="none" w:sz="0" w:space="0" w:color="auto"/>
                        <w:right w:val="none" w:sz="0" w:space="0" w:color="auto"/>
                      </w:divBdr>
                    </w:div>
                  </w:divsChild>
                </w:div>
                <w:div w:id="1677147081">
                  <w:marLeft w:val="0"/>
                  <w:marRight w:val="0"/>
                  <w:marTop w:val="0"/>
                  <w:marBottom w:val="0"/>
                  <w:divBdr>
                    <w:top w:val="none" w:sz="0" w:space="0" w:color="auto"/>
                    <w:left w:val="none" w:sz="0" w:space="0" w:color="auto"/>
                    <w:bottom w:val="none" w:sz="0" w:space="0" w:color="auto"/>
                    <w:right w:val="none" w:sz="0" w:space="0" w:color="auto"/>
                  </w:divBdr>
                  <w:divsChild>
                    <w:div w:id="941302919">
                      <w:marLeft w:val="0"/>
                      <w:marRight w:val="0"/>
                      <w:marTop w:val="0"/>
                      <w:marBottom w:val="0"/>
                      <w:divBdr>
                        <w:top w:val="none" w:sz="0" w:space="0" w:color="auto"/>
                        <w:left w:val="none" w:sz="0" w:space="0" w:color="auto"/>
                        <w:bottom w:val="none" w:sz="0" w:space="0" w:color="auto"/>
                        <w:right w:val="none" w:sz="0" w:space="0" w:color="auto"/>
                      </w:divBdr>
                    </w:div>
                  </w:divsChild>
                </w:div>
                <w:div w:id="2132093160">
                  <w:marLeft w:val="0"/>
                  <w:marRight w:val="0"/>
                  <w:marTop w:val="0"/>
                  <w:marBottom w:val="0"/>
                  <w:divBdr>
                    <w:top w:val="none" w:sz="0" w:space="0" w:color="auto"/>
                    <w:left w:val="none" w:sz="0" w:space="0" w:color="auto"/>
                    <w:bottom w:val="none" w:sz="0" w:space="0" w:color="auto"/>
                    <w:right w:val="none" w:sz="0" w:space="0" w:color="auto"/>
                  </w:divBdr>
                  <w:divsChild>
                    <w:div w:id="6823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88787">
          <w:marLeft w:val="0"/>
          <w:marRight w:val="0"/>
          <w:marTop w:val="0"/>
          <w:marBottom w:val="0"/>
          <w:divBdr>
            <w:top w:val="none" w:sz="0" w:space="0" w:color="auto"/>
            <w:left w:val="none" w:sz="0" w:space="0" w:color="auto"/>
            <w:bottom w:val="none" w:sz="0" w:space="0" w:color="auto"/>
            <w:right w:val="none" w:sz="0" w:space="0" w:color="auto"/>
          </w:divBdr>
          <w:divsChild>
            <w:div w:id="1574051143">
              <w:marLeft w:val="-75"/>
              <w:marRight w:val="0"/>
              <w:marTop w:val="30"/>
              <w:marBottom w:val="30"/>
              <w:divBdr>
                <w:top w:val="none" w:sz="0" w:space="0" w:color="auto"/>
                <w:left w:val="none" w:sz="0" w:space="0" w:color="auto"/>
                <w:bottom w:val="none" w:sz="0" w:space="0" w:color="auto"/>
                <w:right w:val="none" w:sz="0" w:space="0" w:color="auto"/>
              </w:divBdr>
              <w:divsChild>
                <w:div w:id="10692625">
                  <w:marLeft w:val="0"/>
                  <w:marRight w:val="0"/>
                  <w:marTop w:val="0"/>
                  <w:marBottom w:val="0"/>
                  <w:divBdr>
                    <w:top w:val="none" w:sz="0" w:space="0" w:color="auto"/>
                    <w:left w:val="none" w:sz="0" w:space="0" w:color="auto"/>
                    <w:bottom w:val="none" w:sz="0" w:space="0" w:color="auto"/>
                    <w:right w:val="none" w:sz="0" w:space="0" w:color="auto"/>
                  </w:divBdr>
                  <w:divsChild>
                    <w:div w:id="1328509853">
                      <w:marLeft w:val="0"/>
                      <w:marRight w:val="0"/>
                      <w:marTop w:val="0"/>
                      <w:marBottom w:val="0"/>
                      <w:divBdr>
                        <w:top w:val="none" w:sz="0" w:space="0" w:color="auto"/>
                        <w:left w:val="none" w:sz="0" w:space="0" w:color="auto"/>
                        <w:bottom w:val="none" w:sz="0" w:space="0" w:color="auto"/>
                        <w:right w:val="none" w:sz="0" w:space="0" w:color="auto"/>
                      </w:divBdr>
                    </w:div>
                  </w:divsChild>
                </w:div>
                <w:div w:id="29963727">
                  <w:marLeft w:val="0"/>
                  <w:marRight w:val="0"/>
                  <w:marTop w:val="0"/>
                  <w:marBottom w:val="0"/>
                  <w:divBdr>
                    <w:top w:val="none" w:sz="0" w:space="0" w:color="auto"/>
                    <w:left w:val="none" w:sz="0" w:space="0" w:color="auto"/>
                    <w:bottom w:val="none" w:sz="0" w:space="0" w:color="auto"/>
                    <w:right w:val="none" w:sz="0" w:space="0" w:color="auto"/>
                  </w:divBdr>
                  <w:divsChild>
                    <w:div w:id="162741602">
                      <w:marLeft w:val="0"/>
                      <w:marRight w:val="0"/>
                      <w:marTop w:val="0"/>
                      <w:marBottom w:val="0"/>
                      <w:divBdr>
                        <w:top w:val="none" w:sz="0" w:space="0" w:color="auto"/>
                        <w:left w:val="none" w:sz="0" w:space="0" w:color="auto"/>
                        <w:bottom w:val="none" w:sz="0" w:space="0" w:color="auto"/>
                        <w:right w:val="none" w:sz="0" w:space="0" w:color="auto"/>
                      </w:divBdr>
                    </w:div>
                  </w:divsChild>
                </w:div>
                <w:div w:id="96952173">
                  <w:marLeft w:val="0"/>
                  <w:marRight w:val="0"/>
                  <w:marTop w:val="0"/>
                  <w:marBottom w:val="0"/>
                  <w:divBdr>
                    <w:top w:val="none" w:sz="0" w:space="0" w:color="auto"/>
                    <w:left w:val="none" w:sz="0" w:space="0" w:color="auto"/>
                    <w:bottom w:val="none" w:sz="0" w:space="0" w:color="auto"/>
                    <w:right w:val="none" w:sz="0" w:space="0" w:color="auto"/>
                  </w:divBdr>
                  <w:divsChild>
                    <w:div w:id="1799176323">
                      <w:marLeft w:val="0"/>
                      <w:marRight w:val="0"/>
                      <w:marTop w:val="0"/>
                      <w:marBottom w:val="0"/>
                      <w:divBdr>
                        <w:top w:val="none" w:sz="0" w:space="0" w:color="auto"/>
                        <w:left w:val="none" w:sz="0" w:space="0" w:color="auto"/>
                        <w:bottom w:val="none" w:sz="0" w:space="0" w:color="auto"/>
                        <w:right w:val="none" w:sz="0" w:space="0" w:color="auto"/>
                      </w:divBdr>
                    </w:div>
                  </w:divsChild>
                </w:div>
                <w:div w:id="130245908">
                  <w:marLeft w:val="0"/>
                  <w:marRight w:val="0"/>
                  <w:marTop w:val="0"/>
                  <w:marBottom w:val="0"/>
                  <w:divBdr>
                    <w:top w:val="none" w:sz="0" w:space="0" w:color="auto"/>
                    <w:left w:val="none" w:sz="0" w:space="0" w:color="auto"/>
                    <w:bottom w:val="none" w:sz="0" w:space="0" w:color="auto"/>
                    <w:right w:val="none" w:sz="0" w:space="0" w:color="auto"/>
                  </w:divBdr>
                  <w:divsChild>
                    <w:div w:id="1344897023">
                      <w:marLeft w:val="0"/>
                      <w:marRight w:val="0"/>
                      <w:marTop w:val="0"/>
                      <w:marBottom w:val="0"/>
                      <w:divBdr>
                        <w:top w:val="none" w:sz="0" w:space="0" w:color="auto"/>
                        <w:left w:val="none" w:sz="0" w:space="0" w:color="auto"/>
                        <w:bottom w:val="none" w:sz="0" w:space="0" w:color="auto"/>
                        <w:right w:val="none" w:sz="0" w:space="0" w:color="auto"/>
                      </w:divBdr>
                    </w:div>
                  </w:divsChild>
                </w:div>
                <w:div w:id="196357218">
                  <w:marLeft w:val="0"/>
                  <w:marRight w:val="0"/>
                  <w:marTop w:val="0"/>
                  <w:marBottom w:val="0"/>
                  <w:divBdr>
                    <w:top w:val="none" w:sz="0" w:space="0" w:color="auto"/>
                    <w:left w:val="none" w:sz="0" w:space="0" w:color="auto"/>
                    <w:bottom w:val="none" w:sz="0" w:space="0" w:color="auto"/>
                    <w:right w:val="none" w:sz="0" w:space="0" w:color="auto"/>
                  </w:divBdr>
                  <w:divsChild>
                    <w:div w:id="2050761497">
                      <w:marLeft w:val="0"/>
                      <w:marRight w:val="0"/>
                      <w:marTop w:val="0"/>
                      <w:marBottom w:val="0"/>
                      <w:divBdr>
                        <w:top w:val="none" w:sz="0" w:space="0" w:color="auto"/>
                        <w:left w:val="none" w:sz="0" w:space="0" w:color="auto"/>
                        <w:bottom w:val="none" w:sz="0" w:space="0" w:color="auto"/>
                        <w:right w:val="none" w:sz="0" w:space="0" w:color="auto"/>
                      </w:divBdr>
                    </w:div>
                  </w:divsChild>
                </w:div>
                <w:div w:id="255134067">
                  <w:marLeft w:val="0"/>
                  <w:marRight w:val="0"/>
                  <w:marTop w:val="0"/>
                  <w:marBottom w:val="0"/>
                  <w:divBdr>
                    <w:top w:val="none" w:sz="0" w:space="0" w:color="auto"/>
                    <w:left w:val="none" w:sz="0" w:space="0" w:color="auto"/>
                    <w:bottom w:val="none" w:sz="0" w:space="0" w:color="auto"/>
                    <w:right w:val="none" w:sz="0" w:space="0" w:color="auto"/>
                  </w:divBdr>
                  <w:divsChild>
                    <w:div w:id="1370647340">
                      <w:marLeft w:val="0"/>
                      <w:marRight w:val="0"/>
                      <w:marTop w:val="0"/>
                      <w:marBottom w:val="0"/>
                      <w:divBdr>
                        <w:top w:val="none" w:sz="0" w:space="0" w:color="auto"/>
                        <w:left w:val="none" w:sz="0" w:space="0" w:color="auto"/>
                        <w:bottom w:val="none" w:sz="0" w:space="0" w:color="auto"/>
                        <w:right w:val="none" w:sz="0" w:space="0" w:color="auto"/>
                      </w:divBdr>
                    </w:div>
                  </w:divsChild>
                </w:div>
                <w:div w:id="258832637">
                  <w:marLeft w:val="0"/>
                  <w:marRight w:val="0"/>
                  <w:marTop w:val="0"/>
                  <w:marBottom w:val="0"/>
                  <w:divBdr>
                    <w:top w:val="none" w:sz="0" w:space="0" w:color="auto"/>
                    <w:left w:val="none" w:sz="0" w:space="0" w:color="auto"/>
                    <w:bottom w:val="none" w:sz="0" w:space="0" w:color="auto"/>
                    <w:right w:val="none" w:sz="0" w:space="0" w:color="auto"/>
                  </w:divBdr>
                  <w:divsChild>
                    <w:div w:id="1354500514">
                      <w:marLeft w:val="0"/>
                      <w:marRight w:val="0"/>
                      <w:marTop w:val="0"/>
                      <w:marBottom w:val="0"/>
                      <w:divBdr>
                        <w:top w:val="none" w:sz="0" w:space="0" w:color="auto"/>
                        <w:left w:val="none" w:sz="0" w:space="0" w:color="auto"/>
                        <w:bottom w:val="none" w:sz="0" w:space="0" w:color="auto"/>
                        <w:right w:val="none" w:sz="0" w:space="0" w:color="auto"/>
                      </w:divBdr>
                    </w:div>
                  </w:divsChild>
                </w:div>
                <w:div w:id="290063806">
                  <w:marLeft w:val="0"/>
                  <w:marRight w:val="0"/>
                  <w:marTop w:val="0"/>
                  <w:marBottom w:val="0"/>
                  <w:divBdr>
                    <w:top w:val="none" w:sz="0" w:space="0" w:color="auto"/>
                    <w:left w:val="none" w:sz="0" w:space="0" w:color="auto"/>
                    <w:bottom w:val="none" w:sz="0" w:space="0" w:color="auto"/>
                    <w:right w:val="none" w:sz="0" w:space="0" w:color="auto"/>
                  </w:divBdr>
                  <w:divsChild>
                    <w:div w:id="498081741">
                      <w:marLeft w:val="0"/>
                      <w:marRight w:val="0"/>
                      <w:marTop w:val="0"/>
                      <w:marBottom w:val="0"/>
                      <w:divBdr>
                        <w:top w:val="none" w:sz="0" w:space="0" w:color="auto"/>
                        <w:left w:val="none" w:sz="0" w:space="0" w:color="auto"/>
                        <w:bottom w:val="none" w:sz="0" w:space="0" w:color="auto"/>
                        <w:right w:val="none" w:sz="0" w:space="0" w:color="auto"/>
                      </w:divBdr>
                    </w:div>
                  </w:divsChild>
                </w:div>
                <w:div w:id="295258566">
                  <w:marLeft w:val="0"/>
                  <w:marRight w:val="0"/>
                  <w:marTop w:val="0"/>
                  <w:marBottom w:val="0"/>
                  <w:divBdr>
                    <w:top w:val="none" w:sz="0" w:space="0" w:color="auto"/>
                    <w:left w:val="none" w:sz="0" w:space="0" w:color="auto"/>
                    <w:bottom w:val="none" w:sz="0" w:space="0" w:color="auto"/>
                    <w:right w:val="none" w:sz="0" w:space="0" w:color="auto"/>
                  </w:divBdr>
                  <w:divsChild>
                    <w:div w:id="1009723702">
                      <w:marLeft w:val="0"/>
                      <w:marRight w:val="0"/>
                      <w:marTop w:val="0"/>
                      <w:marBottom w:val="0"/>
                      <w:divBdr>
                        <w:top w:val="none" w:sz="0" w:space="0" w:color="auto"/>
                        <w:left w:val="none" w:sz="0" w:space="0" w:color="auto"/>
                        <w:bottom w:val="none" w:sz="0" w:space="0" w:color="auto"/>
                        <w:right w:val="none" w:sz="0" w:space="0" w:color="auto"/>
                      </w:divBdr>
                    </w:div>
                  </w:divsChild>
                </w:div>
                <w:div w:id="313875867">
                  <w:marLeft w:val="0"/>
                  <w:marRight w:val="0"/>
                  <w:marTop w:val="0"/>
                  <w:marBottom w:val="0"/>
                  <w:divBdr>
                    <w:top w:val="none" w:sz="0" w:space="0" w:color="auto"/>
                    <w:left w:val="none" w:sz="0" w:space="0" w:color="auto"/>
                    <w:bottom w:val="none" w:sz="0" w:space="0" w:color="auto"/>
                    <w:right w:val="none" w:sz="0" w:space="0" w:color="auto"/>
                  </w:divBdr>
                  <w:divsChild>
                    <w:div w:id="963776587">
                      <w:marLeft w:val="0"/>
                      <w:marRight w:val="0"/>
                      <w:marTop w:val="0"/>
                      <w:marBottom w:val="0"/>
                      <w:divBdr>
                        <w:top w:val="none" w:sz="0" w:space="0" w:color="auto"/>
                        <w:left w:val="none" w:sz="0" w:space="0" w:color="auto"/>
                        <w:bottom w:val="none" w:sz="0" w:space="0" w:color="auto"/>
                        <w:right w:val="none" w:sz="0" w:space="0" w:color="auto"/>
                      </w:divBdr>
                    </w:div>
                  </w:divsChild>
                </w:div>
                <w:div w:id="332729754">
                  <w:marLeft w:val="0"/>
                  <w:marRight w:val="0"/>
                  <w:marTop w:val="0"/>
                  <w:marBottom w:val="0"/>
                  <w:divBdr>
                    <w:top w:val="none" w:sz="0" w:space="0" w:color="auto"/>
                    <w:left w:val="none" w:sz="0" w:space="0" w:color="auto"/>
                    <w:bottom w:val="none" w:sz="0" w:space="0" w:color="auto"/>
                    <w:right w:val="none" w:sz="0" w:space="0" w:color="auto"/>
                  </w:divBdr>
                  <w:divsChild>
                    <w:div w:id="705523917">
                      <w:marLeft w:val="0"/>
                      <w:marRight w:val="0"/>
                      <w:marTop w:val="0"/>
                      <w:marBottom w:val="0"/>
                      <w:divBdr>
                        <w:top w:val="none" w:sz="0" w:space="0" w:color="auto"/>
                        <w:left w:val="none" w:sz="0" w:space="0" w:color="auto"/>
                        <w:bottom w:val="none" w:sz="0" w:space="0" w:color="auto"/>
                        <w:right w:val="none" w:sz="0" w:space="0" w:color="auto"/>
                      </w:divBdr>
                    </w:div>
                  </w:divsChild>
                </w:div>
                <w:div w:id="344595021">
                  <w:marLeft w:val="0"/>
                  <w:marRight w:val="0"/>
                  <w:marTop w:val="0"/>
                  <w:marBottom w:val="0"/>
                  <w:divBdr>
                    <w:top w:val="none" w:sz="0" w:space="0" w:color="auto"/>
                    <w:left w:val="none" w:sz="0" w:space="0" w:color="auto"/>
                    <w:bottom w:val="none" w:sz="0" w:space="0" w:color="auto"/>
                    <w:right w:val="none" w:sz="0" w:space="0" w:color="auto"/>
                  </w:divBdr>
                  <w:divsChild>
                    <w:div w:id="1051659922">
                      <w:marLeft w:val="0"/>
                      <w:marRight w:val="0"/>
                      <w:marTop w:val="0"/>
                      <w:marBottom w:val="0"/>
                      <w:divBdr>
                        <w:top w:val="none" w:sz="0" w:space="0" w:color="auto"/>
                        <w:left w:val="none" w:sz="0" w:space="0" w:color="auto"/>
                        <w:bottom w:val="none" w:sz="0" w:space="0" w:color="auto"/>
                        <w:right w:val="none" w:sz="0" w:space="0" w:color="auto"/>
                      </w:divBdr>
                    </w:div>
                  </w:divsChild>
                </w:div>
                <w:div w:id="392505819">
                  <w:marLeft w:val="0"/>
                  <w:marRight w:val="0"/>
                  <w:marTop w:val="0"/>
                  <w:marBottom w:val="0"/>
                  <w:divBdr>
                    <w:top w:val="none" w:sz="0" w:space="0" w:color="auto"/>
                    <w:left w:val="none" w:sz="0" w:space="0" w:color="auto"/>
                    <w:bottom w:val="none" w:sz="0" w:space="0" w:color="auto"/>
                    <w:right w:val="none" w:sz="0" w:space="0" w:color="auto"/>
                  </w:divBdr>
                  <w:divsChild>
                    <w:div w:id="1456371200">
                      <w:marLeft w:val="0"/>
                      <w:marRight w:val="0"/>
                      <w:marTop w:val="0"/>
                      <w:marBottom w:val="0"/>
                      <w:divBdr>
                        <w:top w:val="none" w:sz="0" w:space="0" w:color="auto"/>
                        <w:left w:val="none" w:sz="0" w:space="0" w:color="auto"/>
                        <w:bottom w:val="none" w:sz="0" w:space="0" w:color="auto"/>
                        <w:right w:val="none" w:sz="0" w:space="0" w:color="auto"/>
                      </w:divBdr>
                    </w:div>
                  </w:divsChild>
                </w:div>
                <w:div w:id="418870225">
                  <w:marLeft w:val="0"/>
                  <w:marRight w:val="0"/>
                  <w:marTop w:val="0"/>
                  <w:marBottom w:val="0"/>
                  <w:divBdr>
                    <w:top w:val="none" w:sz="0" w:space="0" w:color="auto"/>
                    <w:left w:val="none" w:sz="0" w:space="0" w:color="auto"/>
                    <w:bottom w:val="none" w:sz="0" w:space="0" w:color="auto"/>
                    <w:right w:val="none" w:sz="0" w:space="0" w:color="auto"/>
                  </w:divBdr>
                  <w:divsChild>
                    <w:div w:id="128324883">
                      <w:marLeft w:val="0"/>
                      <w:marRight w:val="0"/>
                      <w:marTop w:val="0"/>
                      <w:marBottom w:val="0"/>
                      <w:divBdr>
                        <w:top w:val="none" w:sz="0" w:space="0" w:color="auto"/>
                        <w:left w:val="none" w:sz="0" w:space="0" w:color="auto"/>
                        <w:bottom w:val="none" w:sz="0" w:space="0" w:color="auto"/>
                        <w:right w:val="none" w:sz="0" w:space="0" w:color="auto"/>
                      </w:divBdr>
                    </w:div>
                  </w:divsChild>
                </w:div>
                <w:div w:id="502206506">
                  <w:marLeft w:val="0"/>
                  <w:marRight w:val="0"/>
                  <w:marTop w:val="0"/>
                  <w:marBottom w:val="0"/>
                  <w:divBdr>
                    <w:top w:val="none" w:sz="0" w:space="0" w:color="auto"/>
                    <w:left w:val="none" w:sz="0" w:space="0" w:color="auto"/>
                    <w:bottom w:val="none" w:sz="0" w:space="0" w:color="auto"/>
                    <w:right w:val="none" w:sz="0" w:space="0" w:color="auto"/>
                  </w:divBdr>
                  <w:divsChild>
                    <w:div w:id="1422532894">
                      <w:marLeft w:val="0"/>
                      <w:marRight w:val="0"/>
                      <w:marTop w:val="0"/>
                      <w:marBottom w:val="0"/>
                      <w:divBdr>
                        <w:top w:val="none" w:sz="0" w:space="0" w:color="auto"/>
                        <w:left w:val="none" w:sz="0" w:space="0" w:color="auto"/>
                        <w:bottom w:val="none" w:sz="0" w:space="0" w:color="auto"/>
                        <w:right w:val="none" w:sz="0" w:space="0" w:color="auto"/>
                      </w:divBdr>
                    </w:div>
                  </w:divsChild>
                </w:div>
                <w:div w:id="553203150">
                  <w:marLeft w:val="0"/>
                  <w:marRight w:val="0"/>
                  <w:marTop w:val="0"/>
                  <w:marBottom w:val="0"/>
                  <w:divBdr>
                    <w:top w:val="none" w:sz="0" w:space="0" w:color="auto"/>
                    <w:left w:val="none" w:sz="0" w:space="0" w:color="auto"/>
                    <w:bottom w:val="none" w:sz="0" w:space="0" w:color="auto"/>
                    <w:right w:val="none" w:sz="0" w:space="0" w:color="auto"/>
                  </w:divBdr>
                  <w:divsChild>
                    <w:div w:id="980499524">
                      <w:marLeft w:val="0"/>
                      <w:marRight w:val="0"/>
                      <w:marTop w:val="0"/>
                      <w:marBottom w:val="0"/>
                      <w:divBdr>
                        <w:top w:val="none" w:sz="0" w:space="0" w:color="auto"/>
                        <w:left w:val="none" w:sz="0" w:space="0" w:color="auto"/>
                        <w:bottom w:val="none" w:sz="0" w:space="0" w:color="auto"/>
                        <w:right w:val="none" w:sz="0" w:space="0" w:color="auto"/>
                      </w:divBdr>
                    </w:div>
                  </w:divsChild>
                </w:div>
                <w:div w:id="593782684">
                  <w:marLeft w:val="0"/>
                  <w:marRight w:val="0"/>
                  <w:marTop w:val="0"/>
                  <w:marBottom w:val="0"/>
                  <w:divBdr>
                    <w:top w:val="none" w:sz="0" w:space="0" w:color="auto"/>
                    <w:left w:val="none" w:sz="0" w:space="0" w:color="auto"/>
                    <w:bottom w:val="none" w:sz="0" w:space="0" w:color="auto"/>
                    <w:right w:val="none" w:sz="0" w:space="0" w:color="auto"/>
                  </w:divBdr>
                  <w:divsChild>
                    <w:div w:id="214901430">
                      <w:marLeft w:val="0"/>
                      <w:marRight w:val="0"/>
                      <w:marTop w:val="0"/>
                      <w:marBottom w:val="0"/>
                      <w:divBdr>
                        <w:top w:val="none" w:sz="0" w:space="0" w:color="auto"/>
                        <w:left w:val="none" w:sz="0" w:space="0" w:color="auto"/>
                        <w:bottom w:val="none" w:sz="0" w:space="0" w:color="auto"/>
                        <w:right w:val="none" w:sz="0" w:space="0" w:color="auto"/>
                      </w:divBdr>
                    </w:div>
                  </w:divsChild>
                </w:div>
                <w:div w:id="631525691">
                  <w:marLeft w:val="0"/>
                  <w:marRight w:val="0"/>
                  <w:marTop w:val="0"/>
                  <w:marBottom w:val="0"/>
                  <w:divBdr>
                    <w:top w:val="none" w:sz="0" w:space="0" w:color="auto"/>
                    <w:left w:val="none" w:sz="0" w:space="0" w:color="auto"/>
                    <w:bottom w:val="none" w:sz="0" w:space="0" w:color="auto"/>
                    <w:right w:val="none" w:sz="0" w:space="0" w:color="auto"/>
                  </w:divBdr>
                  <w:divsChild>
                    <w:div w:id="1929925135">
                      <w:marLeft w:val="0"/>
                      <w:marRight w:val="0"/>
                      <w:marTop w:val="0"/>
                      <w:marBottom w:val="0"/>
                      <w:divBdr>
                        <w:top w:val="none" w:sz="0" w:space="0" w:color="auto"/>
                        <w:left w:val="none" w:sz="0" w:space="0" w:color="auto"/>
                        <w:bottom w:val="none" w:sz="0" w:space="0" w:color="auto"/>
                        <w:right w:val="none" w:sz="0" w:space="0" w:color="auto"/>
                      </w:divBdr>
                    </w:div>
                  </w:divsChild>
                </w:div>
                <w:div w:id="759986761">
                  <w:marLeft w:val="0"/>
                  <w:marRight w:val="0"/>
                  <w:marTop w:val="0"/>
                  <w:marBottom w:val="0"/>
                  <w:divBdr>
                    <w:top w:val="none" w:sz="0" w:space="0" w:color="auto"/>
                    <w:left w:val="none" w:sz="0" w:space="0" w:color="auto"/>
                    <w:bottom w:val="none" w:sz="0" w:space="0" w:color="auto"/>
                    <w:right w:val="none" w:sz="0" w:space="0" w:color="auto"/>
                  </w:divBdr>
                  <w:divsChild>
                    <w:div w:id="221597869">
                      <w:marLeft w:val="0"/>
                      <w:marRight w:val="0"/>
                      <w:marTop w:val="0"/>
                      <w:marBottom w:val="0"/>
                      <w:divBdr>
                        <w:top w:val="none" w:sz="0" w:space="0" w:color="auto"/>
                        <w:left w:val="none" w:sz="0" w:space="0" w:color="auto"/>
                        <w:bottom w:val="none" w:sz="0" w:space="0" w:color="auto"/>
                        <w:right w:val="none" w:sz="0" w:space="0" w:color="auto"/>
                      </w:divBdr>
                    </w:div>
                  </w:divsChild>
                </w:div>
                <w:div w:id="775297299">
                  <w:marLeft w:val="0"/>
                  <w:marRight w:val="0"/>
                  <w:marTop w:val="0"/>
                  <w:marBottom w:val="0"/>
                  <w:divBdr>
                    <w:top w:val="none" w:sz="0" w:space="0" w:color="auto"/>
                    <w:left w:val="none" w:sz="0" w:space="0" w:color="auto"/>
                    <w:bottom w:val="none" w:sz="0" w:space="0" w:color="auto"/>
                    <w:right w:val="none" w:sz="0" w:space="0" w:color="auto"/>
                  </w:divBdr>
                  <w:divsChild>
                    <w:div w:id="1361663040">
                      <w:marLeft w:val="0"/>
                      <w:marRight w:val="0"/>
                      <w:marTop w:val="0"/>
                      <w:marBottom w:val="0"/>
                      <w:divBdr>
                        <w:top w:val="none" w:sz="0" w:space="0" w:color="auto"/>
                        <w:left w:val="none" w:sz="0" w:space="0" w:color="auto"/>
                        <w:bottom w:val="none" w:sz="0" w:space="0" w:color="auto"/>
                        <w:right w:val="none" w:sz="0" w:space="0" w:color="auto"/>
                      </w:divBdr>
                    </w:div>
                  </w:divsChild>
                </w:div>
                <w:div w:id="834808713">
                  <w:marLeft w:val="0"/>
                  <w:marRight w:val="0"/>
                  <w:marTop w:val="0"/>
                  <w:marBottom w:val="0"/>
                  <w:divBdr>
                    <w:top w:val="none" w:sz="0" w:space="0" w:color="auto"/>
                    <w:left w:val="none" w:sz="0" w:space="0" w:color="auto"/>
                    <w:bottom w:val="none" w:sz="0" w:space="0" w:color="auto"/>
                    <w:right w:val="none" w:sz="0" w:space="0" w:color="auto"/>
                  </w:divBdr>
                  <w:divsChild>
                    <w:div w:id="556400831">
                      <w:marLeft w:val="0"/>
                      <w:marRight w:val="0"/>
                      <w:marTop w:val="0"/>
                      <w:marBottom w:val="0"/>
                      <w:divBdr>
                        <w:top w:val="none" w:sz="0" w:space="0" w:color="auto"/>
                        <w:left w:val="none" w:sz="0" w:space="0" w:color="auto"/>
                        <w:bottom w:val="none" w:sz="0" w:space="0" w:color="auto"/>
                        <w:right w:val="none" w:sz="0" w:space="0" w:color="auto"/>
                      </w:divBdr>
                    </w:div>
                  </w:divsChild>
                </w:div>
                <w:div w:id="882717945">
                  <w:marLeft w:val="0"/>
                  <w:marRight w:val="0"/>
                  <w:marTop w:val="0"/>
                  <w:marBottom w:val="0"/>
                  <w:divBdr>
                    <w:top w:val="none" w:sz="0" w:space="0" w:color="auto"/>
                    <w:left w:val="none" w:sz="0" w:space="0" w:color="auto"/>
                    <w:bottom w:val="none" w:sz="0" w:space="0" w:color="auto"/>
                    <w:right w:val="none" w:sz="0" w:space="0" w:color="auto"/>
                  </w:divBdr>
                  <w:divsChild>
                    <w:div w:id="844129235">
                      <w:marLeft w:val="0"/>
                      <w:marRight w:val="0"/>
                      <w:marTop w:val="0"/>
                      <w:marBottom w:val="0"/>
                      <w:divBdr>
                        <w:top w:val="none" w:sz="0" w:space="0" w:color="auto"/>
                        <w:left w:val="none" w:sz="0" w:space="0" w:color="auto"/>
                        <w:bottom w:val="none" w:sz="0" w:space="0" w:color="auto"/>
                        <w:right w:val="none" w:sz="0" w:space="0" w:color="auto"/>
                      </w:divBdr>
                    </w:div>
                  </w:divsChild>
                </w:div>
                <w:div w:id="904149227">
                  <w:marLeft w:val="0"/>
                  <w:marRight w:val="0"/>
                  <w:marTop w:val="0"/>
                  <w:marBottom w:val="0"/>
                  <w:divBdr>
                    <w:top w:val="none" w:sz="0" w:space="0" w:color="auto"/>
                    <w:left w:val="none" w:sz="0" w:space="0" w:color="auto"/>
                    <w:bottom w:val="none" w:sz="0" w:space="0" w:color="auto"/>
                    <w:right w:val="none" w:sz="0" w:space="0" w:color="auto"/>
                  </w:divBdr>
                  <w:divsChild>
                    <w:div w:id="1775662336">
                      <w:marLeft w:val="0"/>
                      <w:marRight w:val="0"/>
                      <w:marTop w:val="0"/>
                      <w:marBottom w:val="0"/>
                      <w:divBdr>
                        <w:top w:val="none" w:sz="0" w:space="0" w:color="auto"/>
                        <w:left w:val="none" w:sz="0" w:space="0" w:color="auto"/>
                        <w:bottom w:val="none" w:sz="0" w:space="0" w:color="auto"/>
                        <w:right w:val="none" w:sz="0" w:space="0" w:color="auto"/>
                      </w:divBdr>
                    </w:div>
                  </w:divsChild>
                </w:div>
                <w:div w:id="940406752">
                  <w:marLeft w:val="0"/>
                  <w:marRight w:val="0"/>
                  <w:marTop w:val="0"/>
                  <w:marBottom w:val="0"/>
                  <w:divBdr>
                    <w:top w:val="none" w:sz="0" w:space="0" w:color="auto"/>
                    <w:left w:val="none" w:sz="0" w:space="0" w:color="auto"/>
                    <w:bottom w:val="none" w:sz="0" w:space="0" w:color="auto"/>
                    <w:right w:val="none" w:sz="0" w:space="0" w:color="auto"/>
                  </w:divBdr>
                  <w:divsChild>
                    <w:div w:id="1450467223">
                      <w:marLeft w:val="0"/>
                      <w:marRight w:val="0"/>
                      <w:marTop w:val="0"/>
                      <w:marBottom w:val="0"/>
                      <w:divBdr>
                        <w:top w:val="none" w:sz="0" w:space="0" w:color="auto"/>
                        <w:left w:val="none" w:sz="0" w:space="0" w:color="auto"/>
                        <w:bottom w:val="none" w:sz="0" w:space="0" w:color="auto"/>
                        <w:right w:val="none" w:sz="0" w:space="0" w:color="auto"/>
                      </w:divBdr>
                    </w:div>
                  </w:divsChild>
                </w:div>
                <w:div w:id="983701394">
                  <w:marLeft w:val="0"/>
                  <w:marRight w:val="0"/>
                  <w:marTop w:val="0"/>
                  <w:marBottom w:val="0"/>
                  <w:divBdr>
                    <w:top w:val="none" w:sz="0" w:space="0" w:color="auto"/>
                    <w:left w:val="none" w:sz="0" w:space="0" w:color="auto"/>
                    <w:bottom w:val="none" w:sz="0" w:space="0" w:color="auto"/>
                    <w:right w:val="none" w:sz="0" w:space="0" w:color="auto"/>
                  </w:divBdr>
                  <w:divsChild>
                    <w:div w:id="51347123">
                      <w:marLeft w:val="0"/>
                      <w:marRight w:val="0"/>
                      <w:marTop w:val="0"/>
                      <w:marBottom w:val="0"/>
                      <w:divBdr>
                        <w:top w:val="none" w:sz="0" w:space="0" w:color="auto"/>
                        <w:left w:val="none" w:sz="0" w:space="0" w:color="auto"/>
                        <w:bottom w:val="none" w:sz="0" w:space="0" w:color="auto"/>
                        <w:right w:val="none" w:sz="0" w:space="0" w:color="auto"/>
                      </w:divBdr>
                    </w:div>
                  </w:divsChild>
                </w:div>
                <w:div w:id="1003363554">
                  <w:marLeft w:val="0"/>
                  <w:marRight w:val="0"/>
                  <w:marTop w:val="0"/>
                  <w:marBottom w:val="0"/>
                  <w:divBdr>
                    <w:top w:val="none" w:sz="0" w:space="0" w:color="auto"/>
                    <w:left w:val="none" w:sz="0" w:space="0" w:color="auto"/>
                    <w:bottom w:val="none" w:sz="0" w:space="0" w:color="auto"/>
                    <w:right w:val="none" w:sz="0" w:space="0" w:color="auto"/>
                  </w:divBdr>
                  <w:divsChild>
                    <w:div w:id="574516880">
                      <w:marLeft w:val="0"/>
                      <w:marRight w:val="0"/>
                      <w:marTop w:val="0"/>
                      <w:marBottom w:val="0"/>
                      <w:divBdr>
                        <w:top w:val="none" w:sz="0" w:space="0" w:color="auto"/>
                        <w:left w:val="none" w:sz="0" w:space="0" w:color="auto"/>
                        <w:bottom w:val="none" w:sz="0" w:space="0" w:color="auto"/>
                        <w:right w:val="none" w:sz="0" w:space="0" w:color="auto"/>
                      </w:divBdr>
                    </w:div>
                  </w:divsChild>
                </w:div>
                <w:div w:id="1024863484">
                  <w:marLeft w:val="0"/>
                  <w:marRight w:val="0"/>
                  <w:marTop w:val="0"/>
                  <w:marBottom w:val="0"/>
                  <w:divBdr>
                    <w:top w:val="none" w:sz="0" w:space="0" w:color="auto"/>
                    <w:left w:val="none" w:sz="0" w:space="0" w:color="auto"/>
                    <w:bottom w:val="none" w:sz="0" w:space="0" w:color="auto"/>
                    <w:right w:val="none" w:sz="0" w:space="0" w:color="auto"/>
                  </w:divBdr>
                  <w:divsChild>
                    <w:div w:id="1634022705">
                      <w:marLeft w:val="0"/>
                      <w:marRight w:val="0"/>
                      <w:marTop w:val="0"/>
                      <w:marBottom w:val="0"/>
                      <w:divBdr>
                        <w:top w:val="none" w:sz="0" w:space="0" w:color="auto"/>
                        <w:left w:val="none" w:sz="0" w:space="0" w:color="auto"/>
                        <w:bottom w:val="none" w:sz="0" w:space="0" w:color="auto"/>
                        <w:right w:val="none" w:sz="0" w:space="0" w:color="auto"/>
                      </w:divBdr>
                    </w:div>
                  </w:divsChild>
                </w:div>
                <w:div w:id="1260871025">
                  <w:marLeft w:val="0"/>
                  <w:marRight w:val="0"/>
                  <w:marTop w:val="0"/>
                  <w:marBottom w:val="0"/>
                  <w:divBdr>
                    <w:top w:val="none" w:sz="0" w:space="0" w:color="auto"/>
                    <w:left w:val="none" w:sz="0" w:space="0" w:color="auto"/>
                    <w:bottom w:val="none" w:sz="0" w:space="0" w:color="auto"/>
                    <w:right w:val="none" w:sz="0" w:space="0" w:color="auto"/>
                  </w:divBdr>
                  <w:divsChild>
                    <w:div w:id="14961361">
                      <w:marLeft w:val="0"/>
                      <w:marRight w:val="0"/>
                      <w:marTop w:val="0"/>
                      <w:marBottom w:val="0"/>
                      <w:divBdr>
                        <w:top w:val="none" w:sz="0" w:space="0" w:color="auto"/>
                        <w:left w:val="none" w:sz="0" w:space="0" w:color="auto"/>
                        <w:bottom w:val="none" w:sz="0" w:space="0" w:color="auto"/>
                        <w:right w:val="none" w:sz="0" w:space="0" w:color="auto"/>
                      </w:divBdr>
                    </w:div>
                  </w:divsChild>
                </w:div>
                <w:div w:id="1270115473">
                  <w:marLeft w:val="0"/>
                  <w:marRight w:val="0"/>
                  <w:marTop w:val="0"/>
                  <w:marBottom w:val="0"/>
                  <w:divBdr>
                    <w:top w:val="none" w:sz="0" w:space="0" w:color="auto"/>
                    <w:left w:val="none" w:sz="0" w:space="0" w:color="auto"/>
                    <w:bottom w:val="none" w:sz="0" w:space="0" w:color="auto"/>
                    <w:right w:val="none" w:sz="0" w:space="0" w:color="auto"/>
                  </w:divBdr>
                  <w:divsChild>
                    <w:div w:id="1751152570">
                      <w:marLeft w:val="0"/>
                      <w:marRight w:val="0"/>
                      <w:marTop w:val="0"/>
                      <w:marBottom w:val="0"/>
                      <w:divBdr>
                        <w:top w:val="none" w:sz="0" w:space="0" w:color="auto"/>
                        <w:left w:val="none" w:sz="0" w:space="0" w:color="auto"/>
                        <w:bottom w:val="none" w:sz="0" w:space="0" w:color="auto"/>
                        <w:right w:val="none" w:sz="0" w:space="0" w:color="auto"/>
                      </w:divBdr>
                    </w:div>
                  </w:divsChild>
                </w:div>
                <w:div w:id="1451508000">
                  <w:marLeft w:val="0"/>
                  <w:marRight w:val="0"/>
                  <w:marTop w:val="0"/>
                  <w:marBottom w:val="0"/>
                  <w:divBdr>
                    <w:top w:val="none" w:sz="0" w:space="0" w:color="auto"/>
                    <w:left w:val="none" w:sz="0" w:space="0" w:color="auto"/>
                    <w:bottom w:val="none" w:sz="0" w:space="0" w:color="auto"/>
                    <w:right w:val="none" w:sz="0" w:space="0" w:color="auto"/>
                  </w:divBdr>
                  <w:divsChild>
                    <w:div w:id="587159219">
                      <w:marLeft w:val="0"/>
                      <w:marRight w:val="0"/>
                      <w:marTop w:val="0"/>
                      <w:marBottom w:val="0"/>
                      <w:divBdr>
                        <w:top w:val="none" w:sz="0" w:space="0" w:color="auto"/>
                        <w:left w:val="none" w:sz="0" w:space="0" w:color="auto"/>
                        <w:bottom w:val="none" w:sz="0" w:space="0" w:color="auto"/>
                        <w:right w:val="none" w:sz="0" w:space="0" w:color="auto"/>
                      </w:divBdr>
                    </w:div>
                    <w:div w:id="750464075">
                      <w:marLeft w:val="0"/>
                      <w:marRight w:val="0"/>
                      <w:marTop w:val="0"/>
                      <w:marBottom w:val="0"/>
                      <w:divBdr>
                        <w:top w:val="none" w:sz="0" w:space="0" w:color="auto"/>
                        <w:left w:val="none" w:sz="0" w:space="0" w:color="auto"/>
                        <w:bottom w:val="none" w:sz="0" w:space="0" w:color="auto"/>
                        <w:right w:val="none" w:sz="0" w:space="0" w:color="auto"/>
                      </w:divBdr>
                    </w:div>
                    <w:div w:id="1762752638">
                      <w:marLeft w:val="0"/>
                      <w:marRight w:val="0"/>
                      <w:marTop w:val="0"/>
                      <w:marBottom w:val="0"/>
                      <w:divBdr>
                        <w:top w:val="none" w:sz="0" w:space="0" w:color="auto"/>
                        <w:left w:val="none" w:sz="0" w:space="0" w:color="auto"/>
                        <w:bottom w:val="none" w:sz="0" w:space="0" w:color="auto"/>
                        <w:right w:val="none" w:sz="0" w:space="0" w:color="auto"/>
                      </w:divBdr>
                    </w:div>
                  </w:divsChild>
                </w:div>
                <w:div w:id="1455365623">
                  <w:marLeft w:val="0"/>
                  <w:marRight w:val="0"/>
                  <w:marTop w:val="0"/>
                  <w:marBottom w:val="0"/>
                  <w:divBdr>
                    <w:top w:val="none" w:sz="0" w:space="0" w:color="auto"/>
                    <w:left w:val="none" w:sz="0" w:space="0" w:color="auto"/>
                    <w:bottom w:val="none" w:sz="0" w:space="0" w:color="auto"/>
                    <w:right w:val="none" w:sz="0" w:space="0" w:color="auto"/>
                  </w:divBdr>
                  <w:divsChild>
                    <w:div w:id="818032736">
                      <w:marLeft w:val="0"/>
                      <w:marRight w:val="0"/>
                      <w:marTop w:val="0"/>
                      <w:marBottom w:val="0"/>
                      <w:divBdr>
                        <w:top w:val="none" w:sz="0" w:space="0" w:color="auto"/>
                        <w:left w:val="none" w:sz="0" w:space="0" w:color="auto"/>
                        <w:bottom w:val="none" w:sz="0" w:space="0" w:color="auto"/>
                        <w:right w:val="none" w:sz="0" w:space="0" w:color="auto"/>
                      </w:divBdr>
                    </w:div>
                  </w:divsChild>
                </w:div>
                <w:div w:id="1461994731">
                  <w:marLeft w:val="0"/>
                  <w:marRight w:val="0"/>
                  <w:marTop w:val="0"/>
                  <w:marBottom w:val="0"/>
                  <w:divBdr>
                    <w:top w:val="none" w:sz="0" w:space="0" w:color="auto"/>
                    <w:left w:val="none" w:sz="0" w:space="0" w:color="auto"/>
                    <w:bottom w:val="none" w:sz="0" w:space="0" w:color="auto"/>
                    <w:right w:val="none" w:sz="0" w:space="0" w:color="auto"/>
                  </w:divBdr>
                  <w:divsChild>
                    <w:div w:id="433669851">
                      <w:marLeft w:val="0"/>
                      <w:marRight w:val="0"/>
                      <w:marTop w:val="0"/>
                      <w:marBottom w:val="0"/>
                      <w:divBdr>
                        <w:top w:val="none" w:sz="0" w:space="0" w:color="auto"/>
                        <w:left w:val="none" w:sz="0" w:space="0" w:color="auto"/>
                        <w:bottom w:val="none" w:sz="0" w:space="0" w:color="auto"/>
                        <w:right w:val="none" w:sz="0" w:space="0" w:color="auto"/>
                      </w:divBdr>
                    </w:div>
                  </w:divsChild>
                </w:div>
                <w:div w:id="1566140454">
                  <w:marLeft w:val="0"/>
                  <w:marRight w:val="0"/>
                  <w:marTop w:val="0"/>
                  <w:marBottom w:val="0"/>
                  <w:divBdr>
                    <w:top w:val="none" w:sz="0" w:space="0" w:color="auto"/>
                    <w:left w:val="none" w:sz="0" w:space="0" w:color="auto"/>
                    <w:bottom w:val="none" w:sz="0" w:space="0" w:color="auto"/>
                    <w:right w:val="none" w:sz="0" w:space="0" w:color="auto"/>
                  </w:divBdr>
                  <w:divsChild>
                    <w:div w:id="2086371086">
                      <w:marLeft w:val="0"/>
                      <w:marRight w:val="0"/>
                      <w:marTop w:val="0"/>
                      <w:marBottom w:val="0"/>
                      <w:divBdr>
                        <w:top w:val="none" w:sz="0" w:space="0" w:color="auto"/>
                        <w:left w:val="none" w:sz="0" w:space="0" w:color="auto"/>
                        <w:bottom w:val="none" w:sz="0" w:space="0" w:color="auto"/>
                        <w:right w:val="none" w:sz="0" w:space="0" w:color="auto"/>
                      </w:divBdr>
                    </w:div>
                  </w:divsChild>
                </w:div>
                <w:div w:id="1566184728">
                  <w:marLeft w:val="0"/>
                  <w:marRight w:val="0"/>
                  <w:marTop w:val="0"/>
                  <w:marBottom w:val="0"/>
                  <w:divBdr>
                    <w:top w:val="none" w:sz="0" w:space="0" w:color="auto"/>
                    <w:left w:val="none" w:sz="0" w:space="0" w:color="auto"/>
                    <w:bottom w:val="none" w:sz="0" w:space="0" w:color="auto"/>
                    <w:right w:val="none" w:sz="0" w:space="0" w:color="auto"/>
                  </w:divBdr>
                  <w:divsChild>
                    <w:div w:id="812453855">
                      <w:marLeft w:val="0"/>
                      <w:marRight w:val="0"/>
                      <w:marTop w:val="0"/>
                      <w:marBottom w:val="0"/>
                      <w:divBdr>
                        <w:top w:val="none" w:sz="0" w:space="0" w:color="auto"/>
                        <w:left w:val="none" w:sz="0" w:space="0" w:color="auto"/>
                        <w:bottom w:val="none" w:sz="0" w:space="0" w:color="auto"/>
                        <w:right w:val="none" w:sz="0" w:space="0" w:color="auto"/>
                      </w:divBdr>
                    </w:div>
                  </w:divsChild>
                </w:div>
                <w:div w:id="1581256811">
                  <w:marLeft w:val="0"/>
                  <w:marRight w:val="0"/>
                  <w:marTop w:val="0"/>
                  <w:marBottom w:val="0"/>
                  <w:divBdr>
                    <w:top w:val="none" w:sz="0" w:space="0" w:color="auto"/>
                    <w:left w:val="none" w:sz="0" w:space="0" w:color="auto"/>
                    <w:bottom w:val="none" w:sz="0" w:space="0" w:color="auto"/>
                    <w:right w:val="none" w:sz="0" w:space="0" w:color="auto"/>
                  </w:divBdr>
                  <w:divsChild>
                    <w:div w:id="1489050174">
                      <w:marLeft w:val="0"/>
                      <w:marRight w:val="0"/>
                      <w:marTop w:val="0"/>
                      <w:marBottom w:val="0"/>
                      <w:divBdr>
                        <w:top w:val="none" w:sz="0" w:space="0" w:color="auto"/>
                        <w:left w:val="none" w:sz="0" w:space="0" w:color="auto"/>
                        <w:bottom w:val="none" w:sz="0" w:space="0" w:color="auto"/>
                        <w:right w:val="none" w:sz="0" w:space="0" w:color="auto"/>
                      </w:divBdr>
                    </w:div>
                  </w:divsChild>
                </w:div>
                <w:div w:id="1665670439">
                  <w:marLeft w:val="0"/>
                  <w:marRight w:val="0"/>
                  <w:marTop w:val="0"/>
                  <w:marBottom w:val="0"/>
                  <w:divBdr>
                    <w:top w:val="none" w:sz="0" w:space="0" w:color="auto"/>
                    <w:left w:val="none" w:sz="0" w:space="0" w:color="auto"/>
                    <w:bottom w:val="none" w:sz="0" w:space="0" w:color="auto"/>
                    <w:right w:val="none" w:sz="0" w:space="0" w:color="auto"/>
                  </w:divBdr>
                  <w:divsChild>
                    <w:div w:id="1396245310">
                      <w:marLeft w:val="0"/>
                      <w:marRight w:val="0"/>
                      <w:marTop w:val="0"/>
                      <w:marBottom w:val="0"/>
                      <w:divBdr>
                        <w:top w:val="none" w:sz="0" w:space="0" w:color="auto"/>
                        <w:left w:val="none" w:sz="0" w:space="0" w:color="auto"/>
                        <w:bottom w:val="none" w:sz="0" w:space="0" w:color="auto"/>
                        <w:right w:val="none" w:sz="0" w:space="0" w:color="auto"/>
                      </w:divBdr>
                    </w:div>
                  </w:divsChild>
                </w:div>
                <w:div w:id="1798790598">
                  <w:marLeft w:val="0"/>
                  <w:marRight w:val="0"/>
                  <w:marTop w:val="0"/>
                  <w:marBottom w:val="0"/>
                  <w:divBdr>
                    <w:top w:val="none" w:sz="0" w:space="0" w:color="auto"/>
                    <w:left w:val="none" w:sz="0" w:space="0" w:color="auto"/>
                    <w:bottom w:val="none" w:sz="0" w:space="0" w:color="auto"/>
                    <w:right w:val="none" w:sz="0" w:space="0" w:color="auto"/>
                  </w:divBdr>
                  <w:divsChild>
                    <w:div w:id="943466188">
                      <w:marLeft w:val="0"/>
                      <w:marRight w:val="0"/>
                      <w:marTop w:val="0"/>
                      <w:marBottom w:val="0"/>
                      <w:divBdr>
                        <w:top w:val="none" w:sz="0" w:space="0" w:color="auto"/>
                        <w:left w:val="none" w:sz="0" w:space="0" w:color="auto"/>
                        <w:bottom w:val="none" w:sz="0" w:space="0" w:color="auto"/>
                        <w:right w:val="none" w:sz="0" w:space="0" w:color="auto"/>
                      </w:divBdr>
                    </w:div>
                  </w:divsChild>
                </w:div>
                <w:div w:id="1820147408">
                  <w:marLeft w:val="0"/>
                  <w:marRight w:val="0"/>
                  <w:marTop w:val="0"/>
                  <w:marBottom w:val="0"/>
                  <w:divBdr>
                    <w:top w:val="none" w:sz="0" w:space="0" w:color="auto"/>
                    <w:left w:val="none" w:sz="0" w:space="0" w:color="auto"/>
                    <w:bottom w:val="none" w:sz="0" w:space="0" w:color="auto"/>
                    <w:right w:val="none" w:sz="0" w:space="0" w:color="auto"/>
                  </w:divBdr>
                  <w:divsChild>
                    <w:div w:id="894239734">
                      <w:marLeft w:val="0"/>
                      <w:marRight w:val="0"/>
                      <w:marTop w:val="0"/>
                      <w:marBottom w:val="0"/>
                      <w:divBdr>
                        <w:top w:val="none" w:sz="0" w:space="0" w:color="auto"/>
                        <w:left w:val="none" w:sz="0" w:space="0" w:color="auto"/>
                        <w:bottom w:val="none" w:sz="0" w:space="0" w:color="auto"/>
                        <w:right w:val="none" w:sz="0" w:space="0" w:color="auto"/>
                      </w:divBdr>
                    </w:div>
                  </w:divsChild>
                </w:div>
                <w:div w:id="1945379263">
                  <w:marLeft w:val="0"/>
                  <w:marRight w:val="0"/>
                  <w:marTop w:val="0"/>
                  <w:marBottom w:val="0"/>
                  <w:divBdr>
                    <w:top w:val="none" w:sz="0" w:space="0" w:color="auto"/>
                    <w:left w:val="none" w:sz="0" w:space="0" w:color="auto"/>
                    <w:bottom w:val="none" w:sz="0" w:space="0" w:color="auto"/>
                    <w:right w:val="none" w:sz="0" w:space="0" w:color="auto"/>
                  </w:divBdr>
                  <w:divsChild>
                    <w:div w:id="1171868073">
                      <w:marLeft w:val="0"/>
                      <w:marRight w:val="0"/>
                      <w:marTop w:val="0"/>
                      <w:marBottom w:val="0"/>
                      <w:divBdr>
                        <w:top w:val="none" w:sz="0" w:space="0" w:color="auto"/>
                        <w:left w:val="none" w:sz="0" w:space="0" w:color="auto"/>
                        <w:bottom w:val="none" w:sz="0" w:space="0" w:color="auto"/>
                        <w:right w:val="none" w:sz="0" w:space="0" w:color="auto"/>
                      </w:divBdr>
                    </w:div>
                  </w:divsChild>
                </w:div>
                <w:div w:id="1985884909">
                  <w:marLeft w:val="0"/>
                  <w:marRight w:val="0"/>
                  <w:marTop w:val="0"/>
                  <w:marBottom w:val="0"/>
                  <w:divBdr>
                    <w:top w:val="none" w:sz="0" w:space="0" w:color="auto"/>
                    <w:left w:val="none" w:sz="0" w:space="0" w:color="auto"/>
                    <w:bottom w:val="none" w:sz="0" w:space="0" w:color="auto"/>
                    <w:right w:val="none" w:sz="0" w:space="0" w:color="auto"/>
                  </w:divBdr>
                  <w:divsChild>
                    <w:div w:id="815997757">
                      <w:marLeft w:val="0"/>
                      <w:marRight w:val="0"/>
                      <w:marTop w:val="0"/>
                      <w:marBottom w:val="0"/>
                      <w:divBdr>
                        <w:top w:val="none" w:sz="0" w:space="0" w:color="auto"/>
                        <w:left w:val="none" w:sz="0" w:space="0" w:color="auto"/>
                        <w:bottom w:val="none" w:sz="0" w:space="0" w:color="auto"/>
                        <w:right w:val="none" w:sz="0" w:space="0" w:color="auto"/>
                      </w:divBdr>
                    </w:div>
                  </w:divsChild>
                </w:div>
                <w:div w:id="2048017511">
                  <w:marLeft w:val="0"/>
                  <w:marRight w:val="0"/>
                  <w:marTop w:val="0"/>
                  <w:marBottom w:val="0"/>
                  <w:divBdr>
                    <w:top w:val="none" w:sz="0" w:space="0" w:color="auto"/>
                    <w:left w:val="none" w:sz="0" w:space="0" w:color="auto"/>
                    <w:bottom w:val="none" w:sz="0" w:space="0" w:color="auto"/>
                    <w:right w:val="none" w:sz="0" w:space="0" w:color="auto"/>
                  </w:divBdr>
                  <w:divsChild>
                    <w:div w:id="1148983027">
                      <w:marLeft w:val="0"/>
                      <w:marRight w:val="0"/>
                      <w:marTop w:val="0"/>
                      <w:marBottom w:val="0"/>
                      <w:divBdr>
                        <w:top w:val="none" w:sz="0" w:space="0" w:color="auto"/>
                        <w:left w:val="none" w:sz="0" w:space="0" w:color="auto"/>
                        <w:bottom w:val="none" w:sz="0" w:space="0" w:color="auto"/>
                        <w:right w:val="none" w:sz="0" w:space="0" w:color="auto"/>
                      </w:divBdr>
                    </w:div>
                  </w:divsChild>
                </w:div>
                <w:div w:id="2049337377">
                  <w:marLeft w:val="0"/>
                  <w:marRight w:val="0"/>
                  <w:marTop w:val="0"/>
                  <w:marBottom w:val="0"/>
                  <w:divBdr>
                    <w:top w:val="none" w:sz="0" w:space="0" w:color="auto"/>
                    <w:left w:val="none" w:sz="0" w:space="0" w:color="auto"/>
                    <w:bottom w:val="none" w:sz="0" w:space="0" w:color="auto"/>
                    <w:right w:val="none" w:sz="0" w:space="0" w:color="auto"/>
                  </w:divBdr>
                  <w:divsChild>
                    <w:div w:id="568541889">
                      <w:marLeft w:val="0"/>
                      <w:marRight w:val="0"/>
                      <w:marTop w:val="0"/>
                      <w:marBottom w:val="0"/>
                      <w:divBdr>
                        <w:top w:val="none" w:sz="0" w:space="0" w:color="auto"/>
                        <w:left w:val="none" w:sz="0" w:space="0" w:color="auto"/>
                        <w:bottom w:val="none" w:sz="0" w:space="0" w:color="auto"/>
                        <w:right w:val="none" w:sz="0" w:space="0" w:color="auto"/>
                      </w:divBdr>
                    </w:div>
                  </w:divsChild>
                </w:div>
                <w:div w:id="2071270107">
                  <w:marLeft w:val="0"/>
                  <w:marRight w:val="0"/>
                  <w:marTop w:val="0"/>
                  <w:marBottom w:val="0"/>
                  <w:divBdr>
                    <w:top w:val="none" w:sz="0" w:space="0" w:color="auto"/>
                    <w:left w:val="none" w:sz="0" w:space="0" w:color="auto"/>
                    <w:bottom w:val="none" w:sz="0" w:space="0" w:color="auto"/>
                    <w:right w:val="none" w:sz="0" w:space="0" w:color="auto"/>
                  </w:divBdr>
                  <w:divsChild>
                    <w:div w:id="250167657">
                      <w:marLeft w:val="0"/>
                      <w:marRight w:val="0"/>
                      <w:marTop w:val="0"/>
                      <w:marBottom w:val="0"/>
                      <w:divBdr>
                        <w:top w:val="none" w:sz="0" w:space="0" w:color="auto"/>
                        <w:left w:val="none" w:sz="0" w:space="0" w:color="auto"/>
                        <w:bottom w:val="none" w:sz="0" w:space="0" w:color="auto"/>
                        <w:right w:val="none" w:sz="0" w:space="0" w:color="auto"/>
                      </w:divBdr>
                    </w:div>
                  </w:divsChild>
                </w:div>
                <w:div w:id="2130392513">
                  <w:marLeft w:val="0"/>
                  <w:marRight w:val="0"/>
                  <w:marTop w:val="0"/>
                  <w:marBottom w:val="0"/>
                  <w:divBdr>
                    <w:top w:val="none" w:sz="0" w:space="0" w:color="auto"/>
                    <w:left w:val="none" w:sz="0" w:space="0" w:color="auto"/>
                    <w:bottom w:val="none" w:sz="0" w:space="0" w:color="auto"/>
                    <w:right w:val="none" w:sz="0" w:space="0" w:color="auto"/>
                  </w:divBdr>
                  <w:divsChild>
                    <w:div w:id="8142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932824">
          <w:marLeft w:val="0"/>
          <w:marRight w:val="0"/>
          <w:marTop w:val="0"/>
          <w:marBottom w:val="0"/>
          <w:divBdr>
            <w:top w:val="none" w:sz="0" w:space="0" w:color="auto"/>
            <w:left w:val="none" w:sz="0" w:space="0" w:color="auto"/>
            <w:bottom w:val="none" w:sz="0" w:space="0" w:color="auto"/>
            <w:right w:val="none" w:sz="0" w:space="0" w:color="auto"/>
          </w:divBdr>
        </w:div>
        <w:div w:id="1721906277">
          <w:marLeft w:val="0"/>
          <w:marRight w:val="0"/>
          <w:marTop w:val="0"/>
          <w:marBottom w:val="0"/>
          <w:divBdr>
            <w:top w:val="none" w:sz="0" w:space="0" w:color="auto"/>
            <w:left w:val="none" w:sz="0" w:space="0" w:color="auto"/>
            <w:bottom w:val="none" w:sz="0" w:space="0" w:color="auto"/>
            <w:right w:val="none" w:sz="0" w:space="0" w:color="auto"/>
          </w:divBdr>
        </w:div>
        <w:div w:id="2065833558">
          <w:marLeft w:val="0"/>
          <w:marRight w:val="0"/>
          <w:marTop w:val="0"/>
          <w:marBottom w:val="0"/>
          <w:divBdr>
            <w:top w:val="none" w:sz="0" w:space="0" w:color="auto"/>
            <w:left w:val="none" w:sz="0" w:space="0" w:color="auto"/>
            <w:bottom w:val="none" w:sz="0" w:space="0" w:color="auto"/>
            <w:right w:val="none" w:sz="0" w:space="0" w:color="auto"/>
          </w:divBdr>
        </w:div>
      </w:divsChild>
    </w:div>
    <w:div w:id="981813381">
      <w:bodyDiv w:val="1"/>
      <w:marLeft w:val="0"/>
      <w:marRight w:val="0"/>
      <w:marTop w:val="0"/>
      <w:marBottom w:val="0"/>
      <w:divBdr>
        <w:top w:val="none" w:sz="0" w:space="0" w:color="auto"/>
        <w:left w:val="none" w:sz="0" w:space="0" w:color="auto"/>
        <w:bottom w:val="none" w:sz="0" w:space="0" w:color="auto"/>
        <w:right w:val="none" w:sz="0" w:space="0" w:color="auto"/>
      </w:divBdr>
    </w:div>
    <w:div w:id="1021126034">
      <w:bodyDiv w:val="1"/>
      <w:marLeft w:val="0"/>
      <w:marRight w:val="0"/>
      <w:marTop w:val="0"/>
      <w:marBottom w:val="0"/>
      <w:divBdr>
        <w:top w:val="none" w:sz="0" w:space="0" w:color="auto"/>
        <w:left w:val="none" w:sz="0" w:space="0" w:color="auto"/>
        <w:bottom w:val="none" w:sz="0" w:space="0" w:color="auto"/>
        <w:right w:val="none" w:sz="0" w:space="0" w:color="auto"/>
      </w:divBdr>
      <w:divsChild>
        <w:div w:id="217716375">
          <w:marLeft w:val="0"/>
          <w:marRight w:val="0"/>
          <w:marTop w:val="0"/>
          <w:marBottom w:val="0"/>
          <w:divBdr>
            <w:top w:val="none" w:sz="0" w:space="0" w:color="auto"/>
            <w:left w:val="none" w:sz="0" w:space="0" w:color="auto"/>
            <w:bottom w:val="none" w:sz="0" w:space="0" w:color="auto"/>
            <w:right w:val="none" w:sz="0" w:space="0" w:color="auto"/>
          </w:divBdr>
        </w:div>
        <w:div w:id="487019277">
          <w:marLeft w:val="0"/>
          <w:marRight w:val="0"/>
          <w:marTop w:val="0"/>
          <w:marBottom w:val="0"/>
          <w:divBdr>
            <w:top w:val="none" w:sz="0" w:space="0" w:color="auto"/>
            <w:left w:val="none" w:sz="0" w:space="0" w:color="auto"/>
            <w:bottom w:val="none" w:sz="0" w:space="0" w:color="auto"/>
            <w:right w:val="none" w:sz="0" w:space="0" w:color="auto"/>
          </w:divBdr>
        </w:div>
        <w:div w:id="570849112">
          <w:marLeft w:val="0"/>
          <w:marRight w:val="0"/>
          <w:marTop w:val="0"/>
          <w:marBottom w:val="0"/>
          <w:divBdr>
            <w:top w:val="none" w:sz="0" w:space="0" w:color="auto"/>
            <w:left w:val="none" w:sz="0" w:space="0" w:color="auto"/>
            <w:bottom w:val="none" w:sz="0" w:space="0" w:color="auto"/>
            <w:right w:val="none" w:sz="0" w:space="0" w:color="auto"/>
          </w:divBdr>
          <w:divsChild>
            <w:div w:id="936786909">
              <w:marLeft w:val="-75"/>
              <w:marRight w:val="0"/>
              <w:marTop w:val="30"/>
              <w:marBottom w:val="30"/>
              <w:divBdr>
                <w:top w:val="none" w:sz="0" w:space="0" w:color="auto"/>
                <w:left w:val="none" w:sz="0" w:space="0" w:color="auto"/>
                <w:bottom w:val="none" w:sz="0" w:space="0" w:color="auto"/>
                <w:right w:val="none" w:sz="0" w:space="0" w:color="auto"/>
              </w:divBdr>
              <w:divsChild>
                <w:div w:id="10694165">
                  <w:marLeft w:val="0"/>
                  <w:marRight w:val="0"/>
                  <w:marTop w:val="0"/>
                  <w:marBottom w:val="0"/>
                  <w:divBdr>
                    <w:top w:val="none" w:sz="0" w:space="0" w:color="auto"/>
                    <w:left w:val="none" w:sz="0" w:space="0" w:color="auto"/>
                    <w:bottom w:val="none" w:sz="0" w:space="0" w:color="auto"/>
                    <w:right w:val="none" w:sz="0" w:space="0" w:color="auto"/>
                  </w:divBdr>
                  <w:divsChild>
                    <w:div w:id="1793983862">
                      <w:marLeft w:val="0"/>
                      <w:marRight w:val="0"/>
                      <w:marTop w:val="0"/>
                      <w:marBottom w:val="0"/>
                      <w:divBdr>
                        <w:top w:val="none" w:sz="0" w:space="0" w:color="auto"/>
                        <w:left w:val="none" w:sz="0" w:space="0" w:color="auto"/>
                        <w:bottom w:val="none" w:sz="0" w:space="0" w:color="auto"/>
                        <w:right w:val="none" w:sz="0" w:space="0" w:color="auto"/>
                      </w:divBdr>
                    </w:div>
                  </w:divsChild>
                </w:div>
                <w:div w:id="48654070">
                  <w:marLeft w:val="0"/>
                  <w:marRight w:val="0"/>
                  <w:marTop w:val="0"/>
                  <w:marBottom w:val="0"/>
                  <w:divBdr>
                    <w:top w:val="none" w:sz="0" w:space="0" w:color="auto"/>
                    <w:left w:val="none" w:sz="0" w:space="0" w:color="auto"/>
                    <w:bottom w:val="none" w:sz="0" w:space="0" w:color="auto"/>
                    <w:right w:val="none" w:sz="0" w:space="0" w:color="auto"/>
                  </w:divBdr>
                  <w:divsChild>
                    <w:div w:id="1647932951">
                      <w:marLeft w:val="0"/>
                      <w:marRight w:val="0"/>
                      <w:marTop w:val="0"/>
                      <w:marBottom w:val="0"/>
                      <w:divBdr>
                        <w:top w:val="none" w:sz="0" w:space="0" w:color="auto"/>
                        <w:left w:val="none" w:sz="0" w:space="0" w:color="auto"/>
                        <w:bottom w:val="none" w:sz="0" w:space="0" w:color="auto"/>
                        <w:right w:val="none" w:sz="0" w:space="0" w:color="auto"/>
                      </w:divBdr>
                    </w:div>
                  </w:divsChild>
                </w:div>
                <w:div w:id="56169604">
                  <w:marLeft w:val="0"/>
                  <w:marRight w:val="0"/>
                  <w:marTop w:val="0"/>
                  <w:marBottom w:val="0"/>
                  <w:divBdr>
                    <w:top w:val="none" w:sz="0" w:space="0" w:color="auto"/>
                    <w:left w:val="none" w:sz="0" w:space="0" w:color="auto"/>
                    <w:bottom w:val="none" w:sz="0" w:space="0" w:color="auto"/>
                    <w:right w:val="none" w:sz="0" w:space="0" w:color="auto"/>
                  </w:divBdr>
                  <w:divsChild>
                    <w:div w:id="1216694978">
                      <w:marLeft w:val="0"/>
                      <w:marRight w:val="0"/>
                      <w:marTop w:val="0"/>
                      <w:marBottom w:val="0"/>
                      <w:divBdr>
                        <w:top w:val="none" w:sz="0" w:space="0" w:color="auto"/>
                        <w:left w:val="none" w:sz="0" w:space="0" w:color="auto"/>
                        <w:bottom w:val="none" w:sz="0" w:space="0" w:color="auto"/>
                        <w:right w:val="none" w:sz="0" w:space="0" w:color="auto"/>
                      </w:divBdr>
                    </w:div>
                  </w:divsChild>
                </w:div>
                <w:div w:id="68239327">
                  <w:marLeft w:val="0"/>
                  <w:marRight w:val="0"/>
                  <w:marTop w:val="0"/>
                  <w:marBottom w:val="0"/>
                  <w:divBdr>
                    <w:top w:val="none" w:sz="0" w:space="0" w:color="auto"/>
                    <w:left w:val="none" w:sz="0" w:space="0" w:color="auto"/>
                    <w:bottom w:val="none" w:sz="0" w:space="0" w:color="auto"/>
                    <w:right w:val="none" w:sz="0" w:space="0" w:color="auto"/>
                  </w:divBdr>
                  <w:divsChild>
                    <w:div w:id="103618882">
                      <w:marLeft w:val="0"/>
                      <w:marRight w:val="0"/>
                      <w:marTop w:val="0"/>
                      <w:marBottom w:val="0"/>
                      <w:divBdr>
                        <w:top w:val="none" w:sz="0" w:space="0" w:color="auto"/>
                        <w:left w:val="none" w:sz="0" w:space="0" w:color="auto"/>
                        <w:bottom w:val="none" w:sz="0" w:space="0" w:color="auto"/>
                        <w:right w:val="none" w:sz="0" w:space="0" w:color="auto"/>
                      </w:divBdr>
                    </w:div>
                  </w:divsChild>
                </w:div>
                <w:div w:id="208956151">
                  <w:marLeft w:val="0"/>
                  <w:marRight w:val="0"/>
                  <w:marTop w:val="0"/>
                  <w:marBottom w:val="0"/>
                  <w:divBdr>
                    <w:top w:val="none" w:sz="0" w:space="0" w:color="auto"/>
                    <w:left w:val="none" w:sz="0" w:space="0" w:color="auto"/>
                    <w:bottom w:val="none" w:sz="0" w:space="0" w:color="auto"/>
                    <w:right w:val="none" w:sz="0" w:space="0" w:color="auto"/>
                  </w:divBdr>
                  <w:divsChild>
                    <w:div w:id="1424650058">
                      <w:marLeft w:val="0"/>
                      <w:marRight w:val="0"/>
                      <w:marTop w:val="0"/>
                      <w:marBottom w:val="0"/>
                      <w:divBdr>
                        <w:top w:val="none" w:sz="0" w:space="0" w:color="auto"/>
                        <w:left w:val="none" w:sz="0" w:space="0" w:color="auto"/>
                        <w:bottom w:val="none" w:sz="0" w:space="0" w:color="auto"/>
                        <w:right w:val="none" w:sz="0" w:space="0" w:color="auto"/>
                      </w:divBdr>
                    </w:div>
                  </w:divsChild>
                </w:div>
                <w:div w:id="272787218">
                  <w:marLeft w:val="0"/>
                  <w:marRight w:val="0"/>
                  <w:marTop w:val="0"/>
                  <w:marBottom w:val="0"/>
                  <w:divBdr>
                    <w:top w:val="none" w:sz="0" w:space="0" w:color="auto"/>
                    <w:left w:val="none" w:sz="0" w:space="0" w:color="auto"/>
                    <w:bottom w:val="none" w:sz="0" w:space="0" w:color="auto"/>
                    <w:right w:val="none" w:sz="0" w:space="0" w:color="auto"/>
                  </w:divBdr>
                  <w:divsChild>
                    <w:div w:id="2007853557">
                      <w:marLeft w:val="0"/>
                      <w:marRight w:val="0"/>
                      <w:marTop w:val="0"/>
                      <w:marBottom w:val="0"/>
                      <w:divBdr>
                        <w:top w:val="none" w:sz="0" w:space="0" w:color="auto"/>
                        <w:left w:val="none" w:sz="0" w:space="0" w:color="auto"/>
                        <w:bottom w:val="none" w:sz="0" w:space="0" w:color="auto"/>
                        <w:right w:val="none" w:sz="0" w:space="0" w:color="auto"/>
                      </w:divBdr>
                    </w:div>
                  </w:divsChild>
                </w:div>
                <w:div w:id="371811169">
                  <w:marLeft w:val="0"/>
                  <w:marRight w:val="0"/>
                  <w:marTop w:val="0"/>
                  <w:marBottom w:val="0"/>
                  <w:divBdr>
                    <w:top w:val="none" w:sz="0" w:space="0" w:color="auto"/>
                    <w:left w:val="none" w:sz="0" w:space="0" w:color="auto"/>
                    <w:bottom w:val="none" w:sz="0" w:space="0" w:color="auto"/>
                    <w:right w:val="none" w:sz="0" w:space="0" w:color="auto"/>
                  </w:divBdr>
                  <w:divsChild>
                    <w:div w:id="844125214">
                      <w:marLeft w:val="0"/>
                      <w:marRight w:val="0"/>
                      <w:marTop w:val="0"/>
                      <w:marBottom w:val="0"/>
                      <w:divBdr>
                        <w:top w:val="none" w:sz="0" w:space="0" w:color="auto"/>
                        <w:left w:val="none" w:sz="0" w:space="0" w:color="auto"/>
                        <w:bottom w:val="none" w:sz="0" w:space="0" w:color="auto"/>
                        <w:right w:val="none" w:sz="0" w:space="0" w:color="auto"/>
                      </w:divBdr>
                    </w:div>
                  </w:divsChild>
                </w:div>
                <w:div w:id="405960917">
                  <w:marLeft w:val="0"/>
                  <w:marRight w:val="0"/>
                  <w:marTop w:val="0"/>
                  <w:marBottom w:val="0"/>
                  <w:divBdr>
                    <w:top w:val="none" w:sz="0" w:space="0" w:color="auto"/>
                    <w:left w:val="none" w:sz="0" w:space="0" w:color="auto"/>
                    <w:bottom w:val="none" w:sz="0" w:space="0" w:color="auto"/>
                    <w:right w:val="none" w:sz="0" w:space="0" w:color="auto"/>
                  </w:divBdr>
                  <w:divsChild>
                    <w:div w:id="725370318">
                      <w:marLeft w:val="0"/>
                      <w:marRight w:val="0"/>
                      <w:marTop w:val="0"/>
                      <w:marBottom w:val="0"/>
                      <w:divBdr>
                        <w:top w:val="none" w:sz="0" w:space="0" w:color="auto"/>
                        <w:left w:val="none" w:sz="0" w:space="0" w:color="auto"/>
                        <w:bottom w:val="none" w:sz="0" w:space="0" w:color="auto"/>
                        <w:right w:val="none" w:sz="0" w:space="0" w:color="auto"/>
                      </w:divBdr>
                    </w:div>
                  </w:divsChild>
                </w:div>
                <w:div w:id="409159064">
                  <w:marLeft w:val="0"/>
                  <w:marRight w:val="0"/>
                  <w:marTop w:val="0"/>
                  <w:marBottom w:val="0"/>
                  <w:divBdr>
                    <w:top w:val="none" w:sz="0" w:space="0" w:color="auto"/>
                    <w:left w:val="none" w:sz="0" w:space="0" w:color="auto"/>
                    <w:bottom w:val="none" w:sz="0" w:space="0" w:color="auto"/>
                    <w:right w:val="none" w:sz="0" w:space="0" w:color="auto"/>
                  </w:divBdr>
                  <w:divsChild>
                    <w:div w:id="481235866">
                      <w:marLeft w:val="0"/>
                      <w:marRight w:val="0"/>
                      <w:marTop w:val="0"/>
                      <w:marBottom w:val="0"/>
                      <w:divBdr>
                        <w:top w:val="none" w:sz="0" w:space="0" w:color="auto"/>
                        <w:left w:val="none" w:sz="0" w:space="0" w:color="auto"/>
                        <w:bottom w:val="none" w:sz="0" w:space="0" w:color="auto"/>
                        <w:right w:val="none" w:sz="0" w:space="0" w:color="auto"/>
                      </w:divBdr>
                    </w:div>
                  </w:divsChild>
                </w:div>
                <w:div w:id="430469358">
                  <w:marLeft w:val="0"/>
                  <w:marRight w:val="0"/>
                  <w:marTop w:val="0"/>
                  <w:marBottom w:val="0"/>
                  <w:divBdr>
                    <w:top w:val="none" w:sz="0" w:space="0" w:color="auto"/>
                    <w:left w:val="none" w:sz="0" w:space="0" w:color="auto"/>
                    <w:bottom w:val="none" w:sz="0" w:space="0" w:color="auto"/>
                    <w:right w:val="none" w:sz="0" w:space="0" w:color="auto"/>
                  </w:divBdr>
                  <w:divsChild>
                    <w:div w:id="2106267547">
                      <w:marLeft w:val="0"/>
                      <w:marRight w:val="0"/>
                      <w:marTop w:val="0"/>
                      <w:marBottom w:val="0"/>
                      <w:divBdr>
                        <w:top w:val="none" w:sz="0" w:space="0" w:color="auto"/>
                        <w:left w:val="none" w:sz="0" w:space="0" w:color="auto"/>
                        <w:bottom w:val="none" w:sz="0" w:space="0" w:color="auto"/>
                        <w:right w:val="none" w:sz="0" w:space="0" w:color="auto"/>
                      </w:divBdr>
                    </w:div>
                  </w:divsChild>
                </w:div>
                <w:div w:id="472868473">
                  <w:marLeft w:val="0"/>
                  <w:marRight w:val="0"/>
                  <w:marTop w:val="0"/>
                  <w:marBottom w:val="0"/>
                  <w:divBdr>
                    <w:top w:val="none" w:sz="0" w:space="0" w:color="auto"/>
                    <w:left w:val="none" w:sz="0" w:space="0" w:color="auto"/>
                    <w:bottom w:val="none" w:sz="0" w:space="0" w:color="auto"/>
                    <w:right w:val="none" w:sz="0" w:space="0" w:color="auto"/>
                  </w:divBdr>
                  <w:divsChild>
                    <w:div w:id="2065718192">
                      <w:marLeft w:val="0"/>
                      <w:marRight w:val="0"/>
                      <w:marTop w:val="0"/>
                      <w:marBottom w:val="0"/>
                      <w:divBdr>
                        <w:top w:val="none" w:sz="0" w:space="0" w:color="auto"/>
                        <w:left w:val="none" w:sz="0" w:space="0" w:color="auto"/>
                        <w:bottom w:val="none" w:sz="0" w:space="0" w:color="auto"/>
                        <w:right w:val="none" w:sz="0" w:space="0" w:color="auto"/>
                      </w:divBdr>
                    </w:div>
                  </w:divsChild>
                </w:div>
                <w:div w:id="811672545">
                  <w:marLeft w:val="0"/>
                  <w:marRight w:val="0"/>
                  <w:marTop w:val="0"/>
                  <w:marBottom w:val="0"/>
                  <w:divBdr>
                    <w:top w:val="none" w:sz="0" w:space="0" w:color="auto"/>
                    <w:left w:val="none" w:sz="0" w:space="0" w:color="auto"/>
                    <w:bottom w:val="none" w:sz="0" w:space="0" w:color="auto"/>
                    <w:right w:val="none" w:sz="0" w:space="0" w:color="auto"/>
                  </w:divBdr>
                  <w:divsChild>
                    <w:div w:id="1775779412">
                      <w:marLeft w:val="0"/>
                      <w:marRight w:val="0"/>
                      <w:marTop w:val="0"/>
                      <w:marBottom w:val="0"/>
                      <w:divBdr>
                        <w:top w:val="none" w:sz="0" w:space="0" w:color="auto"/>
                        <w:left w:val="none" w:sz="0" w:space="0" w:color="auto"/>
                        <w:bottom w:val="none" w:sz="0" w:space="0" w:color="auto"/>
                        <w:right w:val="none" w:sz="0" w:space="0" w:color="auto"/>
                      </w:divBdr>
                    </w:div>
                  </w:divsChild>
                </w:div>
                <w:div w:id="830948280">
                  <w:marLeft w:val="0"/>
                  <w:marRight w:val="0"/>
                  <w:marTop w:val="0"/>
                  <w:marBottom w:val="0"/>
                  <w:divBdr>
                    <w:top w:val="none" w:sz="0" w:space="0" w:color="auto"/>
                    <w:left w:val="none" w:sz="0" w:space="0" w:color="auto"/>
                    <w:bottom w:val="none" w:sz="0" w:space="0" w:color="auto"/>
                    <w:right w:val="none" w:sz="0" w:space="0" w:color="auto"/>
                  </w:divBdr>
                  <w:divsChild>
                    <w:div w:id="105128303">
                      <w:marLeft w:val="0"/>
                      <w:marRight w:val="0"/>
                      <w:marTop w:val="0"/>
                      <w:marBottom w:val="0"/>
                      <w:divBdr>
                        <w:top w:val="none" w:sz="0" w:space="0" w:color="auto"/>
                        <w:left w:val="none" w:sz="0" w:space="0" w:color="auto"/>
                        <w:bottom w:val="none" w:sz="0" w:space="0" w:color="auto"/>
                        <w:right w:val="none" w:sz="0" w:space="0" w:color="auto"/>
                      </w:divBdr>
                    </w:div>
                  </w:divsChild>
                </w:div>
                <w:div w:id="840897542">
                  <w:marLeft w:val="0"/>
                  <w:marRight w:val="0"/>
                  <w:marTop w:val="0"/>
                  <w:marBottom w:val="0"/>
                  <w:divBdr>
                    <w:top w:val="none" w:sz="0" w:space="0" w:color="auto"/>
                    <w:left w:val="none" w:sz="0" w:space="0" w:color="auto"/>
                    <w:bottom w:val="none" w:sz="0" w:space="0" w:color="auto"/>
                    <w:right w:val="none" w:sz="0" w:space="0" w:color="auto"/>
                  </w:divBdr>
                  <w:divsChild>
                    <w:div w:id="1183981528">
                      <w:marLeft w:val="0"/>
                      <w:marRight w:val="0"/>
                      <w:marTop w:val="0"/>
                      <w:marBottom w:val="0"/>
                      <w:divBdr>
                        <w:top w:val="none" w:sz="0" w:space="0" w:color="auto"/>
                        <w:left w:val="none" w:sz="0" w:space="0" w:color="auto"/>
                        <w:bottom w:val="none" w:sz="0" w:space="0" w:color="auto"/>
                        <w:right w:val="none" w:sz="0" w:space="0" w:color="auto"/>
                      </w:divBdr>
                    </w:div>
                  </w:divsChild>
                </w:div>
                <w:div w:id="871455596">
                  <w:marLeft w:val="0"/>
                  <w:marRight w:val="0"/>
                  <w:marTop w:val="0"/>
                  <w:marBottom w:val="0"/>
                  <w:divBdr>
                    <w:top w:val="none" w:sz="0" w:space="0" w:color="auto"/>
                    <w:left w:val="none" w:sz="0" w:space="0" w:color="auto"/>
                    <w:bottom w:val="none" w:sz="0" w:space="0" w:color="auto"/>
                    <w:right w:val="none" w:sz="0" w:space="0" w:color="auto"/>
                  </w:divBdr>
                  <w:divsChild>
                    <w:div w:id="277493135">
                      <w:marLeft w:val="0"/>
                      <w:marRight w:val="0"/>
                      <w:marTop w:val="0"/>
                      <w:marBottom w:val="0"/>
                      <w:divBdr>
                        <w:top w:val="none" w:sz="0" w:space="0" w:color="auto"/>
                        <w:left w:val="none" w:sz="0" w:space="0" w:color="auto"/>
                        <w:bottom w:val="none" w:sz="0" w:space="0" w:color="auto"/>
                        <w:right w:val="none" w:sz="0" w:space="0" w:color="auto"/>
                      </w:divBdr>
                    </w:div>
                  </w:divsChild>
                </w:div>
                <w:div w:id="898976145">
                  <w:marLeft w:val="0"/>
                  <w:marRight w:val="0"/>
                  <w:marTop w:val="0"/>
                  <w:marBottom w:val="0"/>
                  <w:divBdr>
                    <w:top w:val="none" w:sz="0" w:space="0" w:color="auto"/>
                    <w:left w:val="none" w:sz="0" w:space="0" w:color="auto"/>
                    <w:bottom w:val="none" w:sz="0" w:space="0" w:color="auto"/>
                    <w:right w:val="none" w:sz="0" w:space="0" w:color="auto"/>
                  </w:divBdr>
                  <w:divsChild>
                    <w:div w:id="1426461992">
                      <w:marLeft w:val="0"/>
                      <w:marRight w:val="0"/>
                      <w:marTop w:val="0"/>
                      <w:marBottom w:val="0"/>
                      <w:divBdr>
                        <w:top w:val="none" w:sz="0" w:space="0" w:color="auto"/>
                        <w:left w:val="none" w:sz="0" w:space="0" w:color="auto"/>
                        <w:bottom w:val="none" w:sz="0" w:space="0" w:color="auto"/>
                        <w:right w:val="none" w:sz="0" w:space="0" w:color="auto"/>
                      </w:divBdr>
                    </w:div>
                  </w:divsChild>
                </w:div>
                <w:div w:id="908927602">
                  <w:marLeft w:val="0"/>
                  <w:marRight w:val="0"/>
                  <w:marTop w:val="0"/>
                  <w:marBottom w:val="0"/>
                  <w:divBdr>
                    <w:top w:val="none" w:sz="0" w:space="0" w:color="auto"/>
                    <w:left w:val="none" w:sz="0" w:space="0" w:color="auto"/>
                    <w:bottom w:val="none" w:sz="0" w:space="0" w:color="auto"/>
                    <w:right w:val="none" w:sz="0" w:space="0" w:color="auto"/>
                  </w:divBdr>
                  <w:divsChild>
                    <w:div w:id="1770932614">
                      <w:marLeft w:val="0"/>
                      <w:marRight w:val="0"/>
                      <w:marTop w:val="0"/>
                      <w:marBottom w:val="0"/>
                      <w:divBdr>
                        <w:top w:val="none" w:sz="0" w:space="0" w:color="auto"/>
                        <w:left w:val="none" w:sz="0" w:space="0" w:color="auto"/>
                        <w:bottom w:val="none" w:sz="0" w:space="0" w:color="auto"/>
                        <w:right w:val="none" w:sz="0" w:space="0" w:color="auto"/>
                      </w:divBdr>
                    </w:div>
                  </w:divsChild>
                </w:div>
                <w:div w:id="991055489">
                  <w:marLeft w:val="0"/>
                  <w:marRight w:val="0"/>
                  <w:marTop w:val="0"/>
                  <w:marBottom w:val="0"/>
                  <w:divBdr>
                    <w:top w:val="none" w:sz="0" w:space="0" w:color="auto"/>
                    <w:left w:val="none" w:sz="0" w:space="0" w:color="auto"/>
                    <w:bottom w:val="none" w:sz="0" w:space="0" w:color="auto"/>
                    <w:right w:val="none" w:sz="0" w:space="0" w:color="auto"/>
                  </w:divBdr>
                  <w:divsChild>
                    <w:div w:id="2003963930">
                      <w:marLeft w:val="0"/>
                      <w:marRight w:val="0"/>
                      <w:marTop w:val="0"/>
                      <w:marBottom w:val="0"/>
                      <w:divBdr>
                        <w:top w:val="none" w:sz="0" w:space="0" w:color="auto"/>
                        <w:left w:val="none" w:sz="0" w:space="0" w:color="auto"/>
                        <w:bottom w:val="none" w:sz="0" w:space="0" w:color="auto"/>
                        <w:right w:val="none" w:sz="0" w:space="0" w:color="auto"/>
                      </w:divBdr>
                    </w:div>
                  </w:divsChild>
                </w:div>
                <w:div w:id="1192035331">
                  <w:marLeft w:val="0"/>
                  <w:marRight w:val="0"/>
                  <w:marTop w:val="0"/>
                  <w:marBottom w:val="0"/>
                  <w:divBdr>
                    <w:top w:val="none" w:sz="0" w:space="0" w:color="auto"/>
                    <w:left w:val="none" w:sz="0" w:space="0" w:color="auto"/>
                    <w:bottom w:val="none" w:sz="0" w:space="0" w:color="auto"/>
                    <w:right w:val="none" w:sz="0" w:space="0" w:color="auto"/>
                  </w:divBdr>
                  <w:divsChild>
                    <w:div w:id="503739429">
                      <w:marLeft w:val="0"/>
                      <w:marRight w:val="0"/>
                      <w:marTop w:val="0"/>
                      <w:marBottom w:val="0"/>
                      <w:divBdr>
                        <w:top w:val="none" w:sz="0" w:space="0" w:color="auto"/>
                        <w:left w:val="none" w:sz="0" w:space="0" w:color="auto"/>
                        <w:bottom w:val="none" w:sz="0" w:space="0" w:color="auto"/>
                        <w:right w:val="none" w:sz="0" w:space="0" w:color="auto"/>
                      </w:divBdr>
                    </w:div>
                  </w:divsChild>
                </w:div>
                <w:div w:id="1289434599">
                  <w:marLeft w:val="0"/>
                  <w:marRight w:val="0"/>
                  <w:marTop w:val="0"/>
                  <w:marBottom w:val="0"/>
                  <w:divBdr>
                    <w:top w:val="none" w:sz="0" w:space="0" w:color="auto"/>
                    <w:left w:val="none" w:sz="0" w:space="0" w:color="auto"/>
                    <w:bottom w:val="none" w:sz="0" w:space="0" w:color="auto"/>
                    <w:right w:val="none" w:sz="0" w:space="0" w:color="auto"/>
                  </w:divBdr>
                  <w:divsChild>
                    <w:div w:id="54134830">
                      <w:marLeft w:val="0"/>
                      <w:marRight w:val="0"/>
                      <w:marTop w:val="0"/>
                      <w:marBottom w:val="0"/>
                      <w:divBdr>
                        <w:top w:val="none" w:sz="0" w:space="0" w:color="auto"/>
                        <w:left w:val="none" w:sz="0" w:space="0" w:color="auto"/>
                        <w:bottom w:val="none" w:sz="0" w:space="0" w:color="auto"/>
                        <w:right w:val="none" w:sz="0" w:space="0" w:color="auto"/>
                      </w:divBdr>
                    </w:div>
                  </w:divsChild>
                </w:div>
                <w:div w:id="1427195302">
                  <w:marLeft w:val="0"/>
                  <w:marRight w:val="0"/>
                  <w:marTop w:val="0"/>
                  <w:marBottom w:val="0"/>
                  <w:divBdr>
                    <w:top w:val="none" w:sz="0" w:space="0" w:color="auto"/>
                    <w:left w:val="none" w:sz="0" w:space="0" w:color="auto"/>
                    <w:bottom w:val="none" w:sz="0" w:space="0" w:color="auto"/>
                    <w:right w:val="none" w:sz="0" w:space="0" w:color="auto"/>
                  </w:divBdr>
                  <w:divsChild>
                    <w:div w:id="2033529972">
                      <w:marLeft w:val="0"/>
                      <w:marRight w:val="0"/>
                      <w:marTop w:val="0"/>
                      <w:marBottom w:val="0"/>
                      <w:divBdr>
                        <w:top w:val="none" w:sz="0" w:space="0" w:color="auto"/>
                        <w:left w:val="none" w:sz="0" w:space="0" w:color="auto"/>
                        <w:bottom w:val="none" w:sz="0" w:space="0" w:color="auto"/>
                        <w:right w:val="none" w:sz="0" w:space="0" w:color="auto"/>
                      </w:divBdr>
                    </w:div>
                  </w:divsChild>
                </w:div>
                <w:div w:id="1519124505">
                  <w:marLeft w:val="0"/>
                  <w:marRight w:val="0"/>
                  <w:marTop w:val="0"/>
                  <w:marBottom w:val="0"/>
                  <w:divBdr>
                    <w:top w:val="none" w:sz="0" w:space="0" w:color="auto"/>
                    <w:left w:val="none" w:sz="0" w:space="0" w:color="auto"/>
                    <w:bottom w:val="none" w:sz="0" w:space="0" w:color="auto"/>
                    <w:right w:val="none" w:sz="0" w:space="0" w:color="auto"/>
                  </w:divBdr>
                  <w:divsChild>
                    <w:div w:id="1840458047">
                      <w:marLeft w:val="0"/>
                      <w:marRight w:val="0"/>
                      <w:marTop w:val="0"/>
                      <w:marBottom w:val="0"/>
                      <w:divBdr>
                        <w:top w:val="none" w:sz="0" w:space="0" w:color="auto"/>
                        <w:left w:val="none" w:sz="0" w:space="0" w:color="auto"/>
                        <w:bottom w:val="none" w:sz="0" w:space="0" w:color="auto"/>
                        <w:right w:val="none" w:sz="0" w:space="0" w:color="auto"/>
                      </w:divBdr>
                    </w:div>
                  </w:divsChild>
                </w:div>
                <w:div w:id="1556307534">
                  <w:marLeft w:val="0"/>
                  <w:marRight w:val="0"/>
                  <w:marTop w:val="0"/>
                  <w:marBottom w:val="0"/>
                  <w:divBdr>
                    <w:top w:val="none" w:sz="0" w:space="0" w:color="auto"/>
                    <w:left w:val="none" w:sz="0" w:space="0" w:color="auto"/>
                    <w:bottom w:val="none" w:sz="0" w:space="0" w:color="auto"/>
                    <w:right w:val="none" w:sz="0" w:space="0" w:color="auto"/>
                  </w:divBdr>
                  <w:divsChild>
                    <w:div w:id="1451851057">
                      <w:marLeft w:val="0"/>
                      <w:marRight w:val="0"/>
                      <w:marTop w:val="0"/>
                      <w:marBottom w:val="0"/>
                      <w:divBdr>
                        <w:top w:val="none" w:sz="0" w:space="0" w:color="auto"/>
                        <w:left w:val="none" w:sz="0" w:space="0" w:color="auto"/>
                        <w:bottom w:val="none" w:sz="0" w:space="0" w:color="auto"/>
                        <w:right w:val="none" w:sz="0" w:space="0" w:color="auto"/>
                      </w:divBdr>
                    </w:div>
                  </w:divsChild>
                </w:div>
                <w:div w:id="1671255730">
                  <w:marLeft w:val="0"/>
                  <w:marRight w:val="0"/>
                  <w:marTop w:val="0"/>
                  <w:marBottom w:val="0"/>
                  <w:divBdr>
                    <w:top w:val="none" w:sz="0" w:space="0" w:color="auto"/>
                    <w:left w:val="none" w:sz="0" w:space="0" w:color="auto"/>
                    <w:bottom w:val="none" w:sz="0" w:space="0" w:color="auto"/>
                    <w:right w:val="none" w:sz="0" w:space="0" w:color="auto"/>
                  </w:divBdr>
                  <w:divsChild>
                    <w:div w:id="337733615">
                      <w:marLeft w:val="0"/>
                      <w:marRight w:val="0"/>
                      <w:marTop w:val="0"/>
                      <w:marBottom w:val="0"/>
                      <w:divBdr>
                        <w:top w:val="none" w:sz="0" w:space="0" w:color="auto"/>
                        <w:left w:val="none" w:sz="0" w:space="0" w:color="auto"/>
                        <w:bottom w:val="none" w:sz="0" w:space="0" w:color="auto"/>
                        <w:right w:val="none" w:sz="0" w:space="0" w:color="auto"/>
                      </w:divBdr>
                    </w:div>
                  </w:divsChild>
                </w:div>
                <w:div w:id="1747260500">
                  <w:marLeft w:val="0"/>
                  <w:marRight w:val="0"/>
                  <w:marTop w:val="0"/>
                  <w:marBottom w:val="0"/>
                  <w:divBdr>
                    <w:top w:val="none" w:sz="0" w:space="0" w:color="auto"/>
                    <w:left w:val="none" w:sz="0" w:space="0" w:color="auto"/>
                    <w:bottom w:val="none" w:sz="0" w:space="0" w:color="auto"/>
                    <w:right w:val="none" w:sz="0" w:space="0" w:color="auto"/>
                  </w:divBdr>
                  <w:divsChild>
                    <w:div w:id="173302330">
                      <w:marLeft w:val="0"/>
                      <w:marRight w:val="0"/>
                      <w:marTop w:val="0"/>
                      <w:marBottom w:val="0"/>
                      <w:divBdr>
                        <w:top w:val="none" w:sz="0" w:space="0" w:color="auto"/>
                        <w:left w:val="none" w:sz="0" w:space="0" w:color="auto"/>
                        <w:bottom w:val="none" w:sz="0" w:space="0" w:color="auto"/>
                        <w:right w:val="none" w:sz="0" w:space="0" w:color="auto"/>
                      </w:divBdr>
                    </w:div>
                  </w:divsChild>
                </w:div>
                <w:div w:id="1922713719">
                  <w:marLeft w:val="0"/>
                  <w:marRight w:val="0"/>
                  <w:marTop w:val="0"/>
                  <w:marBottom w:val="0"/>
                  <w:divBdr>
                    <w:top w:val="none" w:sz="0" w:space="0" w:color="auto"/>
                    <w:left w:val="none" w:sz="0" w:space="0" w:color="auto"/>
                    <w:bottom w:val="none" w:sz="0" w:space="0" w:color="auto"/>
                    <w:right w:val="none" w:sz="0" w:space="0" w:color="auto"/>
                  </w:divBdr>
                  <w:divsChild>
                    <w:div w:id="1958026515">
                      <w:marLeft w:val="0"/>
                      <w:marRight w:val="0"/>
                      <w:marTop w:val="0"/>
                      <w:marBottom w:val="0"/>
                      <w:divBdr>
                        <w:top w:val="none" w:sz="0" w:space="0" w:color="auto"/>
                        <w:left w:val="none" w:sz="0" w:space="0" w:color="auto"/>
                        <w:bottom w:val="none" w:sz="0" w:space="0" w:color="auto"/>
                        <w:right w:val="none" w:sz="0" w:space="0" w:color="auto"/>
                      </w:divBdr>
                    </w:div>
                  </w:divsChild>
                </w:div>
                <w:div w:id="2014798470">
                  <w:marLeft w:val="0"/>
                  <w:marRight w:val="0"/>
                  <w:marTop w:val="0"/>
                  <w:marBottom w:val="0"/>
                  <w:divBdr>
                    <w:top w:val="none" w:sz="0" w:space="0" w:color="auto"/>
                    <w:left w:val="none" w:sz="0" w:space="0" w:color="auto"/>
                    <w:bottom w:val="none" w:sz="0" w:space="0" w:color="auto"/>
                    <w:right w:val="none" w:sz="0" w:space="0" w:color="auto"/>
                  </w:divBdr>
                  <w:divsChild>
                    <w:div w:id="891044778">
                      <w:marLeft w:val="0"/>
                      <w:marRight w:val="0"/>
                      <w:marTop w:val="0"/>
                      <w:marBottom w:val="0"/>
                      <w:divBdr>
                        <w:top w:val="none" w:sz="0" w:space="0" w:color="auto"/>
                        <w:left w:val="none" w:sz="0" w:space="0" w:color="auto"/>
                        <w:bottom w:val="none" w:sz="0" w:space="0" w:color="auto"/>
                        <w:right w:val="none" w:sz="0" w:space="0" w:color="auto"/>
                      </w:divBdr>
                    </w:div>
                  </w:divsChild>
                </w:div>
                <w:div w:id="2112581966">
                  <w:marLeft w:val="0"/>
                  <w:marRight w:val="0"/>
                  <w:marTop w:val="0"/>
                  <w:marBottom w:val="0"/>
                  <w:divBdr>
                    <w:top w:val="none" w:sz="0" w:space="0" w:color="auto"/>
                    <w:left w:val="none" w:sz="0" w:space="0" w:color="auto"/>
                    <w:bottom w:val="none" w:sz="0" w:space="0" w:color="auto"/>
                    <w:right w:val="none" w:sz="0" w:space="0" w:color="auto"/>
                  </w:divBdr>
                  <w:divsChild>
                    <w:div w:id="21197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1926">
          <w:marLeft w:val="0"/>
          <w:marRight w:val="0"/>
          <w:marTop w:val="0"/>
          <w:marBottom w:val="0"/>
          <w:divBdr>
            <w:top w:val="none" w:sz="0" w:space="0" w:color="auto"/>
            <w:left w:val="none" w:sz="0" w:space="0" w:color="auto"/>
            <w:bottom w:val="none" w:sz="0" w:space="0" w:color="auto"/>
            <w:right w:val="none" w:sz="0" w:space="0" w:color="auto"/>
          </w:divBdr>
        </w:div>
        <w:div w:id="883640796">
          <w:marLeft w:val="0"/>
          <w:marRight w:val="0"/>
          <w:marTop w:val="0"/>
          <w:marBottom w:val="0"/>
          <w:divBdr>
            <w:top w:val="none" w:sz="0" w:space="0" w:color="auto"/>
            <w:left w:val="none" w:sz="0" w:space="0" w:color="auto"/>
            <w:bottom w:val="none" w:sz="0" w:space="0" w:color="auto"/>
            <w:right w:val="none" w:sz="0" w:space="0" w:color="auto"/>
          </w:divBdr>
        </w:div>
        <w:div w:id="1073313625">
          <w:marLeft w:val="0"/>
          <w:marRight w:val="0"/>
          <w:marTop w:val="0"/>
          <w:marBottom w:val="0"/>
          <w:divBdr>
            <w:top w:val="none" w:sz="0" w:space="0" w:color="auto"/>
            <w:left w:val="none" w:sz="0" w:space="0" w:color="auto"/>
            <w:bottom w:val="none" w:sz="0" w:space="0" w:color="auto"/>
            <w:right w:val="none" w:sz="0" w:space="0" w:color="auto"/>
          </w:divBdr>
        </w:div>
        <w:div w:id="2023579802">
          <w:marLeft w:val="0"/>
          <w:marRight w:val="0"/>
          <w:marTop w:val="0"/>
          <w:marBottom w:val="0"/>
          <w:divBdr>
            <w:top w:val="none" w:sz="0" w:space="0" w:color="auto"/>
            <w:left w:val="none" w:sz="0" w:space="0" w:color="auto"/>
            <w:bottom w:val="none" w:sz="0" w:space="0" w:color="auto"/>
            <w:right w:val="none" w:sz="0" w:space="0" w:color="auto"/>
          </w:divBdr>
          <w:divsChild>
            <w:div w:id="646202359">
              <w:marLeft w:val="-75"/>
              <w:marRight w:val="0"/>
              <w:marTop w:val="30"/>
              <w:marBottom w:val="30"/>
              <w:divBdr>
                <w:top w:val="none" w:sz="0" w:space="0" w:color="auto"/>
                <w:left w:val="none" w:sz="0" w:space="0" w:color="auto"/>
                <w:bottom w:val="none" w:sz="0" w:space="0" w:color="auto"/>
                <w:right w:val="none" w:sz="0" w:space="0" w:color="auto"/>
              </w:divBdr>
              <w:divsChild>
                <w:div w:id="231738195">
                  <w:marLeft w:val="0"/>
                  <w:marRight w:val="0"/>
                  <w:marTop w:val="0"/>
                  <w:marBottom w:val="0"/>
                  <w:divBdr>
                    <w:top w:val="none" w:sz="0" w:space="0" w:color="auto"/>
                    <w:left w:val="none" w:sz="0" w:space="0" w:color="auto"/>
                    <w:bottom w:val="none" w:sz="0" w:space="0" w:color="auto"/>
                    <w:right w:val="none" w:sz="0" w:space="0" w:color="auto"/>
                  </w:divBdr>
                  <w:divsChild>
                    <w:div w:id="1586647606">
                      <w:marLeft w:val="0"/>
                      <w:marRight w:val="0"/>
                      <w:marTop w:val="0"/>
                      <w:marBottom w:val="0"/>
                      <w:divBdr>
                        <w:top w:val="none" w:sz="0" w:space="0" w:color="auto"/>
                        <w:left w:val="none" w:sz="0" w:space="0" w:color="auto"/>
                        <w:bottom w:val="none" w:sz="0" w:space="0" w:color="auto"/>
                        <w:right w:val="none" w:sz="0" w:space="0" w:color="auto"/>
                      </w:divBdr>
                    </w:div>
                  </w:divsChild>
                </w:div>
                <w:div w:id="340817877">
                  <w:marLeft w:val="0"/>
                  <w:marRight w:val="0"/>
                  <w:marTop w:val="0"/>
                  <w:marBottom w:val="0"/>
                  <w:divBdr>
                    <w:top w:val="none" w:sz="0" w:space="0" w:color="auto"/>
                    <w:left w:val="none" w:sz="0" w:space="0" w:color="auto"/>
                    <w:bottom w:val="none" w:sz="0" w:space="0" w:color="auto"/>
                    <w:right w:val="none" w:sz="0" w:space="0" w:color="auto"/>
                  </w:divBdr>
                  <w:divsChild>
                    <w:div w:id="1106002766">
                      <w:marLeft w:val="0"/>
                      <w:marRight w:val="0"/>
                      <w:marTop w:val="0"/>
                      <w:marBottom w:val="0"/>
                      <w:divBdr>
                        <w:top w:val="none" w:sz="0" w:space="0" w:color="auto"/>
                        <w:left w:val="none" w:sz="0" w:space="0" w:color="auto"/>
                        <w:bottom w:val="none" w:sz="0" w:space="0" w:color="auto"/>
                        <w:right w:val="none" w:sz="0" w:space="0" w:color="auto"/>
                      </w:divBdr>
                    </w:div>
                  </w:divsChild>
                </w:div>
                <w:div w:id="418448015">
                  <w:marLeft w:val="0"/>
                  <w:marRight w:val="0"/>
                  <w:marTop w:val="0"/>
                  <w:marBottom w:val="0"/>
                  <w:divBdr>
                    <w:top w:val="none" w:sz="0" w:space="0" w:color="auto"/>
                    <w:left w:val="none" w:sz="0" w:space="0" w:color="auto"/>
                    <w:bottom w:val="none" w:sz="0" w:space="0" w:color="auto"/>
                    <w:right w:val="none" w:sz="0" w:space="0" w:color="auto"/>
                  </w:divBdr>
                  <w:divsChild>
                    <w:div w:id="1383284801">
                      <w:marLeft w:val="0"/>
                      <w:marRight w:val="0"/>
                      <w:marTop w:val="0"/>
                      <w:marBottom w:val="0"/>
                      <w:divBdr>
                        <w:top w:val="none" w:sz="0" w:space="0" w:color="auto"/>
                        <w:left w:val="none" w:sz="0" w:space="0" w:color="auto"/>
                        <w:bottom w:val="none" w:sz="0" w:space="0" w:color="auto"/>
                        <w:right w:val="none" w:sz="0" w:space="0" w:color="auto"/>
                      </w:divBdr>
                    </w:div>
                  </w:divsChild>
                </w:div>
                <w:div w:id="500125771">
                  <w:marLeft w:val="0"/>
                  <w:marRight w:val="0"/>
                  <w:marTop w:val="0"/>
                  <w:marBottom w:val="0"/>
                  <w:divBdr>
                    <w:top w:val="none" w:sz="0" w:space="0" w:color="auto"/>
                    <w:left w:val="none" w:sz="0" w:space="0" w:color="auto"/>
                    <w:bottom w:val="none" w:sz="0" w:space="0" w:color="auto"/>
                    <w:right w:val="none" w:sz="0" w:space="0" w:color="auto"/>
                  </w:divBdr>
                  <w:divsChild>
                    <w:div w:id="1849634179">
                      <w:marLeft w:val="0"/>
                      <w:marRight w:val="0"/>
                      <w:marTop w:val="0"/>
                      <w:marBottom w:val="0"/>
                      <w:divBdr>
                        <w:top w:val="none" w:sz="0" w:space="0" w:color="auto"/>
                        <w:left w:val="none" w:sz="0" w:space="0" w:color="auto"/>
                        <w:bottom w:val="none" w:sz="0" w:space="0" w:color="auto"/>
                        <w:right w:val="none" w:sz="0" w:space="0" w:color="auto"/>
                      </w:divBdr>
                    </w:div>
                  </w:divsChild>
                </w:div>
                <w:div w:id="725418999">
                  <w:marLeft w:val="0"/>
                  <w:marRight w:val="0"/>
                  <w:marTop w:val="0"/>
                  <w:marBottom w:val="0"/>
                  <w:divBdr>
                    <w:top w:val="none" w:sz="0" w:space="0" w:color="auto"/>
                    <w:left w:val="none" w:sz="0" w:space="0" w:color="auto"/>
                    <w:bottom w:val="none" w:sz="0" w:space="0" w:color="auto"/>
                    <w:right w:val="none" w:sz="0" w:space="0" w:color="auto"/>
                  </w:divBdr>
                  <w:divsChild>
                    <w:div w:id="1238858121">
                      <w:marLeft w:val="0"/>
                      <w:marRight w:val="0"/>
                      <w:marTop w:val="0"/>
                      <w:marBottom w:val="0"/>
                      <w:divBdr>
                        <w:top w:val="none" w:sz="0" w:space="0" w:color="auto"/>
                        <w:left w:val="none" w:sz="0" w:space="0" w:color="auto"/>
                        <w:bottom w:val="none" w:sz="0" w:space="0" w:color="auto"/>
                        <w:right w:val="none" w:sz="0" w:space="0" w:color="auto"/>
                      </w:divBdr>
                    </w:div>
                  </w:divsChild>
                </w:div>
                <w:div w:id="904878294">
                  <w:marLeft w:val="0"/>
                  <w:marRight w:val="0"/>
                  <w:marTop w:val="0"/>
                  <w:marBottom w:val="0"/>
                  <w:divBdr>
                    <w:top w:val="none" w:sz="0" w:space="0" w:color="auto"/>
                    <w:left w:val="none" w:sz="0" w:space="0" w:color="auto"/>
                    <w:bottom w:val="none" w:sz="0" w:space="0" w:color="auto"/>
                    <w:right w:val="none" w:sz="0" w:space="0" w:color="auto"/>
                  </w:divBdr>
                  <w:divsChild>
                    <w:div w:id="1879463897">
                      <w:marLeft w:val="0"/>
                      <w:marRight w:val="0"/>
                      <w:marTop w:val="0"/>
                      <w:marBottom w:val="0"/>
                      <w:divBdr>
                        <w:top w:val="none" w:sz="0" w:space="0" w:color="auto"/>
                        <w:left w:val="none" w:sz="0" w:space="0" w:color="auto"/>
                        <w:bottom w:val="none" w:sz="0" w:space="0" w:color="auto"/>
                        <w:right w:val="none" w:sz="0" w:space="0" w:color="auto"/>
                      </w:divBdr>
                    </w:div>
                  </w:divsChild>
                </w:div>
                <w:div w:id="1006009001">
                  <w:marLeft w:val="0"/>
                  <w:marRight w:val="0"/>
                  <w:marTop w:val="0"/>
                  <w:marBottom w:val="0"/>
                  <w:divBdr>
                    <w:top w:val="none" w:sz="0" w:space="0" w:color="auto"/>
                    <w:left w:val="none" w:sz="0" w:space="0" w:color="auto"/>
                    <w:bottom w:val="none" w:sz="0" w:space="0" w:color="auto"/>
                    <w:right w:val="none" w:sz="0" w:space="0" w:color="auto"/>
                  </w:divBdr>
                  <w:divsChild>
                    <w:div w:id="1126773541">
                      <w:marLeft w:val="0"/>
                      <w:marRight w:val="0"/>
                      <w:marTop w:val="0"/>
                      <w:marBottom w:val="0"/>
                      <w:divBdr>
                        <w:top w:val="none" w:sz="0" w:space="0" w:color="auto"/>
                        <w:left w:val="none" w:sz="0" w:space="0" w:color="auto"/>
                        <w:bottom w:val="none" w:sz="0" w:space="0" w:color="auto"/>
                        <w:right w:val="none" w:sz="0" w:space="0" w:color="auto"/>
                      </w:divBdr>
                    </w:div>
                  </w:divsChild>
                </w:div>
                <w:div w:id="1026635298">
                  <w:marLeft w:val="0"/>
                  <w:marRight w:val="0"/>
                  <w:marTop w:val="0"/>
                  <w:marBottom w:val="0"/>
                  <w:divBdr>
                    <w:top w:val="none" w:sz="0" w:space="0" w:color="auto"/>
                    <w:left w:val="none" w:sz="0" w:space="0" w:color="auto"/>
                    <w:bottom w:val="none" w:sz="0" w:space="0" w:color="auto"/>
                    <w:right w:val="none" w:sz="0" w:space="0" w:color="auto"/>
                  </w:divBdr>
                  <w:divsChild>
                    <w:div w:id="1259825604">
                      <w:marLeft w:val="0"/>
                      <w:marRight w:val="0"/>
                      <w:marTop w:val="0"/>
                      <w:marBottom w:val="0"/>
                      <w:divBdr>
                        <w:top w:val="none" w:sz="0" w:space="0" w:color="auto"/>
                        <w:left w:val="none" w:sz="0" w:space="0" w:color="auto"/>
                        <w:bottom w:val="none" w:sz="0" w:space="0" w:color="auto"/>
                        <w:right w:val="none" w:sz="0" w:space="0" w:color="auto"/>
                      </w:divBdr>
                    </w:div>
                  </w:divsChild>
                </w:div>
                <w:div w:id="1195650166">
                  <w:marLeft w:val="0"/>
                  <w:marRight w:val="0"/>
                  <w:marTop w:val="0"/>
                  <w:marBottom w:val="0"/>
                  <w:divBdr>
                    <w:top w:val="none" w:sz="0" w:space="0" w:color="auto"/>
                    <w:left w:val="none" w:sz="0" w:space="0" w:color="auto"/>
                    <w:bottom w:val="none" w:sz="0" w:space="0" w:color="auto"/>
                    <w:right w:val="none" w:sz="0" w:space="0" w:color="auto"/>
                  </w:divBdr>
                  <w:divsChild>
                    <w:div w:id="671950726">
                      <w:marLeft w:val="0"/>
                      <w:marRight w:val="0"/>
                      <w:marTop w:val="0"/>
                      <w:marBottom w:val="0"/>
                      <w:divBdr>
                        <w:top w:val="none" w:sz="0" w:space="0" w:color="auto"/>
                        <w:left w:val="none" w:sz="0" w:space="0" w:color="auto"/>
                        <w:bottom w:val="none" w:sz="0" w:space="0" w:color="auto"/>
                        <w:right w:val="none" w:sz="0" w:space="0" w:color="auto"/>
                      </w:divBdr>
                    </w:div>
                  </w:divsChild>
                </w:div>
                <w:div w:id="1199513457">
                  <w:marLeft w:val="0"/>
                  <w:marRight w:val="0"/>
                  <w:marTop w:val="0"/>
                  <w:marBottom w:val="0"/>
                  <w:divBdr>
                    <w:top w:val="none" w:sz="0" w:space="0" w:color="auto"/>
                    <w:left w:val="none" w:sz="0" w:space="0" w:color="auto"/>
                    <w:bottom w:val="none" w:sz="0" w:space="0" w:color="auto"/>
                    <w:right w:val="none" w:sz="0" w:space="0" w:color="auto"/>
                  </w:divBdr>
                  <w:divsChild>
                    <w:div w:id="727875017">
                      <w:marLeft w:val="0"/>
                      <w:marRight w:val="0"/>
                      <w:marTop w:val="0"/>
                      <w:marBottom w:val="0"/>
                      <w:divBdr>
                        <w:top w:val="none" w:sz="0" w:space="0" w:color="auto"/>
                        <w:left w:val="none" w:sz="0" w:space="0" w:color="auto"/>
                        <w:bottom w:val="none" w:sz="0" w:space="0" w:color="auto"/>
                        <w:right w:val="none" w:sz="0" w:space="0" w:color="auto"/>
                      </w:divBdr>
                    </w:div>
                  </w:divsChild>
                </w:div>
                <w:div w:id="1392313774">
                  <w:marLeft w:val="0"/>
                  <w:marRight w:val="0"/>
                  <w:marTop w:val="0"/>
                  <w:marBottom w:val="0"/>
                  <w:divBdr>
                    <w:top w:val="none" w:sz="0" w:space="0" w:color="auto"/>
                    <w:left w:val="none" w:sz="0" w:space="0" w:color="auto"/>
                    <w:bottom w:val="none" w:sz="0" w:space="0" w:color="auto"/>
                    <w:right w:val="none" w:sz="0" w:space="0" w:color="auto"/>
                  </w:divBdr>
                  <w:divsChild>
                    <w:div w:id="1302224981">
                      <w:marLeft w:val="0"/>
                      <w:marRight w:val="0"/>
                      <w:marTop w:val="0"/>
                      <w:marBottom w:val="0"/>
                      <w:divBdr>
                        <w:top w:val="none" w:sz="0" w:space="0" w:color="auto"/>
                        <w:left w:val="none" w:sz="0" w:space="0" w:color="auto"/>
                        <w:bottom w:val="none" w:sz="0" w:space="0" w:color="auto"/>
                        <w:right w:val="none" w:sz="0" w:space="0" w:color="auto"/>
                      </w:divBdr>
                    </w:div>
                  </w:divsChild>
                </w:div>
                <w:div w:id="1601253575">
                  <w:marLeft w:val="0"/>
                  <w:marRight w:val="0"/>
                  <w:marTop w:val="0"/>
                  <w:marBottom w:val="0"/>
                  <w:divBdr>
                    <w:top w:val="none" w:sz="0" w:space="0" w:color="auto"/>
                    <w:left w:val="none" w:sz="0" w:space="0" w:color="auto"/>
                    <w:bottom w:val="none" w:sz="0" w:space="0" w:color="auto"/>
                    <w:right w:val="none" w:sz="0" w:space="0" w:color="auto"/>
                  </w:divBdr>
                  <w:divsChild>
                    <w:div w:id="897017422">
                      <w:marLeft w:val="0"/>
                      <w:marRight w:val="0"/>
                      <w:marTop w:val="0"/>
                      <w:marBottom w:val="0"/>
                      <w:divBdr>
                        <w:top w:val="none" w:sz="0" w:space="0" w:color="auto"/>
                        <w:left w:val="none" w:sz="0" w:space="0" w:color="auto"/>
                        <w:bottom w:val="none" w:sz="0" w:space="0" w:color="auto"/>
                        <w:right w:val="none" w:sz="0" w:space="0" w:color="auto"/>
                      </w:divBdr>
                    </w:div>
                  </w:divsChild>
                </w:div>
                <w:div w:id="1771005544">
                  <w:marLeft w:val="0"/>
                  <w:marRight w:val="0"/>
                  <w:marTop w:val="0"/>
                  <w:marBottom w:val="0"/>
                  <w:divBdr>
                    <w:top w:val="none" w:sz="0" w:space="0" w:color="auto"/>
                    <w:left w:val="none" w:sz="0" w:space="0" w:color="auto"/>
                    <w:bottom w:val="none" w:sz="0" w:space="0" w:color="auto"/>
                    <w:right w:val="none" w:sz="0" w:space="0" w:color="auto"/>
                  </w:divBdr>
                  <w:divsChild>
                    <w:div w:id="92041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259628">
      <w:bodyDiv w:val="1"/>
      <w:marLeft w:val="0"/>
      <w:marRight w:val="0"/>
      <w:marTop w:val="0"/>
      <w:marBottom w:val="0"/>
      <w:divBdr>
        <w:top w:val="none" w:sz="0" w:space="0" w:color="auto"/>
        <w:left w:val="none" w:sz="0" w:space="0" w:color="auto"/>
        <w:bottom w:val="none" w:sz="0" w:space="0" w:color="auto"/>
        <w:right w:val="none" w:sz="0" w:space="0" w:color="auto"/>
      </w:divBdr>
    </w:div>
    <w:div w:id="1455322212">
      <w:bodyDiv w:val="1"/>
      <w:marLeft w:val="0"/>
      <w:marRight w:val="0"/>
      <w:marTop w:val="0"/>
      <w:marBottom w:val="0"/>
      <w:divBdr>
        <w:top w:val="none" w:sz="0" w:space="0" w:color="auto"/>
        <w:left w:val="none" w:sz="0" w:space="0" w:color="auto"/>
        <w:bottom w:val="none" w:sz="0" w:space="0" w:color="auto"/>
        <w:right w:val="none" w:sz="0" w:space="0" w:color="auto"/>
      </w:divBdr>
    </w:div>
    <w:div w:id="1706902385">
      <w:bodyDiv w:val="1"/>
      <w:marLeft w:val="0"/>
      <w:marRight w:val="0"/>
      <w:marTop w:val="0"/>
      <w:marBottom w:val="0"/>
      <w:divBdr>
        <w:top w:val="none" w:sz="0" w:space="0" w:color="auto"/>
        <w:left w:val="none" w:sz="0" w:space="0" w:color="auto"/>
        <w:bottom w:val="none" w:sz="0" w:space="0" w:color="auto"/>
        <w:right w:val="none" w:sz="0" w:space="0" w:color="auto"/>
      </w:divBdr>
    </w:div>
    <w:div w:id="1717730473">
      <w:bodyDiv w:val="1"/>
      <w:marLeft w:val="0"/>
      <w:marRight w:val="0"/>
      <w:marTop w:val="0"/>
      <w:marBottom w:val="0"/>
      <w:divBdr>
        <w:top w:val="none" w:sz="0" w:space="0" w:color="auto"/>
        <w:left w:val="none" w:sz="0" w:space="0" w:color="auto"/>
        <w:bottom w:val="none" w:sz="0" w:space="0" w:color="auto"/>
        <w:right w:val="none" w:sz="0" w:space="0" w:color="auto"/>
      </w:divBdr>
    </w:div>
    <w:div w:id="1901406581">
      <w:bodyDiv w:val="1"/>
      <w:marLeft w:val="0"/>
      <w:marRight w:val="0"/>
      <w:marTop w:val="0"/>
      <w:marBottom w:val="0"/>
      <w:divBdr>
        <w:top w:val="none" w:sz="0" w:space="0" w:color="auto"/>
        <w:left w:val="none" w:sz="0" w:space="0" w:color="auto"/>
        <w:bottom w:val="none" w:sz="0" w:space="0" w:color="auto"/>
        <w:right w:val="none" w:sz="0" w:space="0" w:color="auto"/>
      </w:divBdr>
    </w:div>
    <w:div w:id="1940067051">
      <w:bodyDiv w:val="1"/>
      <w:marLeft w:val="0"/>
      <w:marRight w:val="0"/>
      <w:marTop w:val="0"/>
      <w:marBottom w:val="0"/>
      <w:divBdr>
        <w:top w:val="none" w:sz="0" w:space="0" w:color="auto"/>
        <w:left w:val="none" w:sz="0" w:space="0" w:color="auto"/>
        <w:bottom w:val="none" w:sz="0" w:space="0" w:color="auto"/>
        <w:right w:val="none" w:sz="0" w:space="0" w:color="auto"/>
      </w:divBdr>
    </w:div>
    <w:div w:id="2002005070">
      <w:bodyDiv w:val="1"/>
      <w:marLeft w:val="0"/>
      <w:marRight w:val="0"/>
      <w:marTop w:val="0"/>
      <w:marBottom w:val="0"/>
      <w:divBdr>
        <w:top w:val="none" w:sz="0" w:space="0" w:color="auto"/>
        <w:left w:val="none" w:sz="0" w:space="0" w:color="auto"/>
        <w:bottom w:val="none" w:sz="0" w:space="0" w:color="auto"/>
        <w:right w:val="none" w:sz="0" w:space="0" w:color="auto"/>
      </w:divBdr>
    </w:div>
    <w:div w:id="2140563194">
      <w:bodyDiv w:val="1"/>
      <w:marLeft w:val="0"/>
      <w:marRight w:val="0"/>
      <w:marTop w:val="0"/>
      <w:marBottom w:val="0"/>
      <w:divBdr>
        <w:top w:val="none" w:sz="0" w:space="0" w:color="auto"/>
        <w:left w:val="none" w:sz="0" w:space="0" w:color="auto"/>
        <w:bottom w:val="none" w:sz="0" w:space="0" w:color="auto"/>
        <w:right w:val="none" w:sz="0" w:space="0" w:color="auto"/>
      </w:divBdr>
      <w:divsChild>
        <w:div w:id="122505347">
          <w:marLeft w:val="0"/>
          <w:marRight w:val="0"/>
          <w:marTop w:val="0"/>
          <w:marBottom w:val="0"/>
          <w:divBdr>
            <w:top w:val="none" w:sz="0" w:space="0" w:color="auto"/>
            <w:left w:val="none" w:sz="0" w:space="0" w:color="auto"/>
            <w:bottom w:val="none" w:sz="0" w:space="0" w:color="auto"/>
            <w:right w:val="none" w:sz="0" w:space="0" w:color="auto"/>
          </w:divBdr>
          <w:divsChild>
            <w:div w:id="710501857">
              <w:marLeft w:val="-75"/>
              <w:marRight w:val="0"/>
              <w:marTop w:val="30"/>
              <w:marBottom w:val="30"/>
              <w:divBdr>
                <w:top w:val="none" w:sz="0" w:space="0" w:color="auto"/>
                <w:left w:val="none" w:sz="0" w:space="0" w:color="auto"/>
                <w:bottom w:val="none" w:sz="0" w:space="0" w:color="auto"/>
                <w:right w:val="none" w:sz="0" w:space="0" w:color="auto"/>
              </w:divBdr>
              <w:divsChild>
                <w:div w:id="101532088">
                  <w:marLeft w:val="0"/>
                  <w:marRight w:val="0"/>
                  <w:marTop w:val="0"/>
                  <w:marBottom w:val="0"/>
                  <w:divBdr>
                    <w:top w:val="none" w:sz="0" w:space="0" w:color="auto"/>
                    <w:left w:val="none" w:sz="0" w:space="0" w:color="auto"/>
                    <w:bottom w:val="none" w:sz="0" w:space="0" w:color="auto"/>
                    <w:right w:val="none" w:sz="0" w:space="0" w:color="auto"/>
                  </w:divBdr>
                  <w:divsChild>
                    <w:div w:id="1572077718">
                      <w:marLeft w:val="0"/>
                      <w:marRight w:val="0"/>
                      <w:marTop w:val="0"/>
                      <w:marBottom w:val="0"/>
                      <w:divBdr>
                        <w:top w:val="none" w:sz="0" w:space="0" w:color="auto"/>
                        <w:left w:val="none" w:sz="0" w:space="0" w:color="auto"/>
                        <w:bottom w:val="none" w:sz="0" w:space="0" w:color="auto"/>
                        <w:right w:val="none" w:sz="0" w:space="0" w:color="auto"/>
                      </w:divBdr>
                    </w:div>
                  </w:divsChild>
                </w:div>
                <w:div w:id="143395939">
                  <w:marLeft w:val="0"/>
                  <w:marRight w:val="0"/>
                  <w:marTop w:val="0"/>
                  <w:marBottom w:val="0"/>
                  <w:divBdr>
                    <w:top w:val="none" w:sz="0" w:space="0" w:color="auto"/>
                    <w:left w:val="none" w:sz="0" w:space="0" w:color="auto"/>
                    <w:bottom w:val="none" w:sz="0" w:space="0" w:color="auto"/>
                    <w:right w:val="none" w:sz="0" w:space="0" w:color="auto"/>
                  </w:divBdr>
                  <w:divsChild>
                    <w:div w:id="187064006">
                      <w:marLeft w:val="0"/>
                      <w:marRight w:val="0"/>
                      <w:marTop w:val="0"/>
                      <w:marBottom w:val="0"/>
                      <w:divBdr>
                        <w:top w:val="none" w:sz="0" w:space="0" w:color="auto"/>
                        <w:left w:val="none" w:sz="0" w:space="0" w:color="auto"/>
                        <w:bottom w:val="none" w:sz="0" w:space="0" w:color="auto"/>
                        <w:right w:val="none" w:sz="0" w:space="0" w:color="auto"/>
                      </w:divBdr>
                    </w:div>
                  </w:divsChild>
                </w:div>
                <w:div w:id="202249182">
                  <w:marLeft w:val="0"/>
                  <w:marRight w:val="0"/>
                  <w:marTop w:val="0"/>
                  <w:marBottom w:val="0"/>
                  <w:divBdr>
                    <w:top w:val="none" w:sz="0" w:space="0" w:color="auto"/>
                    <w:left w:val="none" w:sz="0" w:space="0" w:color="auto"/>
                    <w:bottom w:val="none" w:sz="0" w:space="0" w:color="auto"/>
                    <w:right w:val="none" w:sz="0" w:space="0" w:color="auto"/>
                  </w:divBdr>
                  <w:divsChild>
                    <w:div w:id="1835758317">
                      <w:marLeft w:val="0"/>
                      <w:marRight w:val="0"/>
                      <w:marTop w:val="0"/>
                      <w:marBottom w:val="0"/>
                      <w:divBdr>
                        <w:top w:val="none" w:sz="0" w:space="0" w:color="auto"/>
                        <w:left w:val="none" w:sz="0" w:space="0" w:color="auto"/>
                        <w:bottom w:val="none" w:sz="0" w:space="0" w:color="auto"/>
                        <w:right w:val="none" w:sz="0" w:space="0" w:color="auto"/>
                      </w:divBdr>
                    </w:div>
                  </w:divsChild>
                </w:div>
                <w:div w:id="307714543">
                  <w:marLeft w:val="0"/>
                  <w:marRight w:val="0"/>
                  <w:marTop w:val="0"/>
                  <w:marBottom w:val="0"/>
                  <w:divBdr>
                    <w:top w:val="none" w:sz="0" w:space="0" w:color="auto"/>
                    <w:left w:val="none" w:sz="0" w:space="0" w:color="auto"/>
                    <w:bottom w:val="none" w:sz="0" w:space="0" w:color="auto"/>
                    <w:right w:val="none" w:sz="0" w:space="0" w:color="auto"/>
                  </w:divBdr>
                  <w:divsChild>
                    <w:div w:id="1074010404">
                      <w:marLeft w:val="0"/>
                      <w:marRight w:val="0"/>
                      <w:marTop w:val="0"/>
                      <w:marBottom w:val="0"/>
                      <w:divBdr>
                        <w:top w:val="none" w:sz="0" w:space="0" w:color="auto"/>
                        <w:left w:val="none" w:sz="0" w:space="0" w:color="auto"/>
                        <w:bottom w:val="none" w:sz="0" w:space="0" w:color="auto"/>
                        <w:right w:val="none" w:sz="0" w:space="0" w:color="auto"/>
                      </w:divBdr>
                    </w:div>
                  </w:divsChild>
                </w:div>
                <w:div w:id="447554287">
                  <w:marLeft w:val="0"/>
                  <w:marRight w:val="0"/>
                  <w:marTop w:val="0"/>
                  <w:marBottom w:val="0"/>
                  <w:divBdr>
                    <w:top w:val="none" w:sz="0" w:space="0" w:color="auto"/>
                    <w:left w:val="none" w:sz="0" w:space="0" w:color="auto"/>
                    <w:bottom w:val="none" w:sz="0" w:space="0" w:color="auto"/>
                    <w:right w:val="none" w:sz="0" w:space="0" w:color="auto"/>
                  </w:divBdr>
                  <w:divsChild>
                    <w:div w:id="1440831194">
                      <w:marLeft w:val="0"/>
                      <w:marRight w:val="0"/>
                      <w:marTop w:val="0"/>
                      <w:marBottom w:val="0"/>
                      <w:divBdr>
                        <w:top w:val="none" w:sz="0" w:space="0" w:color="auto"/>
                        <w:left w:val="none" w:sz="0" w:space="0" w:color="auto"/>
                        <w:bottom w:val="none" w:sz="0" w:space="0" w:color="auto"/>
                        <w:right w:val="none" w:sz="0" w:space="0" w:color="auto"/>
                      </w:divBdr>
                    </w:div>
                  </w:divsChild>
                </w:div>
                <w:div w:id="536313195">
                  <w:marLeft w:val="0"/>
                  <w:marRight w:val="0"/>
                  <w:marTop w:val="0"/>
                  <w:marBottom w:val="0"/>
                  <w:divBdr>
                    <w:top w:val="none" w:sz="0" w:space="0" w:color="auto"/>
                    <w:left w:val="none" w:sz="0" w:space="0" w:color="auto"/>
                    <w:bottom w:val="none" w:sz="0" w:space="0" w:color="auto"/>
                    <w:right w:val="none" w:sz="0" w:space="0" w:color="auto"/>
                  </w:divBdr>
                  <w:divsChild>
                    <w:div w:id="1509252193">
                      <w:marLeft w:val="0"/>
                      <w:marRight w:val="0"/>
                      <w:marTop w:val="0"/>
                      <w:marBottom w:val="0"/>
                      <w:divBdr>
                        <w:top w:val="none" w:sz="0" w:space="0" w:color="auto"/>
                        <w:left w:val="none" w:sz="0" w:space="0" w:color="auto"/>
                        <w:bottom w:val="none" w:sz="0" w:space="0" w:color="auto"/>
                        <w:right w:val="none" w:sz="0" w:space="0" w:color="auto"/>
                      </w:divBdr>
                    </w:div>
                  </w:divsChild>
                </w:div>
                <w:div w:id="542908861">
                  <w:marLeft w:val="0"/>
                  <w:marRight w:val="0"/>
                  <w:marTop w:val="0"/>
                  <w:marBottom w:val="0"/>
                  <w:divBdr>
                    <w:top w:val="none" w:sz="0" w:space="0" w:color="auto"/>
                    <w:left w:val="none" w:sz="0" w:space="0" w:color="auto"/>
                    <w:bottom w:val="none" w:sz="0" w:space="0" w:color="auto"/>
                    <w:right w:val="none" w:sz="0" w:space="0" w:color="auto"/>
                  </w:divBdr>
                  <w:divsChild>
                    <w:div w:id="1827281476">
                      <w:marLeft w:val="0"/>
                      <w:marRight w:val="0"/>
                      <w:marTop w:val="0"/>
                      <w:marBottom w:val="0"/>
                      <w:divBdr>
                        <w:top w:val="none" w:sz="0" w:space="0" w:color="auto"/>
                        <w:left w:val="none" w:sz="0" w:space="0" w:color="auto"/>
                        <w:bottom w:val="none" w:sz="0" w:space="0" w:color="auto"/>
                        <w:right w:val="none" w:sz="0" w:space="0" w:color="auto"/>
                      </w:divBdr>
                    </w:div>
                  </w:divsChild>
                </w:div>
                <w:div w:id="647439942">
                  <w:marLeft w:val="0"/>
                  <w:marRight w:val="0"/>
                  <w:marTop w:val="0"/>
                  <w:marBottom w:val="0"/>
                  <w:divBdr>
                    <w:top w:val="none" w:sz="0" w:space="0" w:color="auto"/>
                    <w:left w:val="none" w:sz="0" w:space="0" w:color="auto"/>
                    <w:bottom w:val="none" w:sz="0" w:space="0" w:color="auto"/>
                    <w:right w:val="none" w:sz="0" w:space="0" w:color="auto"/>
                  </w:divBdr>
                  <w:divsChild>
                    <w:div w:id="855466796">
                      <w:marLeft w:val="0"/>
                      <w:marRight w:val="0"/>
                      <w:marTop w:val="0"/>
                      <w:marBottom w:val="0"/>
                      <w:divBdr>
                        <w:top w:val="none" w:sz="0" w:space="0" w:color="auto"/>
                        <w:left w:val="none" w:sz="0" w:space="0" w:color="auto"/>
                        <w:bottom w:val="none" w:sz="0" w:space="0" w:color="auto"/>
                        <w:right w:val="none" w:sz="0" w:space="0" w:color="auto"/>
                      </w:divBdr>
                    </w:div>
                  </w:divsChild>
                </w:div>
                <w:div w:id="651254442">
                  <w:marLeft w:val="0"/>
                  <w:marRight w:val="0"/>
                  <w:marTop w:val="0"/>
                  <w:marBottom w:val="0"/>
                  <w:divBdr>
                    <w:top w:val="none" w:sz="0" w:space="0" w:color="auto"/>
                    <w:left w:val="none" w:sz="0" w:space="0" w:color="auto"/>
                    <w:bottom w:val="none" w:sz="0" w:space="0" w:color="auto"/>
                    <w:right w:val="none" w:sz="0" w:space="0" w:color="auto"/>
                  </w:divBdr>
                  <w:divsChild>
                    <w:div w:id="1342507607">
                      <w:marLeft w:val="0"/>
                      <w:marRight w:val="0"/>
                      <w:marTop w:val="0"/>
                      <w:marBottom w:val="0"/>
                      <w:divBdr>
                        <w:top w:val="none" w:sz="0" w:space="0" w:color="auto"/>
                        <w:left w:val="none" w:sz="0" w:space="0" w:color="auto"/>
                        <w:bottom w:val="none" w:sz="0" w:space="0" w:color="auto"/>
                        <w:right w:val="none" w:sz="0" w:space="0" w:color="auto"/>
                      </w:divBdr>
                    </w:div>
                  </w:divsChild>
                </w:div>
                <w:div w:id="681514110">
                  <w:marLeft w:val="0"/>
                  <w:marRight w:val="0"/>
                  <w:marTop w:val="0"/>
                  <w:marBottom w:val="0"/>
                  <w:divBdr>
                    <w:top w:val="none" w:sz="0" w:space="0" w:color="auto"/>
                    <w:left w:val="none" w:sz="0" w:space="0" w:color="auto"/>
                    <w:bottom w:val="none" w:sz="0" w:space="0" w:color="auto"/>
                    <w:right w:val="none" w:sz="0" w:space="0" w:color="auto"/>
                  </w:divBdr>
                  <w:divsChild>
                    <w:div w:id="1784959299">
                      <w:marLeft w:val="0"/>
                      <w:marRight w:val="0"/>
                      <w:marTop w:val="0"/>
                      <w:marBottom w:val="0"/>
                      <w:divBdr>
                        <w:top w:val="none" w:sz="0" w:space="0" w:color="auto"/>
                        <w:left w:val="none" w:sz="0" w:space="0" w:color="auto"/>
                        <w:bottom w:val="none" w:sz="0" w:space="0" w:color="auto"/>
                        <w:right w:val="none" w:sz="0" w:space="0" w:color="auto"/>
                      </w:divBdr>
                    </w:div>
                  </w:divsChild>
                </w:div>
                <w:div w:id="858734361">
                  <w:marLeft w:val="0"/>
                  <w:marRight w:val="0"/>
                  <w:marTop w:val="0"/>
                  <w:marBottom w:val="0"/>
                  <w:divBdr>
                    <w:top w:val="none" w:sz="0" w:space="0" w:color="auto"/>
                    <w:left w:val="none" w:sz="0" w:space="0" w:color="auto"/>
                    <w:bottom w:val="none" w:sz="0" w:space="0" w:color="auto"/>
                    <w:right w:val="none" w:sz="0" w:space="0" w:color="auto"/>
                  </w:divBdr>
                  <w:divsChild>
                    <w:div w:id="1185828380">
                      <w:marLeft w:val="0"/>
                      <w:marRight w:val="0"/>
                      <w:marTop w:val="0"/>
                      <w:marBottom w:val="0"/>
                      <w:divBdr>
                        <w:top w:val="none" w:sz="0" w:space="0" w:color="auto"/>
                        <w:left w:val="none" w:sz="0" w:space="0" w:color="auto"/>
                        <w:bottom w:val="none" w:sz="0" w:space="0" w:color="auto"/>
                        <w:right w:val="none" w:sz="0" w:space="0" w:color="auto"/>
                      </w:divBdr>
                    </w:div>
                  </w:divsChild>
                </w:div>
                <w:div w:id="888608511">
                  <w:marLeft w:val="0"/>
                  <w:marRight w:val="0"/>
                  <w:marTop w:val="0"/>
                  <w:marBottom w:val="0"/>
                  <w:divBdr>
                    <w:top w:val="none" w:sz="0" w:space="0" w:color="auto"/>
                    <w:left w:val="none" w:sz="0" w:space="0" w:color="auto"/>
                    <w:bottom w:val="none" w:sz="0" w:space="0" w:color="auto"/>
                    <w:right w:val="none" w:sz="0" w:space="0" w:color="auto"/>
                  </w:divBdr>
                  <w:divsChild>
                    <w:div w:id="1133593516">
                      <w:marLeft w:val="0"/>
                      <w:marRight w:val="0"/>
                      <w:marTop w:val="0"/>
                      <w:marBottom w:val="0"/>
                      <w:divBdr>
                        <w:top w:val="none" w:sz="0" w:space="0" w:color="auto"/>
                        <w:left w:val="none" w:sz="0" w:space="0" w:color="auto"/>
                        <w:bottom w:val="none" w:sz="0" w:space="0" w:color="auto"/>
                        <w:right w:val="none" w:sz="0" w:space="0" w:color="auto"/>
                      </w:divBdr>
                    </w:div>
                  </w:divsChild>
                </w:div>
                <w:div w:id="1007830376">
                  <w:marLeft w:val="0"/>
                  <w:marRight w:val="0"/>
                  <w:marTop w:val="0"/>
                  <w:marBottom w:val="0"/>
                  <w:divBdr>
                    <w:top w:val="none" w:sz="0" w:space="0" w:color="auto"/>
                    <w:left w:val="none" w:sz="0" w:space="0" w:color="auto"/>
                    <w:bottom w:val="none" w:sz="0" w:space="0" w:color="auto"/>
                    <w:right w:val="none" w:sz="0" w:space="0" w:color="auto"/>
                  </w:divBdr>
                  <w:divsChild>
                    <w:div w:id="354187084">
                      <w:marLeft w:val="0"/>
                      <w:marRight w:val="0"/>
                      <w:marTop w:val="0"/>
                      <w:marBottom w:val="0"/>
                      <w:divBdr>
                        <w:top w:val="none" w:sz="0" w:space="0" w:color="auto"/>
                        <w:left w:val="none" w:sz="0" w:space="0" w:color="auto"/>
                        <w:bottom w:val="none" w:sz="0" w:space="0" w:color="auto"/>
                        <w:right w:val="none" w:sz="0" w:space="0" w:color="auto"/>
                      </w:divBdr>
                    </w:div>
                  </w:divsChild>
                </w:div>
                <w:div w:id="1106921561">
                  <w:marLeft w:val="0"/>
                  <w:marRight w:val="0"/>
                  <w:marTop w:val="0"/>
                  <w:marBottom w:val="0"/>
                  <w:divBdr>
                    <w:top w:val="none" w:sz="0" w:space="0" w:color="auto"/>
                    <w:left w:val="none" w:sz="0" w:space="0" w:color="auto"/>
                    <w:bottom w:val="none" w:sz="0" w:space="0" w:color="auto"/>
                    <w:right w:val="none" w:sz="0" w:space="0" w:color="auto"/>
                  </w:divBdr>
                  <w:divsChild>
                    <w:div w:id="1840846801">
                      <w:marLeft w:val="0"/>
                      <w:marRight w:val="0"/>
                      <w:marTop w:val="0"/>
                      <w:marBottom w:val="0"/>
                      <w:divBdr>
                        <w:top w:val="none" w:sz="0" w:space="0" w:color="auto"/>
                        <w:left w:val="none" w:sz="0" w:space="0" w:color="auto"/>
                        <w:bottom w:val="none" w:sz="0" w:space="0" w:color="auto"/>
                        <w:right w:val="none" w:sz="0" w:space="0" w:color="auto"/>
                      </w:divBdr>
                    </w:div>
                  </w:divsChild>
                </w:div>
                <w:div w:id="1169367912">
                  <w:marLeft w:val="0"/>
                  <w:marRight w:val="0"/>
                  <w:marTop w:val="0"/>
                  <w:marBottom w:val="0"/>
                  <w:divBdr>
                    <w:top w:val="none" w:sz="0" w:space="0" w:color="auto"/>
                    <w:left w:val="none" w:sz="0" w:space="0" w:color="auto"/>
                    <w:bottom w:val="none" w:sz="0" w:space="0" w:color="auto"/>
                    <w:right w:val="none" w:sz="0" w:space="0" w:color="auto"/>
                  </w:divBdr>
                  <w:divsChild>
                    <w:div w:id="1204056617">
                      <w:marLeft w:val="0"/>
                      <w:marRight w:val="0"/>
                      <w:marTop w:val="0"/>
                      <w:marBottom w:val="0"/>
                      <w:divBdr>
                        <w:top w:val="none" w:sz="0" w:space="0" w:color="auto"/>
                        <w:left w:val="none" w:sz="0" w:space="0" w:color="auto"/>
                        <w:bottom w:val="none" w:sz="0" w:space="0" w:color="auto"/>
                        <w:right w:val="none" w:sz="0" w:space="0" w:color="auto"/>
                      </w:divBdr>
                    </w:div>
                  </w:divsChild>
                </w:div>
                <w:div w:id="1257900943">
                  <w:marLeft w:val="0"/>
                  <w:marRight w:val="0"/>
                  <w:marTop w:val="0"/>
                  <w:marBottom w:val="0"/>
                  <w:divBdr>
                    <w:top w:val="none" w:sz="0" w:space="0" w:color="auto"/>
                    <w:left w:val="none" w:sz="0" w:space="0" w:color="auto"/>
                    <w:bottom w:val="none" w:sz="0" w:space="0" w:color="auto"/>
                    <w:right w:val="none" w:sz="0" w:space="0" w:color="auto"/>
                  </w:divBdr>
                  <w:divsChild>
                    <w:div w:id="1090471709">
                      <w:marLeft w:val="0"/>
                      <w:marRight w:val="0"/>
                      <w:marTop w:val="0"/>
                      <w:marBottom w:val="0"/>
                      <w:divBdr>
                        <w:top w:val="none" w:sz="0" w:space="0" w:color="auto"/>
                        <w:left w:val="none" w:sz="0" w:space="0" w:color="auto"/>
                        <w:bottom w:val="none" w:sz="0" w:space="0" w:color="auto"/>
                        <w:right w:val="none" w:sz="0" w:space="0" w:color="auto"/>
                      </w:divBdr>
                    </w:div>
                  </w:divsChild>
                </w:div>
                <w:div w:id="1286078630">
                  <w:marLeft w:val="0"/>
                  <w:marRight w:val="0"/>
                  <w:marTop w:val="0"/>
                  <w:marBottom w:val="0"/>
                  <w:divBdr>
                    <w:top w:val="none" w:sz="0" w:space="0" w:color="auto"/>
                    <w:left w:val="none" w:sz="0" w:space="0" w:color="auto"/>
                    <w:bottom w:val="none" w:sz="0" w:space="0" w:color="auto"/>
                    <w:right w:val="none" w:sz="0" w:space="0" w:color="auto"/>
                  </w:divBdr>
                  <w:divsChild>
                    <w:div w:id="996305346">
                      <w:marLeft w:val="0"/>
                      <w:marRight w:val="0"/>
                      <w:marTop w:val="0"/>
                      <w:marBottom w:val="0"/>
                      <w:divBdr>
                        <w:top w:val="none" w:sz="0" w:space="0" w:color="auto"/>
                        <w:left w:val="none" w:sz="0" w:space="0" w:color="auto"/>
                        <w:bottom w:val="none" w:sz="0" w:space="0" w:color="auto"/>
                        <w:right w:val="none" w:sz="0" w:space="0" w:color="auto"/>
                      </w:divBdr>
                    </w:div>
                  </w:divsChild>
                </w:div>
                <w:div w:id="1299140942">
                  <w:marLeft w:val="0"/>
                  <w:marRight w:val="0"/>
                  <w:marTop w:val="0"/>
                  <w:marBottom w:val="0"/>
                  <w:divBdr>
                    <w:top w:val="none" w:sz="0" w:space="0" w:color="auto"/>
                    <w:left w:val="none" w:sz="0" w:space="0" w:color="auto"/>
                    <w:bottom w:val="none" w:sz="0" w:space="0" w:color="auto"/>
                    <w:right w:val="none" w:sz="0" w:space="0" w:color="auto"/>
                  </w:divBdr>
                  <w:divsChild>
                    <w:div w:id="1215851826">
                      <w:marLeft w:val="0"/>
                      <w:marRight w:val="0"/>
                      <w:marTop w:val="0"/>
                      <w:marBottom w:val="0"/>
                      <w:divBdr>
                        <w:top w:val="none" w:sz="0" w:space="0" w:color="auto"/>
                        <w:left w:val="none" w:sz="0" w:space="0" w:color="auto"/>
                        <w:bottom w:val="none" w:sz="0" w:space="0" w:color="auto"/>
                        <w:right w:val="none" w:sz="0" w:space="0" w:color="auto"/>
                      </w:divBdr>
                    </w:div>
                  </w:divsChild>
                </w:div>
                <w:div w:id="1309284629">
                  <w:marLeft w:val="0"/>
                  <w:marRight w:val="0"/>
                  <w:marTop w:val="0"/>
                  <w:marBottom w:val="0"/>
                  <w:divBdr>
                    <w:top w:val="none" w:sz="0" w:space="0" w:color="auto"/>
                    <w:left w:val="none" w:sz="0" w:space="0" w:color="auto"/>
                    <w:bottom w:val="none" w:sz="0" w:space="0" w:color="auto"/>
                    <w:right w:val="none" w:sz="0" w:space="0" w:color="auto"/>
                  </w:divBdr>
                  <w:divsChild>
                    <w:div w:id="1654793434">
                      <w:marLeft w:val="0"/>
                      <w:marRight w:val="0"/>
                      <w:marTop w:val="0"/>
                      <w:marBottom w:val="0"/>
                      <w:divBdr>
                        <w:top w:val="none" w:sz="0" w:space="0" w:color="auto"/>
                        <w:left w:val="none" w:sz="0" w:space="0" w:color="auto"/>
                        <w:bottom w:val="none" w:sz="0" w:space="0" w:color="auto"/>
                        <w:right w:val="none" w:sz="0" w:space="0" w:color="auto"/>
                      </w:divBdr>
                    </w:div>
                  </w:divsChild>
                </w:div>
                <w:div w:id="1381788436">
                  <w:marLeft w:val="0"/>
                  <w:marRight w:val="0"/>
                  <w:marTop w:val="0"/>
                  <w:marBottom w:val="0"/>
                  <w:divBdr>
                    <w:top w:val="none" w:sz="0" w:space="0" w:color="auto"/>
                    <w:left w:val="none" w:sz="0" w:space="0" w:color="auto"/>
                    <w:bottom w:val="none" w:sz="0" w:space="0" w:color="auto"/>
                    <w:right w:val="none" w:sz="0" w:space="0" w:color="auto"/>
                  </w:divBdr>
                  <w:divsChild>
                    <w:div w:id="506555832">
                      <w:marLeft w:val="0"/>
                      <w:marRight w:val="0"/>
                      <w:marTop w:val="0"/>
                      <w:marBottom w:val="0"/>
                      <w:divBdr>
                        <w:top w:val="none" w:sz="0" w:space="0" w:color="auto"/>
                        <w:left w:val="none" w:sz="0" w:space="0" w:color="auto"/>
                        <w:bottom w:val="none" w:sz="0" w:space="0" w:color="auto"/>
                        <w:right w:val="none" w:sz="0" w:space="0" w:color="auto"/>
                      </w:divBdr>
                    </w:div>
                  </w:divsChild>
                </w:div>
                <w:div w:id="1537693147">
                  <w:marLeft w:val="0"/>
                  <w:marRight w:val="0"/>
                  <w:marTop w:val="0"/>
                  <w:marBottom w:val="0"/>
                  <w:divBdr>
                    <w:top w:val="none" w:sz="0" w:space="0" w:color="auto"/>
                    <w:left w:val="none" w:sz="0" w:space="0" w:color="auto"/>
                    <w:bottom w:val="none" w:sz="0" w:space="0" w:color="auto"/>
                    <w:right w:val="none" w:sz="0" w:space="0" w:color="auto"/>
                  </w:divBdr>
                  <w:divsChild>
                    <w:div w:id="1033578021">
                      <w:marLeft w:val="0"/>
                      <w:marRight w:val="0"/>
                      <w:marTop w:val="0"/>
                      <w:marBottom w:val="0"/>
                      <w:divBdr>
                        <w:top w:val="none" w:sz="0" w:space="0" w:color="auto"/>
                        <w:left w:val="none" w:sz="0" w:space="0" w:color="auto"/>
                        <w:bottom w:val="none" w:sz="0" w:space="0" w:color="auto"/>
                        <w:right w:val="none" w:sz="0" w:space="0" w:color="auto"/>
                      </w:divBdr>
                    </w:div>
                  </w:divsChild>
                </w:div>
                <w:div w:id="1620994528">
                  <w:marLeft w:val="0"/>
                  <w:marRight w:val="0"/>
                  <w:marTop w:val="0"/>
                  <w:marBottom w:val="0"/>
                  <w:divBdr>
                    <w:top w:val="none" w:sz="0" w:space="0" w:color="auto"/>
                    <w:left w:val="none" w:sz="0" w:space="0" w:color="auto"/>
                    <w:bottom w:val="none" w:sz="0" w:space="0" w:color="auto"/>
                    <w:right w:val="none" w:sz="0" w:space="0" w:color="auto"/>
                  </w:divBdr>
                  <w:divsChild>
                    <w:div w:id="1459840853">
                      <w:marLeft w:val="0"/>
                      <w:marRight w:val="0"/>
                      <w:marTop w:val="0"/>
                      <w:marBottom w:val="0"/>
                      <w:divBdr>
                        <w:top w:val="none" w:sz="0" w:space="0" w:color="auto"/>
                        <w:left w:val="none" w:sz="0" w:space="0" w:color="auto"/>
                        <w:bottom w:val="none" w:sz="0" w:space="0" w:color="auto"/>
                        <w:right w:val="none" w:sz="0" w:space="0" w:color="auto"/>
                      </w:divBdr>
                    </w:div>
                  </w:divsChild>
                </w:div>
                <w:div w:id="1661231183">
                  <w:marLeft w:val="0"/>
                  <w:marRight w:val="0"/>
                  <w:marTop w:val="0"/>
                  <w:marBottom w:val="0"/>
                  <w:divBdr>
                    <w:top w:val="none" w:sz="0" w:space="0" w:color="auto"/>
                    <w:left w:val="none" w:sz="0" w:space="0" w:color="auto"/>
                    <w:bottom w:val="none" w:sz="0" w:space="0" w:color="auto"/>
                    <w:right w:val="none" w:sz="0" w:space="0" w:color="auto"/>
                  </w:divBdr>
                  <w:divsChild>
                    <w:div w:id="801464152">
                      <w:marLeft w:val="0"/>
                      <w:marRight w:val="0"/>
                      <w:marTop w:val="0"/>
                      <w:marBottom w:val="0"/>
                      <w:divBdr>
                        <w:top w:val="none" w:sz="0" w:space="0" w:color="auto"/>
                        <w:left w:val="none" w:sz="0" w:space="0" w:color="auto"/>
                        <w:bottom w:val="none" w:sz="0" w:space="0" w:color="auto"/>
                        <w:right w:val="none" w:sz="0" w:space="0" w:color="auto"/>
                      </w:divBdr>
                    </w:div>
                  </w:divsChild>
                </w:div>
                <w:div w:id="1802648441">
                  <w:marLeft w:val="0"/>
                  <w:marRight w:val="0"/>
                  <w:marTop w:val="0"/>
                  <w:marBottom w:val="0"/>
                  <w:divBdr>
                    <w:top w:val="none" w:sz="0" w:space="0" w:color="auto"/>
                    <w:left w:val="none" w:sz="0" w:space="0" w:color="auto"/>
                    <w:bottom w:val="none" w:sz="0" w:space="0" w:color="auto"/>
                    <w:right w:val="none" w:sz="0" w:space="0" w:color="auto"/>
                  </w:divBdr>
                  <w:divsChild>
                    <w:div w:id="165487741">
                      <w:marLeft w:val="0"/>
                      <w:marRight w:val="0"/>
                      <w:marTop w:val="0"/>
                      <w:marBottom w:val="0"/>
                      <w:divBdr>
                        <w:top w:val="none" w:sz="0" w:space="0" w:color="auto"/>
                        <w:left w:val="none" w:sz="0" w:space="0" w:color="auto"/>
                        <w:bottom w:val="none" w:sz="0" w:space="0" w:color="auto"/>
                        <w:right w:val="none" w:sz="0" w:space="0" w:color="auto"/>
                      </w:divBdr>
                    </w:div>
                  </w:divsChild>
                </w:div>
                <w:div w:id="1812136953">
                  <w:marLeft w:val="0"/>
                  <w:marRight w:val="0"/>
                  <w:marTop w:val="0"/>
                  <w:marBottom w:val="0"/>
                  <w:divBdr>
                    <w:top w:val="none" w:sz="0" w:space="0" w:color="auto"/>
                    <w:left w:val="none" w:sz="0" w:space="0" w:color="auto"/>
                    <w:bottom w:val="none" w:sz="0" w:space="0" w:color="auto"/>
                    <w:right w:val="none" w:sz="0" w:space="0" w:color="auto"/>
                  </w:divBdr>
                  <w:divsChild>
                    <w:div w:id="1425764346">
                      <w:marLeft w:val="0"/>
                      <w:marRight w:val="0"/>
                      <w:marTop w:val="0"/>
                      <w:marBottom w:val="0"/>
                      <w:divBdr>
                        <w:top w:val="none" w:sz="0" w:space="0" w:color="auto"/>
                        <w:left w:val="none" w:sz="0" w:space="0" w:color="auto"/>
                        <w:bottom w:val="none" w:sz="0" w:space="0" w:color="auto"/>
                        <w:right w:val="none" w:sz="0" w:space="0" w:color="auto"/>
                      </w:divBdr>
                    </w:div>
                  </w:divsChild>
                </w:div>
                <w:div w:id="1977174730">
                  <w:marLeft w:val="0"/>
                  <w:marRight w:val="0"/>
                  <w:marTop w:val="0"/>
                  <w:marBottom w:val="0"/>
                  <w:divBdr>
                    <w:top w:val="none" w:sz="0" w:space="0" w:color="auto"/>
                    <w:left w:val="none" w:sz="0" w:space="0" w:color="auto"/>
                    <w:bottom w:val="none" w:sz="0" w:space="0" w:color="auto"/>
                    <w:right w:val="none" w:sz="0" w:space="0" w:color="auto"/>
                  </w:divBdr>
                  <w:divsChild>
                    <w:div w:id="738750418">
                      <w:marLeft w:val="0"/>
                      <w:marRight w:val="0"/>
                      <w:marTop w:val="0"/>
                      <w:marBottom w:val="0"/>
                      <w:divBdr>
                        <w:top w:val="none" w:sz="0" w:space="0" w:color="auto"/>
                        <w:left w:val="none" w:sz="0" w:space="0" w:color="auto"/>
                        <w:bottom w:val="none" w:sz="0" w:space="0" w:color="auto"/>
                        <w:right w:val="none" w:sz="0" w:space="0" w:color="auto"/>
                      </w:divBdr>
                    </w:div>
                  </w:divsChild>
                </w:div>
                <w:div w:id="2027176575">
                  <w:marLeft w:val="0"/>
                  <w:marRight w:val="0"/>
                  <w:marTop w:val="0"/>
                  <w:marBottom w:val="0"/>
                  <w:divBdr>
                    <w:top w:val="none" w:sz="0" w:space="0" w:color="auto"/>
                    <w:left w:val="none" w:sz="0" w:space="0" w:color="auto"/>
                    <w:bottom w:val="none" w:sz="0" w:space="0" w:color="auto"/>
                    <w:right w:val="none" w:sz="0" w:space="0" w:color="auto"/>
                  </w:divBdr>
                  <w:divsChild>
                    <w:div w:id="1717505185">
                      <w:marLeft w:val="0"/>
                      <w:marRight w:val="0"/>
                      <w:marTop w:val="0"/>
                      <w:marBottom w:val="0"/>
                      <w:divBdr>
                        <w:top w:val="none" w:sz="0" w:space="0" w:color="auto"/>
                        <w:left w:val="none" w:sz="0" w:space="0" w:color="auto"/>
                        <w:bottom w:val="none" w:sz="0" w:space="0" w:color="auto"/>
                        <w:right w:val="none" w:sz="0" w:space="0" w:color="auto"/>
                      </w:divBdr>
                    </w:div>
                  </w:divsChild>
                </w:div>
                <w:div w:id="2141879454">
                  <w:marLeft w:val="0"/>
                  <w:marRight w:val="0"/>
                  <w:marTop w:val="0"/>
                  <w:marBottom w:val="0"/>
                  <w:divBdr>
                    <w:top w:val="none" w:sz="0" w:space="0" w:color="auto"/>
                    <w:left w:val="none" w:sz="0" w:space="0" w:color="auto"/>
                    <w:bottom w:val="none" w:sz="0" w:space="0" w:color="auto"/>
                    <w:right w:val="none" w:sz="0" w:space="0" w:color="auto"/>
                  </w:divBdr>
                  <w:divsChild>
                    <w:div w:id="77425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3359">
          <w:marLeft w:val="0"/>
          <w:marRight w:val="0"/>
          <w:marTop w:val="0"/>
          <w:marBottom w:val="0"/>
          <w:divBdr>
            <w:top w:val="none" w:sz="0" w:space="0" w:color="auto"/>
            <w:left w:val="none" w:sz="0" w:space="0" w:color="auto"/>
            <w:bottom w:val="none" w:sz="0" w:space="0" w:color="auto"/>
            <w:right w:val="none" w:sz="0" w:space="0" w:color="auto"/>
          </w:divBdr>
          <w:divsChild>
            <w:div w:id="1856142512">
              <w:marLeft w:val="-75"/>
              <w:marRight w:val="0"/>
              <w:marTop w:val="30"/>
              <w:marBottom w:val="30"/>
              <w:divBdr>
                <w:top w:val="none" w:sz="0" w:space="0" w:color="auto"/>
                <w:left w:val="none" w:sz="0" w:space="0" w:color="auto"/>
                <w:bottom w:val="none" w:sz="0" w:space="0" w:color="auto"/>
                <w:right w:val="none" w:sz="0" w:space="0" w:color="auto"/>
              </w:divBdr>
              <w:divsChild>
                <w:div w:id="186868887">
                  <w:marLeft w:val="0"/>
                  <w:marRight w:val="0"/>
                  <w:marTop w:val="0"/>
                  <w:marBottom w:val="0"/>
                  <w:divBdr>
                    <w:top w:val="none" w:sz="0" w:space="0" w:color="auto"/>
                    <w:left w:val="none" w:sz="0" w:space="0" w:color="auto"/>
                    <w:bottom w:val="none" w:sz="0" w:space="0" w:color="auto"/>
                    <w:right w:val="none" w:sz="0" w:space="0" w:color="auto"/>
                  </w:divBdr>
                  <w:divsChild>
                    <w:div w:id="1126194306">
                      <w:marLeft w:val="0"/>
                      <w:marRight w:val="0"/>
                      <w:marTop w:val="0"/>
                      <w:marBottom w:val="0"/>
                      <w:divBdr>
                        <w:top w:val="none" w:sz="0" w:space="0" w:color="auto"/>
                        <w:left w:val="none" w:sz="0" w:space="0" w:color="auto"/>
                        <w:bottom w:val="none" w:sz="0" w:space="0" w:color="auto"/>
                        <w:right w:val="none" w:sz="0" w:space="0" w:color="auto"/>
                      </w:divBdr>
                    </w:div>
                  </w:divsChild>
                </w:div>
                <w:div w:id="320694732">
                  <w:marLeft w:val="0"/>
                  <w:marRight w:val="0"/>
                  <w:marTop w:val="0"/>
                  <w:marBottom w:val="0"/>
                  <w:divBdr>
                    <w:top w:val="none" w:sz="0" w:space="0" w:color="auto"/>
                    <w:left w:val="none" w:sz="0" w:space="0" w:color="auto"/>
                    <w:bottom w:val="none" w:sz="0" w:space="0" w:color="auto"/>
                    <w:right w:val="none" w:sz="0" w:space="0" w:color="auto"/>
                  </w:divBdr>
                  <w:divsChild>
                    <w:div w:id="2016150375">
                      <w:marLeft w:val="0"/>
                      <w:marRight w:val="0"/>
                      <w:marTop w:val="0"/>
                      <w:marBottom w:val="0"/>
                      <w:divBdr>
                        <w:top w:val="none" w:sz="0" w:space="0" w:color="auto"/>
                        <w:left w:val="none" w:sz="0" w:space="0" w:color="auto"/>
                        <w:bottom w:val="none" w:sz="0" w:space="0" w:color="auto"/>
                        <w:right w:val="none" w:sz="0" w:space="0" w:color="auto"/>
                      </w:divBdr>
                    </w:div>
                  </w:divsChild>
                </w:div>
                <w:div w:id="601883940">
                  <w:marLeft w:val="0"/>
                  <w:marRight w:val="0"/>
                  <w:marTop w:val="0"/>
                  <w:marBottom w:val="0"/>
                  <w:divBdr>
                    <w:top w:val="none" w:sz="0" w:space="0" w:color="auto"/>
                    <w:left w:val="none" w:sz="0" w:space="0" w:color="auto"/>
                    <w:bottom w:val="none" w:sz="0" w:space="0" w:color="auto"/>
                    <w:right w:val="none" w:sz="0" w:space="0" w:color="auto"/>
                  </w:divBdr>
                  <w:divsChild>
                    <w:div w:id="1026056260">
                      <w:marLeft w:val="0"/>
                      <w:marRight w:val="0"/>
                      <w:marTop w:val="0"/>
                      <w:marBottom w:val="0"/>
                      <w:divBdr>
                        <w:top w:val="none" w:sz="0" w:space="0" w:color="auto"/>
                        <w:left w:val="none" w:sz="0" w:space="0" w:color="auto"/>
                        <w:bottom w:val="none" w:sz="0" w:space="0" w:color="auto"/>
                        <w:right w:val="none" w:sz="0" w:space="0" w:color="auto"/>
                      </w:divBdr>
                    </w:div>
                  </w:divsChild>
                </w:div>
                <w:div w:id="995915619">
                  <w:marLeft w:val="0"/>
                  <w:marRight w:val="0"/>
                  <w:marTop w:val="0"/>
                  <w:marBottom w:val="0"/>
                  <w:divBdr>
                    <w:top w:val="none" w:sz="0" w:space="0" w:color="auto"/>
                    <w:left w:val="none" w:sz="0" w:space="0" w:color="auto"/>
                    <w:bottom w:val="none" w:sz="0" w:space="0" w:color="auto"/>
                    <w:right w:val="none" w:sz="0" w:space="0" w:color="auto"/>
                  </w:divBdr>
                  <w:divsChild>
                    <w:div w:id="1005519790">
                      <w:marLeft w:val="0"/>
                      <w:marRight w:val="0"/>
                      <w:marTop w:val="0"/>
                      <w:marBottom w:val="0"/>
                      <w:divBdr>
                        <w:top w:val="none" w:sz="0" w:space="0" w:color="auto"/>
                        <w:left w:val="none" w:sz="0" w:space="0" w:color="auto"/>
                        <w:bottom w:val="none" w:sz="0" w:space="0" w:color="auto"/>
                        <w:right w:val="none" w:sz="0" w:space="0" w:color="auto"/>
                      </w:divBdr>
                    </w:div>
                  </w:divsChild>
                </w:div>
                <w:div w:id="1376196699">
                  <w:marLeft w:val="0"/>
                  <w:marRight w:val="0"/>
                  <w:marTop w:val="0"/>
                  <w:marBottom w:val="0"/>
                  <w:divBdr>
                    <w:top w:val="none" w:sz="0" w:space="0" w:color="auto"/>
                    <w:left w:val="none" w:sz="0" w:space="0" w:color="auto"/>
                    <w:bottom w:val="none" w:sz="0" w:space="0" w:color="auto"/>
                    <w:right w:val="none" w:sz="0" w:space="0" w:color="auto"/>
                  </w:divBdr>
                  <w:divsChild>
                    <w:div w:id="1256863299">
                      <w:marLeft w:val="0"/>
                      <w:marRight w:val="0"/>
                      <w:marTop w:val="0"/>
                      <w:marBottom w:val="0"/>
                      <w:divBdr>
                        <w:top w:val="none" w:sz="0" w:space="0" w:color="auto"/>
                        <w:left w:val="none" w:sz="0" w:space="0" w:color="auto"/>
                        <w:bottom w:val="none" w:sz="0" w:space="0" w:color="auto"/>
                        <w:right w:val="none" w:sz="0" w:space="0" w:color="auto"/>
                      </w:divBdr>
                    </w:div>
                  </w:divsChild>
                </w:div>
                <w:div w:id="1419251086">
                  <w:marLeft w:val="0"/>
                  <w:marRight w:val="0"/>
                  <w:marTop w:val="0"/>
                  <w:marBottom w:val="0"/>
                  <w:divBdr>
                    <w:top w:val="none" w:sz="0" w:space="0" w:color="auto"/>
                    <w:left w:val="none" w:sz="0" w:space="0" w:color="auto"/>
                    <w:bottom w:val="none" w:sz="0" w:space="0" w:color="auto"/>
                    <w:right w:val="none" w:sz="0" w:space="0" w:color="auto"/>
                  </w:divBdr>
                  <w:divsChild>
                    <w:div w:id="2103446704">
                      <w:marLeft w:val="0"/>
                      <w:marRight w:val="0"/>
                      <w:marTop w:val="0"/>
                      <w:marBottom w:val="0"/>
                      <w:divBdr>
                        <w:top w:val="none" w:sz="0" w:space="0" w:color="auto"/>
                        <w:left w:val="none" w:sz="0" w:space="0" w:color="auto"/>
                        <w:bottom w:val="none" w:sz="0" w:space="0" w:color="auto"/>
                        <w:right w:val="none" w:sz="0" w:space="0" w:color="auto"/>
                      </w:divBdr>
                    </w:div>
                  </w:divsChild>
                </w:div>
                <w:div w:id="1490516977">
                  <w:marLeft w:val="0"/>
                  <w:marRight w:val="0"/>
                  <w:marTop w:val="0"/>
                  <w:marBottom w:val="0"/>
                  <w:divBdr>
                    <w:top w:val="none" w:sz="0" w:space="0" w:color="auto"/>
                    <w:left w:val="none" w:sz="0" w:space="0" w:color="auto"/>
                    <w:bottom w:val="none" w:sz="0" w:space="0" w:color="auto"/>
                    <w:right w:val="none" w:sz="0" w:space="0" w:color="auto"/>
                  </w:divBdr>
                  <w:divsChild>
                    <w:div w:id="1234662934">
                      <w:marLeft w:val="0"/>
                      <w:marRight w:val="0"/>
                      <w:marTop w:val="0"/>
                      <w:marBottom w:val="0"/>
                      <w:divBdr>
                        <w:top w:val="none" w:sz="0" w:space="0" w:color="auto"/>
                        <w:left w:val="none" w:sz="0" w:space="0" w:color="auto"/>
                        <w:bottom w:val="none" w:sz="0" w:space="0" w:color="auto"/>
                        <w:right w:val="none" w:sz="0" w:space="0" w:color="auto"/>
                      </w:divBdr>
                    </w:div>
                  </w:divsChild>
                </w:div>
                <w:div w:id="1529105108">
                  <w:marLeft w:val="0"/>
                  <w:marRight w:val="0"/>
                  <w:marTop w:val="0"/>
                  <w:marBottom w:val="0"/>
                  <w:divBdr>
                    <w:top w:val="none" w:sz="0" w:space="0" w:color="auto"/>
                    <w:left w:val="none" w:sz="0" w:space="0" w:color="auto"/>
                    <w:bottom w:val="none" w:sz="0" w:space="0" w:color="auto"/>
                    <w:right w:val="none" w:sz="0" w:space="0" w:color="auto"/>
                  </w:divBdr>
                  <w:divsChild>
                    <w:div w:id="1836072776">
                      <w:marLeft w:val="0"/>
                      <w:marRight w:val="0"/>
                      <w:marTop w:val="0"/>
                      <w:marBottom w:val="0"/>
                      <w:divBdr>
                        <w:top w:val="none" w:sz="0" w:space="0" w:color="auto"/>
                        <w:left w:val="none" w:sz="0" w:space="0" w:color="auto"/>
                        <w:bottom w:val="none" w:sz="0" w:space="0" w:color="auto"/>
                        <w:right w:val="none" w:sz="0" w:space="0" w:color="auto"/>
                      </w:divBdr>
                    </w:div>
                  </w:divsChild>
                </w:div>
                <w:div w:id="1560555522">
                  <w:marLeft w:val="0"/>
                  <w:marRight w:val="0"/>
                  <w:marTop w:val="0"/>
                  <w:marBottom w:val="0"/>
                  <w:divBdr>
                    <w:top w:val="none" w:sz="0" w:space="0" w:color="auto"/>
                    <w:left w:val="none" w:sz="0" w:space="0" w:color="auto"/>
                    <w:bottom w:val="none" w:sz="0" w:space="0" w:color="auto"/>
                    <w:right w:val="none" w:sz="0" w:space="0" w:color="auto"/>
                  </w:divBdr>
                  <w:divsChild>
                    <w:div w:id="1040663499">
                      <w:marLeft w:val="0"/>
                      <w:marRight w:val="0"/>
                      <w:marTop w:val="0"/>
                      <w:marBottom w:val="0"/>
                      <w:divBdr>
                        <w:top w:val="none" w:sz="0" w:space="0" w:color="auto"/>
                        <w:left w:val="none" w:sz="0" w:space="0" w:color="auto"/>
                        <w:bottom w:val="none" w:sz="0" w:space="0" w:color="auto"/>
                        <w:right w:val="none" w:sz="0" w:space="0" w:color="auto"/>
                      </w:divBdr>
                    </w:div>
                  </w:divsChild>
                </w:div>
                <w:div w:id="1589077189">
                  <w:marLeft w:val="0"/>
                  <w:marRight w:val="0"/>
                  <w:marTop w:val="0"/>
                  <w:marBottom w:val="0"/>
                  <w:divBdr>
                    <w:top w:val="none" w:sz="0" w:space="0" w:color="auto"/>
                    <w:left w:val="none" w:sz="0" w:space="0" w:color="auto"/>
                    <w:bottom w:val="none" w:sz="0" w:space="0" w:color="auto"/>
                    <w:right w:val="none" w:sz="0" w:space="0" w:color="auto"/>
                  </w:divBdr>
                  <w:divsChild>
                    <w:div w:id="831873050">
                      <w:marLeft w:val="0"/>
                      <w:marRight w:val="0"/>
                      <w:marTop w:val="0"/>
                      <w:marBottom w:val="0"/>
                      <w:divBdr>
                        <w:top w:val="none" w:sz="0" w:space="0" w:color="auto"/>
                        <w:left w:val="none" w:sz="0" w:space="0" w:color="auto"/>
                        <w:bottom w:val="none" w:sz="0" w:space="0" w:color="auto"/>
                        <w:right w:val="none" w:sz="0" w:space="0" w:color="auto"/>
                      </w:divBdr>
                    </w:div>
                  </w:divsChild>
                </w:div>
                <w:div w:id="1766028665">
                  <w:marLeft w:val="0"/>
                  <w:marRight w:val="0"/>
                  <w:marTop w:val="0"/>
                  <w:marBottom w:val="0"/>
                  <w:divBdr>
                    <w:top w:val="none" w:sz="0" w:space="0" w:color="auto"/>
                    <w:left w:val="none" w:sz="0" w:space="0" w:color="auto"/>
                    <w:bottom w:val="none" w:sz="0" w:space="0" w:color="auto"/>
                    <w:right w:val="none" w:sz="0" w:space="0" w:color="auto"/>
                  </w:divBdr>
                  <w:divsChild>
                    <w:div w:id="386732883">
                      <w:marLeft w:val="0"/>
                      <w:marRight w:val="0"/>
                      <w:marTop w:val="0"/>
                      <w:marBottom w:val="0"/>
                      <w:divBdr>
                        <w:top w:val="none" w:sz="0" w:space="0" w:color="auto"/>
                        <w:left w:val="none" w:sz="0" w:space="0" w:color="auto"/>
                        <w:bottom w:val="none" w:sz="0" w:space="0" w:color="auto"/>
                        <w:right w:val="none" w:sz="0" w:space="0" w:color="auto"/>
                      </w:divBdr>
                    </w:div>
                  </w:divsChild>
                </w:div>
                <w:div w:id="1923641765">
                  <w:marLeft w:val="0"/>
                  <w:marRight w:val="0"/>
                  <w:marTop w:val="0"/>
                  <w:marBottom w:val="0"/>
                  <w:divBdr>
                    <w:top w:val="none" w:sz="0" w:space="0" w:color="auto"/>
                    <w:left w:val="none" w:sz="0" w:space="0" w:color="auto"/>
                    <w:bottom w:val="none" w:sz="0" w:space="0" w:color="auto"/>
                    <w:right w:val="none" w:sz="0" w:space="0" w:color="auto"/>
                  </w:divBdr>
                  <w:divsChild>
                    <w:div w:id="201141017">
                      <w:marLeft w:val="0"/>
                      <w:marRight w:val="0"/>
                      <w:marTop w:val="0"/>
                      <w:marBottom w:val="0"/>
                      <w:divBdr>
                        <w:top w:val="none" w:sz="0" w:space="0" w:color="auto"/>
                        <w:left w:val="none" w:sz="0" w:space="0" w:color="auto"/>
                        <w:bottom w:val="none" w:sz="0" w:space="0" w:color="auto"/>
                        <w:right w:val="none" w:sz="0" w:space="0" w:color="auto"/>
                      </w:divBdr>
                    </w:div>
                  </w:divsChild>
                </w:div>
                <w:div w:id="2040735571">
                  <w:marLeft w:val="0"/>
                  <w:marRight w:val="0"/>
                  <w:marTop w:val="0"/>
                  <w:marBottom w:val="0"/>
                  <w:divBdr>
                    <w:top w:val="none" w:sz="0" w:space="0" w:color="auto"/>
                    <w:left w:val="none" w:sz="0" w:space="0" w:color="auto"/>
                    <w:bottom w:val="none" w:sz="0" w:space="0" w:color="auto"/>
                    <w:right w:val="none" w:sz="0" w:space="0" w:color="auto"/>
                  </w:divBdr>
                  <w:divsChild>
                    <w:div w:id="28196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677067">
          <w:marLeft w:val="0"/>
          <w:marRight w:val="0"/>
          <w:marTop w:val="0"/>
          <w:marBottom w:val="0"/>
          <w:divBdr>
            <w:top w:val="none" w:sz="0" w:space="0" w:color="auto"/>
            <w:left w:val="none" w:sz="0" w:space="0" w:color="auto"/>
            <w:bottom w:val="none" w:sz="0" w:space="0" w:color="auto"/>
            <w:right w:val="none" w:sz="0" w:space="0" w:color="auto"/>
          </w:divBdr>
        </w:div>
        <w:div w:id="1638680379">
          <w:marLeft w:val="0"/>
          <w:marRight w:val="0"/>
          <w:marTop w:val="0"/>
          <w:marBottom w:val="0"/>
          <w:divBdr>
            <w:top w:val="none" w:sz="0" w:space="0" w:color="auto"/>
            <w:left w:val="none" w:sz="0" w:space="0" w:color="auto"/>
            <w:bottom w:val="none" w:sz="0" w:space="0" w:color="auto"/>
            <w:right w:val="none" w:sz="0" w:space="0" w:color="auto"/>
          </w:divBdr>
        </w:div>
        <w:div w:id="1747218690">
          <w:marLeft w:val="0"/>
          <w:marRight w:val="0"/>
          <w:marTop w:val="0"/>
          <w:marBottom w:val="0"/>
          <w:divBdr>
            <w:top w:val="none" w:sz="0" w:space="0" w:color="auto"/>
            <w:left w:val="none" w:sz="0" w:space="0" w:color="auto"/>
            <w:bottom w:val="none" w:sz="0" w:space="0" w:color="auto"/>
            <w:right w:val="none" w:sz="0" w:space="0" w:color="auto"/>
          </w:divBdr>
        </w:div>
        <w:div w:id="19313126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kcop26.org/mdb-joint-statement/"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yperlink" Target="https://openieem.iadb.org/" TargetMode="External"/><Relationship Id="rId7" Type="http://schemas.openxmlformats.org/officeDocument/2006/relationships/styles" Target="styles.xml"/><Relationship Id="rId12" Type="http://schemas.openxmlformats.org/officeDocument/2006/relationships/hyperlink" Target="https://devtracker.fcdo.gov.uk/projects/GB-GOV-7-ICF-PO008-UKBLUECARBONFUND/summary" TargetMode="External"/><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s://uwisodeco.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sustainableislandsplatform.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blogs.iadb.org/sostenibilidad/en/investing-in-nature-to-reverse-the-biodiversity-crisis/" TargetMode="External"/><Relationship Id="rId2" Type="http://schemas.openxmlformats.org/officeDocument/2006/relationships/hyperlink" Target="https://blogs.iadb.org/sostenibilidad/en/can-investing-in-nature-save-us-from-ourselves/" TargetMode="External"/><Relationship Id="rId1" Type="http://schemas.openxmlformats.org/officeDocument/2006/relationships/hyperlink" Target="https://blogs.iadb.org/sostenibilidad/en/why-is-the-dasgupta-review-on-the-economics-of-biodiversity-a-big-deal/" TargetMode="External"/><Relationship Id="rId4" Type="http://schemas.openxmlformats.org/officeDocument/2006/relationships/hyperlink" Target="https://blogs.iadb.org/sostenibilidad/en/the-post-covid-recovery-must-be-an-investment-in-natur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299E88-EB68-49BC-A5D5-6E601CB34E16}" type="doc">
      <dgm:prSet loTypeId="urn:microsoft.com/office/officeart/2005/8/layout/hProcess9" loCatId="process" qsTypeId="urn:microsoft.com/office/officeart/2005/8/quickstyle/simple1" qsCatId="simple" csTypeId="urn:microsoft.com/office/officeart/2005/8/colors/accent1_2" csCatId="accent1" phldr="1"/>
      <dgm:spPr/>
    </dgm:pt>
    <dgm:pt modelId="{2669F14A-AAC0-4139-A2F7-48110CBDAB41}">
      <dgm:prSet phldrT="[Text]"/>
      <dgm:spPr/>
      <dgm:t>
        <a:bodyPr/>
        <a:lstStyle/>
        <a:p>
          <a:r>
            <a:rPr lang="en-GB"/>
            <a:t>Jul 2020</a:t>
          </a:r>
        </a:p>
      </dgm:t>
    </dgm:pt>
    <dgm:pt modelId="{09CA4FC9-9DD4-45C1-ACB0-8BB68338E918}" type="parTrans" cxnId="{9BA76F70-9D05-452B-8CD4-2DBD3A72D5AE}">
      <dgm:prSet/>
      <dgm:spPr/>
      <dgm:t>
        <a:bodyPr/>
        <a:lstStyle/>
        <a:p>
          <a:endParaRPr lang="en-GB"/>
        </a:p>
      </dgm:t>
    </dgm:pt>
    <dgm:pt modelId="{0D16F4A0-7EE3-437B-A557-3CDF4AD9014B}" type="sibTrans" cxnId="{9BA76F70-9D05-452B-8CD4-2DBD3A72D5AE}">
      <dgm:prSet/>
      <dgm:spPr/>
      <dgm:t>
        <a:bodyPr/>
        <a:lstStyle/>
        <a:p>
          <a:endParaRPr lang="en-GB"/>
        </a:p>
      </dgm:t>
    </dgm:pt>
    <dgm:pt modelId="{BF1F6FB4-5262-40F1-BD02-0CE298EF00A2}">
      <dgm:prSet phldrT="[Text]"/>
      <dgm:spPr/>
      <dgm:t>
        <a:bodyPr/>
        <a:lstStyle/>
        <a:p>
          <a:r>
            <a:rPr lang="en-GB"/>
            <a:t>Aug 2020</a:t>
          </a:r>
        </a:p>
      </dgm:t>
    </dgm:pt>
    <dgm:pt modelId="{88CAF913-4795-40E3-860B-7C2192DE4C0D}" type="parTrans" cxnId="{56A4E030-3D4D-4619-99C4-53DB9AB250BF}">
      <dgm:prSet/>
      <dgm:spPr/>
      <dgm:t>
        <a:bodyPr/>
        <a:lstStyle/>
        <a:p>
          <a:endParaRPr lang="en-GB"/>
        </a:p>
      </dgm:t>
    </dgm:pt>
    <dgm:pt modelId="{CD91119B-EB6E-4334-8C8C-EF8F3AF65097}" type="sibTrans" cxnId="{56A4E030-3D4D-4619-99C4-53DB9AB250BF}">
      <dgm:prSet/>
      <dgm:spPr/>
      <dgm:t>
        <a:bodyPr/>
        <a:lstStyle/>
        <a:p>
          <a:endParaRPr lang="en-GB"/>
        </a:p>
      </dgm:t>
    </dgm:pt>
    <dgm:pt modelId="{E5EA9358-84F0-45F3-ACDE-DD1502122F86}">
      <dgm:prSet phldrT="[Text]"/>
      <dgm:spPr/>
      <dgm:t>
        <a:bodyPr/>
        <a:lstStyle/>
        <a:p>
          <a:r>
            <a:rPr lang="en-GB"/>
            <a:t>Sept 2020</a:t>
          </a:r>
        </a:p>
      </dgm:t>
    </dgm:pt>
    <dgm:pt modelId="{EEBDDD5A-1EF3-4601-8D8F-4D6BAD12F07E}" type="parTrans" cxnId="{D4510B29-69FA-4654-A675-CA5269550C6E}">
      <dgm:prSet/>
      <dgm:spPr/>
      <dgm:t>
        <a:bodyPr/>
        <a:lstStyle/>
        <a:p>
          <a:endParaRPr lang="en-GB"/>
        </a:p>
      </dgm:t>
    </dgm:pt>
    <dgm:pt modelId="{E2F4C2A6-ECA6-4FEA-A372-E05138FA9D27}" type="sibTrans" cxnId="{D4510B29-69FA-4654-A675-CA5269550C6E}">
      <dgm:prSet/>
      <dgm:spPr/>
      <dgm:t>
        <a:bodyPr/>
        <a:lstStyle/>
        <a:p>
          <a:endParaRPr lang="en-GB"/>
        </a:p>
      </dgm:t>
    </dgm:pt>
    <dgm:pt modelId="{0A6C4190-27F5-4134-B96D-CD4AB90F79B4}">
      <dgm:prSet phldrT="[Text]"/>
      <dgm:spPr/>
      <dgm:t>
        <a:bodyPr/>
        <a:lstStyle/>
        <a:p>
          <a:r>
            <a:rPr lang="en-GB"/>
            <a:t>Dec 2021</a:t>
          </a:r>
        </a:p>
      </dgm:t>
    </dgm:pt>
    <dgm:pt modelId="{7AD6FEC2-330C-4B33-9B49-A78B145F91AB}" type="parTrans" cxnId="{EA7661A1-B918-4EB1-BB6A-E791C529CE6E}">
      <dgm:prSet/>
      <dgm:spPr/>
      <dgm:t>
        <a:bodyPr/>
        <a:lstStyle/>
        <a:p>
          <a:endParaRPr lang="en-GB"/>
        </a:p>
      </dgm:t>
    </dgm:pt>
    <dgm:pt modelId="{1AC5E539-E14F-4C5F-B696-6B352D4F731E}" type="sibTrans" cxnId="{EA7661A1-B918-4EB1-BB6A-E791C529CE6E}">
      <dgm:prSet/>
      <dgm:spPr/>
      <dgm:t>
        <a:bodyPr/>
        <a:lstStyle/>
        <a:p>
          <a:endParaRPr lang="en-GB"/>
        </a:p>
      </dgm:t>
    </dgm:pt>
    <dgm:pt modelId="{7032B226-CC90-430A-8EE9-D93EA8BB7C45}">
      <dgm:prSet phldrT="[Text]"/>
      <dgm:spPr/>
      <dgm:t>
        <a:bodyPr/>
        <a:lstStyle/>
        <a:p>
          <a:r>
            <a:rPr lang="en-GB"/>
            <a:t>Oct 2020</a:t>
          </a:r>
        </a:p>
      </dgm:t>
    </dgm:pt>
    <dgm:pt modelId="{E004CBD2-EA7F-48A3-A847-32D9DA2028A2}" type="parTrans" cxnId="{AF9ED4E8-4F5A-46D1-9A39-EE5534BCC06D}">
      <dgm:prSet/>
      <dgm:spPr/>
      <dgm:t>
        <a:bodyPr/>
        <a:lstStyle/>
        <a:p>
          <a:endParaRPr lang="en-GB"/>
        </a:p>
      </dgm:t>
    </dgm:pt>
    <dgm:pt modelId="{DAC57097-CBBC-46ED-9ED9-175087266C16}" type="sibTrans" cxnId="{AF9ED4E8-4F5A-46D1-9A39-EE5534BCC06D}">
      <dgm:prSet/>
      <dgm:spPr/>
      <dgm:t>
        <a:bodyPr/>
        <a:lstStyle/>
        <a:p>
          <a:endParaRPr lang="en-GB"/>
        </a:p>
      </dgm:t>
    </dgm:pt>
    <dgm:pt modelId="{2B3A8EE9-C94C-405F-860C-6D3D119D875A}">
      <dgm:prSet phldrT="[Text]"/>
      <dgm:spPr/>
      <dgm:t>
        <a:bodyPr/>
        <a:lstStyle/>
        <a:p>
          <a:r>
            <a:rPr lang="en-GB"/>
            <a:t>Nov 2020</a:t>
          </a:r>
        </a:p>
      </dgm:t>
    </dgm:pt>
    <dgm:pt modelId="{31B0E444-FCD6-40B2-A948-A431E65F9A6C}" type="parTrans" cxnId="{E4299118-EB3A-4851-BAAB-3072FC685265}">
      <dgm:prSet/>
      <dgm:spPr/>
      <dgm:t>
        <a:bodyPr/>
        <a:lstStyle/>
        <a:p>
          <a:endParaRPr lang="en-GB"/>
        </a:p>
      </dgm:t>
    </dgm:pt>
    <dgm:pt modelId="{2FF33959-703E-4DA5-81DD-CCCB51202F43}" type="sibTrans" cxnId="{E4299118-EB3A-4851-BAAB-3072FC685265}">
      <dgm:prSet/>
      <dgm:spPr/>
      <dgm:t>
        <a:bodyPr/>
        <a:lstStyle/>
        <a:p>
          <a:endParaRPr lang="en-GB"/>
        </a:p>
      </dgm:t>
    </dgm:pt>
    <dgm:pt modelId="{38BDEDF2-A547-44D1-8FB8-86F6112720FB}">
      <dgm:prSet phldrT="[Text]"/>
      <dgm:spPr/>
      <dgm:t>
        <a:bodyPr/>
        <a:lstStyle/>
        <a:p>
          <a:r>
            <a:rPr lang="en-GB"/>
            <a:t>Dec 2020</a:t>
          </a:r>
        </a:p>
      </dgm:t>
    </dgm:pt>
    <dgm:pt modelId="{B4DF70AC-6CF3-43D6-8F0E-A92B6416A573}" type="parTrans" cxnId="{18A537D2-AA6C-4D53-9AFE-147EAFF4B72B}">
      <dgm:prSet/>
      <dgm:spPr/>
      <dgm:t>
        <a:bodyPr/>
        <a:lstStyle/>
        <a:p>
          <a:endParaRPr lang="en-GB"/>
        </a:p>
      </dgm:t>
    </dgm:pt>
    <dgm:pt modelId="{D2E5DA4B-9518-419F-B85D-B357D2CA4F9A}" type="sibTrans" cxnId="{18A537D2-AA6C-4D53-9AFE-147EAFF4B72B}">
      <dgm:prSet/>
      <dgm:spPr/>
      <dgm:t>
        <a:bodyPr/>
        <a:lstStyle/>
        <a:p>
          <a:endParaRPr lang="en-GB"/>
        </a:p>
      </dgm:t>
    </dgm:pt>
    <dgm:pt modelId="{7D7D3EB6-0A2E-4983-A1EF-41D43F87EC11}">
      <dgm:prSet phldrT="[Text]"/>
      <dgm:spPr/>
      <dgm:t>
        <a:bodyPr/>
        <a:lstStyle/>
        <a:p>
          <a:r>
            <a:rPr lang="en-GB"/>
            <a:t>Jan 2021</a:t>
          </a:r>
        </a:p>
      </dgm:t>
    </dgm:pt>
    <dgm:pt modelId="{7C26F863-F7A5-4F30-B1C0-DC7CC8BB4BD2}" type="parTrans" cxnId="{104C4D70-A553-4397-AB69-C4450AAA7EDE}">
      <dgm:prSet/>
      <dgm:spPr/>
      <dgm:t>
        <a:bodyPr/>
        <a:lstStyle/>
        <a:p>
          <a:endParaRPr lang="en-GB"/>
        </a:p>
      </dgm:t>
    </dgm:pt>
    <dgm:pt modelId="{6AC644CC-2AD5-42C0-B2D6-A2DFB9385D21}" type="sibTrans" cxnId="{104C4D70-A553-4397-AB69-C4450AAA7EDE}">
      <dgm:prSet/>
      <dgm:spPr/>
      <dgm:t>
        <a:bodyPr/>
        <a:lstStyle/>
        <a:p>
          <a:endParaRPr lang="en-GB"/>
        </a:p>
      </dgm:t>
    </dgm:pt>
    <dgm:pt modelId="{134B4542-400E-4C07-A1BE-A7282EAB0BD6}">
      <dgm:prSet phldrT="[Text]"/>
      <dgm:spPr/>
      <dgm:t>
        <a:bodyPr/>
        <a:lstStyle/>
        <a:p>
          <a:r>
            <a:rPr lang="en-GB"/>
            <a:t>Feb 2021</a:t>
          </a:r>
        </a:p>
      </dgm:t>
    </dgm:pt>
    <dgm:pt modelId="{D262D2F6-798B-455D-88E7-BEFAD4CA083C}" type="parTrans" cxnId="{F5CE4555-57A2-40A0-85A2-7207E29FE5DD}">
      <dgm:prSet/>
      <dgm:spPr/>
      <dgm:t>
        <a:bodyPr/>
        <a:lstStyle/>
        <a:p>
          <a:endParaRPr lang="en-GB"/>
        </a:p>
      </dgm:t>
    </dgm:pt>
    <dgm:pt modelId="{70AD709E-A258-44E0-8670-0D46DB1A7A4B}" type="sibTrans" cxnId="{F5CE4555-57A2-40A0-85A2-7207E29FE5DD}">
      <dgm:prSet/>
      <dgm:spPr/>
      <dgm:t>
        <a:bodyPr/>
        <a:lstStyle/>
        <a:p>
          <a:endParaRPr lang="en-GB"/>
        </a:p>
      </dgm:t>
    </dgm:pt>
    <dgm:pt modelId="{4ACDABF7-78B7-4E7C-AADC-F266544A0C36}">
      <dgm:prSet phldrT="[Text]"/>
      <dgm:spPr/>
      <dgm:t>
        <a:bodyPr/>
        <a:lstStyle/>
        <a:p>
          <a:r>
            <a:rPr lang="en-GB"/>
            <a:t>Mar 2021</a:t>
          </a:r>
        </a:p>
      </dgm:t>
    </dgm:pt>
    <dgm:pt modelId="{7AB95A6E-86F6-4773-8512-EA8941A0AFAF}" type="parTrans" cxnId="{9949D9E8-2901-4AC6-AEBF-759CEE4E3E63}">
      <dgm:prSet/>
      <dgm:spPr/>
      <dgm:t>
        <a:bodyPr/>
        <a:lstStyle/>
        <a:p>
          <a:endParaRPr lang="en-GB"/>
        </a:p>
      </dgm:t>
    </dgm:pt>
    <dgm:pt modelId="{CD2CAB81-EA10-475E-9AF9-CD9C89EEBA50}" type="sibTrans" cxnId="{9949D9E8-2901-4AC6-AEBF-759CEE4E3E63}">
      <dgm:prSet/>
      <dgm:spPr/>
      <dgm:t>
        <a:bodyPr/>
        <a:lstStyle/>
        <a:p>
          <a:endParaRPr lang="en-GB"/>
        </a:p>
      </dgm:t>
    </dgm:pt>
    <dgm:pt modelId="{86D73DC5-56D7-4CBC-9C61-E3458674271B}">
      <dgm:prSet phldrT="[Text]"/>
      <dgm:spPr/>
      <dgm:t>
        <a:bodyPr/>
        <a:lstStyle/>
        <a:p>
          <a:r>
            <a:rPr lang="en-GB"/>
            <a:t>Apr 2021</a:t>
          </a:r>
        </a:p>
      </dgm:t>
    </dgm:pt>
    <dgm:pt modelId="{3FF93D3E-D692-4D00-B8DA-1E97ACCCD5CE}" type="parTrans" cxnId="{10BA95A6-64D1-4911-B7F5-47C0D8EDD338}">
      <dgm:prSet/>
      <dgm:spPr/>
      <dgm:t>
        <a:bodyPr/>
        <a:lstStyle/>
        <a:p>
          <a:endParaRPr lang="en-GB"/>
        </a:p>
      </dgm:t>
    </dgm:pt>
    <dgm:pt modelId="{072F3856-6F52-4AB1-81BF-A9CE6C1280F8}" type="sibTrans" cxnId="{10BA95A6-64D1-4911-B7F5-47C0D8EDD338}">
      <dgm:prSet/>
      <dgm:spPr/>
      <dgm:t>
        <a:bodyPr/>
        <a:lstStyle/>
        <a:p>
          <a:endParaRPr lang="en-GB"/>
        </a:p>
      </dgm:t>
    </dgm:pt>
    <dgm:pt modelId="{F592AA3F-854E-450D-9249-0DEF46FC2922}">
      <dgm:prSet phldrT="[Text]"/>
      <dgm:spPr/>
      <dgm:t>
        <a:bodyPr/>
        <a:lstStyle/>
        <a:p>
          <a:r>
            <a:rPr lang="en-GB"/>
            <a:t>May 2021</a:t>
          </a:r>
        </a:p>
      </dgm:t>
    </dgm:pt>
    <dgm:pt modelId="{AE891531-26D1-4618-A8F5-C683005C7B17}" type="parTrans" cxnId="{EB4283FC-10E6-424A-B231-80D1EA76154B}">
      <dgm:prSet/>
      <dgm:spPr/>
      <dgm:t>
        <a:bodyPr/>
        <a:lstStyle/>
        <a:p>
          <a:endParaRPr lang="en-GB"/>
        </a:p>
      </dgm:t>
    </dgm:pt>
    <dgm:pt modelId="{FCC919BC-BBCA-44F4-8569-DCC65A43A18B}" type="sibTrans" cxnId="{EB4283FC-10E6-424A-B231-80D1EA76154B}">
      <dgm:prSet/>
      <dgm:spPr/>
      <dgm:t>
        <a:bodyPr/>
        <a:lstStyle/>
        <a:p>
          <a:endParaRPr lang="en-GB"/>
        </a:p>
      </dgm:t>
    </dgm:pt>
    <dgm:pt modelId="{B3534622-CAE8-40E1-85E6-0B31595EDCFF}">
      <dgm:prSet phldrT="[Text]"/>
      <dgm:spPr/>
      <dgm:t>
        <a:bodyPr/>
        <a:lstStyle/>
        <a:p>
          <a:r>
            <a:rPr lang="en-GB"/>
            <a:t>Jun 2021</a:t>
          </a:r>
        </a:p>
      </dgm:t>
    </dgm:pt>
    <dgm:pt modelId="{BC952842-C7B5-4E8A-A847-D2BAB4E7BA52}" type="parTrans" cxnId="{29C477FA-D42A-4C52-95E8-BA9232295580}">
      <dgm:prSet/>
      <dgm:spPr/>
      <dgm:t>
        <a:bodyPr/>
        <a:lstStyle/>
        <a:p>
          <a:endParaRPr lang="en-GB"/>
        </a:p>
      </dgm:t>
    </dgm:pt>
    <dgm:pt modelId="{9FCD28AE-C60E-46FA-A09F-57B51DFA46F8}" type="sibTrans" cxnId="{29C477FA-D42A-4C52-95E8-BA9232295580}">
      <dgm:prSet/>
      <dgm:spPr/>
      <dgm:t>
        <a:bodyPr/>
        <a:lstStyle/>
        <a:p>
          <a:endParaRPr lang="en-GB"/>
        </a:p>
      </dgm:t>
    </dgm:pt>
    <dgm:pt modelId="{C72D45BB-9273-471D-9AD7-C436C47893F7}">
      <dgm:prSet phldrT="[Text]"/>
      <dgm:spPr/>
      <dgm:t>
        <a:bodyPr/>
        <a:lstStyle/>
        <a:p>
          <a:r>
            <a:rPr lang="en-GB"/>
            <a:t>Jul 2021</a:t>
          </a:r>
        </a:p>
      </dgm:t>
    </dgm:pt>
    <dgm:pt modelId="{00D6D19E-B3A0-42EE-9623-290B61BC6955}" type="parTrans" cxnId="{3E80DC2F-C071-46E0-9A59-2D5B5743A143}">
      <dgm:prSet/>
      <dgm:spPr/>
      <dgm:t>
        <a:bodyPr/>
        <a:lstStyle/>
        <a:p>
          <a:endParaRPr lang="en-GB"/>
        </a:p>
      </dgm:t>
    </dgm:pt>
    <dgm:pt modelId="{F16361D8-BD88-4975-A45D-207FF6F8A207}" type="sibTrans" cxnId="{3E80DC2F-C071-46E0-9A59-2D5B5743A143}">
      <dgm:prSet/>
      <dgm:spPr/>
      <dgm:t>
        <a:bodyPr/>
        <a:lstStyle/>
        <a:p>
          <a:endParaRPr lang="en-GB"/>
        </a:p>
      </dgm:t>
    </dgm:pt>
    <dgm:pt modelId="{00B2A4A6-ABA8-4D5F-A894-324F50D4A0C2}">
      <dgm:prSet phldrT="[Text]"/>
      <dgm:spPr/>
      <dgm:t>
        <a:bodyPr/>
        <a:lstStyle/>
        <a:p>
          <a:r>
            <a:rPr lang="en-GB"/>
            <a:t>Aug 2021</a:t>
          </a:r>
        </a:p>
      </dgm:t>
    </dgm:pt>
    <dgm:pt modelId="{133828F7-73E2-4A61-A896-47FF86C823B3}" type="parTrans" cxnId="{5B248067-37BD-44DE-B8DE-D047418BED4A}">
      <dgm:prSet/>
      <dgm:spPr/>
      <dgm:t>
        <a:bodyPr/>
        <a:lstStyle/>
        <a:p>
          <a:endParaRPr lang="en-GB"/>
        </a:p>
      </dgm:t>
    </dgm:pt>
    <dgm:pt modelId="{F92A8092-389D-4720-B038-532D4C084CC0}" type="sibTrans" cxnId="{5B248067-37BD-44DE-B8DE-D047418BED4A}">
      <dgm:prSet/>
      <dgm:spPr/>
      <dgm:t>
        <a:bodyPr/>
        <a:lstStyle/>
        <a:p>
          <a:endParaRPr lang="en-GB"/>
        </a:p>
      </dgm:t>
    </dgm:pt>
    <dgm:pt modelId="{EAB1B27A-2688-4890-A7A6-E60D2DEBC431}">
      <dgm:prSet phldrT="[Text]"/>
      <dgm:spPr/>
      <dgm:t>
        <a:bodyPr/>
        <a:lstStyle/>
        <a:p>
          <a:r>
            <a:rPr lang="en-GB"/>
            <a:t>Sept 2021</a:t>
          </a:r>
        </a:p>
      </dgm:t>
    </dgm:pt>
    <dgm:pt modelId="{0072B954-98A3-49FA-9CFC-1A03D842814E}" type="parTrans" cxnId="{750D5214-52BE-4114-A670-20A303477E93}">
      <dgm:prSet/>
      <dgm:spPr/>
      <dgm:t>
        <a:bodyPr/>
        <a:lstStyle/>
        <a:p>
          <a:endParaRPr lang="en-GB"/>
        </a:p>
      </dgm:t>
    </dgm:pt>
    <dgm:pt modelId="{7D130B18-FDA2-4CE1-BC17-149EA96C2670}" type="sibTrans" cxnId="{750D5214-52BE-4114-A670-20A303477E93}">
      <dgm:prSet/>
      <dgm:spPr/>
      <dgm:t>
        <a:bodyPr/>
        <a:lstStyle/>
        <a:p>
          <a:endParaRPr lang="en-GB"/>
        </a:p>
      </dgm:t>
    </dgm:pt>
    <dgm:pt modelId="{48C3380B-A079-4EDE-B16E-E535B41EFBCD}">
      <dgm:prSet phldrT="[Text]"/>
      <dgm:spPr/>
      <dgm:t>
        <a:bodyPr/>
        <a:lstStyle/>
        <a:p>
          <a:r>
            <a:rPr lang="en-GB"/>
            <a:t>Oct 2021</a:t>
          </a:r>
        </a:p>
      </dgm:t>
    </dgm:pt>
    <dgm:pt modelId="{0D41C8D2-B375-45B3-867C-4C0AE209A5AD}" type="parTrans" cxnId="{9AA0F8B9-B20E-47D2-8ABF-7A665BE614B2}">
      <dgm:prSet/>
      <dgm:spPr/>
      <dgm:t>
        <a:bodyPr/>
        <a:lstStyle/>
        <a:p>
          <a:endParaRPr lang="en-GB"/>
        </a:p>
      </dgm:t>
    </dgm:pt>
    <dgm:pt modelId="{1473AE63-0DC8-4502-8F3C-9B83A41D32B1}" type="sibTrans" cxnId="{9AA0F8B9-B20E-47D2-8ABF-7A665BE614B2}">
      <dgm:prSet/>
      <dgm:spPr/>
      <dgm:t>
        <a:bodyPr/>
        <a:lstStyle/>
        <a:p>
          <a:endParaRPr lang="en-GB"/>
        </a:p>
      </dgm:t>
    </dgm:pt>
    <dgm:pt modelId="{57509329-F722-4DD0-96FA-BD4C3B6275D9}">
      <dgm:prSet phldrT="[Text]"/>
      <dgm:spPr/>
      <dgm:t>
        <a:bodyPr/>
        <a:lstStyle/>
        <a:p>
          <a:r>
            <a:rPr lang="en-GB"/>
            <a:t>Nov 2021</a:t>
          </a:r>
        </a:p>
      </dgm:t>
    </dgm:pt>
    <dgm:pt modelId="{A586400F-D103-4057-B1AD-999F12FC6658}" type="parTrans" cxnId="{A39A2DDB-22E1-425B-9943-76F50A553581}">
      <dgm:prSet/>
      <dgm:spPr/>
      <dgm:t>
        <a:bodyPr/>
        <a:lstStyle/>
        <a:p>
          <a:endParaRPr lang="en-GB"/>
        </a:p>
      </dgm:t>
    </dgm:pt>
    <dgm:pt modelId="{654F28E9-36AC-4AC0-AAAB-F01EF4B7F73A}" type="sibTrans" cxnId="{A39A2DDB-22E1-425B-9943-76F50A553581}">
      <dgm:prSet/>
      <dgm:spPr/>
      <dgm:t>
        <a:bodyPr/>
        <a:lstStyle/>
        <a:p>
          <a:endParaRPr lang="en-GB"/>
        </a:p>
      </dgm:t>
    </dgm:pt>
    <dgm:pt modelId="{BC9C46C6-EE05-40E5-8F5A-415A0A603914}" type="pres">
      <dgm:prSet presAssocID="{FB299E88-EB68-49BC-A5D5-6E601CB34E16}" presName="CompostProcess" presStyleCnt="0">
        <dgm:presLayoutVars>
          <dgm:dir/>
          <dgm:resizeHandles val="exact"/>
        </dgm:presLayoutVars>
      </dgm:prSet>
      <dgm:spPr/>
    </dgm:pt>
    <dgm:pt modelId="{B56B3B26-8B8F-4529-A79B-B860E4B2766A}" type="pres">
      <dgm:prSet presAssocID="{FB299E88-EB68-49BC-A5D5-6E601CB34E16}" presName="arrow" presStyleLbl="bgShp" presStyleIdx="0" presStyleCnt="1" custScaleX="112745"/>
      <dgm:spPr/>
    </dgm:pt>
    <dgm:pt modelId="{CA620D65-FA36-4C0F-92B8-613CDE428FE4}" type="pres">
      <dgm:prSet presAssocID="{FB299E88-EB68-49BC-A5D5-6E601CB34E16}" presName="linearProcess" presStyleCnt="0"/>
      <dgm:spPr/>
    </dgm:pt>
    <dgm:pt modelId="{5AD214AB-493A-4ECD-A77D-EC02C8A942EE}" type="pres">
      <dgm:prSet presAssocID="{2669F14A-AAC0-4139-A2F7-48110CBDAB41}" presName="textNode" presStyleLbl="node1" presStyleIdx="0" presStyleCnt="18">
        <dgm:presLayoutVars>
          <dgm:bulletEnabled val="1"/>
        </dgm:presLayoutVars>
      </dgm:prSet>
      <dgm:spPr/>
    </dgm:pt>
    <dgm:pt modelId="{EEC3D810-44BF-4B1A-9840-B280B58681E6}" type="pres">
      <dgm:prSet presAssocID="{0D16F4A0-7EE3-437B-A557-3CDF4AD9014B}" presName="sibTrans" presStyleCnt="0"/>
      <dgm:spPr/>
    </dgm:pt>
    <dgm:pt modelId="{2FEBD551-98C8-4D23-ACE9-D5A66F580131}" type="pres">
      <dgm:prSet presAssocID="{BF1F6FB4-5262-40F1-BD02-0CE298EF00A2}" presName="textNode" presStyleLbl="node1" presStyleIdx="1" presStyleCnt="18">
        <dgm:presLayoutVars>
          <dgm:bulletEnabled val="1"/>
        </dgm:presLayoutVars>
      </dgm:prSet>
      <dgm:spPr/>
    </dgm:pt>
    <dgm:pt modelId="{85795FFD-AB87-4082-B647-B1543088BA8E}" type="pres">
      <dgm:prSet presAssocID="{CD91119B-EB6E-4334-8C8C-EF8F3AF65097}" presName="sibTrans" presStyleCnt="0"/>
      <dgm:spPr/>
    </dgm:pt>
    <dgm:pt modelId="{915EA8F8-98D9-4414-A678-BCC3EAAEB4CB}" type="pres">
      <dgm:prSet presAssocID="{E5EA9358-84F0-45F3-ACDE-DD1502122F86}" presName="textNode" presStyleLbl="node1" presStyleIdx="2" presStyleCnt="18">
        <dgm:presLayoutVars>
          <dgm:bulletEnabled val="1"/>
        </dgm:presLayoutVars>
      </dgm:prSet>
      <dgm:spPr/>
    </dgm:pt>
    <dgm:pt modelId="{5BD7E662-8E34-4CC3-BB95-91888D15388A}" type="pres">
      <dgm:prSet presAssocID="{E2F4C2A6-ECA6-4FEA-A372-E05138FA9D27}" presName="sibTrans" presStyleCnt="0"/>
      <dgm:spPr/>
    </dgm:pt>
    <dgm:pt modelId="{9F870FAC-1F9F-4B18-B434-EA3B53550E66}" type="pres">
      <dgm:prSet presAssocID="{7032B226-CC90-430A-8EE9-D93EA8BB7C45}" presName="textNode" presStyleLbl="node1" presStyleIdx="3" presStyleCnt="18">
        <dgm:presLayoutVars>
          <dgm:bulletEnabled val="1"/>
        </dgm:presLayoutVars>
      </dgm:prSet>
      <dgm:spPr/>
    </dgm:pt>
    <dgm:pt modelId="{F6632B6B-0EC6-48CD-B56D-F9C06F8D53D2}" type="pres">
      <dgm:prSet presAssocID="{DAC57097-CBBC-46ED-9ED9-175087266C16}" presName="sibTrans" presStyleCnt="0"/>
      <dgm:spPr/>
    </dgm:pt>
    <dgm:pt modelId="{D1BDAA53-7A84-4BC8-996E-B72C21347A7D}" type="pres">
      <dgm:prSet presAssocID="{2B3A8EE9-C94C-405F-860C-6D3D119D875A}" presName="textNode" presStyleLbl="node1" presStyleIdx="4" presStyleCnt="18">
        <dgm:presLayoutVars>
          <dgm:bulletEnabled val="1"/>
        </dgm:presLayoutVars>
      </dgm:prSet>
      <dgm:spPr/>
    </dgm:pt>
    <dgm:pt modelId="{69921A88-C61A-4590-BE81-507E1799A240}" type="pres">
      <dgm:prSet presAssocID="{2FF33959-703E-4DA5-81DD-CCCB51202F43}" presName="sibTrans" presStyleCnt="0"/>
      <dgm:spPr/>
    </dgm:pt>
    <dgm:pt modelId="{5350EFFD-1764-4F7D-83D8-D37AD70DF7A2}" type="pres">
      <dgm:prSet presAssocID="{38BDEDF2-A547-44D1-8FB8-86F6112720FB}" presName="textNode" presStyleLbl="node1" presStyleIdx="5" presStyleCnt="18">
        <dgm:presLayoutVars>
          <dgm:bulletEnabled val="1"/>
        </dgm:presLayoutVars>
      </dgm:prSet>
      <dgm:spPr/>
    </dgm:pt>
    <dgm:pt modelId="{777A70A3-45BE-48F0-B475-074A9732B230}" type="pres">
      <dgm:prSet presAssocID="{D2E5DA4B-9518-419F-B85D-B357D2CA4F9A}" presName="sibTrans" presStyleCnt="0"/>
      <dgm:spPr/>
    </dgm:pt>
    <dgm:pt modelId="{5FF6CE1F-9CBF-40A6-A6B7-B1C065574A99}" type="pres">
      <dgm:prSet presAssocID="{7D7D3EB6-0A2E-4983-A1EF-41D43F87EC11}" presName="textNode" presStyleLbl="node1" presStyleIdx="6" presStyleCnt="18">
        <dgm:presLayoutVars>
          <dgm:bulletEnabled val="1"/>
        </dgm:presLayoutVars>
      </dgm:prSet>
      <dgm:spPr/>
    </dgm:pt>
    <dgm:pt modelId="{26422F52-2D31-48C0-814F-46C5E4A7F876}" type="pres">
      <dgm:prSet presAssocID="{6AC644CC-2AD5-42C0-B2D6-A2DFB9385D21}" presName="sibTrans" presStyleCnt="0"/>
      <dgm:spPr/>
    </dgm:pt>
    <dgm:pt modelId="{4DC90290-9CBC-49F0-AB72-5D005C674C60}" type="pres">
      <dgm:prSet presAssocID="{134B4542-400E-4C07-A1BE-A7282EAB0BD6}" presName="textNode" presStyleLbl="node1" presStyleIdx="7" presStyleCnt="18">
        <dgm:presLayoutVars>
          <dgm:bulletEnabled val="1"/>
        </dgm:presLayoutVars>
      </dgm:prSet>
      <dgm:spPr/>
    </dgm:pt>
    <dgm:pt modelId="{22CAC7A9-48D0-444E-BB7F-6D1680A62B90}" type="pres">
      <dgm:prSet presAssocID="{70AD709E-A258-44E0-8670-0D46DB1A7A4B}" presName="sibTrans" presStyleCnt="0"/>
      <dgm:spPr/>
    </dgm:pt>
    <dgm:pt modelId="{9CE683B6-05C5-4ACB-838A-D8AF5CB53F51}" type="pres">
      <dgm:prSet presAssocID="{4ACDABF7-78B7-4E7C-AADC-F266544A0C36}" presName="textNode" presStyleLbl="node1" presStyleIdx="8" presStyleCnt="18">
        <dgm:presLayoutVars>
          <dgm:bulletEnabled val="1"/>
        </dgm:presLayoutVars>
      </dgm:prSet>
      <dgm:spPr/>
    </dgm:pt>
    <dgm:pt modelId="{3CEA50F2-693D-40DD-8FF3-8C1BA9ACCDED}" type="pres">
      <dgm:prSet presAssocID="{CD2CAB81-EA10-475E-9AF9-CD9C89EEBA50}" presName="sibTrans" presStyleCnt="0"/>
      <dgm:spPr/>
    </dgm:pt>
    <dgm:pt modelId="{3ABAB1B1-48AC-44F9-B504-BC963439E144}" type="pres">
      <dgm:prSet presAssocID="{86D73DC5-56D7-4CBC-9C61-E3458674271B}" presName="textNode" presStyleLbl="node1" presStyleIdx="9" presStyleCnt="18">
        <dgm:presLayoutVars>
          <dgm:bulletEnabled val="1"/>
        </dgm:presLayoutVars>
      </dgm:prSet>
      <dgm:spPr/>
    </dgm:pt>
    <dgm:pt modelId="{3AC25967-17F3-45F4-9B2B-13D63664A078}" type="pres">
      <dgm:prSet presAssocID="{072F3856-6F52-4AB1-81BF-A9CE6C1280F8}" presName="sibTrans" presStyleCnt="0"/>
      <dgm:spPr/>
    </dgm:pt>
    <dgm:pt modelId="{6467FBA5-B212-46F0-990D-1DBBF3F8C6C8}" type="pres">
      <dgm:prSet presAssocID="{F592AA3F-854E-450D-9249-0DEF46FC2922}" presName="textNode" presStyleLbl="node1" presStyleIdx="10" presStyleCnt="18">
        <dgm:presLayoutVars>
          <dgm:bulletEnabled val="1"/>
        </dgm:presLayoutVars>
      </dgm:prSet>
      <dgm:spPr/>
    </dgm:pt>
    <dgm:pt modelId="{B45F5EEE-98FA-4F08-8672-8B190688A58B}" type="pres">
      <dgm:prSet presAssocID="{FCC919BC-BBCA-44F4-8569-DCC65A43A18B}" presName="sibTrans" presStyleCnt="0"/>
      <dgm:spPr/>
    </dgm:pt>
    <dgm:pt modelId="{5EA05493-E326-4620-AA4A-F43419C2EF54}" type="pres">
      <dgm:prSet presAssocID="{B3534622-CAE8-40E1-85E6-0B31595EDCFF}" presName="textNode" presStyleLbl="node1" presStyleIdx="11" presStyleCnt="18">
        <dgm:presLayoutVars>
          <dgm:bulletEnabled val="1"/>
        </dgm:presLayoutVars>
      </dgm:prSet>
      <dgm:spPr/>
    </dgm:pt>
    <dgm:pt modelId="{9ED2889A-3673-4BCE-BD34-34A29659096F}" type="pres">
      <dgm:prSet presAssocID="{9FCD28AE-C60E-46FA-A09F-57B51DFA46F8}" presName="sibTrans" presStyleCnt="0"/>
      <dgm:spPr/>
    </dgm:pt>
    <dgm:pt modelId="{870A82AE-95E9-4231-8995-9EE179CA4712}" type="pres">
      <dgm:prSet presAssocID="{C72D45BB-9273-471D-9AD7-C436C47893F7}" presName="textNode" presStyleLbl="node1" presStyleIdx="12" presStyleCnt="18">
        <dgm:presLayoutVars>
          <dgm:bulletEnabled val="1"/>
        </dgm:presLayoutVars>
      </dgm:prSet>
      <dgm:spPr/>
    </dgm:pt>
    <dgm:pt modelId="{F66F8EDD-8A20-4FFF-B008-192D664C33A6}" type="pres">
      <dgm:prSet presAssocID="{F16361D8-BD88-4975-A45D-207FF6F8A207}" presName="sibTrans" presStyleCnt="0"/>
      <dgm:spPr/>
    </dgm:pt>
    <dgm:pt modelId="{487269F4-BAED-45E6-AFC5-A8C5A84C1DF3}" type="pres">
      <dgm:prSet presAssocID="{00B2A4A6-ABA8-4D5F-A894-324F50D4A0C2}" presName="textNode" presStyleLbl="node1" presStyleIdx="13" presStyleCnt="18">
        <dgm:presLayoutVars>
          <dgm:bulletEnabled val="1"/>
        </dgm:presLayoutVars>
      </dgm:prSet>
      <dgm:spPr/>
    </dgm:pt>
    <dgm:pt modelId="{B8B57A6C-87B1-4E70-8535-81892188FC78}" type="pres">
      <dgm:prSet presAssocID="{F92A8092-389D-4720-B038-532D4C084CC0}" presName="sibTrans" presStyleCnt="0"/>
      <dgm:spPr/>
    </dgm:pt>
    <dgm:pt modelId="{BD086BE4-27F5-440B-B0EB-F74B438C1A4D}" type="pres">
      <dgm:prSet presAssocID="{EAB1B27A-2688-4890-A7A6-E60D2DEBC431}" presName="textNode" presStyleLbl="node1" presStyleIdx="14" presStyleCnt="18">
        <dgm:presLayoutVars>
          <dgm:bulletEnabled val="1"/>
        </dgm:presLayoutVars>
      </dgm:prSet>
      <dgm:spPr/>
    </dgm:pt>
    <dgm:pt modelId="{58D87716-B5E8-4F0C-AECE-35B36606D355}" type="pres">
      <dgm:prSet presAssocID="{7D130B18-FDA2-4CE1-BC17-149EA96C2670}" presName="sibTrans" presStyleCnt="0"/>
      <dgm:spPr/>
    </dgm:pt>
    <dgm:pt modelId="{E436FCE5-A572-43D1-ACE7-79C9BB4D35B4}" type="pres">
      <dgm:prSet presAssocID="{48C3380B-A079-4EDE-B16E-E535B41EFBCD}" presName="textNode" presStyleLbl="node1" presStyleIdx="15" presStyleCnt="18">
        <dgm:presLayoutVars>
          <dgm:bulletEnabled val="1"/>
        </dgm:presLayoutVars>
      </dgm:prSet>
      <dgm:spPr/>
    </dgm:pt>
    <dgm:pt modelId="{825E4679-0097-4540-A160-19BDAE5C2295}" type="pres">
      <dgm:prSet presAssocID="{1473AE63-0DC8-4502-8F3C-9B83A41D32B1}" presName="sibTrans" presStyleCnt="0"/>
      <dgm:spPr/>
    </dgm:pt>
    <dgm:pt modelId="{8EF7B0A8-5F09-475F-8DB1-3B7ACD00E0F4}" type="pres">
      <dgm:prSet presAssocID="{57509329-F722-4DD0-96FA-BD4C3B6275D9}" presName="textNode" presStyleLbl="node1" presStyleIdx="16" presStyleCnt="18">
        <dgm:presLayoutVars>
          <dgm:bulletEnabled val="1"/>
        </dgm:presLayoutVars>
      </dgm:prSet>
      <dgm:spPr/>
    </dgm:pt>
    <dgm:pt modelId="{AEA88E07-C318-4A86-B77B-21592C753E8E}" type="pres">
      <dgm:prSet presAssocID="{654F28E9-36AC-4AC0-AAAB-F01EF4B7F73A}" presName="sibTrans" presStyleCnt="0"/>
      <dgm:spPr/>
    </dgm:pt>
    <dgm:pt modelId="{13053A6E-F875-448B-B89B-F5FE6BB30E9C}" type="pres">
      <dgm:prSet presAssocID="{0A6C4190-27F5-4134-B96D-CD4AB90F79B4}" presName="textNode" presStyleLbl="node1" presStyleIdx="17" presStyleCnt="18">
        <dgm:presLayoutVars>
          <dgm:bulletEnabled val="1"/>
        </dgm:presLayoutVars>
      </dgm:prSet>
      <dgm:spPr/>
    </dgm:pt>
  </dgm:ptLst>
  <dgm:cxnLst>
    <dgm:cxn modelId="{B341470D-BE7D-4AA7-A92A-7C21AFE6E25F}" type="presOf" srcId="{E5EA9358-84F0-45F3-ACDE-DD1502122F86}" destId="{915EA8F8-98D9-4414-A678-BCC3EAAEB4CB}" srcOrd="0" destOrd="0" presId="urn:microsoft.com/office/officeart/2005/8/layout/hProcess9"/>
    <dgm:cxn modelId="{750D5214-52BE-4114-A670-20A303477E93}" srcId="{FB299E88-EB68-49BC-A5D5-6E601CB34E16}" destId="{EAB1B27A-2688-4890-A7A6-E60D2DEBC431}" srcOrd="14" destOrd="0" parTransId="{0072B954-98A3-49FA-9CFC-1A03D842814E}" sibTransId="{7D130B18-FDA2-4CE1-BC17-149EA96C2670}"/>
    <dgm:cxn modelId="{E4299118-EB3A-4851-BAAB-3072FC685265}" srcId="{FB299E88-EB68-49BC-A5D5-6E601CB34E16}" destId="{2B3A8EE9-C94C-405F-860C-6D3D119D875A}" srcOrd="4" destOrd="0" parTransId="{31B0E444-FCD6-40B2-A948-A431E65F9A6C}" sibTransId="{2FF33959-703E-4DA5-81DD-CCCB51202F43}"/>
    <dgm:cxn modelId="{D4510B29-69FA-4654-A675-CA5269550C6E}" srcId="{FB299E88-EB68-49BC-A5D5-6E601CB34E16}" destId="{E5EA9358-84F0-45F3-ACDE-DD1502122F86}" srcOrd="2" destOrd="0" parTransId="{EEBDDD5A-1EF3-4601-8D8F-4D6BAD12F07E}" sibTransId="{E2F4C2A6-ECA6-4FEA-A372-E05138FA9D27}"/>
    <dgm:cxn modelId="{3E80DC2F-C071-46E0-9A59-2D5B5743A143}" srcId="{FB299E88-EB68-49BC-A5D5-6E601CB34E16}" destId="{C72D45BB-9273-471D-9AD7-C436C47893F7}" srcOrd="12" destOrd="0" parTransId="{00D6D19E-B3A0-42EE-9623-290B61BC6955}" sibTransId="{F16361D8-BD88-4975-A45D-207FF6F8A207}"/>
    <dgm:cxn modelId="{56A4E030-3D4D-4619-99C4-53DB9AB250BF}" srcId="{FB299E88-EB68-49BC-A5D5-6E601CB34E16}" destId="{BF1F6FB4-5262-40F1-BD02-0CE298EF00A2}" srcOrd="1" destOrd="0" parTransId="{88CAF913-4795-40E3-860B-7C2192DE4C0D}" sibTransId="{CD91119B-EB6E-4334-8C8C-EF8F3AF65097}"/>
    <dgm:cxn modelId="{363BAF34-AB04-42B5-B44B-83B6C3B5251D}" type="presOf" srcId="{134B4542-400E-4C07-A1BE-A7282EAB0BD6}" destId="{4DC90290-9CBC-49F0-AB72-5D005C674C60}" srcOrd="0" destOrd="0" presId="urn:microsoft.com/office/officeart/2005/8/layout/hProcess9"/>
    <dgm:cxn modelId="{6DB87C5B-FC2A-4831-90D4-00EBADEBF66A}" type="presOf" srcId="{38BDEDF2-A547-44D1-8FB8-86F6112720FB}" destId="{5350EFFD-1764-4F7D-83D8-D37AD70DF7A2}" srcOrd="0" destOrd="0" presId="urn:microsoft.com/office/officeart/2005/8/layout/hProcess9"/>
    <dgm:cxn modelId="{5B248067-37BD-44DE-B8DE-D047418BED4A}" srcId="{FB299E88-EB68-49BC-A5D5-6E601CB34E16}" destId="{00B2A4A6-ABA8-4D5F-A894-324F50D4A0C2}" srcOrd="13" destOrd="0" parTransId="{133828F7-73E2-4A61-A896-47FF86C823B3}" sibTransId="{F92A8092-389D-4720-B038-532D4C084CC0}"/>
    <dgm:cxn modelId="{31CE9869-516B-4B60-9A82-D45265D4CFEC}" type="presOf" srcId="{0A6C4190-27F5-4134-B96D-CD4AB90F79B4}" destId="{13053A6E-F875-448B-B89B-F5FE6BB30E9C}" srcOrd="0" destOrd="0" presId="urn:microsoft.com/office/officeart/2005/8/layout/hProcess9"/>
    <dgm:cxn modelId="{4447FB4D-3654-42AE-8B0C-D07D24ED0959}" type="presOf" srcId="{B3534622-CAE8-40E1-85E6-0B31595EDCFF}" destId="{5EA05493-E326-4620-AA4A-F43419C2EF54}" srcOrd="0" destOrd="0" presId="urn:microsoft.com/office/officeart/2005/8/layout/hProcess9"/>
    <dgm:cxn modelId="{104C4D70-A553-4397-AB69-C4450AAA7EDE}" srcId="{FB299E88-EB68-49BC-A5D5-6E601CB34E16}" destId="{7D7D3EB6-0A2E-4983-A1EF-41D43F87EC11}" srcOrd="6" destOrd="0" parTransId="{7C26F863-F7A5-4F30-B1C0-DC7CC8BB4BD2}" sibTransId="{6AC644CC-2AD5-42C0-B2D6-A2DFB9385D21}"/>
    <dgm:cxn modelId="{9BA76F70-9D05-452B-8CD4-2DBD3A72D5AE}" srcId="{FB299E88-EB68-49BC-A5D5-6E601CB34E16}" destId="{2669F14A-AAC0-4139-A2F7-48110CBDAB41}" srcOrd="0" destOrd="0" parTransId="{09CA4FC9-9DD4-45C1-ACB0-8BB68338E918}" sibTransId="{0D16F4A0-7EE3-437B-A557-3CDF4AD9014B}"/>
    <dgm:cxn modelId="{F5CE4555-57A2-40A0-85A2-7207E29FE5DD}" srcId="{FB299E88-EB68-49BC-A5D5-6E601CB34E16}" destId="{134B4542-400E-4C07-A1BE-A7282EAB0BD6}" srcOrd="7" destOrd="0" parTransId="{D262D2F6-798B-455D-88E7-BEFAD4CA083C}" sibTransId="{70AD709E-A258-44E0-8670-0D46DB1A7A4B}"/>
    <dgm:cxn modelId="{C3584A77-F024-47A2-AF43-7F8CDA070ADE}" type="presOf" srcId="{4ACDABF7-78B7-4E7C-AADC-F266544A0C36}" destId="{9CE683B6-05C5-4ACB-838A-D8AF5CB53F51}" srcOrd="0" destOrd="0" presId="urn:microsoft.com/office/officeart/2005/8/layout/hProcess9"/>
    <dgm:cxn modelId="{5887125A-622C-4A14-9B22-43EC8162FC25}" type="presOf" srcId="{C72D45BB-9273-471D-9AD7-C436C47893F7}" destId="{870A82AE-95E9-4231-8995-9EE179CA4712}" srcOrd="0" destOrd="0" presId="urn:microsoft.com/office/officeart/2005/8/layout/hProcess9"/>
    <dgm:cxn modelId="{6F61185A-BD48-4403-A74F-066CEFDE61F3}" type="presOf" srcId="{48C3380B-A079-4EDE-B16E-E535B41EFBCD}" destId="{E436FCE5-A572-43D1-ACE7-79C9BB4D35B4}" srcOrd="0" destOrd="0" presId="urn:microsoft.com/office/officeart/2005/8/layout/hProcess9"/>
    <dgm:cxn modelId="{F89D197D-938B-46A2-B169-FEDF7F270B7C}" type="presOf" srcId="{7D7D3EB6-0A2E-4983-A1EF-41D43F87EC11}" destId="{5FF6CE1F-9CBF-40A6-A6B7-B1C065574A99}" srcOrd="0" destOrd="0" presId="urn:microsoft.com/office/officeart/2005/8/layout/hProcess9"/>
    <dgm:cxn modelId="{1BE4547F-119D-423D-8B7A-6628EE35875D}" type="presOf" srcId="{2B3A8EE9-C94C-405F-860C-6D3D119D875A}" destId="{D1BDAA53-7A84-4BC8-996E-B72C21347A7D}" srcOrd="0" destOrd="0" presId="urn:microsoft.com/office/officeart/2005/8/layout/hProcess9"/>
    <dgm:cxn modelId="{82554380-EFF4-43A6-A940-B12A28F6E760}" type="presOf" srcId="{57509329-F722-4DD0-96FA-BD4C3B6275D9}" destId="{8EF7B0A8-5F09-475F-8DB1-3B7ACD00E0F4}" srcOrd="0" destOrd="0" presId="urn:microsoft.com/office/officeart/2005/8/layout/hProcess9"/>
    <dgm:cxn modelId="{B5F0B883-7C9D-4CDC-B86B-E963F54CB37C}" type="presOf" srcId="{7032B226-CC90-430A-8EE9-D93EA8BB7C45}" destId="{9F870FAC-1F9F-4B18-B434-EA3B53550E66}" srcOrd="0" destOrd="0" presId="urn:microsoft.com/office/officeart/2005/8/layout/hProcess9"/>
    <dgm:cxn modelId="{EA7661A1-B918-4EB1-BB6A-E791C529CE6E}" srcId="{FB299E88-EB68-49BC-A5D5-6E601CB34E16}" destId="{0A6C4190-27F5-4134-B96D-CD4AB90F79B4}" srcOrd="17" destOrd="0" parTransId="{7AD6FEC2-330C-4B33-9B49-A78B145F91AB}" sibTransId="{1AC5E539-E14F-4C5F-B696-6B352D4F731E}"/>
    <dgm:cxn modelId="{10BA95A6-64D1-4911-B7F5-47C0D8EDD338}" srcId="{FB299E88-EB68-49BC-A5D5-6E601CB34E16}" destId="{86D73DC5-56D7-4CBC-9C61-E3458674271B}" srcOrd="9" destOrd="0" parTransId="{3FF93D3E-D692-4D00-B8DA-1E97ACCCD5CE}" sibTransId="{072F3856-6F52-4AB1-81BF-A9CE6C1280F8}"/>
    <dgm:cxn modelId="{2896BBB0-DA6E-472E-8EC2-35FC8D359572}" type="presOf" srcId="{2669F14A-AAC0-4139-A2F7-48110CBDAB41}" destId="{5AD214AB-493A-4ECD-A77D-EC02C8A942EE}" srcOrd="0" destOrd="0" presId="urn:microsoft.com/office/officeart/2005/8/layout/hProcess9"/>
    <dgm:cxn modelId="{8B7133B9-D1AA-4152-A45E-194F61F1CCE0}" type="presOf" srcId="{BF1F6FB4-5262-40F1-BD02-0CE298EF00A2}" destId="{2FEBD551-98C8-4D23-ACE9-D5A66F580131}" srcOrd="0" destOrd="0" presId="urn:microsoft.com/office/officeart/2005/8/layout/hProcess9"/>
    <dgm:cxn modelId="{9AA0F8B9-B20E-47D2-8ABF-7A665BE614B2}" srcId="{FB299E88-EB68-49BC-A5D5-6E601CB34E16}" destId="{48C3380B-A079-4EDE-B16E-E535B41EFBCD}" srcOrd="15" destOrd="0" parTransId="{0D41C8D2-B375-45B3-867C-4C0AE209A5AD}" sibTransId="{1473AE63-0DC8-4502-8F3C-9B83A41D32B1}"/>
    <dgm:cxn modelId="{D97A55C1-80D0-454E-998D-E10629AF1666}" type="presOf" srcId="{FB299E88-EB68-49BC-A5D5-6E601CB34E16}" destId="{BC9C46C6-EE05-40E5-8F5A-415A0A603914}" srcOrd="0" destOrd="0" presId="urn:microsoft.com/office/officeart/2005/8/layout/hProcess9"/>
    <dgm:cxn modelId="{F09FE6C5-B2ED-44C3-957C-34E7EEA42FE9}" type="presOf" srcId="{F592AA3F-854E-450D-9249-0DEF46FC2922}" destId="{6467FBA5-B212-46F0-990D-1DBBF3F8C6C8}" srcOrd="0" destOrd="0" presId="urn:microsoft.com/office/officeart/2005/8/layout/hProcess9"/>
    <dgm:cxn modelId="{06A992C9-658B-44E3-A26B-02A0C252EA43}" type="presOf" srcId="{00B2A4A6-ABA8-4D5F-A894-324F50D4A0C2}" destId="{487269F4-BAED-45E6-AFC5-A8C5A84C1DF3}" srcOrd="0" destOrd="0" presId="urn:microsoft.com/office/officeart/2005/8/layout/hProcess9"/>
    <dgm:cxn modelId="{18A537D2-AA6C-4D53-9AFE-147EAFF4B72B}" srcId="{FB299E88-EB68-49BC-A5D5-6E601CB34E16}" destId="{38BDEDF2-A547-44D1-8FB8-86F6112720FB}" srcOrd="5" destOrd="0" parTransId="{B4DF70AC-6CF3-43D6-8F0E-A92B6416A573}" sibTransId="{D2E5DA4B-9518-419F-B85D-B357D2CA4F9A}"/>
    <dgm:cxn modelId="{A39A2DDB-22E1-425B-9943-76F50A553581}" srcId="{FB299E88-EB68-49BC-A5D5-6E601CB34E16}" destId="{57509329-F722-4DD0-96FA-BD4C3B6275D9}" srcOrd="16" destOrd="0" parTransId="{A586400F-D103-4057-B1AD-999F12FC6658}" sibTransId="{654F28E9-36AC-4AC0-AAAB-F01EF4B7F73A}"/>
    <dgm:cxn modelId="{362330E7-81C4-4AF7-AB14-BD3B46A87E2C}" type="presOf" srcId="{EAB1B27A-2688-4890-A7A6-E60D2DEBC431}" destId="{BD086BE4-27F5-440B-B0EB-F74B438C1A4D}" srcOrd="0" destOrd="0" presId="urn:microsoft.com/office/officeart/2005/8/layout/hProcess9"/>
    <dgm:cxn modelId="{AF9ED4E8-4F5A-46D1-9A39-EE5534BCC06D}" srcId="{FB299E88-EB68-49BC-A5D5-6E601CB34E16}" destId="{7032B226-CC90-430A-8EE9-D93EA8BB7C45}" srcOrd="3" destOrd="0" parTransId="{E004CBD2-EA7F-48A3-A847-32D9DA2028A2}" sibTransId="{DAC57097-CBBC-46ED-9ED9-175087266C16}"/>
    <dgm:cxn modelId="{9949D9E8-2901-4AC6-AEBF-759CEE4E3E63}" srcId="{FB299E88-EB68-49BC-A5D5-6E601CB34E16}" destId="{4ACDABF7-78B7-4E7C-AADC-F266544A0C36}" srcOrd="8" destOrd="0" parTransId="{7AB95A6E-86F6-4773-8512-EA8941A0AFAF}" sibTransId="{CD2CAB81-EA10-475E-9AF9-CD9C89EEBA50}"/>
    <dgm:cxn modelId="{527B4CED-4AC5-48AC-A2FC-7429AECDA720}" type="presOf" srcId="{86D73DC5-56D7-4CBC-9C61-E3458674271B}" destId="{3ABAB1B1-48AC-44F9-B504-BC963439E144}" srcOrd="0" destOrd="0" presId="urn:microsoft.com/office/officeart/2005/8/layout/hProcess9"/>
    <dgm:cxn modelId="{29C477FA-D42A-4C52-95E8-BA9232295580}" srcId="{FB299E88-EB68-49BC-A5D5-6E601CB34E16}" destId="{B3534622-CAE8-40E1-85E6-0B31595EDCFF}" srcOrd="11" destOrd="0" parTransId="{BC952842-C7B5-4E8A-A847-D2BAB4E7BA52}" sibTransId="{9FCD28AE-C60E-46FA-A09F-57B51DFA46F8}"/>
    <dgm:cxn modelId="{EB4283FC-10E6-424A-B231-80D1EA76154B}" srcId="{FB299E88-EB68-49BC-A5D5-6E601CB34E16}" destId="{F592AA3F-854E-450D-9249-0DEF46FC2922}" srcOrd="10" destOrd="0" parTransId="{AE891531-26D1-4618-A8F5-C683005C7B17}" sibTransId="{FCC919BC-BBCA-44F4-8569-DCC65A43A18B}"/>
    <dgm:cxn modelId="{047D6937-3235-4B44-857E-9191ADA5DCA6}" type="presParOf" srcId="{BC9C46C6-EE05-40E5-8F5A-415A0A603914}" destId="{B56B3B26-8B8F-4529-A79B-B860E4B2766A}" srcOrd="0" destOrd="0" presId="urn:microsoft.com/office/officeart/2005/8/layout/hProcess9"/>
    <dgm:cxn modelId="{6634970E-6B39-4960-9232-36542A0F998B}" type="presParOf" srcId="{BC9C46C6-EE05-40E5-8F5A-415A0A603914}" destId="{CA620D65-FA36-4C0F-92B8-613CDE428FE4}" srcOrd="1" destOrd="0" presId="urn:microsoft.com/office/officeart/2005/8/layout/hProcess9"/>
    <dgm:cxn modelId="{C94C37A7-82E2-4583-B2FF-37DE8A2E2CEB}" type="presParOf" srcId="{CA620D65-FA36-4C0F-92B8-613CDE428FE4}" destId="{5AD214AB-493A-4ECD-A77D-EC02C8A942EE}" srcOrd="0" destOrd="0" presId="urn:microsoft.com/office/officeart/2005/8/layout/hProcess9"/>
    <dgm:cxn modelId="{D745E690-7039-4008-B3B3-39F2E53BBD15}" type="presParOf" srcId="{CA620D65-FA36-4C0F-92B8-613CDE428FE4}" destId="{EEC3D810-44BF-4B1A-9840-B280B58681E6}" srcOrd="1" destOrd="0" presId="urn:microsoft.com/office/officeart/2005/8/layout/hProcess9"/>
    <dgm:cxn modelId="{30312C2A-9EBF-44B5-9E60-006B258E082D}" type="presParOf" srcId="{CA620D65-FA36-4C0F-92B8-613CDE428FE4}" destId="{2FEBD551-98C8-4D23-ACE9-D5A66F580131}" srcOrd="2" destOrd="0" presId="urn:microsoft.com/office/officeart/2005/8/layout/hProcess9"/>
    <dgm:cxn modelId="{A4BC56CC-6DB2-4C5F-9E03-DA8A2D547039}" type="presParOf" srcId="{CA620D65-FA36-4C0F-92B8-613CDE428FE4}" destId="{85795FFD-AB87-4082-B647-B1543088BA8E}" srcOrd="3" destOrd="0" presId="urn:microsoft.com/office/officeart/2005/8/layout/hProcess9"/>
    <dgm:cxn modelId="{A2F0DA95-C68D-42C3-9EC0-9859BB3C3CC4}" type="presParOf" srcId="{CA620D65-FA36-4C0F-92B8-613CDE428FE4}" destId="{915EA8F8-98D9-4414-A678-BCC3EAAEB4CB}" srcOrd="4" destOrd="0" presId="urn:microsoft.com/office/officeart/2005/8/layout/hProcess9"/>
    <dgm:cxn modelId="{B692CF03-6813-4EFA-87F5-3851029810B7}" type="presParOf" srcId="{CA620D65-FA36-4C0F-92B8-613CDE428FE4}" destId="{5BD7E662-8E34-4CC3-BB95-91888D15388A}" srcOrd="5" destOrd="0" presId="urn:microsoft.com/office/officeart/2005/8/layout/hProcess9"/>
    <dgm:cxn modelId="{FBB1FBC5-79DF-4B02-9F1B-4673E2F0EF1C}" type="presParOf" srcId="{CA620D65-FA36-4C0F-92B8-613CDE428FE4}" destId="{9F870FAC-1F9F-4B18-B434-EA3B53550E66}" srcOrd="6" destOrd="0" presId="urn:microsoft.com/office/officeart/2005/8/layout/hProcess9"/>
    <dgm:cxn modelId="{D104CF4D-9438-4A81-842F-FBDEDAF9DB66}" type="presParOf" srcId="{CA620D65-FA36-4C0F-92B8-613CDE428FE4}" destId="{F6632B6B-0EC6-48CD-B56D-F9C06F8D53D2}" srcOrd="7" destOrd="0" presId="urn:microsoft.com/office/officeart/2005/8/layout/hProcess9"/>
    <dgm:cxn modelId="{18F02FC9-1EF8-4DEA-A53F-BE00D416B155}" type="presParOf" srcId="{CA620D65-FA36-4C0F-92B8-613CDE428FE4}" destId="{D1BDAA53-7A84-4BC8-996E-B72C21347A7D}" srcOrd="8" destOrd="0" presId="urn:microsoft.com/office/officeart/2005/8/layout/hProcess9"/>
    <dgm:cxn modelId="{EE0815B0-F1FF-4DC0-BE6D-CBA8BE970140}" type="presParOf" srcId="{CA620D65-FA36-4C0F-92B8-613CDE428FE4}" destId="{69921A88-C61A-4590-BE81-507E1799A240}" srcOrd="9" destOrd="0" presId="urn:microsoft.com/office/officeart/2005/8/layout/hProcess9"/>
    <dgm:cxn modelId="{56217853-1C59-4A0A-B966-0B262001DADE}" type="presParOf" srcId="{CA620D65-FA36-4C0F-92B8-613CDE428FE4}" destId="{5350EFFD-1764-4F7D-83D8-D37AD70DF7A2}" srcOrd="10" destOrd="0" presId="urn:microsoft.com/office/officeart/2005/8/layout/hProcess9"/>
    <dgm:cxn modelId="{3BCEDCE9-35CB-427C-95DA-422897128580}" type="presParOf" srcId="{CA620D65-FA36-4C0F-92B8-613CDE428FE4}" destId="{777A70A3-45BE-48F0-B475-074A9732B230}" srcOrd="11" destOrd="0" presId="urn:microsoft.com/office/officeart/2005/8/layout/hProcess9"/>
    <dgm:cxn modelId="{81189B54-A45F-45DB-978E-69D4428DEEDD}" type="presParOf" srcId="{CA620D65-FA36-4C0F-92B8-613CDE428FE4}" destId="{5FF6CE1F-9CBF-40A6-A6B7-B1C065574A99}" srcOrd="12" destOrd="0" presId="urn:microsoft.com/office/officeart/2005/8/layout/hProcess9"/>
    <dgm:cxn modelId="{C42166C8-D017-4AF3-9787-C0F3D8B2BCE0}" type="presParOf" srcId="{CA620D65-FA36-4C0F-92B8-613CDE428FE4}" destId="{26422F52-2D31-48C0-814F-46C5E4A7F876}" srcOrd="13" destOrd="0" presId="urn:microsoft.com/office/officeart/2005/8/layout/hProcess9"/>
    <dgm:cxn modelId="{BC292CF1-2231-4CFA-9EC3-D20CDA818921}" type="presParOf" srcId="{CA620D65-FA36-4C0F-92B8-613CDE428FE4}" destId="{4DC90290-9CBC-49F0-AB72-5D005C674C60}" srcOrd="14" destOrd="0" presId="urn:microsoft.com/office/officeart/2005/8/layout/hProcess9"/>
    <dgm:cxn modelId="{2FC097AB-BEC6-433A-922F-4AEE4C3E6EB8}" type="presParOf" srcId="{CA620D65-FA36-4C0F-92B8-613CDE428FE4}" destId="{22CAC7A9-48D0-444E-BB7F-6D1680A62B90}" srcOrd="15" destOrd="0" presId="urn:microsoft.com/office/officeart/2005/8/layout/hProcess9"/>
    <dgm:cxn modelId="{BEFC3B6C-1E68-4DA1-BC07-FA434C462C91}" type="presParOf" srcId="{CA620D65-FA36-4C0F-92B8-613CDE428FE4}" destId="{9CE683B6-05C5-4ACB-838A-D8AF5CB53F51}" srcOrd="16" destOrd="0" presId="urn:microsoft.com/office/officeart/2005/8/layout/hProcess9"/>
    <dgm:cxn modelId="{F55D091E-F8D3-4D53-9FEE-4B10AE1D971D}" type="presParOf" srcId="{CA620D65-FA36-4C0F-92B8-613CDE428FE4}" destId="{3CEA50F2-693D-40DD-8FF3-8C1BA9ACCDED}" srcOrd="17" destOrd="0" presId="urn:microsoft.com/office/officeart/2005/8/layout/hProcess9"/>
    <dgm:cxn modelId="{9FE5D8E7-D824-4CB6-A96B-14975B40DFC8}" type="presParOf" srcId="{CA620D65-FA36-4C0F-92B8-613CDE428FE4}" destId="{3ABAB1B1-48AC-44F9-B504-BC963439E144}" srcOrd="18" destOrd="0" presId="urn:microsoft.com/office/officeart/2005/8/layout/hProcess9"/>
    <dgm:cxn modelId="{D9216FE1-18DF-4C35-BAB9-EDDA8A6F7E6C}" type="presParOf" srcId="{CA620D65-FA36-4C0F-92B8-613CDE428FE4}" destId="{3AC25967-17F3-45F4-9B2B-13D63664A078}" srcOrd="19" destOrd="0" presId="urn:microsoft.com/office/officeart/2005/8/layout/hProcess9"/>
    <dgm:cxn modelId="{7732983D-89DA-46EE-92B5-58C36C514222}" type="presParOf" srcId="{CA620D65-FA36-4C0F-92B8-613CDE428FE4}" destId="{6467FBA5-B212-46F0-990D-1DBBF3F8C6C8}" srcOrd="20" destOrd="0" presId="urn:microsoft.com/office/officeart/2005/8/layout/hProcess9"/>
    <dgm:cxn modelId="{EF307301-3411-43B6-9050-AE4564470FB3}" type="presParOf" srcId="{CA620D65-FA36-4C0F-92B8-613CDE428FE4}" destId="{B45F5EEE-98FA-4F08-8672-8B190688A58B}" srcOrd="21" destOrd="0" presId="urn:microsoft.com/office/officeart/2005/8/layout/hProcess9"/>
    <dgm:cxn modelId="{46E366B9-E6D2-4B5C-946B-62784C648477}" type="presParOf" srcId="{CA620D65-FA36-4C0F-92B8-613CDE428FE4}" destId="{5EA05493-E326-4620-AA4A-F43419C2EF54}" srcOrd="22" destOrd="0" presId="urn:microsoft.com/office/officeart/2005/8/layout/hProcess9"/>
    <dgm:cxn modelId="{15BCC9A6-297B-4480-87E7-20E2E945042B}" type="presParOf" srcId="{CA620D65-FA36-4C0F-92B8-613CDE428FE4}" destId="{9ED2889A-3673-4BCE-BD34-34A29659096F}" srcOrd="23" destOrd="0" presId="urn:microsoft.com/office/officeart/2005/8/layout/hProcess9"/>
    <dgm:cxn modelId="{A1D78F55-447E-4EA2-8E91-D134D91B9483}" type="presParOf" srcId="{CA620D65-FA36-4C0F-92B8-613CDE428FE4}" destId="{870A82AE-95E9-4231-8995-9EE179CA4712}" srcOrd="24" destOrd="0" presId="urn:microsoft.com/office/officeart/2005/8/layout/hProcess9"/>
    <dgm:cxn modelId="{8AEC7F62-B7B8-4F9B-8707-EA82673C2AA0}" type="presParOf" srcId="{CA620D65-FA36-4C0F-92B8-613CDE428FE4}" destId="{F66F8EDD-8A20-4FFF-B008-192D664C33A6}" srcOrd="25" destOrd="0" presId="urn:microsoft.com/office/officeart/2005/8/layout/hProcess9"/>
    <dgm:cxn modelId="{4263B247-3EB5-493D-965E-E559B233C23C}" type="presParOf" srcId="{CA620D65-FA36-4C0F-92B8-613CDE428FE4}" destId="{487269F4-BAED-45E6-AFC5-A8C5A84C1DF3}" srcOrd="26" destOrd="0" presId="urn:microsoft.com/office/officeart/2005/8/layout/hProcess9"/>
    <dgm:cxn modelId="{994ACC92-8066-4C38-9FB3-91E8DE283D79}" type="presParOf" srcId="{CA620D65-FA36-4C0F-92B8-613CDE428FE4}" destId="{B8B57A6C-87B1-4E70-8535-81892188FC78}" srcOrd="27" destOrd="0" presId="urn:microsoft.com/office/officeart/2005/8/layout/hProcess9"/>
    <dgm:cxn modelId="{35C5FE02-DAEA-47F6-8C2E-8AA2DB7EFC8A}" type="presParOf" srcId="{CA620D65-FA36-4C0F-92B8-613CDE428FE4}" destId="{BD086BE4-27F5-440B-B0EB-F74B438C1A4D}" srcOrd="28" destOrd="0" presId="urn:microsoft.com/office/officeart/2005/8/layout/hProcess9"/>
    <dgm:cxn modelId="{61213B7A-3B95-47A5-A281-DBE2BC890345}" type="presParOf" srcId="{CA620D65-FA36-4C0F-92B8-613CDE428FE4}" destId="{58D87716-B5E8-4F0C-AECE-35B36606D355}" srcOrd="29" destOrd="0" presId="urn:microsoft.com/office/officeart/2005/8/layout/hProcess9"/>
    <dgm:cxn modelId="{99DC8826-DE7D-4B12-955E-0CC84110B0B7}" type="presParOf" srcId="{CA620D65-FA36-4C0F-92B8-613CDE428FE4}" destId="{E436FCE5-A572-43D1-ACE7-79C9BB4D35B4}" srcOrd="30" destOrd="0" presId="urn:microsoft.com/office/officeart/2005/8/layout/hProcess9"/>
    <dgm:cxn modelId="{FBB50051-BFB5-47FA-923E-F0ED66201358}" type="presParOf" srcId="{CA620D65-FA36-4C0F-92B8-613CDE428FE4}" destId="{825E4679-0097-4540-A160-19BDAE5C2295}" srcOrd="31" destOrd="0" presId="urn:microsoft.com/office/officeart/2005/8/layout/hProcess9"/>
    <dgm:cxn modelId="{27DB8BEA-D912-4BD8-B71B-4270FC39A618}" type="presParOf" srcId="{CA620D65-FA36-4C0F-92B8-613CDE428FE4}" destId="{8EF7B0A8-5F09-475F-8DB1-3B7ACD00E0F4}" srcOrd="32" destOrd="0" presId="urn:microsoft.com/office/officeart/2005/8/layout/hProcess9"/>
    <dgm:cxn modelId="{BC1DB1AA-1F51-4EBF-8A5B-B73593253A1D}" type="presParOf" srcId="{CA620D65-FA36-4C0F-92B8-613CDE428FE4}" destId="{AEA88E07-C318-4A86-B77B-21592C753E8E}" srcOrd="33" destOrd="0" presId="urn:microsoft.com/office/officeart/2005/8/layout/hProcess9"/>
    <dgm:cxn modelId="{D1D0C3CB-3445-4BC6-B10A-98A9A344EA5F}" type="presParOf" srcId="{CA620D65-FA36-4C0F-92B8-613CDE428FE4}" destId="{13053A6E-F875-448B-B89B-F5FE6BB30E9C}" srcOrd="34" destOrd="0" presId="urn:microsoft.com/office/officeart/2005/8/layout/hProcess9"/>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6B3B26-8B8F-4529-A79B-B860E4B2766A}">
      <dsp:nvSpPr>
        <dsp:cNvPr id="0" name=""/>
        <dsp:cNvSpPr/>
      </dsp:nvSpPr>
      <dsp:spPr>
        <a:xfrm>
          <a:off x="118469" y="0"/>
          <a:ext cx="5449485" cy="9144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AD214AB-493A-4ECD-A77D-EC02C8A942EE}">
      <dsp:nvSpPr>
        <dsp:cNvPr id="0" name=""/>
        <dsp:cNvSpPr/>
      </dsp:nvSpPr>
      <dsp:spPr>
        <a:xfrm>
          <a:off x="2255" y="274319"/>
          <a:ext cx="292060" cy="3657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Jul 2020</a:t>
          </a:r>
        </a:p>
      </dsp:txBody>
      <dsp:txXfrm>
        <a:off x="16512" y="288576"/>
        <a:ext cx="263546" cy="337246"/>
      </dsp:txXfrm>
    </dsp:sp>
    <dsp:sp modelId="{2FEBD551-98C8-4D23-ACE9-D5A66F580131}">
      <dsp:nvSpPr>
        <dsp:cNvPr id="0" name=""/>
        <dsp:cNvSpPr/>
      </dsp:nvSpPr>
      <dsp:spPr>
        <a:xfrm>
          <a:off x="319306" y="274319"/>
          <a:ext cx="292060" cy="3657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Aug 2020</a:t>
          </a:r>
        </a:p>
      </dsp:txBody>
      <dsp:txXfrm>
        <a:off x="333563" y="288576"/>
        <a:ext cx="263546" cy="337246"/>
      </dsp:txXfrm>
    </dsp:sp>
    <dsp:sp modelId="{915EA8F8-98D9-4414-A678-BCC3EAAEB4CB}">
      <dsp:nvSpPr>
        <dsp:cNvPr id="0" name=""/>
        <dsp:cNvSpPr/>
      </dsp:nvSpPr>
      <dsp:spPr>
        <a:xfrm>
          <a:off x="636356" y="274319"/>
          <a:ext cx="292060" cy="3657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Sept 2020</a:t>
          </a:r>
        </a:p>
      </dsp:txBody>
      <dsp:txXfrm>
        <a:off x="650613" y="288576"/>
        <a:ext cx="263546" cy="337246"/>
      </dsp:txXfrm>
    </dsp:sp>
    <dsp:sp modelId="{9F870FAC-1F9F-4B18-B434-EA3B53550E66}">
      <dsp:nvSpPr>
        <dsp:cNvPr id="0" name=""/>
        <dsp:cNvSpPr/>
      </dsp:nvSpPr>
      <dsp:spPr>
        <a:xfrm>
          <a:off x="953406" y="274319"/>
          <a:ext cx="292060" cy="3657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Oct 2020</a:t>
          </a:r>
        </a:p>
      </dsp:txBody>
      <dsp:txXfrm>
        <a:off x="967663" y="288576"/>
        <a:ext cx="263546" cy="337246"/>
      </dsp:txXfrm>
    </dsp:sp>
    <dsp:sp modelId="{D1BDAA53-7A84-4BC8-996E-B72C21347A7D}">
      <dsp:nvSpPr>
        <dsp:cNvPr id="0" name=""/>
        <dsp:cNvSpPr/>
      </dsp:nvSpPr>
      <dsp:spPr>
        <a:xfrm>
          <a:off x="1270456" y="274319"/>
          <a:ext cx="292060" cy="3657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Nov 2020</a:t>
          </a:r>
        </a:p>
      </dsp:txBody>
      <dsp:txXfrm>
        <a:off x="1284713" y="288576"/>
        <a:ext cx="263546" cy="337246"/>
      </dsp:txXfrm>
    </dsp:sp>
    <dsp:sp modelId="{5350EFFD-1764-4F7D-83D8-D37AD70DF7A2}">
      <dsp:nvSpPr>
        <dsp:cNvPr id="0" name=""/>
        <dsp:cNvSpPr/>
      </dsp:nvSpPr>
      <dsp:spPr>
        <a:xfrm>
          <a:off x="1587506" y="274319"/>
          <a:ext cx="292060" cy="3657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Dec 2020</a:t>
          </a:r>
        </a:p>
      </dsp:txBody>
      <dsp:txXfrm>
        <a:off x="1601763" y="288576"/>
        <a:ext cx="263546" cy="337246"/>
      </dsp:txXfrm>
    </dsp:sp>
    <dsp:sp modelId="{5FF6CE1F-9CBF-40A6-A6B7-B1C065574A99}">
      <dsp:nvSpPr>
        <dsp:cNvPr id="0" name=""/>
        <dsp:cNvSpPr/>
      </dsp:nvSpPr>
      <dsp:spPr>
        <a:xfrm>
          <a:off x="1904556" y="274319"/>
          <a:ext cx="292060" cy="3657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Jan 2021</a:t>
          </a:r>
        </a:p>
      </dsp:txBody>
      <dsp:txXfrm>
        <a:off x="1918813" y="288576"/>
        <a:ext cx="263546" cy="337246"/>
      </dsp:txXfrm>
    </dsp:sp>
    <dsp:sp modelId="{4DC90290-9CBC-49F0-AB72-5D005C674C60}">
      <dsp:nvSpPr>
        <dsp:cNvPr id="0" name=""/>
        <dsp:cNvSpPr/>
      </dsp:nvSpPr>
      <dsp:spPr>
        <a:xfrm>
          <a:off x="2221606" y="274319"/>
          <a:ext cx="292060" cy="3657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Feb 2021</a:t>
          </a:r>
        </a:p>
      </dsp:txBody>
      <dsp:txXfrm>
        <a:off x="2235863" y="288576"/>
        <a:ext cx="263546" cy="337246"/>
      </dsp:txXfrm>
    </dsp:sp>
    <dsp:sp modelId="{9CE683B6-05C5-4ACB-838A-D8AF5CB53F51}">
      <dsp:nvSpPr>
        <dsp:cNvPr id="0" name=""/>
        <dsp:cNvSpPr/>
      </dsp:nvSpPr>
      <dsp:spPr>
        <a:xfrm>
          <a:off x="2538656" y="274319"/>
          <a:ext cx="292060" cy="3657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Mar 2021</a:t>
          </a:r>
        </a:p>
      </dsp:txBody>
      <dsp:txXfrm>
        <a:off x="2552913" y="288576"/>
        <a:ext cx="263546" cy="337246"/>
      </dsp:txXfrm>
    </dsp:sp>
    <dsp:sp modelId="{3ABAB1B1-48AC-44F9-B504-BC963439E144}">
      <dsp:nvSpPr>
        <dsp:cNvPr id="0" name=""/>
        <dsp:cNvSpPr/>
      </dsp:nvSpPr>
      <dsp:spPr>
        <a:xfrm>
          <a:off x="2855707" y="274319"/>
          <a:ext cx="292060" cy="3657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Apr 2021</a:t>
          </a:r>
        </a:p>
      </dsp:txBody>
      <dsp:txXfrm>
        <a:off x="2869964" y="288576"/>
        <a:ext cx="263546" cy="337246"/>
      </dsp:txXfrm>
    </dsp:sp>
    <dsp:sp modelId="{6467FBA5-B212-46F0-990D-1DBBF3F8C6C8}">
      <dsp:nvSpPr>
        <dsp:cNvPr id="0" name=""/>
        <dsp:cNvSpPr/>
      </dsp:nvSpPr>
      <dsp:spPr>
        <a:xfrm>
          <a:off x="3172757" y="274319"/>
          <a:ext cx="292060" cy="3657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May 2021</a:t>
          </a:r>
        </a:p>
      </dsp:txBody>
      <dsp:txXfrm>
        <a:off x="3187014" y="288576"/>
        <a:ext cx="263546" cy="337246"/>
      </dsp:txXfrm>
    </dsp:sp>
    <dsp:sp modelId="{5EA05493-E326-4620-AA4A-F43419C2EF54}">
      <dsp:nvSpPr>
        <dsp:cNvPr id="0" name=""/>
        <dsp:cNvSpPr/>
      </dsp:nvSpPr>
      <dsp:spPr>
        <a:xfrm>
          <a:off x="3489807" y="274319"/>
          <a:ext cx="292060" cy="3657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Jun 2021</a:t>
          </a:r>
        </a:p>
      </dsp:txBody>
      <dsp:txXfrm>
        <a:off x="3504064" y="288576"/>
        <a:ext cx="263546" cy="337246"/>
      </dsp:txXfrm>
    </dsp:sp>
    <dsp:sp modelId="{870A82AE-95E9-4231-8995-9EE179CA4712}">
      <dsp:nvSpPr>
        <dsp:cNvPr id="0" name=""/>
        <dsp:cNvSpPr/>
      </dsp:nvSpPr>
      <dsp:spPr>
        <a:xfrm>
          <a:off x="3806857" y="274319"/>
          <a:ext cx="292060" cy="3657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Jul 2021</a:t>
          </a:r>
        </a:p>
      </dsp:txBody>
      <dsp:txXfrm>
        <a:off x="3821114" y="288576"/>
        <a:ext cx="263546" cy="337246"/>
      </dsp:txXfrm>
    </dsp:sp>
    <dsp:sp modelId="{487269F4-BAED-45E6-AFC5-A8C5A84C1DF3}">
      <dsp:nvSpPr>
        <dsp:cNvPr id="0" name=""/>
        <dsp:cNvSpPr/>
      </dsp:nvSpPr>
      <dsp:spPr>
        <a:xfrm>
          <a:off x="4123907" y="274319"/>
          <a:ext cx="292060" cy="3657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Aug 2021</a:t>
          </a:r>
        </a:p>
      </dsp:txBody>
      <dsp:txXfrm>
        <a:off x="4138164" y="288576"/>
        <a:ext cx="263546" cy="337246"/>
      </dsp:txXfrm>
    </dsp:sp>
    <dsp:sp modelId="{BD086BE4-27F5-440B-B0EB-F74B438C1A4D}">
      <dsp:nvSpPr>
        <dsp:cNvPr id="0" name=""/>
        <dsp:cNvSpPr/>
      </dsp:nvSpPr>
      <dsp:spPr>
        <a:xfrm>
          <a:off x="4440957" y="274319"/>
          <a:ext cx="292060" cy="3657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Sept 2021</a:t>
          </a:r>
        </a:p>
      </dsp:txBody>
      <dsp:txXfrm>
        <a:off x="4455214" y="288576"/>
        <a:ext cx="263546" cy="337246"/>
      </dsp:txXfrm>
    </dsp:sp>
    <dsp:sp modelId="{E436FCE5-A572-43D1-ACE7-79C9BB4D35B4}">
      <dsp:nvSpPr>
        <dsp:cNvPr id="0" name=""/>
        <dsp:cNvSpPr/>
      </dsp:nvSpPr>
      <dsp:spPr>
        <a:xfrm>
          <a:off x="4758007" y="274319"/>
          <a:ext cx="292060" cy="3657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Oct 2021</a:t>
          </a:r>
        </a:p>
      </dsp:txBody>
      <dsp:txXfrm>
        <a:off x="4772264" y="288576"/>
        <a:ext cx="263546" cy="337246"/>
      </dsp:txXfrm>
    </dsp:sp>
    <dsp:sp modelId="{8EF7B0A8-5F09-475F-8DB1-3B7ACD00E0F4}">
      <dsp:nvSpPr>
        <dsp:cNvPr id="0" name=""/>
        <dsp:cNvSpPr/>
      </dsp:nvSpPr>
      <dsp:spPr>
        <a:xfrm>
          <a:off x="5075057" y="274319"/>
          <a:ext cx="292060" cy="3657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Nov 2021</a:t>
          </a:r>
        </a:p>
      </dsp:txBody>
      <dsp:txXfrm>
        <a:off x="5089314" y="288576"/>
        <a:ext cx="263546" cy="337246"/>
      </dsp:txXfrm>
    </dsp:sp>
    <dsp:sp modelId="{13053A6E-F875-448B-B89B-F5FE6BB30E9C}">
      <dsp:nvSpPr>
        <dsp:cNvPr id="0" name=""/>
        <dsp:cNvSpPr/>
      </dsp:nvSpPr>
      <dsp:spPr>
        <a:xfrm>
          <a:off x="5392108" y="274319"/>
          <a:ext cx="292060" cy="3657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Dec 2021</a:t>
          </a:r>
        </a:p>
      </dsp:txBody>
      <dsp:txXfrm>
        <a:off x="5406365" y="288576"/>
        <a:ext cx="263546" cy="33724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3058C510DC0EC04B89C7292E1DAEB953" ma:contentTypeVersion="19" ma:contentTypeDescription="Create a new document." ma:contentTypeScope="" ma:versionID="6b2eddabf2321cdc9c2969aa5b026ce8">
  <xsd:schema xmlns:xsd="http://www.w3.org/2001/XMLSchema" xmlns:xs="http://www.w3.org/2001/XMLSchema" xmlns:p="http://schemas.microsoft.com/office/2006/metadata/properties" xmlns:ns2="662745e8-e224-48e8-a2e3-254862b8c2f5" xmlns:ns3="b13ba871-742c-4918-997e-010f5a8d916a" xmlns:ns4="01f5ea41-7e48-4e68-91b3-675ca7359689" targetNamespace="http://schemas.microsoft.com/office/2006/metadata/properties" ma:root="true" ma:fieldsID="16072548037db94f73800a9d869742d0" ns2:_="" ns3:_="" ns4:_="">
    <xsd:import namespace="662745e8-e224-48e8-a2e3-254862b8c2f5"/>
    <xsd:import namespace="b13ba871-742c-4918-997e-010f5a8d916a"/>
    <xsd:import namespace="01f5ea41-7e48-4e68-91b3-675ca7359689"/>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1430912-0a6c-449f-b02c-9cd993c0bbb3}" ma:internalName="TaxCatchAll" ma:showField="CatchAllData" ma:web="01f5ea41-7e48-4e68-91b3-675ca73596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1430912-0a6c-449f-b02c-9cd993c0bbb3}" ma:internalName="TaxCatchAllLabel" ma:readOnly="true" ma:showField="CatchAllDataLabel" ma:web="01f5ea41-7e48-4e68-91b3-675ca7359689">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Marine" ma:internalName="Team">
      <xsd:simpleType>
        <xsd:restriction base="dms:Text"/>
      </xsd:simpleType>
    </xsd:element>
    <xsd:element name="Topic" ma:index="20" nillable="true" ma:displayName="Topic" ma:default="International_Blue_Finance"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3ba871-742c-4918-997e-010f5a8d916a"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LengthInSeconds" ma:index="3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f5ea41-7e48-4e68-91b3-675ca7359689"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axCatchAllLabel xmlns="662745e8-e224-48e8-a2e3-254862b8c2f5" xsi:nil="true"/>
    <Topic xmlns="662745e8-e224-48e8-a2e3-254862b8c2f5">ICF</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13</Value>
      <Value>10</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International</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lcf76f155ced4ddcb4097134ff3c332f xmlns="b13ba871-742c-4918-997e-010f5a8d916a">
      <Terms xmlns="http://schemas.microsoft.com/office/infopath/2007/PartnerControls"/>
    </lcf76f155ced4ddcb4097134ff3c332f>
    <SharedWithUsers xmlns="01f5ea41-7e48-4e68-91b3-675ca7359689">
      <UserInfo>
        <DisplayName/>
        <AccountId xsi:nil="true"/>
        <AccountType/>
      </UserInfo>
    </SharedWithUsers>
    <MediaLengthInSeconds xmlns="b13ba871-742c-4918-997e-010f5a8d916a" xsi:nil="true"/>
  </documentManagement>
</p:properties>
</file>

<file path=customXml/item3.xml><?xml version="1.0" encoding="utf-8"?>
<?mso-contentType ?>
<SharedContentType xmlns="Microsoft.SharePoint.Taxonomy.ContentTypeSync" SourceId="d1117845-93f6-4da3-abaa-fcb4fa669c78" ContentTypeId="0x010100A5BF1C78D9F64B679A5EBDE1C6598EBC01" PreviousValue="false" LastSyncTimeStamp="2018-07-26T16:29:50.71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5C249-64A7-4032-86ED-4590B0FE8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b13ba871-742c-4918-997e-010f5a8d916a"/>
    <ds:schemaRef ds:uri="01f5ea41-7e48-4e68-91b3-675ca735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580937-3BCB-4283-8BF5-9E0CC987F82D}">
  <ds:schemaRefs>
    <ds:schemaRef ds:uri="http://schemas.microsoft.com/office/2006/metadata/properties"/>
    <ds:schemaRef ds:uri="http://schemas.microsoft.com/office/infopath/2007/PartnerControls"/>
    <ds:schemaRef ds:uri="662745e8-e224-48e8-a2e3-254862b8c2f5"/>
    <ds:schemaRef ds:uri="b13ba871-742c-4918-997e-010f5a8d916a"/>
    <ds:schemaRef ds:uri="01f5ea41-7e48-4e68-91b3-675ca7359689"/>
  </ds:schemaRefs>
</ds:datastoreItem>
</file>

<file path=customXml/itemProps3.xml><?xml version="1.0" encoding="utf-8"?>
<ds:datastoreItem xmlns:ds="http://schemas.openxmlformats.org/officeDocument/2006/customXml" ds:itemID="{1E45E32B-7C63-4284-A845-73AD07AAEEC5}">
  <ds:schemaRefs>
    <ds:schemaRef ds:uri="Microsoft.SharePoint.Taxonomy.ContentTypeSync"/>
  </ds:schemaRefs>
</ds:datastoreItem>
</file>

<file path=customXml/itemProps4.xml><?xml version="1.0" encoding="utf-8"?>
<ds:datastoreItem xmlns:ds="http://schemas.openxmlformats.org/officeDocument/2006/customXml" ds:itemID="{233AED2A-36DD-440A-8FA0-089FDCB2AB53}">
  <ds:schemaRefs>
    <ds:schemaRef ds:uri="http://schemas.microsoft.com/sharepoint/v3/contenttype/forms"/>
  </ds:schemaRefs>
</ds:datastoreItem>
</file>

<file path=customXml/itemProps5.xml><?xml version="1.0" encoding="utf-8"?>
<ds:datastoreItem xmlns:ds="http://schemas.openxmlformats.org/officeDocument/2006/customXml" ds:itemID="{5D46CA71-D21D-4A75-A507-58FCFB82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13479</Words>
  <Characters>76831</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Alonso, Alvaro</dc:creator>
  <cp:keywords/>
  <dc:description/>
  <cp:lastModifiedBy>Hussain, Nowshin</cp:lastModifiedBy>
  <cp:revision>2</cp:revision>
  <cp:lastPrinted>2022-01-29T03:37:00Z</cp:lastPrinted>
  <dcterms:created xsi:type="dcterms:W3CDTF">2022-08-24T12:56:00Z</dcterms:created>
  <dcterms:modified xsi:type="dcterms:W3CDTF">2022-08-24T12:56:00Z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0x010100A5BF1C78D9F64B679A5EBDE1C6598EBC01003058C510DC0EC04B89C7292E1DAEB953</vt:lpwstr>
  </property>
  <property fmtid="{D5CDD505-2E9C-101B-9397-08002B2CF9AE}" pid="3" name="InformationType">
    <vt:lpwstr/>
  </property>
  <property fmtid="{D5CDD505-2E9C-101B-9397-08002B2CF9AE}" pid="4" name="Distribution">
    <vt:lpwstr>13;#Internal Defra Group|0867f7b3-e76e-40ca-bb1f-5ba341a49230</vt:lpwstr>
  </property>
  <property fmtid="{D5CDD505-2E9C-101B-9397-08002B2CF9AE}" pid="5" name="Directorate">
    <vt:lpwstr/>
  </property>
  <property fmtid="{D5CDD505-2E9C-101B-9397-08002B2CF9AE}" pid="6" name="HOCopyrightLevel">
    <vt:lpwstr>7;#Crown|69589897-2828-4761-976e-717fd8e631c9</vt:lpwstr>
  </property>
  <property fmtid="{D5CDD505-2E9C-101B-9397-08002B2CF9AE}" pid="7" name="SecurityClassification">
    <vt:lpwstr/>
  </property>
  <property fmtid="{D5CDD505-2E9C-101B-9397-08002B2CF9AE}" pid="8" name="HOGovernmentSecurityClassification">
    <vt:lpwstr>6;#Official|14c80daa-741b-422c-9722-f71693c9ede4</vt:lpwstr>
  </property>
  <property fmtid="{D5CDD505-2E9C-101B-9397-08002B2CF9AE}" pid="9" name="HOSiteType">
    <vt:lpwstr>10;#Team|ff0485df-0575-416f-802f-e999165821b7</vt:lpwstr>
  </property>
  <property fmtid="{D5CDD505-2E9C-101B-9397-08002B2CF9AE}" pid="10" name="OrganisationalUnit">
    <vt:lpwstr>8;#Core Defra|026223dd-2e56-4615-868d-7c5bfd566810</vt:lpwstr>
  </property>
  <property fmtid="{D5CDD505-2E9C-101B-9397-08002B2CF9AE}" pid="11" name="MediaServiceImageTags">
    <vt:lpwstr/>
  </property>
  <property fmtid="{D5CDD505-2E9C-101B-9397-08002B2CF9AE}" pid="12" name="lcf76f155ced4ddcb4097134ff3c332f">
    <vt:lpwstr/>
  </property>
  <property fmtid="{D5CDD505-2E9C-101B-9397-08002B2CF9AE}" pid="13" name="Order">
    <vt:r8>3452700</vt:r8>
  </property>
  <property fmtid="{D5CDD505-2E9C-101B-9397-08002B2CF9AE}" pid="14" name="HOFrom">
    <vt:lpwstr/>
  </property>
  <property fmtid="{D5CDD505-2E9C-101B-9397-08002B2CF9AE}" pid="15" name="xd_Signature">
    <vt:bool>false</vt:bool>
  </property>
  <property fmtid="{D5CDD505-2E9C-101B-9397-08002B2CF9AE}" pid="16" name="HOSubject">
    <vt:lpwstr/>
  </property>
  <property fmtid="{D5CDD505-2E9C-101B-9397-08002B2CF9AE}" pid="17" name="xd_ProgID">
    <vt:lpwstr/>
  </property>
  <property fmtid="{D5CDD505-2E9C-101B-9397-08002B2CF9AE}" pid="18" name="wic_System_Copyright">
    <vt:lpwstr/>
  </property>
  <property fmtid="{D5CDD505-2E9C-101B-9397-08002B2CF9AE}" pid="19" name="ComplianceAssetId">
    <vt:lpwstr/>
  </property>
  <property fmtid="{D5CDD505-2E9C-101B-9397-08002B2CF9AE}" pid="20" name="TemplateUrl">
    <vt:lpwstr/>
  </property>
  <property fmtid="{D5CDD505-2E9C-101B-9397-08002B2CF9AE}" pid="21" name="_ExtendedDescription">
    <vt:lpwstr/>
  </property>
  <property fmtid="{D5CDD505-2E9C-101B-9397-08002B2CF9AE}" pid="22" name="HOCC">
    <vt:lpwstr/>
  </property>
  <property fmtid="{D5CDD505-2E9C-101B-9397-08002B2CF9AE}" pid="23" name="vti_imgdate">
    <vt:lpwstr/>
  </property>
  <property fmtid="{D5CDD505-2E9C-101B-9397-08002B2CF9AE}" pid="24" name="TriggerFlowInfo">
    <vt:lpwstr/>
  </property>
  <property fmtid="{D5CDD505-2E9C-101B-9397-08002B2CF9AE}" pid="25" name="HOTo">
    <vt:lpwstr/>
  </property>
</Properties>
</file>