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0323" w14:textId="3AB0AE9A" w:rsidR="000004E0" w:rsidRDefault="006F6778" w:rsidP="000004E0">
      <w:pPr>
        <w:pStyle w:val="Normal1"/>
        <w:spacing w:after="120" w:line="276" w:lineRule="auto"/>
        <w:jc w:val="center"/>
        <w:rPr>
          <w:rStyle w:val="Strong"/>
        </w:rPr>
      </w:pPr>
      <w:r>
        <w:rPr>
          <w:rStyle w:val="Strong"/>
        </w:rPr>
        <w:t>E</w:t>
      </w:r>
      <w:r w:rsidRPr="000004E0">
        <w:rPr>
          <w:rStyle w:val="Strong"/>
        </w:rPr>
        <w:t>co. B</w:t>
      </w:r>
      <w:r>
        <w:rPr>
          <w:rStyle w:val="Strong"/>
        </w:rPr>
        <w:t>usiness</w:t>
      </w:r>
      <w:r w:rsidR="00066A36">
        <w:rPr>
          <w:rStyle w:val="Strong"/>
        </w:rPr>
        <w:t xml:space="preserve"> Fund Annual Review – 201</w:t>
      </w:r>
      <w:r w:rsidR="00F14376">
        <w:rPr>
          <w:rStyle w:val="Strong"/>
        </w:rPr>
        <w:t>9</w:t>
      </w:r>
      <w:r w:rsidR="000004E0" w:rsidRPr="000004E0">
        <w:rPr>
          <w:rStyle w:val="Strong"/>
        </w:rPr>
        <w:t xml:space="preserve"> Performance</w:t>
      </w:r>
    </w:p>
    <w:sdt>
      <w:sdtPr>
        <w:rPr>
          <w:rFonts w:ascii="Calibri" w:eastAsia="Times New Roman" w:hAnsi="Calibri" w:cs="Franklin Gothic Book"/>
          <w:color w:val="auto"/>
          <w:sz w:val="22"/>
          <w:szCs w:val="22"/>
          <w:shd w:val="clear" w:color="auto" w:fill="E6E6E6"/>
          <w:lang w:val="en-GB"/>
        </w:rPr>
        <w:id w:val="-1310625519"/>
        <w:docPartObj>
          <w:docPartGallery w:val="Table of Contents"/>
          <w:docPartUnique/>
        </w:docPartObj>
      </w:sdtPr>
      <w:sdtEndPr>
        <w:rPr>
          <w:b/>
          <w:bCs/>
          <w:noProof/>
        </w:rPr>
      </w:sdtEndPr>
      <w:sdtContent>
        <w:p w14:paraId="61140DD6" w14:textId="77777777" w:rsidR="000004E0" w:rsidRPr="000004E0" w:rsidRDefault="000004E0">
          <w:pPr>
            <w:pStyle w:val="TOCHeading"/>
            <w:rPr>
              <w:rFonts w:asciiTheme="minorHAnsi" w:hAnsiTheme="minorHAnsi"/>
              <w:b/>
              <w:color w:val="auto"/>
              <w:sz w:val="24"/>
            </w:rPr>
          </w:pPr>
          <w:r w:rsidRPr="000004E0">
            <w:rPr>
              <w:rFonts w:asciiTheme="minorHAnsi" w:hAnsiTheme="minorHAnsi"/>
              <w:b/>
              <w:color w:val="auto"/>
              <w:sz w:val="24"/>
            </w:rPr>
            <w:t>Contents</w:t>
          </w:r>
        </w:p>
        <w:p w14:paraId="19A56508" w14:textId="2E495A57" w:rsidR="00E60710" w:rsidRDefault="000004E0">
          <w:pPr>
            <w:pStyle w:val="TOC2"/>
            <w:tabs>
              <w:tab w:val="right" w:leader="dot" w:pos="9016"/>
            </w:tabs>
            <w:rPr>
              <w:rFonts w:asciiTheme="minorHAnsi" w:eastAsiaTheme="minorEastAsia" w:hAnsiTheme="minorHAnsi" w:cstheme="minorBidi"/>
              <w:noProof/>
              <w:lang w:eastAsia="en-GB"/>
            </w:rPr>
          </w:pPr>
          <w:r>
            <w:rPr>
              <w:b/>
              <w:bCs/>
              <w:noProof/>
              <w:color w:val="2B579A"/>
              <w:shd w:val="clear" w:color="auto" w:fill="E6E6E6"/>
            </w:rPr>
            <w:fldChar w:fldCharType="begin"/>
          </w:r>
          <w:r>
            <w:rPr>
              <w:b/>
              <w:bCs/>
              <w:noProof/>
            </w:rPr>
            <w:instrText xml:space="preserve"> TOC \o "1-3" \h \z \u </w:instrText>
          </w:r>
          <w:r>
            <w:rPr>
              <w:b/>
              <w:bCs/>
              <w:noProof/>
              <w:color w:val="2B579A"/>
              <w:shd w:val="clear" w:color="auto" w:fill="E6E6E6"/>
            </w:rPr>
            <w:fldChar w:fldCharType="separate"/>
          </w:r>
          <w:hyperlink w:anchor="_Toc51578509" w:history="1">
            <w:r w:rsidR="00E60710" w:rsidRPr="00377AF5">
              <w:rPr>
                <w:rStyle w:val="Hyperlink"/>
                <w:rFonts w:eastAsiaTheme="majorEastAsia"/>
                <w:noProof/>
              </w:rPr>
              <w:t>Eco. Business Fund Annual Review - Summary Sheet</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_Toc51578509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w:t>
            </w:r>
            <w:r w:rsidR="00E60710">
              <w:rPr>
                <w:noProof/>
                <w:webHidden/>
                <w:color w:val="2B579A"/>
                <w:shd w:val="clear" w:color="auto" w:fill="E6E6E6"/>
              </w:rPr>
              <w:fldChar w:fldCharType="end"/>
            </w:r>
          </w:hyperlink>
        </w:p>
        <w:p w14:paraId="79219D4C" w14:textId="2E41D906" w:rsidR="00E60710" w:rsidRDefault="004B3B94">
          <w:pPr>
            <w:pStyle w:val="TOC3"/>
            <w:tabs>
              <w:tab w:val="right" w:leader="dot" w:pos="9016"/>
            </w:tabs>
            <w:rPr>
              <w:noProof/>
            </w:rPr>
          </w:pPr>
          <w:hyperlink w:anchor="_Toc51578510" w:history="1">
            <w:r w:rsidR="00E60710" w:rsidRPr="00377AF5">
              <w:rPr>
                <w:rStyle w:val="Hyperlink"/>
                <w:rFonts w:eastAsiaTheme="majorEastAsia" w:cstheme="minorHAnsi"/>
                <w:b/>
                <w:noProof/>
              </w:rPr>
              <w:t>2018 Recommendations</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_Toc51578510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4</w:t>
            </w:r>
            <w:r w:rsidR="00E60710">
              <w:rPr>
                <w:noProof/>
                <w:webHidden/>
                <w:color w:val="2B579A"/>
                <w:shd w:val="clear" w:color="auto" w:fill="E6E6E6"/>
              </w:rPr>
              <w:fldChar w:fldCharType="end"/>
            </w:r>
          </w:hyperlink>
        </w:p>
        <w:p w14:paraId="199C720F" w14:textId="3FFE85C2" w:rsidR="00E60710" w:rsidRDefault="004B3B94">
          <w:pPr>
            <w:pStyle w:val="TOC3"/>
            <w:tabs>
              <w:tab w:val="right" w:leader="dot" w:pos="9016"/>
            </w:tabs>
            <w:rPr>
              <w:noProof/>
            </w:rPr>
          </w:pPr>
          <w:hyperlink w:anchor="_Toc51578511" w:history="1">
            <w:r w:rsidR="00E60710" w:rsidRPr="00377AF5">
              <w:rPr>
                <w:rStyle w:val="Hyperlink"/>
                <w:rFonts w:eastAsiaTheme="majorEastAsia"/>
                <w:b/>
                <w:noProof/>
              </w:rPr>
              <w:t xml:space="preserve">2019 </w:t>
            </w:r>
            <w:r w:rsidR="009C785E">
              <w:rPr>
                <w:rStyle w:val="Hyperlink"/>
                <w:rFonts w:eastAsiaTheme="majorEastAsia"/>
                <w:b/>
                <w:noProof/>
              </w:rPr>
              <w:t>R</w:t>
            </w:r>
            <w:r w:rsidR="00E60710" w:rsidRPr="00377AF5">
              <w:rPr>
                <w:rStyle w:val="Hyperlink"/>
                <w:rFonts w:eastAsiaTheme="majorEastAsia"/>
                <w:b/>
                <w:noProof/>
              </w:rPr>
              <w:t>ecommendations:</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_Toc51578511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5</w:t>
            </w:r>
            <w:r w:rsidR="00E60710">
              <w:rPr>
                <w:noProof/>
                <w:webHidden/>
                <w:color w:val="2B579A"/>
                <w:shd w:val="clear" w:color="auto" w:fill="E6E6E6"/>
              </w:rPr>
              <w:fldChar w:fldCharType="end"/>
            </w:r>
          </w:hyperlink>
        </w:p>
        <w:p w14:paraId="21D07042" w14:textId="4646307E" w:rsidR="00E60710" w:rsidRDefault="004B3B94">
          <w:pPr>
            <w:pStyle w:val="TOC3"/>
            <w:tabs>
              <w:tab w:val="right" w:leader="dot" w:pos="9016"/>
            </w:tabs>
            <w:rPr>
              <w:noProof/>
            </w:rPr>
          </w:pPr>
          <w:hyperlink w:anchor="_Toc51578512" w:history="1">
            <w:r w:rsidR="00E60710" w:rsidRPr="00377AF5">
              <w:rPr>
                <w:rStyle w:val="Hyperlink"/>
                <w:rFonts w:eastAsiaTheme="majorEastAsia"/>
                <w:b/>
                <w:noProof/>
              </w:rPr>
              <w:t>Summary of progress since January 2019</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_Toc51578512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5</w:t>
            </w:r>
            <w:r w:rsidR="00E60710">
              <w:rPr>
                <w:noProof/>
                <w:webHidden/>
                <w:color w:val="2B579A"/>
                <w:shd w:val="clear" w:color="auto" w:fill="E6E6E6"/>
              </w:rPr>
              <w:fldChar w:fldCharType="end"/>
            </w:r>
          </w:hyperlink>
        </w:p>
        <w:p w14:paraId="546F6067" w14:textId="43618A0A" w:rsidR="00E60710" w:rsidRDefault="004B3B94">
          <w:pPr>
            <w:pStyle w:val="TOC3"/>
            <w:tabs>
              <w:tab w:val="right" w:leader="dot" w:pos="9016"/>
            </w:tabs>
            <w:rPr>
              <w:noProof/>
            </w:rPr>
          </w:pPr>
          <w:hyperlink w:anchor="_Toc51578513" w:history="1">
            <w:r w:rsidR="00E60710" w:rsidRPr="00377AF5">
              <w:rPr>
                <w:rStyle w:val="Hyperlink"/>
                <w:rFonts w:eastAsiaTheme="majorEastAsia"/>
                <w:b/>
                <w:noProof/>
              </w:rPr>
              <w:t>Outcome level Summary</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_Toc51578513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6</w:t>
            </w:r>
            <w:r w:rsidR="00E60710">
              <w:rPr>
                <w:noProof/>
                <w:webHidden/>
                <w:color w:val="2B579A"/>
                <w:shd w:val="clear" w:color="auto" w:fill="E6E6E6"/>
              </w:rPr>
              <w:fldChar w:fldCharType="end"/>
            </w:r>
          </w:hyperlink>
        </w:p>
        <w:p w14:paraId="4FD233BF" w14:textId="355489F6" w:rsidR="00E60710" w:rsidRDefault="004B3B94">
          <w:pPr>
            <w:pStyle w:val="TOC3"/>
            <w:tabs>
              <w:tab w:val="right" w:leader="dot" w:pos="9016"/>
            </w:tabs>
            <w:rPr>
              <w:noProof/>
            </w:rPr>
          </w:pPr>
          <w:hyperlink w:anchor="_Toc51578514" w:history="1">
            <w:r w:rsidR="00E60710" w:rsidRPr="00377AF5">
              <w:rPr>
                <w:rStyle w:val="Hyperlink"/>
                <w:rFonts w:eastAsiaTheme="majorEastAsia"/>
                <w:b/>
                <w:noProof/>
              </w:rPr>
              <w:t>Output level Summary</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_Toc51578514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6</w:t>
            </w:r>
            <w:r w:rsidR="00E60710">
              <w:rPr>
                <w:noProof/>
                <w:webHidden/>
                <w:color w:val="2B579A"/>
                <w:shd w:val="clear" w:color="auto" w:fill="E6E6E6"/>
              </w:rPr>
              <w:fldChar w:fldCharType="end"/>
            </w:r>
          </w:hyperlink>
        </w:p>
        <w:p w14:paraId="4E18088B" w14:textId="493CB378" w:rsidR="00E60710" w:rsidRDefault="004B3B94">
          <w:pPr>
            <w:pStyle w:val="TOC2"/>
            <w:tabs>
              <w:tab w:val="right" w:leader="dot" w:pos="9016"/>
            </w:tabs>
            <w:rPr>
              <w:rFonts w:asciiTheme="minorHAnsi" w:eastAsiaTheme="minorEastAsia" w:hAnsiTheme="minorHAnsi" w:cstheme="minorBidi"/>
              <w:noProof/>
              <w:lang w:eastAsia="en-GB"/>
            </w:rPr>
          </w:pPr>
          <w:hyperlink w:anchor="_Toc51578515" w:history="1">
            <w:r w:rsidR="00E60710" w:rsidRPr="00377AF5">
              <w:rPr>
                <w:rStyle w:val="Hyperlink"/>
                <w:rFonts w:eastAsiaTheme="majorEastAsia"/>
                <w:noProof/>
              </w:rPr>
              <w:t>A: PERFORMANCE AND CONCLUSIONS</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_Toc51578515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7</w:t>
            </w:r>
            <w:r w:rsidR="00E60710">
              <w:rPr>
                <w:noProof/>
                <w:webHidden/>
                <w:color w:val="2B579A"/>
                <w:shd w:val="clear" w:color="auto" w:fill="E6E6E6"/>
              </w:rPr>
              <w:fldChar w:fldCharType="end"/>
            </w:r>
          </w:hyperlink>
        </w:p>
        <w:p w14:paraId="0B0C9464" w14:textId="21DAE697" w:rsidR="00E60710" w:rsidRDefault="004B3B94">
          <w:pPr>
            <w:pStyle w:val="TOC2"/>
            <w:tabs>
              <w:tab w:val="right" w:leader="dot" w:pos="9016"/>
            </w:tabs>
            <w:rPr>
              <w:rFonts w:asciiTheme="minorHAnsi" w:eastAsiaTheme="minorEastAsia" w:hAnsiTheme="minorHAnsi" w:cstheme="minorBidi"/>
              <w:noProof/>
              <w:lang w:eastAsia="en-GB"/>
            </w:rPr>
          </w:pPr>
          <w:hyperlink w:anchor="_Toc51578516" w:history="1">
            <w:r w:rsidR="00E60710" w:rsidRPr="00377AF5">
              <w:rPr>
                <w:rStyle w:val="Hyperlink"/>
                <w:rFonts w:eastAsiaTheme="majorEastAsia"/>
                <w:noProof/>
              </w:rPr>
              <w:t>B: DETAILED OUTPUT SCORING</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_Toc51578516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9</w:t>
            </w:r>
            <w:r w:rsidR="00E60710">
              <w:rPr>
                <w:noProof/>
                <w:webHidden/>
                <w:color w:val="2B579A"/>
                <w:shd w:val="clear" w:color="auto" w:fill="E6E6E6"/>
              </w:rPr>
              <w:fldChar w:fldCharType="end"/>
            </w:r>
          </w:hyperlink>
        </w:p>
        <w:p w14:paraId="7CA57646" w14:textId="4671A1E5" w:rsidR="00E60710" w:rsidRDefault="004B3B94">
          <w:pPr>
            <w:pStyle w:val="TOC2"/>
            <w:tabs>
              <w:tab w:val="right" w:leader="dot" w:pos="9016"/>
            </w:tabs>
            <w:rPr>
              <w:rFonts w:asciiTheme="minorHAnsi" w:eastAsiaTheme="minorEastAsia" w:hAnsiTheme="minorHAnsi" w:cstheme="minorBidi"/>
              <w:noProof/>
              <w:lang w:eastAsia="en-GB"/>
            </w:rPr>
          </w:pPr>
          <w:hyperlink w:anchor="_Toc51578517" w:history="1">
            <w:r w:rsidR="00E60710" w:rsidRPr="00377AF5">
              <w:rPr>
                <w:rStyle w:val="Hyperlink"/>
                <w:rFonts w:eastAsiaTheme="majorEastAsia"/>
                <w:noProof/>
              </w:rPr>
              <w:t>B: DETAILED OUTPUT SCORING</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_Toc51578517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10</w:t>
            </w:r>
            <w:r w:rsidR="00E60710">
              <w:rPr>
                <w:noProof/>
                <w:webHidden/>
                <w:color w:val="2B579A"/>
                <w:shd w:val="clear" w:color="auto" w:fill="E6E6E6"/>
              </w:rPr>
              <w:fldChar w:fldCharType="end"/>
            </w:r>
          </w:hyperlink>
        </w:p>
        <w:p w14:paraId="72B7533D" w14:textId="538DFA47" w:rsidR="00E60710" w:rsidRDefault="004B3B94">
          <w:pPr>
            <w:pStyle w:val="TOC2"/>
            <w:tabs>
              <w:tab w:val="right" w:leader="dot" w:pos="9016"/>
            </w:tabs>
            <w:rPr>
              <w:rFonts w:asciiTheme="minorHAnsi" w:eastAsiaTheme="minorEastAsia" w:hAnsiTheme="minorHAnsi" w:cstheme="minorBidi"/>
              <w:noProof/>
              <w:lang w:eastAsia="en-GB"/>
            </w:rPr>
          </w:pPr>
          <w:hyperlink w:anchor="_Toc51578518" w:history="1">
            <w:r w:rsidR="00E60710" w:rsidRPr="00377AF5">
              <w:rPr>
                <w:rStyle w:val="Hyperlink"/>
                <w:rFonts w:eastAsiaTheme="majorEastAsia"/>
                <w:noProof/>
              </w:rPr>
              <w:t>B: DETAILED OUTPUT SCORING</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_Toc51578518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13</w:t>
            </w:r>
            <w:r w:rsidR="00E60710">
              <w:rPr>
                <w:noProof/>
                <w:webHidden/>
                <w:color w:val="2B579A"/>
                <w:shd w:val="clear" w:color="auto" w:fill="E6E6E6"/>
              </w:rPr>
              <w:fldChar w:fldCharType="end"/>
            </w:r>
          </w:hyperlink>
        </w:p>
        <w:p w14:paraId="7E013614" w14:textId="169ABCC8" w:rsidR="00E60710" w:rsidRDefault="004B3B94">
          <w:pPr>
            <w:pStyle w:val="TOC2"/>
            <w:tabs>
              <w:tab w:val="right" w:leader="dot" w:pos="9016"/>
            </w:tabs>
            <w:rPr>
              <w:rFonts w:asciiTheme="minorHAnsi" w:eastAsiaTheme="minorEastAsia" w:hAnsiTheme="minorHAnsi" w:cstheme="minorBidi"/>
              <w:noProof/>
              <w:lang w:eastAsia="en-GB"/>
            </w:rPr>
          </w:pPr>
          <w:hyperlink w:anchor="_Toc51578519" w:history="1">
            <w:r w:rsidR="00E60710" w:rsidRPr="00377AF5">
              <w:rPr>
                <w:rStyle w:val="Hyperlink"/>
                <w:rFonts w:eastAsiaTheme="majorEastAsia"/>
                <w:noProof/>
              </w:rPr>
              <w:t>B: DETAILED OUTPUT SCORING</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_Toc51578519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15</w:t>
            </w:r>
            <w:r w:rsidR="00E60710">
              <w:rPr>
                <w:noProof/>
                <w:webHidden/>
                <w:color w:val="2B579A"/>
                <w:shd w:val="clear" w:color="auto" w:fill="E6E6E6"/>
              </w:rPr>
              <w:fldChar w:fldCharType="end"/>
            </w:r>
          </w:hyperlink>
        </w:p>
        <w:p w14:paraId="0F84A544" w14:textId="66D90B16" w:rsidR="00E60710" w:rsidRDefault="004B3B94">
          <w:pPr>
            <w:pStyle w:val="TOC2"/>
            <w:tabs>
              <w:tab w:val="right" w:leader="dot" w:pos="9016"/>
            </w:tabs>
            <w:rPr>
              <w:rFonts w:asciiTheme="minorHAnsi" w:eastAsiaTheme="minorEastAsia" w:hAnsiTheme="minorHAnsi" w:cstheme="minorBidi"/>
              <w:noProof/>
              <w:lang w:eastAsia="en-GB"/>
            </w:rPr>
          </w:pPr>
          <w:hyperlink w:anchor="_Toc51578520" w:history="1">
            <w:r w:rsidR="00E60710" w:rsidRPr="00377AF5">
              <w:rPr>
                <w:rStyle w:val="Hyperlink"/>
                <w:rFonts w:eastAsiaTheme="majorEastAsia"/>
                <w:noProof/>
              </w:rPr>
              <w:t>C: VALUE FOR MONEY (VfM) and FINANCIAL PERFORMANCE</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_Toc51578520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17</w:t>
            </w:r>
            <w:r w:rsidR="00E60710">
              <w:rPr>
                <w:noProof/>
                <w:webHidden/>
                <w:color w:val="2B579A"/>
                <w:shd w:val="clear" w:color="auto" w:fill="E6E6E6"/>
              </w:rPr>
              <w:fldChar w:fldCharType="end"/>
            </w:r>
          </w:hyperlink>
        </w:p>
        <w:p w14:paraId="6EC4C8E3" w14:textId="2CBC3DC8" w:rsidR="00E60710" w:rsidRDefault="004B3B94">
          <w:pPr>
            <w:pStyle w:val="TOC2"/>
            <w:tabs>
              <w:tab w:val="right" w:leader="dot" w:pos="9016"/>
            </w:tabs>
            <w:rPr>
              <w:rFonts w:asciiTheme="minorHAnsi" w:eastAsiaTheme="minorEastAsia" w:hAnsiTheme="minorHAnsi" w:cstheme="minorBidi"/>
              <w:noProof/>
              <w:lang w:eastAsia="en-GB"/>
            </w:rPr>
          </w:pPr>
          <w:hyperlink w:anchor="_Toc51578521" w:history="1">
            <w:r w:rsidR="00E60710" w:rsidRPr="00377AF5">
              <w:rPr>
                <w:rStyle w:val="Hyperlink"/>
                <w:rFonts w:eastAsiaTheme="majorEastAsia"/>
                <w:noProof/>
              </w:rPr>
              <w:t>D: RISK</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_Toc51578521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19</w:t>
            </w:r>
            <w:r w:rsidR="00E60710">
              <w:rPr>
                <w:noProof/>
                <w:webHidden/>
                <w:color w:val="2B579A"/>
                <w:shd w:val="clear" w:color="auto" w:fill="E6E6E6"/>
              </w:rPr>
              <w:fldChar w:fldCharType="end"/>
            </w:r>
          </w:hyperlink>
        </w:p>
        <w:p w14:paraId="0E5BAC98" w14:textId="3BF0EA8F" w:rsidR="00E60710" w:rsidRDefault="004B3B94">
          <w:pPr>
            <w:pStyle w:val="TOC2"/>
            <w:tabs>
              <w:tab w:val="right" w:leader="dot" w:pos="9016"/>
            </w:tabs>
            <w:rPr>
              <w:rFonts w:asciiTheme="minorHAnsi" w:eastAsiaTheme="minorEastAsia" w:hAnsiTheme="minorHAnsi" w:cstheme="minorBidi"/>
              <w:noProof/>
              <w:lang w:eastAsia="en-GB"/>
            </w:rPr>
          </w:pPr>
          <w:hyperlink w:anchor="_Toc51578522" w:history="1">
            <w:r w:rsidR="00E60710" w:rsidRPr="00377AF5">
              <w:rPr>
                <w:rStyle w:val="Hyperlink"/>
                <w:rFonts w:eastAsiaTheme="majorEastAsia"/>
                <w:noProof/>
              </w:rPr>
              <w:t>E: COMMERCIAL CONSIDERATIONS</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_Toc51578522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20</w:t>
            </w:r>
            <w:r w:rsidR="00E60710">
              <w:rPr>
                <w:noProof/>
                <w:webHidden/>
                <w:color w:val="2B579A"/>
                <w:shd w:val="clear" w:color="auto" w:fill="E6E6E6"/>
              </w:rPr>
              <w:fldChar w:fldCharType="end"/>
            </w:r>
          </w:hyperlink>
        </w:p>
        <w:p w14:paraId="6DF90E12" w14:textId="3A7E12EE" w:rsidR="00E60710" w:rsidRDefault="004B3B94">
          <w:pPr>
            <w:pStyle w:val="TOC2"/>
            <w:tabs>
              <w:tab w:val="right" w:leader="dot" w:pos="9016"/>
            </w:tabs>
            <w:rPr>
              <w:rFonts w:asciiTheme="minorHAnsi" w:eastAsiaTheme="minorEastAsia" w:hAnsiTheme="minorHAnsi" w:cstheme="minorBidi"/>
              <w:noProof/>
              <w:lang w:eastAsia="en-GB"/>
            </w:rPr>
          </w:pPr>
          <w:hyperlink w:anchor="_Toc51578523" w:history="1">
            <w:r w:rsidR="00E60710" w:rsidRPr="00377AF5">
              <w:rPr>
                <w:rStyle w:val="Hyperlink"/>
                <w:rFonts w:eastAsiaTheme="majorEastAsia"/>
                <w:noProof/>
              </w:rPr>
              <w:t>F: CONDITIONALITY</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_Toc51578523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20</w:t>
            </w:r>
            <w:r w:rsidR="00E60710">
              <w:rPr>
                <w:noProof/>
                <w:webHidden/>
                <w:color w:val="2B579A"/>
                <w:shd w:val="clear" w:color="auto" w:fill="E6E6E6"/>
              </w:rPr>
              <w:fldChar w:fldCharType="end"/>
            </w:r>
          </w:hyperlink>
        </w:p>
        <w:p w14:paraId="069DB3FD" w14:textId="74C31FAF" w:rsidR="00E60710" w:rsidRDefault="004B3B94">
          <w:pPr>
            <w:pStyle w:val="TOC2"/>
            <w:tabs>
              <w:tab w:val="right" w:leader="dot" w:pos="9016"/>
            </w:tabs>
            <w:rPr>
              <w:rFonts w:asciiTheme="minorHAnsi" w:eastAsiaTheme="minorEastAsia" w:hAnsiTheme="minorHAnsi" w:cstheme="minorBidi"/>
              <w:noProof/>
              <w:lang w:eastAsia="en-GB"/>
            </w:rPr>
          </w:pPr>
          <w:hyperlink w:anchor="_Toc51578524" w:history="1">
            <w:r w:rsidR="00E60710" w:rsidRPr="00377AF5">
              <w:rPr>
                <w:rStyle w:val="Hyperlink"/>
                <w:rFonts w:eastAsiaTheme="majorEastAsia"/>
                <w:noProof/>
              </w:rPr>
              <w:t>G: MONITORING &amp; EVALUATION</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_Toc51578524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20</w:t>
            </w:r>
            <w:r w:rsidR="00E60710">
              <w:rPr>
                <w:noProof/>
                <w:webHidden/>
                <w:color w:val="2B579A"/>
                <w:shd w:val="clear" w:color="auto" w:fill="E6E6E6"/>
              </w:rPr>
              <w:fldChar w:fldCharType="end"/>
            </w:r>
          </w:hyperlink>
        </w:p>
        <w:p w14:paraId="6B0EB6AB" w14:textId="1E1C99CC" w:rsidR="00E60710" w:rsidRDefault="004B3B94">
          <w:pPr>
            <w:pStyle w:val="TOC1"/>
            <w:tabs>
              <w:tab w:val="right" w:leader="dot" w:pos="9016"/>
            </w:tabs>
            <w:rPr>
              <w:rFonts w:asciiTheme="minorHAnsi" w:eastAsiaTheme="minorEastAsia" w:hAnsiTheme="minorHAnsi" w:cstheme="minorBidi"/>
              <w:noProof/>
              <w:lang w:eastAsia="en-GB"/>
            </w:rPr>
          </w:pPr>
          <w:hyperlink w:anchor="_Toc51578525" w:history="1">
            <w:r w:rsidR="00E60710" w:rsidRPr="00377AF5">
              <w:rPr>
                <w:rStyle w:val="Hyperlink"/>
                <w:rFonts w:eastAsiaTheme="majorEastAsia"/>
                <w:noProof/>
              </w:rPr>
              <w:t>Annex</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_Toc51578525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22</w:t>
            </w:r>
            <w:r w:rsidR="00E60710">
              <w:rPr>
                <w:noProof/>
                <w:webHidden/>
                <w:color w:val="2B579A"/>
                <w:shd w:val="clear" w:color="auto" w:fill="E6E6E6"/>
              </w:rPr>
              <w:fldChar w:fldCharType="end"/>
            </w:r>
          </w:hyperlink>
        </w:p>
        <w:p w14:paraId="2E829C15" w14:textId="647582EF" w:rsidR="00E60710" w:rsidRDefault="004B3B94">
          <w:pPr>
            <w:pStyle w:val="TOC1"/>
            <w:tabs>
              <w:tab w:val="right" w:leader="dot" w:pos="9016"/>
            </w:tabs>
            <w:rPr>
              <w:rFonts w:asciiTheme="minorHAnsi" w:eastAsiaTheme="minorEastAsia" w:hAnsiTheme="minorHAnsi" w:cstheme="minorBidi"/>
              <w:noProof/>
              <w:lang w:eastAsia="en-GB"/>
            </w:rPr>
          </w:pPr>
          <w:hyperlink w:anchor="_Toc51578526" w:history="1">
            <w:r w:rsidR="00E60710" w:rsidRPr="00377AF5">
              <w:rPr>
                <w:rStyle w:val="Hyperlink"/>
                <w:rFonts w:eastAsiaTheme="majorEastAsia" w:cs="Arial"/>
                <w:noProof/>
              </w:rPr>
              <w:t>Impact Framework, From Figure A: Linked</w:t>
            </w:r>
            <w:r w:rsidR="00E60710">
              <w:rPr>
                <w:noProof/>
                <w:webHidden/>
              </w:rPr>
              <w:tab/>
            </w:r>
            <w:r w:rsidR="00E60710">
              <w:rPr>
                <w:noProof/>
                <w:webHidden/>
                <w:color w:val="2B579A"/>
                <w:shd w:val="clear" w:color="auto" w:fill="E6E6E6"/>
              </w:rPr>
              <w:fldChar w:fldCharType="begin"/>
            </w:r>
            <w:r w:rsidR="00E60710">
              <w:rPr>
                <w:noProof/>
                <w:webHidden/>
              </w:rPr>
              <w:instrText xml:space="preserve"> PAGEREF _Toc51578526 \h </w:instrText>
            </w:r>
            <w:r w:rsidR="00E60710">
              <w:rPr>
                <w:noProof/>
                <w:webHidden/>
                <w:color w:val="2B579A"/>
                <w:shd w:val="clear" w:color="auto" w:fill="E6E6E6"/>
              </w:rPr>
            </w:r>
            <w:r w:rsidR="00E60710">
              <w:rPr>
                <w:noProof/>
                <w:webHidden/>
                <w:color w:val="2B579A"/>
                <w:shd w:val="clear" w:color="auto" w:fill="E6E6E6"/>
              </w:rPr>
              <w:fldChar w:fldCharType="separate"/>
            </w:r>
            <w:r w:rsidR="00E60710">
              <w:rPr>
                <w:noProof/>
                <w:webHidden/>
              </w:rPr>
              <w:t>22</w:t>
            </w:r>
            <w:r w:rsidR="00E60710">
              <w:rPr>
                <w:noProof/>
                <w:webHidden/>
                <w:color w:val="2B579A"/>
                <w:shd w:val="clear" w:color="auto" w:fill="E6E6E6"/>
              </w:rPr>
              <w:fldChar w:fldCharType="end"/>
            </w:r>
          </w:hyperlink>
        </w:p>
        <w:p w14:paraId="287A089B" w14:textId="10229471" w:rsidR="000004E0" w:rsidRDefault="000004E0">
          <w:pPr>
            <w:rPr>
              <w:b/>
              <w:bCs/>
              <w:noProof/>
            </w:rPr>
          </w:pPr>
          <w:r>
            <w:rPr>
              <w:b/>
              <w:bCs/>
              <w:noProof/>
              <w:color w:val="2B579A"/>
              <w:shd w:val="clear" w:color="auto" w:fill="E6E6E6"/>
            </w:rPr>
            <w:fldChar w:fldCharType="end"/>
          </w:r>
        </w:p>
        <w:p w14:paraId="6CA8FB8C" w14:textId="77777777" w:rsidR="000004E0" w:rsidRPr="000004E0" w:rsidRDefault="000004E0" w:rsidP="000004E0">
          <w:pPr>
            <w:spacing w:before="0" w:line="240" w:lineRule="auto"/>
            <w:rPr>
              <w:b/>
              <w:bCs/>
              <w:noProof/>
            </w:rPr>
          </w:pPr>
          <w:r>
            <w:rPr>
              <w:b/>
              <w:bCs/>
              <w:noProof/>
            </w:rPr>
            <w:br w:type="page"/>
          </w:r>
        </w:p>
      </w:sdtContent>
    </w:sdt>
    <w:p w14:paraId="29C71083" w14:textId="272716F9" w:rsidR="000004E0" w:rsidRPr="000004E0" w:rsidRDefault="006F6778" w:rsidP="00DD4C2A">
      <w:pPr>
        <w:pStyle w:val="Heading2"/>
        <w:rPr>
          <w:rStyle w:val="Emphasis"/>
          <w:b/>
        </w:rPr>
      </w:pPr>
      <w:bookmarkStart w:id="0" w:name="_Toc51578509"/>
      <w:r w:rsidRPr="000004E0">
        <w:rPr>
          <w:rStyle w:val="Emphasis"/>
          <w:b/>
        </w:rPr>
        <w:lastRenderedPageBreak/>
        <w:t>Eco. Business</w:t>
      </w:r>
      <w:r w:rsidR="000004E0" w:rsidRPr="000004E0">
        <w:rPr>
          <w:rStyle w:val="Emphasis"/>
          <w:b/>
        </w:rPr>
        <w:t xml:space="preserve"> Fund Annual Review - Summary Sheet</w:t>
      </w:r>
      <w:bookmarkEnd w:id="0"/>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394"/>
        <w:gridCol w:w="2693"/>
      </w:tblGrid>
      <w:tr w:rsidR="000004E0" w:rsidRPr="00D0005A" w14:paraId="23038C8D" w14:textId="77777777" w:rsidTr="3651B6FB">
        <w:trPr>
          <w:trHeight w:val="680"/>
          <w:jc w:val="center"/>
        </w:trPr>
        <w:tc>
          <w:tcPr>
            <w:tcW w:w="9209"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54D145BC"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Title:</w:t>
            </w:r>
          </w:p>
          <w:p w14:paraId="7B6D1675" w14:textId="1EDE88C6" w:rsidR="000004E0" w:rsidRPr="00D0005A" w:rsidRDefault="006F6778" w:rsidP="71E92DF2">
            <w:pPr>
              <w:pStyle w:val="Normal1"/>
              <w:spacing w:after="120" w:line="276" w:lineRule="auto"/>
              <w:rPr>
                <w:rFonts w:ascii="Calibri" w:hAnsi="Calibri"/>
                <w:sz w:val="22"/>
                <w:szCs w:val="22"/>
              </w:rPr>
            </w:pPr>
            <w:r w:rsidRPr="71E92DF2">
              <w:rPr>
                <w:rFonts w:ascii="Calibri" w:hAnsi="Calibri"/>
                <w:sz w:val="22"/>
                <w:szCs w:val="22"/>
              </w:rPr>
              <w:t>Eco. Business</w:t>
            </w:r>
            <w:r w:rsidR="000004E0" w:rsidRPr="71E92DF2">
              <w:rPr>
                <w:rFonts w:ascii="Calibri" w:hAnsi="Calibri"/>
                <w:sz w:val="22"/>
                <w:szCs w:val="22"/>
              </w:rPr>
              <w:t xml:space="preserve"> </w:t>
            </w:r>
            <w:r w:rsidRPr="71E92DF2">
              <w:rPr>
                <w:rFonts w:ascii="Calibri" w:hAnsi="Calibri"/>
                <w:sz w:val="22"/>
                <w:szCs w:val="22"/>
              </w:rPr>
              <w:t>Fund (</w:t>
            </w:r>
            <w:r w:rsidR="00B30B63" w:rsidRPr="71E92DF2">
              <w:rPr>
                <w:rFonts w:ascii="Calibri" w:hAnsi="Calibri"/>
                <w:sz w:val="22"/>
                <w:szCs w:val="22"/>
              </w:rPr>
              <w:t>EBF)</w:t>
            </w:r>
          </w:p>
        </w:tc>
      </w:tr>
      <w:tr w:rsidR="000004E0" w:rsidRPr="00D0005A" w14:paraId="39321ED8" w14:textId="77777777" w:rsidTr="3651B6FB">
        <w:trPr>
          <w:trHeight w:val="400"/>
          <w:jc w:val="center"/>
        </w:trPr>
        <w:tc>
          <w:tcPr>
            <w:tcW w:w="6516" w:type="dxa"/>
            <w:gridSpan w:val="2"/>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5A33D569" w14:textId="277AAE12"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Programme Value: </w:t>
            </w:r>
            <w:r w:rsidRPr="00D0005A">
              <w:rPr>
                <w:rFonts w:ascii="Calibri" w:hAnsi="Calibri"/>
                <w:sz w:val="22"/>
                <w:szCs w:val="22"/>
              </w:rPr>
              <w:t>£</w:t>
            </w:r>
            <w:r w:rsidR="00671AA1">
              <w:rPr>
                <w:rFonts w:ascii="Calibri" w:hAnsi="Calibri"/>
                <w:sz w:val="22"/>
                <w:szCs w:val="22"/>
              </w:rPr>
              <w:t>32.6</w:t>
            </w:r>
            <w:r w:rsidRPr="00D0005A">
              <w:rPr>
                <w:rFonts w:ascii="Calibri" w:hAnsi="Calibri"/>
                <w:sz w:val="22"/>
                <w:szCs w:val="22"/>
              </w:rPr>
              <w:t xml:space="preserve"> million</w:t>
            </w:r>
            <w:r w:rsidR="00DC298E">
              <w:rPr>
                <w:rStyle w:val="FootnoteReference"/>
                <w:rFonts w:ascii="Calibri" w:hAnsi="Calibri"/>
                <w:sz w:val="22"/>
                <w:szCs w:val="22"/>
              </w:rPr>
              <w:footnoteReference w:id="2"/>
            </w:r>
          </w:p>
        </w:tc>
        <w:tc>
          <w:tcPr>
            <w:tcW w:w="269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118F1555" w14:textId="13AE8444" w:rsidR="000004E0" w:rsidRPr="00D0005A" w:rsidRDefault="0064716F" w:rsidP="00C660C7">
            <w:pPr>
              <w:pStyle w:val="Normal1"/>
              <w:spacing w:after="120" w:line="276" w:lineRule="auto"/>
              <w:rPr>
                <w:rFonts w:ascii="Calibri" w:hAnsi="Calibri"/>
                <w:b/>
                <w:sz w:val="22"/>
                <w:szCs w:val="22"/>
              </w:rPr>
            </w:pPr>
            <w:r w:rsidRPr="0007003C">
              <w:rPr>
                <w:rFonts w:ascii="Calibri" w:hAnsi="Calibri"/>
                <w:b/>
                <w:bCs/>
                <w:sz w:val="22"/>
                <w:szCs w:val="22"/>
              </w:rPr>
              <w:t>Review Date</w:t>
            </w:r>
            <w:r>
              <w:rPr>
                <w:rFonts w:ascii="Calibri" w:hAnsi="Calibri"/>
                <w:sz w:val="22"/>
                <w:szCs w:val="22"/>
              </w:rPr>
              <w:t>: 20</w:t>
            </w:r>
            <w:r w:rsidR="00671AA1">
              <w:rPr>
                <w:rFonts w:ascii="Calibri" w:hAnsi="Calibri"/>
                <w:sz w:val="22"/>
                <w:szCs w:val="22"/>
              </w:rPr>
              <w:t>20</w:t>
            </w:r>
          </w:p>
        </w:tc>
      </w:tr>
      <w:tr w:rsidR="0064716F" w:rsidRPr="00D0005A" w14:paraId="324F4F14" w14:textId="77777777" w:rsidTr="3651B6FB">
        <w:trPr>
          <w:trHeight w:val="461"/>
          <w:jc w:val="center"/>
        </w:trPr>
        <w:tc>
          <w:tcPr>
            <w:tcW w:w="6516" w:type="dxa"/>
            <w:gridSpan w:val="2"/>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249CEA08" w14:textId="77777777" w:rsidR="0064716F" w:rsidRPr="00D0005A" w:rsidRDefault="0064716F" w:rsidP="000004E0">
            <w:pPr>
              <w:pStyle w:val="Normal1"/>
              <w:spacing w:after="120" w:line="276" w:lineRule="auto"/>
              <w:rPr>
                <w:rFonts w:ascii="Calibri" w:hAnsi="Calibri"/>
                <w:b/>
                <w:sz w:val="22"/>
                <w:szCs w:val="22"/>
              </w:rPr>
            </w:pPr>
          </w:p>
        </w:tc>
        <w:tc>
          <w:tcPr>
            <w:tcW w:w="269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32CB0A1A" w14:textId="236DA394" w:rsidR="0064716F" w:rsidRDefault="00D834F0" w:rsidP="00C660C7">
            <w:pPr>
              <w:pStyle w:val="Normal1"/>
              <w:spacing w:after="120" w:line="276" w:lineRule="auto"/>
              <w:rPr>
                <w:rFonts w:ascii="Calibri" w:hAnsi="Calibri"/>
                <w:sz w:val="22"/>
                <w:szCs w:val="22"/>
              </w:rPr>
            </w:pPr>
            <w:r w:rsidRPr="0007003C">
              <w:rPr>
                <w:rFonts w:ascii="Calibri" w:hAnsi="Calibri"/>
                <w:b/>
                <w:bCs/>
                <w:sz w:val="22"/>
                <w:szCs w:val="22"/>
              </w:rPr>
              <w:t>Review period:</w:t>
            </w:r>
            <w:r>
              <w:rPr>
                <w:rFonts w:ascii="Calibri" w:hAnsi="Calibri"/>
                <w:sz w:val="22"/>
                <w:szCs w:val="22"/>
              </w:rPr>
              <w:t xml:space="preserve"> </w:t>
            </w:r>
            <w:r w:rsidR="0064716F">
              <w:rPr>
                <w:rFonts w:ascii="Calibri" w:hAnsi="Calibri"/>
                <w:sz w:val="22"/>
                <w:szCs w:val="22"/>
              </w:rPr>
              <w:t>1</w:t>
            </w:r>
            <w:r w:rsidR="0064716F" w:rsidRPr="0064716F">
              <w:rPr>
                <w:rFonts w:ascii="Calibri" w:hAnsi="Calibri"/>
                <w:sz w:val="22"/>
                <w:szCs w:val="22"/>
                <w:vertAlign w:val="superscript"/>
              </w:rPr>
              <w:t>st</w:t>
            </w:r>
            <w:r w:rsidR="0064716F">
              <w:rPr>
                <w:rFonts w:ascii="Calibri" w:hAnsi="Calibri"/>
                <w:sz w:val="22"/>
                <w:szCs w:val="22"/>
              </w:rPr>
              <w:t xml:space="preserve"> Jan</w:t>
            </w:r>
            <w:r w:rsidR="006320D6">
              <w:rPr>
                <w:rFonts w:ascii="Calibri" w:hAnsi="Calibri"/>
                <w:sz w:val="22"/>
                <w:szCs w:val="22"/>
              </w:rPr>
              <w:t>uary</w:t>
            </w:r>
            <w:r w:rsidR="0064716F">
              <w:rPr>
                <w:rFonts w:ascii="Calibri" w:hAnsi="Calibri"/>
                <w:sz w:val="22"/>
                <w:szCs w:val="22"/>
              </w:rPr>
              <w:t xml:space="preserve"> – 31</w:t>
            </w:r>
            <w:r w:rsidR="0064716F" w:rsidRPr="0064716F">
              <w:rPr>
                <w:rFonts w:ascii="Calibri" w:hAnsi="Calibri"/>
                <w:sz w:val="22"/>
                <w:szCs w:val="22"/>
                <w:vertAlign w:val="superscript"/>
              </w:rPr>
              <w:t>st</w:t>
            </w:r>
            <w:r w:rsidR="0064716F">
              <w:rPr>
                <w:rFonts w:ascii="Calibri" w:hAnsi="Calibri"/>
                <w:sz w:val="22"/>
                <w:szCs w:val="22"/>
              </w:rPr>
              <w:t xml:space="preserve"> Dec</w:t>
            </w:r>
            <w:r w:rsidR="006320D6">
              <w:rPr>
                <w:rFonts w:ascii="Calibri" w:hAnsi="Calibri"/>
                <w:sz w:val="22"/>
                <w:szCs w:val="22"/>
              </w:rPr>
              <w:t>ember</w:t>
            </w:r>
            <w:r w:rsidR="0064716F">
              <w:rPr>
                <w:rFonts w:ascii="Calibri" w:hAnsi="Calibri"/>
                <w:sz w:val="22"/>
                <w:szCs w:val="22"/>
              </w:rPr>
              <w:t xml:space="preserve"> </w:t>
            </w:r>
            <w:r w:rsidR="0064716F" w:rsidRPr="00D834F0">
              <w:rPr>
                <w:rFonts w:ascii="Calibri" w:hAnsi="Calibri"/>
                <w:sz w:val="22"/>
                <w:szCs w:val="22"/>
              </w:rPr>
              <w:t>201</w:t>
            </w:r>
            <w:r w:rsidR="00671AA1">
              <w:rPr>
                <w:rFonts w:ascii="Calibri" w:hAnsi="Calibri"/>
                <w:sz w:val="22"/>
                <w:szCs w:val="22"/>
              </w:rPr>
              <w:t>9</w:t>
            </w:r>
          </w:p>
        </w:tc>
      </w:tr>
      <w:tr w:rsidR="000004E0" w:rsidRPr="00D0005A" w14:paraId="592526AE" w14:textId="77777777" w:rsidTr="0007003C">
        <w:trPr>
          <w:trHeight w:val="730"/>
          <w:jc w:val="center"/>
        </w:trPr>
        <w:tc>
          <w:tcPr>
            <w:tcW w:w="2122" w:type="dxa"/>
            <w:tcBorders>
              <w:top w:val="dotted" w:sz="4" w:space="0" w:color="000000" w:themeColor="text1"/>
              <w:left w:val="single" w:sz="4" w:space="0" w:color="000000" w:themeColor="text1"/>
              <w:bottom w:val="single" w:sz="4" w:space="0" w:color="000000" w:themeColor="text1"/>
              <w:right w:val="dotted" w:sz="4" w:space="0" w:color="000000" w:themeColor="text1"/>
            </w:tcBorders>
          </w:tcPr>
          <w:p w14:paraId="52D60A73" w14:textId="77777777" w:rsidR="000004E0" w:rsidRPr="00D0005A" w:rsidRDefault="000004E0" w:rsidP="0007003C">
            <w:pPr>
              <w:pStyle w:val="Normal1"/>
              <w:spacing w:after="120" w:line="276" w:lineRule="auto"/>
              <w:rPr>
                <w:rFonts w:ascii="Calibri" w:hAnsi="Calibri"/>
                <w:b/>
                <w:sz w:val="22"/>
                <w:szCs w:val="22"/>
              </w:rPr>
            </w:pPr>
            <w:r w:rsidRPr="00D0005A">
              <w:rPr>
                <w:rFonts w:ascii="Calibri" w:hAnsi="Calibri"/>
                <w:b/>
                <w:sz w:val="22"/>
                <w:szCs w:val="22"/>
              </w:rPr>
              <w:t xml:space="preserve">Programme Code: </w:t>
            </w:r>
          </w:p>
          <w:p w14:paraId="785BD0A4" w14:textId="77777777" w:rsidR="000004E0" w:rsidRPr="00D0005A" w:rsidRDefault="000004E0" w:rsidP="0007003C">
            <w:pPr>
              <w:pStyle w:val="Normal1"/>
              <w:spacing w:after="120" w:line="276" w:lineRule="auto"/>
              <w:rPr>
                <w:rFonts w:ascii="Calibri" w:hAnsi="Calibri"/>
                <w:b/>
                <w:sz w:val="22"/>
                <w:szCs w:val="22"/>
              </w:rPr>
            </w:pPr>
            <w:r w:rsidRPr="00D0005A">
              <w:rPr>
                <w:rFonts w:ascii="Calibri" w:hAnsi="Calibri"/>
                <w:sz w:val="22"/>
                <w:szCs w:val="22"/>
              </w:rPr>
              <w:t>GB-GOV-GB-7-P00052-ICF-P0003-ECO.B</w:t>
            </w:r>
          </w:p>
        </w:tc>
        <w:tc>
          <w:tcPr>
            <w:tcW w:w="4394"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75600EDF" w14:textId="77777777" w:rsidR="000004E0" w:rsidRPr="00D0005A" w:rsidRDefault="000004E0" w:rsidP="0007003C">
            <w:pPr>
              <w:pStyle w:val="Normal1"/>
              <w:spacing w:after="120" w:line="276" w:lineRule="auto"/>
              <w:rPr>
                <w:rFonts w:ascii="Calibri" w:hAnsi="Calibri"/>
                <w:sz w:val="22"/>
                <w:szCs w:val="22"/>
              </w:rPr>
            </w:pPr>
            <w:r w:rsidRPr="00D0005A">
              <w:rPr>
                <w:rFonts w:ascii="Calibri" w:hAnsi="Calibri"/>
                <w:b/>
                <w:sz w:val="22"/>
                <w:szCs w:val="22"/>
              </w:rPr>
              <w:t>Start Date:</w:t>
            </w:r>
          </w:p>
          <w:p w14:paraId="0127856A" w14:textId="0EB9D9E6" w:rsidR="000004E0" w:rsidRPr="00D0005A" w:rsidRDefault="000004E0" w:rsidP="0007003C">
            <w:pPr>
              <w:pStyle w:val="Normal1"/>
              <w:spacing w:after="120" w:line="276" w:lineRule="auto"/>
              <w:rPr>
                <w:rFonts w:ascii="Calibri" w:hAnsi="Calibri"/>
                <w:sz w:val="22"/>
                <w:szCs w:val="22"/>
              </w:rPr>
            </w:pPr>
            <w:r w:rsidRPr="086F2BC2">
              <w:rPr>
                <w:rFonts w:ascii="Calibri" w:hAnsi="Calibri"/>
                <w:sz w:val="22"/>
                <w:szCs w:val="22"/>
              </w:rPr>
              <w:t>Fund inception: January 2015</w:t>
            </w:r>
            <w:r w:rsidR="13A57A97" w:rsidRPr="086F2BC2">
              <w:rPr>
                <w:rFonts w:ascii="Calibri" w:hAnsi="Calibri"/>
                <w:sz w:val="22"/>
                <w:szCs w:val="22"/>
              </w:rPr>
              <w:t xml:space="preserve"> </w:t>
            </w:r>
          </w:p>
          <w:p w14:paraId="05EFDFD1" w14:textId="0BE5ACFF" w:rsidR="000004E0" w:rsidRDefault="000004E0" w:rsidP="0007003C">
            <w:pPr>
              <w:pStyle w:val="Normal1"/>
              <w:spacing w:after="120" w:line="276" w:lineRule="auto"/>
              <w:rPr>
                <w:rFonts w:ascii="Calibri" w:hAnsi="Calibri"/>
                <w:sz w:val="22"/>
                <w:szCs w:val="22"/>
              </w:rPr>
            </w:pPr>
            <w:r w:rsidRPr="3651B6FB">
              <w:rPr>
                <w:rFonts w:ascii="Calibri" w:hAnsi="Calibri"/>
                <w:sz w:val="22"/>
                <w:szCs w:val="22"/>
              </w:rPr>
              <w:t>Promissory Note</w:t>
            </w:r>
            <w:r w:rsidR="007376F5" w:rsidRPr="3651B6FB">
              <w:rPr>
                <w:rFonts w:ascii="Calibri" w:hAnsi="Calibri"/>
                <w:sz w:val="22"/>
                <w:szCs w:val="22"/>
              </w:rPr>
              <w:t xml:space="preserve"> (£20m)</w:t>
            </w:r>
            <w:r w:rsidRPr="3651B6FB">
              <w:rPr>
                <w:rFonts w:ascii="Calibri" w:hAnsi="Calibri"/>
                <w:sz w:val="22"/>
                <w:szCs w:val="22"/>
              </w:rPr>
              <w:t>: December 2015</w:t>
            </w:r>
          </w:p>
          <w:p w14:paraId="6435E57C" w14:textId="052A739A" w:rsidR="007376F5" w:rsidRPr="00D0005A" w:rsidRDefault="007376F5" w:rsidP="0007003C">
            <w:pPr>
              <w:pStyle w:val="Normal1"/>
              <w:spacing w:after="120" w:line="276" w:lineRule="auto"/>
              <w:rPr>
                <w:rFonts w:ascii="Calibri" w:hAnsi="Calibri"/>
                <w:b/>
                <w:i/>
                <w:sz w:val="22"/>
                <w:szCs w:val="22"/>
              </w:rPr>
            </w:pPr>
            <w:r>
              <w:rPr>
                <w:rFonts w:ascii="Calibri" w:hAnsi="Calibri"/>
                <w:sz w:val="22"/>
                <w:szCs w:val="22"/>
              </w:rPr>
              <w:t xml:space="preserve">Recent investment (£12.6m): December 2019 </w:t>
            </w:r>
          </w:p>
        </w:tc>
        <w:tc>
          <w:tcPr>
            <w:tcW w:w="2693" w:type="dxa"/>
            <w:tcBorders>
              <w:top w:val="dotted" w:sz="4" w:space="0" w:color="000000" w:themeColor="text1"/>
              <w:left w:val="dotted" w:sz="4" w:space="0" w:color="000000" w:themeColor="text1"/>
              <w:bottom w:val="single" w:sz="4" w:space="0" w:color="000000" w:themeColor="text1"/>
              <w:right w:val="single" w:sz="4" w:space="0" w:color="000000" w:themeColor="text1"/>
            </w:tcBorders>
          </w:tcPr>
          <w:p w14:paraId="02B1A5CF" w14:textId="77777777" w:rsidR="000004E0" w:rsidRPr="00D0005A" w:rsidRDefault="000004E0" w:rsidP="0007003C">
            <w:pPr>
              <w:pStyle w:val="Normal1"/>
              <w:spacing w:after="120" w:line="276" w:lineRule="auto"/>
              <w:rPr>
                <w:rFonts w:ascii="Calibri" w:hAnsi="Calibri"/>
                <w:b/>
                <w:sz w:val="22"/>
                <w:szCs w:val="22"/>
              </w:rPr>
            </w:pPr>
            <w:r w:rsidRPr="00D0005A">
              <w:rPr>
                <w:rFonts w:ascii="Calibri" w:hAnsi="Calibri"/>
                <w:b/>
                <w:sz w:val="22"/>
                <w:szCs w:val="22"/>
              </w:rPr>
              <w:t>End Date:</w:t>
            </w:r>
          </w:p>
          <w:p w14:paraId="7432BA62" w14:textId="7FB7A0AA" w:rsidR="000004E0" w:rsidRPr="00D0005A" w:rsidRDefault="00C553DE" w:rsidP="0007003C">
            <w:pPr>
              <w:pStyle w:val="Normal1"/>
              <w:spacing w:after="120" w:line="276" w:lineRule="auto"/>
              <w:rPr>
                <w:rFonts w:ascii="Calibri" w:hAnsi="Calibri"/>
                <w:b/>
                <w:i/>
                <w:sz w:val="22"/>
                <w:szCs w:val="22"/>
              </w:rPr>
            </w:pPr>
            <w:r>
              <w:rPr>
                <w:rFonts w:ascii="Calibri" w:hAnsi="Calibri"/>
                <w:sz w:val="22"/>
                <w:szCs w:val="22"/>
              </w:rPr>
              <w:t xml:space="preserve">Provision for </w:t>
            </w:r>
            <w:r w:rsidR="00261682">
              <w:rPr>
                <w:rFonts w:ascii="Calibri" w:hAnsi="Calibri"/>
                <w:sz w:val="22"/>
                <w:szCs w:val="22"/>
              </w:rPr>
              <w:t>the Department for Environment, Food and Rural Affairs (</w:t>
            </w:r>
            <w:r>
              <w:rPr>
                <w:rFonts w:ascii="Calibri" w:hAnsi="Calibri"/>
                <w:sz w:val="22"/>
                <w:szCs w:val="22"/>
              </w:rPr>
              <w:t>Defra</w:t>
            </w:r>
            <w:r w:rsidR="00261682">
              <w:rPr>
                <w:rFonts w:ascii="Calibri" w:hAnsi="Calibri"/>
                <w:sz w:val="22"/>
                <w:szCs w:val="22"/>
              </w:rPr>
              <w:t>)</w:t>
            </w:r>
            <w:r>
              <w:rPr>
                <w:rFonts w:ascii="Calibri" w:hAnsi="Calibri"/>
                <w:sz w:val="22"/>
                <w:szCs w:val="22"/>
              </w:rPr>
              <w:t xml:space="preserve"> investment to be returned in </w:t>
            </w:r>
            <w:r w:rsidR="00941F2F">
              <w:rPr>
                <w:rFonts w:ascii="Calibri" w:hAnsi="Calibri"/>
                <w:sz w:val="22"/>
                <w:szCs w:val="22"/>
              </w:rPr>
              <w:t>December 20</w:t>
            </w:r>
            <w:r w:rsidR="00CF42A7">
              <w:rPr>
                <w:rFonts w:ascii="Calibri" w:hAnsi="Calibri"/>
                <w:sz w:val="22"/>
                <w:szCs w:val="22"/>
              </w:rPr>
              <w:t>30</w:t>
            </w:r>
            <w:r w:rsidR="00671AA1">
              <w:rPr>
                <w:rFonts w:ascii="Calibri" w:hAnsi="Calibri"/>
                <w:sz w:val="22"/>
                <w:szCs w:val="22"/>
              </w:rPr>
              <w:t xml:space="preserve"> </w:t>
            </w:r>
            <w:r w:rsidR="002434C1">
              <w:rPr>
                <w:rFonts w:ascii="Calibri" w:hAnsi="Calibri"/>
                <w:sz w:val="22"/>
                <w:szCs w:val="22"/>
              </w:rPr>
              <w:t>and</w:t>
            </w:r>
            <w:r w:rsidR="00671AA1">
              <w:rPr>
                <w:rFonts w:ascii="Calibri" w:hAnsi="Calibri"/>
                <w:sz w:val="22"/>
                <w:szCs w:val="22"/>
              </w:rPr>
              <w:t xml:space="preserve"> 2035</w:t>
            </w:r>
          </w:p>
        </w:tc>
      </w:tr>
    </w:tbl>
    <w:p w14:paraId="0149D355" w14:textId="77777777" w:rsidR="000004E0" w:rsidRPr="00D0005A" w:rsidRDefault="000004E0" w:rsidP="000004E0">
      <w:pPr>
        <w:pStyle w:val="Normal1"/>
        <w:spacing w:before="240" w:after="120" w:line="276" w:lineRule="auto"/>
        <w:rPr>
          <w:rFonts w:ascii="Calibri" w:hAnsi="Calibri"/>
          <w:b/>
          <w:sz w:val="22"/>
          <w:szCs w:val="22"/>
        </w:rPr>
      </w:pPr>
      <w:r w:rsidRPr="00D0005A">
        <w:rPr>
          <w:rFonts w:ascii="Calibri" w:hAnsi="Calibri"/>
          <w:b/>
          <w:sz w:val="22"/>
          <w:szCs w:val="22"/>
        </w:rPr>
        <w:t xml:space="preserve">Summary of Programme Performance </w:t>
      </w:r>
    </w:p>
    <w:tbl>
      <w:tblPr>
        <w:tblW w:w="625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73"/>
        <w:gridCol w:w="1245"/>
        <w:gridCol w:w="1155"/>
        <w:gridCol w:w="1185"/>
      </w:tblGrid>
      <w:tr w:rsidR="00671AA1" w:rsidRPr="00D0005A" w14:paraId="078EA6F9" w14:textId="0D4AB7D9" w:rsidTr="5954F8B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097F" w14:textId="77777777" w:rsidR="00671AA1" w:rsidRPr="00D0005A" w:rsidRDefault="00671AA1" w:rsidP="000004E0">
            <w:pPr>
              <w:pStyle w:val="Normal1"/>
              <w:spacing w:after="120" w:line="276" w:lineRule="auto"/>
              <w:rPr>
                <w:rFonts w:ascii="Calibri" w:hAnsi="Calibri"/>
                <w:b/>
                <w:sz w:val="22"/>
                <w:szCs w:val="22"/>
              </w:rPr>
            </w:pPr>
            <w:r w:rsidRPr="00D0005A">
              <w:rPr>
                <w:rFonts w:ascii="Calibri" w:hAnsi="Calibri"/>
                <w:b/>
                <w:sz w:val="22"/>
                <w:szCs w:val="22"/>
              </w:rPr>
              <w:t>Year</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207A9" w14:textId="77777777" w:rsidR="00671AA1" w:rsidRPr="00D0005A" w:rsidRDefault="00671AA1" w:rsidP="000004E0">
            <w:pPr>
              <w:pStyle w:val="Normal1"/>
              <w:spacing w:after="120" w:line="276" w:lineRule="auto"/>
              <w:jc w:val="center"/>
              <w:rPr>
                <w:rFonts w:ascii="Calibri" w:hAnsi="Calibri"/>
                <w:sz w:val="22"/>
                <w:szCs w:val="22"/>
              </w:rPr>
            </w:pPr>
            <w:r w:rsidRPr="00D0005A">
              <w:rPr>
                <w:rFonts w:ascii="Calibri" w:hAnsi="Calibri"/>
                <w:sz w:val="22"/>
                <w:szCs w:val="22"/>
              </w:rPr>
              <w:t>201</w:t>
            </w:r>
            <w:r>
              <w:rPr>
                <w:rFonts w:ascii="Calibri" w:hAnsi="Calibri"/>
                <w:sz w:val="22"/>
                <w:szCs w:val="22"/>
              </w:rPr>
              <w:t>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C980D" w14:textId="77777777" w:rsidR="00671AA1" w:rsidRPr="00D0005A" w:rsidRDefault="00671AA1" w:rsidP="000004E0">
            <w:pPr>
              <w:pStyle w:val="Normal1"/>
              <w:spacing w:after="120" w:line="276" w:lineRule="auto"/>
              <w:jc w:val="center"/>
              <w:rPr>
                <w:rFonts w:ascii="Calibri" w:hAnsi="Calibri"/>
                <w:sz w:val="22"/>
                <w:szCs w:val="22"/>
              </w:rPr>
            </w:pPr>
            <w:r>
              <w:rPr>
                <w:rFonts w:ascii="Calibri" w:hAnsi="Calibri"/>
                <w:sz w:val="22"/>
                <w:szCs w:val="22"/>
              </w:rPr>
              <w:t>2018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BC405" w14:textId="5A592A71" w:rsidR="00671AA1" w:rsidRDefault="00671AA1" w:rsidP="000004E0">
            <w:pPr>
              <w:pStyle w:val="Normal1"/>
              <w:spacing w:after="120" w:line="276" w:lineRule="auto"/>
              <w:jc w:val="center"/>
              <w:rPr>
                <w:rFonts w:ascii="Calibri" w:hAnsi="Calibri"/>
                <w:sz w:val="22"/>
                <w:szCs w:val="22"/>
              </w:rPr>
            </w:pPr>
            <w:r>
              <w:rPr>
                <w:rFonts w:ascii="Calibri" w:hAnsi="Calibri"/>
                <w:sz w:val="22"/>
                <w:szCs w:val="22"/>
              </w:rPr>
              <w:t>2019</w:t>
            </w:r>
          </w:p>
        </w:tc>
      </w:tr>
      <w:tr w:rsidR="00671AA1" w:rsidRPr="00D0005A" w14:paraId="14CD768F" w14:textId="7844515B" w:rsidTr="5954F8B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853F6" w14:textId="77777777" w:rsidR="00671AA1" w:rsidRPr="00D0005A" w:rsidRDefault="00671AA1" w:rsidP="000004E0">
            <w:pPr>
              <w:pStyle w:val="Normal1"/>
              <w:spacing w:after="120" w:line="276" w:lineRule="auto"/>
              <w:rPr>
                <w:rFonts w:ascii="Calibri" w:hAnsi="Calibri"/>
                <w:b/>
                <w:sz w:val="22"/>
                <w:szCs w:val="22"/>
              </w:rPr>
            </w:pPr>
            <w:r w:rsidRPr="00D0005A">
              <w:rPr>
                <w:rFonts w:ascii="Calibri" w:hAnsi="Calibri"/>
                <w:b/>
                <w:sz w:val="22"/>
                <w:szCs w:val="22"/>
              </w:rPr>
              <w:t>Programme Score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9AC02" w14:textId="77777777" w:rsidR="00671AA1" w:rsidRPr="00D0005A" w:rsidRDefault="00671AA1" w:rsidP="00635130">
            <w:pPr>
              <w:pStyle w:val="Normal1"/>
              <w:spacing w:after="120" w:line="276" w:lineRule="auto"/>
              <w:jc w:val="center"/>
              <w:rPr>
                <w:rFonts w:ascii="Calibri" w:hAnsi="Calibri"/>
                <w:b/>
                <w:sz w:val="22"/>
                <w:szCs w:val="22"/>
              </w:rPr>
            </w:pPr>
            <w:r>
              <w:rPr>
                <w:rFonts w:ascii="Calibri" w:hAnsi="Calibri"/>
                <w:b/>
                <w:sz w:val="22"/>
                <w:szCs w:val="22"/>
              </w:rPr>
              <w:t xml:space="preserve">A </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87F93" w14:textId="77777777" w:rsidR="00671AA1" w:rsidRPr="00D0005A" w:rsidRDefault="00671AA1" w:rsidP="000004E0">
            <w:pPr>
              <w:pStyle w:val="Normal1"/>
              <w:spacing w:after="120" w:line="276" w:lineRule="auto"/>
              <w:jc w:val="center"/>
              <w:rPr>
                <w:rFonts w:ascii="Calibri" w:hAnsi="Calibri"/>
                <w:b/>
                <w:sz w:val="22"/>
                <w:szCs w:val="22"/>
              </w:rPr>
            </w:pPr>
            <w:r>
              <w:rPr>
                <w:rFonts w:ascii="Calibri" w:hAnsi="Calibri"/>
                <w:b/>
                <w:sz w:val="22"/>
                <w:szCs w:val="22"/>
              </w:rPr>
              <w:t>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2167A" w14:textId="6A0F9147" w:rsidR="00671AA1" w:rsidRDefault="61B35736" w:rsidP="5954F8B8">
            <w:pPr>
              <w:pStyle w:val="Normal1"/>
              <w:spacing w:after="120" w:line="276" w:lineRule="auto"/>
              <w:jc w:val="center"/>
              <w:rPr>
                <w:rFonts w:ascii="Calibri" w:hAnsi="Calibri"/>
                <w:b/>
                <w:bCs/>
                <w:sz w:val="22"/>
                <w:szCs w:val="22"/>
              </w:rPr>
            </w:pPr>
            <w:r w:rsidRPr="5954F8B8">
              <w:rPr>
                <w:rFonts w:ascii="Calibri" w:hAnsi="Calibri"/>
                <w:b/>
                <w:bCs/>
                <w:sz w:val="22"/>
                <w:szCs w:val="22"/>
              </w:rPr>
              <w:t>A+</w:t>
            </w:r>
          </w:p>
        </w:tc>
      </w:tr>
      <w:tr w:rsidR="00671AA1" w:rsidRPr="00D0005A" w14:paraId="3FC6CB39" w14:textId="1C229965" w:rsidTr="5954F8B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A0B91" w14:textId="77777777" w:rsidR="00671AA1" w:rsidRPr="00D0005A" w:rsidRDefault="00671AA1" w:rsidP="00137FBC">
            <w:pPr>
              <w:pStyle w:val="Normal1"/>
              <w:spacing w:after="120" w:line="276" w:lineRule="auto"/>
              <w:rPr>
                <w:rFonts w:ascii="Calibri" w:hAnsi="Calibri"/>
                <w:b/>
                <w:sz w:val="22"/>
                <w:szCs w:val="22"/>
              </w:rPr>
            </w:pPr>
            <w:r>
              <w:rPr>
                <w:rFonts w:ascii="Calibri" w:hAnsi="Calibri"/>
                <w:b/>
                <w:sz w:val="22"/>
                <w:szCs w:val="22"/>
              </w:rPr>
              <w:t xml:space="preserve">Risk to progress of Impacts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A7552" w14:textId="77777777" w:rsidR="00671AA1" w:rsidRPr="00C553DE" w:rsidRDefault="00671AA1" w:rsidP="000004E0">
            <w:pPr>
              <w:pStyle w:val="Normal1"/>
              <w:spacing w:after="120" w:line="276" w:lineRule="auto"/>
              <w:jc w:val="center"/>
              <w:rPr>
                <w:rFonts w:ascii="Calibri" w:hAnsi="Calibri"/>
                <w:sz w:val="22"/>
                <w:szCs w:val="22"/>
              </w:rPr>
            </w:pPr>
            <w:r>
              <w:rPr>
                <w:rFonts w:ascii="Calibri" w:hAnsi="Calibri"/>
                <w:sz w:val="22"/>
                <w:szCs w:val="22"/>
              </w:rPr>
              <w:t>Moderate</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394BE" w14:textId="77777777" w:rsidR="00671AA1" w:rsidRPr="008F5744" w:rsidRDefault="00671AA1" w:rsidP="000004E0">
            <w:pPr>
              <w:pStyle w:val="Normal1"/>
              <w:spacing w:after="120" w:line="276" w:lineRule="auto"/>
              <w:jc w:val="center"/>
              <w:rPr>
                <w:rFonts w:ascii="Calibri" w:hAnsi="Calibri"/>
                <w:sz w:val="22"/>
                <w:szCs w:val="22"/>
              </w:rPr>
            </w:pPr>
            <w:r w:rsidRPr="008F5744">
              <w:rPr>
                <w:rFonts w:ascii="Calibri" w:hAnsi="Calibri"/>
                <w:sz w:val="22"/>
                <w:szCs w:val="22"/>
              </w:rPr>
              <w:t xml:space="preserve">Moderate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36851" w14:textId="33567588" w:rsidR="00671AA1" w:rsidRPr="008F5744" w:rsidRDefault="00E13AFC" w:rsidP="000004E0">
            <w:pPr>
              <w:pStyle w:val="Normal1"/>
              <w:spacing w:after="120" w:line="276" w:lineRule="auto"/>
              <w:jc w:val="center"/>
              <w:rPr>
                <w:rFonts w:ascii="Calibri" w:hAnsi="Calibri"/>
                <w:sz w:val="22"/>
                <w:szCs w:val="22"/>
              </w:rPr>
            </w:pPr>
            <w:r>
              <w:rPr>
                <w:rFonts w:ascii="Calibri" w:hAnsi="Calibri"/>
                <w:sz w:val="22"/>
                <w:szCs w:val="22"/>
              </w:rPr>
              <w:t>Moderate</w:t>
            </w:r>
          </w:p>
        </w:tc>
      </w:tr>
      <w:tr w:rsidR="00671AA1" w:rsidRPr="00D0005A" w14:paraId="393F122D" w14:textId="2CF503BD" w:rsidTr="5954F8B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F29EA" w14:textId="77777777" w:rsidR="00671AA1" w:rsidRDefault="00671AA1" w:rsidP="000004E0">
            <w:pPr>
              <w:pStyle w:val="Normal1"/>
              <w:spacing w:after="120" w:line="276" w:lineRule="auto"/>
              <w:rPr>
                <w:rFonts w:ascii="Calibri" w:hAnsi="Calibri"/>
                <w:b/>
                <w:sz w:val="22"/>
                <w:szCs w:val="22"/>
              </w:rPr>
            </w:pPr>
            <w:r>
              <w:rPr>
                <w:rFonts w:ascii="Calibri" w:hAnsi="Calibri"/>
                <w:b/>
                <w:sz w:val="22"/>
                <w:szCs w:val="22"/>
              </w:rPr>
              <w:t xml:space="preserve">Programme Risk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D889" w14:textId="77777777" w:rsidR="00671AA1" w:rsidRDefault="00671AA1" w:rsidP="000004E0">
            <w:pPr>
              <w:pStyle w:val="Normal1"/>
              <w:spacing w:after="120" w:line="276" w:lineRule="auto"/>
              <w:jc w:val="center"/>
              <w:rPr>
                <w:rFonts w:ascii="Calibri" w:hAnsi="Calibri"/>
                <w:sz w:val="22"/>
                <w:szCs w:val="22"/>
              </w:rPr>
            </w:pPr>
            <w:r>
              <w:rPr>
                <w:rFonts w:ascii="Calibri" w:hAnsi="Calibri"/>
                <w:sz w:val="22"/>
                <w:szCs w:val="22"/>
              </w:rPr>
              <w:t>Moderate</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AFA81" w14:textId="77777777" w:rsidR="00671AA1" w:rsidRPr="008F5744" w:rsidRDefault="00671AA1" w:rsidP="000004E0">
            <w:pPr>
              <w:pStyle w:val="Normal1"/>
              <w:spacing w:after="120" w:line="276" w:lineRule="auto"/>
              <w:jc w:val="center"/>
              <w:rPr>
                <w:rFonts w:ascii="Calibri" w:hAnsi="Calibri"/>
                <w:sz w:val="22"/>
                <w:szCs w:val="22"/>
              </w:rPr>
            </w:pPr>
            <w:r>
              <w:rPr>
                <w:rFonts w:ascii="Calibri" w:hAnsi="Calibri"/>
                <w:sz w:val="22"/>
                <w:szCs w:val="22"/>
              </w:rPr>
              <w:t>Moderate</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21C8" w14:textId="4B7A496B" w:rsidR="00671AA1" w:rsidRDefault="00E13AFC" w:rsidP="000004E0">
            <w:pPr>
              <w:pStyle w:val="Normal1"/>
              <w:spacing w:after="120" w:line="276" w:lineRule="auto"/>
              <w:jc w:val="center"/>
              <w:rPr>
                <w:rFonts w:ascii="Calibri" w:hAnsi="Calibri"/>
                <w:sz w:val="22"/>
                <w:szCs w:val="22"/>
              </w:rPr>
            </w:pPr>
            <w:r>
              <w:rPr>
                <w:rFonts w:ascii="Calibri" w:hAnsi="Calibri"/>
                <w:sz w:val="22"/>
                <w:szCs w:val="22"/>
              </w:rPr>
              <w:t>Moderate</w:t>
            </w:r>
          </w:p>
        </w:tc>
      </w:tr>
    </w:tbl>
    <w:p w14:paraId="43A914A0" w14:textId="6F648828" w:rsidR="000004E0" w:rsidRPr="000004E0" w:rsidRDefault="000004E0" w:rsidP="000004E0">
      <w:pPr>
        <w:rPr>
          <w:rStyle w:val="Emphasis"/>
        </w:rPr>
      </w:pPr>
      <w:r w:rsidRPr="000004E0">
        <w:rPr>
          <w:rStyle w:val="Emphasis"/>
        </w:rPr>
        <w:t>Introduction</w:t>
      </w:r>
    </w:p>
    <w:p w14:paraId="5253390B" w14:textId="468FE65A" w:rsidR="00671AA1" w:rsidRDefault="00892AB2" w:rsidP="000004E0">
      <w:r>
        <w:t xml:space="preserve">This is the </w:t>
      </w:r>
      <w:r w:rsidR="00671AA1">
        <w:t>third</w:t>
      </w:r>
      <w:r w:rsidR="000004E0">
        <w:t xml:space="preserve"> Annual Review</w:t>
      </w:r>
      <w:r w:rsidR="0094030A">
        <w:t xml:space="preserve"> (AR)</w:t>
      </w:r>
      <w:r w:rsidR="00941F2F">
        <w:t xml:space="preserve"> </w:t>
      </w:r>
      <w:r>
        <w:t xml:space="preserve">of </w:t>
      </w:r>
      <w:r w:rsidR="00AE09AA">
        <w:t>the EBF</w:t>
      </w:r>
      <w:r w:rsidR="00E26A31">
        <w:t>.</w:t>
      </w:r>
      <w:r w:rsidR="00941F2F">
        <w:t xml:space="preserve"> </w:t>
      </w:r>
      <w:r w:rsidR="00671AA1">
        <w:t xml:space="preserve">The performance of the programme has been assessed both qualitatively and quantitively against the </w:t>
      </w:r>
      <w:r w:rsidR="00CB57B4">
        <w:t>l</w:t>
      </w:r>
      <w:r w:rsidR="00671AA1">
        <w:t>ogical framework, w</w:t>
      </w:r>
      <w:r w:rsidR="00CB57B4">
        <w:t xml:space="preserve">hich </w:t>
      </w:r>
      <w:r w:rsidR="00671AA1">
        <w:t xml:space="preserve">contains </w:t>
      </w:r>
      <w:r w:rsidR="007376F5">
        <w:t>yearly targets.</w:t>
      </w:r>
      <w:r w:rsidR="00671AA1">
        <w:t xml:space="preserve"> </w:t>
      </w:r>
    </w:p>
    <w:p w14:paraId="6D66EC57" w14:textId="042768D9" w:rsidR="00E44274" w:rsidRDefault="00D834F0" w:rsidP="000004E0">
      <w:r>
        <w:t>In addition to ARs</w:t>
      </w:r>
      <w:r w:rsidR="00E44274">
        <w:t xml:space="preserve">, performance reviews are undertaken by the </w:t>
      </w:r>
      <w:r w:rsidR="00D26703">
        <w:t>F</w:t>
      </w:r>
      <w:r w:rsidR="00E44274">
        <w:t>und manager</w:t>
      </w:r>
      <w:r w:rsidR="3566385D">
        <w:t xml:space="preserve"> (</w:t>
      </w:r>
      <w:r w:rsidR="00E44274">
        <w:t xml:space="preserve">Finance </w:t>
      </w:r>
      <w:r w:rsidR="00360100">
        <w:t>in</w:t>
      </w:r>
      <w:r w:rsidR="00E44274">
        <w:t xml:space="preserve"> Motion </w:t>
      </w:r>
      <w:r w:rsidR="343772C7">
        <w:t xml:space="preserve">- </w:t>
      </w:r>
      <w:proofErr w:type="spellStart"/>
      <w:r w:rsidR="00E44274">
        <w:t>FiM</w:t>
      </w:r>
      <w:proofErr w:type="spellEnd"/>
      <w:r w:rsidR="00E44274">
        <w:t xml:space="preserve">) who are effectively the programme delivery partner. </w:t>
      </w:r>
      <w:r w:rsidR="3C0F9E33">
        <w:t xml:space="preserve">Performance reviews </w:t>
      </w:r>
      <w:r w:rsidR="00E44274">
        <w:t xml:space="preserve">are reported quarterly to an independent </w:t>
      </w:r>
      <w:r w:rsidR="36C7D117">
        <w:t>B</w:t>
      </w:r>
      <w:r w:rsidR="00E44274">
        <w:t xml:space="preserve">oard of </w:t>
      </w:r>
      <w:r w:rsidR="5E64289B">
        <w:t>D</w:t>
      </w:r>
      <w:r w:rsidR="00E44274">
        <w:t xml:space="preserve">irectors where Defra sits as an observer. A </w:t>
      </w:r>
      <w:r>
        <w:t>f</w:t>
      </w:r>
      <w:r w:rsidR="00E44274">
        <w:t xml:space="preserve">inancial report of </w:t>
      </w:r>
      <w:r w:rsidR="232AE19F">
        <w:t xml:space="preserve">the </w:t>
      </w:r>
      <w:r w:rsidR="00E44274">
        <w:t xml:space="preserve">EBF is independently audited annually. </w:t>
      </w:r>
    </w:p>
    <w:p w14:paraId="7C148BE8" w14:textId="09FEFCEE" w:rsidR="002C53F0" w:rsidRDefault="006320D6" w:rsidP="3651B6FB">
      <w:pPr>
        <w:pStyle w:val="Default"/>
        <w:spacing w:before="240" w:after="120" w:line="276" w:lineRule="auto"/>
        <w:jc w:val="both"/>
        <w:rPr>
          <w:rFonts w:cstheme="majorBidi"/>
          <w:sz w:val="22"/>
          <w:szCs w:val="22"/>
        </w:rPr>
      </w:pPr>
      <w:r w:rsidRPr="3651B6FB">
        <w:rPr>
          <w:rFonts w:cstheme="majorBidi"/>
          <w:sz w:val="22"/>
          <w:szCs w:val="22"/>
        </w:rPr>
        <w:t xml:space="preserve">The EBF was set up in December 2014 by </w:t>
      </w:r>
      <w:proofErr w:type="spellStart"/>
      <w:r w:rsidRPr="3651B6FB">
        <w:rPr>
          <w:rFonts w:cstheme="majorBidi"/>
          <w:sz w:val="22"/>
          <w:szCs w:val="22"/>
        </w:rPr>
        <w:t>KfW</w:t>
      </w:r>
      <w:proofErr w:type="spellEnd"/>
      <w:r w:rsidRPr="3651B6FB">
        <w:rPr>
          <w:rFonts w:cstheme="majorBidi"/>
          <w:sz w:val="22"/>
          <w:szCs w:val="22"/>
        </w:rPr>
        <w:t>, the German Development Bank, Conservation International</w:t>
      </w:r>
      <w:r w:rsidR="611C8B18" w:rsidRPr="3651B6FB">
        <w:rPr>
          <w:rFonts w:cstheme="majorBidi"/>
          <w:sz w:val="22"/>
          <w:szCs w:val="22"/>
        </w:rPr>
        <w:t>,</w:t>
      </w:r>
      <w:r w:rsidRPr="3651B6FB">
        <w:rPr>
          <w:rFonts w:cstheme="majorBidi"/>
          <w:sz w:val="22"/>
          <w:szCs w:val="22"/>
        </w:rPr>
        <w:t xml:space="preserve"> and</w:t>
      </w:r>
      <w:r w:rsidR="00D834F0" w:rsidRPr="3651B6FB">
        <w:rPr>
          <w:rFonts w:cstheme="majorBidi"/>
          <w:sz w:val="22"/>
          <w:szCs w:val="22"/>
        </w:rPr>
        <w:t xml:space="preserve"> </w:t>
      </w:r>
      <w:proofErr w:type="spellStart"/>
      <w:r w:rsidRPr="3651B6FB">
        <w:rPr>
          <w:rFonts w:cstheme="majorBidi"/>
          <w:sz w:val="22"/>
          <w:szCs w:val="22"/>
        </w:rPr>
        <w:t>FiM</w:t>
      </w:r>
      <w:proofErr w:type="spellEnd"/>
      <w:r w:rsidRPr="3651B6FB">
        <w:rPr>
          <w:rFonts w:cstheme="majorBidi"/>
          <w:sz w:val="22"/>
          <w:szCs w:val="22"/>
        </w:rPr>
        <w:t xml:space="preserve">. The EBF´s mission is to promote business and consumption practices that contribute to biodiversity conservation, to the sustainable use of natural resources, and to the mitigation of climate change and adaptation to climate change impacts. </w:t>
      </w:r>
      <w:r w:rsidR="002C53F0" w:rsidRPr="3651B6FB">
        <w:rPr>
          <w:rFonts w:cstheme="majorBidi"/>
          <w:sz w:val="22"/>
          <w:szCs w:val="22"/>
        </w:rPr>
        <w:t xml:space="preserve">The </w:t>
      </w:r>
      <w:r w:rsidR="00D26703" w:rsidRPr="3651B6FB">
        <w:rPr>
          <w:rFonts w:cstheme="majorBidi"/>
          <w:sz w:val="22"/>
          <w:szCs w:val="22"/>
        </w:rPr>
        <w:t>F</w:t>
      </w:r>
      <w:r w:rsidR="002C53F0" w:rsidRPr="3651B6FB">
        <w:rPr>
          <w:rFonts w:cstheme="majorBidi"/>
          <w:sz w:val="22"/>
          <w:szCs w:val="22"/>
        </w:rPr>
        <w:t>und has a Latin America</w:t>
      </w:r>
      <w:r w:rsidR="3BF5ACC6" w:rsidRPr="3651B6FB">
        <w:rPr>
          <w:rFonts w:cstheme="majorBidi"/>
          <w:sz w:val="22"/>
          <w:szCs w:val="22"/>
        </w:rPr>
        <w:t xml:space="preserve"> and Caribbean (LAC)</w:t>
      </w:r>
      <w:r w:rsidR="002C53F0" w:rsidRPr="3651B6FB">
        <w:rPr>
          <w:rFonts w:cstheme="majorBidi"/>
          <w:sz w:val="22"/>
          <w:szCs w:val="22"/>
        </w:rPr>
        <w:t xml:space="preserve"> focus</w:t>
      </w:r>
      <w:r w:rsidR="713E4D54" w:rsidRPr="3651B6FB">
        <w:rPr>
          <w:rFonts w:cstheme="majorBidi"/>
          <w:sz w:val="22"/>
          <w:szCs w:val="22"/>
        </w:rPr>
        <w:t xml:space="preserve"> and currently works</w:t>
      </w:r>
      <w:r w:rsidR="002C53F0" w:rsidRPr="3651B6FB">
        <w:rPr>
          <w:rFonts w:cstheme="majorBidi"/>
          <w:sz w:val="22"/>
          <w:szCs w:val="22"/>
        </w:rPr>
        <w:t xml:space="preserve"> </w:t>
      </w:r>
      <w:r w:rsidR="00360100" w:rsidRPr="3651B6FB">
        <w:rPr>
          <w:rFonts w:cstheme="majorBidi"/>
          <w:sz w:val="22"/>
          <w:szCs w:val="22"/>
        </w:rPr>
        <w:t>in</w:t>
      </w:r>
      <w:r w:rsidR="002C53F0" w:rsidRPr="3651B6FB">
        <w:rPr>
          <w:rFonts w:cstheme="majorBidi"/>
          <w:sz w:val="22"/>
          <w:szCs w:val="22"/>
        </w:rPr>
        <w:t>: Colombia, Ecuador, El Salvador, Costa Rica, Nicaragua, Panama and Honduras</w:t>
      </w:r>
      <w:r w:rsidR="4BAA4ADB" w:rsidRPr="3651B6FB">
        <w:rPr>
          <w:rFonts w:cstheme="majorBidi"/>
          <w:sz w:val="22"/>
          <w:szCs w:val="22"/>
        </w:rPr>
        <w:t xml:space="preserve">. </w:t>
      </w:r>
      <w:r w:rsidR="40C6D30B" w:rsidRPr="3651B6FB">
        <w:rPr>
          <w:rFonts w:cstheme="majorBidi"/>
          <w:sz w:val="22"/>
          <w:szCs w:val="22"/>
        </w:rPr>
        <w:t xml:space="preserve">The EBF pursues its mission by providing financing and/or </w:t>
      </w:r>
      <w:r w:rsidR="508E8E69" w:rsidRPr="3651B6FB">
        <w:rPr>
          <w:rFonts w:cstheme="majorBidi"/>
          <w:sz w:val="22"/>
          <w:szCs w:val="22"/>
        </w:rPr>
        <w:t>Technical Assistance (</w:t>
      </w:r>
      <w:r w:rsidR="40C6D30B" w:rsidRPr="3651B6FB">
        <w:rPr>
          <w:rFonts w:cstheme="majorBidi"/>
          <w:sz w:val="22"/>
          <w:szCs w:val="22"/>
        </w:rPr>
        <w:t>TA</w:t>
      </w:r>
      <w:r w:rsidR="390B256E" w:rsidRPr="3651B6FB">
        <w:rPr>
          <w:rFonts w:cstheme="majorBidi"/>
          <w:sz w:val="22"/>
          <w:szCs w:val="22"/>
        </w:rPr>
        <w:t>)</w:t>
      </w:r>
      <w:r w:rsidR="40C6D30B" w:rsidRPr="3651B6FB">
        <w:rPr>
          <w:rFonts w:cstheme="majorBidi"/>
          <w:sz w:val="22"/>
          <w:szCs w:val="22"/>
        </w:rPr>
        <w:t xml:space="preserve"> to qualified Financial Institutions (FIs) and businesses</w:t>
      </w:r>
      <w:r w:rsidR="2518944D" w:rsidRPr="3651B6FB">
        <w:rPr>
          <w:rFonts w:cstheme="majorBidi"/>
          <w:sz w:val="22"/>
          <w:szCs w:val="22"/>
        </w:rPr>
        <w:t>.</w:t>
      </w:r>
      <w:r w:rsidR="40C6D30B" w:rsidRPr="3651B6FB">
        <w:rPr>
          <w:rFonts w:cstheme="majorBidi"/>
          <w:sz w:val="22"/>
          <w:szCs w:val="22"/>
        </w:rPr>
        <w:t xml:space="preserve"> </w:t>
      </w:r>
      <w:proofErr w:type="spellStart"/>
      <w:r w:rsidR="002C53F0" w:rsidRPr="3651B6FB">
        <w:rPr>
          <w:rFonts w:cstheme="majorBidi"/>
          <w:sz w:val="22"/>
          <w:szCs w:val="22"/>
        </w:rPr>
        <w:t>FiM</w:t>
      </w:r>
      <w:proofErr w:type="spellEnd"/>
      <w:r w:rsidR="002C53F0" w:rsidRPr="3651B6FB">
        <w:rPr>
          <w:rFonts w:cstheme="majorBidi"/>
          <w:sz w:val="22"/>
          <w:szCs w:val="22"/>
        </w:rPr>
        <w:t xml:space="preserve"> is </w:t>
      </w:r>
      <w:r w:rsidR="0001224F" w:rsidRPr="3651B6FB">
        <w:rPr>
          <w:rFonts w:cstheme="majorBidi"/>
          <w:sz w:val="22"/>
          <w:szCs w:val="22"/>
        </w:rPr>
        <w:t xml:space="preserve">responsible for the </w:t>
      </w:r>
      <w:r w:rsidR="0537B8EE" w:rsidRPr="3651B6FB">
        <w:rPr>
          <w:rFonts w:cstheme="majorBidi"/>
          <w:sz w:val="22"/>
          <w:szCs w:val="22"/>
        </w:rPr>
        <w:t>day-to-day</w:t>
      </w:r>
      <w:r w:rsidR="0001224F" w:rsidRPr="3651B6FB">
        <w:rPr>
          <w:rFonts w:cstheme="majorBidi"/>
          <w:sz w:val="22"/>
          <w:szCs w:val="22"/>
        </w:rPr>
        <w:t xml:space="preserve"> management of the </w:t>
      </w:r>
      <w:r w:rsidR="00D26703" w:rsidRPr="3651B6FB">
        <w:rPr>
          <w:rFonts w:cstheme="majorBidi"/>
          <w:sz w:val="22"/>
          <w:szCs w:val="22"/>
        </w:rPr>
        <w:t>F</w:t>
      </w:r>
      <w:r w:rsidR="002C53F0" w:rsidRPr="3651B6FB">
        <w:rPr>
          <w:rFonts w:cstheme="majorBidi"/>
          <w:sz w:val="22"/>
          <w:szCs w:val="22"/>
        </w:rPr>
        <w:t>und</w:t>
      </w:r>
      <w:r w:rsidR="0001224F" w:rsidRPr="3651B6FB">
        <w:rPr>
          <w:rFonts w:cstheme="majorBidi"/>
          <w:sz w:val="22"/>
          <w:szCs w:val="22"/>
        </w:rPr>
        <w:t xml:space="preserve">. In this role, </w:t>
      </w:r>
      <w:proofErr w:type="spellStart"/>
      <w:r w:rsidR="0001224F" w:rsidRPr="3651B6FB">
        <w:rPr>
          <w:rFonts w:cstheme="majorBidi"/>
          <w:sz w:val="22"/>
          <w:szCs w:val="22"/>
        </w:rPr>
        <w:t>FiM</w:t>
      </w:r>
      <w:proofErr w:type="spellEnd"/>
      <w:r w:rsidR="0001224F" w:rsidRPr="3651B6FB">
        <w:rPr>
          <w:rFonts w:cstheme="majorBidi"/>
          <w:sz w:val="22"/>
          <w:szCs w:val="22"/>
        </w:rPr>
        <w:t xml:space="preserve"> </w:t>
      </w:r>
      <w:r w:rsidR="00E01D94" w:rsidRPr="3651B6FB">
        <w:rPr>
          <w:rFonts w:cstheme="majorBidi"/>
          <w:sz w:val="22"/>
          <w:szCs w:val="22"/>
        </w:rPr>
        <w:t xml:space="preserve">acts as an advisor for the Board of Directors – the independent panel </w:t>
      </w:r>
      <w:r w:rsidR="00BA14D0" w:rsidRPr="3651B6FB">
        <w:rPr>
          <w:rFonts w:cstheme="majorBidi"/>
          <w:sz w:val="22"/>
          <w:szCs w:val="22"/>
        </w:rPr>
        <w:t>representing the shareholders, provid</w:t>
      </w:r>
      <w:r w:rsidR="00360100" w:rsidRPr="3651B6FB">
        <w:rPr>
          <w:rFonts w:cstheme="majorBidi"/>
          <w:sz w:val="22"/>
          <w:szCs w:val="22"/>
        </w:rPr>
        <w:t>ing</w:t>
      </w:r>
      <w:r w:rsidR="00BA14D0" w:rsidRPr="3651B6FB">
        <w:rPr>
          <w:rFonts w:cstheme="majorBidi"/>
          <w:sz w:val="22"/>
          <w:szCs w:val="22"/>
        </w:rPr>
        <w:t xml:space="preserve"> clearance</w:t>
      </w:r>
      <w:r w:rsidR="00360100" w:rsidRPr="3651B6FB">
        <w:rPr>
          <w:rFonts w:cstheme="majorBidi"/>
          <w:sz w:val="22"/>
          <w:szCs w:val="22"/>
        </w:rPr>
        <w:t xml:space="preserve"> for investment</w:t>
      </w:r>
      <w:r w:rsidR="00BA14D0" w:rsidRPr="3651B6FB">
        <w:rPr>
          <w:rFonts w:cstheme="majorBidi"/>
          <w:sz w:val="22"/>
          <w:szCs w:val="22"/>
        </w:rPr>
        <w:t xml:space="preserve"> and strategic decision making for the </w:t>
      </w:r>
      <w:r w:rsidR="00D26703" w:rsidRPr="3651B6FB">
        <w:rPr>
          <w:rFonts w:cstheme="majorBidi"/>
          <w:sz w:val="22"/>
          <w:szCs w:val="22"/>
        </w:rPr>
        <w:t>F</w:t>
      </w:r>
      <w:r w:rsidR="00BA14D0" w:rsidRPr="3651B6FB">
        <w:rPr>
          <w:rFonts w:cstheme="majorBidi"/>
          <w:sz w:val="22"/>
          <w:szCs w:val="22"/>
        </w:rPr>
        <w:t>und.</w:t>
      </w:r>
    </w:p>
    <w:p w14:paraId="39B9A09B" w14:textId="1DB97269" w:rsidR="006320D6" w:rsidRPr="00D0005A" w:rsidRDefault="006320D6" w:rsidP="4DBABE4A">
      <w:pPr>
        <w:pStyle w:val="Default"/>
        <w:spacing w:after="120" w:line="276" w:lineRule="auto"/>
        <w:jc w:val="both"/>
        <w:rPr>
          <w:rFonts w:cstheme="majorBidi"/>
          <w:sz w:val="22"/>
          <w:szCs w:val="22"/>
        </w:rPr>
      </w:pPr>
      <w:r w:rsidRPr="4DBABE4A">
        <w:rPr>
          <w:rFonts w:cstheme="majorBidi"/>
          <w:sz w:val="22"/>
          <w:szCs w:val="22"/>
        </w:rPr>
        <w:lastRenderedPageBreak/>
        <w:t>Defra committed £20 million in December 2015 which was drawn down in two installments in February and August 2016</w:t>
      </w:r>
      <w:r w:rsidR="00D834F0" w:rsidRPr="4DBABE4A">
        <w:rPr>
          <w:rFonts w:cstheme="majorBidi"/>
          <w:sz w:val="22"/>
          <w:szCs w:val="22"/>
        </w:rPr>
        <w:t xml:space="preserve">. </w:t>
      </w:r>
      <w:r w:rsidR="0DC89372" w:rsidRPr="4DBABE4A">
        <w:rPr>
          <w:rFonts w:cstheme="majorBidi"/>
          <w:sz w:val="22"/>
          <w:szCs w:val="22"/>
        </w:rPr>
        <w:t>A</w:t>
      </w:r>
      <w:r w:rsidR="007376F5" w:rsidRPr="4DBABE4A">
        <w:rPr>
          <w:rFonts w:cstheme="majorBidi"/>
          <w:sz w:val="22"/>
          <w:szCs w:val="22"/>
        </w:rPr>
        <w:t>n additional investment was made in December 2019, consisting of £12.6m</w:t>
      </w:r>
      <w:r w:rsidR="00AF6A9F" w:rsidRPr="4DBABE4A">
        <w:rPr>
          <w:rFonts w:cstheme="majorBidi"/>
          <w:sz w:val="22"/>
          <w:szCs w:val="22"/>
        </w:rPr>
        <w:t xml:space="preserve">, bringing Defra’s total contribution to the </w:t>
      </w:r>
      <w:r w:rsidR="00D26703">
        <w:rPr>
          <w:rFonts w:cstheme="majorBidi"/>
          <w:sz w:val="22"/>
          <w:szCs w:val="22"/>
        </w:rPr>
        <w:t>F</w:t>
      </w:r>
      <w:r w:rsidR="00AF6A9F" w:rsidRPr="4DBABE4A">
        <w:rPr>
          <w:rFonts w:cstheme="majorBidi"/>
          <w:sz w:val="22"/>
          <w:szCs w:val="22"/>
        </w:rPr>
        <w:t>und to £32.6m.</w:t>
      </w:r>
      <w:r w:rsidR="006C63F0" w:rsidRPr="4DBABE4A">
        <w:rPr>
          <w:rFonts w:cstheme="majorBidi"/>
          <w:sz w:val="22"/>
          <w:szCs w:val="22"/>
        </w:rPr>
        <w:t xml:space="preserve"> As this investment was made at the end of 2019, </w:t>
      </w:r>
      <w:r w:rsidR="007B5F84" w:rsidRPr="4DBABE4A">
        <w:rPr>
          <w:rFonts w:cstheme="majorBidi"/>
          <w:sz w:val="22"/>
          <w:szCs w:val="22"/>
        </w:rPr>
        <w:t>it has not been</w:t>
      </w:r>
      <w:r w:rsidR="006C63F0" w:rsidRPr="4DBABE4A">
        <w:rPr>
          <w:rFonts w:cstheme="majorBidi"/>
          <w:sz w:val="22"/>
          <w:szCs w:val="22"/>
        </w:rPr>
        <w:t xml:space="preserve"> included</w:t>
      </w:r>
      <w:r w:rsidR="007B5F84" w:rsidRPr="4DBABE4A">
        <w:rPr>
          <w:rFonts w:cstheme="majorBidi"/>
          <w:sz w:val="22"/>
          <w:szCs w:val="22"/>
        </w:rPr>
        <w:t xml:space="preserve"> for purposes of the 2019 impact reporting.</w:t>
      </w:r>
    </w:p>
    <w:p w14:paraId="215337E5" w14:textId="2A6EB7D4" w:rsidR="006320D6" w:rsidRPr="00D0005A" w:rsidRDefault="00B357BD" w:rsidP="3651B6FB">
      <w:pPr>
        <w:pStyle w:val="Default"/>
        <w:spacing w:after="120" w:line="276" w:lineRule="auto"/>
        <w:jc w:val="both"/>
        <w:rPr>
          <w:rFonts w:cstheme="majorBidi"/>
          <w:sz w:val="22"/>
          <w:szCs w:val="22"/>
        </w:rPr>
      </w:pPr>
      <w:r>
        <w:rPr>
          <w:rFonts w:cstheme="majorBidi"/>
          <w:sz w:val="22"/>
          <w:szCs w:val="22"/>
        </w:rPr>
        <w:t>The EBF works across f</w:t>
      </w:r>
      <w:r w:rsidR="006320D6" w:rsidRPr="3651B6FB">
        <w:rPr>
          <w:rFonts w:cstheme="majorBidi"/>
          <w:sz w:val="22"/>
          <w:szCs w:val="22"/>
        </w:rPr>
        <w:t xml:space="preserve">our focus areas: </w:t>
      </w:r>
    </w:p>
    <w:p w14:paraId="10942103" w14:textId="26E50118" w:rsidR="006320D6" w:rsidRPr="00D0005A" w:rsidRDefault="006320D6" w:rsidP="006320D6">
      <w:pPr>
        <w:pStyle w:val="ListParagraph"/>
        <w:numPr>
          <w:ilvl w:val="0"/>
          <w:numId w:val="12"/>
        </w:numPr>
      </w:pPr>
      <w:r w:rsidRPr="00D0005A">
        <w:t>Sustainable agriculture and agribusiness</w:t>
      </w:r>
      <w:r w:rsidR="00D834F0">
        <w:t>;</w:t>
      </w:r>
    </w:p>
    <w:p w14:paraId="1DC33B3F" w14:textId="37ACFF7F" w:rsidR="006320D6" w:rsidRPr="00D0005A" w:rsidRDefault="006320D6" w:rsidP="006320D6">
      <w:pPr>
        <w:pStyle w:val="ListParagraph"/>
        <w:numPr>
          <w:ilvl w:val="0"/>
          <w:numId w:val="12"/>
        </w:numPr>
      </w:pPr>
      <w:r w:rsidRPr="00D0005A">
        <w:t>Sust</w:t>
      </w:r>
      <w:r w:rsidR="00D834F0">
        <w:t>ainable fishery and aquaculture;</w:t>
      </w:r>
    </w:p>
    <w:p w14:paraId="65C49A7B" w14:textId="62C84B08" w:rsidR="006320D6" w:rsidRPr="00D0005A" w:rsidRDefault="00D834F0" w:rsidP="006320D6">
      <w:pPr>
        <w:pStyle w:val="ListParagraph"/>
        <w:numPr>
          <w:ilvl w:val="0"/>
          <w:numId w:val="12"/>
        </w:numPr>
      </w:pPr>
      <w:r>
        <w:t>Sustainable forestry; and</w:t>
      </w:r>
    </w:p>
    <w:p w14:paraId="42673C2C" w14:textId="6B7986DB" w:rsidR="006320D6" w:rsidRPr="00D0005A" w:rsidRDefault="00D834F0" w:rsidP="006320D6">
      <w:pPr>
        <w:pStyle w:val="ListParagraph"/>
        <w:numPr>
          <w:ilvl w:val="0"/>
          <w:numId w:val="12"/>
        </w:numPr>
      </w:pPr>
      <w:r>
        <w:t>Sustainable tourism.</w:t>
      </w:r>
    </w:p>
    <w:p w14:paraId="0D7C3583" w14:textId="46DB2D30" w:rsidR="006320D6" w:rsidRPr="00D0005A" w:rsidRDefault="006320D6" w:rsidP="006320D6">
      <w:pPr>
        <w:pStyle w:val="Normal1"/>
        <w:tabs>
          <w:tab w:val="left" w:pos="6915"/>
          <w:tab w:val="left" w:pos="9495"/>
        </w:tabs>
        <w:spacing w:after="120" w:line="276" w:lineRule="auto"/>
        <w:jc w:val="both"/>
        <w:rPr>
          <w:rFonts w:ascii="Calibri" w:hAnsi="Calibri"/>
          <w:sz w:val="22"/>
          <w:szCs w:val="22"/>
        </w:rPr>
      </w:pPr>
      <w:r w:rsidRPr="4DBABE4A">
        <w:rPr>
          <w:rFonts w:ascii="Calibri" w:hAnsi="Calibri" w:cstheme="majorBidi"/>
          <w:sz w:val="22"/>
          <w:szCs w:val="22"/>
        </w:rPr>
        <w:t xml:space="preserve">These four </w:t>
      </w:r>
      <w:r w:rsidR="00D834F0" w:rsidRPr="4DBABE4A">
        <w:rPr>
          <w:rFonts w:ascii="Calibri" w:hAnsi="Calibri" w:cstheme="majorBidi"/>
          <w:sz w:val="22"/>
          <w:szCs w:val="22"/>
        </w:rPr>
        <w:t xml:space="preserve">areas </w:t>
      </w:r>
      <w:r w:rsidRPr="4DBABE4A">
        <w:rPr>
          <w:rFonts w:ascii="Calibri" w:hAnsi="Calibri" w:cstheme="majorBidi"/>
          <w:sz w:val="22"/>
          <w:szCs w:val="22"/>
        </w:rPr>
        <w:t xml:space="preserve">are pivotal pillars of the LAC economy but are also significant contributors to the region’s environmental footprint and are increasingly affected by climate change. The </w:t>
      </w:r>
      <w:r w:rsidR="00D26703">
        <w:rPr>
          <w:rFonts w:ascii="Calibri" w:hAnsi="Calibri" w:cstheme="majorBidi"/>
          <w:sz w:val="22"/>
          <w:szCs w:val="22"/>
        </w:rPr>
        <w:t>EBF</w:t>
      </w:r>
      <w:r w:rsidRPr="4DBABE4A">
        <w:rPr>
          <w:rFonts w:ascii="Calibri" w:hAnsi="Calibri" w:cstheme="majorBidi"/>
          <w:sz w:val="22"/>
          <w:szCs w:val="22"/>
        </w:rPr>
        <w:t xml:space="preserve"> believes that companies in these sectors need to transform their business models to become more sustainable; allow efficient and innovative business practices; and secure viability for both the company and the environment in which they operate. More specifically</w:t>
      </w:r>
      <w:r w:rsidR="00D834F0" w:rsidRPr="4DBABE4A">
        <w:rPr>
          <w:rFonts w:ascii="Calibri" w:hAnsi="Calibri" w:cstheme="majorBidi"/>
          <w:sz w:val="22"/>
          <w:szCs w:val="22"/>
        </w:rPr>
        <w:t xml:space="preserve">, the </w:t>
      </w:r>
      <w:r w:rsidR="00D26703">
        <w:rPr>
          <w:rFonts w:ascii="Calibri" w:hAnsi="Calibri" w:cstheme="majorBidi"/>
          <w:sz w:val="22"/>
          <w:szCs w:val="22"/>
        </w:rPr>
        <w:t>F</w:t>
      </w:r>
      <w:r w:rsidRPr="4DBABE4A">
        <w:rPr>
          <w:rFonts w:ascii="Calibri" w:hAnsi="Calibri" w:cstheme="majorBidi"/>
          <w:sz w:val="22"/>
          <w:szCs w:val="22"/>
        </w:rPr>
        <w:t>und intends to support an industry shift towards business practices that conserve biodiversity, use natural resources sustainably, and mitigate and/or become more resilient to climate change.</w:t>
      </w:r>
    </w:p>
    <w:p w14:paraId="711D87AD" w14:textId="72141528" w:rsidR="006320D6" w:rsidRPr="00D0005A" w:rsidRDefault="00D834F0" w:rsidP="006320D6">
      <w:pPr>
        <w:pStyle w:val="Normal1"/>
        <w:tabs>
          <w:tab w:val="left" w:pos="6915"/>
          <w:tab w:val="left" w:pos="9495"/>
        </w:tabs>
        <w:spacing w:after="120" w:line="276" w:lineRule="auto"/>
        <w:jc w:val="both"/>
        <w:rPr>
          <w:rFonts w:ascii="Calibri" w:hAnsi="Calibri"/>
          <w:sz w:val="22"/>
          <w:szCs w:val="22"/>
        </w:rPr>
      </w:pPr>
      <w:r w:rsidRPr="4DBABE4A">
        <w:rPr>
          <w:rFonts w:ascii="Calibri" w:hAnsi="Calibri"/>
          <w:sz w:val="22"/>
          <w:szCs w:val="22"/>
        </w:rPr>
        <w:t xml:space="preserve">The </w:t>
      </w:r>
      <w:r w:rsidR="00D26703">
        <w:rPr>
          <w:rFonts w:ascii="Calibri" w:hAnsi="Calibri"/>
          <w:sz w:val="22"/>
          <w:szCs w:val="22"/>
        </w:rPr>
        <w:t>F</w:t>
      </w:r>
      <w:r w:rsidR="006320D6" w:rsidRPr="4DBABE4A">
        <w:rPr>
          <w:rFonts w:ascii="Calibri" w:hAnsi="Calibri"/>
          <w:sz w:val="22"/>
          <w:szCs w:val="22"/>
        </w:rPr>
        <w:t>und currently channels dedicated financing to local producers via selected local FIs, and in limited cases will provide direct financing for innovative, small scale, high-impact businesses and projects. Investment activities are often complemented by the provision of TA to local FIs</w:t>
      </w:r>
      <w:r w:rsidR="001A47A1" w:rsidRPr="4DBABE4A">
        <w:rPr>
          <w:rFonts w:ascii="Calibri" w:hAnsi="Calibri"/>
          <w:sz w:val="22"/>
          <w:szCs w:val="22"/>
        </w:rPr>
        <w:t xml:space="preserve"> </w:t>
      </w:r>
      <w:r w:rsidR="006320D6" w:rsidRPr="4DBABE4A">
        <w:rPr>
          <w:rFonts w:ascii="Calibri" w:hAnsi="Calibri"/>
          <w:sz w:val="22"/>
          <w:szCs w:val="22"/>
        </w:rPr>
        <w:t xml:space="preserve">and their clients. Financial instruments offered include a range of debt instruments but typically are medium to long-term senior loans and subordinated debt as well as syndicated loans. </w:t>
      </w:r>
    </w:p>
    <w:p w14:paraId="14EAF4AE" w14:textId="53BDD8F8" w:rsidR="006320D6" w:rsidRPr="00D0005A" w:rsidRDefault="006320D6" w:rsidP="006320D6">
      <w:pPr>
        <w:pStyle w:val="Normal1"/>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Individual loans from </w:t>
      </w:r>
      <w:r>
        <w:rPr>
          <w:rFonts w:ascii="Calibri" w:hAnsi="Calibri"/>
          <w:iCs/>
          <w:sz w:val="22"/>
          <w:szCs w:val="22"/>
        </w:rPr>
        <w:t>FIs</w:t>
      </w:r>
      <w:r w:rsidR="001A47A1">
        <w:rPr>
          <w:rFonts w:ascii="Calibri" w:hAnsi="Calibri"/>
          <w:iCs/>
          <w:sz w:val="22"/>
          <w:szCs w:val="22"/>
        </w:rPr>
        <w:t xml:space="preserve"> </w:t>
      </w:r>
      <w:r w:rsidRPr="00D0005A">
        <w:rPr>
          <w:rFonts w:ascii="Calibri" w:hAnsi="Calibri"/>
          <w:sz w:val="22"/>
          <w:szCs w:val="22"/>
        </w:rPr>
        <w:t>to final borrowers re</w:t>
      </w:r>
      <w:r w:rsidR="00D834F0">
        <w:rPr>
          <w:rFonts w:ascii="Calibri" w:hAnsi="Calibri"/>
          <w:sz w:val="22"/>
          <w:szCs w:val="22"/>
        </w:rPr>
        <w:t>-</w:t>
      </w:r>
      <w:r w:rsidRPr="00D0005A">
        <w:rPr>
          <w:rFonts w:ascii="Calibri" w:hAnsi="Calibri"/>
          <w:sz w:val="22"/>
          <w:szCs w:val="22"/>
        </w:rPr>
        <w:t xml:space="preserve">financed by the </w:t>
      </w:r>
      <w:r w:rsidR="00D26703">
        <w:rPr>
          <w:rFonts w:ascii="Calibri" w:hAnsi="Calibri"/>
          <w:sz w:val="22"/>
          <w:szCs w:val="22"/>
        </w:rPr>
        <w:t>F</w:t>
      </w:r>
      <w:r w:rsidRPr="00D0005A">
        <w:rPr>
          <w:rFonts w:ascii="Calibri" w:hAnsi="Calibri"/>
          <w:sz w:val="22"/>
          <w:szCs w:val="22"/>
        </w:rPr>
        <w:t xml:space="preserve">und need to </w:t>
      </w:r>
      <w:r w:rsidR="00D834F0" w:rsidRPr="00D0005A">
        <w:rPr>
          <w:rFonts w:ascii="Calibri" w:hAnsi="Calibri"/>
          <w:sz w:val="22"/>
          <w:szCs w:val="22"/>
        </w:rPr>
        <w:t>fulfil</w:t>
      </w:r>
      <w:r w:rsidRPr="00D0005A">
        <w:rPr>
          <w:rFonts w:ascii="Calibri" w:hAnsi="Calibri"/>
          <w:sz w:val="22"/>
          <w:szCs w:val="22"/>
        </w:rPr>
        <w:t xml:space="preserve"> one of the following conditions:</w:t>
      </w:r>
    </w:p>
    <w:p w14:paraId="14B9825E" w14:textId="4532C7F2" w:rsidR="006320D6" w:rsidRPr="00D0005A" w:rsidRDefault="006320D6" w:rsidP="006320D6">
      <w:pPr>
        <w:pStyle w:val="ListParagraph"/>
        <w:numPr>
          <w:ilvl w:val="0"/>
          <w:numId w:val="13"/>
        </w:numPr>
      </w:pPr>
      <w:r w:rsidRPr="00D0005A">
        <w:t>The final borrower holds a</w:t>
      </w:r>
      <w:r w:rsidR="0001224F">
        <w:t>n EBF approved</w:t>
      </w:r>
      <w:r w:rsidRPr="00D0005A">
        <w:t xml:space="preserve"> sustainability certification</w:t>
      </w:r>
      <w:r>
        <w:t>.</w:t>
      </w:r>
    </w:p>
    <w:p w14:paraId="2BCB0ABE" w14:textId="7D3E0BE4" w:rsidR="006320D6" w:rsidRPr="00D0005A" w:rsidRDefault="006320D6" w:rsidP="006320D6">
      <w:pPr>
        <w:pStyle w:val="ListParagraph"/>
        <w:numPr>
          <w:ilvl w:val="0"/>
          <w:numId w:val="13"/>
        </w:numPr>
      </w:pPr>
      <w:r w:rsidRPr="00D0005A">
        <w:t>The activity fina</w:t>
      </w:r>
      <w:r>
        <w:t>nc</w:t>
      </w:r>
      <w:r w:rsidR="00D834F0">
        <w:t xml:space="preserve">ed is included in the </w:t>
      </w:r>
      <w:r w:rsidR="00D26703">
        <w:t>EBF</w:t>
      </w:r>
      <w:r>
        <w:t xml:space="preserve">’s </w:t>
      </w:r>
      <w:r w:rsidR="00D834F0">
        <w:t>g</w:t>
      </w:r>
      <w:r w:rsidRPr="00D0005A">
        <w:t xml:space="preserve">reen </w:t>
      </w:r>
      <w:r w:rsidR="00D834F0">
        <w:t>l</w:t>
      </w:r>
      <w:r w:rsidRPr="00D0005A">
        <w:t>ist of eligible measures with a positive impact on biodiversity</w:t>
      </w:r>
      <w:r>
        <w:t>, climate change and resource efficiency.</w:t>
      </w:r>
    </w:p>
    <w:p w14:paraId="2767F683" w14:textId="0791733A" w:rsidR="006320D6" w:rsidRPr="00D0005A" w:rsidRDefault="00D834F0" w:rsidP="006320D6">
      <w:pPr>
        <w:pStyle w:val="ListParagraph"/>
        <w:numPr>
          <w:ilvl w:val="0"/>
          <w:numId w:val="13"/>
        </w:numPr>
      </w:pPr>
      <w:r>
        <w:t>The f</w:t>
      </w:r>
      <w:r w:rsidR="006320D6" w:rsidRPr="00D0005A">
        <w:t>und will also finance innovative measures developed by partner institutions that contribute towards achieving its mission</w:t>
      </w:r>
      <w:r w:rsidR="006320D6">
        <w:t>.</w:t>
      </w:r>
    </w:p>
    <w:p w14:paraId="07DEF3BE" w14:textId="569925CF" w:rsidR="0065572C" w:rsidRDefault="006320D6" w:rsidP="000004E0">
      <w:r>
        <w:t xml:space="preserve">Investment into the EBF contributes towards Defra’s and </w:t>
      </w:r>
      <w:r w:rsidR="00D834F0">
        <w:t>Her Majesty’s Government</w:t>
      </w:r>
      <w:r w:rsidR="0092569F">
        <w:t>’s</w:t>
      </w:r>
      <w:r w:rsidR="00D834F0">
        <w:t xml:space="preserve"> (</w:t>
      </w:r>
      <w:r>
        <w:t>HMG</w:t>
      </w:r>
      <w:r w:rsidR="0092569F">
        <w:t>’s</w:t>
      </w:r>
      <w:r w:rsidR="00D834F0">
        <w:t>)</w:t>
      </w:r>
      <w:r>
        <w:t xml:space="preserve"> </w:t>
      </w:r>
      <w:r w:rsidR="0092569F">
        <w:t xml:space="preserve">international </w:t>
      </w:r>
      <w:r>
        <w:t>climate</w:t>
      </w:r>
      <w:r w:rsidR="0092569F">
        <w:t xml:space="preserve"> and environment</w:t>
      </w:r>
      <w:r>
        <w:t xml:space="preserve"> objectives.</w:t>
      </w:r>
    </w:p>
    <w:p w14:paraId="63CBB1D6" w14:textId="4FE8B28F" w:rsidR="000004E0" w:rsidRPr="000004E0" w:rsidRDefault="000004E0" w:rsidP="000004E0">
      <w:pPr>
        <w:rPr>
          <w:rStyle w:val="Emphasis"/>
        </w:rPr>
      </w:pPr>
      <w:r w:rsidRPr="000004E0">
        <w:rPr>
          <w:rStyle w:val="Emphasis"/>
        </w:rPr>
        <w:t>Summary of progress since inception</w:t>
      </w:r>
      <w:r w:rsidR="003B0E26">
        <w:rPr>
          <w:rStyle w:val="Emphasis"/>
        </w:rPr>
        <w:t xml:space="preserve"> (2014)</w:t>
      </w:r>
    </w:p>
    <w:p w14:paraId="38810004" w14:textId="21886660" w:rsidR="00300724" w:rsidRDefault="000004E0" w:rsidP="001D706E">
      <w:pPr>
        <w:spacing w:before="0"/>
      </w:pPr>
      <w:r>
        <w:t xml:space="preserve">The </w:t>
      </w:r>
      <w:r w:rsidR="00B30B63">
        <w:t>EB</w:t>
      </w:r>
      <w:r>
        <w:t xml:space="preserve">F completed its </w:t>
      </w:r>
      <w:r w:rsidR="00300724">
        <w:t>fifth</w:t>
      </w:r>
      <w:r>
        <w:t xml:space="preserve"> full ye</w:t>
      </w:r>
      <w:r w:rsidR="00230EAC">
        <w:t>ar of operation in December 201</w:t>
      </w:r>
      <w:r w:rsidR="00300724">
        <w:t>9</w:t>
      </w:r>
      <w:r w:rsidR="004F0FA7">
        <w:t xml:space="preserve">. </w:t>
      </w:r>
      <w:r w:rsidR="00300724">
        <w:t>EBF, when created</w:t>
      </w:r>
      <w:r w:rsidR="00F330B0">
        <w:t>,</w:t>
      </w:r>
      <w:r w:rsidR="00300724">
        <w:t xml:space="preserve"> was a newcomer to the sector – and uniquely sought to utilise sustainable certification known as Voluntary Sustainability</w:t>
      </w:r>
      <w:r w:rsidR="002434C1">
        <w:t xml:space="preserve"> </w:t>
      </w:r>
      <w:r w:rsidR="00F330B0">
        <w:t>S</w:t>
      </w:r>
      <w:r w:rsidR="002434C1">
        <w:t>tandards</w:t>
      </w:r>
      <w:r w:rsidR="00300724">
        <w:t xml:space="preserve"> (VSS) </w:t>
      </w:r>
      <w:r w:rsidR="009F1F02">
        <w:t>and ‘green list’ activities</w:t>
      </w:r>
      <w:r w:rsidR="00AF6AF7">
        <w:rPr>
          <w:rStyle w:val="FootnoteReference"/>
        </w:rPr>
        <w:footnoteReference w:id="3"/>
      </w:r>
      <w:r w:rsidR="002434C1">
        <w:t xml:space="preserve">, defined by the </w:t>
      </w:r>
      <w:r w:rsidR="00D26703">
        <w:t>F</w:t>
      </w:r>
      <w:r w:rsidR="002434C1">
        <w:t>und,</w:t>
      </w:r>
      <w:r w:rsidR="009F1F02">
        <w:t xml:space="preserve"> as a requirement for lending through </w:t>
      </w:r>
      <w:r w:rsidR="6DDBF132">
        <w:t>FI</w:t>
      </w:r>
      <w:r w:rsidR="009F1F02">
        <w:t xml:space="preserve">s.  </w:t>
      </w:r>
    </w:p>
    <w:p w14:paraId="071AFA93" w14:textId="17B7546B" w:rsidR="0070308C" w:rsidRDefault="765F4CD7" w:rsidP="001D706E">
      <w:pPr>
        <w:spacing w:before="0"/>
      </w:pPr>
      <w:r>
        <w:t>EBF</w:t>
      </w:r>
      <w:r w:rsidR="004F0FA7">
        <w:t xml:space="preserve"> has </w:t>
      </w:r>
      <w:r w:rsidR="000004E0">
        <w:t>grown from being a newcomer in the sector</w:t>
      </w:r>
      <w:r w:rsidR="004F0FA7">
        <w:t xml:space="preserve"> without </w:t>
      </w:r>
      <w:r w:rsidR="000004E0">
        <w:t xml:space="preserve">a track record, into an increasingly recognised financier and knowledgeable partner in a range of sustainably focussed activities in a large and </w:t>
      </w:r>
      <w:proofErr w:type="spellStart"/>
      <w:r w:rsidR="000004E0">
        <w:t>sectorally</w:t>
      </w:r>
      <w:proofErr w:type="spellEnd"/>
      <w:r w:rsidR="000004E0">
        <w:t xml:space="preserve"> diverse region. </w:t>
      </w:r>
      <w:r w:rsidR="00701438">
        <w:t>The fund becam</w:t>
      </w:r>
      <w:r w:rsidR="00F27CE8">
        <w:t xml:space="preserve">e profitable in the second year, earning a return for investors whilst </w:t>
      </w:r>
      <w:r w:rsidR="0033712E">
        <w:t xml:space="preserve">providing </w:t>
      </w:r>
      <w:r w:rsidR="00F27CE8">
        <w:t>significant financ</w:t>
      </w:r>
      <w:r w:rsidR="004F0FA7">
        <w:t>ing</w:t>
      </w:r>
      <w:r w:rsidR="00F27CE8">
        <w:t xml:space="preserve"> for environmentally sustainable businesses</w:t>
      </w:r>
      <w:r w:rsidR="3DBE8D97">
        <w:t>.</w:t>
      </w:r>
    </w:p>
    <w:p w14:paraId="725E8D60" w14:textId="3F127623" w:rsidR="00790F4F" w:rsidRPr="009B113B" w:rsidRDefault="00790F4F" w:rsidP="009B113B">
      <w:pPr>
        <w:pStyle w:val="Heading3"/>
        <w:numPr>
          <w:ilvl w:val="0"/>
          <w:numId w:val="0"/>
        </w:numPr>
        <w:rPr>
          <w:rFonts w:cstheme="minorHAnsi"/>
          <w:b/>
          <w:i w:val="0"/>
          <w:color w:val="auto"/>
          <w:sz w:val="24"/>
        </w:rPr>
      </w:pPr>
      <w:bookmarkStart w:id="1" w:name="_Toc51578510"/>
      <w:r w:rsidRPr="009B113B">
        <w:rPr>
          <w:rFonts w:cstheme="minorHAnsi"/>
          <w:b/>
          <w:i w:val="0"/>
          <w:color w:val="auto"/>
          <w:sz w:val="24"/>
        </w:rPr>
        <w:t>201</w:t>
      </w:r>
      <w:r w:rsidR="009F1F02" w:rsidRPr="009B113B">
        <w:rPr>
          <w:rFonts w:cstheme="minorHAnsi"/>
          <w:b/>
          <w:i w:val="0"/>
          <w:color w:val="auto"/>
          <w:sz w:val="24"/>
        </w:rPr>
        <w:t>8</w:t>
      </w:r>
      <w:r w:rsidRPr="009B113B">
        <w:rPr>
          <w:rFonts w:cstheme="minorHAnsi"/>
          <w:b/>
          <w:i w:val="0"/>
          <w:color w:val="auto"/>
          <w:sz w:val="24"/>
        </w:rPr>
        <w:t xml:space="preserve"> Recommendations</w:t>
      </w:r>
      <w:bookmarkEnd w:id="1"/>
      <w:r w:rsidR="004E66BF" w:rsidRPr="009B113B">
        <w:rPr>
          <w:rFonts w:cstheme="minorHAnsi"/>
          <w:b/>
          <w:i w:val="0"/>
          <w:color w:val="auto"/>
          <w:sz w:val="24"/>
        </w:rPr>
        <w:t xml:space="preserve"> </w:t>
      </w:r>
    </w:p>
    <w:p w14:paraId="108616AD" w14:textId="035AEE83" w:rsidR="009F1F02" w:rsidRDefault="00614E2B" w:rsidP="00614E2B">
      <w:pPr>
        <w:pStyle w:val="Heading7"/>
        <w:numPr>
          <w:ilvl w:val="0"/>
          <w:numId w:val="41"/>
        </w:numPr>
        <w:rPr>
          <w:rFonts w:ascii="Calibri" w:eastAsia="Times New Roman" w:hAnsi="Calibri" w:cs="Franklin Gothic Book"/>
          <w:iCs w:val="0"/>
        </w:rPr>
      </w:pPr>
      <w:r>
        <w:rPr>
          <w:rFonts w:ascii="Calibri" w:eastAsia="Times New Roman" w:hAnsi="Calibri" w:cs="Franklin Gothic Book"/>
          <w:iCs w:val="0"/>
        </w:rPr>
        <w:lastRenderedPageBreak/>
        <w:t>E</w:t>
      </w:r>
      <w:r w:rsidRPr="00614E2B">
        <w:rPr>
          <w:rFonts w:ascii="Calibri" w:eastAsia="Times New Roman" w:hAnsi="Calibri" w:cs="Franklin Gothic Book"/>
          <w:iCs w:val="0"/>
        </w:rPr>
        <w:t>valuate how the indicators contribute towards the overall output and overall outcome of EBF investment</w:t>
      </w:r>
      <w:r w:rsidR="00C930AA">
        <w:rPr>
          <w:rFonts w:ascii="Calibri" w:eastAsia="Times New Roman" w:hAnsi="Calibri" w:cs="Franklin Gothic Book"/>
          <w:iCs w:val="0"/>
        </w:rPr>
        <w:t>:</w:t>
      </w:r>
    </w:p>
    <w:p w14:paraId="31B24064" w14:textId="5C50A7E5" w:rsidR="00B04F99" w:rsidRDefault="00CA2F3A" w:rsidP="00C930AA">
      <w:pPr>
        <w:ind w:left="360"/>
      </w:pPr>
      <w:r>
        <w:t>EBF manages its imp</w:t>
      </w:r>
      <w:r w:rsidR="00675886">
        <w:t xml:space="preserve">act based on a Theory of Change and in alignment with the </w:t>
      </w:r>
      <w:hyperlink r:id="rId12">
        <w:r w:rsidR="00675886" w:rsidRPr="71E92DF2">
          <w:rPr>
            <w:rStyle w:val="Hyperlink"/>
          </w:rPr>
          <w:t>Operating Principles for Impact Management</w:t>
        </w:r>
      </w:hyperlink>
      <w:r w:rsidR="00675886">
        <w:t xml:space="preserve">. </w:t>
      </w:r>
      <w:r w:rsidR="00614E2B">
        <w:t xml:space="preserve">Defra’s ICF </w:t>
      </w:r>
      <w:r w:rsidR="3B70F11C">
        <w:t>M&amp;E</w:t>
      </w:r>
      <w:r w:rsidR="00614E2B">
        <w:t xml:space="preserve"> team has worked effectively alongside relevant members of </w:t>
      </w:r>
      <w:proofErr w:type="spellStart"/>
      <w:r w:rsidR="00614E2B">
        <w:t>Fi</w:t>
      </w:r>
      <w:r w:rsidR="38A8765D">
        <w:t>M</w:t>
      </w:r>
      <w:proofErr w:type="spellEnd"/>
      <w:r w:rsidR="00614E2B">
        <w:t xml:space="preserve"> </w:t>
      </w:r>
      <w:r w:rsidR="00B04F99">
        <w:t>t</w:t>
      </w:r>
      <w:r w:rsidR="00614E2B">
        <w:t xml:space="preserve">o </w:t>
      </w:r>
      <w:r w:rsidR="0FE06E53">
        <w:t xml:space="preserve">set </w:t>
      </w:r>
      <w:r w:rsidR="6161B35F">
        <w:t>Key Performance Indictors (KPIs)</w:t>
      </w:r>
      <w:r w:rsidR="7FE0A490">
        <w:t xml:space="preserve"> </w:t>
      </w:r>
      <w:r w:rsidR="04E77684">
        <w:t xml:space="preserve">that are </w:t>
      </w:r>
      <w:r w:rsidR="00614E2B">
        <w:t xml:space="preserve">relevant to the overarching goals </w:t>
      </w:r>
      <w:r w:rsidR="00B04F99">
        <w:t>of our intervention. In particular, we have amended the following KPIs:</w:t>
      </w:r>
    </w:p>
    <w:p w14:paraId="09438E91" w14:textId="1A5AAB54" w:rsidR="00B04F99" w:rsidRDefault="00B04F99" w:rsidP="0001224F">
      <w:pPr>
        <w:pStyle w:val="ListParagraph"/>
        <w:numPr>
          <w:ilvl w:val="0"/>
          <w:numId w:val="46"/>
        </w:numPr>
      </w:pPr>
      <w:r>
        <w:t>CO</w:t>
      </w:r>
      <w:r w:rsidRPr="4DBABE4A">
        <w:rPr>
          <w:vertAlign w:val="subscript"/>
        </w:rPr>
        <w:t>2</w:t>
      </w:r>
      <w:r>
        <w:t xml:space="preserve"> sequestration</w:t>
      </w:r>
    </w:p>
    <w:p w14:paraId="06047891" w14:textId="11891959" w:rsidR="00C930AA" w:rsidRDefault="00B04F99" w:rsidP="00C865B2">
      <w:pPr>
        <w:pStyle w:val="ListParagraph"/>
        <w:numPr>
          <w:ilvl w:val="0"/>
          <w:numId w:val="46"/>
        </w:numPr>
      </w:pPr>
      <w:r>
        <w:t>Leveraged private finance</w:t>
      </w:r>
    </w:p>
    <w:p w14:paraId="539E1D15" w14:textId="46D5E8C4" w:rsidR="00C865B2" w:rsidRDefault="00C865B2" w:rsidP="00C865B2">
      <w:r>
        <w:t xml:space="preserve">These are outlined further in section G: </w:t>
      </w:r>
      <w:r w:rsidR="24213A7B">
        <w:t>M&amp;E</w:t>
      </w:r>
      <w:r>
        <w:t>.</w:t>
      </w:r>
    </w:p>
    <w:p w14:paraId="669D4729" w14:textId="77777777" w:rsidR="00C930AA" w:rsidRDefault="00C930AA" w:rsidP="00C930AA">
      <w:pPr>
        <w:pStyle w:val="ListParagraph"/>
        <w:numPr>
          <w:ilvl w:val="0"/>
          <w:numId w:val="41"/>
        </w:numPr>
      </w:pPr>
      <w:r w:rsidRPr="00DD704A">
        <w:rPr>
          <w:b/>
        </w:rPr>
        <w:t>Upper Middle-Income Countries (UMICs) strategy:</w:t>
      </w:r>
      <w:r>
        <w:t xml:space="preserve">  </w:t>
      </w:r>
    </w:p>
    <w:p w14:paraId="355C14AD" w14:textId="68B78323" w:rsidR="00C930AA" w:rsidRDefault="00C930AA" w:rsidP="00C930AA">
      <w:pPr>
        <w:ind w:left="360"/>
      </w:pPr>
      <w:r>
        <w:t xml:space="preserve">The Fund manager has confirmed that the </w:t>
      </w:r>
      <w:r w:rsidR="00477B08">
        <w:t xml:space="preserve">EBF </w:t>
      </w:r>
      <w:r>
        <w:t xml:space="preserve">will de-leverage from countries which are vulnerable to graduating from the </w:t>
      </w:r>
      <w:r w:rsidR="33A2BC01">
        <w:t>Offic</w:t>
      </w:r>
      <w:r w:rsidR="58CAB4B8">
        <w:t>i</w:t>
      </w:r>
      <w:r w:rsidR="33A2BC01">
        <w:t>al Development A</w:t>
      </w:r>
      <w:r w:rsidR="7B506A32">
        <w:t>s</w:t>
      </w:r>
      <w:r w:rsidR="33A2BC01">
        <w:t>s</w:t>
      </w:r>
      <w:r w:rsidR="78144A98">
        <w:t>is</w:t>
      </w:r>
      <w:r w:rsidR="33A2BC01">
        <w:t>tance (</w:t>
      </w:r>
      <w:r>
        <w:t>ODA</w:t>
      </w:r>
      <w:r w:rsidR="1886B406">
        <w:t>)</w:t>
      </w:r>
      <w:r>
        <w:t xml:space="preserve"> eligibility list. </w:t>
      </w:r>
      <w:r w:rsidR="00927F53">
        <w:t xml:space="preserve">Re-investments into Panama have already been </w:t>
      </w:r>
      <w:r>
        <w:t>decreased</w:t>
      </w:r>
      <w:r w:rsidR="00927F53">
        <w:t>.</w:t>
      </w:r>
    </w:p>
    <w:p w14:paraId="08122BFF" w14:textId="171F0FB7" w:rsidR="00C930AA" w:rsidRDefault="00C930AA" w:rsidP="00C930AA">
      <w:pPr>
        <w:pStyle w:val="ListParagraph"/>
        <w:numPr>
          <w:ilvl w:val="0"/>
          <w:numId w:val="41"/>
        </w:numPr>
      </w:pPr>
      <w:r w:rsidRPr="4DBABE4A">
        <w:rPr>
          <w:b/>
          <w:bCs/>
        </w:rPr>
        <w:t>Defra involvement in</w:t>
      </w:r>
      <w:r w:rsidR="3582C747" w:rsidRPr="4DBABE4A">
        <w:rPr>
          <w:b/>
          <w:bCs/>
        </w:rPr>
        <w:t xml:space="preserve"> the</w:t>
      </w:r>
      <w:r w:rsidRPr="4DBABE4A">
        <w:rPr>
          <w:b/>
          <w:bCs/>
        </w:rPr>
        <w:t xml:space="preserve"> Development Facility</w:t>
      </w:r>
      <w:r>
        <w:t xml:space="preserve"> </w:t>
      </w:r>
    </w:p>
    <w:p w14:paraId="394EC107" w14:textId="55D0F394" w:rsidR="00C930AA" w:rsidRDefault="00C930AA" w:rsidP="00C930AA">
      <w:pPr>
        <w:ind w:left="360"/>
      </w:pPr>
      <w:proofErr w:type="spellStart"/>
      <w:r>
        <w:t>Fi</w:t>
      </w:r>
      <w:r w:rsidR="6327BADF">
        <w:t>M</w:t>
      </w:r>
      <w:proofErr w:type="spellEnd"/>
      <w:r>
        <w:t xml:space="preserve"> approached Defra </w:t>
      </w:r>
      <w:r w:rsidR="098902E7">
        <w:t xml:space="preserve">regarding </w:t>
      </w:r>
      <w:r>
        <w:t>sitting on the D</w:t>
      </w:r>
      <w:r w:rsidR="00FC1DD1">
        <w:t>evelopment</w:t>
      </w:r>
      <w:r w:rsidR="1D835D23">
        <w:t xml:space="preserve"> </w:t>
      </w:r>
      <w:r>
        <w:t>F</w:t>
      </w:r>
      <w:r w:rsidR="7451AA3F">
        <w:t>acility</w:t>
      </w:r>
      <w:r>
        <w:t xml:space="preserve"> board. Defra now sits at the quarterly Development </w:t>
      </w:r>
      <w:r w:rsidR="00F330B0">
        <w:t>F</w:t>
      </w:r>
      <w:r>
        <w:t xml:space="preserve">acility meetings as </w:t>
      </w:r>
      <w:r w:rsidR="246A8CDD">
        <w:t>non-voting member</w:t>
      </w:r>
      <w:r>
        <w:t xml:space="preserve">. There are ongoing discussions concerning </w:t>
      </w:r>
      <w:r w:rsidR="00927F53">
        <w:t xml:space="preserve">any potential </w:t>
      </w:r>
      <w:r w:rsidR="004E3E37">
        <w:t xml:space="preserve">personal </w:t>
      </w:r>
      <w:r>
        <w:t>liabilit</w:t>
      </w:r>
      <w:r w:rsidR="00927F53">
        <w:t>ies associated</w:t>
      </w:r>
      <w:r>
        <w:t xml:space="preserve">, however it is expected that Defra will join the </w:t>
      </w:r>
      <w:r w:rsidR="00927F53">
        <w:t xml:space="preserve">board meetings as a </w:t>
      </w:r>
      <w:r w:rsidR="3A8A27CC">
        <w:t>non-voting member</w:t>
      </w:r>
      <w:r w:rsidR="00927F53">
        <w:t>.</w:t>
      </w:r>
      <w:r>
        <w:t xml:space="preserve"> </w:t>
      </w:r>
    </w:p>
    <w:p w14:paraId="1D4FED21" w14:textId="044B4C4B" w:rsidR="00C930AA" w:rsidRDefault="00C930AA" w:rsidP="00C930AA">
      <w:r>
        <w:t>M</w:t>
      </w:r>
      <w:r w:rsidR="213F313D">
        <w:t>&amp;E</w:t>
      </w:r>
      <w:r>
        <w:t xml:space="preserve"> recommendations:</w:t>
      </w:r>
    </w:p>
    <w:p w14:paraId="1E48DEB0" w14:textId="1FE0F681" w:rsidR="00C930AA" w:rsidRDefault="00C930AA" w:rsidP="00C930AA">
      <w:pPr>
        <w:pStyle w:val="ListParagraph"/>
        <w:numPr>
          <w:ilvl w:val="0"/>
          <w:numId w:val="41"/>
        </w:numPr>
      </w:pPr>
      <w:r w:rsidRPr="3466F177">
        <w:rPr>
          <w:b/>
          <w:bCs/>
        </w:rPr>
        <w:t xml:space="preserve">Develop concept note for </w:t>
      </w:r>
      <w:r w:rsidR="3307149D" w:rsidRPr="3466F177">
        <w:rPr>
          <w:b/>
          <w:bCs/>
        </w:rPr>
        <w:t>T</w:t>
      </w:r>
      <w:r w:rsidRPr="3466F177">
        <w:rPr>
          <w:b/>
          <w:bCs/>
        </w:rPr>
        <w:t>ransformational</w:t>
      </w:r>
      <w:r w:rsidR="2FC1435C" w:rsidRPr="3466F177">
        <w:rPr>
          <w:b/>
          <w:bCs/>
        </w:rPr>
        <w:t xml:space="preserve"> Change</w:t>
      </w:r>
      <w:r w:rsidRPr="3466F177">
        <w:rPr>
          <w:b/>
          <w:bCs/>
        </w:rPr>
        <w:t xml:space="preserve"> indicator (ICF KPI 15):</w:t>
      </w:r>
      <w:r>
        <w:t xml:space="preserve"> The cross government ICF group has commissioned external consultants to review KPI 15 and its methodology</w:t>
      </w:r>
      <w:r w:rsidR="78C80B72">
        <w:t>.</w:t>
      </w:r>
      <w:r w:rsidR="20ACBBC5">
        <w:t xml:space="preserve"> W</w:t>
      </w:r>
      <w:r>
        <w:t xml:space="preserve">e are waiting to review this renewed methodology and assess how it can be applied to the EBF. </w:t>
      </w:r>
    </w:p>
    <w:p w14:paraId="62B8DFA8" w14:textId="77777777" w:rsidR="00C930AA" w:rsidRDefault="00C930AA" w:rsidP="00C930AA">
      <w:pPr>
        <w:pStyle w:val="ListParagraph"/>
      </w:pPr>
    </w:p>
    <w:p w14:paraId="11B047F5" w14:textId="5FB74ACA" w:rsidR="00C930AA" w:rsidRDefault="00C930AA" w:rsidP="00C930AA">
      <w:pPr>
        <w:pStyle w:val="ListParagraph"/>
        <w:numPr>
          <w:ilvl w:val="0"/>
          <w:numId w:val="41"/>
        </w:numPr>
      </w:pPr>
      <w:r w:rsidRPr="3466F177">
        <w:rPr>
          <w:b/>
          <w:bCs/>
        </w:rPr>
        <w:t>Measuring EBF</w:t>
      </w:r>
      <w:r w:rsidR="2C759570" w:rsidRPr="3466F177">
        <w:rPr>
          <w:b/>
          <w:bCs/>
        </w:rPr>
        <w:t>’</w:t>
      </w:r>
      <w:r w:rsidRPr="3466F177">
        <w:rPr>
          <w:b/>
          <w:bCs/>
        </w:rPr>
        <w:t>s ‘behaviour change in downstream partners’:</w:t>
      </w:r>
      <w:r>
        <w:t xml:space="preserve"> The behaviour changes of the downstream partners, such as in </w:t>
      </w:r>
      <w:r w:rsidR="5AAE9F82">
        <w:t>FI</w:t>
      </w:r>
      <w:r>
        <w:t>s, should be captured in the newly developed ICF KPI 15: Transformational Change. Funding</w:t>
      </w:r>
      <w:r w:rsidR="00927F53">
        <w:t xml:space="preserve"> has been made available within the most recent Impact Investment Fund business case, finalised in December 2019</w:t>
      </w:r>
      <w:r>
        <w:t xml:space="preserve"> which could assess this type of transformational impact. Further, Defra will sit on the Development Facility committee as an observer – thereby increasing the understanding of </w:t>
      </w:r>
      <w:r w:rsidR="41E1FF35">
        <w:t>TA</w:t>
      </w:r>
      <w:r>
        <w:t xml:space="preserve"> projects which build capacity in downstream partners.</w:t>
      </w:r>
    </w:p>
    <w:p w14:paraId="62E510ED" w14:textId="5DC2DFCA" w:rsidR="00C930AA" w:rsidRPr="009B113B" w:rsidRDefault="007211A1" w:rsidP="00AE24C7">
      <w:pPr>
        <w:pStyle w:val="Heading3"/>
        <w:numPr>
          <w:ilvl w:val="0"/>
          <w:numId w:val="0"/>
        </w:numPr>
        <w:rPr>
          <w:rStyle w:val="Emphasis"/>
          <w:i w:val="0"/>
          <w:color w:val="auto"/>
          <w:sz w:val="24"/>
        </w:rPr>
      </w:pPr>
      <w:bookmarkStart w:id="2" w:name="_Toc51578511"/>
      <w:r w:rsidRPr="009B113B">
        <w:rPr>
          <w:rStyle w:val="Emphasis"/>
          <w:i w:val="0"/>
          <w:color w:val="auto"/>
          <w:sz w:val="24"/>
        </w:rPr>
        <w:t>2019 recommendations:</w:t>
      </w:r>
      <w:bookmarkEnd w:id="2"/>
      <w:r w:rsidRPr="009B113B">
        <w:rPr>
          <w:rStyle w:val="Emphasis"/>
          <w:i w:val="0"/>
          <w:color w:val="auto"/>
          <w:sz w:val="24"/>
        </w:rPr>
        <w:t xml:space="preserve"> </w:t>
      </w:r>
    </w:p>
    <w:p w14:paraId="316B19DF" w14:textId="31F3AE2D" w:rsidR="007211A1" w:rsidRDefault="00CC3CDC" w:rsidP="007211A1">
      <w:pPr>
        <w:pStyle w:val="ListParagraph"/>
        <w:numPr>
          <w:ilvl w:val="0"/>
          <w:numId w:val="13"/>
        </w:numPr>
        <w:rPr>
          <w:rStyle w:val="Emphasis"/>
          <w:b w:val="0"/>
        </w:rPr>
      </w:pPr>
      <w:r w:rsidRPr="71E92DF2">
        <w:rPr>
          <w:rStyle w:val="Emphasis"/>
        </w:rPr>
        <w:t xml:space="preserve">Review if Defra should be providing more finance to the EBF: </w:t>
      </w:r>
      <w:r w:rsidRPr="71E92DF2">
        <w:rPr>
          <w:rStyle w:val="Emphasis"/>
          <w:b w:val="0"/>
        </w:rPr>
        <w:t>As Junior finance (such as Defra</w:t>
      </w:r>
      <w:r w:rsidR="652AE4E3" w:rsidRPr="71E92DF2">
        <w:rPr>
          <w:rStyle w:val="Emphasis"/>
          <w:b w:val="0"/>
        </w:rPr>
        <w:t>’s</w:t>
      </w:r>
      <w:r w:rsidRPr="71E92DF2">
        <w:rPr>
          <w:rStyle w:val="Emphasis"/>
          <w:b w:val="0"/>
        </w:rPr>
        <w:t>) continues to effectively leverage significant amounts of private sector finance, review the extent to which further Defra intervention could be utilised.</w:t>
      </w:r>
    </w:p>
    <w:p w14:paraId="741CF190" w14:textId="491DAA64" w:rsidR="00CC3CDC" w:rsidRDefault="00CC3CDC" w:rsidP="007211A1">
      <w:pPr>
        <w:pStyle w:val="ListParagraph"/>
        <w:numPr>
          <w:ilvl w:val="0"/>
          <w:numId w:val="13"/>
        </w:numPr>
        <w:rPr>
          <w:rStyle w:val="Emphasis"/>
          <w:b w:val="0"/>
        </w:rPr>
      </w:pPr>
      <w:r w:rsidRPr="3466F177">
        <w:rPr>
          <w:rStyle w:val="Emphasis"/>
        </w:rPr>
        <w:t xml:space="preserve">Consider how we work closer with other </w:t>
      </w:r>
      <w:r w:rsidR="581A7E0B" w:rsidRPr="3466F177">
        <w:rPr>
          <w:rStyle w:val="Emphasis"/>
        </w:rPr>
        <w:t>d</w:t>
      </w:r>
      <w:r w:rsidRPr="3466F177">
        <w:rPr>
          <w:rStyle w:val="Emphasis"/>
        </w:rPr>
        <w:t>onors</w:t>
      </w:r>
      <w:r w:rsidR="00A3178C" w:rsidRPr="3466F177">
        <w:rPr>
          <w:rStyle w:val="Emphasis"/>
        </w:rPr>
        <w:t>:</w:t>
      </w:r>
      <w:r w:rsidRPr="3466F177">
        <w:rPr>
          <w:rStyle w:val="Emphasis"/>
          <w:b w:val="0"/>
        </w:rPr>
        <w:t xml:space="preserve"> </w:t>
      </w:r>
      <w:r w:rsidR="00A3178C" w:rsidRPr="3466F177">
        <w:rPr>
          <w:rStyle w:val="Emphasis"/>
          <w:b w:val="0"/>
        </w:rPr>
        <w:t>P</w:t>
      </w:r>
      <w:r w:rsidRPr="3466F177">
        <w:rPr>
          <w:rStyle w:val="Emphasis"/>
          <w:b w:val="0"/>
        </w:rPr>
        <w:t xml:space="preserve">articularly that of Junior investors (Germany and the European Commission) to increase </w:t>
      </w:r>
      <w:r w:rsidR="00A3178C" w:rsidRPr="3466F177">
        <w:rPr>
          <w:rStyle w:val="Emphasis"/>
          <w:b w:val="0"/>
        </w:rPr>
        <w:t>fundraising</w:t>
      </w:r>
      <w:r w:rsidRPr="3466F177">
        <w:rPr>
          <w:rStyle w:val="Emphasis"/>
          <w:b w:val="0"/>
        </w:rPr>
        <w:t xml:space="preserve"> and to raise ambition of the fund’s activities – both increasing private finance and sharing</w:t>
      </w:r>
      <w:r w:rsidR="00A3178C" w:rsidRPr="3466F177">
        <w:rPr>
          <w:rStyle w:val="Emphasis"/>
          <w:b w:val="0"/>
        </w:rPr>
        <w:t xml:space="preserve"> lessons for creating a </w:t>
      </w:r>
      <w:r w:rsidRPr="3466F177">
        <w:rPr>
          <w:rStyle w:val="Emphasis"/>
          <w:b w:val="0"/>
        </w:rPr>
        <w:t>viable investment model created by the EBF.</w:t>
      </w:r>
    </w:p>
    <w:p w14:paraId="2775A891" w14:textId="43900D19" w:rsidR="00CC3CDC" w:rsidRDefault="00CC3CDC" w:rsidP="00CC3CDC">
      <w:pPr>
        <w:rPr>
          <w:rStyle w:val="Emphasis"/>
          <w:b w:val="0"/>
        </w:rPr>
      </w:pPr>
      <w:r>
        <w:rPr>
          <w:rStyle w:val="Emphasis"/>
          <w:b w:val="0"/>
        </w:rPr>
        <w:t>M&amp;E recommendations:</w:t>
      </w:r>
    </w:p>
    <w:p w14:paraId="366DBB21" w14:textId="730AF470" w:rsidR="00CC3CDC" w:rsidRDefault="00A3178C" w:rsidP="00CC3CDC">
      <w:pPr>
        <w:pStyle w:val="ListParagraph"/>
        <w:numPr>
          <w:ilvl w:val="0"/>
          <w:numId w:val="13"/>
        </w:numPr>
        <w:rPr>
          <w:rStyle w:val="Emphasis"/>
          <w:b w:val="0"/>
        </w:rPr>
      </w:pPr>
      <w:r w:rsidRPr="3466F177">
        <w:rPr>
          <w:rStyle w:val="Emphasis"/>
        </w:rPr>
        <w:lastRenderedPageBreak/>
        <w:t xml:space="preserve">Update the </w:t>
      </w:r>
      <w:r w:rsidR="009623BF" w:rsidRPr="3466F177">
        <w:rPr>
          <w:rStyle w:val="Emphasis"/>
        </w:rPr>
        <w:t>P</w:t>
      </w:r>
      <w:r w:rsidRPr="3466F177">
        <w:rPr>
          <w:rStyle w:val="Emphasis"/>
        </w:rPr>
        <w:t xml:space="preserve">rivate and </w:t>
      </w:r>
      <w:r w:rsidR="009623BF" w:rsidRPr="3466F177">
        <w:rPr>
          <w:rStyle w:val="Emphasis"/>
        </w:rPr>
        <w:t>P</w:t>
      </w:r>
      <w:r w:rsidRPr="3466F177">
        <w:rPr>
          <w:rStyle w:val="Emphasis"/>
        </w:rPr>
        <w:t>ublic finance leveraged targets:</w:t>
      </w:r>
      <w:r w:rsidRPr="3466F177">
        <w:rPr>
          <w:rStyle w:val="Emphasis"/>
          <w:b w:val="0"/>
        </w:rPr>
        <w:t xml:space="preserve"> </w:t>
      </w:r>
      <w:r w:rsidR="00CC3CDC" w:rsidRPr="3466F177">
        <w:rPr>
          <w:rStyle w:val="Emphasis"/>
          <w:b w:val="0"/>
        </w:rPr>
        <w:t xml:space="preserve">As the methodology for calculating leveraged </w:t>
      </w:r>
      <w:r w:rsidR="1A6893A6" w:rsidRPr="3466F177">
        <w:rPr>
          <w:rStyle w:val="Emphasis"/>
          <w:b w:val="0"/>
        </w:rPr>
        <w:t>p</w:t>
      </w:r>
      <w:r w:rsidR="00CC3CDC" w:rsidRPr="3466F177">
        <w:rPr>
          <w:rStyle w:val="Emphasis"/>
          <w:b w:val="0"/>
        </w:rPr>
        <w:t xml:space="preserve">ublic and </w:t>
      </w:r>
      <w:r w:rsidR="36DFBE30" w:rsidRPr="3466F177">
        <w:rPr>
          <w:rStyle w:val="Emphasis"/>
          <w:b w:val="0"/>
        </w:rPr>
        <w:t>p</w:t>
      </w:r>
      <w:r w:rsidR="00CC3CDC" w:rsidRPr="3466F177">
        <w:rPr>
          <w:rStyle w:val="Emphasis"/>
          <w:b w:val="0"/>
        </w:rPr>
        <w:t>rivate finance has been updated (as described in Section G), the targets are no longer suitable – these should be updated to reflect this change</w:t>
      </w:r>
      <w:r w:rsidRPr="3466F177">
        <w:rPr>
          <w:rStyle w:val="Emphasis"/>
          <w:b w:val="0"/>
        </w:rPr>
        <w:t xml:space="preserve"> in </w:t>
      </w:r>
      <w:r w:rsidR="00FC1C9E">
        <w:rPr>
          <w:rStyle w:val="Emphasis"/>
          <w:b w:val="0"/>
        </w:rPr>
        <w:t xml:space="preserve">the </w:t>
      </w:r>
      <w:r w:rsidRPr="3466F177">
        <w:rPr>
          <w:rStyle w:val="Emphasis"/>
          <w:b w:val="0"/>
        </w:rPr>
        <w:t xml:space="preserve">2020 </w:t>
      </w:r>
      <w:r w:rsidR="5C350C85" w:rsidRPr="3466F177">
        <w:rPr>
          <w:rStyle w:val="Emphasis"/>
          <w:b w:val="0"/>
        </w:rPr>
        <w:t>a</w:t>
      </w:r>
      <w:r w:rsidRPr="3466F177">
        <w:rPr>
          <w:rStyle w:val="Emphasis"/>
          <w:b w:val="0"/>
        </w:rPr>
        <w:t>nnual review</w:t>
      </w:r>
      <w:r w:rsidR="00CC3CDC" w:rsidRPr="3466F177">
        <w:rPr>
          <w:rStyle w:val="Emphasis"/>
          <w:b w:val="0"/>
        </w:rPr>
        <w:t>.</w:t>
      </w:r>
    </w:p>
    <w:p w14:paraId="01C9B8F3" w14:textId="77777777" w:rsidR="00CA3C84" w:rsidRPr="00CA3C84" w:rsidRDefault="00A3178C" w:rsidP="00CA3C84">
      <w:pPr>
        <w:pStyle w:val="ListParagraph"/>
        <w:numPr>
          <w:ilvl w:val="0"/>
          <w:numId w:val="13"/>
        </w:numPr>
        <w:rPr>
          <w:rStyle w:val="Emphasis"/>
          <w:rFonts w:asciiTheme="minorHAnsi" w:eastAsiaTheme="minorEastAsia" w:hAnsiTheme="minorHAnsi" w:cstheme="minorBidi"/>
          <w:b w:val="0"/>
          <w:color w:val="000000" w:themeColor="text1"/>
        </w:rPr>
      </w:pPr>
      <w:r w:rsidRPr="00551AE1">
        <w:rPr>
          <w:rStyle w:val="Emphasis"/>
        </w:rPr>
        <w:t>A broader evaluation of the effectiveness of the EBF should be conducted:</w:t>
      </w:r>
      <w:r w:rsidRPr="00551AE1">
        <w:rPr>
          <w:rStyle w:val="Emphasis"/>
          <w:b w:val="0"/>
        </w:rPr>
        <w:t xml:space="preserve"> </w:t>
      </w:r>
      <w:r w:rsidR="4190175D" w:rsidRPr="1CC9E06E">
        <w:rPr>
          <w:rFonts w:asciiTheme="minorHAnsi" w:eastAsiaTheme="minorEastAsia" w:hAnsiTheme="minorHAnsi" w:cstheme="minorBidi"/>
          <w:color w:val="000000" w:themeColor="text1"/>
        </w:rPr>
        <w:t xml:space="preserve">EBF </w:t>
      </w:r>
      <w:r w:rsidR="4190175D" w:rsidRPr="00551AE1">
        <w:rPr>
          <w:rFonts w:asciiTheme="minorHAnsi" w:eastAsiaTheme="minorEastAsia" w:hAnsiTheme="minorHAnsi" w:cstheme="minorBidi"/>
          <w:color w:val="000000" w:themeColor="text1"/>
          <w:shd w:val="clear" w:color="auto" w:fill="E6E6E6"/>
        </w:rPr>
        <w:t>has had no external evaluation to date.</w:t>
      </w:r>
      <w:r w:rsidR="132992C0" w:rsidRPr="1CC9E06E">
        <w:rPr>
          <w:rFonts w:asciiTheme="minorHAnsi" w:eastAsiaTheme="minorEastAsia" w:hAnsiTheme="minorHAnsi" w:cstheme="minorBidi"/>
          <w:color w:val="000000" w:themeColor="text1"/>
        </w:rPr>
        <w:t xml:space="preserve"> Such evaluations are important to ensure external scrutiny of </w:t>
      </w:r>
      <w:r w:rsidR="00958C1F" w:rsidRPr="1CC9E06E">
        <w:rPr>
          <w:rFonts w:asciiTheme="minorHAnsi" w:eastAsiaTheme="minorEastAsia" w:hAnsiTheme="minorHAnsi" w:cstheme="minorBidi"/>
          <w:color w:val="000000" w:themeColor="text1"/>
        </w:rPr>
        <w:t>i</w:t>
      </w:r>
      <w:r w:rsidR="132992C0" w:rsidRPr="1CC9E06E">
        <w:rPr>
          <w:rFonts w:asciiTheme="minorHAnsi" w:eastAsiaTheme="minorEastAsia" w:hAnsiTheme="minorHAnsi" w:cstheme="minorBidi"/>
          <w:color w:val="000000" w:themeColor="text1"/>
        </w:rPr>
        <w:t>mpact</w:t>
      </w:r>
      <w:r w:rsidR="00AAF597" w:rsidRPr="1CC9E06E">
        <w:rPr>
          <w:rFonts w:asciiTheme="minorHAnsi" w:eastAsiaTheme="minorEastAsia" w:hAnsiTheme="minorHAnsi" w:cstheme="minorBidi"/>
          <w:color w:val="000000" w:themeColor="text1"/>
        </w:rPr>
        <w:t xml:space="preserve"> and </w:t>
      </w:r>
      <w:r w:rsidR="4FA99E23" w:rsidRPr="1CC9E06E">
        <w:rPr>
          <w:rFonts w:asciiTheme="minorHAnsi" w:eastAsiaTheme="minorEastAsia" w:hAnsiTheme="minorHAnsi" w:cstheme="minorBidi"/>
          <w:color w:val="000000" w:themeColor="text1"/>
        </w:rPr>
        <w:t>to provi</w:t>
      </w:r>
      <w:r w:rsidR="40100596" w:rsidRPr="1CC9E06E">
        <w:rPr>
          <w:rFonts w:asciiTheme="minorHAnsi" w:eastAsiaTheme="minorEastAsia" w:hAnsiTheme="minorHAnsi" w:cstheme="minorBidi"/>
          <w:color w:val="000000" w:themeColor="text1"/>
        </w:rPr>
        <w:t>d</w:t>
      </w:r>
      <w:r w:rsidR="4FA99E23" w:rsidRPr="1CC9E06E">
        <w:rPr>
          <w:rFonts w:asciiTheme="minorHAnsi" w:eastAsiaTheme="minorEastAsia" w:hAnsiTheme="minorHAnsi" w:cstheme="minorBidi"/>
          <w:color w:val="000000" w:themeColor="text1"/>
        </w:rPr>
        <w:t xml:space="preserve">e </w:t>
      </w:r>
      <w:r w:rsidR="541E638C" w:rsidRPr="1CC9E06E">
        <w:rPr>
          <w:rFonts w:asciiTheme="minorHAnsi" w:eastAsiaTheme="minorEastAsia" w:hAnsiTheme="minorHAnsi" w:cstheme="minorBidi"/>
          <w:color w:val="000000" w:themeColor="text1"/>
        </w:rPr>
        <w:t>insights to inform future areas for improvement</w:t>
      </w:r>
      <w:r w:rsidR="3D8E771A" w:rsidRPr="1CC9E06E">
        <w:rPr>
          <w:rFonts w:asciiTheme="minorHAnsi" w:eastAsiaTheme="minorEastAsia" w:hAnsiTheme="minorHAnsi" w:cstheme="minorBidi"/>
          <w:color w:val="000000" w:themeColor="text1"/>
        </w:rPr>
        <w:t xml:space="preserve"> and </w:t>
      </w:r>
      <w:r w:rsidR="5C3C779E" w:rsidRPr="1CC9E06E">
        <w:rPr>
          <w:rFonts w:asciiTheme="minorHAnsi" w:eastAsiaTheme="minorEastAsia" w:hAnsiTheme="minorHAnsi" w:cstheme="minorBidi"/>
          <w:color w:val="000000" w:themeColor="text1"/>
        </w:rPr>
        <w:t>scalability</w:t>
      </w:r>
      <w:r w:rsidR="541E638C" w:rsidRPr="1CC9E06E">
        <w:rPr>
          <w:rFonts w:asciiTheme="minorHAnsi" w:eastAsiaTheme="minorEastAsia" w:hAnsiTheme="minorHAnsi" w:cstheme="minorBidi"/>
          <w:color w:val="000000" w:themeColor="text1"/>
        </w:rPr>
        <w:t>.</w:t>
      </w:r>
      <w:r w:rsidR="29741B19" w:rsidRPr="1CC9E06E">
        <w:rPr>
          <w:rFonts w:asciiTheme="minorHAnsi" w:eastAsiaTheme="minorEastAsia" w:hAnsiTheme="minorHAnsi" w:cstheme="minorBidi"/>
          <w:color w:val="000000" w:themeColor="text1"/>
        </w:rPr>
        <w:t xml:space="preserve"> </w:t>
      </w:r>
      <w:r w:rsidR="541E638C" w:rsidRPr="1CC9E06E">
        <w:rPr>
          <w:rFonts w:asciiTheme="minorHAnsi" w:eastAsiaTheme="minorEastAsia" w:hAnsiTheme="minorHAnsi" w:cstheme="minorBidi"/>
          <w:color w:val="000000" w:themeColor="text1"/>
        </w:rPr>
        <w:t xml:space="preserve">This </w:t>
      </w:r>
      <w:r w:rsidR="00FC1C9E" w:rsidRPr="1CC9E06E">
        <w:rPr>
          <w:rFonts w:asciiTheme="minorHAnsi" w:eastAsiaTheme="minorEastAsia" w:hAnsiTheme="minorHAnsi" w:cstheme="minorBidi"/>
          <w:color w:val="000000" w:themeColor="text1"/>
        </w:rPr>
        <w:t>in turn c</w:t>
      </w:r>
      <w:r w:rsidR="541E638C" w:rsidRPr="1CC9E06E">
        <w:rPr>
          <w:rFonts w:asciiTheme="minorHAnsi" w:eastAsiaTheme="minorEastAsia" w:hAnsiTheme="minorHAnsi" w:cstheme="minorBidi"/>
          <w:color w:val="000000" w:themeColor="text1"/>
        </w:rPr>
        <w:t xml:space="preserve">ould </w:t>
      </w:r>
      <w:r w:rsidR="00FC1C9E" w:rsidRPr="1CC9E06E">
        <w:rPr>
          <w:rFonts w:asciiTheme="minorHAnsi" w:eastAsiaTheme="minorEastAsia" w:hAnsiTheme="minorHAnsi" w:cstheme="minorBidi"/>
          <w:color w:val="000000" w:themeColor="text1"/>
        </w:rPr>
        <w:t xml:space="preserve">help </w:t>
      </w:r>
      <w:r w:rsidR="00607976" w:rsidRPr="1CC9E06E">
        <w:rPr>
          <w:rFonts w:asciiTheme="minorHAnsi" w:eastAsiaTheme="minorEastAsia" w:hAnsiTheme="minorHAnsi" w:cstheme="minorBidi"/>
          <w:color w:val="000000" w:themeColor="text1"/>
        </w:rPr>
        <w:t>provide reassurance of alignment between t</w:t>
      </w:r>
      <w:r w:rsidR="00FC1C9E" w:rsidRPr="1CC9E06E">
        <w:rPr>
          <w:rFonts w:asciiTheme="minorHAnsi" w:eastAsiaTheme="minorEastAsia" w:hAnsiTheme="minorHAnsi" w:cstheme="minorBidi"/>
          <w:color w:val="000000" w:themeColor="text1"/>
        </w:rPr>
        <w:t>he fund</w:t>
      </w:r>
      <w:r w:rsidR="00607976" w:rsidRPr="1CC9E06E">
        <w:rPr>
          <w:rFonts w:asciiTheme="minorHAnsi" w:eastAsiaTheme="minorEastAsia" w:hAnsiTheme="minorHAnsi" w:cstheme="minorBidi"/>
          <w:color w:val="000000" w:themeColor="text1"/>
        </w:rPr>
        <w:t>’s</w:t>
      </w:r>
      <w:r w:rsidR="00FC1C9E" w:rsidRPr="1CC9E06E">
        <w:rPr>
          <w:rFonts w:asciiTheme="minorHAnsi" w:eastAsiaTheme="minorEastAsia" w:hAnsiTheme="minorHAnsi" w:cstheme="minorBidi"/>
          <w:color w:val="000000" w:themeColor="text1"/>
        </w:rPr>
        <w:t xml:space="preserve"> a</w:t>
      </w:r>
      <w:r w:rsidR="00607976" w:rsidRPr="1CC9E06E">
        <w:rPr>
          <w:rFonts w:asciiTheme="minorHAnsi" w:eastAsiaTheme="minorEastAsia" w:hAnsiTheme="minorHAnsi" w:cstheme="minorBidi"/>
          <w:color w:val="000000" w:themeColor="text1"/>
        </w:rPr>
        <w:t xml:space="preserve">nd </w:t>
      </w:r>
      <w:r w:rsidR="4A1C04E9" w:rsidRPr="1CC9E06E">
        <w:rPr>
          <w:rStyle w:val="Emphasis"/>
          <w:b w:val="0"/>
        </w:rPr>
        <w:t>Defra’s objectives</w:t>
      </w:r>
      <w:r w:rsidR="00607976" w:rsidRPr="1CC9E06E">
        <w:rPr>
          <w:rStyle w:val="Emphasis"/>
          <w:b w:val="0"/>
        </w:rPr>
        <w:t xml:space="preserve"> and identify any areas where there may be scope </w:t>
      </w:r>
      <w:r w:rsidR="4A1C04E9" w:rsidRPr="005C69C6">
        <w:rPr>
          <w:rStyle w:val="Emphasis"/>
          <w:b w:val="0"/>
        </w:rPr>
        <w:t xml:space="preserve">to </w:t>
      </w:r>
      <w:r w:rsidR="1E23590B" w:rsidRPr="005C69C6">
        <w:rPr>
          <w:rFonts w:asciiTheme="minorHAnsi" w:eastAsiaTheme="minorEastAsia" w:hAnsiTheme="minorHAnsi" w:cstheme="minorBidi"/>
        </w:rPr>
        <w:t>(a) maintain a strong focus on the most environmentally sustainable businesses; and (b) maximi</w:t>
      </w:r>
      <w:r w:rsidR="0E1C7DDA" w:rsidRPr="005C69C6">
        <w:rPr>
          <w:rFonts w:asciiTheme="minorHAnsi" w:eastAsiaTheme="minorEastAsia" w:hAnsiTheme="minorHAnsi" w:cstheme="minorBidi"/>
        </w:rPr>
        <w:t>se</w:t>
      </w:r>
      <w:r w:rsidR="1E23590B" w:rsidRPr="005C69C6">
        <w:rPr>
          <w:rFonts w:asciiTheme="minorHAnsi" w:eastAsiaTheme="minorEastAsia" w:hAnsiTheme="minorHAnsi" w:cstheme="minorBidi"/>
        </w:rPr>
        <w:t xml:space="preserve"> the opportunities for green investment principles </w:t>
      </w:r>
      <w:r w:rsidR="590A5DB1" w:rsidRPr="005C69C6">
        <w:rPr>
          <w:rFonts w:asciiTheme="minorHAnsi" w:eastAsiaTheme="minorEastAsia" w:hAnsiTheme="minorHAnsi" w:cstheme="minorBidi"/>
        </w:rPr>
        <w:t xml:space="preserve">to be embedded within </w:t>
      </w:r>
      <w:r w:rsidR="1E23590B" w:rsidRPr="005C69C6">
        <w:rPr>
          <w:rFonts w:asciiTheme="minorHAnsi" w:eastAsiaTheme="minorEastAsia" w:hAnsiTheme="minorHAnsi" w:cstheme="minorBidi"/>
        </w:rPr>
        <w:t>D</w:t>
      </w:r>
      <w:r w:rsidR="7D75CBA3" w:rsidRPr="005C69C6">
        <w:rPr>
          <w:rFonts w:asciiTheme="minorHAnsi" w:eastAsiaTheme="minorEastAsia" w:hAnsiTheme="minorHAnsi" w:cstheme="minorBidi"/>
        </w:rPr>
        <w:t xml:space="preserve">elivery </w:t>
      </w:r>
      <w:r w:rsidR="1E23590B" w:rsidRPr="005C69C6">
        <w:rPr>
          <w:rFonts w:asciiTheme="minorHAnsi" w:eastAsiaTheme="minorEastAsia" w:hAnsiTheme="minorHAnsi" w:cstheme="minorBidi"/>
        </w:rPr>
        <w:t>P</w:t>
      </w:r>
      <w:r w:rsidR="6B18AE08" w:rsidRPr="005C69C6">
        <w:rPr>
          <w:rFonts w:asciiTheme="minorHAnsi" w:eastAsiaTheme="minorEastAsia" w:hAnsiTheme="minorHAnsi" w:cstheme="minorBidi"/>
        </w:rPr>
        <w:t>artner</w:t>
      </w:r>
      <w:r w:rsidR="1E23590B" w:rsidRPr="005C69C6">
        <w:rPr>
          <w:rFonts w:asciiTheme="minorHAnsi" w:eastAsiaTheme="minorEastAsia" w:hAnsiTheme="minorHAnsi" w:cstheme="minorBidi"/>
        </w:rPr>
        <w:t>s and the wider financial industry</w:t>
      </w:r>
      <w:r w:rsidR="4A1C04E9" w:rsidRPr="005C69C6">
        <w:rPr>
          <w:rStyle w:val="Emphasis"/>
          <w:rFonts w:asciiTheme="minorHAnsi" w:eastAsiaTheme="minorEastAsia" w:hAnsiTheme="minorHAnsi" w:cstheme="minorBidi"/>
          <w:b w:val="0"/>
        </w:rPr>
        <w:t>.</w:t>
      </w:r>
      <w:r w:rsidR="4A1C04E9" w:rsidRPr="005C69C6">
        <w:rPr>
          <w:rFonts w:asciiTheme="minorHAnsi" w:eastAsiaTheme="minorEastAsia" w:hAnsiTheme="minorHAnsi" w:cstheme="minorBidi"/>
        </w:rPr>
        <w:t xml:space="preserve"> </w:t>
      </w:r>
      <w:r w:rsidR="4A1C04E9" w:rsidRPr="1CC9E06E">
        <w:rPr>
          <w:rStyle w:val="Emphasis"/>
          <w:b w:val="0"/>
        </w:rPr>
        <w:t>From experience working with the EBF-Development Facility (where Defra sits as an observer) the EBF contributes significantly to transformational change, a</w:t>
      </w:r>
      <w:r w:rsidR="0049687E" w:rsidRPr="1CC9E06E">
        <w:rPr>
          <w:rStyle w:val="Emphasis"/>
          <w:b w:val="0"/>
        </w:rPr>
        <w:t>nd a</w:t>
      </w:r>
      <w:r w:rsidR="4A1C04E9" w:rsidRPr="1CC9E06E">
        <w:rPr>
          <w:rStyle w:val="Emphasis"/>
          <w:b w:val="0"/>
        </w:rPr>
        <w:t xml:space="preserve"> formal study would define this further and </w:t>
      </w:r>
      <w:r w:rsidR="11D52099" w:rsidRPr="1CC9E06E">
        <w:rPr>
          <w:rStyle w:val="Emphasis"/>
          <w:b w:val="0"/>
        </w:rPr>
        <w:t xml:space="preserve">could help </w:t>
      </w:r>
      <w:r w:rsidR="4A1C04E9" w:rsidRPr="1CC9E06E">
        <w:rPr>
          <w:rStyle w:val="Emphasis"/>
          <w:b w:val="0"/>
        </w:rPr>
        <w:t>inform future investment decisions.</w:t>
      </w:r>
      <w:bookmarkStart w:id="3" w:name="_Toc51578512"/>
    </w:p>
    <w:p w14:paraId="5E25F9EC" w14:textId="77777777" w:rsidR="00CA3C84" w:rsidRDefault="00CA3C84" w:rsidP="00CA3C84">
      <w:pPr>
        <w:rPr>
          <w:rStyle w:val="Emphasis"/>
          <w:sz w:val="24"/>
        </w:rPr>
      </w:pPr>
    </w:p>
    <w:p w14:paraId="11FAE379" w14:textId="364DB503" w:rsidR="00232027" w:rsidRPr="00CA3C84" w:rsidRDefault="00232027" w:rsidP="00CA3C84">
      <w:pPr>
        <w:rPr>
          <w:rStyle w:val="Emphasis"/>
          <w:rFonts w:asciiTheme="minorHAnsi" w:eastAsiaTheme="minorEastAsia" w:hAnsiTheme="minorHAnsi" w:cstheme="minorBidi"/>
          <w:b w:val="0"/>
          <w:color w:val="000000" w:themeColor="text1"/>
        </w:rPr>
      </w:pPr>
      <w:r w:rsidRPr="00CA3C84">
        <w:rPr>
          <w:rStyle w:val="Emphasis"/>
          <w:sz w:val="24"/>
        </w:rPr>
        <w:br w:type="page"/>
      </w:r>
    </w:p>
    <w:p w14:paraId="7F0B95DC" w14:textId="34BEACE0" w:rsidR="000004E0" w:rsidRPr="009B113B" w:rsidRDefault="000004E0" w:rsidP="009B113B">
      <w:pPr>
        <w:pStyle w:val="Heading3"/>
        <w:numPr>
          <w:ilvl w:val="0"/>
          <w:numId w:val="0"/>
        </w:numPr>
        <w:rPr>
          <w:rStyle w:val="Emphasis"/>
          <w:i w:val="0"/>
          <w:color w:val="auto"/>
          <w:sz w:val="24"/>
        </w:rPr>
      </w:pPr>
      <w:r w:rsidRPr="009B113B">
        <w:rPr>
          <w:rStyle w:val="Emphasis"/>
          <w:i w:val="0"/>
          <w:color w:val="auto"/>
          <w:sz w:val="24"/>
        </w:rPr>
        <w:lastRenderedPageBreak/>
        <w:t>Summar</w:t>
      </w:r>
      <w:r w:rsidR="00813B91" w:rsidRPr="009B113B">
        <w:rPr>
          <w:rStyle w:val="Emphasis"/>
          <w:i w:val="0"/>
          <w:color w:val="auto"/>
          <w:sz w:val="24"/>
        </w:rPr>
        <w:t>y of progress since January 201</w:t>
      </w:r>
      <w:r w:rsidR="004B0477" w:rsidRPr="009B113B">
        <w:rPr>
          <w:rStyle w:val="Emphasis"/>
          <w:i w:val="0"/>
          <w:color w:val="auto"/>
          <w:sz w:val="24"/>
        </w:rPr>
        <w:t>9</w:t>
      </w:r>
      <w:bookmarkEnd w:id="3"/>
    </w:p>
    <w:p w14:paraId="7A811274" w14:textId="775AF80E" w:rsidR="000004E0" w:rsidRPr="00ED57E0" w:rsidRDefault="00D622BA" w:rsidP="000004E0">
      <w:pPr>
        <w:rPr>
          <w:rStyle w:val="IntenseEmphasis"/>
          <w:color w:val="auto"/>
          <w:u w:val="single"/>
        </w:rPr>
      </w:pPr>
      <w:r w:rsidRPr="00ED57E0">
        <w:rPr>
          <w:u w:val="single"/>
        </w:rPr>
        <w:t>The</w:t>
      </w:r>
      <w:r w:rsidRPr="00ED57E0">
        <w:rPr>
          <w:rStyle w:val="IntenseEmphasis"/>
          <w:color w:val="auto"/>
          <w:u w:val="single"/>
        </w:rPr>
        <w:t xml:space="preserve"> </w:t>
      </w:r>
      <w:r w:rsidRPr="00ED57E0">
        <w:rPr>
          <w:rStyle w:val="IntenseEmphasis"/>
          <w:i w:val="0"/>
          <w:color w:val="auto"/>
          <w:u w:val="single"/>
        </w:rPr>
        <w:t>EBF</w:t>
      </w:r>
    </w:p>
    <w:p w14:paraId="1F8D6B52" w14:textId="1E20822B" w:rsidR="001432FE" w:rsidRDefault="00F0310D" w:rsidP="3651B6FB">
      <w:pPr>
        <w:pStyle w:val="Default"/>
        <w:spacing w:after="120" w:line="276" w:lineRule="auto"/>
        <w:jc w:val="both"/>
        <w:rPr>
          <w:rFonts w:cstheme="majorBidi"/>
          <w:sz w:val="22"/>
          <w:szCs w:val="22"/>
        </w:rPr>
      </w:pPr>
      <w:r w:rsidRPr="3651B6FB">
        <w:rPr>
          <w:rFonts w:cstheme="majorBidi"/>
          <w:sz w:val="22"/>
          <w:szCs w:val="22"/>
        </w:rPr>
        <w:t xml:space="preserve">The outstanding portfolio </w:t>
      </w:r>
      <w:r w:rsidR="002261E6" w:rsidRPr="3651B6FB">
        <w:rPr>
          <w:rFonts w:cstheme="majorBidi"/>
          <w:sz w:val="22"/>
          <w:szCs w:val="22"/>
        </w:rPr>
        <w:t xml:space="preserve">has increased substantially from </w:t>
      </w:r>
      <w:r w:rsidR="00240FA5" w:rsidRPr="3651B6FB">
        <w:rPr>
          <w:rFonts w:cstheme="majorBidi"/>
          <w:sz w:val="22"/>
          <w:szCs w:val="22"/>
        </w:rPr>
        <w:t>US Dollar (USD)</w:t>
      </w:r>
      <w:r w:rsidR="24FB418B" w:rsidRPr="3651B6FB">
        <w:rPr>
          <w:rFonts w:cstheme="majorBidi"/>
          <w:sz w:val="22"/>
          <w:szCs w:val="22"/>
        </w:rPr>
        <w:t xml:space="preserve"> </w:t>
      </w:r>
      <w:r w:rsidR="002261E6" w:rsidRPr="3651B6FB">
        <w:rPr>
          <w:rFonts w:cstheme="majorBidi"/>
          <w:sz w:val="22"/>
          <w:szCs w:val="22"/>
        </w:rPr>
        <w:t xml:space="preserve">241.5m to USD </w:t>
      </w:r>
      <w:r w:rsidR="0701604F" w:rsidRPr="3651B6FB">
        <w:rPr>
          <w:rFonts w:cstheme="majorBidi"/>
          <w:sz w:val="22"/>
          <w:szCs w:val="22"/>
        </w:rPr>
        <w:t xml:space="preserve">333.1m </w:t>
      </w:r>
      <w:r w:rsidR="002261E6" w:rsidRPr="3651B6FB">
        <w:rPr>
          <w:rFonts w:cstheme="majorBidi"/>
          <w:sz w:val="22"/>
          <w:szCs w:val="22"/>
        </w:rPr>
        <w:t xml:space="preserve">m </w:t>
      </w:r>
      <w:r w:rsidR="004860C7" w:rsidRPr="3651B6FB">
        <w:rPr>
          <w:rFonts w:cstheme="majorBidi"/>
          <w:sz w:val="22"/>
          <w:szCs w:val="22"/>
        </w:rPr>
        <w:t xml:space="preserve">over the year to </w:t>
      </w:r>
      <w:r w:rsidRPr="3651B6FB">
        <w:rPr>
          <w:rFonts w:cstheme="majorBidi"/>
          <w:sz w:val="22"/>
          <w:szCs w:val="22"/>
        </w:rPr>
        <w:t>the end 201</w:t>
      </w:r>
      <w:r w:rsidR="002261E6" w:rsidRPr="3651B6FB">
        <w:rPr>
          <w:rFonts w:cstheme="majorBidi"/>
          <w:sz w:val="22"/>
          <w:szCs w:val="22"/>
        </w:rPr>
        <w:t>9</w:t>
      </w:r>
      <w:r w:rsidR="001639A4" w:rsidRPr="3651B6FB">
        <w:rPr>
          <w:rFonts w:cstheme="majorBidi"/>
          <w:sz w:val="22"/>
          <w:szCs w:val="22"/>
        </w:rPr>
        <w:t xml:space="preserve">, of which </w:t>
      </w:r>
      <w:r w:rsidR="0066719E" w:rsidRPr="3651B6FB">
        <w:rPr>
          <w:rFonts w:cstheme="majorBidi"/>
          <w:sz w:val="22"/>
          <w:szCs w:val="22"/>
        </w:rPr>
        <w:t>approx</w:t>
      </w:r>
      <w:r w:rsidR="5CC29FFE" w:rsidRPr="3651B6FB">
        <w:rPr>
          <w:rFonts w:cstheme="majorBidi"/>
          <w:sz w:val="22"/>
          <w:szCs w:val="22"/>
        </w:rPr>
        <w:t xml:space="preserve">imately </w:t>
      </w:r>
      <w:r w:rsidR="0066719E" w:rsidRPr="3651B6FB">
        <w:rPr>
          <w:rFonts w:cstheme="majorBidi"/>
          <w:sz w:val="22"/>
          <w:szCs w:val="22"/>
        </w:rPr>
        <w:t>87</w:t>
      </w:r>
      <w:r w:rsidR="00E8448D" w:rsidRPr="3651B6FB">
        <w:rPr>
          <w:rFonts w:cstheme="majorBidi"/>
          <w:sz w:val="22"/>
          <w:szCs w:val="22"/>
        </w:rPr>
        <w:t xml:space="preserve">% </w:t>
      </w:r>
      <w:r w:rsidR="00A2306D" w:rsidRPr="3651B6FB">
        <w:rPr>
          <w:rFonts w:cstheme="majorBidi"/>
          <w:sz w:val="22"/>
          <w:szCs w:val="22"/>
        </w:rPr>
        <w:t xml:space="preserve">of the </w:t>
      </w:r>
      <w:r w:rsidR="00477B08" w:rsidRPr="3651B6FB">
        <w:rPr>
          <w:rFonts w:cstheme="majorBidi"/>
          <w:sz w:val="22"/>
          <w:szCs w:val="22"/>
        </w:rPr>
        <w:t>F</w:t>
      </w:r>
      <w:r w:rsidR="00A2306D" w:rsidRPr="3651B6FB">
        <w:rPr>
          <w:rFonts w:cstheme="majorBidi"/>
          <w:sz w:val="22"/>
          <w:szCs w:val="22"/>
        </w:rPr>
        <w:t>und was invested</w:t>
      </w:r>
      <w:r w:rsidR="00E8448D" w:rsidRPr="3651B6FB">
        <w:rPr>
          <w:rFonts w:cstheme="majorBidi"/>
          <w:sz w:val="22"/>
          <w:szCs w:val="22"/>
        </w:rPr>
        <w:t>.</w:t>
      </w:r>
      <w:r w:rsidR="001432FE" w:rsidRPr="3651B6FB">
        <w:rPr>
          <w:rFonts w:cstheme="majorBidi"/>
          <w:sz w:val="22"/>
          <w:szCs w:val="22"/>
        </w:rPr>
        <w:t xml:space="preserve"> </w:t>
      </w:r>
      <w:r w:rsidR="007F6214" w:rsidRPr="3651B6FB">
        <w:rPr>
          <w:rFonts w:cstheme="majorBidi"/>
          <w:sz w:val="22"/>
          <w:szCs w:val="22"/>
        </w:rPr>
        <w:t xml:space="preserve">The EBF </w:t>
      </w:r>
      <w:r w:rsidR="5919D007" w:rsidRPr="3651B6FB">
        <w:rPr>
          <w:rFonts w:cstheme="majorBidi"/>
          <w:sz w:val="22"/>
          <w:szCs w:val="22"/>
        </w:rPr>
        <w:t xml:space="preserve">invested </w:t>
      </w:r>
      <w:r w:rsidR="007F6214" w:rsidRPr="3651B6FB">
        <w:rPr>
          <w:rFonts w:cstheme="majorBidi"/>
          <w:sz w:val="22"/>
          <w:szCs w:val="22"/>
        </w:rPr>
        <w:t xml:space="preserve">in </w:t>
      </w:r>
      <w:r w:rsidR="43C2427A" w:rsidRPr="3651B6FB">
        <w:rPr>
          <w:rFonts w:cstheme="majorBidi"/>
          <w:sz w:val="22"/>
          <w:szCs w:val="22"/>
        </w:rPr>
        <w:t xml:space="preserve">seven </w:t>
      </w:r>
      <w:r w:rsidR="007F6214" w:rsidRPr="3651B6FB">
        <w:rPr>
          <w:rFonts w:cstheme="majorBidi"/>
          <w:sz w:val="22"/>
          <w:szCs w:val="22"/>
        </w:rPr>
        <w:t>countries across Central and South America.</w:t>
      </w:r>
      <w:r w:rsidR="30B2A34F" w:rsidRPr="3651B6FB">
        <w:rPr>
          <w:rFonts w:cstheme="majorBidi"/>
          <w:sz w:val="22"/>
          <w:szCs w:val="22"/>
        </w:rPr>
        <w:t xml:space="preserve"> </w:t>
      </w:r>
      <w:r w:rsidR="386C42A0" w:rsidRPr="3651B6FB">
        <w:rPr>
          <w:rFonts w:cstheme="majorBidi"/>
          <w:sz w:val="22"/>
          <w:szCs w:val="22"/>
        </w:rPr>
        <w:t>Additionally, t</w:t>
      </w:r>
      <w:r w:rsidR="30B2A34F" w:rsidRPr="3651B6FB">
        <w:rPr>
          <w:rFonts w:cstheme="majorBidi"/>
          <w:sz w:val="22"/>
          <w:szCs w:val="22"/>
        </w:rPr>
        <w:t xml:space="preserve">echnical assistance </w:t>
      </w:r>
      <w:r w:rsidR="280A1550" w:rsidRPr="3651B6FB">
        <w:rPr>
          <w:rFonts w:cstheme="majorBidi"/>
          <w:sz w:val="22"/>
          <w:szCs w:val="22"/>
        </w:rPr>
        <w:t>was</w:t>
      </w:r>
      <w:r w:rsidR="30B2A34F" w:rsidRPr="3651B6FB">
        <w:rPr>
          <w:rFonts w:cstheme="majorBidi"/>
          <w:sz w:val="22"/>
          <w:szCs w:val="22"/>
        </w:rPr>
        <w:t xml:space="preserve"> provided in Mexico, bringing the total number of </w:t>
      </w:r>
      <w:r w:rsidR="070352E1" w:rsidRPr="3651B6FB">
        <w:rPr>
          <w:rFonts w:cstheme="majorBidi"/>
          <w:sz w:val="22"/>
          <w:szCs w:val="22"/>
        </w:rPr>
        <w:t>countries</w:t>
      </w:r>
      <w:r w:rsidR="004860C7" w:rsidRPr="3651B6FB">
        <w:rPr>
          <w:rFonts w:cstheme="majorBidi"/>
          <w:sz w:val="22"/>
          <w:szCs w:val="22"/>
        </w:rPr>
        <w:t xml:space="preserve"> in which</w:t>
      </w:r>
      <w:r w:rsidR="65873458" w:rsidRPr="3651B6FB">
        <w:rPr>
          <w:rFonts w:cstheme="majorBidi"/>
          <w:sz w:val="22"/>
          <w:szCs w:val="22"/>
        </w:rPr>
        <w:t xml:space="preserve"> EBF </w:t>
      </w:r>
      <w:r w:rsidR="61A1270B" w:rsidRPr="3651B6FB">
        <w:rPr>
          <w:rFonts w:cstheme="majorBidi"/>
          <w:sz w:val="22"/>
          <w:szCs w:val="22"/>
        </w:rPr>
        <w:t>operates to eight.</w:t>
      </w:r>
    </w:p>
    <w:p w14:paraId="44713DC3" w14:textId="3C54B405" w:rsidR="007F6214" w:rsidRDefault="001432FE" w:rsidP="182F989B">
      <w:pPr>
        <w:pStyle w:val="Default"/>
        <w:spacing w:after="120" w:line="276" w:lineRule="auto"/>
        <w:jc w:val="both"/>
        <w:rPr>
          <w:rFonts w:cstheme="majorBidi"/>
          <w:sz w:val="22"/>
          <w:szCs w:val="22"/>
        </w:rPr>
      </w:pPr>
      <w:r w:rsidRPr="182F989B">
        <w:rPr>
          <w:rFonts w:cstheme="majorBidi"/>
          <w:sz w:val="22"/>
          <w:szCs w:val="22"/>
        </w:rPr>
        <w:t>In 2019, the EBF</w:t>
      </w:r>
      <w:r w:rsidR="007F6214" w:rsidRPr="182F989B">
        <w:rPr>
          <w:rFonts w:cstheme="majorBidi"/>
          <w:sz w:val="22"/>
          <w:szCs w:val="22"/>
        </w:rPr>
        <w:t xml:space="preserve"> notably</w:t>
      </w:r>
      <w:r w:rsidRPr="182F989B">
        <w:rPr>
          <w:rFonts w:cstheme="majorBidi"/>
          <w:sz w:val="22"/>
          <w:szCs w:val="22"/>
        </w:rPr>
        <w:t xml:space="preserve"> increased the number of partner</w:t>
      </w:r>
      <w:r w:rsidR="00020E75">
        <w:rPr>
          <w:rFonts w:cstheme="majorBidi"/>
          <w:sz w:val="22"/>
          <w:szCs w:val="22"/>
        </w:rPr>
        <w:t xml:space="preserve"> financial</w:t>
      </w:r>
      <w:r w:rsidRPr="182F989B">
        <w:rPr>
          <w:rFonts w:cstheme="majorBidi"/>
          <w:sz w:val="22"/>
          <w:szCs w:val="22"/>
        </w:rPr>
        <w:t xml:space="preserve"> institutions (domestic banks) that they have made investment</w:t>
      </w:r>
      <w:r w:rsidR="004860C7">
        <w:rPr>
          <w:rFonts w:cstheme="majorBidi"/>
          <w:sz w:val="22"/>
          <w:szCs w:val="22"/>
        </w:rPr>
        <w:t>s</w:t>
      </w:r>
      <w:r w:rsidRPr="182F989B">
        <w:rPr>
          <w:rFonts w:cstheme="majorBidi"/>
          <w:sz w:val="22"/>
          <w:szCs w:val="22"/>
        </w:rPr>
        <w:t xml:space="preserve"> through from 13 (as of 2018) to 19 – extending USD 100m across </w:t>
      </w:r>
      <w:r w:rsidR="0C5E743F" w:rsidRPr="182F989B">
        <w:rPr>
          <w:rFonts w:cstheme="majorBidi"/>
          <w:sz w:val="22"/>
          <w:szCs w:val="22"/>
        </w:rPr>
        <w:t>five</w:t>
      </w:r>
      <w:r w:rsidRPr="182F989B">
        <w:rPr>
          <w:rFonts w:cstheme="majorBidi"/>
          <w:sz w:val="22"/>
          <w:szCs w:val="22"/>
        </w:rPr>
        <w:t xml:space="preserve"> countries</w:t>
      </w:r>
      <w:r w:rsidR="4B99705E" w:rsidRPr="182F989B">
        <w:rPr>
          <w:rFonts w:cstheme="majorBidi"/>
          <w:sz w:val="22"/>
          <w:szCs w:val="22"/>
        </w:rPr>
        <w:t xml:space="preserve"> and s</w:t>
      </w:r>
      <w:r w:rsidR="007F6214" w:rsidRPr="182F989B">
        <w:rPr>
          <w:rFonts w:cstheme="majorBidi"/>
          <w:sz w:val="22"/>
          <w:szCs w:val="22"/>
        </w:rPr>
        <w:t xml:space="preserve">preading sustainable lending practices in partnership with these </w:t>
      </w:r>
      <w:r w:rsidR="004C2AE0" w:rsidRPr="182F989B">
        <w:rPr>
          <w:rFonts w:cstheme="majorBidi"/>
          <w:sz w:val="22"/>
          <w:szCs w:val="22"/>
        </w:rPr>
        <w:t>institutions</w:t>
      </w:r>
      <w:r w:rsidR="007F6214" w:rsidRPr="182F989B">
        <w:rPr>
          <w:rFonts w:cstheme="majorBidi"/>
          <w:sz w:val="22"/>
          <w:szCs w:val="22"/>
        </w:rPr>
        <w:t xml:space="preserve">. </w:t>
      </w:r>
    </w:p>
    <w:p w14:paraId="44ADDDF5" w14:textId="0C788ADB" w:rsidR="001639A4" w:rsidRPr="007F6214" w:rsidRDefault="001432FE" w:rsidP="00B029B4">
      <w:pPr>
        <w:pStyle w:val="Default"/>
        <w:spacing w:after="120" w:line="276" w:lineRule="auto"/>
        <w:jc w:val="both"/>
        <w:rPr>
          <w:rFonts w:cstheme="majorHAnsi"/>
          <w:sz w:val="22"/>
          <w:szCs w:val="22"/>
        </w:rPr>
      </w:pPr>
      <w:r>
        <w:rPr>
          <w:rFonts w:cstheme="majorHAnsi"/>
          <w:sz w:val="22"/>
          <w:szCs w:val="22"/>
        </w:rPr>
        <w:t xml:space="preserve">The </w:t>
      </w:r>
      <w:r w:rsidR="00082314">
        <w:rPr>
          <w:rFonts w:cstheme="majorHAnsi"/>
          <w:sz w:val="22"/>
          <w:szCs w:val="22"/>
        </w:rPr>
        <w:t xml:space="preserve">land sustainably managed through the EBF </w:t>
      </w:r>
      <w:r w:rsidR="00EF7EF6">
        <w:rPr>
          <w:rFonts w:cstheme="majorHAnsi"/>
          <w:sz w:val="22"/>
          <w:szCs w:val="22"/>
        </w:rPr>
        <w:t xml:space="preserve">sub-loan </w:t>
      </w:r>
      <w:r w:rsidR="00082314">
        <w:rPr>
          <w:rFonts w:cstheme="majorHAnsi"/>
          <w:sz w:val="22"/>
          <w:szCs w:val="22"/>
        </w:rPr>
        <w:t xml:space="preserve">portfolio increased significantly from </w:t>
      </w:r>
      <w:r w:rsidR="002261E6">
        <w:rPr>
          <w:rFonts w:cstheme="majorHAnsi"/>
          <w:sz w:val="22"/>
          <w:szCs w:val="22"/>
        </w:rPr>
        <w:t>140,000</w:t>
      </w:r>
      <w:r w:rsidR="00082314">
        <w:rPr>
          <w:rFonts w:cstheme="majorHAnsi"/>
          <w:sz w:val="22"/>
          <w:szCs w:val="22"/>
        </w:rPr>
        <w:t xml:space="preserve"> to </w:t>
      </w:r>
      <w:r w:rsidR="002261E6">
        <w:rPr>
          <w:rFonts w:cstheme="majorHAnsi"/>
          <w:sz w:val="22"/>
          <w:szCs w:val="22"/>
        </w:rPr>
        <w:t>261,000</w:t>
      </w:r>
      <w:r w:rsidR="00082314">
        <w:rPr>
          <w:rFonts w:cstheme="majorHAnsi"/>
          <w:sz w:val="22"/>
          <w:szCs w:val="22"/>
        </w:rPr>
        <w:t xml:space="preserve"> </w:t>
      </w:r>
      <w:r w:rsidR="008625ED">
        <w:rPr>
          <w:rFonts w:cstheme="majorHAnsi"/>
          <w:sz w:val="22"/>
          <w:szCs w:val="22"/>
        </w:rPr>
        <w:t>Hectares (</w:t>
      </w:r>
      <w:r w:rsidR="00082314">
        <w:rPr>
          <w:rFonts w:cstheme="majorHAnsi"/>
          <w:sz w:val="22"/>
          <w:szCs w:val="22"/>
        </w:rPr>
        <w:t>Ha</w:t>
      </w:r>
      <w:r w:rsidR="008625ED">
        <w:rPr>
          <w:rFonts w:cstheme="majorHAnsi"/>
          <w:sz w:val="22"/>
          <w:szCs w:val="22"/>
        </w:rPr>
        <w:t>)</w:t>
      </w:r>
      <w:r w:rsidR="007B5F84">
        <w:rPr>
          <w:rFonts w:cstheme="majorHAnsi"/>
          <w:sz w:val="22"/>
          <w:szCs w:val="22"/>
        </w:rPr>
        <w:t xml:space="preserve">, </w:t>
      </w:r>
      <w:r w:rsidR="00A2306D">
        <w:rPr>
          <w:rFonts w:cstheme="majorHAnsi"/>
          <w:sz w:val="22"/>
          <w:szCs w:val="22"/>
        </w:rPr>
        <w:t xml:space="preserve">particularly </w:t>
      </w:r>
      <w:r w:rsidR="007B5F84">
        <w:rPr>
          <w:rFonts w:cstheme="majorHAnsi"/>
          <w:sz w:val="22"/>
          <w:szCs w:val="22"/>
        </w:rPr>
        <w:t xml:space="preserve">as a result of </w:t>
      </w:r>
      <w:r w:rsidR="00A2306D">
        <w:rPr>
          <w:rFonts w:cstheme="majorHAnsi"/>
          <w:sz w:val="22"/>
          <w:szCs w:val="22"/>
        </w:rPr>
        <w:t xml:space="preserve">an </w:t>
      </w:r>
      <w:r w:rsidR="007B5F84">
        <w:rPr>
          <w:rFonts w:cstheme="majorHAnsi"/>
          <w:sz w:val="22"/>
          <w:szCs w:val="22"/>
        </w:rPr>
        <w:t xml:space="preserve">expansion </w:t>
      </w:r>
      <w:r w:rsidR="00A2306D">
        <w:rPr>
          <w:rFonts w:cstheme="majorHAnsi"/>
          <w:sz w:val="22"/>
          <w:szCs w:val="22"/>
        </w:rPr>
        <w:t>in</w:t>
      </w:r>
      <w:r w:rsidR="007B5F84">
        <w:rPr>
          <w:rFonts w:cstheme="majorHAnsi"/>
          <w:sz w:val="22"/>
          <w:szCs w:val="22"/>
        </w:rPr>
        <w:t xml:space="preserve"> investments </w:t>
      </w:r>
      <w:r w:rsidR="00A2306D">
        <w:rPr>
          <w:rFonts w:cstheme="majorHAnsi"/>
          <w:sz w:val="22"/>
          <w:szCs w:val="22"/>
        </w:rPr>
        <w:t>of</w:t>
      </w:r>
      <w:r w:rsidR="007B5F84">
        <w:rPr>
          <w:rFonts w:cstheme="majorHAnsi"/>
          <w:sz w:val="22"/>
          <w:szCs w:val="22"/>
        </w:rPr>
        <w:t xml:space="preserve"> </w:t>
      </w:r>
      <w:r w:rsidR="00A2306D">
        <w:rPr>
          <w:rFonts w:cstheme="majorHAnsi"/>
          <w:sz w:val="22"/>
          <w:szCs w:val="22"/>
        </w:rPr>
        <w:t>shade grown coffee (a</w:t>
      </w:r>
      <w:r w:rsidR="007B5F84">
        <w:rPr>
          <w:rFonts w:cstheme="majorHAnsi"/>
          <w:sz w:val="22"/>
          <w:szCs w:val="22"/>
        </w:rPr>
        <w:t>groforestry</w:t>
      </w:r>
      <w:r w:rsidR="00A2306D">
        <w:rPr>
          <w:rFonts w:cstheme="majorHAnsi"/>
          <w:sz w:val="22"/>
          <w:szCs w:val="22"/>
        </w:rPr>
        <w:t>)</w:t>
      </w:r>
      <w:r w:rsidR="007B5F84">
        <w:rPr>
          <w:rFonts w:cstheme="majorHAnsi"/>
          <w:sz w:val="22"/>
          <w:szCs w:val="22"/>
        </w:rPr>
        <w:t xml:space="preserve"> in </w:t>
      </w:r>
      <w:r w:rsidR="00A2306D">
        <w:rPr>
          <w:rFonts w:cstheme="majorHAnsi"/>
          <w:sz w:val="22"/>
          <w:szCs w:val="22"/>
        </w:rPr>
        <w:t>Colombia and El Salvador</w:t>
      </w:r>
      <w:r w:rsidR="00082314">
        <w:rPr>
          <w:rFonts w:cstheme="majorHAnsi"/>
          <w:sz w:val="22"/>
          <w:szCs w:val="22"/>
        </w:rPr>
        <w:t>.</w:t>
      </w:r>
      <w:r w:rsidR="00EF7EF6">
        <w:rPr>
          <w:rFonts w:cstheme="majorHAnsi"/>
          <w:sz w:val="22"/>
          <w:szCs w:val="22"/>
        </w:rPr>
        <w:t xml:space="preserve"> </w:t>
      </w:r>
    </w:p>
    <w:p w14:paraId="02BB8AD6" w14:textId="433A7983" w:rsidR="00C24F29" w:rsidRPr="00A3431E" w:rsidRDefault="00082314" w:rsidP="00CE3099">
      <w:pPr>
        <w:pStyle w:val="Default"/>
        <w:spacing w:after="120" w:line="276" w:lineRule="auto"/>
        <w:jc w:val="both"/>
        <w:rPr>
          <w:sz w:val="22"/>
          <w:szCs w:val="22"/>
        </w:rPr>
      </w:pPr>
      <w:r w:rsidRPr="00E648CB">
        <w:rPr>
          <w:rFonts w:cstheme="majorBidi"/>
          <w:sz w:val="22"/>
          <w:szCs w:val="22"/>
        </w:rPr>
        <w:t>The Fund focuses on four sectors:</w:t>
      </w:r>
      <w:r w:rsidR="00020E75" w:rsidRPr="00A3431E">
        <w:rPr>
          <w:rFonts w:cstheme="majorBidi"/>
          <w:sz w:val="20"/>
          <w:szCs w:val="20"/>
        </w:rPr>
        <w:t xml:space="preserve"> </w:t>
      </w:r>
      <w:r w:rsidR="00020E75" w:rsidRPr="00A3431E">
        <w:rPr>
          <w:sz w:val="22"/>
          <w:szCs w:val="22"/>
        </w:rPr>
        <w:t>a</w:t>
      </w:r>
      <w:r w:rsidR="00B029B4" w:rsidRPr="00A3431E">
        <w:rPr>
          <w:sz w:val="22"/>
          <w:szCs w:val="22"/>
        </w:rPr>
        <w:t>griculture and agribusiness, fisheries and aquaculture, forestry</w:t>
      </w:r>
      <w:r w:rsidR="004F0FA7" w:rsidRPr="00A3431E">
        <w:rPr>
          <w:sz w:val="22"/>
          <w:szCs w:val="22"/>
        </w:rPr>
        <w:t>,</w:t>
      </w:r>
      <w:r w:rsidR="00B029B4" w:rsidRPr="00A3431E">
        <w:rPr>
          <w:sz w:val="22"/>
          <w:szCs w:val="22"/>
        </w:rPr>
        <w:t xml:space="preserve"> and tourism</w:t>
      </w:r>
      <w:r w:rsidR="004F0FA7" w:rsidRPr="00A3431E">
        <w:rPr>
          <w:sz w:val="22"/>
          <w:szCs w:val="22"/>
        </w:rPr>
        <w:t>. T</w:t>
      </w:r>
      <w:r w:rsidRPr="00A3431E">
        <w:rPr>
          <w:sz w:val="22"/>
          <w:szCs w:val="22"/>
        </w:rPr>
        <w:t>o date, due to the financing landscape in countries of operation</w:t>
      </w:r>
      <w:r w:rsidR="004F0FA7" w:rsidRPr="00A3431E">
        <w:rPr>
          <w:sz w:val="22"/>
          <w:szCs w:val="22"/>
        </w:rPr>
        <w:t>,</w:t>
      </w:r>
      <w:r w:rsidRPr="00A3431E">
        <w:rPr>
          <w:sz w:val="22"/>
          <w:szCs w:val="22"/>
        </w:rPr>
        <w:t xml:space="preserve"> </w:t>
      </w:r>
      <w:r w:rsidR="00477B08" w:rsidRPr="00A3431E">
        <w:rPr>
          <w:sz w:val="22"/>
          <w:szCs w:val="22"/>
        </w:rPr>
        <w:t>F</w:t>
      </w:r>
      <w:r w:rsidRPr="00A3431E">
        <w:rPr>
          <w:sz w:val="22"/>
          <w:szCs w:val="22"/>
        </w:rPr>
        <w:t xml:space="preserve">und activities have been highly concentrated in agriculture </w:t>
      </w:r>
      <w:r w:rsidR="004F0FA7" w:rsidRPr="00A3431E">
        <w:rPr>
          <w:sz w:val="22"/>
          <w:szCs w:val="22"/>
        </w:rPr>
        <w:t>and agribusiness</w:t>
      </w:r>
      <w:r w:rsidR="00C24F29" w:rsidRPr="00A3431E">
        <w:rPr>
          <w:sz w:val="22"/>
          <w:szCs w:val="22"/>
        </w:rPr>
        <w:t>.</w:t>
      </w:r>
      <w:r w:rsidR="00135D20" w:rsidRPr="00A3431E">
        <w:rPr>
          <w:sz w:val="22"/>
          <w:szCs w:val="22"/>
        </w:rPr>
        <w:t xml:space="preserve"> </w:t>
      </w:r>
      <w:r w:rsidR="6B4519A1" w:rsidRPr="00A3431E">
        <w:rPr>
          <w:sz w:val="22"/>
          <w:szCs w:val="22"/>
        </w:rPr>
        <w:t>T</w:t>
      </w:r>
      <w:r w:rsidR="00FB7B79" w:rsidRPr="00A3431E">
        <w:rPr>
          <w:sz w:val="22"/>
          <w:szCs w:val="22"/>
        </w:rPr>
        <w:t>he portfolio of on-lend</w:t>
      </w:r>
      <w:r w:rsidR="00360100" w:rsidRPr="00A3431E">
        <w:rPr>
          <w:sz w:val="22"/>
          <w:szCs w:val="22"/>
        </w:rPr>
        <w:t>ing</w:t>
      </w:r>
      <w:r w:rsidR="00FB7B79" w:rsidRPr="00A3431E">
        <w:rPr>
          <w:sz w:val="22"/>
          <w:szCs w:val="22"/>
        </w:rPr>
        <w:t xml:space="preserve"> investments </w:t>
      </w:r>
      <w:r w:rsidR="00360100" w:rsidRPr="00A3431E">
        <w:rPr>
          <w:sz w:val="22"/>
          <w:szCs w:val="22"/>
        </w:rPr>
        <w:t>has</w:t>
      </w:r>
      <w:r w:rsidR="00FB7B79" w:rsidRPr="00A3431E">
        <w:rPr>
          <w:sz w:val="22"/>
          <w:szCs w:val="22"/>
        </w:rPr>
        <w:t xml:space="preserve"> been largely composed of</w:t>
      </w:r>
      <w:r w:rsidR="00C24F29" w:rsidRPr="00A3431E">
        <w:rPr>
          <w:sz w:val="22"/>
          <w:szCs w:val="22"/>
        </w:rPr>
        <w:t xml:space="preserve"> </w:t>
      </w:r>
      <w:r w:rsidR="6C1F1954" w:rsidRPr="00A3431E">
        <w:rPr>
          <w:sz w:val="22"/>
          <w:szCs w:val="22"/>
        </w:rPr>
        <w:t>c</w:t>
      </w:r>
      <w:r w:rsidR="00FB7B79" w:rsidRPr="00A3431E">
        <w:rPr>
          <w:sz w:val="22"/>
          <w:szCs w:val="22"/>
        </w:rPr>
        <w:t>offee (</w:t>
      </w:r>
      <w:r w:rsidR="00E30723" w:rsidRPr="00A3431E">
        <w:rPr>
          <w:sz w:val="22"/>
          <w:szCs w:val="22"/>
        </w:rPr>
        <w:t>31</w:t>
      </w:r>
      <w:r w:rsidR="00FB7B79" w:rsidRPr="00A3431E">
        <w:rPr>
          <w:sz w:val="22"/>
          <w:szCs w:val="22"/>
        </w:rPr>
        <w:t>%)</w:t>
      </w:r>
      <w:r w:rsidR="21EF97BA" w:rsidRPr="00A3431E">
        <w:rPr>
          <w:sz w:val="22"/>
          <w:szCs w:val="22"/>
        </w:rPr>
        <w:t>,</w:t>
      </w:r>
      <w:r w:rsidR="00FB7B79" w:rsidRPr="00A3431E">
        <w:rPr>
          <w:sz w:val="22"/>
          <w:szCs w:val="22"/>
        </w:rPr>
        <w:t xml:space="preserve"> </w:t>
      </w:r>
      <w:r w:rsidR="2AA0C70F" w:rsidRPr="00A3431E">
        <w:rPr>
          <w:sz w:val="22"/>
          <w:szCs w:val="22"/>
        </w:rPr>
        <w:t>b</w:t>
      </w:r>
      <w:r w:rsidR="00135D20" w:rsidRPr="00A3431E">
        <w:rPr>
          <w:sz w:val="22"/>
          <w:szCs w:val="22"/>
        </w:rPr>
        <w:t>anana</w:t>
      </w:r>
      <w:r w:rsidR="00FB7B79" w:rsidRPr="00A3431E">
        <w:rPr>
          <w:sz w:val="22"/>
          <w:szCs w:val="22"/>
        </w:rPr>
        <w:t xml:space="preserve"> (7%)</w:t>
      </w:r>
      <w:r w:rsidR="00135D20" w:rsidRPr="00A3431E">
        <w:rPr>
          <w:sz w:val="22"/>
          <w:szCs w:val="22"/>
        </w:rPr>
        <w:t xml:space="preserve">, </w:t>
      </w:r>
      <w:r w:rsidR="19CA3BF0" w:rsidRPr="00A3431E">
        <w:rPr>
          <w:sz w:val="22"/>
          <w:szCs w:val="22"/>
        </w:rPr>
        <w:t>s</w:t>
      </w:r>
      <w:r w:rsidR="00E30723" w:rsidRPr="00A3431E">
        <w:rPr>
          <w:sz w:val="22"/>
          <w:szCs w:val="22"/>
        </w:rPr>
        <w:t xml:space="preserve">hrimp </w:t>
      </w:r>
      <w:r w:rsidR="00135D20" w:rsidRPr="00A3431E">
        <w:rPr>
          <w:sz w:val="22"/>
          <w:szCs w:val="22"/>
        </w:rPr>
        <w:t>(</w:t>
      </w:r>
      <w:r w:rsidR="00E30723" w:rsidRPr="00A3431E">
        <w:rPr>
          <w:sz w:val="22"/>
          <w:szCs w:val="22"/>
        </w:rPr>
        <w:t>12</w:t>
      </w:r>
      <w:r w:rsidR="00135D20" w:rsidRPr="00A3431E">
        <w:rPr>
          <w:sz w:val="22"/>
          <w:szCs w:val="22"/>
        </w:rPr>
        <w:t>%)</w:t>
      </w:r>
      <w:r w:rsidR="51561009" w:rsidRPr="00A3431E">
        <w:rPr>
          <w:sz w:val="22"/>
          <w:szCs w:val="22"/>
        </w:rPr>
        <w:t xml:space="preserve">, and </w:t>
      </w:r>
      <w:r w:rsidR="08DD8F5B" w:rsidRPr="00A3431E">
        <w:rPr>
          <w:sz w:val="22"/>
          <w:szCs w:val="22"/>
        </w:rPr>
        <w:t>f</w:t>
      </w:r>
      <w:r w:rsidR="00E30723" w:rsidRPr="00A3431E">
        <w:rPr>
          <w:sz w:val="22"/>
          <w:szCs w:val="22"/>
        </w:rPr>
        <w:t xml:space="preserve">orestry and timber </w:t>
      </w:r>
      <w:r w:rsidR="00135D20" w:rsidRPr="00A3431E">
        <w:rPr>
          <w:sz w:val="22"/>
          <w:szCs w:val="22"/>
        </w:rPr>
        <w:t>(</w:t>
      </w:r>
      <w:r w:rsidR="00A2306D" w:rsidRPr="00A3431E">
        <w:rPr>
          <w:sz w:val="22"/>
          <w:szCs w:val="22"/>
        </w:rPr>
        <w:t>7</w:t>
      </w:r>
      <w:r w:rsidR="00135D20" w:rsidRPr="00A3431E">
        <w:rPr>
          <w:sz w:val="22"/>
          <w:szCs w:val="22"/>
        </w:rPr>
        <w:t>%).</w:t>
      </w:r>
    </w:p>
    <w:p w14:paraId="61AF22E2" w14:textId="70953146" w:rsidR="008F047F" w:rsidRPr="0080423A" w:rsidRDefault="000004E0" w:rsidP="0080423A">
      <w:pPr>
        <w:rPr>
          <w:u w:val="single"/>
        </w:rPr>
      </w:pPr>
      <w:r w:rsidRPr="182F989B">
        <w:rPr>
          <w:u w:val="single"/>
        </w:rPr>
        <w:t>The Eco Development Facilit</w:t>
      </w:r>
      <w:r w:rsidR="0A8A010E" w:rsidRPr="182F989B">
        <w:rPr>
          <w:u w:val="single"/>
        </w:rPr>
        <w:t>y</w:t>
      </w:r>
    </w:p>
    <w:p w14:paraId="2BEEF676" w14:textId="383DBE4D" w:rsidR="00F551E4" w:rsidRPr="005F6804" w:rsidRDefault="00354CFC" w:rsidP="00F551E4">
      <w:pPr>
        <w:pStyle w:val="Normal1"/>
        <w:spacing w:after="120" w:line="276" w:lineRule="auto"/>
        <w:jc w:val="both"/>
        <w:rPr>
          <w:rFonts w:ascii="Calibri" w:hAnsi="Calibri"/>
          <w:sz w:val="22"/>
          <w:szCs w:val="22"/>
        </w:rPr>
      </w:pPr>
      <w:r w:rsidRPr="005F6804">
        <w:rPr>
          <w:rFonts w:asciiTheme="minorHAnsi" w:hAnsiTheme="minorHAnsi" w:cstheme="minorHAnsi"/>
          <w:sz w:val="22"/>
          <w:szCs w:val="22"/>
        </w:rPr>
        <w:t xml:space="preserve">The </w:t>
      </w:r>
      <w:r w:rsidR="505ECFB7" w:rsidRPr="005F6804">
        <w:rPr>
          <w:rFonts w:asciiTheme="minorHAnsi" w:hAnsiTheme="minorHAnsi" w:cstheme="minorHAnsi"/>
          <w:sz w:val="22"/>
          <w:szCs w:val="22"/>
        </w:rPr>
        <w:t>Development Facility</w:t>
      </w:r>
      <w:r w:rsidRPr="005F6804">
        <w:rPr>
          <w:rFonts w:asciiTheme="minorHAnsi" w:hAnsiTheme="minorHAnsi" w:cstheme="minorHAnsi"/>
          <w:sz w:val="22"/>
          <w:szCs w:val="22"/>
        </w:rPr>
        <w:t xml:space="preserve"> is a separate </w:t>
      </w:r>
      <w:r w:rsidR="000F403E" w:rsidRPr="005F6804">
        <w:rPr>
          <w:rFonts w:asciiTheme="minorHAnsi" w:hAnsiTheme="minorHAnsi" w:cstheme="minorHAnsi"/>
          <w:sz w:val="22"/>
          <w:szCs w:val="22"/>
        </w:rPr>
        <w:t>entity</w:t>
      </w:r>
      <w:r w:rsidRPr="005F6804">
        <w:rPr>
          <w:rFonts w:asciiTheme="minorHAnsi" w:hAnsiTheme="minorHAnsi" w:cstheme="minorHAnsi"/>
          <w:sz w:val="22"/>
          <w:szCs w:val="22"/>
        </w:rPr>
        <w:t xml:space="preserve"> that sits a</w:t>
      </w:r>
      <w:r w:rsidR="001B706D" w:rsidRPr="005F6804">
        <w:rPr>
          <w:rFonts w:asciiTheme="minorHAnsi" w:hAnsiTheme="minorHAnsi" w:cstheme="minorHAnsi"/>
          <w:sz w:val="22"/>
          <w:szCs w:val="22"/>
        </w:rPr>
        <w:t xml:space="preserve">longside the </w:t>
      </w:r>
      <w:r w:rsidRPr="005F6804">
        <w:rPr>
          <w:rFonts w:asciiTheme="minorHAnsi" w:hAnsiTheme="minorHAnsi" w:cstheme="minorHAnsi"/>
          <w:sz w:val="22"/>
          <w:szCs w:val="22"/>
        </w:rPr>
        <w:t>EB</w:t>
      </w:r>
      <w:r w:rsidR="008D548D" w:rsidRPr="005F6804">
        <w:rPr>
          <w:rFonts w:asciiTheme="minorHAnsi" w:hAnsiTheme="minorHAnsi" w:cstheme="minorHAnsi"/>
          <w:sz w:val="22"/>
          <w:szCs w:val="22"/>
        </w:rPr>
        <w:t>F investment portfolio</w:t>
      </w:r>
      <w:r w:rsidRPr="005F6804">
        <w:rPr>
          <w:rFonts w:asciiTheme="minorHAnsi" w:hAnsiTheme="minorHAnsi" w:cstheme="minorHAnsi"/>
          <w:sz w:val="22"/>
          <w:szCs w:val="22"/>
        </w:rPr>
        <w:t xml:space="preserve">. </w:t>
      </w:r>
      <w:r w:rsidR="000F403E" w:rsidRPr="005F6804">
        <w:rPr>
          <w:rFonts w:asciiTheme="minorHAnsi" w:hAnsiTheme="minorHAnsi" w:cstheme="minorHAnsi"/>
          <w:sz w:val="22"/>
          <w:szCs w:val="22"/>
        </w:rPr>
        <w:t>The Development Facility</w:t>
      </w:r>
      <w:r w:rsidR="001B706D" w:rsidRPr="005F6804">
        <w:rPr>
          <w:rFonts w:asciiTheme="minorHAnsi" w:hAnsiTheme="minorHAnsi" w:cstheme="minorHAnsi"/>
          <w:sz w:val="22"/>
          <w:szCs w:val="22"/>
        </w:rPr>
        <w:t xml:space="preserve"> provides grant finance </w:t>
      </w:r>
      <w:r w:rsidR="008D548D" w:rsidRPr="005F6804">
        <w:rPr>
          <w:rFonts w:asciiTheme="minorHAnsi" w:hAnsiTheme="minorHAnsi" w:cstheme="minorHAnsi"/>
          <w:sz w:val="22"/>
          <w:szCs w:val="22"/>
        </w:rPr>
        <w:t xml:space="preserve">directed at </w:t>
      </w:r>
      <w:r w:rsidR="00CE7CA3" w:rsidRPr="005F6804">
        <w:rPr>
          <w:rFonts w:asciiTheme="minorHAnsi" w:hAnsiTheme="minorHAnsi" w:cstheme="minorHAnsi"/>
          <w:sz w:val="22"/>
          <w:szCs w:val="22"/>
        </w:rPr>
        <w:t>TA</w:t>
      </w:r>
      <w:r w:rsidR="008D548D" w:rsidRPr="005F6804">
        <w:rPr>
          <w:rFonts w:asciiTheme="minorHAnsi" w:hAnsiTheme="minorHAnsi" w:cstheme="minorHAnsi"/>
          <w:sz w:val="22"/>
          <w:szCs w:val="22"/>
        </w:rPr>
        <w:t xml:space="preserve"> projects</w:t>
      </w:r>
      <w:r w:rsidR="000F403E" w:rsidRPr="005F6804">
        <w:rPr>
          <w:rFonts w:asciiTheme="minorHAnsi" w:hAnsiTheme="minorHAnsi" w:cstheme="minorHAnsi"/>
          <w:sz w:val="22"/>
          <w:szCs w:val="22"/>
        </w:rPr>
        <w:t>. Typically,</w:t>
      </w:r>
      <w:r w:rsidR="00E44274" w:rsidRPr="005F6804">
        <w:rPr>
          <w:rFonts w:asciiTheme="minorHAnsi" w:hAnsiTheme="minorHAnsi" w:cstheme="minorHAnsi"/>
          <w:sz w:val="22"/>
          <w:szCs w:val="22"/>
        </w:rPr>
        <w:t xml:space="preserve"> these projects will</w:t>
      </w:r>
      <w:r w:rsidR="007868BA" w:rsidRPr="005F6804">
        <w:rPr>
          <w:rFonts w:asciiTheme="minorHAnsi" w:hAnsiTheme="minorHAnsi" w:cstheme="minorHAnsi"/>
          <w:sz w:val="22"/>
          <w:szCs w:val="22"/>
        </w:rPr>
        <w:t xml:space="preserve"> either</w:t>
      </w:r>
      <w:r w:rsidR="00E44274" w:rsidRPr="005F6804">
        <w:rPr>
          <w:rFonts w:asciiTheme="minorHAnsi" w:hAnsiTheme="minorHAnsi" w:cstheme="minorHAnsi"/>
          <w:sz w:val="22"/>
          <w:szCs w:val="22"/>
        </w:rPr>
        <w:t xml:space="preserve"> promote environmentally sustainable land-use practices</w:t>
      </w:r>
      <w:r w:rsidR="0070308C" w:rsidRPr="005F6804">
        <w:rPr>
          <w:rFonts w:asciiTheme="minorHAnsi" w:hAnsiTheme="minorHAnsi" w:cstheme="minorHAnsi"/>
          <w:sz w:val="22"/>
          <w:szCs w:val="22"/>
        </w:rPr>
        <w:t xml:space="preserve"> </w:t>
      </w:r>
      <w:r w:rsidR="00E44274" w:rsidRPr="005F6804">
        <w:rPr>
          <w:rFonts w:asciiTheme="minorHAnsi" w:hAnsiTheme="minorHAnsi" w:cstheme="minorHAnsi"/>
          <w:sz w:val="22"/>
          <w:szCs w:val="22"/>
        </w:rPr>
        <w:t>within small businesses to enable environmental sustainability standards to be achieved</w:t>
      </w:r>
      <w:r w:rsidR="007868BA" w:rsidRPr="005F6804">
        <w:rPr>
          <w:rFonts w:asciiTheme="minorHAnsi" w:hAnsiTheme="minorHAnsi" w:cstheme="minorHAnsi"/>
          <w:sz w:val="22"/>
          <w:szCs w:val="22"/>
        </w:rPr>
        <w:t xml:space="preserve"> or embed lending practices and Environmental and Social Management Systems (ESMS)</w:t>
      </w:r>
      <w:r w:rsidR="00CE7CA3" w:rsidRPr="005F6804">
        <w:rPr>
          <w:rFonts w:asciiTheme="minorHAnsi" w:hAnsiTheme="minorHAnsi" w:cstheme="minorHAnsi"/>
          <w:sz w:val="22"/>
          <w:szCs w:val="22"/>
        </w:rPr>
        <w:t xml:space="preserve">. </w:t>
      </w:r>
      <w:r w:rsidR="00455E85" w:rsidRPr="005F6804">
        <w:rPr>
          <w:rFonts w:asciiTheme="minorHAnsi" w:hAnsiTheme="minorHAnsi" w:cstheme="minorHAnsi"/>
          <w:sz w:val="22"/>
          <w:szCs w:val="22"/>
        </w:rPr>
        <w:t xml:space="preserve">Currently, the </w:t>
      </w:r>
      <w:r w:rsidR="000F403E" w:rsidRPr="005F6804">
        <w:rPr>
          <w:rFonts w:asciiTheme="minorHAnsi" w:hAnsiTheme="minorHAnsi" w:cstheme="minorHAnsi"/>
          <w:sz w:val="22"/>
          <w:szCs w:val="22"/>
        </w:rPr>
        <w:t xml:space="preserve">Development Facility </w:t>
      </w:r>
      <w:r w:rsidR="00455E85" w:rsidRPr="005F6804">
        <w:rPr>
          <w:rFonts w:asciiTheme="minorHAnsi" w:hAnsiTheme="minorHAnsi" w:cstheme="minorHAnsi"/>
          <w:sz w:val="22"/>
          <w:szCs w:val="22"/>
        </w:rPr>
        <w:t xml:space="preserve">has spent USD 2.1m on 32 </w:t>
      </w:r>
      <w:r w:rsidR="007868BA" w:rsidRPr="005F6804">
        <w:rPr>
          <w:rFonts w:asciiTheme="minorHAnsi" w:hAnsiTheme="minorHAnsi" w:cstheme="minorHAnsi"/>
          <w:sz w:val="22"/>
          <w:szCs w:val="22"/>
        </w:rPr>
        <w:t>individual</w:t>
      </w:r>
      <w:r w:rsidR="00455E85" w:rsidRPr="005F6804">
        <w:rPr>
          <w:rFonts w:asciiTheme="minorHAnsi" w:hAnsiTheme="minorHAnsi" w:cstheme="minorHAnsi"/>
          <w:sz w:val="22"/>
          <w:szCs w:val="22"/>
        </w:rPr>
        <w:t xml:space="preserve"> </w:t>
      </w:r>
      <w:r w:rsidR="007868BA" w:rsidRPr="005F6804">
        <w:rPr>
          <w:rFonts w:asciiTheme="minorHAnsi" w:hAnsiTheme="minorHAnsi" w:cstheme="minorHAnsi"/>
          <w:sz w:val="22"/>
          <w:szCs w:val="22"/>
        </w:rPr>
        <w:t xml:space="preserve">programmes. </w:t>
      </w:r>
      <w:r w:rsidR="007B5F84" w:rsidRPr="005F6804">
        <w:rPr>
          <w:rFonts w:asciiTheme="minorHAnsi" w:hAnsiTheme="minorHAnsi" w:cstheme="minorHAnsi"/>
          <w:sz w:val="22"/>
          <w:szCs w:val="22"/>
        </w:rPr>
        <w:t>This is described further in output score, 3.</w:t>
      </w:r>
      <w:r w:rsidR="005F6804" w:rsidRPr="005F6804">
        <w:rPr>
          <w:rFonts w:asciiTheme="minorHAnsi" w:hAnsiTheme="minorHAnsi" w:cstheme="minorHAnsi"/>
          <w:sz w:val="22"/>
          <w:szCs w:val="22"/>
        </w:rPr>
        <w:t xml:space="preserve"> </w:t>
      </w:r>
      <w:r w:rsidR="00F551E4" w:rsidRPr="005F6804">
        <w:rPr>
          <w:rFonts w:ascii="Calibri" w:hAnsi="Calibri"/>
          <w:sz w:val="22"/>
          <w:szCs w:val="22"/>
        </w:rPr>
        <w:t xml:space="preserve">In 2018, Defra made a £194k grant to the Development Facility (EBF-DF). BMZ (German development ministry) and the European Commission are the other major contributors to this facility, which now has funds of $2.1m USD. Although a separate facility – EBF-DF has its own independent board to approve spend and dedicated staff - it is advised by </w:t>
      </w:r>
      <w:proofErr w:type="spellStart"/>
      <w:r w:rsidR="00F551E4" w:rsidRPr="005F6804">
        <w:rPr>
          <w:rFonts w:ascii="Calibri" w:hAnsi="Calibri"/>
          <w:sz w:val="22"/>
          <w:szCs w:val="22"/>
        </w:rPr>
        <w:t>FiM</w:t>
      </w:r>
      <w:proofErr w:type="spellEnd"/>
      <w:r w:rsidR="00F551E4" w:rsidRPr="005F6804">
        <w:rPr>
          <w:rFonts w:ascii="Calibri" w:hAnsi="Calibri"/>
          <w:sz w:val="22"/>
          <w:szCs w:val="22"/>
        </w:rPr>
        <w:t xml:space="preserve"> and works closely with the EBF-LAC. </w:t>
      </w:r>
    </w:p>
    <w:p w14:paraId="0971D63A" w14:textId="77777777" w:rsidR="00F551E4" w:rsidRDefault="00F551E4" w:rsidP="00F551E4">
      <w:pPr>
        <w:pStyle w:val="Normal1"/>
        <w:spacing w:after="120" w:line="276" w:lineRule="auto"/>
        <w:jc w:val="both"/>
        <w:rPr>
          <w:rFonts w:ascii="Calibri" w:hAnsi="Calibri"/>
          <w:sz w:val="22"/>
          <w:szCs w:val="22"/>
        </w:rPr>
      </w:pPr>
      <w:r w:rsidRPr="75155D3C">
        <w:rPr>
          <w:rFonts w:ascii="Calibri" w:hAnsi="Calibri"/>
          <w:sz w:val="22"/>
          <w:szCs w:val="22"/>
        </w:rPr>
        <w:t xml:space="preserve">The EBF-Development Facility has three key focuses: </w:t>
      </w:r>
    </w:p>
    <w:p w14:paraId="6F341BE0" w14:textId="7D77E353" w:rsidR="00F551E4" w:rsidRDefault="00F551E4" w:rsidP="00F551E4">
      <w:pPr>
        <w:pStyle w:val="Normal1"/>
        <w:numPr>
          <w:ilvl w:val="0"/>
          <w:numId w:val="28"/>
        </w:numPr>
        <w:spacing w:after="120" w:line="276" w:lineRule="auto"/>
        <w:jc w:val="both"/>
        <w:rPr>
          <w:rFonts w:ascii="Calibri" w:hAnsi="Calibri"/>
          <w:sz w:val="22"/>
          <w:szCs w:val="22"/>
        </w:rPr>
      </w:pPr>
      <w:r w:rsidRPr="75155D3C">
        <w:rPr>
          <w:rFonts w:ascii="Calibri" w:hAnsi="Calibri"/>
          <w:sz w:val="22"/>
          <w:szCs w:val="22"/>
        </w:rPr>
        <w:t>Guide investment (of EBF-LAC) towards more sustainable outcomes and embed the</w:t>
      </w:r>
      <w:r w:rsidR="00E648CB">
        <w:rPr>
          <w:rFonts w:ascii="Calibri" w:hAnsi="Calibri"/>
          <w:sz w:val="22"/>
          <w:szCs w:val="22"/>
        </w:rPr>
        <w:t xml:space="preserve"> Environmental and Social Management System</w:t>
      </w:r>
      <w:r w:rsidRPr="75155D3C">
        <w:rPr>
          <w:rFonts w:ascii="Calibri" w:hAnsi="Calibri"/>
          <w:sz w:val="22"/>
          <w:szCs w:val="22"/>
        </w:rPr>
        <w:t xml:space="preserve"> </w:t>
      </w:r>
      <w:r w:rsidR="00E648CB">
        <w:rPr>
          <w:rFonts w:ascii="Calibri" w:hAnsi="Calibri"/>
          <w:sz w:val="22"/>
          <w:szCs w:val="22"/>
        </w:rPr>
        <w:t>(</w:t>
      </w:r>
      <w:r w:rsidRPr="75155D3C">
        <w:rPr>
          <w:rFonts w:ascii="Calibri" w:hAnsi="Calibri"/>
          <w:sz w:val="22"/>
          <w:szCs w:val="22"/>
        </w:rPr>
        <w:t>ESMS</w:t>
      </w:r>
      <w:r w:rsidR="00E648CB">
        <w:rPr>
          <w:rFonts w:ascii="Calibri" w:hAnsi="Calibri"/>
          <w:sz w:val="22"/>
          <w:szCs w:val="22"/>
        </w:rPr>
        <w:t>)</w:t>
      </w:r>
      <w:r w:rsidRPr="75155D3C">
        <w:rPr>
          <w:rFonts w:ascii="Calibri" w:hAnsi="Calibri"/>
          <w:sz w:val="22"/>
          <w:szCs w:val="22"/>
        </w:rPr>
        <w:t xml:space="preserve"> practices into financial products (of the partner institutions)</w:t>
      </w:r>
      <w:r w:rsidR="00E648CB">
        <w:rPr>
          <w:rFonts w:ascii="Calibri" w:hAnsi="Calibri"/>
          <w:sz w:val="22"/>
          <w:szCs w:val="22"/>
        </w:rPr>
        <w:t>.</w:t>
      </w:r>
    </w:p>
    <w:p w14:paraId="3D1E520B" w14:textId="77777777" w:rsidR="00F551E4" w:rsidRDefault="00F551E4" w:rsidP="00F551E4">
      <w:pPr>
        <w:pStyle w:val="Normal1"/>
        <w:numPr>
          <w:ilvl w:val="0"/>
          <w:numId w:val="28"/>
        </w:numPr>
        <w:spacing w:after="120" w:line="276" w:lineRule="auto"/>
        <w:jc w:val="both"/>
        <w:rPr>
          <w:rFonts w:ascii="Calibri" w:hAnsi="Calibri"/>
          <w:sz w:val="22"/>
          <w:szCs w:val="22"/>
        </w:rPr>
      </w:pPr>
      <w:r w:rsidRPr="71E92DF2">
        <w:rPr>
          <w:rFonts w:ascii="Calibri" w:hAnsi="Calibri"/>
          <w:sz w:val="22"/>
          <w:szCs w:val="22"/>
        </w:rPr>
        <w:t>TA for programmes which develop a concept or business model that allow the EBF</w:t>
      </w:r>
      <w:r>
        <w:rPr>
          <w:rFonts w:ascii="Calibri" w:hAnsi="Calibri"/>
          <w:sz w:val="22"/>
          <w:szCs w:val="22"/>
        </w:rPr>
        <w:t>’</w:t>
      </w:r>
      <w:r w:rsidRPr="71E92DF2">
        <w:rPr>
          <w:rFonts w:ascii="Calibri" w:hAnsi="Calibri"/>
          <w:sz w:val="22"/>
          <w:szCs w:val="22"/>
        </w:rPr>
        <w:t>s partner institutions to better allocate funding.</w:t>
      </w:r>
    </w:p>
    <w:p w14:paraId="4F3E389A" w14:textId="77777777" w:rsidR="00F551E4" w:rsidRDefault="00F551E4" w:rsidP="00F551E4">
      <w:pPr>
        <w:pStyle w:val="Normal1"/>
        <w:numPr>
          <w:ilvl w:val="0"/>
          <w:numId w:val="28"/>
        </w:numPr>
        <w:spacing w:after="120" w:line="276" w:lineRule="auto"/>
        <w:jc w:val="both"/>
        <w:rPr>
          <w:rFonts w:ascii="Calibri" w:hAnsi="Calibri"/>
          <w:sz w:val="22"/>
          <w:szCs w:val="22"/>
        </w:rPr>
      </w:pPr>
      <w:r>
        <w:rPr>
          <w:rFonts w:ascii="Calibri" w:hAnsi="Calibri"/>
          <w:sz w:val="22"/>
          <w:szCs w:val="22"/>
        </w:rPr>
        <w:t>Knowledge sharing – ensure the mainstreaming of knowledge about the EBFs mission to promote sustainable businesses and consumption practices via workshops, events and on-demand training.</w:t>
      </w:r>
    </w:p>
    <w:p w14:paraId="19E1131D" w14:textId="328F913B" w:rsidR="007305B4" w:rsidRDefault="007305B4" w:rsidP="00BB0EE0"/>
    <w:p w14:paraId="51C7A25E" w14:textId="64B88885" w:rsidR="009B113B" w:rsidRPr="007305B4" w:rsidRDefault="008F5744" w:rsidP="007305B4">
      <w:bookmarkStart w:id="4" w:name="_Toc51578513"/>
      <w:r w:rsidRPr="009B113B">
        <w:rPr>
          <w:b/>
          <w:i/>
          <w:sz w:val="24"/>
        </w:rPr>
        <w:t>Outcome level Summary</w:t>
      </w:r>
      <w:bookmarkEnd w:id="4"/>
    </w:p>
    <w:p w14:paraId="22A8FFA4" w14:textId="2249893C" w:rsidR="000004E0" w:rsidRPr="00D0005A" w:rsidRDefault="00356883" w:rsidP="00EB0D13">
      <w:pPr>
        <w:pStyle w:val="Normal1"/>
        <w:tabs>
          <w:tab w:val="left" w:pos="6915"/>
          <w:tab w:val="left" w:pos="9495"/>
        </w:tabs>
        <w:spacing w:after="120" w:line="276" w:lineRule="auto"/>
        <w:jc w:val="both"/>
        <w:rPr>
          <w:rFonts w:ascii="Calibri" w:hAnsi="Calibri"/>
          <w:iCs/>
          <w:sz w:val="22"/>
          <w:szCs w:val="22"/>
        </w:rPr>
      </w:pPr>
      <w:r>
        <w:rPr>
          <w:rFonts w:ascii="Calibri" w:hAnsi="Calibri"/>
          <w:sz w:val="22"/>
          <w:szCs w:val="22"/>
        </w:rPr>
        <w:t xml:space="preserve">Three </w:t>
      </w:r>
      <w:r w:rsidR="000004E0" w:rsidRPr="00D0005A">
        <w:rPr>
          <w:rFonts w:ascii="Calibri" w:hAnsi="Calibri"/>
          <w:sz w:val="22"/>
          <w:szCs w:val="22"/>
        </w:rPr>
        <w:t xml:space="preserve">ICF KPIs have been selected for use at the </w:t>
      </w:r>
      <w:r w:rsidR="00354CFC">
        <w:rPr>
          <w:rFonts w:ascii="Calibri" w:hAnsi="Calibri"/>
          <w:sz w:val="22"/>
          <w:szCs w:val="22"/>
        </w:rPr>
        <w:t>o</w:t>
      </w:r>
      <w:r w:rsidR="000004E0" w:rsidRPr="00D0005A">
        <w:rPr>
          <w:rFonts w:ascii="Calibri" w:hAnsi="Calibri"/>
          <w:sz w:val="22"/>
          <w:szCs w:val="22"/>
        </w:rPr>
        <w:t>utcome level</w:t>
      </w:r>
      <w:r w:rsidR="00C160CF">
        <w:rPr>
          <w:rFonts w:ascii="Calibri" w:hAnsi="Calibri"/>
          <w:iCs/>
          <w:sz w:val="22"/>
          <w:szCs w:val="22"/>
        </w:rPr>
        <w:t>, KPIs 6, 11 and 12 (see table under Performance and Conclusions).</w:t>
      </w:r>
    </w:p>
    <w:p w14:paraId="1F786582" w14:textId="18A43BA5" w:rsidR="005F6804" w:rsidRDefault="00356883" w:rsidP="005F6804">
      <w:pPr>
        <w:pStyle w:val="Normal1"/>
        <w:tabs>
          <w:tab w:val="left" w:pos="6915"/>
          <w:tab w:val="left" w:pos="9495"/>
        </w:tabs>
        <w:spacing w:after="120" w:line="276" w:lineRule="auto"/>
        <w:jc w:val="both"/>
        <w:rPr>
          <w:rFonts w:ascii="Calibri" w:hAnsi="Calibri"/>
          <w:sz w:val="22"/>
          <w:szCs w:val="22"/>
        </w:rPr>
      </w:pPr>
      <w:r w:rsidRPr="3651B6FB">
        <w:rPr>
          <w:rFonts w:ascii="Calibri" w:hAnsi="Calibri"/>
          <w:sz w:val="22"/>
          <w:szCs w:val="22"/>
        </w:rPr>
        <w:t>ICF KPI</w:t>
      </w:r>
      <w:r w:rsidR="00240FA5" w:rsidRPr="3651B6FB">
        <w:rPr>
          <w:rFonts w:ascii="Calibri" w:hAnsi="Calibri"/>
          <w:sz w:val="22"/>
          <w:szCs w:val="22"/>
        </w:rPr>
        <w:t>s</w:t>
      </w:r>
      <w:r w:rsidRPr="3651B6FB">
        <w:rPr>
          <w:rFonts w:ascii="Calibri" w:hAnsi="Calibri"/>
          <w:sz w:val="22"/>
          <w:szCs w:val="22"/>
        </w:rPr>
        <w:t xml:space="preserve"> </w:t>
      </w:r>
      <w:r w:rsidR="00DC4F2E" w:rsidRPr="3651B6FB">
        <w:rPr>
          <w:rFonts w:ascii="Calibri" w:hAnsi="Calibri"/>
          <w:sz w:val="22"/>
          <w:szCs w:val="22"/>
        </w:rPr>
        <w:t>w</w:t>
      </w:r>
      <w:r w:rsidR="00240FA5" w:rsidRPr="3651B6FB">
        <w:rPr>
          <w:rFonts w:ascii="Calibri" w:hAnsi="Calibri"/>
          <w:sz w:val="22"/>
          <w:szCs w:val="22"/>
        </w:rPr>
        <w:t>ere</w:t>
      </w:r>
      <w:r w:rsidR="00DC4F2E" w:rsidRPr="3651B6FB">
        <w:rPr>
          <w:rFonts w:ascii="Calibri" w:hAnsi="Calibri"/>
          <w:sz w:val="22"/>
          <w:szCs w:val="22"/>
        </w:rPr>
        <w:t xml:space="preserve"> first reported in </w:t>
      </w:r>
      <w:r w:rsidR="00240FA5" w:rsidRPr="3651B6FB">
        <w:rPr>
          <w:rFonts w:ascii="Calibri" w:hAnsi="Calibri"/>
          <w:sz w:val="22"/>
          <w:szCs w:val="22"/>
        </w:rPr>
        <w:t xml:space="preserve">the </w:t>
      </w:r>
      <w:r w:rsidR="00DC4F2E" w:rsidRPr="3651B6FB">
        <w:rPr>
          <w:rFonts w:ascii="Calibri" w:hAnsi="Calibri"/>
          <w:sz w:val="22"/>
          <w:szCs w:val="22"/>
        </w:rPr>
        <w:t>2018 AR and</w:t>
      </w:r>
      <w:r w:rsidRPr="3651B6FB">
        <w:rPr>
          <w:rFonts w:ascii="Calibri" w:hAnsi="Calibri"/>
          <w:sz w:val="22"/>
          <w:szCs w:val="22"/>
        </w:rPr>
        <w:t xml:space="preserve"> ha</w:t>
      </w:r>
      <w:r w:rsidR="00240FA5" w:rsidRPr="3651B6FB">
        <w:rPr>
          <w:rFonts w:ascii="Calibri" w:hAnsi="Calibri"/>
          <w:sz w:val="22"/>
          <w:szCs w:val="22"/>
        </w:rPr>
        <w:t>ve</w:t>
      </w:r>
      <w:r w:rsidRPr="3651B6FB">
        <w:rPr>
          <w:rFonts w:ascii="Calibri" w:hAnsi="Calibri"/>
          <w:sz w:val="22"/>
          <w:szCs w:val="22"/>
        </w:rPr>
        <w:t xml:space="preserve"> undergone a change in methodology</w:t>
      </w:r>
      <w:r w:rsidR="00240FA5" w:rsidRPr="3651B6FB">
        <w:rPr>
          <w:rFonts w:ascii="Calibri" w:hAnsi="Calibri"/>
          <w:sz w:val="22"/>
          <w:szCs w:val="22"/>
        </w:rPr>
        <w:t xml:space="preserve">. </w:t>
      </w:r>
      <w:r w:rsidR="00C160CF">
        <w:rPr>
          <w:rFonts w:ascii="Calibri" w:hAnsi="Calibri"/>
          <w:sz w:val="22"/>
          <w:szCs w:val="22"/>
        </w:rPr>
        <w:t>For KPI 6 we</w:t>
      </w:r>
      <w:r w:rsidR="00C160CF" w:rsidRPr="3651B6FB">
        <w:rPr>
          <w:rFonts w:ascii="Calibri" w:hAnsi="Calibri"/>
          <w:sz w:val="22"/>
          <w:szCs w:val="22"/>
        </w:rPr>
        <w:t xml:space="preserve"> </w:t>
      </w:r>
      <w:r w:rsidRPr="3651B6FB">
        <w:rPr>
          <w:rFonts w:ascii="Calibri" w:hAnsi="Calibri"/>
          <w:sz w:val="22"/>
          <w:szCs w:val="22"/>
        </w:rPr>
        <w:t xml:space="preserve">are now reporting the </w:t>
      </w:r>
      <w:r w:rsidR="000F403E" w:rsidRPr="3651B6FB">
        <w:rPr>
          <w:rFonts w:ascii="Calibri" w:hAnsi="Calibri"/>
          <w:sz w:val="22"/>
          <w:szCs w:val="22"/>
          <w:lang w:val="en-US"/>
        </w:rPr>
        <w:t>Greenhouse Gas (</w:t>
      </w:r>
      <w:r w:rsidRPr="3651B6FB">
        <w:rPr>
          <w:rFonts w:ascii="Calibri" w:hAnsi="Calibri"/>
          <w:sz w:val="22"/>
          <w:szCs w:val="22"/>
        </w:rPr>
        <w:t>GHG</w:t>
      </w:r>
      <w:r w:rsidR="000F403E" w:rsidRPr="3651B6FB">
        <w:rPr>
          <w:rFonts w:ascii="Calibri" w:hAnsi="Calibri"/>
          <w:sz w:val="22"/>
          <w:szCs w:val="22"/>
        </w:rPr>
        <w:t>)</w:t>
      </w:r>
      <w:r w:rsidRPr="3651B6FB">
        <w:rPr>
          <w:rFonts w:ascii="Calibri" w:hAnsi="Calibri"/>
          <w:sz w:val="22"/>
          <w:szCs w:val="22"/>
        </w:rPr>
        <w:t xml:space="preserve"> emissions avoided as a </w:t>
      </w:r>
      <w:r w:rsidR="00240FA5" w:rsidRPr="3651B6FB">
        <w:rPr>
          <w:rFonts w:ascii="Calibri" w:hAnsi="Calibri"/>
          <w:sz w:val="22"/>
          <w:szCs w:val="22"/>
        </w:rPr>
        <w:t>proportion</w:t>
      </w:r>
      <w:r w:rsidRPr="3651B6FB">
        <w:rPr>
          <w:rFonts w:ascii="Calibri" w:hAnsi="Calibri"/>
          <w:sz w:val="22"/>
          <w:szCs w:val="22"/>
        </w:rPr>
        <w:t xml:space="preserve"> of Defra’s share in the </w:t>
      </w:r>
      <w:r w:rsidR="00F81832" w:rsidRPr="3651B6FB">
        <w:rPr>
          <w:rFonts w:ascii="Calibri" w:hAnsi="Calibri"/>
          <w:sz w:val="22"/>
          <w:szCs w:val="22"/>
        </w:rPr>
        <w:t>EBF</w:t>
      </w:r>
      <w:r w:rsidR="7C6F44A3" w:rsidRPr="3651B6FB">
        <w:rPr>
          <w:rFonts w:ascii="Calibri" w:hAnsi="Calibri"/>
          <w:sz w:val="22"/>
          <w:szCs w:val="22"/>
        </w:rPr>
        <w:t xml:space="preserve"> </w:t>
      </w:r>
      <w:r w:rsidR="47CBED25" w:rsidRPr="3651B6FB">
        <w:rPr>
          <w:rFonts w:ascii="Calibri" w:hAnsi="Calibri"/>
          <w:sz w:val="22"/>
          <w:szCs w:val="22"/>
        </w:rPr>
        <w:t>to</w:t>
      </w:r>
      <w:r w:rsidR="7C6F44A3" w:rsidRPr="3651B6FB">
        <w:rPr>
          <w:rFonts w:ascii="Calibri" w:hAnsi="Calibri"/>
          <w:sz w:val="22"/>
          <w:szCs w:val="22"/>
        </w:rPr>
        <w:t xml:space="preserve"> better </w:t>
      </w:r>
      <w:r w:rsidR="7C6F44A3" w:rsidRPr="3651B6FB">
        <w:rPr>
          <w:rFonts w:ascii="Calibri" w:hAnsi="Calibri"/>
          <w:sz w:val="22"/>
          <w:szCs w:val="22"/>
        </w:rPr>
        <w:lastRenderedPageBreak/>
        <w:t>attribute results to the Defra portion of funding</w:t>
      </w:r>
      <w:r w:rsidR="00C160CF">
        <w:rPr>
          <w:rFonts w:ascii="Calibri" w:hAnsi="Calibri"/>
          <w:sz w:val="22"/>
          <w:szCs w:val="22"/>
        </w:rPr>
        <w:t>, though this is for internal use only and cannot be published</w:t>
      </w:r>
      <w:r w:rsidR="7C6F44A3" w:rsidRPr="3651B6FB">
        <w:rPr>
          <w:rFonts w:ascii="Calibri" w:hAnsi="Calibri"/>
          <w:sz w:val="22"/>
          <w:szCs w:val="22"/>
        </w:rPr>
        <w:t xml:space="preserve">. We </w:t>
      </w:r>
      <w:r w:rsidR="00965FB2" w:rsidRPr="3651B6FB">
        <w:rPr>
          <w:rFonts w:ascii="Calibri" w:hAnsi="Calibri"/>
          <w:sz w:val="22"/>
          <w:szCs w:val="22"/>
        </w:rPr>
        <w:t xml:space="preserve">previously described impact and targets that reflected the </w:t>
      </w:r>
      <w:r w:rsidR="00F81832" w:rsidRPr="3651B6FB">
        <w:rPr>
          <w:rFonts w:ascii="Calibri" w:hAnsi="Calibri"/>
          <w:sz w:val="22"/>
          <w:szCs w:val="22"/>
        </w:rPr>
        <w:t>F</w:t>
      </w:r>
      <w:r w:rsidR="00965FB2" w:rsidRPr="3651B6FB">
        <w:rPr>
          <w:rFonts w:ascii="Calibri" w:hAnsi="Calibri"/>
          <w:sz w:val="22"/>
          <w:szCs w:val="22"/>
        </w:rPr>
        <w:t>und</w:t>
      </w:r>
      <w:r w:rsidR="00C160CF">
        <w:rPr>
          <w:rFonts w:ascii="Calibri" w:hAnsi="Calibri"/>
          <w:sz w:val="22"/>
          <w:szCs w:val="22"/>
        </w:rPr>
        <w:t xml:space="preserve"> as a whole, which are provided in the same table</w:t>
      </w:r>
      <w:r w:rsidR="005F6804">
        <w:rPr>
          <w:rFonts w:ascii="Calibri" w:hAnsi="Calibri"/>
          <w:sz w:val="22"/>
          <w:szCs w:val="22"/>
        </w:rPr>
        <w:t>. Although the Fund reports on KPIs</w:t>
      </w:r>
      <w:r w:rsidR="00C160CF">
        <w:rPr>
          <w:rFonts w:ascii="Calibri" w:hAnsi="Calibri"/>
          <w:sz w:val="22"/>
          <w:szCs w:val="22"/>
        </w:rPr>
        <w:t xml:space="preserve"> 11 and 12</w:t>
      </w:r>
      <w:r w:rsidR="005F6804">
        <w:rPr>
          <w:rFonts w:ascii="Calibri" w:hAnsi="Calibri"/>
          <w:sz w:val="22"/>
          <w:szCs w:val="22"/>
        </w:rPr>
        <w:t xml:space="preserve"> to Defra, the results</w:t>
      </w:r>
      <w:r w:rsidR="005F6804" w:rsidRPr="005F6804">
        <w:rPr>
          <w:color w:val="000000" w:themeColor="text1"/>
          <w:sz w:val="22"/>
          <w:szCs w:val="22"/>
        </w:rPr>
        <w:t xml:space="preserve"> </w:t>
      </w:r>
      <w:r w:rsidR="005F6804" w:rsidRPr="005F6804">
        <w:rPr>
          <w:rFonts w:ascii="Calibri" w:hAnsi="Calibri"/>
          <w:sz w:val="22"/>
          <w:szCs w:val="22"/>
        </w:rPr>
        <w:t xml:space="preserve">are not published due to their commercially sensitive nature. All three </w:t>
      </w:r>
      <w:r w:rsidR="005F6804">
        <w:rPr>
          <w:rFonts w:ascii="Calibri" w:hAnsi="Calibri"/>
          <w:sz w:val="22"/>
          <w:szCs w:val="22"/>
        </w:rPr>
        <w:t xml:space="preserve">KPIs </w:t>
      </w:r>
      <w:r w:rsidR="005F6804" w:rsidRPr="005F6804">
        <w:rPr>
          <w:rFonts w:ascii="Calibri" w:hAnsi="Calibri"/>
          <w:sz w:val="22"/>
          <w:szCs w:val="22"/>
        </w:rPr>
        <w:t>exceeded the targets set for them for 2</w:t>
      </w:r>
      <w:r w:rsidR="008C6C34">
        <w:rPr>
          <w:rFonts w:ascii="Calibri" w:hAnsi="Calibri"/>
          <w:sz w:val="22"/>
          <w:szCs w:val="22"/>
        </w:rPr>
        <w:t>019</w:t>
      </w:r>
      <w:r w:rsidR="00965FB2" w:rsidRPr="3651B6FB">
        <w:rPr>
          <w:rFonts w:ascii="Calibri" w:hAnsi="Calibri"/>
          <w:sz w:val="22"/>
          <w:szCs w:val="22"/>
        </w:rPr>
        <w:t>.</w:t>
      </w:r>
    </w:p>
    <w:p w14:paraId="3B474464" w14:textId="1C463E19" w:rsidR="65CEFF32" w:rsidRPr="002C6581" w:rsidRDefault="65CEFF32" w:rsidP="00944FEA">
      <w:pPr>
        <w:pStyle w:val="Normal1"/>
        <w:tabs>
          <w:tab w:val="left" w:pos="6915"/>
          <w:tab w:val="left" w:pos="9495"/>
        </w:tabs>
        <w:spacing w:after="120" w:line="276" w:lineRule="auto"/>
        <w:jc w:val="both"/>
        <w:rPr>
          <w:rFonts w:ascii="Calibri" w:hAnsi="Calibri"/>
          <w:color w:val="auto"/>
          <w:sz w:val="18"/>
          <w:szCs w:val="18"/>
        </w:rPr>
      </w:pPr>
    </w:p>
    <w:p w14:paraId="38CFAED4" w14:textId="77777777" w:rsidR="008F5744" w:rsidRPr="009B113B" w:rsidRDefault="008F5744" w:rsidP="009B113B">
      <w:pPr>
        <w:pStyle w:val="Heading3"/>
        <w:numPr>
          <w:ilvl w:val="0"/>
          <w:numId w:val="0"/>
        </w:numPr>
        <w:rPr>
          <w:b/>
          <w:i w:val="0"/>
          <w:color w:val="auto"/>
          <w:sz w:val="24"/>
        </w:rPr>
      </w:pPr>
      <w:bookmarkStart w:id="5" w:name="_Toc51578514"/>
      <w:r w:rsidRPr="009B113B">
        <w:rPr>
          <w:b/>
          <w:i w:val="0"/>
          <w:color w:val="auto"/>
          <w:sz w:val="24"/>
        </w:rPr>
        <w:t>Output level Summary</w:t>
      </w:r>
      <w:bookmarkEnd w:id="5"/>
    </w:p>
    <w:p w14:paraId="1272C918" w14:textId="0ECF8196" w:rsidR="00045A60" w:rsidRDefault="000004E0" w:rsidP="008F5744">
      <w:r>
        <w:t xml:space="preserve">Outputs have been decided based on the objectives of the </w:t>
      </w:r>
      <w:r w:rsidR="00DD14EA">
        <w:t>EBF</w:t>
      </w:r>
      <w:r>
        <w:t xml:space="preserve"> to promote business and consumption practices that contribute to biodiversity conservation, to the sustainable use of natural resources</w:t>
      </w:r>
      <w:r w:rsidR="0071356E">
        <w:t>,</w:t>
      </w:r>
      <w:r>
        <w:t xml:space="preserve"> and to mitigate climate change and adapt to its impacts. The outputs</w:t>
      </w:r>
      <w:r w:rsidR="00045A60">
        <w:t xml:space="preserve"> below </w:t>
      </w:r>
      <w:r>
        <w:t>include the following progress hig</w:t>
      </w:r>
      <w:r w:rsidR="00045A60">
        <w:t>hlights:</w:t>
      </w:r>
    </w:p>
    <w:p w14:paraId="58995B89" w14:textId="77777777" w:rsidR="00045A60" w:rsidRDefault="00045A60" w:rsidP="008F5744"/>
    <w:tbl>
      <w:tblPr>
        <w:tblStyle w:val="TableGrid"/>
        <w:tblW w:w="0" w:type="auto"/>
        <w:tblLook w:val="04A0" w:firstRow="1" w:lastRow="0" w:firstColumn="1" w:lastColumn="0" w:noHBand="0" w:noVBand="1"/>
      </w:tblPr>
      <w:tblGrid>
        <w:gridCol w:w="5093"/>
        <w:gridCol w:w="5093"/>
      </w:tblGrid>
      <w:tr w:rsidR="00045A60" w14:paraId="6408E961" w14:textId="77777777" w:rsidTr="00C160CF">
        <w:trPr>
          <w:trHeight w:val="630"/>
        </w:trPr>
        <w:tc>
          <w:tcPr>
            <w:tcW w:w="5093" w:type="dxa"/>
            <w:tcBorders>
              <w:left w:val="single" w:sz="4" w:space="0" w:color="FFFFFF" w:themeColor="background1"/>
            </w:tcBorders>
          </w:tcPr>
          <w:p w14:paraId="0E596AFE" w14:textId="77777777" w:rsidR="00045A60" w:rsidRPr="00CE5208" w:rsidRDefault="00045A60" w:rsidP="00045A60">
            <w:pPr>
              <w:pStyle w:val="Normal1"/>
              <w:tabs>
                <w:tab w:val="left" w:pos="6915"/>
                <w:tab w:val="left" w:pos="9495"/>
              </w:tabs>
              <w:spacing w:after="120" w:line="276" w:lineRule="auto"/>
              <w:jc w:val="both"/>
              <w:rPr>
                <w:rFonts w:ascii="Calibri" w:hAnsi="Calibri"/>
                <w:iCs/>
                <w:sz w:val="22"/>
                <w:szCs w:val="22"/>
                <w:lang w:val="en-US"/>
              </w:rPr>
            </w:pPr>
            <w:r w:rsidRPr="00CE5208">
              <w:rPr>
                <w:rFonts w:ascii="Calibri" w:hAnsi="Calibri"/>
                <w:b/>
                <w:iCs/>
                <w:sz w:val="22"/>
                <w:szCs w:val="22"/>
                <w:lang w:val="en-US"/>
              </w:rPr>
              <w:t>OUTPUT 1:</w:t>
            </w:r>
            <w:r w:rsidRPr="00CE5208">
              <w:rPr>
                <w:rFonts w:ascii="Calibri" w:hAnsi="Calibri"/>
                <w:iCs/>
                <w:sz w:val="22"/>
                <w:szCs w:val="22"/>
                <w:lang w:val="en-US"/>
              </w:rPr>
              <w:t xml:space="preserve"> EBF has a diversified portfolio supporting a range of geographies and sectors</w:t>
            </w:r>
            <w:r w:rsidR="00DD14EA" w:rsidRPr="00CE5208">
              <w:rPr>
                <w:rFonts w:ascii="Calibri" w:hAnsi="Calibri"/>
                <w:iCs/>
                <w:sz w:val="22"/>
                <w:szCs w:val="22"/>
                <w:lang w:val="en-US"/>
              </w:rPr>
              <w:t>.</w:t>
            </w:r>
            <w:r w:rsidRPr="00CE5208">
              <w:rPr>
                <w:rFonts w:ascii="Calibri" w:hAnsi="Calibri"/>
                <w:iCs/>
                <w:sz w:val="22"/>
                <w:szCs w:val="22"/>
                <w:lang w:val="en-US"/>
              </w:rPr>
              <w:t xml:space="preserve"> </w:t>
            </w:r>
          </w:p>
          <w:p w14:paraId="176A4C0C" w14:textId="77777777" w:rsidR="00045A60" w:rsidRPr="00CE5208" w:rsidRDefault="00045A60" w:rsidP="00045A60">
            <w:pPr>
              <w:rPr>
                <w:lang w:val="en-US"/>
              </w:rPr>
            </w:pPr>
          </w:p>
        </w:tc>
        <w:tc>
          <w:tcPr>
            <w:tcW w:w="5093" w:type="dxa"/>
            <w:tcBorders>
              <w:right w:val="single" w:sz="4" w:space="0" w:color="FFFFFF" w:themeColor="background1"/>
            </w:tcBorders>
          </w:tcPr>
          <w:p w14:paraId="63F41D8E" w14:textId="736FCEA2" w:rsidR="00045A60" w:rsidRPr="00CE5208" w:rsidRDefault="00045A60" w:rsidP="00045A60">
            <w:pPr>
              <w:pStyle w:val="Normal1"/>
              <w:tabs>
                <w:tab w:val="left" w:pos="6915"/>
                <w:tab w:val="left" w:pos="9495"/>
              </w:tabs>
              <w:spacing w:after="120" w:line="276" w:lineRule="auto"/>
              <w:jc w:val="both"/>
              <w:rPr>
                <w:rFonts w:ascii="Calibri" w:hAnsi="Calibri"/>
                <w:iCs/>
                <w:sz w:val="22"/>
                <w:szCs w:val="22"/>
                <w:lang w:val="en-US"/>
              </w:rPr>
            </w:pPr>
            <w:r w:rsidRPr="00CE5208">
              <w:rPr>
                <w:rFonts w:ascii="Calibri" w:hAnsi="Calibri"/>
                <w:iCs/>
                <w:sz w:val="22"/>
                <w:szCs w:val="22"/>
                <w:lang w:val="en-US"/>
              </w:rPr>
              <w:t xml:space="preserve">Highlights included an expansion of the EBF portfolio into Honduras, through </w:t>
            </w:r>
            <w:r w:rsidR="00261682" w:rsidRPr="00CE5208">
              <w:rPr>
                <w:rFonts w:ascii="Calibri" w:hAnsi="Calibri"/>
                <w:iCs/>
                <w:sz w:val="22"/>
                <w:szCs w:val="22"/>
                <w:lang w:val="en-US"/>
              </w:rPr>
              <w:t>FI</w:t>
            </w:r>
            <w:r w:rsidRPr="00CE5208">
              <w:rPr>
                <w:rFonts w:ascii="Calibri" w:hAnsi="Calibri"/>
                <w:iCs/>
                <w:sz w:val="22"/>
                <w:szCs w:val="22"/>
                <w:lang w:val="en-US"/>
              </w:rPr>
              <w:t xml:space="preserve"> </w:t>
            </w:r>
            <w:proofErr w:type="spellStart"/>
            <w:r w:rsidRPr="00CE5208">
              <w:rPr>
                <w:rFonts w:ascii="Calibri" w:hAnsi="Calibri"/>
                <w:iCs/>
                <w:sz w:val="22"/>
                <w:szCs w:val="22"/>
                <w:lang w:val="en-US"/>
              </w:rPr>
              <w:t>Ficohsa</w:t>
            </w:r>
            <w:proofErr w:type="spellEnd"/>
            <w:r w:rsidRPr="00CE5208">
              <w:rPr>
                <w:rFonts w:ascii="Calibri" w:hAnsi="Calibri"/>
                <w:iCs/>
                <w:sz w:val="22"/>
                <w:szCs w:val="22"/>
                <w:lang w:val="en-US"/>
              </w:rPr>
              <w:t xml:space="preserve">. The </w:t>
            </w:r>
            <w:r w:rsidR="00F81832">
              <w:rPr>
                <w:rFonts w:ascii="Calibri" w:hAnsi="Calibri"/>
                <w:iCs/>
                <w:sz w:val="22"/>
                <w:szCs w:val="22"/>
                <w:lang w:val="en-US"/>
              </w:rPr>
              <w:t>F</w:t>
            </w:r>
            <w:r w:rsidRPr="00CE5208">
              <w:rPr>
                <w:rFonts w:ascii="Calibri" w:hAnsi="Calibri"/>
                <w:iCs/>
                <w:sz w:val="22"/>
                <w:szCs w:val="22"/>
                <w:lang w:val="en-US"/>
              </w:rPr>
              <w:t>und has also increased the number of crop types, from 1</w:t>
            </w:r>
            <w:r w:rsidR="00582B31" w:rsidRPr="00CE5208">
              <w:rPr>
                <w:rFonts w:ascii="Calibri" w:hAnsi="Calibri"/>
                <w:iCs/>
                <w:sz w:val="22"/>
                <w:szCs w:val="22"/>
                <w:lang w:val="en-US"/>
              </w:rPr>
              <w:t xml:space="preserve">9 to 22, this reflects the addition of </w:t>
            </w:r>
            <w:r w:rsidR="00DB4FC6">
              <w:rPr>
                <w:rFonts w:ascii="Calibri" w:hAnsi="Calibri"/>
                <w:iCs/>
                <w:sz w:val="22"/>
                <w:szCs w:val="22"/>
                <w:lang w:val="en-US"/>
              </w:rPr>
              <w:t>farmed fish to the portfolio</w:t>
            </w:r>
            <w:r w:rsidR="00582B31" w:rsidRPr="00CE5208">
              <w:rPr>
                <w:rFonts w:ascii="Calibri" w:hAnsi="Calibri"/>
                <w:iCs/>
                <w:sz w:val="22"/>
                <w:szCs w:val="22"/>
                <w:lang w:val="en-US"/>
              </w:rPr>
              <w:t>. The EBF has also extended into Mexico through its development facility – expecting to make investments in 2020.</w:t>
            </w:r>
          </w:p>
          <w:p w14:paraId="271ECF71" w14:textId="77777777" w:rsidR="00045A60" w:rsidRPr="00CE5208" w:rsidRDefault="00045A60" w:rsidP="00045A60">
            <w:pPr>
              <w:rPr>
                <w:lang w:val="en-US"/>
              </w:rPr>
            </w:pPr>
          </w:p>
        </w:tc>
      </w:tr>
      <w:tr w:rsidR="00045A60" w14:paraId="50F61721" w14:textId="77777777" w:rsidTr="00C160CF">
        <w:trPr>
          <w:trHeight w:val="1137"/>
        </w:trPr>
        <w:tc>
          <w:tcPr>
            <w:tcW w:w="5093" w:type="dxa"/>
            <w:tcBorders>
              <w:left w:val="single" w:sz="4" w:space="0" w:color="FFFFFF" w:themeColor="background1"/>
            </w:tcBorders>
          </w:tcPr>
          <w:p w14:paraId="44EE2B72" w14:textId="77777777" w:rsidR="00045A60" w:rsidRPr="00CE5208" w:rsidRDefault="00045A60" w:rsidP="00045A60">
            <w:pPr>
              <w:pStyle w:val="Normal1"/>
              <w:tabs>
                <w:tab w:val="left" w:pos="6915"/>
                <w:tab w:val="left" w:pos="9495"/>
              </w:tabs>
              <w:spacing w:after="120" w:line="276" w:lineRule="auto"/>
              <w:jc w:val="both"/>
              <w:rPr>
                <w:rFonts w:ascii="Calibri" w:hAnsi="Calibri"/>
                <w:iCs/>
                <w:sz w:val="22"/>
                <w:szCs w:val="22"/>
                <w:lang w:val="en-US"/>
              </w:rPr>
            </w:pPr>
            <w:r w:rsidRPr="00CE5208">
              <w:rPr>
                <w:rFonts w:ascii="Calibri" w:hAnsi="Calibri"/>
                <w:b/>
                <w:iCs/>
                <w:sz w:val="22"/>
                <w:szCs w:val="22"/>
                <w:lang w:val="en-US"/>
              </w:rPr>
              <w:t xml:space="preserve">OUTPUT 2: </w:t>
            </w:r>
            <w:r w:rsidRPr="00CE5208">
              <w:rPr>
                <w:rFonts w:ascii="Calibri" w:hAnsi="Calibri"/>
                <w:iCs/>
                <w:sz w:val="22"/>
                <w:szCs w:val="22"/>
                <w:lang w:val="en-US"/>
              </w:rPr>
              <w:t>Broad support to sustainability practices reflected in the composition of the portfolio</w:t>
            </w:r>
            <w:r w:rsidR="00DD14EA" w:rsidRPr="00CE5208">
              <w:rPr>
                <w:rFonts w:ascii="Calibri" w:hAnsi="Calibri"/>
                <w:iCs/>
                <w:sz w:val="22"/>
                <w:szCs w:val="22"/>
                <w:lang w:val="en-US"/>
              </w:rPr>
              <w:t>.</w:t>
            </w:r>
          </w:p>
          <w:p w14:paraId="00057BE6" w14:textId="77777777" w:rsidR="00045A60" w:rsidRPr="00CE5208" w:rsidRDefault="00045A60" w:rsidP="00045A60">
            <w:pPr>
              <w:rPr>
                <w:lang w:val="en-US"/>
              </w:rPr>
            </w:pPr>
          </w:p>
        </w:tc>
        <w:tc>
          <w:tcPr>
            <w:tcW w:w="5093" w:type="dxa"/>
            <w:tcBorders>
              <w:right w:val="single" w:sz="4" w:space="0" w:color="FFFFFF" w:themeColor="background1"/>
            </w:tcBorders>
          </w:tcPr>
          <w:p w14:paraId="5252E3B2" w14:textId="4B658AE3" w:rsidR="00045A60" w:rsidRPr="00CE5208" w:rsidRDefault="20CF7C72" w:rsidP="00582B31">
            <w:pPr>
              <w:pStyle w:val="Normal1"/>
              <w:tabs>
                <w:tab w:val="left" w:pos="6915"/>
                <w:tab w:val="left" w:pos="9495"/>
              </w:tabs>
              <w:spacing w:after="120" w:line="276" w:lineRule="auto"/>
              <w:jc w:val="both"/>
              <w:rPr>
                <w:lang w:val="en-US"/>
              </w:rPr>
            </w:pPr>
            <w:r w:rsidRPr="3651B6FB">
              <w:rPr>
                <w:rFonts w:ascii="Calibri" w:hAnsi="Calibri"/>
                <w:sz w:val="22"/>
                <w:szCs w:val="22"/>
                <w:lang w:val="en-US"/>
              </w:rPr>
              <w:t xml:space="preserve">The number of sustainability standards used have increased greatly. Adding an additional </w:t>
            </w:r>
            <w:r w:rsidR="000F403E" w:rsidRPr="3651B6FB">
              <w:rPr>
                <w:rFonts w:ascii="Calibri" w:hAnsi="Calibri"/>
                <w:sz w:val="22"/>
                <w:szCs w:val="22"/>
                <w:lang w:val="en-US"/>
              </w:rPr>
              <w:t>seven</w:t>
            </w:r>
            <w:r w:rsidRPr="3651B6FB">
              <w:rPr>
                <w:rFonts w:ascii="Calibri" w:hAnsi="Calibri"/>
                <w:sz w:val="22"/>
                <w:szCs w:val="22"/>
                <w:lang w:val="en-US"/>
              </w:rPr>
              <w:t xml:space="preserve"> sustainability standards</w:t>
            </w:r>
            <w:r w:rsidR="00DC4F2E" w:rsidRPr="3651B6FB">
              <w:rPr>
                <w:rFonts w:ascii="Calibri" w:hAnsi="Calibri"/>
                <w:sz w:val="22"/>
                <w:szCs w:val="22"/>
                <w:lang w:val="en-US"/>
              </w:rPr>
              <w:t xml:space="preserve"> and an</w:t>
            </w:r>
            <w:r w:rsidRPr="3651B6FB">
              <w:rPr>
                <w:rFonts w:ascii="Calibri" w:hAnsi="Calibri"/>
                <w:sz w:val="22"/>
                <w:szCs w:val="22"/>
                <w:lang w:val="en-US"/>
              </w:rPr>
              <w:t xml:space="preserve"> </w:t>
            </w:r>
            <w:r w:rsidR="1987FF1A" w:rsidRPr="3651B6FB">
              <w:rPr>
                <w:rFonts w:ascii="Calibri" w:hAnsi="Calibri"/>
                <w:sz w:val="22"/>
                <w:szCs w:val="22"/>
                <w:lang w:val="en-US"/>
              </w:rPr>
              <w:t>additional</w:t>
            </w:r>
            <w:r w:rsidRPr="3651B6FB">
              <w:rPr>
                <w:rFonts w:ascii="Calibri" w:hAnsi="Calibri"/>
                <w:sz w:val="22"/>
                <w:szCs w:val="22"/>
                <w:lang w:val="en-US"/>
              </w:rPr>
              <w:t xml:space="preserve"> </w:t>
            </w:r>
            <w:r w:rsidR="000F403E" w:rsidRPr="3651B6FB">
              <w:rPr>
                <w:rFonts w:ascii="Calibri" w:hAnsi="Calibri"/>
                <w:sz w:val="22"/>
                <w:szCs w:val="22"/>
                <w:lang w:val="en-US"/>
              </w:rPr>
              <w:t>eight</w:t>
            </w:r>
            <w:r w:rsidRPr="3651B6FB">
              <w:rPr>
                <w:rFonts w:ascii="Calibri" w:hAnsi="Calibri"/>
                <w:sz w:val="22"/>
                <w:szCs w:val="22"/>
                <w:lang w:val="en-US"/>
              </w:rPr>
              <w:t xml:space="preserve"> green list measures</w:t>
            </w:r>
            <w:r w:rsidR="00DC4F2E" w:rsidRPr="3651B6FB">
              <w:rPr>
                <w:rFonts w:ascii="Calibri" w:hAnsi="Calibri"/>
                <w:sz w:val="22"/>
                <w:szCs w:val="22"/>
                <w:lang w:val="en-US"/>
              </w:rPr>
              <w:t xml:space="preserve"> – described further in detailed output 2 scoring.</w:t>
            </w:r>
          </w:p>
        </w:tc>
      </w:tr>
      <w:tr w:rsidR="00045A60" w14:paraId="15A6E45D" w14:textId="77777777" w:rsidTr="00C160CF">
        <w:trPr>
          <w:trHeight w:val="1871"/>
        </w:trPr>
        <w:tc>
          <w:tcPr>
            <w:tcW w:w="5093" w:type="dxa"/>
            <w:tcBorders>
              <w:left w:val="single" w:sz="4" w:space="0" w:color="FFFFFF" w:themeColor="background1"/>
            </w:tcBorders>
          </w:tcPr>
          <w:p w14:paraId="0BE2234F" w14:textId="31CBB009" w:rsidR="00045A60" w:rsidRPr="00CE5208" w:rsidRDefault="00045A60" w:rsidP="71E92DF2">
            <w:pPr>
              <w:pStyle w:val="Normal1"/>
              <w:tabs>
                <w:tab w:val="left" w:pos="6915"/>
                <w:tab w:val="left" w:pos="9495"/>
              </w:tabs>
              <w:spacing w:after="120" w:line="276" w:lineRule="auto"/>
              <w:jc w:val="both"/>
              <w:rPr>
                <w:rFonts w:ascii="Calibri" w:hAnsi="Calibri"/>
                <w:color w:val="auto"/>
                <w:sz w:val="22"/>
                <w:szCs w:val="22"/>
                <w:lang w:val="en-US"/>
              </w:rPr>
            </w:pPr>
            <w:r w:rsidRPr="71E92DF2">
              <w:rPr>
                <w:rFonts w:ascii="Calibri" w:hAnsi="Calibri"/>
                <w:b/>
                <w:bCs/>
                <w:color w:val="auto"/>
                <w:sz w:val="22"/>
                <w:szCs w:val="22"/>
                <w:lang w:val="en-US"/>
              </w:rPr>
              <w:t>OUTPUT 3:</w:t>
            </w:r>
            <w:r w:rsidRPr="71E92DF2">
              <w:rPr>
                <w:rFonts w:ascii="Calibri" w:hAnsi="Calibri"/>
                <w:color w:val="auto"/>
                <w:sz w:val="22"/>
                <w:szCs w:val="22"/>
                <w:lang w:val="en-US"/>
              </w:rPr>
              <w:t xml:space="preserve"> Provision of continuous and sufficient TA</w:t>
            </w:r>
            <w:r w:rsidR="00DD14EA" w:rsidRPr="71E92DF2">
              <w:rPr>
                <w:rFonts w:ascii="Calibri" w:hAnsi="Calibri"/>
                <w:color w:val="auto"/>
                <w:sz w:val="22"/>
                <w:szCs w:val="22"/>
                <w:lang w:val="en-US"/>
              </w:rPr>
              <w:t>.</w:t>
            </w:r>
          </w:p>
        </w:tc>
        <w:tc>
          <w:tcPr>
            <w:tcW w:w="5093" w:type="dxa"/>
            <w:tcBorders>
              <w:right w:val="single" w:sz="4" w:space="0" w:color="FFFFFF" w:themeColor="background1"/>
            </w:tcBorders>
          </w:tcPr>
          <w:p w14:paraId="21D717BA" w14:textId="2FA66CEE" w:rsidR="00582B31" w:rsidRPr="00CE5208" w:rsidRDefault="3E0BB645" w:rsidP="71E92DF2">
            <w:pPr>
              <w:pStyle w:val="Normal1"/>
              <w:tabs>
                <w:tab w:val="left" w:pos="6915"/>
                <w:tab w:val="left" w:pos="9495"/>
              </w:tabs>
              <w:spacing w:after="120" w:line="276" w:lineRule="auto"/>
              <w:jc w:val="both"/>
              <w:rPr>
                <w:rFonts w:ascii="Calibri" w:hAnsi="Calibri"/>
                <w:color w:val="auto"/>
                <w:sz w:val="22"/>
                <w:szCs w:val="22"/>
                <w:lang w:val="en-US"/>
              </w:rPr>
            </w:pPr>
            <w:r w:rsidRPr="3651B6FB">
              <w:rPr>
                <w:rFonts w:ascii="Calibri" w:hAnsi="Calibri"/>
                <w:color w:val="auto"/>
                <w:sz w:val="22"/>
                <w:szCs w:val="22"/>
                <w:lang w:val="en-US"/>
              </w:rPr>
              <w:t xml:space="preserve">EBF have continued to make progress in delivering </w:t>
            </w:r>
            <w:r w:rsidR="000F403E" w:rsidRPr="3651B6FB">
              <w:rPr>
                <w:rFonts w:ascii="Calibri" w:hAnsi="Calibri"/>
                <w:color w:val="auto"/>
                <w:sz w:val="22"/>
                <w:szCs w:val="22"/>
                <w:lang w:val="en-US"/>
              </w:rPr>
              <w:t>TA</w:t>
            </w:r>
            <w:r w:rsidR="00913AE7" w:rsidRPr="3651B6FB">
              <w:rPr>
                <w:rFonts w:ascii="Calibri" w:hAnsi="Calibri"/>
                <w:color w:val="auto"/>
                <w:sz w:val="22"/>
                <w:szCs w:val="22"/>
                <w:lang w:val="en-US"/>
              </w:rPr>
              <w:t>, both</w:t>
            </w:r>
            <w:r w:rsidRPr="3651B6FB">
              <w:rPr>
                <w:rFonts w:ascii="Calibri" w:hAnsi="Calibri"/>
                <w:color w:val="auto"/>
                <w:sz w:val="22"/>
                <w:szCs w:val="22"/>
                <w:lang w:val="en-US"/>
              </w:rPr>
              <w:t xml:space="preserve"> to </w:t>
            </w:r>
            <w:r w:rsidR="000F403E" w:rsidRPr="3651B6FB">
              <w:rPr>
                <w:rFonts w:ascii="Calibri" w:hAnsi="Calibri"/>
                <w:color w:val="auto"/>
                <w:sz w:val="22"/>
                <w:szCs w:val="22"/>
                <w:lang w:val="en-US"/>
              </w:rPr>
              <w:t>FIs</w:t>
            </w:r>
            <w:r w:rsidRPr="3651B6FB">
              <w:rPr>
                <w:rFonts w:ascii="Calibri" w:hAnsi="Calibri"/>
                <w:color w:val="auto"/>
                <w:sz w:val="22"/>
                <w:szCs w:val="22"/>
                <w:lang w:val="en-US"/>
              </w:rPr>
              <w:t xml:space="preserve"> and </w:t>
            </w:r>
            <w:r w:rsidR="00913AE7" w:rsidRPr="3651B6FB">
              <w:rPr>
                <w:rFonts w:ascii="Calibri" w:hAnsi="Calibri"/>
                <w:color w:val="auto"/>
                <w:sz w:val="22"/>
                <w:szCs w:val="22"/>
                <w:lang w:val="en-US"/>
              </w:rPr>
              <w:t xml:space="preserve">directly </w:t>
            </w:r>
            <w:r w:rsidRPr="3651B6FB">
              <w:rPr>
                <w:rFonts w:ascii="Calibri" w:hAnsi="Calibri"/>
                <w:color w:val="auto"/>
                <w:sz w:val="22"/>
                <w:szCs w:val="22"/>
                <w:lang w:val="en-US"/>
              </w:rPr>
              <w:t xml:space="preserve">delivering 32 targeted TA projects for end-borrowers and stakeholders spending approximately USD 2.1m </w:t>
            </w:r>
            <w:r w:rsidR="00DC4F2E" w:rsidRPr="3651B6FB">
              <w:rPr>
                <w:rFonts w:ascii="Calibri" w:hAnsi="Calibri"/>
                <w:color w:val="auto"/>
                <w:sz w:val="22"/>
                <w:szCs w:val="22"/>
                <w:lang w:val="en-US"/>
              </w:rPr>
              <w:t>in</w:t>
            </w:r>
            <w:r w:rsidRPr="3651B6FB">
              <w:rPr>
                <w:rFonts w:ascii="Calibri" w:hAnsi="Calibri"/>
                <w:color w:val="auto"/>
                <w:sz w:val="22"/>
                <w:szCs w:val="22"/>
                <w:lang w:val="en-US"/>
              </w:rPr>
              <w:t xml:space="preserve"> </w:t>
            </w:r>
            <w:r w:rsidR="11C41270" w:rsidRPr="3651B6FB">
              <w:rPr>
                <w:rFonts w:ascii="Calibri" w:hAnsi="Calibri"/>
                <w:color w:val="auto"/>
                <w:sz w:val="22"/>
                <w:szCs w:val="22"/>
                <w:lang w:val="en-US"/>
              </w:rPr>
              <w:t>separate</w:t>
            </w:r>
            <w:r w:rsidRPr="3651B6FB">
              <w:rPr>
                <w:rFonts w:ascii="Calibri" w:hAnsi="Calibri"/>
                <w:color w:val="auto"/>
                <w:sz w:val="22"/>
                <w:szCs w:val="22"/>
                <w:lang w:val="en-US"/>
              </w:rPr>
              <w:t xml:space="preserve"> grant </w:t>
            </w:r>
            <w:r w:rsidR="11C41270" w:rsidRPr="3651B6FB">
              <w:rPr>
                <w:rFonts w:ascii="Calibri" w:hAnsi="Calibri"/>
                <w:color w:val="auto"/>
                <w:sz w:val="22"/>
                <w:szCs w:val="22"/>
                <w:lang w:val="en-US"/>
              </w:rPr>
              <w:t>commitments</w:t>
            </w:r>
            <w:r w:rsidRPr="3651B6FB">
              <w:rPr>
                <w:rFonts w:ascii="Calibri" w:hAnsi="Calibri"/>
                <w:color w:val="auto"/>
                <w:sz w:val="22"/>
                <w:szCs w:val="22"/>
                <w:lang w:val="en-US"/>
              </w:rPr>
              <w:t xml:space="preserve"> (as part of the development facility)</w:t>
            </w:r>
            <w:r w:rsidR="00DC4F2E" w:rsidRPr="3651B6FB">
              <w:rPr>
                <w:rFonts w:ascii="Calibri" w:hAnsi="Calibri"/>
                <w:color w:val="auto"/>
                <w:sz w:val="22"/>
                <w:szCs w:val="22"/>
                <w:lang w:val="en-US"/>
              </w:rPr>
              <w:t xml:space="preserve">, of which Defra committed </w:t>
            </w:r>
            <w:r w:rsidR="4B27AB87" w:rsidRPr="3651B6FB">
              <w:rPr>
                <w:rFonts w:ascii="Calibri" w:hAnsi="Calibri"/>
                <w:color w:val="auto"/>
                <w:sz w:val="22"/>
                <w:szCs w:val="22"/>
                <w:lang w:val="en-US"/>
              </w:rPr>
              <w:t>£</w:t>
            </w:r>
            <w:r w:rsidR="00DC4F2E" w:rsidRPr="3651B6FB">
              <w:rPr>
                <w:rFonts w:ascii="Calibri" w:hAnsi="Calibri"/>
                <w:color w:val="auto"/>
                <w:sz w:val="22"/>
                <w:szCs w:val="22"/>
                <w:lang w:val="en-US"/>
              </w:rPr>
              <w:t>194k in 2018</w:t>
            </w:r>
            <w:r w:rsidRPr="3651B6FB">
              <w:rPr>
                <w:rFonts w:ascii="Calibri" w:hAnsi="Calibri"/>
                <w:color w:val="auto"/>
                <w:sz w:val="22"/>
                <w:szCs w:val="22"/>
                <w:lang w:val="en-US"/>
              </w:rPr>
              <w:t>.</w:t>
            </w:r>
          </w:p>
          <w:p w14:paraId="7E4E1C76" w14:textId="77777777" w:rsidR="00045A60" w:rsidRPr="00CE5208" w:rsidRDefault="00045A60" w:rsidP="71E92DF2">
            <w:pPr>
              <w:pStyle w:val="Normal1"/>
              <w:tabs>
                <w:tab w:val="left" w:pos="6915"/>
                <w:tab w:val="left" w:pos="9495"/>
              </w:tabs>
              <w:spacing w:after="120" w:line="276" w:lineRule="auto"/>
              <w:jc w:val="both"/>
              <w:rPr>
                <w:color w:val="auto"/>
                <w:lang w:val="en-US"/>
              </w:rPr>
            </w:pPr>
          </w:p>
        </w:tc>
      </w:tr>
      <w:tr w:rsidR="00045A60" w14:paraId="021B3C71" w14:textId="77777777" w:rsidTr="00C160CF">
        <w:trPr>
          <w:trHeight w:val="910"/>
        </w:trPr>
        <w:tc>
          <w:tcPr>
            <w:tcW w:w="5093" w:type="dxa"/>
            <w:tcBorders>
              <w:left w:val="single" w:sz="4" w:space="0" w:color="FFFFFF" w:themeColor="background1"/>
            </w:tcBorders>
          </w:tcPr>
          <w:p w14:paraId="3E938340" w14:textId="77777777" w:rsidR="00045A60" w:rsidRPr="00CE5208" w:rsidRDefault="00045A60" w:rsidP="71E92DF2">
            <w:pPr>
              <w:pStyle w:val="Normal1"/>
              <w:tabs>
                <w:tab w:val="left" w:pos="6915"/>
                <w:tab w:val="left" w:pos="9495"/>
              </w:tabs>
              <w:spacing w:after="120" w:line="276" w:lineRule="auto"/>
              <w:jc w:val="both"/>
              <w:rPr>
                <w:rFonts w:ascii="Calibri" w:hAnsi="Calibri"/>
                <w:color w:val="auto"/>
                <w:sz w:val="22"/>
                <w:szCs w:val="22"/>
                <w:lang w:val="en-US"/>
              </w:rPr>
            </w:pPr>
            <w:r w:rsidRPr="71E92DF2">
              <w:rPr>
                <w:rFonts w:ascii="Calibri" w:hAnsi="Calibri"/>
                <w:b/>
                <w:bCs/>
                <w:color w:val="auto"/>
                <w:sz w:val="22"/>
                <w:szCs w:val="22"/>
                <w:lang w:val="en-US"/>
              </w:rPr>
              <w:t>OUTPUT 4:</w:t>
            </w:r>
            <w:r w:rsidRPr="71E92DF2">
              <w:rPr>
                <w:rFonts w:ascii="Calibri" w:hAnsi="Calibri"/>
                <w:color w:val="auto"/>
                <w:sz w:val="22"/>
                <w:szCs w:val="22"/>
                <w:lang w:val="en-US"/>
              </w:rPr>
              <w:t xml:space="preserve"> Improved partnerships and development of activities with other sector stakeholders</w:t>
            </w:r>
            <w:r w:rsidR="00DD14EA" w:rsidRPr="71E92DF2">
              <w:rPr>
                <w:rFonts w:ascii="Calibri" w:hAnsi="Calibri"/>
                <w:color w:val="auto"/>
                <w:sz w:val="22"/>
                <w:szCs w:val="22"/>
                <w:lang w:val="en-US"/>
              </w:rPr>
              <w:t>.</w:t>
            </w:r>
          </w:p>
          <w:p w14:paraId="3C1F0252" w14:textId="77777777" w:rsidR="00045A60" w:rsidRPr="00CE5208" w:rsidRDefault="00045A60" w:rsidP="71E92DF2">
            <w:pPr>
              <w:rPr>
                <w:lang w:val="en-US"/>
              </w:rPr>
            </w:pPr>
          </w:p>
        </w:tc>
        <w:tc>
          <w:tcPr>
            <w:tcW w:w="5093" w:type="dxa"/>
            <w:tcBorders>
              <w:right w:val="single" w:sz="4" w:space="0" w:color="FFFFFF" w:themeColor="background1"/>
            </w:tcBorders>
          </w:tcPr>
          <w:p w14:paraId="4426085A" w14:textId="76751D32" w:rsidR="00045A60" w:rsidRPr="008C6C34" w:rsidRDefault="30425C1D" w:rsidP="71E92DF2">
            <w:pPr>
              <w:pStyle w:val="Normal1"/>
              <w:tabs>
                <w:tab w:val="left" w:pos="6915"/>
                <w:tab w:val="left" w:pos="9495"/>
              </w:tabs>
              <w:spacing w:after="120" w:line="276" w:lineRule="auto"/>
              <w:jc w:val="both"/>
              <w:rPr>
                <w:rFonts w:ascii="Calibri" w:hAnsi="Calibri"/>
                <w:color w:val="auto"/>
                <w:sz w:val="22"/>
                <w:szCs w:val="22"/>
                <w:lang w:val="en-US"/>
              </w:rPr>
            </w:pPr>
            <w:r w:rsidRPr="3466F177">
              <w:rPr>
                <w:rFonts w:ascii="Calibri" w:hAnsi="Calibri"/>
                <w:color w:val="auto"/>
                <w:sz w:val="22"/>
                <w:szCs w:val="22"/>
                <w:lang w:val="en-US"/>
              </w:rPr>
              <w:t xml:space="preserve">These indicators have been refined to reflect </w:t>
            </w:r>
            <w:r w:rsidR="4010281F" w:rsidRPr="3466F177">
              <w:rPr>
                <w:rFonts w:ascii="Calibri" w:hAnsi="Calibri"/>
                <w:color w:val="auto"/>
                <w:sz w:val="22"/>
                <w:szCs w:val="22"/>
                <w:lang w:val="en-US"/>
              </w:rPr>
              <w:t>partner led events a</w:t>
            </w:r>
            <w:r w:rsidR="0AA007F0" w:rsidRPr="3466F177">
              <w:rPr>
                <w:rFonts w:ascii="Calibri" w:hAnsi="Calibri"/>
                <w:color w:val="auto"/>
                <w:sz w:val="22"/>
                <w:szCs w:val="22"/>
                <w:lang w:val="en-US"/>
              </w:rPr>
              <w:t>nd those exclu</w:t>
            </w:r>
            <w:r w:rsidRPr="3466F177">
              <w:rPr>
                <w:rFonts w:ascii="Calibri" w:hAnsi="Calibri"/>
                <w:color w:val="auto"/>
                <w:sz w:val="22"/>
                <w:szCs w:val="22"/>
                <w:lang w:val="en-US"/>
              </w:rPr>
              <w:t xml:space="preserve">sively </w:t>
            </w:r>
            <w:proofErr w:type="spellStart"/>
            <w:r w:rsidR="7E5328A8" w:rsidRPr="3466F177">
              <w:rPr>
                <w:rFonts w:ascii="Calibri" w:hAnsi="Calibri"/>
                <w:color w:val="auto"/>
                <w:sz w:val="22"/>
                <w:szCs w:val="22"/>
                <w:lang w:val="en-US"/>
              </w:rPr>
              <w:t>organised</w:t>
            </w:r>
            <w:proofErr w:type="spellEnd"/>
            <w:r w:rsidRPr="3466F177">
              <w:rPr>
                <w:rFonts w:ascii="Calibri" w:hAnsi="Calibri"/>
                <w:color w:val="auto"/>
                <w:sz w:val="22"/>
                <w:szCs w:val="22"/>
                <w:lang w:val="en-US"/>
              </w:rPr>
              <w:t xml:space="preserve"> by EBF</w:t>
            </w:r>
            <w:r w:rsidR="2EC8FD39" w:rsidRPr="3466F177">
              <w:rPr>
                <w:rFonts w:ascii="Calibri" w:hAnsi="Calibri"/>
                <w:color w:val="auto"/>
                <w:sz w:val="22"/>
                <w:szCs w:val="22"/>
                <w:lang w:val="en-US"/>
              </w:rPr>
              <w:t xml:space="preserve">. </w:t>
            </w:r>
            <w:r w:rsidR="0C6BEA3B" w:rsidRPr="3466F177">
              <w:rPr>
                <w:rFonts w:ascii="Calibri" w:hAnsi="Calibri"/>
                <w:color w:val="auto"/>
                <w:sz w:val="22"/>
                <w:szCs w:val="22"/>
                <w:lang w:val="en-US"/>
              </w:rPr>
              <w:t xml:space="preserve"> </w:t>
            </w:r>
          </w:p>
        </w:tc>
      </w:tr>
    </w:tbl>
    <w:p w14:paraId="7D6D2206" w14:textId="77777777" w:rsidR="0094082A" w:rsidRPr="00D0005A" w:rsidRDefault="0094082A" w:rsidP="71E92DF2">
      <w:pPr>
        <w:spacing w:before="0" w:line="240" w:lineRule="auto"/>
      </w:pPr>
    </w:p>
    <w:p w14:paraId="3621B370" w14:textId="0D54D60B" w:rsidR="000004E0" w:rsidRPr="000004E0" w:rsidRDefault="00360100" w:rsidP="00DD4C2A">
      <w:pPr>
        <w:pStyle w:val="Heading2"/>
      </w:pPr>
      <w:bookmarkStart w:id="6" w:name="_Toc51578515"/>
      <w:r w:rsidRPr="71E92DF2">
        <w:t>A</w:t>
      </w:r>
      <w:r w:rsidR="000004E0" w:rsidRPr="71E92DF2">
        <w:t>: PERFORMANCE AND CONCLUSIONS</w:t>
      </w:r>
      <w:bookmarkEnd w:id="6"/>
    </w:p>
    <w:p w14:paraId="45ED930C" w14:textId="77777777" w:rsidR="000004E0" w:rsidRPr="00D0005A" w:rsidRDefault="000004E0" w:rsidP="71E92DF2">
      <w:pPr>
        <w:pStyle w:val="Normal1"/>
        <w:spacing w:after="120" w:line="276" w:lineRule="auto"/>
        <w:rPr>
          <w:rFonts w:ascii="Calibri" w:hAnsi="Calibri"/>
          <w:b/>
          <w:bCs/>
          <w:color w:val="auto"/>
          <w:sz w:val="22"/>
          <w:szCs w:val="22"/>
        </w:rPr>
      </w:pPr>
      <w:r w:rsidRPr="71E92DF2">
        <w:rPr>
          <w:rFonts w:ascii="Calibri" w:hAnsi="Calibri"/>
          <w:b/>
          <w:bCs/>
          <w:color w:val="auto"/>
          <w:sz w:val="22"/>
          <w:szCs w:val="22"/>
        </w:rPr>
        <w:t xml:space="preserve">Annual outcome assessment </w:t>
      </w:r>
    </w:p>
    <w:p w14:paraId="462F1883" w14:textId="77777777" w:rsidR="000004E0" w:rsidRPr="00D0005A" w:rsidRDefault="000004E0" w:rsidP="71E92DF2">
      <w:pPr>
        <w:pStyle w:val="Normal1"/>
        <w:spacing w:after="120" w:line="276" w:lineRule="auto"/>
        <w:jc w:val="both"/>
        <w:rPr>
          <w:rFonts w:ascii="Calibri" w:hAnsi="Calibri"/>
          <w:color w:val="auto"/>
          <w:sz w:val="22"/>
          <w:szCs w:val="22"/>
        </w:rPr>
      </w:pPr>
      <w:r w:rsidRPr="71E92DF2">
        <w:rPr>
          <w:rFonts w:ascii="Calibri" w:hAnsi="Calibri"/>
          <w:color w:val="auto"/>
          <w:sz w:val="22"/>
          <w:szCs w:val="22"/>
        </w:rPr>
        <w:t xml:space="preserve">Outcome </w:t>
      </w:r>
      <w:r w:rsidR="00A91840" w:rsidRPr="71E92DF2">
        <w:rPr>
          <w:rFonts w:ascii="Calibri" w:hAnsi="Calibri"/>
          <w:color w:val="auto"/>
          <w:sz w:val="22"/>
          <w:szCs w:val="22"/>
        </w:rPr>
        <w:t xml:space="preserve">indicators are </w:t>
      </w:r>
      <w:r w:rsidRPr="71E92DF2">
        <w:rPr>
          <w:rFonts w:ascii="Calibri" w:hAnsi="Calibri"/>
          <w:color w:val="auto"/>
          <w:sz w:val="22"/>
          <w:szCs w:val="22"/>
        </w:rPr>
        <w:t>defined as:</w:t>
      </w:r>
    </w:p>
    <w:p w14:paraId="17CC3BAC" w14:textId="08D489AD" w:rsidR="000004E0" w:rsidRPr="00D0005A" w:rsidRDefault="000004E0" w:rsidP="71E92DF2">
      <w:pPr>
        <w:pStyle w:val="ListParagraph"/>
        <w:numPr>
          <w:ilvl w:val="0"/>
          <w:numId w:val="16"/>
        </w:numPr>
        <w:rPr>
          <w:color w:val="000000" w:themeColor="text1"/>
        </w:rPr>
      </w:pPr>
      <w:r w:rsidRPr="71E92DF2">
        <w:t xml:space="preserve">EBF's success in contributing to biodiversity conservation, </w:t>
      </w:r>
      <w:r w:rsidR="002363D1" w:rsidRPr="71E92DF2">
        <w:t xml:space="preserve">the </w:t>
      </w:r>
      <w:r w:rsidRPr="71E92DF2">
        <w:t>sustainable use of natural resources and climate c</w:t>
      </w:r>
      <w:r w:rsidR="002363D1" w:rsidRPr="71E92DF2">
        <w:t>hange adaptation and mitigation; and this success creating an incentive for others to also act towards these goals.</w:t>
      </w:r>
    </w:p>
    <w:p w14:paraId="111A0669" w14:textId="32C78E6B" w:rsidR="000004E0" w:rsidRPr="007E1125" w:rsidRDefault="002363D1" w:rsidP="71E92DF2">
      <w:pPr>
        <w:pStyle w:val="ListParagraph"/>
        <w:numPr>
          <w:ilvl w:val="0"/>
          <w:numId w:val="16"/>
        </w:numPr>
        <w:rPr>
          <w:color w:val="000000" w:themeColor="text1"/>
        </w:rPr>
      </w:pPr>
      <w:r w:rsidRPr="71E92DF2">
        <w:lastRenderedPageBreak/>
        <w:t>Level of b</w:t>
      </w:r>
      <w:r w:rsidR="000004E0" w:rsidRPr="71E92DF2">
        <w:t>ehaviour</w:t>
      </w:r>
      <w:r w:rsidRPr="71E92DF2">
        <w:t>al</w:t>
      </w:r>
      <w:r w:rsidR="000004E0" w:rsidRPr="71E92DF2">
        <w:t xml:space="preserve"> change embedded in downstream lenders and </w:t>
      </w:r>
      <w:r w:rsidR="00261682" w:rsidRPr="71E92DF2">
        <w:t>FIs</w:t>
      </w:r>
      <w:r w:rsidR="000004E0" w:rsidRPr="71E92DF2">
        <w:t>.</w:t>
      </w:r>
    </w:p>
    <w:tbl>
      <w:tblPr>
        <w:tblStyle w:val="TableGrid"/>
        <w:tblW w:w="10201" w:type="dxa"/>
        <w:tblLook w:val="04A0" w:firstRow="1" w:lastRow="0" w:firstColumn="1" w:lastColumn="0" w:noHBand="0" w:noVBand="1"/>
      </w:tblPr>
      <w:tblGrid>
        <w:gridCol w:w="2399"/>
        <w:gridCol w:w="4259"/>
        <w:gridCol w:w="1931"/>
        <w:gridCol w:w="1612"/>
      </w:tblGrid>
      <w:tr w:rsidR="007E1125" w14:paraId="71893A4D" w14:textId="77777777" w:rsidTr="008C6C34">
        <w:trPr>
          <w:trHeight w:val="857"/>
        </w:trPr>
        <w:tc>
          <w:tcPr>
            <w:tcW w:w="2399" w:type="dxa"/>
          </w:tcPr>
          <w:p w14:paraId="7C3D80D3" w14:textId="0910A411" w:rsidR="007E1125" w:rsidRDefault="007E1125" w:rsidP="008C6C34">
            <w:pPr>
              <w:jc w:val="left"/>
              <w:rPr>
                <w:color w:val="000000" w:themeColor="text1"/>
              </w:rPr>
            </w:pPr>
            <w:r>
              <w:rPr>
                <w:color w:val="000000" w:themeColor="text1"/>
              </w:rPr>
              <w:t>Outcome</w:t>
            </w:r>
          </w:p>
        </w:tc>
        <w:tc>
          <w:tcPr>
            <w:tcW w:w="4259" w:type="dxa"/>
          </w:tcPr>
          <w:p w14:paraId="5E840A66" w14:textId="28616B49" w:rsidR="007E1125" w:rsidRPr="008C6C34" w:rsidRDefault="007E1125" w:rsidP="008C6C34">
            <w:pPr>
              <w:jc w:val="left"/>
              <w:rPr>
                <w:color w:val="000000" w:themeColor="text1"/>
                <w:lang w:val="en-US"/>
              </w:rPr>
            </w:pPr>
            <w:r w:rsidRPr="008C6C34">
              <w:rPr>
                <w:color w:val="000000" w:themeColor="text1"/>
                <w:lang w:val="en-US"/>
              </w:rPr>
              <w:t>Outcome indicator</w:t>
            </w:r>
            <w:r w:rsidR="002B43D4" w:rsidRPr="008C6C34">
              <w:rPr>
                <w:color w:val="000000" w:themeColor="text1"/>
                <w:lang w:val="en-US"/>
              </w:rPr>
              <w:t xml:space="preserve"> (all results cumulative)</w:t>
            </w:r>
          </w:p>
        </w:tc>
        <w:tc>
          <w:tcPr>
            <w:tcW w:w="1931" w:type="dxa"/>
          </w:tcPr>
          <w:p w14:paraId="0A8FCCB1" w14:textId="3F9D06C1" w:rsidR="007E1125" w:rsidRPr="008C6C34" w:rsidRDefault="00D03AB8" w:rsidP="008C6C34">
            <w:pPr>
              <w:jc w:val="left"/>
              <w:rPr>
                <w:color w:val="000000" w:themeColor="text1"/>
                <w:lang w:val="en-US"/>
              </w:rPr>
            </w:pPr>
            <w:r w:rsidRPr="008C6C34">
              <w:rPr>
                <w:color w:val="000000" w:themeColor="text1"/>
                <w:lang w:val="en-US"/>
              </w:rPr>
              <w:t xml:space="preserve">2019 </w:t>
            </w:r>
            <w:r w:rsidR="00944FEA">
              <w:rPr>
                <w:color w:val="000000" w:themeColor="text1"/>
                <w:lang w:val="en-US"/>
              </w:rPr>
              <w:t>m</w:t>
            </w:r>
            <w:r w:rsidR="00504149" w:rsidRPr="008C6C34">
              <w:rPr>
                <w:color w:val="000000" w:themeColor="text1"/>
                <w:lang w:val="en-US"/>
              </w:rPr>
              <w:t>ilestones for D</w:t>
            </w:r>
            <w:r w:rsidR="00944FEA">
              <w:rPr>
                <w:color w:val="000000" w:themeColor="text1"/>
                <w:lang w:val="en-US"/>
              </w:rPr>
              <w:t>efra</w:t>
            </w:r>
            <w:r w:rsidR="00504149" w:rsidRPr="008C6C34">
              <w:rPr>
                <w:color w:val="000000" w:themeColor="text1"/>
                <w:lang w:val="en-US"/>
              </w:rPr>
              <w:t xml:space="preserve"> review</w:t>
            </w:r>
          </w:p>
        </w:tc>
        <w:tc>
          <w:tcPr>
            <w:tcW w:w="1612" w:type="dxa"/>
          </w:tcPr>
          <w:p w14:paraId="49AC496A" w14:textId="6BA53617" w:rsidR="007E1125" w:rsidRDefault="002B43D4" w:rsidP="008C6C34">
            <w:pPr>
              <w:jc w:val="left"/>
              <w:rPr>
                <w:color w:val="000000" w:themeColor="text1"/>
              </w:rPr>
            </w:pPr>
            <w:r>
              <w:rPr>
                <w:color w:val="000000" w:themeColor="text1"/>
              </w:rPr>
              <w:t>Achieved 2019 (fund level)</w:t>
            </w:r>
          </w:p>
        </w:tc>
      </w:tr>
      <w:tr w:rsidR="007E1125" w14:paraId="335C3F32" w14:textId="77777777" w:rsidTr="008C6C34">
        <w:trPr>
          <w:trHeight w:val="70"/>
        </w:trPr>
        <w:tc>
          <w:tcPr>
            <w:tcW w:w="2399" w:type="dxa"/>
            <w:vMerge w:val="restart"/>
            <w:vAlign w:val="center"/>
          </w:tcPr>
          <w:p w14:paraId="388E9129" w14:textId="577229DC" w:rsidR="007E1125" w:rsidRPr="008C6C34" w:rsidRDefault="008C6C34" w:rsidP="008C6C34">
            <w:pPr>
              <w:jc w:val="left"/>
              <w:rPr>
                <w:color w:val="000000" w:themeColor="text1"/>
                <w:lang w:val="en-US"/>
              </w:rPr>
            </w:pPr>
            <w:r>
              <w:rPr>
                <w:lang w:val="en-US"/>
              </w:rPr>
              <w:t>1. E</w:t>
            </w:r>
            <w:r w:rsidR="007E1125" w:rsidRPr="008C6C34">
              <w:rPr>
                <w:lang w:val="en-US"/>
              </w:rPr>
              <w:t>BF's success in contributing to biodiversity conservation, the sustainable use of natural resources and climate change adaptation and mitigation; and this success creating an incentive for others to also act towards these goals.</w:t>
            </w:r>
          </w:p>
        </w:tc>
        <w:tc>
          <w:tcPr>
            <w:tcW w:w="4259" w:type="dxa"/>
          </w:tcPr>
          <w:p w14:paraId="5063AF08" w14:textId="048D7DC0" w:rsidR="007E1125" w:rsidRPr="008C6C34" w:rsidRDefault="008C6C34" w:rsidP="008C6C34">
            <w:pPr>
              <w:pStyle w:val="ListParagraph"/>
              <w:ind w:left="0"/>
              <w:jc w:val="left"/>
              <w:rPr>
                <w:lang w:val="en-US"/>
              </w:rPr>
            </w:pPr>
            <w:r>
              <w:rPr>
                <w:lang w:val="en-US"/>
              </w:rPr>
              <w:t>1.1 A</w:t>
            </w:r>
            <w:r w:rsidR="007E1125" w:rsidRPr="008C6C34">
              <w:rPr>
                <w:lang w:val="en-US"/>
              </w:rPr>
              <w:t>mount of water savings entirely or partly attributable to the intervention of the EBF</w:t>
            </w:r>
            <w:r w:rsidR="002B43D4" w:rsidRPr="008C6C34">
              <w:rPr>
                <w:color w:val="000000" w:themeColor="text1"/>
                <w:lang w:val="en-US"/>
              </w:rPr>
              <w:t xml:space="preserve"> (millions of cubic mete</w:t>
            </w:r>
            <w:r w:rsidR="00944FEA">
              <w:rPr>
                <w:color w:val="000000" w:themeColor="text1"/>
                <w:lang w:val="en-US"/>
              </w:rPr>
              <w:t>r</w:t>
            </w:r>
            <w:r w:rsidR="002B43D4" w:rsidRPr="008C6C34">
              <w:rPr>
                <w:color w:val="000000" w:themeColor="text1"/>
                <w:lang w:val="en-US"/>
              </w:rPr>
              <w:t>s)</w:t>
            </w:r>
          </w:p>
        </w:tc>
        <w:tc>
          <w:tcPr>
            <w:tcW w:w="1931" w:type="dxa"/>
          </w:tcPr>
          <w:p w14:paraId="1B3E9748" w14:textId="337E1426" w:rsidR="007E1125" w:rsidRDefault="002B43D4" w:rsidP="007E1125">
            <w:pPr>
              <w:rPr>
                <w:color w:val="000000" w:themeColor="text1"/>
              </w:rPr>
            </w:pPr>
            <w:r>
              <w:rPr>
                <w:color w:val="000000" w:themeColor="text1"/>
              </w:rPr>
              <w:t>6</w:t>
            </w:r>
          </w:p>
        </w:tc>
        <w:tc>
          <w:tcPr>
            <w:tcW w:w="1612" w:type="dxa"/>
          </w:tcPr>
          <w:p w14:paraId="4B3E62AC" w14:textId="681F0D52" w:rsidR="007E1125" w:rsidRDefault="002B43D4" w:rsidP="007E1125">
            <w:pPr>
              <w:rPr>
                <w:color w:val="000000" w:themeColor="text1"/>
              </w:rPr>
            </w:pPr>
            <w:r>
              <w:rPr>
                <w:color w:val="000000" w:themeColor="text1"/>
              </w:rPr>
              <w:t>4.2</w:t>
            </w:r>
          </w:p>
        </w:tc>
      </w:tr>
      <w:tr w:rsidR="007E1125" w14:paraId="1A80B88C" w14:textId="77777777" w:rsidTr="008C6C34">
        <w:trPr>
          <w:trHeight w:val="1354"/>
        </w:trPr>
        <w:tc>
          <w:tcPr>
            <w:tcW w:w="2399" w:type="dxa"/>
            <w:vMerge/>
          </w:tcPr>
          <w:p w14:paraId="74F12B6A" w14:textId="77777777" w:rsidR="007E1125" w:rsidRDefault="007E1125" w:rsidP="007E1125">
            <w:pPr>
              <w:rPr>
                <w:color w:val="000000" w:themeColor="text1"/>
              </w:rPr>
            </w:pPr>
          </w:p>
        </w:tc>
        <w:tc>
          <w:tcPr>
            <w:tcW w:w="4259" w:type="dxa"/>
          </w:tcPr>
          <w:p w14:paraId="631B81EF" w14:textId="6C431F54" w:rsidR="007E1125" w:rsidRPr="008C6C34" w:rsidRDefault="007E1125" w:rsidP="008C6C34">
            <w:pPr>
              <w:jc w:val="left"/>
              <w:rPr>
                <w:lang w:val="en-US"/>
              </w:rPr>
            </w:pPr>
            <w:r w:rsidRPr="008C6C34">
              <w:rPr>
                <w:lang w:val="en-US"/>
              </w:rPr>
              <w:t>1.2 Level of funding provided by FIs to businesses that adopt sustainable practices</w:t>
            </w:r>
            <w:r w:rsidR="002B43D4" w:rsidRPr="008C6C34">
              <w:rPr>
                <w:lang w:val="en-US"/>
              </w:rPr>
              <w:t xml:space="preserve"> </w:t>
            </w:r>
            <w:r w:rsidR="00944FEA">
              <w:rPr>
                <w:lang w:val="en-US"/>
              </w:rPr>
              <w:t>(</w:t>
            </w:r>
            <w:r w:rsidR="002B43D4" w:rsidRPr="008C6C34">
              <w:rPr>
                <w:lang w:val="en-US"/>
              </w:rPr>
              <w:t>M $USD)</w:t>
            </w:r>
          </w:p>
        </w:tc>
        <w:tc>
          <w:tcPr>
            <w:tcW w:w="1931" w:type="dxa"/>
          </w:tcPr>
          <w:p w14:paraId="3154948D" w14:textId="428270FE" w:rsidR="007E1125" w:rsidRDefault="002B43D4" w:rsidP="007E1125">
            <w:pPr>
              <w:rPr>
                <w:color w:val="000000" w:themeColor="text1"/>
              </w:rPr>
            </w:pPr>
            <w:r>
              <w:rPr>
                <w:color w:val="000000" w:themeColor="text1"/>
              </w:rPr>
              <w:t>800</w:t>
            </w:r>
          </w:p>
        </w:tc>
        <w:tc>
          <w:tcPr>
            <w:tcW w:w="1612" w:type="dxa"/>
          </w:tcPr>
          <w:p w14:paraId="14D3C030" w14:textId="3040073F" w:rsidR="007E1125" w:rsidRDefault="002B43D4" w:rsidP="007E1125">
            <w:pPr>
              <w:rPr>
                <w:color w:val="000000" w:themeColor="text1"/>
              </w:rPr>
            </w:pPr>
            <w:r>
              <w:rPr>
                <w:color w:val="000000" w:themeColor="text1"/>
              </w:rPr>
              <w:t>872.8</w:t>
            </w:r>
          </w:p>
        </w:tc>
      </w:tr>
      <w:tr w:rsidR="007E1125" w14:paraId="7944F31F" w14:textId="77777777" w:rsidTr="008C6C34">
        <w:trPr>
          <w:trHeight w:val="1354"/>
        </w:trPr>
        <w:tc>
          <w:tcPr>
            <w:tcW w:w="2399" w:type="dxa"/>
            <w:vMerge/>
          </w:tcPr>
          <w:p w14:paraId="573494CC" w14:textId="77777777" w:rsidR="007E1125" w:rsidRDefault="007E1125" w:rsidP="007E1125">
            <w:pPr>
              <w:rPr>
                <w:color w:val="000000" w:themeColor="text1"/>
              </w:rPr>
            </w:pPr>
          </w:p>
        </w:tc>
        <w:tc>
          <w:tcPr>
            <w:tcW w:w="4259" w:type="dxa"/>
          </w:tcPr>
          <w:p w14:paraId="173D29F5" w14:textId="144CF869" w:rsidR="007E1125" w:rsidRPr="008C6C34" w:rsidRDefault="007E1125" w:rsidP="008C6C34">
            <w:pPr>
              <w:jc w:val="left"/>
              <w:rPr>
                <w:lang w:val="en-US"/>
              </w:rPr>
            </w:pPr>
            <w:r w:rsidRPr="008C6C34">
              <w:rPr>
                <w:lang w:val="en-US"/>
              </w:rPr>
              <w:t>1.3 Land sustainably managed through the EBF's portfolio (Ha)</w:t>
            </w:r>
          </w:p>
        </w:tc>
        <w:tc>
          <w:tcPr>
            <w:tcW w:w="1931" w:type="dxa"/>
          </w:tcPr>
          <w:p w14:paraId="207F594C" w14:textId="5B5CED2D" w:rsidR="007E1125" w:rsidRDefault="002B43D4" w:rsidP="007E1125">
            <w:pPr>
              <w:rPr>
                <w:color w:val="000000" w:themeColor="text1"/>
              </w:rPr>
            </w:pPr>
            <w:r>
              <w:rPr>
                <w:color w:val="000000" w:themeColor="text1"/>
              </w:rPr>
              <w:t>200,000</w:t>
            </w:r>
          </w:p>
        </w:tc>
        <w:tc>
          <w:tcPr>
            <w:tcW w:w="1612" w:type="dxa"/>
          </w:tcPr>
          <w:p w14:paraId="5091826A" w14:textId="1703B862" w:rsidR="007E1125" w:rsidRDefault="002B43D4" w:rsidP="007E1125">
            <w:pPr>
              <w:rPr>
                <w:color w:val="000000" w:themeColor="text1"/>
              </w:rPr>
            </w:pPr>
            <w:r>
              <w:rPr>
                <w:color w:val="000000" w:themeColor="text1"/>
              </w:rPr>
              <w:t>261,000</w:t>
            </w:r>
          </w:p>
        </w:tc>
      </w:tr>
      <w:tr w:rsidR="007E1125" w14:paraId="2AC0345E" w14:textId="77777777" w:rsidTr="008C6C34">
        <w:trPr>
          <w:trHeight w:val="722"/>
        </w:trPr>
        <w:tc>
          <w:tcPr>
            <w:tcW w:w="2399" w:type="dxa"/>
            <w:vMerge/>
          </w:tcPr>
          <w:p w14:paraId="652FEB90" w14:textId="77777777" w:rsidR="007E1125" w:rsidRDefault="007E1125" w:rsidP="007E1125">
            <w:pPr>
              <w:rPr>
                <w:color w:val="000000" w:themeColor="text1"/>
              </w:rPr>
            </w:pPr>
          </w:p>
        </w:tc>
        <w:tc>
          <w:tcPr>
            <w:tcW w:w="4259" w:type="dxa"/>
          </w:tcPr>
          <w:p w14:paraId="7A6CE487" w14:textId="5B63DC99" w:rsidR="007E1125" w:rsidRPr="008C6C34" w:rsidRDefault="007E1125" w:rsidP="008C6C34">
            <w:pPr>
              <w:jc w:val="left"/>
              <w:rPr>
                <w:lang w:val="en-US"/>
              </w:rPr>
            </w:pPr>
            <w:r w:rsidRPr="008C6C34">
              <w:rPr>
                <w:lang w:val="en-US"/>
              </w:rPr>
              <w:t>1.4 Land held by sub-borrowers committed to deforestation-free activities in EBF portfolio (Ha)</w:t>
            </w:r>
          </w:p>
        </w:tc>
        <w:tc>
          <w:tcPr>
            <w:tcW w:w="1931" w:type="dxa"/>
          </w:tcPr>
          <w:p w14:paraId="3E87FA7E" w14:textId="04C543B3" w:rsidR="007E1125" w:rsidRDefault="002B43D4" w:rsidP="007E1125">
            <w:pPr>
              <w:rPr>
                <w:color w:val="000000" w:themeColor="text1"/>
              </w:rPr>
            </w:pPr>
            <w:r>
              <w:rPr>
                <w:color w:val="000000" w:themeColor="text1"/>
              </w:rPr>
              <w:t>160,000</w:t>
            </w:r>
          </w:p>
        </w:tc>
        <w:tc>
          <w:tcPr>
            <w:tcW w:w="1612" w:type="dxa"/>
          </w:tcPr>
          <w:p w14:paraId="01A17989" w14:textId="1EC2D111" w:rsidR="007E1125" w:rsidRDefault="002B43D4" w:rsidP="007E1125">
            <w:pPr>
              <w:rPr>
                <w:color w:val="000000" w:themeColor="text1"/>
              </w:rPr>
            </w:pPr>
            <w:r>
              <w:rPr>
                <w:color w:val="000000" w:themeColor="text1"/>
              </w:rPr>
              <w:t>182,000</w:t>
            </w:r>
          </w:p>
        </w:tc>
      </w:tr>
      <w:tr w:rsidR="007E1125" w14:paraId="26C4CA3F" w14:textId="77777777" w:rsidTr="008C6C34">
        <w:trPr>
          <w:trHeight w:val="1115"/>
        </w:trPr>
        <w:tc>
          <w:tcPr>
            <w:tcW w:w="2399" w:type="dxa"/>
            <w:vMerge/>
          </w:tcPr>
          <w:p w14:paraId="2AA5CB73" w14:textId="77777777" w:rsidR="007E1125" w:rsidRDefault="007E1125" w:rsidP="007E1125">
            <w:pPr>
              <w:rPr>
                <w:color w:val="000000" w:themeColor="text1"/>
              </w:rPr>
            </w:pPr>
          </w:p>
        </w:tc>
        <w:tc>
          <w:tcPr>
            <w:tcW w:w="4259" w:type="dxa"/>
          </w:tcPr>
          <w:p w14:paraId="357ABCD4" w14:textId="5E2963B6" w:rsidR="007E1125" w:rsidRPr="00944FEA" w:rsidRDefault="007E1125" w:rsidP="008C6C34">
            <w:pPr>
              <w:jc w:val="left"/>
              <w:rPr>
                <w:lang w:val="en-US"/>
              </w:rPr>
            </w:pPr>
            <w:r w:rsidRPr="00944FEA">
              <w:rPr>
                <w:lang w:val="en-US"/>
              </w:rPr>
              <w:t xml:space="preserve">1.5 ICF KPI 12: Volume of private finance </w:t>
            </w:r>
            <w:proofErr w:type="spellStart"/>
            <w:r w:rsidRPr="00944FEA">
              <w:rPr>
                <w:lang w:val="en-US"/>
              </w:rPr>
              <w:t>mobilised</w:t>
            </w:r>
            <w:proofErr w:type="spellEnd"/>
            <w:r w:rsidRPr="00944FEA">
              <w:rPr>
                <w:lang w:val="en-US"/>
              </w:rPr>
              <w:t xml:space="preserve"> for climate change purposes as a result of ICF funding</w:t>
            </w:r>
            <w:r w:rsidR="002B43D4" w:rsidRPr="00944FEA">
              <w:rPr>
                <w:lang w:val="en-US"/>
              </w:rPr>
              <w:t xml:space="preserve"> (M $USD)</w:t>
            </w:r>
          </w:p>
        </w:tc>
        <w:tc>
          <w:tcPr>
            <w:tcW w:w="1931" w:type="dxa"/>
          </w:tcPr>
          <w:p w14:paraId="40AADC22" w14:textId="22F39D85" w:rsidR="007E1125" w:rsidRDefault="008C6C34" w:rsidP="007E1125">
            <w:pPr>
              <w:rPr>
                <w:color w:val="000000" w:themeColor="text1"/>
              </w:rPr>
            </w:pPr>
            <w:r>
              <w:rPr>
                <w:color w:val="000000" w:themeColor="text1"/>
              </w:rPr>
              <w:t>n/a</w:t>
            </w:r>
          </w:p>
        </w:tc>
        <w:tc>
          <w:tcPr>
            <w:tcW w:w="1612" w:type="dxa"/>
          </w:tcPr>
          <w:p w14:paraId="75CBCEAD" w14:textId="41371016" w:rsidR="007E1125" w:rsidRDefault="008C6C34" w:rsidP="007E1125">
            <w:pPr>
              <w:rPr>
                <w:color w:val="000000" w:themeColor="text1"/>
              </w:rPr>
            </w:pPr>
            <w:r>
              <w:rPr>
                <w:color w:val="000000" w:themeColor="text1"/>
              </w:rPr>
              <w:t>n/a</w:t>
            </w:r>
          </w:p>
        </w:tc>
      </w:tr>
      <w:tr w:rsidR="007E1125" w14:paraId="4D92026D" w14:textId="77777777" w:rsidTr="008C6C34">
        <w:trPr>
          <w:trHeight w:val="1035"/>
        </w:trPr>
        <w:tc>
          <w:tcPr>
            <w:tcW w:w="2399" w:type="dxa"/>
            <w:vMerge/>
          </w:tcPr>
          <w:p w14:paraId="668F8F0D" w14:textId="77777777" w:rsidR="007E1125" w:rsidRDefault="007E1125" w:rsidP="007E1125">
            <w:pPr>
              <w:rPr>
                <w:color w:val="000000" w:themeColor="text1"/>
              </w:rPr>
            </w:pPr>
          </w:p>
        </w:tc>
        <w:tc>
          <w:tcPr>
            <w:tcW w:w="4259" w:type="dxa"/>
          </w:tcPr>
          <w:p w14:paraId="2C6FE075" w14:textId="5C1A2B50" w:rsidR="007E1125" w:rsidRPr="00944FEA" w:rsidRDefault="007E1125" w:rsidP="008C6C34">
            <w:pPr>
              <w:jc w:val="left"/>
              <w:rPr>
                <w:lang w:val="en-US"/>
              </w:rPr>
            </w:pPr>
            <w:r w:rsidRPr="00944FEA">
              <w:rPr>
                <w:lang w:val="en-US"/>
              </w:rPr>
              <w:t xml:space="preserve">1.6 ICF KPI 11: Volume of public finance </w:t>
            </w:r>
            <w:proofErr w:type="spellStart"/>
            <w:r w:rsidRPr="00944FEA">
              <w:rPr>
                <w:lang w:val="en-US"/>
              </w:rPr>
              <w:t>mobilised</w:t>
            </w:r>
            <w:proofErr w:type="spellEnd"/>
            <w:r w:rsidRPr="00944FEA">
              <w:rPr>
                <w:lang w:val="en-US"/>
              </w:rPr>
              <w:t xml:space="preserve"> for climate change purposes as a result of ICF funding</w:t>
            </w:r>
            <w:r w:rsidR="002B43D4" w:rsidRPr="00944FEA">
              <w:rPr>
                <w:lang w:val="en-US"/>
              </w:rPr>
              <w:t xml:space="preserve"> (M $USD)</w:t>
            </w:r>
          </w:p>
        </w:tc>
        <w:tc>
          <w:tcPr>
            <w:tcW w:w="1931" w:type="dxa"/>
          </w:tcPr>
          <w:p w14:paraId="5B02B035" w14:textId="7870E93D" w:rsidR="007E1125" w:rsidRDefault="008C6C34" w:rsidP="007E1125">
            <w:pPr>
              <w:rPr>
                <w:color w:val="000000" w:themeColor="text1"/>
              </w:rPr>
            </w:pPr>
            <w:r>
              <w:rPr>
                <w:color w:val="000000" w:themeColor="text1"/>
              </w:rPr>
              <w:t>n/a</w:t>
            </w:r>
          </w:p>
        </w:tc>
        <w:tc>
          <w:tcPr>
            <w:tcW w:w="1612" w:type="dxa"/>
          </w:tcPr>
          <w:p w14:paraId="112EDAF1" w14:textId="00B954A2" w:rsidR="007E1125" w:rsidRDefault="008C6C34" w:rsidP="007E1125">
            <w:pPr>
              <w:rPr>
                <w:color w:val="000000" w:themeColor="text1"/>
              </w:rPr>
            </w:pPr>
            <w:r>
              <w:rPr>
                <w:color w:val="000000" w:themeColor="text1"/>
              </w:rPr>
              <w:t>n/a</w:t>
            </w:r>
          </w:p>
        </w:tc>
      </w:tr>
      <w:tr w:rsidR="007E1125" w14:paraId="689B18FE" w14:textId="77777777" w:rsidTr="008C6C34">
        <w:trPr>
          <w:trHeight w:val="709"/>
        </w:trPr>
        <w:tc>
          <w:tcPr>
            <w:tcW w:w="2399" w:type="dxa"/>
            <w:vMerge/>
          </w:tcPr>
          <w:p w14:paraId="7573F63F" w14:textId="77777777" w:rsidR="007E1125" w:rsidRDefault="007E1125" w:rsidP="007E1125">
            <w:pPr>
              <w:rPr>
                <w:color w:val="000000" w:themeColor="text1"/>
              </w:rPr>
            </w:pPr>
          </w:p>
        </w:tc>
        <w:tc>
          <w:tcPr>
            <w:tcW w:w="4259" w:type="dxa"/>
          </w:tcPr>
          <w:p w14:paraId="7CBAC93E" w14:textId="4DF7AC75" w:rsidR="007E1125" w:rsidRPr="008C6C34" w:rsidRDefault="007E1125" w:rsidP="008C6C34">
            <w:pPr>
              <w:jc w:val="left"/>
              <w:rPr>
                <w:color w:val="000000" w:themeColor="text1"/>
                <w:lang w:val="en-US"/>
              </w:rPr>
            </w:pPr>
            <w:r w:rsidRPr="008C6C34">
              <w:rPr>
                <w:color w:val="000000" w:themeColor="text1"/>
                <w:lang w:val="en-US"/>
              </w:rPr>
              <w:t>1.7 Number of jobs supported by sub-borrowers as a result of EBF support†</w:t>
            </w:r>
          </w:p>
        </w:tc>
        <w:tc>
          <w:tcPr>
            <w:tcW w:w="1931" w:type="dxa"/>
          </w:tcPr>
          <w:p w14:paraId="24C74131" w14:textId="1C27584F" w:rsidR="007E1125" w:rsidRDefault="002B43D4" w:rsidP="007E1125">
            <w:pPr>
              <w:rPr>
                <w:color w:val="000000" w:themeColor="text1"/>
              </w:rPr>
            </w:pPr>
            <w:r>
              <w:rPr>
                <w:color w:val="000000" w:themeColor="text1"/>
              </w:rPr>
              <w:t>350, 000</w:t>
            </w:r>
          </w:p>
        </w:tc>
        <w:tc>
          <w:tcPr>
            <w:tcW w:w="1612" w:type="dxa"/>
          </w:tcPr>
          <w:p w14:paraId="0B1CBD69" w14:textId="520B5BA3" w:rsidR="007E1125" w:rsidRDefault="002B43D4" w:rsidP="007E1125">
            <w:pPr>
              <w:rPr>
                <w:color w:val="000000" w:themeColor="text1"/>
              </w:rPr>
            </w:pPr>
            <w:r>
              <w:rPr>
                <w:color w:val="000000" w:themeColor="text1"/>
              </w:rPr>
              <w:t>361, 000</w:t>
            </w:r>
          </w:p>
        </w:tc>
      </w:tr>
      <w:tr w:rsidR="007E1125" w14:paraId="1313FE14" w14:textId="77777777" w:rsidTr="008C6C34">
        <w:trPr>
          <w:trHeight w:val="787"/>
        </w:trPr>
        <w:tc>
          <w:tcPr>
            <w:tcW w:w="2399" w:type="dxa"/>
            <w:vMerge/>
          </w:tcPr>
          <w:p w14:paraId="09490469" w14:textId="77777777" w:rsidR="007E1125" w:rsidRDefault="007E1125" w:rsidP="007E1125">
            <w:pPr>
              <w:rPr>
                <w:color w:val="000000" w:themeColor="text1"/>
              </w:rPr>
            </w:pPr>
          </w:p>
        </w:tc>
        <w:tc>
          <w:tcPr>
            <w:tcW w:w="4259" w:type="dxa"/>
          </w:tcPr>
          <w:p w14:paraId="513AF873" w14:textId="0412258C" w:rsidR="007E1125" w:rsidRPr="008C6C34" w:rsidRDefault="007E1125" w:rsidP="008C6C34">
            <w:pPr>
              <w:jc w:val="left"/>
              <w:rPr>
                <w:color w:val="000000" w:themeColor="text1"/>
                <w:lang w:val="en-US"/>
              </w:rPr>
            </w:pPr>
            <w:r w:rsidRPr="008C6C34">
              <w:rPr>
                <w:color w:val="000000" w:themeColor="text1"/>
                <w:lang w:val="en-US"/>
              </w:rPr>
              <w:t>1.8 ICF KPI 6: Net CO2 sequestration as a result of EBF support to agroforestry</w:t>
            </w:r>
            <w:r w:rsidR="002B43D4" w:rsidRPr="008C6C34">
              <w:rPr>
                <w:color w:val="000000" w:themeColor="text1"/>
                <w:lang w:val="en-US"/>
              </w:rPr>
              <w:t xml:space="preserve"> (t)</w:t>
            </w:r>
          </w:p>
        </w:tc>
        <w:tc>
          <w:tcPr>
            <w:tcW w:w="1931" w:type="dxa"/>
          </w:tcPr>
          <w:p w14:paraId="5E5A387B" w14:textId="2160587A" w:rsidR="007E1125" w:rsidRDefault="002B43D4" w:rsidP="007E1125">
            <w:pPr>
              <w:rPr>
                <w:color w:val="000000" w:themeColor="text1"/>
              </w:rPr>
            </w:pPr>
            <w:r>
              <w:rPr>
                <w:color w:val="000000" w:themeColor="text1"/>
              </w:rPr>
              <w:t>800, 000</w:t>
            </w:r>
          </w:p>
        </w:tc>
        <w:tc>
          <w:tcPr>
            <w:tcW w:w="1612" w:type="dxa"/>
          </w:tcPr>
          <w:p w14:paraId="4635A551" w14:textId="1602D44F" w:rsidR="007E1125" w:rsidRDefault="002B43D4" w:rsidP="007E1125">
            <w:pPr>
              <w:rPr>
                <w:color w:val="000000" w:themeColor="text1"/>
              </w:rPr>
            </w:pPr>
            <w:r>
              <w:rPr>
                <w:color w:val="000000" w:themeColor="text1"/>
              </w:rPr>
              <w:t>1, 050, 000</w:t>
            </w:r>
          </w:p>
        </w:tc>
      </w:tr>
      <w:tr w:rsidR="003855E8" w14:paraId="1548324E" w14:textId="77777777" w:rsidTr="008C6C34">
        <w:trPr>
          <w:trHeight w:val="699"/>
        </w:trPr>
        <w:tc>
          <w:tcPr>
            <w:tcW w:w="2399" w:type="dxa"/>
            <w:vMerge w:val="restart"/>
          </w:tcPr>
          <w:p w14:paraId="125A13AB" w14:textId="56C3DF97" w:rsidR="003855E8" w:rsidRPr="008C6C34" w:rsidRDefault="003855E8" w:rsidP="008C6C34">
            <w:pPr>
              <w:jc w:val="left"/>
              <w:rPr>
                <w:color w:val="000000" w:themeColor="text1"/>
                <w:lang w:val="en-US"/>
              </w:rPr>
            </w:pPr>
            <w:r w:rsidRPr="008C6C34">
              <w:rPr>
                <w:lang w:val="en-US"/>
              </w:rPr>
              <w:t>2.</w:t>
            </w:r>
            <w:r w:rsidR="008C6C34">
              <w:rPr>
                <w:lang w:val="en-US"/>
              </w:rPr>
              <w:t xml:space="preserve"> </w:t>
            </w:r>
            <w:r w:rsidRPr="008C6C34">
              <w:rPr>
                <w:lang w:val="en-US"/>
              </w:rPr>
              <w:t xml:space="preserve">Level of </w:t>
            </w:r>
            <w:proofErr w:type="spellStart"/>
            <w:r w:rsidRPr="008C6C34">
              <w:rPr>
                <w:lang w:val="en-US"/>
              </w:rPr>
              <w:t>behavioural</w:t>
            </w:r>
            <w:proofErr w:type="spellEnd"/>
            <w:r w:rsidRPr="008C6C34">
              <w:rPr>
                <w:lang w:val="en-US"/>
              </w:rPr>
              <w:t xml:space="preserve"> change embedded in downstream lenders and FIs.</w:t>
            </w:r>
          </w:p>
        </w:tc>
        <w:tc>
          <w:tcPr>
            <w:tcW w:w="4259" w:type="dxa"/>
          </w:tcPr>
          <w:p w14:paraId="24B13847" w14:textId="03569BA0" w:rsidR="003855E8" w:rsidRPr="008C6C34" w:rsidRDefault="003855E8" w:rsidP="008C6C34">
            <w:pPr>
              <w:jc w:val="left"/>
              <w:rPr>
                <w:color w:val="000000" w:themeColor="text1"/>
                <w:lang w:val="en-US"/>
              </w:rPr>
            </w:pPr>
            <w:r w:rsidRPr="008C6C34">
              <w:rPr>
                <w:color w:val="000000" w:themeColor="text1"/>
                <w:lang w:val="en-US"/>
              </w:rPr>
              <w:t>2.1 Number of sub-borrowers supported by EBFs PIs to incorporate sustainable practices</w:t>
            </w:r>
          </w:p>
        </w:tc>
        <w:tc>
          <w:tcPr>
            <w:tcW w:w="1931" w:type="dxa"/>
          </w:tcPr>
          <w:p w14:paraId="3DC8B543" w14:textId="60F08E6F" w:rsidR="003855E8" w:rsidRDefault="008C6C34" w:rsidP="007E1125">
            <w:pPr>
              <w:rPr>
                <w:color w:val="000000" w:themeColor="text1"/>
              </w:rPr>
            </w:pPr>
            <w:r>
              <w:rPr>
                <w:color w:val="000000" w:themeColor="text1"/>
              </w:rPr>
              <w:t>n/a</w:t>
            </w:r>
          </w:p>
        </w:tc>
        <w:tc>
          <w:tcPr>
            <w:tcW w:w="1612" w:type="dxa"/>
          </w:tcPr>
          <w:p w14:paraId="57DEB164" w14:textId="61051BBD" w:rsidR="003855E8" w:rsidRDefault="008C6C34" w:rsidP="007E1125">
            <w:pPr>
              <w:rPr>
                <w:color w:val="000000" w:themeColor="text1"/>
              </w:rPr>
            </w:pPr>
            <w:r>
              <w:rPr>
                <w:color w:val="000000" w:themeColor="text1"/>
              </w:rPr>
              <w:t>n/a</w:t>
            </w:r>
          </w:p>
        </w:tc>
      </w:tr>
      <w:tr w:rsidR="003855E8" w14:paraId="1707CA99" w14:textId="77777777" w:rsidTr="008C6C34">
        <w:trPr>
          <w:trHeight w:val="1011"/>
        </w:trPr>
        <w:tc>
          <w:tcPr>
            <w:tcW w:w="2399" w:type="dxa"/>
            <w:vMerge/>
          </w:tcPr>
          <w:p w14:paraId="7DE2E2E9" w14:textId="77777777" w:rsidR="003855E8" w:rsidRDefault="003855E8" w:rsidP="007E1125">
            <w:pPr>
              <w:rPr>
                <w:color w:val="000000" w:themeColor="text1"/>
              </w:rPr>
            </w:pPr>
          </w:p>
        </w:tc>
        <w:tc>
          <w:tcPr>
            <w:tcW w:w="4259" w:type="dxa"/>
          </w:tcPr>
          <w:p w14:paraId="042806A6" w14:textId="6EF273ED" w:rsidR="003855E8" w:rsidRPr="008C6C34" w:rsidRDefault="003855E8" w:rsidP="008C6C34">
            <w:pPr>
              <w:jc w:val="left"/>
              <w:rPr>
                <w:color w:val="000000" w:themeColor="text1"/>
                <w:lang w:val="en-US"/>
              </w:rPr>
            </w:pPr>
            <w:r w:rsidRPr="008C6C34">
              <w:rPr>
                <w:color w:val="000000" w:themeColor="text1"/>
                <w:lang w:val="en-US"/>
              </w:rPr>
              <w:t>2.2 Number of FIs that have changed their policies to incorporate sustainability as a qualifier for lending</w:t>
            </w:r>
          </w:p>
        </w:tc>
        <w:tc>
          <w:tcPr>
            <w:tcW w:w="1931" w:type="dxa"/>
          </w:tcPr>
          <w:p w14:paraId="0E93C77A" w14:textId="32562A0C" w:rsidR="003855E8" w:rsidRDefault="003855E8" w:rsidP="007E1125">
            <w:pPr>
              <w:rPr>
                <w:color w:val="000000" w:themeColor="text1"/>
              </w:rPr>
            </w:pPr>
            <w:r>
              <w:rPr>
                <w:color w:val="000000" w:themeColor="text1"/>
              </w:rPr>
              <w:t>Qualitative assessment</w:t>
            </w:r>
          </w:p>
        </w:tc>
        <w:tc>
          <w:tcPr>
            <w:tcW w:w="1612" w:type="dxa"/>
          </w:tcPr>
          <w:p w14:paraId="56585D80" w14:textId="7661FCB3" w:rsidR="003855E8" w:rsidRDefault="009F440B" w:rsidP="007E1125">
            <w:pPr>
              <w:rPr>
                <w:color w:val="000000" w:themeColor="text1"/>
              </w:rPr>
            </w:pPr>
            <w:r w:rsidRPr="009F440B">
              <w:rPr>
                <w:color w:val="000000" w:themeColor="text1"/>
              </w:rPr>
              <w:t>Qualitative assessment</w:t>
            </w:r>
          </w:p>
        </w:tc>
      </w:tr>
      <w:tr w:rsidR="003855E8" w14:paraId="4C2E8B21" w14:textId="77777777" w:rsidTr="008C6C34">
        <w:trPr>
          <w:trHeight w:val="700"/>
        </w:trPr>
        <w:tc>
          <w:tcPr>
            <w:tcW w:w="2399" w:type="dxa"/>
            <w:vMerge/>
          </w:tcPr>
          <w:p w14:paraId="73F07304" w14:textId="77777777" w:rsidR="003855E8" w:rsidRDefault="003855E8" w:rsidP="007E1125">
            <w:pPr>
              <w:rPr>
                <w:color w:val="000000" w:themeColor="text1"/>
              </w:rPr>
            </w:pPr>
          </w:p>
        </w:tc>
        <w:tc>
          <w:tcPr>
            <w:tcW w:w="4259" w:type="dxa"/>
          </w:tcPr>
          <w:p w14:paraId="6A7949E0" w14:textId="3C1900F9" w:rsidR="003855E8" w:rsidRPr="008C6C34" w:rsidRDefault="003855E8" w:rsidP="008C6C34">
            <w:pPr>
              <w:jc w:val="left"/>
              <w:rPr>
                <w:color w:val="000000" w:themeColor="text1"/>
                <w:lang w:val="en-US"/>
              </w:rPr>
            </w:pPr>
            <w:r w:rsidRPr="008C6C34">
              <w:rPr>
                <w:color w:val="000000" w:themeColor="text1"/>
                <w:lang w:val="en-US"/>
              </w:rPr>
              <w:t>2.3</w:t>
            </w:r>
            <w:r w:rsidRPr="008C6C34">
              <w:rPr>
                <w:lang w:val="en-US"/>
              </w:rPr>
              <w:t xml:space="preserve"> </w:t>
            </w:r>
            <w:r w:rsidRPr="008C6C34">
              <w:rPr>
                <w:color w:val="000000" w:themeColor="text1"/>
                <w:lang w:val="en-US"/>
              </w:rPr>
              <w:t>The level of sub-borrower staff knowledge of the sustainable policies of their companies</w:t>
            </w:r>
          </w:p>
        </w:tc>
        <w:tc>
          <w:tcPr>
            <w:tcW w:w="1931" w:type="dxa"/>
          </w:tcPr>
          <w:p w14:paraId="4A140618" w14:textId="2C42E7CB" w:rsidR="003855E8" w:rsidRDefault="003855E8" w:rsidP="007E1125">
            <w:pPr>
              <w:rPr>
                <w:color w:val="000000" w:themeColor="text1"/>
              </w:rPr>
            </w:pPr>
            <w:r w:rsidRPr="00F1205B">
              <w:rPr>
                <w:color w:val="000000" w:themeColor="text1"/>
              </w:rPr>
              <w:t>Qualitative assessment</w:t>
            </w:r>
          </w:p>
        </w:tc>
        <w:tc>
          <w:tcPr>
            <w:tcW w:w="1612" w:type="dxa"/>
          </w:tcPr>
          <w:p w14:paraId="7D3A99E3" w14:textId="45ED813E" w:rsidR="003855E8" w:rsidRDefault="009F440B" w:rsidP="007E1125">
            <w:pPr>
              <w:rPr>
                <w:color w:val="000000" w:themeColor="text1"/>
              </w:rPr>
            </w:pPr>
            <w:r w:rsidRPr="009F440B">
              <w:rPr>
                <w:color w:val="000000" w:themeColor="text1"/>
              </w:rPr>
              <w:t>Qualitative assessment</w:t>
            </w:r>
          </w:p>
        </w:tc>
      </w:tr>
      <w:tr w:rsidR="003855E8" w14:paraId="23B8CFB5" w14:textId="77777777" w:rsidTr="008C6C34">
        <w:trPr>
          <w:trHeight w:val="540"/>
        </w:trPr>
        <w:tc>
          <w:tcPr>
            <w:tcW w:w="2399" w:type="dxa"/>
            <w:vMerge/>
          </w:tcPr>
          <w:p w14:paraId="309C5FF5" w14:textId="77777777" w:rsidR="003855E8" w:rsidRDefault="003855E8" w:rsidP="007E1125">
            <w:pPr>
              <w:rPr>
                <w:color w:val="000000" w:themeColor="text1"/>
              </w:rPr>
            </w:pPr>
          </w:p>
        </w:tc>
        <w:tc>
          <w:tcPr>
            <w:tcW w:w="4259" w:type="dxa"/>
          </w:tcPr>
          <w:p w14:paraId="7A1A1437" w14:textId="047460EA" w:rsidR="003855E8" w:rsidRPr="008C6C34" w:rsidRDefault="003855E8" w:rsidP="008C6C34">
            <w:pPr>
              <w:tabs>
                <w:tab w:val="center" w:pos="1019"/>
              </w:tabs>
              <w:jc w:val="left"/>
              <w:rPr>
                <w:color w:val="000000" w:themeColor="text1"/>
                <w:lang w:val="en-US"/>
              </w:rPr>
            </w:pPr>
            <w:r w:rsidRPr="008C6C34">
              <w:rPr>
                <w:color w:val="000000" w:themeColor="text1"/>
                <w:lang w:val="en-US"/>
              </w:rPr>
              <w:t>2.4 The level of FI staff knowledge of the sustainable lending policies of their institutions</w:t>
            </w:r>
            <w:r w:rsidRPr="008C6C34">
              <w:rPr>
                <w:color w:val="000000" w:themeColor="text1"/>
                <w:lang w:val="en-US"/>
              </w:rPr>
              <w:tab/>
            </w:r>
          </w:p>
        </w:tc>
        <w:tc>
          <w:tcPr>
            <w:tcW w:w="1931" w:type="dxa"/>
          </w:tcPr>
          <w:p w14:paraId="5586767E" w14:textId="40BD691A" w:rsidR="003855E8" w:rsidRDefault="003855E8" w:rsidP="007E1125">
            <w:pPr>
              <w:rPr>
                <w:color w:val="000000" w:themeColor="text1"/>
              </w:rPr>
            </w:pPr>
            <w:r w:rsidRPr="00F1205B">
              <w:rPr>
                <w:color w:val="000000" w:themeColor="text1"/>
              </w:rPr>
              <w:t>Qualitative assessment</w:t>
            </w:r>
          </w:p>
        </w:tc>
        <w:tc>
          <w:tcPr>
            <w:tcW w:w="1612" w:type="dxa"/>
          </w:tcPr>
          <w:p w14:paraId="227CAAFF" w14:textId="4377E965" w:rsidR="003855E8" w:rsidRDefault="009F440B" w:rsidP="007E1125">
            <w:pPr>
              <w:rPr>
                <w:color w:val="000000" w:themeColor="text1"/>
              </w:rPr>
            </w:pPr>
            <w:r w:rsidRPr="009F440B">
              <w:rPr>
                <w:color w:val="000000" w:themeColor="text1"/>
              </w:rPr>
              <w:t>Qualitative assessment</w:t>
            </w:r>
          </w:p>
        </w:tc>
      </w:tr>
    </w:tbl>
    <w:p w14:paraId="0BF7455A" w14:textId="77777777" w:rsidR="007E1125" w:rsidRPr="007E1125" w:rsidRDefault="007E1125" w:rsidP="007E1125">
      <w:pPr>
        <w:rPr>
          <w:color w:val="000000" w:themeColor="text1"/>
        </w:rPr>
      </w:pPr>
    </w:p>
    <w:p w14:paraId="360A83A8" w14:textId="77777777" w:rsidR="00AE6ED5" w:rsidRPr="006C4EEA" w:rsidRDefault="00AE6ED5" w:rsidP="71E92DF2">
      <w:pPr>
        <w:pStyle w:val="Normal1"/>
        <w:spacing w:after="120" w:line="276" w:lineRule="auto"/>
        <w:jc w:val="both"/>
        <w:rPr>
          <w:rFonts w:ascii="Calibri" w:hAnsi="Calibri"/>
          <w:b/>
          <w:bCs/>
          <w:color w:val="auto"/>
          <w:sz w:val="22"/>
          <w:szCs w:val="22"/>
        </w:rPr>
      </w:pPr>
      <w:r w:rsidRPr="71E92DF2">
        <w:rPr>
          <w:rFonts w:ascii="Calibri" w:hAnsi="Calibri"/>
          <w:b/>
          <w:bCs/>
          <w:color w:val="auto"/>
          <w:sz w:val="22"/>
          <w:szCs w:val="22"/>
        </w:rPr>
        <w:t>Progress on Outcome Targets:</w:t>
      </w:r>
    </w:p>
    <w:p w14:paraId="05C3E9B8" w14:textId="7E09250A" w:rsidR="00166B93" w:rsidRDefault="00AE6ED5" w:rsidP="00AE6ED5">
      <w:pPr>
        <w:pStyle w:val="Normal1"/>
        <w:spacing w:after="120" w:line="276" w:lineRule="auto"/>
        <w:jc w:val="both"/>
        <w:rPr>
          <w:rFonts w:ascii="Calibri" w:hAnsi="Calibri"/>
          <w:sz w:val="22"/>
          <w:szCs w:val="22"/>
        </w:rPr>
      </w:pPr>
      <w:r w:rsidRPr="66620AEB">
        <w:rPr>
          <w:rFonts w:ascii="Calibri" w:hAnsi="Calibri"/>
          <w:color w:val="auto"/>
          <w:sz w:val="22"/>
          <w:szCs w:val="22"/>
        </w:rPr>
        <w:lastRenderedPageBreak/>
        <w:t xml:space="preserve">The EBF </w:t>
      </w:r>
      <w:r w:rsidR="00166B93" w:rsidRPr="66620AEB">
        <w:rPr>
          <w:rFonts w:ascii="Calibri" w:hAnsi="Calibri"/>
          <w:color w:val="auto"/>
          <w:sz w:val="22"/>
          <w:szCs w:val="22"/>
        </w:rPr>
        <w:t xml:space="preserve">is considerably surpassing targets and milestones, in terms of volume of finance provided to </w:t>
      </w:r>
      <w:r w:rsidR="00A8672D" w:rsidRPr="66620AEB">
        <w:rPr>
          <w:rFonts w:ascii="Calibri" w:hAnsi="Calibri"/>
          <w:color w:val="auto"/>
          <w:sz w:val="22"/>
          <w:szCs w:val="22"/>
        </w:rPr>
        <w:t>FIs</w:t>
      </w:r>
      <w:r w:rsidR="00166B93" w:rsidRPr="66620AEB">
        <w:rPr>
          <w:rFonts w:ascii="Calibri" w:hAnsi="Calibri"/>
          <w:color w:val="auto"/>
          <w:sz w:val="22"/>
          <w:szCs w:val="22"/>
        </w:rPr>
        <w:t xml:space="preserve"> and end borrowers, leveraging private and public finance and CO2 emissions avoided. </w:t>
      </w:r>
    </w:p>
    <w:p w14:paraId="2E74A437" w14:textId="77777777" w:rsidR="003213A2" w:rsidRDefault="000004E0" w:rsidP="000004E0">
      <w:pPr>
        <w:pStyle w:val="Normal1"/>
        <w:spacing w:after="120" w:line="276" w:lineRule="auto"/>
        <w:jc w:val="both"/>
        <w:rPr>
          <w:rFonts w:ascii="Calibri" w:hAnsi="Calibri"/>
          <w:b/>
          <w:sz w:val="22"/>
          <w:szCs w:val="22"/>
        </w:rPr>
      </w:pPr>
      <w:r w:rsidRPr="002363D1">
        <w:rPr>
          <w:rFonts w:ascii="Calibri" w:hAnsi="Calibri"/>
          <w:b/>
          <w:sz w:val="22"/>
          <w:szCs w:val="22"/>
        </w:rPr>
        <w:t>Outcome 1</w:t>
      </w:r>
      <w:r w:rsidR="000C4D59">
        <w:rPr>
          <w:rFonts w:ascii="Calibri" w:hAnsi="Calibri"/>
          <w:b/>
          <w:sz w:val="22"/>
          <w:szCs w:val="22"/>
        </w:rPr>
        <w:t xml:space="preserve"> – P</w:t>
      </w:r>
      <w:r w:rsidRPr="002363D1">
        <w:rPr>
          <w:rFonts w:ascii="Calibri" w:hAnsi="Calibri"/>
          <w:b/>
          <w:sz w:val="22"/>
          <w:szCs w:val="22"/>
        </w:rPr>
        <w:t>erformance:</w:t>
      </w:r>
      <w:r w:rsidR="00EC20A4">
        <w:rPr>
          <w:rFonts w:ascii="Calibri" w:hAnsi="Calibri"/>
          <w:b/>
          <w:sz w:val="22"/>
          <w:szCs w:val="22"/>
        </w:rPr>
        <w:t xml:space="preserve"> </w:t>
      </w:r>
    </w:p>
    <w:p w14:paraId="4BCCA30D" w14:textId="3FDEE00D" w:rsidR="00CD70CC" w:rsidRDefault="002363D1" w:rsidP="00F32CE4">
      <w:pPr>
        <w:pStyle w:val="Normal1"/>
        <w:numPr>
          <w:ilvl w:val="0"/>
          <w:numId w:val="39"/>
        </w:numPr>
        <w:spacing w:after="120" w:line="276" w:lineRule="auto"/>
        <w:jc w:val="both"/>
        <w:rPr>
          <w:rFonts w:ascii="Calibri" w:hAnsi="Calibri"/>
          <w:sz w:val="22"/>
          <w:szCs w:val="22"/>
        </w:rPr>
      </w:pPr>
      <w:r w:rsidRPr="086CA91A">
        <w:rPr>
          <w:rFonts w:ascii="Calibri" w:hAnsi="Calibri"/>
          <w:sz w:val="22"/>
          <w:szCs w:val="22"/>
        </w:rPr>
        <w:t>Met</w:t>
      </w:r>
      <w:r w:rsidR="003213A2" w:rsidRPr="086CA91A">
        <w:rPr>
          <w:rFonts w:ascii="Calibri" w:hAnsi="Calibri"/>
          <w:sz w:val="22"/>
          <w:szCs w:val="22"/>
        </w:rPr>
        <w:t xml:space="preserve">rics within Outcome 1 show that </w:t>
      </w:r>
      <w:r w:rsidR="00166B93" w:rsidRPr="086CA91A">
        <w:rPr>
          <w:rFonts w:ascii="Calibri" w:hAnsi="Calibri"/>
          <w:sz w:val="22"/>
          <w:szCs w:val="22"/>
        </w:rPr>
        <w:t xml:space="preserve">USD 872.8m has been provided </w:t>
      </w:r>
      <w:r w:rsidR="6B1F77BA" w:rsidRPr="086CA91A">
        <w:rPr>
          <w:rFonts w:ascii="Calibri" w:hAnsi="Calibri"/>
          <w:sz w:val="22"/>
          <w:szCs w:val="22"/>
        </w:rPr>
        <w:t>by</w:t>
      </w:r>
      <w:r w:rsidR="00166B93" w:rsidRPr="086CA91A">
        <w:rPr>
          <w:rFonts w:ascii="Calibri" w:hAnsi="Calibri"/>
          <w:sz w:val="22"/>
          <w:szCs w:val="22"/>
        </w:rPr>
        <w:t xml:space="preserve"> </w:t>
      </w:r>
      <w:r w:rsidR="000F403E" w:rsidRPr="086CA91A">
        <w:rPr>
          <w:rFonts w:ascii="Calibri" w:hAnsi="Calibri"/>
          <w:sz w:val="22"/>
          <w:szCs w:val="22"/>
        </w:rPr>
        <w:t>FIs</w:t>
      </w:r>
      <w:r w:rsidR="00166B93" w:rsidRPr="086CA91A">
        <w:rPr>
          <w:rFonts w:ascii="Calibri" w:hAnsi="Calibri"/>
          <w:sz w:val="22"/>
          <w:szCs w:val="22"/>
        </w:rPr>
        <w:t>, against a targeted USD 800m.</w:t>
      </w:r>
    </w:p>
    <w:p w14:paraId="2C4D6483" w14:textId="3009E49F" w:rsidR="005E6CBF" w:rsidRDefault="005E6CBF" w:rsidP="00F32CE4">
      <w:pPr>
        <w:pStyle w:val="Normal1"/>
        <w:numPr>
          <w:ilvl w:val="0"/>
          <w:numId w:val="39"/>
        </w:numPr>
        <w:spacing w:after="120" w:line="276" w:lineRule="auto"/>
        <w:jc w:val="both"/>
        <w:rPr>
          <w:rFonts w:ascii="Calibri" w:hAnsi="Calibri"/>
          <w:sz w:val="22"/>
          <w:szCs w:val="22"/>
        </w:rPr>
      </w:pPr>
      <w:r>
        <w:rPr>
          <w:rFonts w:ascii="Calibri" w:hAnsi="Calibri"/>
          <w:sz w:val="22"/>
          <w:szCs w:val="22"/>
        </w:rPr>
        <w:t>182,000 of t</w:t>
      </w:r>
      <w:r w:rsidR="003047F4">
        <w:rPr>
          <w:rFonts w:ascii="Calibri" w:hAnsi="Calibri"/>
          <w:sz w:val="22"/>
          <w:szCs w:val="22"/>
        </w:rPr>
        <w:t xml:space="preserve">he total hectares under management are </w:t>
      </w:r>
      <w:r w:rsidR="00B67C12">
        <w:rPr>
          <w:rFonts w:ascii="Calibri" w:hAnsi="Calibri"/>
          <w:sz w:val="22"/>
          <w:szCs w:val="22"/>
        </w:rPr>
        <w:t xml:space="preserve">managed under </w:t>
      </w:r>
      <w:r>
        <w:rPr>
          <w:rFonts w:ascii="Calibri" w:hAnsi="Calibri"/>
          <w:sz w:val="22"/>
          <w:szCs w:val="22"/>
        </w:rPr>
        <w:t>agroforestry</w:t>
      </w:r>
      <w:r w:rsidR="00913467">
        <w:rPr>
          <w:rFonts w:ascii="Calibri" w:hAnsi="Calibri"/>
          <w:sz w:val="22"/>
          <w:szCs w:val="22"/>
        </w:rPr>
        <w:t xml:space="preserve">, forestry and </w:t>
      </w:r>
      <w:proofErr w:type="spellStart"/>
      <w:r w:rsidR="00913467">
        <w:rPr>
          <w:rFonts w:ascii="Calibri" w:hAnsi="Calibri"/>
          <w:sz w:val="22"/>
          <w:szCs w:val="22"/>
        </w:rPr>
        <w:t>silv</w:t>
      </w:r>
      <w:r w:rsidR="00B67C12">
        <w:rPr>
          <w:rFonts w:ascii="Calibri" w:hAnsi="Calibri"/>
          <w:sz w:val="22"/>
          <w:szCs w:val="22"/>
        </w:rPr>
        <w:t>o</w:t>
      </w:r>
      <w:r w:rsidR="00913467">
        <w:rPr>
          <w:rFonts w:ascii="Calibri" w:hAnsi="Calibri"/>
          <w:sz w:val="22"/>
          <w:szCs w:val="22"/>
        </w:rPr>
        <w:t>pastora</w:t>
      </w:r>
      <w:r w:rsidR="00B67C12">
        <w:rPr>
          <w:rFonts w:ascii="Calibri" w:hAnsi="Calibri"/>
          <w:sz w:val="22"/>
          <w:szCs w:val="22"/>
        </w:rPr>
        <w:t>l</w:t>
      </w:r>
      <w:proofErr w:type="spellEnd"/>
      <w:r w:rsidR="00B67C12">
        <w:rPr>
          <w:rFonts w:ascii="Calibri" w:hAnsi="Calibri"/>
          <w:sz w:val="22"/>
          <w:szCs w:val="22"/>
        </w:rPr>
        <w:t xml:space="preserve"> systems</w:t>
      </w:r>
      <w:r w:rsidR="000821ED">
        <w:rPr>
          <w:rFonts w:ascii="Calibri" w:hAnsi="Calibri"/>
          <w:sz w:val="22"/>
          <w:szCs w:val="22"/>
        </w:rPr>
        <w:t xml:space="preserve">, </w:t>
      </w:r>
      <w:r w:rsidR="00B67C12">
        <w:rPr>
          <w:rFonts w:ascii="Calibri" w:hAnsi="Calibri"/>
          <w:sz w:val="22"/>
          <w:szCs w:val="22"/>
        </w:rPr>
        <w:t xml:space="preserve">thereby supporting maintaining forest cover. All EBF financing is extended with </w:t>
      </w:r>
      <w:r w:rsidR="001C090A">
        <w:rPr>
          <w:rFonts w:ascii="Calibri" w:hAnsi="Calibri"/>
          <w:sz w:val="22"/>
          <w:szCs w:val="22"/>
        </w:rPr>
        <w:t>a commitment to zero deforestation and the D</w:t>
      </w:r>
      <w:r w:rsidR="00A155A2">
        <w:rPr>
          <w:rFonts w:ascii="Calibri" w:hAnsi="Calibri"/>
          <w:sz w:val="22"/>
          <w:szCs w:val="22"/>
        </w:rPr>
        <w:t xml:space="preserve">evelopment </w:t>
      </w:r>
      <w:r w:rsidR="001C090A">
        <w:rPr>
          <w:rFonts w:ascii="Calibri" w:hAnsi="Calibri"/>
          <w:sz w:val="22"/>
          <w:szCs w:val="22"/>
        </w:rPr>
        <w:t>F</w:t>
      </w:r>
      <w:r w:rsidR="00A155A2">
        <w:rPr>
          <w:rFonts w:ascii="Calibri" w:hAnsi="Calibri"/>
          <w:sz w:val="22"/>
          <w:szCs w:val="22"/>
        </w:rPr>
        <w:t>acility</w:t>
      </w:r>
      <w:r w:rsidR="001C090A">
        <w:rPr>
          <w:rFonts w:ascii="Calibri" w:hAnsi="Calibri"/>
          <w:sz w:val="22"/>
          <w:szCs w:val="22"/>
        </w:rPr>
        <w:t xml:space="preserve"> is supporting FIs in piloting innovative tools, such as drone monitoring, to monitor this commitment.</w:t>
      </w:r>
      <w:r>
        <w:rPr>
          <w:rFonts w:ascii="Calibri" w:hAnsi="Calibri"/>
          <w:sz w:val="22"/>
          <w:szCs w:val="22"/>
        </w:rPr>
        <w:t xml:space="preserve"> </w:t>
      </w:r>
    </w:p>
    <w:p w14:paraId="76CAAE11" w14:textId="319E94D9" w:rsidR="000821ED" w:rsidRPr="009F440B" w:rsidRDefault="00F1205B" w:rsidP="00E65CA7">
      <w:pPr>
        <w:pStyle w:val="Normal1"/>
        <w:numPr>
          <w:ilvl w:val="0"/>
          <w:numId w:val="39"/>
        </w:numPr>
        <w:spacing w:after="120" w:line="276" w:lineRule="auto"/>
        <w:jc w:val="both"/>
        <w:rPr>
          <w:rFonts w:asciiTheme="minorHAnsi" w:eastAsiaTheme="minorEastAsia" w:hAnsiTheme="minorHAnsi" w:cstheme="minorBidi"/>
          <w:color w:val="000000" w:themeColor="text1"/>
        </w:rPr>
      </w:pPr>
      <w:r w:rsidRPr="009F440B">
        <w:rPr>
          <w:rFonts w:ascii="Calibri" w:hAnsi="Calibri"/>
          <w:sz w:val="22"/>
          <w:szCs w:val="22"/>
        </w:rPr>
        <w:t>T</w:t>
      </w:r>
      <w:r w:rsidR="00A02F30" w:rsidRPr="009F440B">
        <w:rPr>
          <w:rFonts w:ascii="Calibri" w:hAnsi="Calibri"/>
          <w:sz w:val="22"/>
          <w:szCs w:val="22"/>
        </w:rPr>
        <w:t>he amount of finance leveraged</w:t>
      </w:r>
      <w:r w:rsidR="00EA182D">
        <w:rPr>
          <w:rFonts w:ascii="Calibri" w:hAnsi="Calibri"/>
          <w:sz w:val="22"/>
          <w:szCs w:val="22"/>
        </w:rPr>
        <w:t xml:space="preserve"> at fund level</w:t>
      </w:r>
      <w:r w:rsidR="00A02F30" w:rsidRPr="009F440B">
        <w:rPr>
          <w:rFonts w:ascii="Calibri" w:hAnsi="Calibri"/>
          <w:sz w:val="22"/>
          <w:szCs w:val="22"/>
        </w:rPr>
        <w:t xml:space="preserve"> is exceeding the targets</w:t>
      </w:r>
      <w:r w:rsidR="00944FEA">
        <w:rPr>
          <w:rFonts w:ascii="Calibri" w:hAnsi="Calibri"/>
          <w:sz w:val="22"/>
          <w:szCs w:val="22"/>
        </w:rPr>
        <w:t xml:space="preserve"> more than 2x</w:t>
      </w:r>
      <w:r w:rsidR="00CE56A0" w:rsidRPr="009F440B">
        <w:rPr>
          <w:rFonts w:ascii="Calibri" w:hAnsi="Calibri"/>
          <w:sz w:val="22"/>
          <w:szCs w:val="22"/>
        </w:rPr>
        <w:t xml:space="preserve">. </w:t>
      </w:r>
    </w:p>
    <w:p w14:paraId="5C04AA5D" w14:textId="210D23AD" w:rsidR="000004E0" w:rsidRDefault="000C4D59" w:rsidP="000004E0">
      <w:pPr>
        <w:pStyle w:val="Normal1"/>
        <w:spacing w:after="120" w:line="276" w:lineRule="auto"/>
        <w:jc w:val="both"/>
        <w:rPr>
          <w:rFonts w:ascii="Calibri" w:hAnsi="Calibri"/>
          <w:b/>
          <w:sz w:val="22"/>
          <w:szCs w:val="22"/>
        </w:rPr>
      </w:pPr>
      <w:r>
        <w:rPr>
          <w:rFonts w:ascii="Calibri" w:hAnsi="Calibri"/>
          <w:b/>
          <w:sz w:val="22"/>
          <w:szCs w:val="22"/>
        </w:rPr>
        <w:t xml:space="preserve">Outcome 2 – </w:t>
      </w:r>
      <w:r w:rsidR="000004E0" w:rsidRPr="006C4EEA">
        <w:rPr>
          <w:rFonts w:ascii="Calibri" w:hAnsi="Calibri"/>
          <w:b/>
          <w:sz w:val="22"/>
          <w:szCs w:val="22"/>
        </w:rPr>
        <w:t>Performance:</w:t>
      </w:r>
    </w:p>
    <w:p w14:paraId="75A49B68" w14:textId="16E255EC" w:rsidR="000B066D" w:rsidRPr="0094082A" w:rsidRDefault="4162CDF4" w:rsidP="71E92DF2">
      <w:pPr>
        <w:pStyle w:val="Normal1"/>
        <w:spacing w:after="120" w:line="276" w:lineRule="auto"/>
        <w:jc w:val="both"/>
        <w:rPr>
          <w:rFonts w:asciiTheme="minorHAnsi" w:eastAsiaTheme="minorEastAsia" w:hAnsiTheme="minorHAnsi" w:cstheme="minorBidi"/>
          <w:sz w:val="22"/>
          <w:szCs w:val="22"/>
        </w:rPr>
      </w:pPr>
      <w:r w:rsidRPr="358F83BF">
        <w:rPr>
          <w:rFonts w:asciiTheme="minorHAnsi" w:eastAsiaTheme="minorEastAsia" w:hAnsiTheme="minorHAnsi" w:cstheme="minorBidi"/>
          <w:sz w:val="22"/>
          <w:szCs w:val="22"/>
        </w:rPr>
        <w:t>Metrics within Outcome 2 show that</w:t>
      </w:r>
      <w:r w:rsidR="002761EA" w:rsidRPr="358F83BF">
        <w:rPr>
          <w:rFonts w:asciiTheme="minorHAnsi" w:eastAsiaTheme="minorEastAsia" w:hAnsiTheme="minorHAnsi" w:cstheme="minorBidi"/>
          <w:sz w:val="22"/>
          <w:szCs w:val="22"/>
        </w:rPr>
        <w:t xml:space="preserve"> there are now 781 individual borrowers</w:t>
      </w:r>
      <w:r w:rsidR="005733CE" w:rsidRPr="358F83BF">
        <w:rPr>
          <w:rFonts w:asciiTheme="minorHAnsi" w:eastAsiaTheme="minorEastAsia" w:hAnsiTheme="minorHAnsi" w:cstheme="minorBidi"/>
          <w:sz w:val="22"/>
          <w:szCs w:val="22"/>
        </w:rPr>
        <w:t>, up</w:t>
      </w:r>
      <w:r w:rsidR="002761EA" w:rsidRPr="358F83BF">
        <w:rPr>
          <w:rFonts w:asciiTheme="minorHAnsi" w:eastAsiaTheme="minorEastAsia" w:hAnsiTheme="minorHAnsi" w:cstheme="minorBidi"/>
          <w:sz w:val="22"/>
          <w:szCs w:val="22"/>
        </w:rPr>
        <w:t xml:space="preserve"> from 510 in 2018, against a targeted 800</w:t>
      </w:r>
      <w:r w:rsidR="6C054336" w:rsidRPr="358F83BF">
        <w:rPr>
          <w:rFonts w:asciiTheme="minorHAnsi" w:eastAsiaTheme="minorEastAsia" w:hAnsiTheme="minorHAnsi" w:cstheme="minorBidi"/>
          <w:sz w:val="22"/>
          <w:szCs w:val="22"/>
        </w:rPr>
        <w:t xml:space="preserve">, </w:t>
      </w:r>
      <w:r w:rsidR="08F82F6A" w:rsidRPr="358F83BF">
        <w:rPr>
          <w:rFonts w:asciiTheme="minorHAnsi" w:eastAsiaTheme="minorEastAsia" w:hAnsiTheme="minorHAnsi" w:cstheme="minorBidi"/>
          <w:sz w:val="22"/>
          <w:szCs w:val="22"/>
        </w:rPr>
        <w:t>w</w:t>
      </w:r>
      <w:r w:rsidR="002761EA" w:rsidRPr="358F83BF">
        <w:rPr>
          <w:rFonts w:asciiTheme="minorHAnsi" w:eastAsiaTheme="minorEastAsia" w:hAnsiTheme="minorHAnsi" w:cstheme="minorBidi"/>
          <w:sz w:val="22"/>
          <w:szCs w:val="22"/>
        </w:rPr>
        <w:t>ith an additional 6</w:t>
      </w:r>
      <w:r w:rsidR="00A155A2" w:rsidRPr="358F83BF">
        <w:rPr>
          <w:rFonts w:asciiTheme="minorHAnsi" w:eastAsiaTheme="minorEastAsia" w:hAnsiTheme="minorHAnsi" w:cstheme="minorBidi"/>
          <w:sz w:val="22"/>
          <w:szCs w:val="22"/>
        </w:rPr>
        <w:t>,</w:t>
      </w:r>
      <w:r w:rsidR="002761EA" w:rsidRPr="358F83BF">
        <w:rPr>
          <w:rFonts w:asciiTheme="minorHAnsi" w:eastAsiaTheme="minorEastAsia" w:hAnsiTheme="minorHAnsi" w:cstheme="minorBidi"/>
          <w:sz w:val="22"/>
          <w:szCs w:val="22"/>
        </w:rPr>
        <w:t xml:space="preserve">443 borrowers being financed through </w:t>
      </w:r>
      <w:r w:rsidR="00A155A2" w:rsidRPr="358F83BF">
        <w:rPr>
          <w:rFonts w:asciiTheme="minorHAnsi" w:eastAsiaTheme="minorEastAsia" w:hAnsiTheme="minorHAnsi" w:cstheme="minorBidi"/>
          <w:sz w:val="22"/>
          <w:szCs w:val="22"/>
        </w:rPr>
        <w:t>m</w:t>
      </w:r>
      <w:r w:rsidR="002761EA" w:rsidRPr="358F83BF">
        <w:rPr>
          <w:rFonts w:asciiTheme="minorHAnsi" w:eastAsiaTheme="minorEastAsia" w:hAnsiTheme="minorHAnsi" w:cstheme="minorBidi"/>
          <w:sz w:val="22"/>
          <w:szCs w:val="22"/>
        </w:rPr>
        <w:t>icrofinance institutions.</w:t>
      </w:r>
      <w:r w:rsidR="00A02F30" w:rsidRPr="358F83BF">
        <w:rPr>
          <w:rFonts w:asciiTheme="minorHAnsi" w:eastAsiaTheme="minorEastAsia" w:hAnsiTheme="minorHAnsi" w:cstheme="minorBidi"/>
          <w:sz w:val="22"/>
          <w:szCs w:val="22"/>
        </w:rPr>
        <w:t xml:space="preserve"> The number of borrowers is slightly below target – which is reflective of increased investment through microfinance institutions (therefore not counted as single borrowers) and the lending intermediaries’ execution of slightly more larger loans this year. </w:t>
      </w:r>
      <w:r w:rsidR="5CBBE266" w:rsidRPr="358F83BF">
        <w:rPr>
          <w:rFonts w:asciiTheme="minorHAnsi" w:eastAsiaTheme="minorEastAsia" w:hAnsiTheme="minorHAnsi" w:cstheme="minorBidi"/>
          <w:sz w:val="22"/>
          <w:szCs w:val="22"/>
        </w:rPr>
        <w:t xml:space="preserve">The </w:t>
      </w:r>
      <w:r w:rsidR="00A02F30" w:rsidRPr="358F83BF">
        <w:rPr>
          <w:rFonts w:asciiTheme="minorHAnsi" w:eastAsiaTheme="minorEastAsia" w:hAnsiTheme="minorHAnsi" w:cstheme="minorBidi"/>
          <w:sz w:val="22"/>
          <w:szCs w:val="22"/>
        </w:rPr>
        <w:t xml:space="preserve">size of </w:t>
      </w:r>
      <w:r w:rsidR="00580600" w:rsidRPr="358F83BF">
        <w:rPr>
          <w:rFonts w:asciiTheme="minorHAnsi" w:eastAsiaTheme="minorEastAsia" w:hAnsiTheme="minorHAnsi" w:cstheme="minorBidi"/>
          <w:sz w:val="22"/>
          <w:szCs w:val="22"/>
        </w:rPr>
        <w:t xml:space="preserve">EBF </w:t>
      </w:r>
      <w:r w:rsidR="00A02F30" w:rsidRPr="358F83BF">
        <w:rPr>
          <w:rFonts w:asciiTheme="minorHAnsi" w:eastAsiaTheme="minorEastAsia" w:hAnsiTheme="minorHAnsi" w:cstheme="minorBidi"/>
          <w:sz w:val="22"/>
          <w:szCs w:val="22"/>
        </w:rPr>
        <w:t>and the distributions of credit by FIs is significantly ahead of ta</w:t>
      </w:r>
      <w:r w:rsidR="00290261" w:rsidRPr="358F83BF">
        <w:rPr>
          <w:rFonts w:asciiTheme="minorHAnsi" w:eastAsiaTheme="minorEastAsia" w:hAnsiTheme="minorHAnsi" w:cstheme="minorBidi"/>
          <w:sz w:val="22"/>
          <w:szCs w:val="22"/>
        </w:rPr>
        <w:t>r</w:t>
      </w:r>
      <w:r w:rsidR="00A02F30" w:rsidRPr="358F83BF">
        <w:rPr>
          <w:rFonts w:asciiTheme="minorHAnsi" w:eastAsiaTheme="minorEastAsia" w:hAnsiTheme="minorHAnsi" w:cstheme="minorBidi"/>
          <w:sz w:val="22"/>
          <w:szCs w:val="22"/>
        </w:rPr>
        <w:t>gets</w:t>
      </w:r>
      <w:r w:rsidR="00580600" w:rsidRPr="358F83BF">
        <w:rPr>
          <w:rFonts w:asciiTheme="minorHAnsi" w:eastAsiaTheme="minorEastAsia" w:hAnsiTheme="minorHAnsi" w:cstheme="minorBidi"/>
          <w:sz w:val="22"/>
          <w:szCs w:val="22"/>
        </w:rPr>
        <w:t xml:space="preserve"> (Outcome 1)</w:t>
      </w:r>
      <w:r w:rsidR="00A02F30" w:rsidRPr="358F83BF">
        <w:rPr>
          <w:rFonts w:asciiTheme="minorHAnsi" w:eastAsiaTheme="minorEastAsia" w:hAnsiTheme="minorHAnsi" w:cstheme="minorBidi"/>
          <w:sz w:val="22"/>
          <w:szCs w:val="22"/>
        </w:rPr>
        <w:t>.</w:t>
      </w:r>
    </w:p>
    <w:p w14:paraId="338DCB04" w14:textId="77777777" w:rsidR="000004E0" w:rsidRPr="00D0005A"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Overall output score and description</w:t>
      </w:r>
    </w:p>
    <w:p w14:paraId="61B2179E" w14:textId="2795A709" w:rsidR="00A50C83" w:rsidRDefault="000004E0" w:rsidP="00A50C83">
      <w:pPr>
        <w:pStyle w:val="Normal1"/>
        <w:spacing w:after="120" w:line="276" w:lineRule="auto"/>
        <w:jc w:val="both"/>
        <w:rPr>
          <w:rFonts w:ascii="Calibri" w:hAnsi="Calibri"/>
          <w:sz w:val="22"/>
          <w:szCs w:val="22"/>
        </w:rPr>
      </w:pPr>
      <w:r w:rsidRPr="00D0005A">
        <w:rPr>
          <w:rFonts w:ascii="Calibri" w:hAnsi="Calibri"/>
          <w:sz w:val="22"/>
          <w:szCs w:val="22"/>
        </w:rPr>
        <w:t>The following table provides a summary of the performance of each output.</w:t>
      </w:r>
      <w:r w:rsidR="006C4EEA">
        <w:rPr>
          <w:rFonts w:ascii="Calibri" w:hAnsi="Calibri"/>
          <w:sz w:val="22"/>
          <w:szCs w:val="22"/>
        </w:rPr>
        <w:t xml:space="preserve"> </w:t>
      </w:r>
      <w:r w:rsidR="00CD70CC">
        <w:rPr>
          <w:rFonts w:ascii="Calibri" w:hAnsi="Calibri"/>
          <w:sz w:val="22"/>
          <w:szCs w:val="22"/>
        </w:rPr>
        <w:t xml:space="preserve">Further information is given in </w:t>
      </w:r>
      <w:r w:rsidR="006C4EEA" w:rsidRPr="006C4EEA">
        <w:rPr>
          <w:rFonts w:ascii="Calibri" w:hAnsi="Calibri"/>
          <w:b/>
          <w:sz w:val="22"/>
          <w:szCs w:val="22"/>
        </w:rPr>
        <w:t>Section C</w:t>
      </w:r>
      <w:r w:rsidR="009C3B8D">
        <w:rPr>
          <w:rFonts w:ascii="Calibri" w:hAnsi="Calibri"/>
          <w:b/>
          <w:sz w:val="22"/>
          <w:szCs w:val="22"/>
        </w:rPr>
        <w:t xml:space="preserve">, </w:t>
      </w:r>
      <w:r w:rsidR="009C3B8D">
        <w:rPr>
          <w:rFonts w:ascii="Calibri" w:hAnsi="Calibri"/>
          <w:sz w:val="22"/>
          <w:szCs w:val="22"/>
        </w:rPr>
        <w:t xml:space="preserve">where </w:t>
      </w:r>
      <w:r w:rsidR="00CD70CC">
        <w:rPr>
          <w:rFonts w:ascii="Calibri" w:hAnsi="Calibri"/>
          <w:sz w:val="22"/>
          <w:szCs w:val="22"/>
        </w:rPr>
        <w:t xml:space="preserve">progress against </w:t>
      </w:r>
      <w:r w:rsidR="009C3B8D">
        <w:rPr>
          <w:rFonts w:ascii="Calibri" w:hAnsi="Calibri"/>
          <w:sz w:val="22"/>
          <w:szCs w:val="22"/>
        </w:rPr>
        <w:t>all the reporting indicators</w:t>
      </w:r>
      <w:r w:rsidR="00CD70CC">
        <w:rPr>
          <w:rFonts w:ascii="Calibri" w:hAnsi="Calibri"/>
          <w:sz w:val="22"/>
          <w:szCs w:val="22"/>
        </w:rPr>
        <w:t xml:space="preserve"> </w:t>
      </w:r>
      <w:r w:rsidR="009C3B8D">
        <w:rPr>
          <w:rFonts w:ascii="Calibri" w:hAnsi="Calibri"/>
          <w:sz w:val="22"/>
          <w:szCs w:val="22"/>
        </w:rPr>
        <w:t>is measured.</w:t>
      </w:r>
      <w:r w:rsidR="00A50C83">
        <w:rPr>
          <w:rFonts w:ascii="Calibri" w:hAnsi="Calibri"/>
          <w:sz w:val="22"/>
          <w:szCs w:val="22"/>
        </w:rPr>
        <w:t xml:space="preserve"> </w:t>
      </w:r>
    </w:p>
    <w:p w14:paraId="0840E6F6" w14:textId="77777777" w:rsidR="00D320C6" w:rsidRDefault="00D320C6" w:rsidP="00D320C6">
      <w:pPr>
        <w:pStyle w:val="Normal1"/>
        <w:tabs>
          <w:tab w:val="left" w:pos="6915"/>
          <w:tab w:val="left" w:pos="9495"/>
        </w:tabs>
        <w:spacing w:after="120" w:line="276" w:lineRule="auto"/>
        <w:jc w:val="both"/>
        <w:rPr>
          <w:rFonts w:ascii="Calibri" w:hAnsi="Calibri"/>
          <w:i/>
          <w:sz w:val="22"/>
          <w:szCs w:val="22"/>
          <w:u w:val="single"/>
        </w:rPr>
      </w:pPr>
      <w:r w:rsidRPr="00C553DE">
        <w:rPr>
          <w:rFonts w:ascii="Calibri" w:hAnsi="Calibri"/>
          <w:i/>
          <w:sz w:val="22"/>
          <w:szCs w:val="22"/>
          <w:u w:val="single"/>
        </w:rPr>
        <w:t>Impact weighting of Outputs</w:t>
      </w:r>
    </w:p>
    <w:p w14:paraId="3CE927AF" w14:textId="355F49AF" w:rsidR="00D320C6" w:rsidRDefault="00D320C6" w:rsidP="00D320C6">
      <w:pPr>
        <w:pStyle w:val="Normal1"/>
        <w:tabs>
          <w:tab w:val="left" w:pos="6915"/>
          <w:tab w:val="left" w:pos="9495"/>
        </w:tabs>
        <w:spacing w:after="120" w:line="276" w:lineRule="auto"/>
        <w:jc w:val="both"/>
        <w:rPr>
          <w:rFonts w:ascii="Calibri" w:hAnsi="Calibri"/>
          <w:sz w:val="22"/>
          <w:szCs w:val="22"/>
        </w:rPr>
      </w:pPr>
      <w:r w:rsidRPr="71E92DF2">
        <w:rPr>
          <w:rFonts w:ascii="Calibri" w:hAnsi="Calibri"/>
          <w:sz w:val="22"/>
          <w:szCs w:val="22"/>
        </w:rPr>
        <w:t>Output</w:t>
      </w:r>
      <w:r w:rsidR="00CD70CC" w:rsidRPr="71E92DF2">
        <w:rPr>
          <w:rFonts w:ascii="Calibri" w:hAnsi="Calibri"/>
          <w:sz w:val="22"/>
          <w:szCs w:val="22"/>
        </w:rPr>
        <w:t>s</w:t>
      </w:r>
      <w:r w:rsidRPr="71E92DF2">
        <w:rPr>
          <w:rFonts w:ascii="Calibri" w:hAnsi="Calibri"/>
          <w:sz w:val="22"/>
          <w:szCs w:val="22"/>
        </w:rPr>
        <w:t xml:space="preserve"> have been weighted in accordance</w:t>
      </w:r>
      <w:r w:rsidR="6084DF17" w:rsidRPr="71E92DF2">
        <w:rPr>
          <w:rFonts w:ascii="Calibri" w:hAnsi="Calibri"/>
          <w:sz w:val="22"/>
          <w:szCs w:val="22"/>
        </w:rPr>
        <w:t xml:space="preserve"> with </w:t>
      </w:r>
      <w:r w:rsidRPr="71E92DF2">
        <w:rPr>
          <w:rFonts w:ascii="Calibri" w:hAnsi="Calibri"/>
          <w:sz w:val="22"/>
          <w:szCs w:val="22"/>
        </w:rPr>
        <w:t xml:space="preserve">their importance to the success of the </w:t>
      </w:r>
      <w:r w:rsidR="00CD70CC" w:rsidRPr="71E92DF2">
        <w:rPr>
          <w:rFonts w:ascii="Calibri" w:hAnsi="Calibri"/>
          <w:sz w:val="22"/>
          <w:szCs w:val="22"/>
        </w:rPr>
        <w:t>EBF</w:t>
      </w:r>
      <w:r w:rsidRPr="71E92DF2">
        <w:rPr>
          <w:rFonts w:ascii="Calibri" w:hAnsi="Calibri"/>
          <w:sz w:val="22"/>
          <w:szCs w:val="22"/>
        </w:rPr>
        <w:t xml:space="preserve"> and alignment with Defra ICF’s strategic priorities.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2"/>
        <w:gridCol w:w="4394"/>
        <w:gridCol w:w="992"/>
        <w:gridCol w:w="987"/>
      </w:tblGrid>
      <w:tr w:rsidR="00D320C6" w:rsidRPr="006C4EEA" w14:paraId="696F1D90" w14:textId="77777777" w:rsidTr="00C01550">
        <w:trPr>
          <w:trHeight w:val="99"/>
        </w:trPr>
        <w:tc>
          <w:tcPr>
            <w:tcW w:w="817" w:type="dxa"/>
          </w:tcPr>
          <w:p w14:paraId="57A446E1" w14:textId="732C075A" w:rsidR="00D320C6" w:rsidRPr="006C4EEA" w:rsidRDefault="00CD70CC" w:rsidP="006C4EEA">
            <w:pPr>
              <w:pStyle w:val="Normal1"/>
              <w:spacing w:after="120" w:line="276" w:lineRule="auto"/>
              <w:jc w:val="both"/>
              <w:rPr>
                <w:rFonts w:asciiTheme="minorHAnsi" w:hAnsiTheme="minorHAnsi"/>
                <w:sz w:val="22"/>
              </w:rPr>
            </w:pPr>
            <w:r>
              <w:rPr>
                <w:rFonts w:asciiTheme="minorHAnsi" w:hAnsiTheme="minorHAnsi"/>
                <w:sz w:val="22"/>
              </w:rPr>
              <w:t>No.</w:t>
            </w:r>
          </w:p>
        </w:tc>
        <w:tc>
          <w:tcPr>
            <w:tcW w:w="2972" w:type="dxa"/>
          </w:tcPr>
          <w:p w14:paraId="54400B91"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OUTPUT DESCRIPTION </w:t>
            </w:r>
          </w:p>
        </w:tc>
        <w:tc>
          <w:tcPr>
            <w:tcW w:w="4394" w:type="dxa"/>
          </w:tcPr>
          <w:p w14:paraId="38088DBF"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 xml:space="preserve">PERFORMANCE </w:t>
            </w:r>
            <w:r w:rsidRPr="006C4EEA">
              <w:rPr>
                <w:rFonts w:asciiTheme="minorHAnsi" w:hAnsiTheme="minorHAnsi"/>
                <w:sz w:val="22"/>
              </w:rPr>
              <w:t xml:space="preserve">SUMMARY </w:t>
            </w:r>
          </w:p>
        </w:tc>
        <w:tc>
          <w:tcPr>
            <w:tcW w:w="992" w:type="dxa"/>
          </w:tcPr>
          <w:p w14:paraId="3B32AA95"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SCORE </w:t>
            </w:r>
          </w:p>
        </w:tc>
        <w:tc>
          <w:tcPr>
            <w:tcW w:w="987" w:type="dxa"/>
          </w:tcPr>
          <w:p w14:paraId="21C6F9F0"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WEIGHT (%)</w:t>
            </w:r>
          </w:p>
        </w:tc>
      </w:tr>
      <w:tr w:rsidR="00D320C6" w:rsidRPr="006C4EEA" w14:paraId="36771B65" w14:textId="77777777" w:rsidTr="00C01550">
        <w:trPr>
          <w:trHeight w:val="344"/>
        </w:trPr>
        <w:tc>
          <w:tcPr>
            <w:tcW w:w="817" w:type="dxa"/>
          </w:tcPr>
          <w:p w14:paraId="66CE120C"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1 </w:t>
            </w:r>
          </w:p>
        </w:tc>
        <w:tc>
          <w:tcPr>
            <w:tcW w:w="2972" w:type="dxa"/>
          </w:tcPr>
          <w:p w14:paraId="0A97566A"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EBF has a diversified portfolio supporting a range of geographies and sectors</w:t>
            </w:r>
          </w:p>
        </w:tc>
        <w:tc>
          <w:tcPr>
            <w:tcW w:w="4394" w:type="dxa"/>
          </w:tcPr>
          <w:p w14:paraId="6ADAE43E" w14:textId="55915C40" w:rsidR="00D320C6" w:rsidRPr="006C4EEA" w:rsidRDefault="000B066D" w:rsidP="00A50C83">
            <w:pPr>
              <w:pStyle w:val="Normal1"/>
              <w:spacing w:after="120" w:line="276" w:lineRule="auto"/>
              <w:jc w:val="both"/>
              <w:rPr>
                <w:rFonts w:asciiTheme="minorHAnsi" w:hAnsiTheme="minorHAnsi"/>
                <w:sz w:val="22"/>
              </w:rPr>
            </w:pPr>
            <w:r>
              <w:rPr>
                <w:rFonts w:asciiTheme="minorHAnsi" w:hAnsiTheme="minorHAnsi"/>
                <w:sz w:val="22"/>
              </w:rPr>
              <w:t xml:space="preserve">This year has seen a significant increase in number of partnered </w:t>
            </w:r>
            <w:r w:rsidR="000F403E">
              <w:rPr>
                <w:rFonts w:asciiTheme="minorHAnsi" w:hAnsiTheme="minorHAnsi"/>
                <w:sz w:val="22"/>
              </w:rPr>
              <w:t>FIs</w:t>
            </w:r>
            <w:r>
              <w:rPr>
                <w:rFonts w:asciiTheme="minorHAnsi" w:hAnsiTheme="minorHAnsi"/>
                <w:sz w:val="22"/>
              </w:rPr>
              <w:t xml:space="preserve">, new commodities (farmed fish) and expansion of </w:t>
            </w:r>
            <w:r w:rsidR="000F403E">
              <w:rPr>
                <w:rFonts w:asciiTheme="minorHAnsi" w:hAnsiTheme="minorHAnsi"/>
                <w:sz w:val="22"/>
              </w:rPr>
              <w:t>TA</w:t>
            </w:r>
            <w:r>
              <w:rPr>
                <w:rFonts w:asciiTheme="minorHAnsi" w:hAnsiTheme="minorHAnsi"/>
                <w:sz w:val="22"/>
              </w:rPr>
              <w:t xml:space="preserve"> activities to a new country, Mexico.</w:t>
            </w:r>
          </w:p>
        </w:tc>
        <w:tc>
          <w:tcPr>
            <w:tcW w:w="992" w:type="dxa"/>
          </w:tcPr>
          <w:p w14:paraId="6A730027" w14:textId="5C2E6D44" w:rsidR="00D320C6" w:rsidRPr="007D1081" w:rsidRDefault="000B066D" w:rsidP="5954F8B8">
            <w:pPr>
              <w:pStyle w:val="Normal1"/>
              <w:spacing w:after="120" w:line="276" w:lineRule="auto"/>
              <w:jc w:val="both"/>
              <w:rPr>
                <w:rFonts w:asciiTheme="minorHAnsi" w:hAnsiTheme="minorHAnsi"/>
                <w:b/>
                <w:bCs/>
                <w:sz w:val="22"/>
                <w:szCs w:val="22"/>
              </w:rPr>
            </w:pPr>
            <w:r w:rsidRPr="5954F8B8">
              <w:rPr>
                <w:rFonts w:asciiTheme="minorHAnsi" w:hAnsiTheme="minorHAnsi"/>
                <w:b/>
                <w:bCs/>
                <w:sz w:val="22"/>
                <w:szCs w:val="22"/>
              </w:rPr>
              <w:t>A+</w:t>
            </w:r>
          </w:p>
        </w:tc>
        <w:tc>
          <w:tcPr>
            <w:tcW w:w="987" w:type="dxa"/>
          </w:tcPr>
          <w:p w14:paraId="58D9CC15" w14:textId="77777777" w:rsidR="00D320C6" w:rsidRPr="007D1081" w:rsidRDefault="00903832" w:rsidP="006C4EEA">
            <w:pPr>
              <w:pStyle w:val="Normal1"/>
              <w:spacing w:after="120" w:line="276" w:lineRule="auto"/>
              <w:jc w:val="both"/>
              <w:rPr>
                <w:rFonts w:asciiTheme="minorHAnsi" w:hAnsiTheme="minorHAnsi"/>
                <w:b/>
                <w:sz w:val="22"/>
              </w:rPr>
            </w:pPr>
            <w:r w:rsidRPr="007D1081">
              <w:rPr>
                <w:rFonts w:asciiTheme="minorHAnsi" w:hAnsiTheme="minorHAnsi"/>
                <w:b/>
                <w:sz w:val="22"/>
              </w:rPr>
              <w:t>3</w:t>
            </w:r>
            <w:r>
              <w:rPr>
                <w:rFonts w:asciiTheme="minorHAnsi" w:hAnsiTheme="minorHAnsi"/>
                <w:b/>
                <w:sz w:val="22"/>
              </w:rPr>
              <w:t>5</w:t>
            </w:r>
            <w:r w:rsidR="007D1081" w:rsidRPr="007D1081">
              <w:rPr>
                <w:rFonts w:asciiTheme="minorHAnsi" w:hAnsiTheme="minorHAnsi"/>
                <w:b/>
                <w:sz w:val="22"/>
              </w:rPr>
              <w:t>%</w:t>
            </w:r>
          </w:p>
        </w:tc>
      </w:tr>
      <w:tr w:rsidR="00D320C6" w:rsidRPr="006C4EEA" w14:paraId="1C4FE0B4" w14:textId="77777777" w:rsidTr="00C01550">
        <w:trPr>
          <w:trHeight w:val="343"/>
        </w:trPr>
        <w:tc>
          <w:tcPr>
            <w:tcW w:w="817" w:type="dxa"/>
          </w:tcPr>
          <w:p w14:paraId="1262BC66"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2 </w:t>
            </w:r>
          </w:p>
        </w:tc>
        <w:tc>
          <w:tcPr>
            <w:tcW w:w="2972" w:type="dxa"/>
          </w:tcPr>
          <w:p w14:paraId="70E24C33"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Broad support to sustainability practices reflected in the composition of the portfolio</w:t>
            </w:r>
          </w:p>
        </w:tc>
        <w:tc>
          <w:tcPr>
            <w:tcW w:w="4394" w:type="dxa"/>
          </w:tcPr>
          <w:p w14:paraId="349234BE" w14:textId="5F19FB01" w:rsidR="00D320C6" w:rsidRPr="006C4EEA" w:rsidRDefault="000B066D" w:rsidP="006C4EEA">
            <w:pPr>
              <w:pStyle w:val="Normal1"/>
              <w:spacing w:after="120" w:line="276" w:lineRule="auto"/>
              <w:jc w:val="both"/>
              <w:rPr>
                <w:rFonts w:asciiTheme="minorHAnsi" w:hAnsiTheme="minorHAnsi"/>
                <w:sz w:val="22"/>
              </w:rPr>
            </w:pPr>
            <w:r>
              <w:rPr>
                <w:rFonts w:asciiTheme="minorHAnsi" w:hAnsiTheme="minorHAnsi"/>
                <w:sz w:val="22"/>
              </w:rPr>
              <w:t xml:space="preserve">The </w:t>
            </w:r>
            <w:r w:rsidR="00F81832">
              <w:rPr>
                <w:rFonts w:asciiTheme="minorHAnsi" w:hAnsiTheme="minorHAnsi"/>
                <w:sz w:val="22"/>
              </w:rPr>
              <w:t>F</w:t>
            </w:r>
            <w:r>
              <w:rPr>
                <w:rFonts w:asciiTheme="minorHAnsi" w:hAnsiTheme="minorHAnsi"/>
                <w:sz w:val="22"/>
              </w:rPr>
              <w:t>und has continued to diversify investments and include</w:t>
            </w:r>
            <w:r w:rsidR="00A155A2">
              <w:rPr>
                <w:rFonts w:asciiTheme="minorHAnsi" w:hAnsiTheme="minorHAnsi"/>
                <w:sz w:val="22"/>
              </w:rPr>
              <w:t>d</w:t>
            </w:r>
            <w:r>
              <w:rPr>
                <w:rFonts w:asciiTheme="minorHAnsi" w:hAnsiTheme="minorHAnsi"/>
                <w:sz w:val="22"/>
              </w:rPr>
              <w:t xml:space="preserve"> </w:t>
            </w:r>
            <w:r w:rsidR="00A155A2">
              <w:rPr>
                <w:rFonts w:asciiTheme="minorHAnsi" w:hAnsiTheme="minorHAnsi"/>
                <w:sz w:val="22"/>
              </w:rPr>
              <w:t xml:space="preserve">an </w:t>
            </w:r>
            <w:r>
              <w:rPr>
                <w:rFonts w:asciiTheme="minorHAnsi" w:hAnsiTheme="minorHAnsi"/>
                <w:sz w:val="22"/>
              </w:rPr>
              <w:t>additional commodity and associated sustainable certification in 2019.</w:t>
            </w:r>
          </w:p>
        </w:tc>
        <w:tc>
          <w:tcPr>
            <w:tcW w:w="992" w:type="dxa"/>
          </w:tcPr>
          <w:p w14:paraId="67FE2C5F" w14:textId="090AD7E9" w:rsidR="00D320C6" w:rsidRPr="007D1081" w:rsidRDefault="000B066D" w:rsidP="5954F8B8">
            <w:pPr>
              <w:pStyle w:val="Normal1"/>
              <w:spacing w:after="120" w:line="276" w:lineRule="auto"/>
              <w:jc w:val="both"/>
              <w:rPr>
                <w:rFonts w:asciiTheme="minorHAnsi" w:hAnsiTheme="minorHAnsi"/>
                <w:b/>
                <w:bCs/>
                <w:sz w:val="22"/>
                <w:szCs w:val="22"/>
              </w:rPr>
            </w:pPr>
            <w:r w:rsidRPr="5954F8B8">
              <w:rPr>
                <w:rFonts w:asciiTheme="minorHAnsi" w:hAnsiTheme="minorHAnsi"/>
                <w:b/>
                <w:bCs/>
                <w:sz w:val="22"/>
                <w:szCs w:val="22"/>
              </w:rPr>
              <w:t>A+</w:t>
            </w:r>
          </w:p>
        </w:tc>
        <w:tc>
          <w:tcPr>
            <w:tcW w:w="987" w:type="dxa"/>
          </w:tcPr>
          <w:p w14:paraId="1CF92011" w14:textId="77777777" w:rsidR="00D320C6" w:rsidRPr="007D1081" w:rsidRDefault="00903832" w:rsidP="006C4EEA">
            <w:pPr>
              <w:pStyle w:val="Normal1"/>
              <w:spacing w:after="120" w:line="276" w:lineRule="auto"/>
              <w:jc w:val="both"/>
              <w:rPr>
                <w:rFonts w:asciiTheme="minorHAnsi" w:hAnsiTheme="minorHAnsi"/>
                <w:b/>
                <w:sz w:val="22"/>
              </w:rPr>
            </w:pPr>
            <w:r w:rsidRPr="007D1081">
              <w:rPr>
                <w:rFonts w:asciiTheme="minorHAnsi" w:hAnsiTheme="minorHAnsi"/>
                <w:b/>
                <w:sz w:val="22"/>
              </w:rPr>
              <w:t>3</w:t>
            </w:r>
            <w:r>
              <w:rPr>
                <w:rFonts w:asciiTheme="minorHAnsi" w:hAnsiTheme="minorHAnsi"/>
                <w:b/>
                <w:sz w:val="22"/>
              </w:rPr>
              <w:t>5</w:t>
            </w:r>
            <w:r w:rsidR="007D1081" w:rsidRPr="007D1081">
              <w:rPr>
                <w:rFonts w:asciiTheme="minorHAnsi" w:hAnsiTheme="minorHAnsi"/>
                <w:b/>
                <w:sz w:val="22"/>
              </w:rPr>
              <w:t>%</w:t>
            </w:r>
          </w:p>
        </w:tc>
      </w:tr>
      <w:tr w:rsidR="00D320C6" w:rsidRPr="006C4EEA" w14:paraId="563D11B7" w14:textId="77777777" w:rsidTr="00C01550">
        <w:trPr>
          <w:trHeight w:val="343"/>
        </w:trPr>
        <w:tc>
          <w:tcPr>
            <w:tcW w:w="817" w:type="dxa"/>
          </w:tcPr>
          <w:p w14:paraId="3F6C1988"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3</w:t>
            </w:r>
          </w:p>
        </w:tc>
        <w:tc>
          <w:tcPr>
            <w:tcW w:w="2972" w:type="dxa"/>
          </w:tcPr>
          <w:p w14:paraId="311C3C77" w14:textId="1C89CFA9" w:rsidR="00D320C6" w:rsidRPr="006C4EEA" w:rsidRDefault="00D320C6" w:rsidP="00CD70CC">
            <w:pPr>
              <w:pStyle w:val="Normal1"/>
              <w:spacing w:after="120" w:line="276" w:lineRule="auto"/>
              <w:jc w:val="both"/>
              <w:rPr>
                <w:rFonts w:asciiTheme="minorHAnsi" w:hAnsiTheme="minorHAnsi"/>
                <w:sz w:val="22"/>
              </w:rPr>
            </w:pPr>
            <w:r w:rsidRPr="006C4EEA">
              <w:rPr>
                <w:rFonts w:asciiTheme="minorHAnsi" w:hAnsiTheme="minorHAnsi"/>
                <w:sz w:val="22"/>
              </w:rPr>
              <w:t xml:space="preserve">Provision of continuous and sufficient </w:t>
            </w:r>
            <w:r w:rsidR="00CD70CC">
              <w:rPr>
                <w:rFonts w:asciiTheme="minorHAnsi" w:hAnsiTheme="minorHAnsi"/>
                <w:sz w:val="22"/>
              </w:rPr>
              <w:t>TA</w:t>
            </w:r>
          </w:p>
        </w:tc>
        <w:tc>
          <w:tcPr>
            <w:tcW w:w="4394" w:type="dxa"/>
          </w:tcPr>
          <w:p w14:paraId="234874B4" w14:textId="6B3448BC" w:rsidR="00D320C6" w:rsidRPr="006C4EEA" w:rsidRDefault="425F81EB" w:rsidP="3466F177">
            <w:pPr>
              <w:pStyle w:val="Normal1"/>
              <w:spacing w:after="120" w:line="276" w:lineRule="auto"/>
              <w:jc w:val="both"/>
              <w:rPr>
                <w:rFonts w:asciiTheme="minorHAnsi" w:hAnsiTheme="minorHAnsi"/>
                <w:sz w:val="22"/>
                <w:szCs w:val="22"/>
              </w:rPr>
            </w:pPr>
            <w:r w:rsidRPr="3466F177">
              <w:rPr>
                <w:rFonts w:asciiTheme="minorHAnsi" w:hAnsiTheme="minorHAnsi"/>
                <w:sz w:val="22"/>
                <w:szCs w:val="22"/>
              </w:rPr>
              <w:t xml:space="preserve">The </w:t>
            </w:r>
            <w:r w:rsidR="00F81832" w:rsidRPr="3466F177">
              <w:rPr>
                <w:rFonts w:asciiTheme="minorHAnsi" w:hAnsiTheme="minorHAnsi"/>
                <w:sz w:val="22"/>
                <w:szCs w:val="22"/>
              </w:rPr>
              <w:t>F</w:t>
            </w:r>
            <w:r w:rsidRPr="3466F177">
              <w:rPr>
                <w:rFonts w:asciiTheme="minorHAnsi" w:hAnsiTheme="minorHAnsi"/>
                <w:sz w:val="22"/>
                <w:szCs w:val="22"/>
              </w:rPr>
              <w:t>und</w:t>
            </w:r>
            <w:r w:rsidR="00A155A2" w:rsidRPr="3466F177">
              <w:rPr>
                <w:rFonts w:asciiTheme="minorHAnsi" w:hAnsiTheme="minorHAnsi"/>
                <w:sz w:val="22"/>
                <w:szCs w:val="22"/>
              </w:rPr>
              <w:t>,</w:t>
            </w:r>
            <w:r w:rsidRPr="3466F177">
              <w:rPr>
                <w:rFonts w:asciiTheme="minorHAnsi" w:hAnsiTheme="minorHAnsi"/>
                <w:sz w:val="22"/>
                <w:szCs w:val="22"/>
              </w:rPr>
              <w:t xml:space="preserve"> in partnership with the Development Facility</w:t>
            </w:r>
            <w:r w:rsidR="00A155A2" w:rsidRPr="3466F177">
              <w:rPr>
                <w:rFonts w:asciiTheme="minorHAnsi" w:hAnsiTheme="minorHAnsi"/>
                <w:sz w:val="22"/>
                <w:szCs w:val="22"/>
              </w:rPr>
              <w:t>,</w:t>
            </w:r>
            <w:r w:rsidRPr="3466F177">
              <w:rPr>
                <w:rFonts w:asciiTheme="minorHAnsi" w:hAnsiTheme="minorHAnsi"/>
                <w:sz w:val="22"/>
                <w:szCs w:val="22"/>
              </w:rPr>
              <w:t xml:space="preserve"> has continued to support capacity building of partner </w:t>
            </w:r>
            <w:r w:rsidR="00A8672D" w:rsidRPr="3466F177">
              <w:rPr>
                <w:rFonts w:ascii="Calibri" w:hAnsi="Calibri"/>
                <w:sz w:val="22"/>
                <w:szCs w:val="22"/>
              </w:rPr>
              <w:t>FIs</w:t>
            </w:r>
            <w:r w:rsidR="7E8E1AC4" w:rsidRPr="3466F177">
              <w:rPr>
                <w:rFonts w:ascii="Calibri" w:hAnsi="Calibri"/>
                <w:sz w:val="22"/>
                <w:szCs w:val="22"/>
              </w:rPr>
              <w:t xml:space="preserve"> </w:t>
            </w:r>
            <w:r w:rsidRPr="3466F177">
              <w:rPr>
                <w:rFonts w:asciiTheme="minorHAnsi" w:hAnsiTheme="minorHAnsi"/>
                <w:sz w:val="22"/>
                <w:szCs w:val="22"/>
              </w:rPr>
              <w:t xml:space="preserve">and </w:t>
            </w:r>
            <w:r w:rsidR="00A155A2" w:rsidRPr="3466F177">
              <w:rPr>
                <w:rFonts w:asciiTheme="minorHAnsi" w:hAnsiTheme="minorHAnsi"/>
                <w:sz w:val="22"/>
                <w:szCs w:val="22"/>
              </w:rPr>
              <w:t xml:space="preserve">has </w:t>
            </w:r>
            <w:r w:rsidRPr="3466F177">
              <w:rPr>
                <w:rFonts w:asciiTheme="minorHAnsi" w:hAnsiTheme="minorHAnsi"/>
                <w:sz w:val="22"/>
                <w:szCs w:val="22"/>
              </w:rPr>
              <w:t>met budget requirements for TA projects</w:t>
            </w:r>
            <w:r w:rsidR="00A155A2" w:rsidRPr="3466F177">
              <w:rPr>
                <w:rFonts w:asciiTheme="minorHAnsi" w:hAnsiTheme="minorHAnsi"/>
                <w:sz w:val="22"/>
                <w:szCs w:val="22"/>
              </w:rPr>
              <w:t>.</w:t>
            </w:r>
          </w:p>
        </w:tc>
        <w:tc>
          <w:tcPr>
            <w:tcW w:w="992" w:type="dxa"/>
          </w:tcPr>
          <w:p w14:paraId="2DB1DE34" w14:textId="4238D840" w:rsidR="00D320C6" w:rsidRPr="007D1081" w:rsidRDefault="00A65F00" w:rsidP="006C4EEA">
            <w:pPr>
              <w:pStyle w:val="Normal1"/>
              <w:spacing w:after="120" w:line="276" w:lineRule="auto"/>
              <w:jc w:val="both"/>
              <w:rPr>
                <w:rFonts w:asciiTheme="minorHAnsi" w:hAnsiTheme="minorHAnsi"/>
                <w:b/>
                <w:sz w:val="22"/>
              </w:rPr>
            </w:pPr>
            <w:r>
              <w:rPr>
                <w:rFonts w:asciiTheme="minorHAnsi" w:hAnsiTheme="minorHAnsi"/>
                <w:b/>
                <w:sz w:val="22"/>
              </w:rPr>
              <w:t>A</w:t>
            </w:r>
          </w:p>
        </w:tc>
        <w:tc>
          <w:tcPr>
            <w:tcW w:w="987" w:type="dxa"/>
          </w:tcPr>
          <w:p w14:paraId="1BA64F4E" w14:textId="77777777" w:rsidR="00D320C6" w:rsidRPr="007D1081" w:rsidRDefault="00903832" w:rsidP="006C4EEA">
            <w:pPr>
              <w:pStyle w:val="Normal1"/>
              <w:spacing w:after="120" w:line="276" w:lineRule="auto"/>
              <w:jc w:val="both"/>
              <w:rPr>
                <w:rFonts w:asciiTheme="minorHAnsi" w:hAnsiTheme="minorHAnsi"/>
                <w:b/>
                <w:sz w:val="22"/>
              </w:rPr>
            </w:pPr>
            <w:r>
              <w:rPr>
                <w:rFonts w:asciiTheme="minorHAnsi" w:hAnsiTheme="minorHAnsi"/>
                <w:b/>
                <w:sz w:val="22"/>
              </w:rPr>
              <w:t>15</w:t>
            </w:r>
            <w:r w:rsidR="007D1081" w:rsidRPr="007D1081">
              <w:rPr>
                <w:rFonts w:asciiTheme="minorHAnsi" w:hAnsiTheme="minorHAnsi"/>
                <w:b/>
                <w:sz w:val="22"/>
              </w:rPr>
              <w:t>%</w:t>
            </w:r>
          </w:p>
        </w:tc>
      </w:tr>
      <w:tr w:rsidR="00D320C6" w:rsidRPr="006C4EEA" w14:paraId="1475D206" w14:textId="77777777" w:rsidTr="00C01550">
        <w:trPr>
          <w:trHeight w:val="343"/>
        </w:trPr>
        <w:tc>
          <w:tcPr>
            <w:tcW w:w="817" w:type="dxa"/>
          </w:tcPr>
          <w:p w14:paraId="7FDD8406" w14:textId="77777777" w:rsidR="00D320C6" w:rsidRDefault="00D320C6" w:rsidP="006C4EEA">
            <w:pPr>
              <w:pStyle w:val="Normal1"/>
              <w:spacing w:after="120" w:line="276" w:lineRule="auto"/>
              <w:jc w:val="both"/>
              <w:rPr>
                <w:rFonts w:asciiTheme="minorHAnsi" w:hAnsiTheme="minorHAnsi"/>
                <w:sz w:val="22"/>
              </w:rPr>
            </w:pPr>
            <w:r>
              <w:rPr>
                <w:rFonts w:asciiTheme="minorHAnsi" w:hAnsiTheme="minorHAnsi"/>
                <w:sz w:val="22"/>
              </w:rPr>
              <w:t>4</w:t>
            </w:r>
          </w:p>
        </w:tc>
        <w:tc>
          <w:tcPr>
            <w:tcW w:w="2972" w:type="dxa"/>
          </w:tcPr>
          <w:p w14:paraId="701EE59E"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Improved partnerships and development of activities with other sector stakeholders</w:t>
            </w:r>
          </w:p>
        </w:tc>
        <w:tc>
          <w:tcPr>
            <w:tcW w:w="4394" w:type="dxa"/>
          </w:tcPr>
          <w:p w14:paraId="6C5BDFF2" w14:textId="2DB47F9D" w:rsidR="00D320C6" w:rsidRPr="006C4EEA" w:rsidRDefault="251A61A5" w:rsidP="71E92DF2">
            <w:pPr>
              <w:pStyle w:val="Normal1"/>
              <w:spacing w:after="120" w:line="276" w:lineRule="auto"/>
              <w:jc w:val="both"/>
              <w:rPr>
                <w:rFonts w:asciiTheme="minorHAnsi" w:hAnsiTheme="minorHAnsi"/>
                <w:sz w:val="22"/>
                <w:szCs w:val="22"/>
              </w:rPr>
            </w:pPr>
            <w:r w:rsidRPr="71E92DF2">
              <w:rPr>
                <w:rFonts w:asciiTheme="minorHAnsi" w:hAnsiTheme="minorHAnsi"/>
                <w:sz w:val="22"/>
                <w:szCs w:val="22"/>
              </w:rPr>
              <w:t xml:space="preserve">The </w:t>
            </w:r>
            <w:r w:rsidR="00F81832" w:rsidRPr="71E92DF2">
              <w:rPr>
                <w:rFonts w:asciiTheme="minorHAnsi" w:hAnsiTheme="minorHAnsi"/>
                <w:sz w:val="22"/>
                <w:szCs w:val="22"/>
              </w:rPr>
              <w:t>F</w:t>
            </w:r>
            <w:r w:rsidRPr="71E92DF2">
              <w:rPr>
                <w:rFonts w:asciiTheme="minorHAnsi" w:hAnsiTheme="minorHAnsi"/>
                <w:sz w:val="22"/>
                <w:szCs w:val="22"/>
              </w:rPr>
              <w:t xml:space="preserve">und has continued to reach out to stakeholders though green lending and business events. In addition, the </w:t>
            </w:r>
            <w:r w:rsidR="00F81832" w:rsidRPr="71E92DF2">
              <w:rPr>
                <w:rFonts w:asciiTheme="minorHAnsi" w:hAnsiTheme="minorHAnsi"/>
                <w:sz w:val="22"/>
                <w:szCs w:val="22"/>
              </w:rPr>
              <w:t>F</w:t>
            </w:r>
            <w:r w:rsidRPr="71E92DF2">
              <w:rPr>
                <w:rFonts w:asciiTheme="minorHAnsi" w:hAnsiTheme="minorHAnsi"/>
                <w:sz w:val="22"/>
                <w:szCs w:val="22"/>
              </w:rPr>
              <w:t xml:space="preserve">und </w:t>
            </w:r>
            <w:r w:rsidR="3909DABB" w:rsidRPr="71E92DF2">
              <w:rPr>
                <w:rFonts w:asciiTheme="minorHAnsi" w:hAnsiTheme="minorHAnsi"/>
                <w:sz w:val="22"/>
                <w:szCs w:val="22"/>
              </w:rPr>
              <w:t>hosted its own event</w:t>
            </w:r>
            <w:r w:rsidR="5CC697DE" w:rsidRPr="71E92DF2">
              <w:rPr>
                <w:rFonts w:asciiTheme="minorHAnsi" w:hAnsiTheme="minorHAnsi"/>
                <w:sz w:val="22"/>
                <w:szCs w:val="22"/>
              </w:rPr>
              <w:t xml:space="preserve"> (a three-day conference) which </w:t>
            </w:r>
            <w:r w:rsidR="5CC697DE" w:rsidRPr="71E92DF2">
              <w:rPr>
                <w:rFonts w:asciiTheme="minorHAnsi" w:hAnsiTheme="minorHAnsi"/>
                <w:sz w:val="22"/>
                <w:szCs w:val="22"/>
              </w:rPr>
              <w:lastRenderedPageBreak/>
              <w:t>brought t</w:t>
            </w:r>
            <w:r w:rsidR="3909DABB" w:rsidRPr="71E92DF2">
              <w:rPr>
                <w:rFonts w:asciiTheme="minorHAnsi" w:hAnsiTheme="minorHAnsi"/>
                <w:sz w:val="22"/>
                <w:szCs w:val="22"/>
              </w:rPr>
              <w:t>ogether investors, financial intermediaries and end-borrowers.</w:t>
            </w:r>
          </w:p>
        </w:tc>
        <w:tc>
          <w:tcPr>
            <w:tcW w:w="992" w:type="dxa"/>
          </w:tcPr>
          <w:p w14:paraId="1BAB495E" w14:textId="19CCE3FF" w:rsidR="00D320C6" w:rsidRPr="007D1081" w:rsidRDefault="00A65F00" w:rsidP="006C4EEA">
            <w:pPr>
              <w:pStyle w:val="Normal1"/>
              <w:spacing w:after="120" w:line="276" w:lineRule="auto"/>
              <w:jc w:val="both"/>
              <w:rPr>
                <w:rFonts w:asciiTheme="minorHAnsi" w:hAnsiTheme="minorHAnsi"/>
                <w:b/>
                <w:sz w:val="22"/>
              </w:rPr>
            </w:pPr>
            <w:r>
              <w:rPr>
                <w:rFonts w:asciiTheme="minorHAnsi" w:hAnsiTheme="minorHAnsi"/>
                <w:b/>
                <w:sz w:val="22"/>
              </w:rPr>
              <w:lastRenderedPageBreak/>
              <w:t>A</w:t>
            </w:r>
          </w:p>
        </w:tc>
        <w:tc>
          <w:tcPr>
            <w:tcW w:w="987" w:type="dxa"/>
          </w:tcPr>
          <w:p w14:paraId="152A57C5" w14:textId="77777777" w:rsidR="00D320C6" w:rsidRPr="007D1081" w:rsidRDefault="00903832" w:rsidP="006C4EEA">
            <w:pPr>
              <w:pStyle w:val="Normal1"/>
              <w:spacing w:after="120" w:line="276" w:lineRule="auto"/>
              <w:jc w:val="both"/>
              <w:rPr>
                <w:rFonts w:asciiTheme="minorHAnsi" w:hAnsiTheme="minorHAnsi"/>
                <w:b/>
                <w:sz w:val="22"/>
              </w:rPr>
            </w:pPr>
            <w:r>
              <w:rPr>
                <w:rFonts w:asciiTheme="minorHAnsi" w:hAnsiTheme="minorHAnsi"/>
                <w:b/>
                <w:sz w:val="22"/>
              </w:rPr>
              <w:t>15</w:t>
            </w:r>
            <w:r w:rsidR="007D1081" w:rsidRPr="007D1081">
              <w:rPr>
                <w:rFonts w:asciiTheme="minorHAnsi" w:hAnsiTheme="minorHAnsi"/>
                <w:b/>
                <w:sz w:val="22"/>
              </w:rPr>
              <w:t>%</w:t>
            </w:r>
          </w:p>
        </w:tc>
      </w:tr>
    </w:tbl>
    <w:p w14:paraId="507A21AA" w14:textId="786A4E45" w:rsidR="00F70FF9" w:rsidRDefault="00F70FF9" w:rsidP="000004E0">
      <w:pPr>
        <w:spacing w:before="0"/>
      </w:pPr>
    </w:p>
    <w:p w14:paraId="02EC132C" w14:textId="77777777" w:rsidR="00F34527" w:rsidRPr="00D0005A" w:rsidRDefault="00F34527" w:rsidP="000004E0">
      <w:pPr>
        <w:spacing w:before="0"/>
      </w:pPr>
    </w:p>
    <w:p w14:paraId="3A278257" w14:textId="2E5A6DCA" w:rsidR="000004E0" w:rsidRPr="00D0005A" w:rsidRDefault="004813B7" w:rsidP="00DD4C2A">
      <w:pPr>
        <w:pStyle w:val="Heading2"/>
      </w:pPr>
      <w:bookmarkStart w:id="7" w:name="_Toc51578516"/>
      <w:r>
        <w:t>B</w:t>
      </w:r>
      <w:r w:rsidR="000004E0" w:rsidRPr="00D0005A">
        <w:t>: DETAILED OUTPUT SCORING</w:t>
      </w:r>
      <w:bookmarkEnd w:id="7"/>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08"/>
        <w:gridCol w:w="2410"/>
        <w:gridCol w:w="2410"/>
        <w:gridCol w:w="992"/>
      </w:tblGrid>
      <w:tr w:rsidR="000004E0" w:rsidRPr="00D0005A" w14:paraId="5A246926" w14:textId="77777777" w:rsidTr="5954F8B8">
        <w:trPr>
          <w:trHeight w:val="4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8C021B8"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Title </w:t>
            </w:r>
          </w:p>
        </w:tc>
        <w:tc>
          <w:tcPr>
            <w:tcW w:w="6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A48B7" w14:textId="77777777" w:rsidR="000004E0" w:rsidRPr="00D0005A" w:rsidRDefault="000004E0" w:rsidP="000004E0">
            <w:pPr>
              <w:pStyle w:val="Normal1"/>
              <w:spacing w:after="120" w:line="276" w:lineRule="auto"/>
              <w:rPr>
                <w:rFonts w:ascii="Calibri" w:hAnsi="Calibri"/>
                <w:color w:val="FF0000"/>
                <w:sz w:val="22"/>
                <w:szCs w:val="22"/>
              </w:rPr>
            </w:pPr>
            <w:r w:rsidRPr="00CA6DFE">
              <w:rPr>
                <w:rFonts w:ascii="Calibri" w:hAnsi="Calibri"/>
                <w:color w:val="auto"/>
                <w:sz w:val="22"/>
                <w:szCs w:val="22"/>
              </w:rPr>
              <w:t>EBF has a diversified portfolio supporting a range of geographies and sectors</w:t>
            </w:r>
          </w:p>
        </w:tc>
      </w:tr>
      <w:tr w:rsidR="000004E0" w:rsidRPr="00D0005A" w14:paraId="5C464686" w14:textId="77777777" w:rsidTr="5954F8B8">
        <w:trPr>
          <w:trHeight w:val="4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1E2BA62"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52ACD"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117D535"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B512F" w14:textId="6D5B42C9" w:rsidR="000004E0" w:rsidRPr="008625ED" w:rsidRDefault="000B066D" w:rsidP="000004E0">
            <w:pPr>
              <w:pStyle w:val="Normal1"/>
              <w:spacing w:after="120" w:line="276" w:lineRule="auto"/>
              <w:rPr>
                <w:rFonts w:ascii="Calibri" w:hAnsi="Calibri"/>
                <w:color w:val="FF0000"/>
                <w:sz w:val="22"/>
                <w:szCs w:val="22"/>
              </w:rPr>
            </w:pPr>
            <w:r w:rsidRPr="5954F8B8">
              <w:rPr>
                <w:rFonts w:ascii="Calibri" w:hAnsi="Calibri"/>
                <w:color w:val="auto"/>
                <w:sz w:val="22"/>
                <w:szCs w:val="22"/>
              </w:rPr>
              <w:t>A+</w:t>
            </w:r>
          </w:p>
        </w:tc>
      </w:tr>
      <w:tr w:rsidR="000004E0" w:rsidRPr="00D0005A" w14:paraId="08F1E8DD" w14:textId="77777777" w:rsidTr="5954F8B8">
        <w:trPr>
          <w:trHeight w:val="4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F0C6357" w14:textId="77777777" w:rsidR="000004E0" w:rsidRPr="00D0005A" w:rsidRDefault="00CC1D65"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BC038" w14:textId="77777777" w:rsidR="000004E0" w:rsidRPr="00D0005A" w:rsidRDefault="00A0043B" w:rsidP="00A0043B">
            <w:pPr>
              <w:pStyle w:val="Normal1"/>
              <w:spacing w:after="120" w:line="276" w:lineRule="auto"/>
              <w:rPr>
                <w:rFonts w:ascii="Calibri" w:hAnsi="Calibri"/>
                <w:sz w:val="22"/>
                <w:szCs w:val="22"/>
              </w:rPr>
            </w:pPr>
            <w:r>
              <w:rPr>
                <w:rFonts w:ascii="Calibri" w:hAnsi="Calibri"/>
                <w:sz w:val="22"/>
                <w:szCs w:val="22"/>
              </w:rPr>
              <w:t>Moderate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A1A065A"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Score in previous 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274A6" w14:textId="77777777" w:rsidR="000004E0" w:rsidRPr="00D0005A" w:rsidRDefault="00A0043B" w:rsidP="009D3450">
            <w:pPr>
              <w:pStyle w:val="Normal1"/>
              <w:spacing w:after="120" w:line="276" w:lineRule="auto"/>
              <w:rPr>
                <w:rFonts w:ascii="Calibri" w:hAnsi="Calibri"/>
                <w:sz w:val="22"/>
                <w:szCs w:val="22"/>
              </w:rPr>
            </w:pPr>
            <w:r>
              <w:rPr>
                <w:rFonts w:ascii="Calibri" w:hAnsi="Calibri"/>
                <w:sz w:val="22"/>
                <w:szCs w:val="22"/>
              </w:rPr>
              <w:t>A</w:t>
            </w:r>
          </w:p>
        </w:tc>
      </w:tr>
      <w:tr w:rsidR="00CC1D65" w:rsidRPr="00D0005A" w14:paraId="01201B1B" w14:textId="77777777" w:rsidTr="5954F8B8">
        <w:trPr>
          <w:gridAfter w:val="3"/>
          <w:wAfter w:w="5812" w:type="dxa"/>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37F10C5" w14:textId="77777777" w:rsidR="00CC1D65" w:rsidRDefault="00CC1D65" w:rsidP="00A0043B">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32F07" w14:textId="77777777" w:rsidR="00CC1D65" w:rsidRDefault="00CC1D65" w:rsidP="00A0043B">
            <w:pPr>
              <w:pStyle w:val="Normal1"/>
              <w:spacing w:after="120" w:line="276" w:lineRule="auto"/>
              <w:rPr>
                <w:rFonts w:ascii="Calibri" w:hAnsi="Calibri"/>
                <w:sz w:val="22"/>
                <w:szCs w:val="22"/>
              </w:rPr>
            </w:pPr>
            <w:r>
              <w:rPr>
                <w:rFonts w:ascii="Calibri" w:hAnsi="Calibri"/>
                <w:sz w:val="22"/>
                <w:szCs w:val="22"/>
              </w:rPr>
              <w:t>35%</w:t>
            </w:r>
          </w:p>
        </w:tc>
      </w:tr>
      <w:tr w:rsidR="00CC1D65" w:rsidRPr="00D0005A" w14:paraId="21C4062C" w14:textId="77777777" w:rsidTr="5954F8B8">
        <w:trPr>
          <w:gridAfter w:val="3"/>
          <w:wAfter w:w="5812" w:type="dxa"/>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7BC7C27" w14:textId="5854BC9D" w:rsidR="00CC1D65" w:rsidRPr="00D0005A" w:rsidRDefault="00CC1D65" w:rsidP="00A0043B">
            <w:pPr>
              <w:pStyle w:val="Normal1"/>
              <w:spacing w:after="120" w:line="276" w:lineRule="auto"/>
              <w:rPr>
                <w:rFonts w:ascii="Calibri" w:hAnsi="Calibri"/>
                <w:sz w:val="22"/>
                <w:szCs w:val="22"/>
              </w:rPr>
            </w:pPr>
            <w:r w:rsidRPr="00D0005A">
              <w:rPr>
                <w:rFonts w:ascii="Calibri" w:hAnsi="Calibri"/>
                <w:sz w:val="22"/>
                <w:szCs w:val="22"/>
              </w:rPr>
              <w:t xml:space="preserve">Impact weighting % </w:t>
            </w:r>
            <w:r>
              <w:rPr>
                <w:rFonts w:ascii="Calibri" w:hAnsi="Calibri"/>
                <w:sz w:val="22"/>
                <w:szCs w:val="22"/>
              </w:rPr>
              <w:t>in</w:t>
            </w:r>
            <w:r w:rsidR="008625ED">
              <w:rPr>
                <w:rFonts w:ascii="Calibri" w:hAnsi="Calibri"/>
                <w:sz w:val="22"/>
                <w:szCs w:val="22"/>
              </w:rPr>
              <w:t xml:space="preserve"> last 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3B77E" w14:textId="77777777" w:rsidR="00CC1D65" w:rsidRPr="00D0005A" w:rsidRDefault="00CC1D65" w:rsidP="000004E0">
            <w:pPr>
              <w:pStyle w:val="Normal1"/>
              <w:spacing w:after="120" w:line="276" w:lineRule="auto"/>
              <w:rPr>
                <w:rFonts w:ascii="Calibri" w:hAnsi="Calibri"/>
                <w:sz w:val="22"/>
                <w:szCs w:val="22"/>
              </w:rPr>
            </w:pPr>
            <w:r>
              <w:rPr>
                <w:rFonts w:ascii="Calibri" w:hAnsi="Calibri"/>
                <w:sz w:val="22"/>
                <w:szCs w:val="22"/>
              </w:rPr>
              <w:t>35%</w:t>
            </w:r>
          </w:p>
          <w:p w14:paraId="34D31B1D" w14:textId="77777777" w:rsidR="00CC1D65" w:rsidRPr="00D0005A" w:rsidRDefault="00CC1D65" w:rsidP="000004E0">
            <w:pPr>
              <w:pStyle w:val="Normal1"/>
              <w:spacing w:after="120" w:line="276" w:lineRule="auto"/>
              <w:rPr>
                <w:rFonts w:ascii="Calibri" w:hAnsi="Calibri"/>
                <w:sz w:val="22"/>
                <w:szCs w:val="22"/>
              </w:rPr>
            </w:pPr>
          </w:p>
        </w:tc>
      </w:tr>
    </w:tbl>
    <w:p w14:paraId="782D8944" w14:textId="77777777" w:rsidR="000004E0" w:rsidRPr="00D0005A" w:rsidRDefault="000004E0" w:rsidP="000004E0">
      <w:pPr>
        <w:pStyle w:val="Normal1"/>
        <w:spacing w:after="120" w:line="276" w:lineRule="auto"/>
        <w:jc w:val="both"/>
        <w:rPr>
          <w:rFonts w:ascii="Calibri" w:hAnsi="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2268"/>
        <w:gridCol w:w="1276"/>
      </w:tblGrid>
      <w:tr w:rsidR="000004E0" w:rsidRPr="00D0005A" w14:paraId="67EADEC8" w14:textId="77777777" w:rsidTr="71E92DF2">
        <w:trPr>
          <w:trHeight w:val="260"/>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5F7FA4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5484F88" w14:textId="77777777" w:rsidR="000004E0" w:rsidRPr="00D0005A" w:rsidRDefault="00B12532" w:rsidP="00782979">
            <w:pPr>
              <w:pStyle w:val="Normal1"/>
              <w:spacing w:after="120" w:line="276" w:lineRule="auto"/>
              <w:rPr>
                <w:rFonts w:ascii="Calibri" w:hAnsi="Calibri"/>
                <w:b/>
                <w:sz w:val="22"/>
                <w:szCs w:val="22"/>
              </w:rPr>
            </w:pPr>
            <w:r>
              <w:rPr>
                <w:rFonts w:ascii="Calibri" w:hAnsi="Calibri"/>
                <w:b/>
                <w:sz w:val="22"/>
                <w:szCs w:val="22"/>
              </w:rPr>
              <w:t>Milestone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21FC590"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74CBDF21" w14:textId="77777777" w:rsidTr="71E92DF2">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84B6" w14:textId="7C0E3010" w:rsidR="000004E0" w:rsidRPr="00D0005A" w:rsidRDefault="00CA6DFE" w:rsidP="005E08C5">
            <w:pPr>
              <w:pStyle w:val="Normal1"/>
              <w:numPr>
                <w:ilvl w:val="1"/>
                <w:numId w:val="17"/>
              </w:numPr>
              <w:spacing w:after="120" w:line="276" w:lineRule="auto"/>
              <w:rPr>
                <w:rFonts w:ascii="Calibri" w:hAnsi="Calibri"/>
                <w:sz w:val="22"/>
                <w:szCs w:val="22"/>
              </w:rPr>
            </w:pPr>
            <w:r w:rsidRPr="00CA6DFE">
              <w:rPr>
                <w:rFonts w:ascii="Calibri" w:hAnsi="Calibri"/>
                <w:sz w:val="22"/>
                <w:szCs w:val="22"/>
              </w:rPr>
              <w:t>Number of</w:t>
            </w:r>
            <w:r w:rsidR="006C02A3">
              <w:rPr>
                <w:rFonts w:ascii="Calibri" w:hAnsi="Calibri"/>
                <w:sz w:val="22"/>
                <w:szCs w:val="22"/>
              </w:rPr>
              <w:t xml:space="preserve"> FIs</w:t>
            </w:r>
            <w:r w:rsidRPr="00CA6DFE">
              <w:rPr>
                <w:rFonts w:ascii="Calibri" w:hAnsi="Calibri"/>
                <w:sz w:val="22"/>
                <w:szCs w:val="22"/>
              </w:rPr>
              <w:t xml:space="preserve"> in the EBF´s portfolio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CFCBA" w14:textId="2E760DBA"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857C5" w14:textId="2EE9D290"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19</w:t>
            </w:r>
          </w:p>
        </w:tc>
      </w:tr>
      <w:tr w:rsidR="000004E0" w:rsidRPr="00D0005A" w14:paraId="3D762F12" w14:textId="77777777" w:rsidTr="71E92DF2">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BE887" w14:textId="53785088" w:rsidR="000004E0" w:rsidRPr="00D0005A" w:rsidRDefault="47B8FE46" w:rsidP="005E08C5">
            <w:pPr>
              <w:pStyle w:val="Normal1"/>
              <w:numPr>
                <w:ilvl w:val="1"/>
                <w:numId w:val="17"/>
              </w:numPr>
              <w:spacing w:after="120" w:line="276" w:lineRule="auto"/>
              <w:rPr>
                <w:rFonts w:ascii="Calibri" w:hAnsi="Calibri"/>
                <w:sz w:val="22"/>
                <w:szCs w:val="22"/>
              </w:rPr>
            </w:pPr>
            <w:r w:rsidRPr="71E92DF2">
              <w:rPr>
                <w:rFonts w:ascii="Calibri" w:hAnsi="Calibri"/>
                <w:sz w:val="22"/>
                <w:szCs w:val="22"/>
              </w:rPr>
              <w:t xml:space="preserve">Number of commodities supported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4607B" w14:textId="3D3A20FD"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1592" w14:textId="0B222408"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22</w:t>
            </w:r>
          </w:p>
        </w:tc>
      </w:tr>
      <w:tr w:rsidR="000004E0" w:rsidRPr="00D0005A" w14:paraId="75D8A199" w14:textId="77777777" w:rsidTr="71E92DF2">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A5BE" w14:textId="77777777" w:rsidR="000004E0" w:rsidRPr="00D0005A" w:rsidRDefault="00CA6DFE" w:rsidP="005E08C5">
            <w:pPr>
              <w:pStyle w:val="Normal1"/>
              <w:numPr>
                <w:ilvl w:val="1"/>
                <w:numId w:val="17"/>
              </w:numPr>
              <w:spacing w:after="120" w:line="276" w:lineRule="auto"/>
              <w:rPr>
                <w:rFonts w:ascii="Calibri" w:hAnsi="Calibri"/>
                <w:sz w:val="22"/>
                <w:szCs w:val="22"/>
              </w:rPr>
            </w:pPr>
            <w:r w:rsidRPr="00CA6DFE">
              <w:rPr>
                <w:rFonts w:ascii="Calibri" w:hAnsi="Calibri"/>
                <w:sz w:val="22"/>
                <w:szCs w:val="22"/>
              </w:rPr>
              <w:t>Number of countries in which the Fund operates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B72EB" w14:textId="4CF09BCF"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75D1" w14:textId="2DE40222" w:rsidR="000004E0" w:rsidRPr="00D0005A" w:rsidRDefault="002761EA" w:rsidP="000004E0">
            <w:pPr>
              <w:pStyle w:val="Normal1"/>
              <w:spacing w:after="120" w:line="276" w:lineRule="auto"/>
              <w:rPr>
                <w:rFonts w:ascii="Calibri" w:hAnsi="Calibri"/>
                <w:sz w:val="22"/>
                <w:szCs w:val="22"/>
              </w:rPr>
            </w:pPr>
            <w:r>
              <w:rPr>
                <w:rFonts w:ascii="Calibri" w:hAnsi="Calibri"/>
                <w:sz w:val="22"/>
                <w:szCs w:val="22"/>
              </w:rPr>
              <w:t>8</w:t>
            </w:r>
          </w:p>
        </w:tc>
      </w:tr>
    </w:tbl>
    <w:p w14:paraId="12BC6026" w14:textId="77777777" w:rsidR="000004E0" w:rsidRPr="00D0005A" w:rsidRDefault="000004E0" w:rsidP="000715C0">
      <w:pPr>
        <w:pStyle w:val="Normal1"/>
        <w:spacing w:after="120" w:line="276" w:lineRule="auto"/>
        <w:jc w:val="both"/>
        <w:rPr>
          <w:rFonts w:ascii="Calibri" w:hAnsi="Calibri"/>
          <w:sz w:val="22"/>
          <w:szCs w:val="22"/>
        </w:rPr>
      </w:pPr>
    </w:p>
    <w:p w14:paraId="5FC14521" w14:textId="77777777" w:rsidR="000004E0" w:rsidRDefault="000004E0" w:rsidP="000715C0">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1485ED17" w14:textId="05D9F166" w:rsidR="00643685" w:rsidRDefault="001D2CB5" w:rsidP="000715C0">
      <w:pPr>
        <w:pStyle w:val="Normal1"/>
        <w:spacing w:after="120" w:line="276" w:lineRule="auto"/>
        <w:jc w:val="both"/>
        <w:rPr>
          <w:rFonts w:ascii="Calibri" w:hAnsi="Calibri"/>
          <w:sz w:val="22"/>
          <w:szCs w:val="22"/>
        </w:rPr>
      </w:pPr>
      <w:r>
        <w:rPr>
          <w:rFonts w:ascii="Calibri" w:hAnsi="Calibri"/>
          <w:sz w:val="22"/>
          <w:szCs w:val="22"/>
        </w:rPr>
        <w:t xml:space="preserve">There was progress against </w:t>
      </w:r>
      <w:r w:rsidR="00BA6A61">
        <w:rPr>
          <w:rFonts w:ascii="Calibri" w:hAnsi="Calibri"/>
          <w:sz w:val="22"/>
          <w:szCs w:val="22"/>
        </w:rPr>
        <w:t>all</w:t>
      </w:r>
      <w:r>
        <w:rPr>
          <w:rFonts w:ascii="Calibri" w:hAnsi="Calibri"/>
          <w:sz w:val="22"/>
          <w:szCs w:val="22"/>
        </w:rPr>
        <w:t xml:space="preserve"> the </w:t>
      </w:r>
      <w:r w:rsidR="00643685">
        <w:rPr>
          <w:rFonts w:ascii="Calibri" w:hAnsi="Calibri"/>
          <w:sz w:val="22"/>
          <w:szCs w:val="22"/>
        </w:rPr>
        <w:t xml:space="preserve">indicators for this output </w:t>
      </w:r>
      <w:r>
        <w:rPr>
          <w:rFonts w:ascii="Calibri" w:hAnsi="Calibri"/>
          <w:sz w:val="22"/>
          <w:szCs w:val="22"/>
        </w:rPr>
        <w:t xml:space="preserve">since </w:t>
      </w:r>
      <w:r w:rsidR="002761EA">
        <w:rPr>
          <w:rFonts w:ascii="Calibri" w:hAnsi="Calibri"/>
          <w:sz w:val="22"/>
          <w:szCs w:val="22"/>
        </w:rPr>
        <w:t>2018</w:t>
      </w:r>
      <w:r>
        <w:rPr>
          <w:rFonts w:ascii="Calibri" w:hAnsi="Calibri"/>
          <w:sz w:val="22"/>
          <w:szCs w:val="22"/>
        </w:rPr>
        <w:t>, with targets exceeded for 201</w:t>
      </w:r>
      <w:r w:rsidR="002761EA">
        <w:rPr>
          <w:rFonts w:ascii="Calibri" w:hAnsi="Calibri"/>
          <w:sz w:val="22"/>
          <w:szCs w:val="22"/>
        </w:rPr>
        <w:t>9</w:t>
      </w:r>
      <w:r>
        <w:rPr>
          <w:rFonts w:ascii="Calibri" w:hAnsi="Calibri"/>
          <w:sz w:val="22"/>
          <w:szCs w:val="22"/>
        </w:rPr>
        <w:t xml:space="preserve">. </w:t>
      </w:r>
    </w:p>
    <w:p w14:paraId="70E5469F" w14:textId="77777777" w:rsidR="000004E0" w:rsidRPr="00D0005A" w:rsidRDefault="000004E0" w:rsidP="000715C0">
      <w:pPr>
        <w:pStyle w:val="Normal1"/>
        <w:spacing w:after="120" w:line="276" w:lineRule="auto"/>
        <w:jc w:val="both"/>
        <w:rPr>
          <w:rFonts w:ascii="Calibri" w:hAnsi="Calibri"/>
          <w:b/>
          <w:sz w:val="22"/>
          <w:szCs w:val="22"/>
        </w:rPr>
      </w:pPr>
      <w:r w:rsidRPr="00D0005A">
        <w:rPr>
          <w:rFonts w:ascii="Calibri" w:hAnsi="Calibri"/>
          <w:b/>
          <w:sz w:val="22"/>
          <w:szCs w:val="22"/>
        </w:rPr>
        <w:t xml:space="preserve">Progress: </w:t>
      </w:r>
    </w:p>
    <w:p w14:paraId="5E8AE38E" w14:textId="549C5DD2" w:rsidR="00695C0F" w:rsidRDefault="00D57BB4" w:rsidP="000715C0">
      <w:pPr>
        <w:pStyle w:val="Normal1"/>
        <w:spacing w:after="120" w:line="276" w:lineRule="auto"/>
        <w:jc w:val="both"/>
        <w:rPr>
          <w:rFonts w:ascii="Calibri" w:hAnsi="Calibri"/>
          <w:sz w:val="22"/>
          <w:szCs w:val="22"/>
        </w:rPr>
      </w:pPr>
      <w:r w:rsidRPr="3651B6FB">
        <w:rPr>
          <w:rFonts w:ascii="Calibri" w:hAnsi="Calibri"/>
          <w:sz w:val="22"/>
          <w:szCs w:val="22"/>
        </w:rPr>
        <w:t>The number of</w:t>
      </w:r>
      <w:r w:rsidR="00F76D09" w:rsidRPr="3651B6FB">
        <w:rPr>
          <w:rFonts w:ascii="Calibri" w:hAnsi="Calibri"/>
          <w:sz w:val="22"/>
          <w:szCs w:val="22"/>
        </w:rPr>
        <w:t xml:space="preserve"> different</w:t>
      </w:r>
      <w:r w:rsidRPr="3651B6FB">
        <w:rPr>
          <w:rFonts w:ascii="Calibri" w:hAnsi="Calibri"/>
          <w:sz w:val="22"/>
          <w:szCs w:val="22"/>
        </w:rPr>
        <w:t xml:space="preserve"> FIs in the EBFs portfolio </w:t>
      </w:r>
      <w:r w:rsidR="006F1BC1" w:rsidRPr="3651B6FB">
        <w:rPr>
          <w:rFonts w:ascii="Calibri" w:hAnsi="Calibri"/>
          <w:sz w:val="22"/>
          <w:szCs w:val="22"/>
        </w:rPr>
        <w:t>increased</w:t>
      </w:r>
      <w:r w:rsidR="002761EA" w:rsidRPr="3651B6FB">
        <w:rPr>
          <w:rFonts w:ascii="Calibri" w:hAnsi="Calibri"/>
          <w:sz w:val="22"/>
          <w:szCs w:val="22"/>
        </w:rPr>
        <w:t xml:space="preserve"> substantially from 13 to 19.  </w:t>
      </w:r>
      <w:r w:rsidR="006C02A3" w:rsidRPr="3651B6FB">
        <w:rPr>
          <w:rFonts w:ascii="Calibri" w:hAnsi="Calibri"/>
          <w:sz w:val="22"/>
          <w:szCs w:val="22"/>
        </w:rPr>
        <w:t xml:space="preserve">These FIs are </w:t>
      </w:r>
      <w:r w:rsidR="008D7BBA" w:rsidRPr="3651B6FB">
        <w:rPr>
          <w:rFonts w:ascii="Calibri" w:hAnsi="Calibri"/>
          <w:sz w:val="22"/>
          <w:szCs w:val="22"/>
        </w:rPr>
        <w:t>s</w:t>
      </w:r>
      <w:r w:rsidR="002761EA" w:rsidRPr="3651B6FB">
        <w:rPr>
          <w:rFonts w:ascii="Calibri" w:hAnsi="Calibri"/>
          <w:sz w:val="22"/>
          <w:szCs w:val="22"/>
        </w:rPr>
        <w:t xml:space="preserve">pread across </w:t>
      </w:r>
      <w:r w:rsidR="4E59802F" w:rsidRPr="3651B6FB">
        <w:rPr>
          <w:rFonts w:ascii="Calibri" w:hAnsi="Calibri"/>
          <w:sz w:val="22"/>
          <w:szCs w:val="22"/>
        </w:rPr>
        <w:t>f</w:t>
      </w:r>
      <w:r w:rsidR="008D7BBA" w:rsidRPr="3651B6FB">
        <w:rPr>
          <w:rFonts w:ascii="Calibri" w:hAnsi="Calibri"/>
          <w:sz w:val="22"/>
          <w:szCs w:val="22"/>
        </w:rPr>
        <w:t>ive</w:t>
      </w:r>
      <w:r w:rsidR="002761EA" w:rsidRPr="3651B6FB">
        <w:rPr>
          <w:rFonts w:ascii="Calibri" w:hAnsi="Calibri"/>
          <w:sz w:val="22"/>
          <w:szCs w:val="22"/>
        </w:rPr>
        <w:t xml:space="preserve"> countries: Colombia, Costa Rica, Ecuador, El Salvador and Honduras. </w:t>
      </w:r>
    </w:p>
    <w:p w14:paraId="26D3359A" w14:textId="43AE1CBA" w:rsidR="00125A17" w:rsidRDefault="00695C0F" w:rsidP="000715C0">
      <w:pPr>
        <w:pStyle w:val="Normal1"/>
        <w:spacing w:after="120" w:line="276" w:lineRule="auto"/>
        <w:jc w:val="both"/>
        <w:rPr>
          <w:rFonts w:ascii="Calibri" w:hAnsi="Calibri"/>
          <w:sz w:val="22"/>
          <w:szCs w:val="22"/>
        </w:rPr>
      </w:pPr>
      <w:r>
        <w:rPr>
          <w:rFonts w:ascii="Calibri" w:hAnsi="Calibri"/>
          <w:sz w:val="22"/>
          <w:szCs w:val="22"/>
        </w:rPr>
        <w:t xml:space="preserve">The EBF portfolio </w:t>
      </w:r>
      <w:r w:rsidR="008D7BBA">
        <w:rPr>
          <w:rFonts w:ascii="Calibri" w:hAnsi="Calibri"/>
          <w:sz w:val="22"/>
          <w:szCs w:val="22"/>
        </w:rPr>
        <w:t xml:space="preserve">has a </w:t>
      </w:r>
      <w:r>
        <w:rPr>
          <w:rFonts w:ascii="Calibri" w:hAnsi="Calibri"/>
          <w:sz w:val="22"/>
          <w:szCs w:val="22"/>
        </w:rPr>
        <w:t>spread of investments across the countries, with Colombia accounting for the highest with 23% and Honduras the least with 7%.</w:t>
      </w:r>
    </w:p>
    <w:p w14:paraId="0FBC27E5" w14:textId="63C6B919" w:rsidR="00402724" w:rsidRDefault="000820D0" w:rsidP="00402724">
      <w:pPr>
        <w:pStyle w:val="Normal1"/>
        <w:spacing w:after="120" w:line="276" w:lineRule="auto"/>
        <w:jc w:val="both"/>
        <w:rPr>
          <w:rFonts w:ascii="Calibri" w:hAnsi="Calibri"/>
          <w:sz w:val="22"/>
          <w:szCs w:val="22"/>
        </w:rPr>
      </w:pPr>
      <w:r>
        <w:rPr>
          <w:rFonts w:ascii="Calibri" w:hAnsi="Calibri"/>
          <w:sz w:val="22"/>
          <w:szCs w:val="22"/>
        </w:rPr>
        <w:t xml:space="preserve">There are now </w:t>
      </w:r>
      <w:r w:rsidR="00695C0F">
        <w:rPr>
          <w:rFonts w:ascii="Calibri" w:hAnsi="Calibri"/>
          <w:sz w:val="22"/>
          <w:szCs w:val="22"/>
        </w:rPr>
        <w:t xml:space="preserve">22 </w:t>
      </w:r>
      <w:r w:rsidR="00D57BB4">
        <w:rPr>
          <w:rFonts w:ascii="Calibri" w:hAnsi="Calibri"/>
          <w:sz w:val="22"/>
          <w:szCs w:val="22"/>
        </w:rPr>
        <w:t>cr</w:t>
      </w:r>
      <w:r>
        <w:rPr>
          <w:rFonts w:ascii="Calibri" w:hAnsi="Calibri"/>
          <w:sz w:val="22"/>
          <w:szCs w:val="22"/>
        </w:rPr>
        <w:t>op types supported</w:t>
      </w:r>
      <w:r w:rsidR="00D57BB4">
        <w:rPr>
          <w:rFonts w:ascii="Calibri" w:hAnsi="Calibri"/>
          <w:sz w:val="22"/>
          <w:szCs w:val="22"/>
        </w:rPr>
        <w:t xml:space="preserve">. </w:t>
      </w:r>
      <w:r w:rsidR="00D320C6">
        <w:rPr>
          <w:rFonts w:ascii="Calibri" w:hAnsi="Calibri"/>
          <w:sz w:val="22"/>
          <w:szCs w:val="22"/>
        </w:rPr>
        <w:t>C</w:t>
      </w:r>
      <w:r w:rsidR="000004E0" w:rsidRPr="00D0005A">
        <w:rPr>
          <w:rFonts w:ascii="Calibri" w:hAnsi="Calibri"/>
          <w:sz w:val="22"/>
          <w:szCs w:val="22"/>
        </w:rPr>
        <w:t>offee</w:t>
      </w:r>
      <w:r w:rsidR="00D368BE">
        <w:rPr>
          <w:rFonts w:ascii="Calibri" w:hAnsi="Calibri"/>
          <w:sz w:val="22"/>
          <w:szCs w:val="22"/>
        </w:rPr>
        <w:t xml:space="preserve"> </w:t>
      </w:r>
      <w:r w:rsidR="00D320C6">
        <w:rPr>
          <w:rFonts w:ascii="Calibri" w:hAnsi="Calibri"/>
          <w:sz w:val="22"/>
          <w:szCs w:val="22"/>
        </w:rPr>
        <w:t xml:space="preserve">assumes the largest </w:t>
      </w:r>
      <w:r w:rsidR="00D368BE">
        <w:rPr>
          <w:rFonts w:ascii="Calibri" w:hAnsi="Calibri"/>
          <w:sz w:val="22"/>
          <w:szCs w:val="22"/>
        </w:rPr>
        <w:t>share of the sub</w:t>
      </w:r>
      <w:r w:rsidR="00D320C6">
        <w:rPr>
          <w:rFonts w:ascii="Calibri" w:hAnsi="Calibri"/>
          <w:sz w:val="22"/>
          <w:szCs w:val="22"/>
        </w:rPr>
        <w:t>-</w:t>
      </w:r>
      <w:r w:rsidR="00D368BE">
        <w:rPr>
          <w:rFonts w:ascii="Calibri" w:hAnsi="Calibri"/>
          <w:sz w:val="22"/>
          <w:szCs w:val="22"/>
        </w:rPr>
        <w:t xml:space="preserve">loan </w:t>
      </w:r>
      <w:r w:rsidR="00D320C6">
        <w:rPr>
          <w:rFonts w:ascii="Calibri" w:hAnsi="Calibri"/>
          <w:sz w:val="22"/>
          <w:szCs w:val="22"/>
        </w:rPr>
        <w:t xml:space="preserve">commodity </w:t>
      </w:r>
      <w:r w:rsidR="00D368BE">
        <w:rPr>
          <w:rFonts w:ascii="Calibri" w:hAnsi="Calibri"/>
          <w:sz w:val="22"/>
          <w:szCs w:val="22"/>
        </w:rPr>
        <w:t>portfolio</w:t>
      </w:r>
      <w:r w:rsidR="00695C0F">
        <w:rPr>
          <w:rFonts w:ascii="Calibri" w:hAnsi="Calibri"/>
          <w:sz w:val="22"/>
          <w:szCs w:val="22"/>
        </w:rPr>
        <w:t xml:space="preserve">. </w:t>
      </w:r>
      <w:r w:rsidR="008625ED">
        <w:rPr>
          <w:rFonts w:ascii="Calibri" w:hAnsi="Calibri"/>
          <w:sz w:val="22"/>
          <w:szCs w:val="22"/>
        </w:rPr>
        <w:t xml:space="preserve">Financing is </w:t>
      </w:r>
      <w:r w:rsidR="000004E0" w:rsidRPr="00D0005A">
        <w:rPr>
          <w:rFonts w:ascii="Calibri" w:hAnsi="Calibri"/>
          <w:sz w:val="22"/>
          <w:szCs w:val="22"/>
        </w:rPr>
        <w:t>predominantly through working capital loans</w:t>
      </w:r>
      <w:r w:rsidR="00944FEA">
        <w:rPr>
          <w:rFonts w:ascii="Calibri" w:hAnsi="Calibri"/>
          <w:sz w:val="22"/>
          <w:szCs w:val="22"/>
        </w:rPr>
        <w:t>.</w:t>
      </w:r>
    </w:p>
    <w:p w14:paraId="71CCD5C4" w14:textId="2782BFF8" w:rsidR="000004E0" w:rsidRPr="00D0005A" w:rsidRDefault="007D3D39" w:rsidP="00DD4C2A">
      <w:pPr>
        <w:pStyle w:val="Heading2"/>
        <w:rPr>
          <w:i/>
        </w:rPr>
      </w:pPr>
      <w:bookmarkStart w:id="8" w:name="_Toc51578517"/>
      <w:r>
        <w:t>B</w:t>
      </w:r>
      <w:r w:rsidR="000004E0" w:rsidRPr="00D0005A">
        <w:t>: DETAILED OUTPUT SCORING</w:t>
      </w:r>
      <w:bookmarkEnd w:id="8"/>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92"/>
        <w:gridCol w:w="1276"/>
        <w:gridCol w:w="2977"/>
        <w:gridCol w:w="850"/>
      </w:tblGrid>
      <w:tr w:rsidR="000004E0" w:rsidRPr="00D0005A" w14:paraId="77AE4360" w14:textId="77777777" w:rsidTr="5954F8B8">
        <w:trPr>
          <w:trHeight w:val="40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A31BB89" w14:textId="77777777" w:rsidR="000004E0" w:rsidRPr="001501EA" w:rsidRDefault="000004E0" w:rsidP="000004E0">
            <w:pPr>
              <w:pStyle w:val="Normal1"/>
              <w:spacing w:after="120" w:line="276" w:lineRule="auto"/>
              <w:rPr>
                <w:rFonts w:ascii="Calibri" w:hAnsi="Calibri"/>
                <w:b/>
                <w:color w:val="auto"/>
                <w:sz w:val="22"/>
                <w:szCs w:val="22"/>
              </w:rPr>
            </w:pPr>
            <w:r w:rsidRPr="001501EA">
              <w:rPr>
                <w:rFonts w:ascii="Calibri" w:hAnsi="Calibri"/>
                <w:b/>
                <w:color w:val="auto"/>
                <w:sz w:val="22"/>
                <w:szCs w:val="22"/>
              </w:rPr>
              <w:t xml:space="preserve">Output Title </w:t>
            </w:r>
          </w:p>
        </w:tc>
        <w:tc>
          <w:tcPr>
            <w:tcW w:w="60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5002" w14:textId="77777777" w:rsidR="000004E0" w:rsidRPr="001501EA" w:rsidRDefault="000004E0" w:rsidP="000004E0">
            <w:pPr>
              <w:pStyle w:val="Normal1"/>
              <w:spacing w:after="120" w:line="276" w:lineRule="auto"/>
              <w:rPr>
                <w:rFonts w:ascii="Calibri" w:hAnsi="Calibri"/>
                <w:color w:val="auto"/>
                <w:sz w:val="22"/>
                <w:szCs w:val="22"/>
              </w:rPr>
            </w:pPr>
            <w:r w:rsidRPr="001501EA">
              <w:rPr>
                <w:rFonts w:ascii="Calibri" w:hAnsi="Calibri"/>
                <w:color w:val="auto"/>
                <w:sz w:val="22"/>
                <w:szCs w:val="22"/>
              </w:rPr>
              <w:t>Broad support to sustainability practices reflected in the composition of the portfolio</w:t>
            </w:r>
          </w:p>
        </w:tc>
      </w:tr>
      <w:tr w:rsidR="000004E0" w:rsidRPr="00D0005A" w14:paraId="4F266056" w14:textId="77777777" w:rsidTr="5954F8B8">
        <w:trPr>
          <w:trHeight w:val="40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35BB43B"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E2D1A"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0B5070D"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57EF" w14:textId="16D68075" w:rsidR="000004E0" w:rsidRPr="00A84E9B" w:rsidRDefault="000B066D" w:rsidP="5954F8B8">
            <w:pPr>
              <w:pStyle w:val="Normal1"/>
              <w:spacing w:after="120" w:line="276" w:lineRule="auto"/>
              <w:rPr>
                <w:rFonts w:ascii="Calibri" w:hAnsi="Calibri"/>
                <w:b/>
                <w:bCs/>
                <w:color w:val="FF0000"/>
                <w:sz w:val="22"/>
                <w:szCs w:val="22"/>
              </w:rPr>
            </w:pPr>
            <w:r w:rsidRPr="5954F8B8">
              <w:rPr>
                <w:rFonts w:ascii="Calibri" w:hAnsi="Calibri"/>
                <w:b/>
                <w:bCs/>
                <w:color w:val="auto"/>
                <w:sz w:val="22"/>
                <w:szCs w:val="22"/>
              </w:rPr>
              <w:t>A+</w:t>
            </w:r>
          </w:p>
        </w:tc>
      </w:tr>
      <w:tr w:rsidR="000004E0" w:rsidRPr="00D0005A" w14:paraId="77552D72" w14:textId="77777777" w:rsidTr="5954F8B8">
        <w:trPr>
          <w:trHeight w:val="40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E4AAE78" w14:textId="77777777" w:rsidR="000004E0" w:rsidRPr="00D0005A" w:rsidRDefault="00CC1D65"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E24C"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Moderate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2FDD59FF"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Score in previous 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2640D"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A</w:t>
            </w:r>
          </w:p>
        </w:tc>
      </w:tr>
      <w:tr w:rsidR="00CC1D65" w:rsidRPr="00D0005A" w14:paraId="7A430107" w14:textId="77777777" w:rsidTr="5954F8B8">
        <w:trPr>
          <w:gridAfter w:val="3"/>
          <w:wAfter w:w="5103" w:type="dxa"/>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9BD6FBE" w14:textId="77777777" w:rsidR="00CC1D65" w:rsidRPr="00D0005A" w:rsidRDefault="00CC1D65" w:rsidP="00A0043B">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9349" w14:textId="77777777" w:rsidR="00CC1D65" w:rsidRPr="00D0005A" w:rsidRDefault="00CC1D65" w:rsidP="00A0043B">
            <w:pPr>
              <w:pStyle w:val="Normal1"/>
              <w:spacing w:after="120" w:line="276" w:lineRule="auto"/>
              <w:rPr>
                <w:rFonts w:ascii="Calibri" w:hAnsi="Calibri"/>
                <w:sz w:val="22"/>
                <w:szCs w:val="22"/>
              </w:rPr>
            </w:pPr>
            <w:r>
              <w:rPr>
                <w:rFonts w:ascii="Calibri" w:hAnsi="Calibri"/>
                <w:sz w:val="22"/>
                <w:szCs w:val="22"/>
              </w:rPr>
              <w:t>35%</w:t>
            </w:r>
          </w:p>
        </w:tc>
      </w:tr>
      <w:tr w:rsidR="00CC1D65" w:rsidRPr="00D0005A" w14:paraId="2E964791" w14:textId="77777777" w:rsidTr="5954F8B8">
        <w:trPr>
          <w:gridAfter w:val="3"/>
          <w:wAfter w:w="5103" w:type="dxa"/>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78B5B81" w14:textId="0B31A484" w:rsidR="00CC1D65" w:rsidRPr="00D0005A" w:rsidRDefault="00CC1D65" w:rsidP="002D08A1">
            <w:pPr>
              <w:pStyle w:val="Normal1"/>
              <w:spacing w:after="120" w:line="276" w:lineRule="auto"/>
              <w:rPr>
                <w:rFonts w:ascii="Calibri" w:hAnsi="Calibri"/>
                <w:sz w:val="22"/>
                <w:szCs w:val="22"/>
              </w:rPr>
            </w:pPr>
            <w:r w:rsidRPr="00D0005A">
              <w:rPr>
                <w:rFonts w:ascii="Calibri" w:hAnsi="Calibri"/>
                <w:sz w:val="22"/>
                <w:szCs w:val="22"/>
              </w:rPr>
              <w:lastRenderedPageBreak/>
              <w:t xml:space="preserve">Impact weighting % </w:t>
            </w:r>
            <w:r>
              <w:rPr>
                <w:rFonts w:ascii="Calibri" w:hAnsi="Calibri"/>
                <w:sz w:val="22"/>
                <w:szCs w:val="22"/>
              </w:rPr>
              <w:t>in</w:t>
            </w:r>
            <w:r w:rsidR="008625ED">
              <w:rPr>
                <w:rFonts w:ascii="Calibri" w:hAnsi="Calibri"/>
                <w:sz w:val="22"/>
                <w:szCs w:val="22"/>
              </w:rPr>
              <w:t xml:space="preserve"> last AR</w:t>
            </w:r>
            <w:r w:rsidRPr="00D0005A">
              <w:rPr>
                <w:rFonts w:ascii="Calibri" w:hAnsi="Calibri"/>
                <w:sz w:val="22"/>
                <w:szCs w:val="22"/>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26EB5" w14:textId="77777777" w:rsidR="00CC1D65" w:rsidRPr="00D0005A" w:rsidRDefault="00CC1D65" w:rsidP="00A0043B">
            <w:pPr>
              <w:pStyle w:val="Normal1"/>
              <w:spacing w:after="120" w:line="276" w:lineRule="auto"/>
              <w:rPr>
                <w:rFonts w:ascii="Calibri" w:hAnsi="Calibri"/>
                <w:sz w:val="22"/>
                <w:szCs w:val="22"/>
              </w:rPr>
            </w:pPr>
            <w:r w:rsidRPr="0051376B">
              <w:rPr>
                <w:rFonts w:ascii="Calibri" w:hAnsi="Calibri"/>
                <w:sz w:val="22"/>
                <w:szCs w:val="22"/>
              </w:rPr>
              <w:t>35%</w:t>
            </w:r>
          </w:p>
          <w:p w14:paraId="679DDF8E" w14:textId="77777777" w:rsidR="00CC1D65" w:rsidRPr="00D0005A" w:rsidRDefault="00CC1D65" w:rsidP="00A0043B">
            <w:pPr>
              <w:pStyle w:val="Normal1"/>
              <w:spacing w:after="120" w:line="276" w:lineRule="auto"/>
              <w:rPr>
                <w:rFonts w:ascii="Calibri" w:hAnsi="Calibri"/>
                <w:sz w:val="22"/>
                <w:szCs w:val="22"/>
              </w:rPr>
            </w:pPr>
          </w:p>
        </w:tc>
      </w:tr>
    </w:tbl>
    <w:p w14:paraId="56445E9D" w14:textId="77777777" w:rsidR="000004E0" w:rsidRPr="00D0005A" w:rsidRDefault="000004E0" w:rsidP="000004E0">
      <w:pPr>
        <w:pStyle w:val="Normal1"/>
        <w:spacing w:after="120" w:line="276" w:lineRule="auto"/>
        <w:rPr>
          <w:rFonts w:ascii="Calibri" w:hAnsi="Calibri"/>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1701"/>
      </w:tblGrid>
      <w:tr w:rsidR="000004E0" w:rsidRPr="00D0005A" w14:paraId="538A4D09" w14:textId="77777777" w:rsidTr="5954F8B8">
        <w:trPr>
          <w:trHeight w:val="260"/>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7EE9E2E"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83708D4" w14:textId="67433C58" w:rsidR="000004E0" w:rsidRPr="00D0005A" w:rsidRDefault="000004E0" w:rsidP="5954F8B8">
            <w:pPr>
              <w:pStyle w:val="Normal1"/>
              <w:spacing w:after="120" w:line="276" w:lineRule="auto"/>
              <w:rPr>
                <w:rFonts w:ascii="Calibri" w:hAnsi="Calibri"/>
                <w:b/>
                <w:bCs/>
                <w:sz w:val="22"/>
                <w:szCs w:val="22"/>
              </w:rPr>
            </w:pPr>
            <w:r w:rsidRPr="5954F8B8">
              <w:rPr>
                <w:rFonts w:ascii="Calibri" w:hAnsi="Calibri"/>
                <w:b/>
                <w:bCs/>
                <w:sz w:val="22"/>
                <w:szCs w:val="22"/>
              </w:rPr>
              <w:t>Milestones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25A76B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6C2E50BC" w14:textId="77777777" w:rsidTr="5954F8B8">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A2F54" w14:textId="7986E0B3" w:rsidR="000004E0" w:rsidRPr="00D0005A" w:rsidRDefault="00317E7E" w:rsidP="00944FEA">
            <w:pPr>
              <w:pStyle w:val="Normal1"/>
              <w:spacing w:after="120" w:line="276" w:lineRule="auto"/>
              <w:ind w:left="360"/>
              <w:rPr>
                <w:rFonts w:ascii="Calibri" w:hAnsi="Calibri"/>
                <w:sz w:val="22"/>
                <w:szCs w:val="22"/>
              </w:rPr>
            </w:pPr>
            <w:r>
              <w:rPr>
                <w:rFonts w:ascii="Calibri" w:hAnsi="Calibri"/>
                <w:sz w:val="22"/>
                <w:szCs w:val="22"/>
              </w:rPr>
              <w:t>2.1</w:t>
            </w:r>
            <w:r w:rsidR="00944FEA">
              <w:rPr>
                <w:rFonts w:ascii="Calibri" w:hAnsi="Calibri"/>
                <w:sz w:val="22"/>
                <w:szCs w:val="22"/>
              </w:rPr>
              <w:t xml:space="preserve"> </w:t>
            </w:r>
            <w:r w:rsidR="001501EA" w:rsidRPr="001501EA">
              <w:rPr>
                <w:rFonts w:ascii="Calibri" w:hAnsi="Calibri"/>
                <w:sz w:val="22"/>
                <w:szCs w:val="22"/>
              </w:rPr>
              <w:t>Number of sustainability standards represented in the portfolio of sub-borrowers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69A49" w14:textId="241D20FD"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1</w:t>
            </w:r>
            <w:r w:rsidR="00695C0F">
              <w:rPr>
                <w:rFonts w:ascii="Calibri" w:hAnsi="Calibri"/>
                <w:sz w:val="22"/>
                <w:szCs w:val="22"/>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A43B" w14:textId="3C5EC439"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1</w:t>
            </w:r>
            <w:r w:rsidR="00695C0F">
              <w:rPr>
                <w:rFonts w:ascii="Calibri" w:hAnsi="Calibri"/>
                <w:sz w:val="22"/>
                <w:szCs w:val="22"/>
              </w:rPr>
              <w:t>8</w:t>
            </w:r>
          </w:p>
        </w:tc>
      </w:tr>
      <w:tr w:rsidR="000004E0" w:rsidRPr="00D0005A" w14:paraId="50212831" w14:textId="77777777" w:rsidTr="5954F8B8">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C2C51" w14:textId="5F824BFB" w:rsidR="000004E0" w:rsidRPr="00D0005A" w:rsidRDefault="00317E7E" w:rsidP="00C2084F">
            <w:pPr>
              <w:pStyle w:val="Normal1"/>
              <w:spacing w:after="120" w:line="276" w:lineRule="auto"/>
              <w:ind w:left="360"/>
              <w:jc w:val="both"/>
              <w:rPr>
                <w:rFonts w:ascii="Calibri" w:hAnsi="Calibri"/>
                <w:sz w:val="22"/>
                <w:szCs w:val="22"/>
              </w:rPr>
            </w:pPr>
            <w:r>
              <w:rPr>
                <w:rFonts w:ascii="Calibri" w:hAnsi="Calibri"/>
                <w:sz w:val="22"/>
                <w:szCs w:val="22"/>
              </w:rPr>
              <w:t>2.2</w:t>
            </w:r>
            <w:r w:rsidR="00944FEA">
              <w:rPr>
                <w:rFonts w:ascii="Calibri" w:hAnsi="Calibri"/>
                <w:sz w:val="22"/>
                <w:szCs w:val="22"/>
              </w:rPr>
              <w:t xml:space="preserve"> </w:t>
            </w:r>
            <w:r w:rsidR="001501EA" w:rsidRPr="001501EA">
              <w:rPr>
                <w:rFonts w:ascii="Calibri" w:hAnsi="Calibri"/>
                <w:sz w:val="22"/>
                <w:szCs w:val="22"/>
              </w:rPr>
              <w:t>Number of Green List measures represented in the portfolio of sub-borrowers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E82E" w14:textId="66A104F2" w:rsidR="000004E0" w:rsidRPr="00D0005A" w:rsidRDefault="00695C0F" w:rsidP="009C0299">
            <w:pPr>
              <w:pStyle w:val="Normal1"/>
              <w:spacing w:after="120" w:line="276" w:lineRule="auto"/>
              <w:jc w:val="center"/>
              <w:rPr>
                <w:rFonts w:ascii="Calibri" w:hAnsi="Calibri"/>
                <w:sz w:val="22"/>
                <w:szCs w:val="22"/>
              </w:rPr>
            </w:pPr>
            <w:r>
              <w:rPr>
                <w:rFonts w:ascii="Calibri" w:hAnsi="Calibri"/>
                <w:sz w:val="22"/>
                <w:szCs w:val="22"/>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14DC" w14:textId="4F5A9C25" w:rsidR="000004E0" w:rsidRPr="00D0005A" w:rsidRDefault="00695C0F" w:rsidP="009C0299">
            <w:pPr>
              <w:pStyle w:val="Normal1"/>
              <w:spacing w:after="120" w:line="276" w:lineRule="auto"/>
              <w:jc w:val="center"/>
              <w:rPr>
                <w:rFonts w:ascii="Calibri" w:hAnsi="Calibri"/>
                <w:sz w:val="22"/>
                <w:szCs w:val="22"/>
              </w:rPr>
            </w:pPr>
            <w:r>
              <w:rPr>
                <w:rFonts w:ascii="Calibri" w:hAnsi="Calibri"/>
                <w:sz w:val="22"/>
                <w:szCs w:val="22"/>
              </w:rPr>
              <w:t>20</w:t>
            </w:r>
          </w:p>
        </w:tc>
      </w:tr>
      <w:tr w:rsidR="000004E0" w:rsidRPr="00D0005A" w14:paraId="1ED3CCE0" w14:textId="77777777" w:rsidTr="5954F8B8">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FCBC6" w14:textId="24A9D62B" w:rsidR="000004E0" w:rsidRPr="00D0005A" w:rsidRDefault="00317E7E" w:rsidP="00C2084F">
            <w:pPr>
              <w:pStyle w:val="Normal1"/>
              <w:spacing w:after="120" w:line="276" w:lineRule="auto"/>
              <w:ind w:left="360"/>
              <w:jc w:val="both"/>
              <w:rPr>
                <w:rFonts w:ascii="Calibri" w:hAnsi="Calibri"/>
                <w:sz w:val="22"/>
                <w:szCs w:val="22"/>
              </w:rPr>
            </w:pPr>
            <w:r>
              <w:rPr>
                <w:rFonts w:ascii="Calibri" w:hAnsi="Calibri"/>
                <w:sz w:val="22"/>
                <w:szCs w:val="22"/>
              </w:rPr>
              <w:t>2.3</w:t>
            </w:r>
            <w:r w:rsidR="00944FEA">
              <w:rPr>
                <w:rFonts w:ascii="Calibri" w:hAnsi="Calibri"/>
                <w:sz w:val="22"/>
                <w:szCs w:val="22"/>
              </w:rPr>
              <w:t xml:space="preserve"> </w:t>
            </w:r>
            <w:r w:rsidR="001501EA" w:rsidRPr="001501EA">
              <w:rPr>
                <w:rFonts w:ascii="Calibri" w:hAnsi="Calibri"/>
                <w:sz w:val="22"/>
                <w:szCs w:val="22"/>
              </w:rPr>
              <w:t>Outstanding Amount (USD millions) invested in certified sub-borrowers</w:t>
            </w:r>
            <w:r w:rsidR="00A25907">
              <w:rPr>
                <w:rStyle w:val="FootnoteReference"/>
                <w:rFonts w:ascii="Calibri" w:hAnsi="Calibri"/>
                <w:sz w:val="22"/>
                <w:szCs w:val="22"/>
              </w:rPr>
              <w:footnoteReference w:id="4"/>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3AF4" w14:textId="59B7DE41" w:rsidR="000004E0" w:rsidRPr="00D0005A" w:rsidRDefault="00C01550" w:rsidP="009C0299">
            <w:pPr>
              <w:pStyle w:val="Normal1"/>
              <w:spacing w:after="120" w:line="276" w:lineRule="auto"/>
              <w:jc w:val="center"/>
              <w:rPr>
                <w:rFonts w:ascii="Calibri" w:hAnsi="Calibri"/>
                <w:sz w:val="22"/>
                <w:szCs w:val="22"/>
              </w:rPr>
            </w:pPr>
            <w:r>
              <w:rPr>
                <w:rFonts w:ascii="Calibri" w:hAnsi="Calibri"/>
                <w:sz w:val="22"/>
                <w:szCs w:val="22"/>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77C2D" w14:textId="7DD64C36" w:rsidR="000004E0" w:rsidRPr="00D0005A" w:rsidRDefault="00C01550" w:rsidP="009C0299">
            <w:pPr>
              <w:pStyle w:val="Normal1"/>
              <w:spacing w:after="120" w:line="276" w:lineRule="auto"/>
              <w:jc w:val="center"/>
              <w:rPr>
                <w:rFonts w:ascii="Calibri" w:hAnsi="Calibri"/>
                <w:sz w:val="22"/>
                <w:szCs w:val="22"/>
              </w:rPr>
            </w:pPr>
            <w:r>
              <w:rPr>
                <w:rFonts w:ascii="Calibri" w:hAnsi="Calibri"/>
                <w:sz w:val="22"/>
                <w:szCs w:val="22"/>
              </w:rPr>
              <w:t>n/a</w:t>
            </w:r>
          </w:p>
        </w:tc>
      </w:tr>
      <w:tr w:rsidR="000004E0" w:rsidRPr="00D0005A" w14:paraId="25EE1BA8" w14:textId="77777777" w:rsidTr="5954F8B8">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77109" w14:textId="2289FE5F" w:rsidR="000004E0" w:rsidRPr="00D0005A" w:rsidRDefault="00317E7E" w:rsidP="00C2084F">
            <w:pPr>
              <w:pStyle w:val="Normal1"/>
              <w:spacing w:after="120" w:line="276" w:lineRule="auto"/>
              <w:ind w:left="360"/>
              <w:jc w:val="both"/>
              <w:rPr>
                <w:rFonts w:ascii="Calibri" w:hAnsi="Calibri"/>
                <w:sz w:val="22"/>
                <w:szCs w:val="22"/>
              </w:rPr>
            </w:pPr>
            <w:r>
              <w:rPr>
                <w:rFonts w:ascii="Calibri" w:hAnsi="Calibri"/>
                <w:sz w:val="22"/>
                <w:szCs w:val="22"/>
              </w:rPr>
              <w:t>2.4</w:t>
            </w:r>
            <w:r w:rsidR="00944FEA">
              <w:rPr>
                <w:rFonts w:ascii="Calibri" w:hAnsi="Calibri"/>
                <w:sz w:val="22"/>
                <w:szCs w:val="22"/>
              </w:rPr>
              <w:t xml:space="preserve"> </w:t>
            </w:r>
            <w:r w:rsidR="001501EA" w:rsidRPr="001501EA">
              <w:rPr>
                <w:rFonts w:ascii="Calibri" w:hAnsi="Calibri"/>
                <w:sz w:val="22"/>
                <w:szCs w:val="22"/>
              </w:rPr>
              <w:t>Outstanding Amount (USD millions) invested in green list measures</w:t>
            </w:r>
            <w:r w:rsidR="00A25907">
              <w:rPr>
                <w:rStyle w:val="FootnoteReference"/>
                <w:rFonts w:ascii="Calibri" w:hAnsi="Calibri"/>
                <w:sz w:val="22"/>
                <w:szCs w:val="22"/>
              </w:rPr>
              <w:footnoteReference w:id="5"/>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840EF" w14:textId="2136A356" w:rsidR="000004E0" w:rsidRPr="00D0005A" w:rsidRDefault="00C01550" w:rsidP="009C0299">
            <w:pPr>
              <w:pStyle w:val="Normal1"/>
              <w:spacing w:after="120" w:line="276" w:lineRule="auto"/>
              <w:jc w:val="center"/>
              <w:rPr>
                <w:rFonts w:ascii="Calibri" w:hAnsi="Calibri"/>
                <w:sz w:val="22"/>
                <w:szCs w:val="22"/>
              </w:rPr>
            </w:pPr>
            <w:r>
              <w:rPr>
                <w:rFonts w:ascii="Calibri" w:hAnsi="Calibri"/>
                <w:sz w:val="22"/>
                <w:szCs w:val="22"/>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FE26C" w14:textId="4824ED7D" w:rsidR="000004E0" w:rsidRPr="00D0005A" w:rsidRDefault="00C01550" w:rsidP="009C0299">
            <w:pPr>
              <w:pStyle w:val="Normal1"/>
              <w:spacing w:after="120" w:line="276" w:lineRule="auto"/>
              <w:jc w:val="center"/>
              <w:rPr>
                <w:rFonts w:ascii="Calibri" w:hAnsi="Calibri"/>
                <w:sz w:val="22"/>
                <w:szCs w:val="22"/>
              </w:rPr>
            </w:pPr>
            <w:r>
              <w:rPr>
                <w:rFonts w:ascii="Calibri" w:hAnsi="Calibri"/>
                <w:sz w:val="22"/>
                <w:szCs w:val="22"/>
              </w:rPr>
              <w:t>n/a</w:t>
            </w:r>
          </w:p>
        </w:tc>
      </w:tr>
    </w:tbl>
    <w:p w14:paraId="3AA7CE61" w14:textId="77777777" w:rsidR="00AC4AB4" w:rsidRDefault="00AC4AB4" w:rsidP="000004E0">
      <w:pPr>
        <w:pStyle w:val="Normal1"/>
        <w:spacing w:after="120" w:line="276" w:lineRule="auto"/>
        <w:jc w:val="both"/>
        <w:rPr>
          <w:rFonts w:ascii="Calibri" w:hAnsi="Calibri"/>
          <w:b/>
          <w:sz w:val="22"/>
          <w:szCs w:val="22"/>
        </w:rPr>
      </w:pPr>
    </w:p>
    <w:p w14:paraId="2560BEE6" w14:textId="02DFF44E" w:rsidR="001501EA" w:rsidRDefault="000004E0" w:rsidP="000004E0">
      <w:pPr>
        <w:pStyle w:val="Normal1"/>
        <w:spacing w:after="120" w:line="276" w:lineRule="auto"/>
        <w:jc w:val="both"/>
        <w:rPr>
          <w:rFonts w:ascii="Calibri" w:hAnsi="Calibri"/>
          <w:sz w:val="22"/>
          <w:szCs w:val="22"/>
        </w:rPr>
      </w:pPr>
      <w:r w:rsidRPr="00D0005A">
        <w:rPr>
          <w:rFonts w:ascii="Calibri" w:hAnsi="Calibri"/>
          <w:b/>
          <w:sz w:val="22"/>
          <w:szCs w:val="22"/>
        </w:rPr>
        <w:t>Key Points</w:t>
      </w:r>
    </w:p>
    <w:p w14:paraId="156E9085" w14:textId="5B6EBEEB" w:rsidR="00695C0F" w:rsidRDefault="00B677FA" w:rsidP="000004E0">
      <w:pPr>
        <w:pStyle w:val="Normal1"/>
        <w:spacing w:after="120" w:line="276" w:lineRule="auto"/>
        <w:jc w:val="both"/>
        <w:rPr>
          <w:rFonts w:ascii="Calibri" w:hAnsi="Calibri"/>
          <w:sz w:val="22"/>
          <w:szCs w:val="22"/>
        </w:rPr>
      </w:pPr>
      <w:r>
        <w:rPr>
          <w:rFonts w:ascii="Calibri" w:hAnsi="Calibri"/>
          <w:sz w:val="22"/>
          <w:szCs w:val="22"/>
        </w:rPr>
        <w:t>In 201</w:t>
      </w:r>
      <w:r w:rsidR="00695C0F">
        <w:rPr>
          <w:rFonts w:ascii="Calibri" w:hAnsi="Calibri"/>
          <w:sz w:val="22"/>
          <w:szCs w:val="22"/>
        </w:rPr>
        <w:t>9</w:t>
      </w:r>
      <w:r>
        <w:rPr>
          <w:rFonts w:ascii="Calibri" w:hAnsi="Calibri"/>
          <w:sz w:val="22"/>
          <w:szCs w:val="22"/>
        </w:rPr>
        <w:t xml:space="preserve">, </w:t>
      </w:r>
      <w:r w:rsidR="0078217D">
        <w:rPr>
          <w:rFonts w:ascii="Calibri" w:hAnsi="Calibri"/>
          <w:sz w:val="22"/>
          <w:szCs w:val="22"/>
        </w:rPr>
        <w:t>Output Indicators 2.1</w:t>
      </w:r>
      <w:r w:rsidR="004D68B1">
        <w:rPr>
          <w:rFonts w:ascii="Calibri" w:hAnsi="Calibri"/>
          <w:sz w:val="22"/>
          <w:szCs w:val="22"/>
        </w:rPr>
        <w:t xml:space="preserve"> and </w:t>
      </w:r>
      <w:r w:rsidR="0078217D">
        <w:rPr>
          <w:rFonts w:ascii="Calibri" w:hAnsi="Calibri"/>
          <w:sz w:val="22"/>
          <w:szCs w:val="22"/>
        </w:rPr>
        <w:t>2.2</w:t>
      </w:r>
      <w:r w:rsidR="00D019AC">
        <w:rPr>
          <w:rFonts w:ascii="Calibri" w:hAnsi="Calibri"/>
          <w:sz w:val="22"/>
          <w:szCs w:val="22"/>
        </w:rPr>
        <w:t xml:space="preserve"> (number of sustainability standards and green list measures)</w:t>
      </w:r>
      <w:r w:rsidR="004D68B1">
        <w:rPr>
          <w:rFonts w:ascii="Calibri" w:hAnsi="Calibri"/>
          <w:sz w:val="22"/>
          <w:szCs w:val="22"/>
        </w:rPr>
        <w:t xml:space="preserve"> </w:t>
      </w:r>
      <w:r w:rsidR="005D7C7F">
        <w:rPr>
          <w:rFonts w:ascii="Calibri" w:hAnsi="Calibri"/>
          <w:sz w:val="22"/>
          <w:szCs w:val="22"/>
        </w:rPr>
        <w:t>have</w:t>
      </w:r>
      <w:r w:rsidR="009420AA">
        <w:rPr>
          <w:rFonts w:ascii="Calibri" w:hAnsi="Calibri"/>
          <w:sz w:val="22"/>
          <w:szCs w:val="22"/>
        </w:rPr>
        <w:t xml:space="preserve"> increased </w:t>
      </w:r>
      <w:r w:rsidR="00695C0F">
        <w:rPr>
          <w:rFonts w:ascii="Calibri" w:hAnsi="Calibri"/>
          <w:sz w:val="22"/>
          <w:szCs w:val="22"/>
        </w:rPr>
        <w:t>substantially</w:t>
      </w:r>
      <w:r w:rsidR="000B066D">
        <w:rPr>
          <w:rFonts w:ascii="Calibri" w:hAnsi="Calibri"/>
          <w:sz w:val="22"/>
          <w:szCs w:val="22"/>
        </w:rPr>
        <w:t>.</w:t>
      </w:r>
    </w:p>
    <w:p w14:paraId="6FFED99C" w14:textId="58AF9707" w:rsidR="000B066D" w:rsidRDefault="00CF0653" w:rsidP="000004E0">
      <w:pPr>
        <w:pStyle w:val="Normal1"/>
        <w:spacing w:after="120" w:line="276" w:lineRule="auto"/>
        <w:jc w:val="both"/>
        <w:rPr>
          <w:rFonts w:ascii="Calibri" w:hAnsi="Calibri"/>
          <w:sz w:val="22"/>
          <w:szCs w:val="22"/>
        </w:rPr>
      </w:pPr>
      <w:r>
        <w:rPr>
          <w:rFonts w:ascii="Calibri" w:hAnsi="Calibri"/>
          <w:sz w:val="22"/>
          <w:szCs w:val="22"/>
        </w:rPr>
        <w:t>We expect a continued growth in the green list certification</w:t>
      </w:r>
      <w:r w:rsidR="000B066D">
        <w:rPr>
          <w:rFonts w:ascii="Calibri" w:hAnsi="Calibri"/>
          <w:sz w:val="22"/>
          <w:szCs w:val="22"/>
        </w:rPr>
        <w:t xml:space="preserve">. In 2019 this has </w:t>
      </w:r>
      <w:r w:rsidR="00A72908">
        <w:rPr>
          <w:rFonts w:ascii="Calibri" w:hAnsi="Calibri"/>
          <w:sz w:val="22"/>
          <w:szCs w:val="22"/>
        </w:rPr>
        <w:t>predominantly</w:t>
      </w:r>
      <w:r w:rsidR="000B066D">
        <w:rPr>
          <w:rFonts w:ascii="Calibri" w:hAnsi="Calibri"/>
          <w:sz w:val="22"/>
          <w:szCs w:val="22"/>
        </w:rPr>
        <w:t xml:space="preserve"> been down to an increase in irrigation</w:t>
      </w:r>
      <w:r w:rsidR="00A72908">
        <w:rPr>
          <w:rFonts w:ascii="Calibri" w:hAnsi="Calibri"/>
          <w:sz w:val="22"/>
          <w:szCs w:val="22"/>
        </w:rPr>
        <w:t xml:space="preserve"> and agroforestry</w:t>
      </w:r>
      <w:r w:rsidR="000B066D">
        <w:rPr>
          <w:rFonts w:ascii="Calibri" w:hAnsi="Calibri"/>
          <w:sz w:val="22"/>
          <w:szCs w:val="22"/>
        </w:rPr>
        <w:t xml:space="preserve"> related system</w:t>
      </w:r>
      <w:r w:rsidR="00A72908">
        <w:rPr>
          <w:rFonts w:ascii="Calibri" w:hAnsi="Calibri"/>
          <w:sz w:val="22"/>
          <w:szCs w:val="22"/>
        </w:rPr>
        <w:t xml:space="preserve">s, including </w:t>
      </w:r>
      <w:r w:rsidR="000B066D">
        <w:rPr>
          <w:rFonts w:ascii="Calibri" w:hAnsi="Calibri"/>
          <w:sz w:val="22"/>
          <w:szCs w:val="22"/>
        </w:rPr>
        <w:t>renovation of plantations</w:t>
      </w:r>
      <w:r w:rsidR="00A72908">
        <w:rPr>
          <w:rFonts w:ascii="Calibri" w:hAnsi="Calibri"/>
          <w:sz w:val="22"/>
          <w:szCs w:val="22"/>
        </w:rPr>
        <w:t>. Further, livestock has seen an increase of investments made through pasture-forest integration for grazing land.</w:t>
      </w:r>
    </w:p>
    <w:p w14:paraId="36A17609" w14:textId="77777777" w:rsidR="00D43078" w:rsidRDefault="00D43078" w:rsidP="00D43078">
      <w:pPr>
        <w:pStyle w:val="Normal1"/>
        <w:spacing w:after="120" w:line="276" w:lineRule="auto"/>
        <w:jc w:val="both"/>
        <w:rPr>
          <w:rFonts w:ascii="Calibri" w:hAnsi="Calibri"/>
          <w:b/>
          <w:sz w:val="22"/>
          <w:szCs w:val="22"/>
        </w:rPr>
      </w:pPr>
    </w:p>
    <w:p w14:paraId="3837B1B6" w14:textId="704588E4" w:rsidR="00D43078" w:rsidRDefault="000004E0" w:rsidP="00D43078">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3AF7AB89" w14:textId="59550EAC" w:rsidR="0049732E" w:rsidRDefault="00FB1FBE" w:rsidP="3651B6FB">
      <w:pPr>
        <w:pStyle w:val="Normal1"/>
        <w:spacing w:after="120" w:line="276" w:lineRule="auto"/>
        <w:jc w:val="both"/>
        <w:rPr>
          <w:rFonts w:ascii="Calibri" w:hAnsi="Calibri"/>
          <w:color w:val="000000" w:themeColor="text1"/>
          <w:sz w:val="22"/>
          <w:szCs w:val="22"/>
        </w:rPr>
      </w:pPr>
      <w:r w:rsidRPr="71E92DF2">
        <w:rPr>
          <w:rFonts w:ascii="Calibri" w:hAnsi="Calibri"/>
          <w:color w:val="000000" w:themeColor="text1"/>
          <w:sz w:val="22"/>
          <w:szCs w:val="22"/>
        </w:rPr>
        <w:t>In 201</w:t>
      </w:r>
      <w:r w:rsidR="00F76D09" w:rsidRPr="71E92DF2">
        <w:rPr>
          <w:rFonts w:ascii="Calibri" w:hAnsi="Calibri"/>
          <w:color w:val="000000" w:themeColor="text1"/>
          <w:sz w:val="22"/>
          <w:szCs w:val="22"/>
        </w:rPr>
        <w:t>9</w:t>
      </w:r>
      <w:r w:rsidR="008A364F" w:rsidRPr="71E92DF2">
        <w:rPr>
          <w:rFonts w:ascii="Calibri" w:hAnsi="Calibri"/>
          <w:color w:val="000000" w:themeColor="text1"/>
          <w:sz w:val="22"/>
          <w:szCs w:val="22"/>
        </w:rPr>
        <w:t xml:space="preserve">, </w:t>
      </w:r>
      <w:r w:rsidRPr="71E92DF2">
        <w:rPr>
          <w:rFonts w:ascii="Calibri" w:hAnsi="Calibri"/>
          <w:color w:val="000000" w:themeColor="text1"/>
          <w:sz w:val="22"/>
          <w:szCs w:val="22"/>
        </w:rPr>
        <w:t xml:space="preserve">indicators 2.1 and 2.2 </w:t>
      </w:r>
      <w:r w:rsidR="00CF0653" w:rsidRPr="71E92DF2">
        <w:rPr>
          <w:rFonts w:ascii="Calibri" w:hAnsi="Calibri"/>
          <w:color w:val="000000" w:themeColor="text1"/>
          <w:sz w:val="22"/>
          <w:szCs w:val="22"/>
        </w:rPr>
        <w:t xml:space="preserve">significantly </w:t>
      </w:r>
      <w:r w:rsidRPr="71E92DF2">
        <w:rPr>
          <w:rFonts w:ascii="Calibri" w:hAnsi="Calibri"/>
          <w:color w:val="000000" w:themeColor="text1"/>
          <w:sz w:val="22"/>
          <w:szCs w:val="22"/>
        </w:rPr>
        <w:t xml:space="preserve">exceeded milestone targets </w:t>
      </w:r>
      <w:r w:rsidR="00D91E33" w:rsidRPr="71E92DF2">
        <w:rPr>
          <w:rFonts w:ascii="Calibri" w:hAnsi="Calibri"/>
          <w:color w:val="000000" w:themeColor="text1"/>
          <w:sz w:val="22"/>
          <w:szCs w:val="22"/>
        </w:rPr>
        <w:t>for 201</w:t>
      </w:r>
      <w:r w:rsidR="00CF0653" w:rsidRPr="71E92DF2">
        <w:rPr>
          <w:rFonts w:ascii="Calibri" w:hAnsi="Calibri"/>
          <w:color w:val="000000" w:themeColor="text1"/>
          <w:sz w:val="22"/>
          <w:szCs w:val="22"/>
        </w:rPr>
        <w:t>9</w:t>
      </w:r>
      <w:r w:rsidR="00D91E33" w:rsidRPr="71E92DF2">
        <w:rPr>
          <w:rFonts w:ascii="Calibri" w:hAnsi="Calibri"/>
          <w:color w:val="000000" w:themeColor="text1"/>
          <w:sz w:val="22"/>
          <w:szCs w:val="22"/>
        </w:rPr>
        <w:t xml:space="preserve"> </w:t>
      </w:r>
      <w:r w:rsidRPr="71E92DF2">
        <w:rPr>
          <w:rFonts w:ascii="Calibri" w:hAnsi="Calibri"/>
          <w:color w:val="000000" w:themeColor="text1"/>
          <w:sz w:val="22"/>
          <w:szCs w:val="22"/>
        </w:rPr>
        <w:t xml:space="preserve">due to </w:t>
      </w:r>
      <w:r w:rsidR="1A7B099A" w:rsidRPr="71E92DF2">
        <w:rPr>
          <w:rFonts w:ascii="Calibri" w:hAnsi="Calibri"/>
          <w:color w:val="000000" w:themeColor="text1"/>
          <w:sz w:val="22"/>
          <w:szCs w:val="22"/>
        </w:rPr>
        <w:t xml:space="preserve">investment in </w:t>
      </w:r>
      <w:r w:rsidRPr="71E92DF2">
        <w:rPr>
          <w:rFonts w:ascii="Calibri" w:hAnsi="Calibri"/>
          <w:color w:val="000000" w:themeColor="text1"/>
          <w:sz w:val="22"/>
          <w:szCs w:val="22"/>
        </w:rPr>
        <w:t>new</w:t>
      </w:r>
      <w:r w:rsidR="00A72908" w:rsidRPr="71E92DF2">
        <w:rPr>
          <w:rFonts w:ascii="Calibri" w:hAnsi="Calibri"/>
          <w:color w:val="000000" w:themeColor="text1"/>
          <w:sz w:val="22"/>
          <w:szCs w:val="22"/>
        </w:rPr>
        <w:t xml:space="preserve"> agroforestry, irrigation and integrated forest-livestock systems</w:t>
      </w:r>
      <w:r w:rsidR="009420AA" w:rsidRPr="71E92DF2">
        <w:rPr>
          <w:rFonts w:ascii="Calibri" w:hAnsi="Calibri"/>
          <w:color w:val="000000" w:themeColor="text1"/>
          <w:sz w:val="22"/>
          <w:szCs w:val="22"/>
        </w:rPr>
        <w:t xml:space="preserve">. </w:t>
      </w:r>
      <w:r w:rsidR="002647CF">
        <w:rPr>
          <w:rFonts w:ascii="Calibri" w:hAnsi="Calibri"/>
          <w:color w:val="000000" w:themeColor="text1"/>
          <w:sz w:val="22"/>
          <w:szCs w:val="22"/>
        </w:rPr>
        <w:t>The distribution of lending to certified businesses vs those using</w:t>
      </w:r>
      <w:r w:rsidR="00CF4014">
        <w:rPr>
          <w:rFonts w:ascii="Calibri" w:hAnsi="Calibri"/>
          <w:color w:val="000000" w:themeColor="text1"/>
          <w:sz w:val="22"/>
          <w:szCs w:val="22"/>
        </w:rPr>
        <w:t xml:space="preserve"> Green List</w:t>
      </w:r>
      <w:r w:rsidR="002647CF">
        <w:rPr>
          <w:rFonts w:ascii="Calibri" w:hAnsi="Calibri"/>
          <w:color w:val="000000" w:themeColor="text1"/>
          <w:sz w:val="22"/>
          <w:szCs w:val="22"/>
        </w:rPr>
        <w:t xml:space="preserve"> </w:t>
      </w:r>
      <w:r w:rsidR="00CF4014">
        <w:rPr>
          <w:rFonts w:ascii="Calibri" w:hAnsi="Calibri"/>
          <w:color w:val="000000" w:themeColor="text1"/>
          <w:sz w:val="22"/>
          <w:szCs w:val="22"/>
        </w:rPr>
        <w:t>(</w:t>
      </w:r>
      <w:r w:rsidR="00E648CB">
        <w:rPr>
          <w:rFonts w:ascii="Calibri" w:hAnsi="Calibri"/>
          <w:color w:val="000000" w:themeColor="text1"/>
          <w:sz w:val="22"/>
          <w:szCs w:val="22"/>
        </w:rPr>
        <w:t>GL) measures</w:t>
      </w:r>
      <w:r w:rsidR="002647CF">
        <w:rPr>
          <w:rFonts w:ascii="Calibri" w:hAnsi="Calibri"/>
          <w:color w:val="000000" w:themeColor="text1"/>
          <w:sz w:val="22"/>
          <w:szCs w:val="22"/>
        </w:rPr>
        <w:t xml:space="preserve"> is roughly three quarters to one quarter, showing that the majority of lending is made through sub-borrowers with a sustainability certification.</w:t>
      </w:r>
    </w:p>
    <w:p w14:paraId="53778D8A" w14:textId="041E70EF" w:rsidR="002647CF" w:rsidRDefault="002647CF" w:rsidP="004E3E37">
      <w:pPr>
        <w:pStyle w:val="CommentText"/>
        <w:rPr>
          <w:sz w:val="22"/>
          <w:szCs w:val="22"/>
        </w:rPr>
      </w:pPr>
      <w:r w:rsidRPr="71E92DF2">
        <w:rPr>
          <w:sz w:val="22"/>
          <w:szCs w:val="22"/>
        </w:rPr>
        <w:t>Sustainability certification examples</w:t>
      </w:r>
      <w:r>
        <w:rPr>
          <w:sz w:val="22"/>
          <w:szCs w:val="22"/>
        </w:rPr>
        <w:t xml:space="preserve"> includ</w:t>
      </w:r>
      <w:r w:rsidR="00C2084F">
        <w:rPr>
          <w:sz w:val="22"/>
          <w:szCs w:val="22"/>
        </w:rPr>
        <w:t xml:space="preserve">e </w:t>
      </w:r>
      <w:r>
        <w:rPr>
          <w:sz w:val="22"/>
          <w:szCs w:val="22"/>
        </w:rPr>
        <w:t xml:space="preserve">Rainforest </w:t>
      </w:r>
      <w:r w:rsidR="009A1A80">
        <w:rPr>
          <w:sz w:val="22"/>
          <w:szCs w:val="22"/>
        </w:rPr>
        <w:t>A</w:t>
      </w:r>
      <w:r>
        <w:rPr>
          <w:sz w:val="22"/>
          <w:szCs w:val="22"/>
        </w:rPr>
        <w:t>lliance</w:t>
      </w:r>
      <w:r w:rsidR="00C2084F">
        <w:rPr>
          <w:sz w:val="22"/>
          <w:szCs w:val="22"/>
        </w:rPr>
        <w:t xml:space="preserve">, </w:t>
      </w:r>
      <w:r>
        <w:rPr>
          <w:sz w:val="22"/>
          <w:szCs w:val="22"/>
        </w:rPr>
        <w:t xml:space="preserve">Fairtrade </w:t>
      </w:r>
      <w:r w:rsidR="009F4AAF">
        <w:rPr>
          <w:sz w:val="22"/>
          <w:szCs w:val="22"/>
        </w:rPr>
        <w:t>S</w:t>
      </w:r>
      <w:r>
        <w:rPr>
          <w:sz w:val="22"/>
          <w:szCs w:val="22"/>
        </w:rPr>
        <w:t xml:space="preserve">tandard for </w:t>
      </w:r>
      <w:r w:rsidR="009F4AAF">
        <w:rPr>
          <w:sz w:val="22"/>
          <w:szCs w:val="22"/>
        </w:rPr>
        <w:t>S</w:t>
      </w:r>
      <w:r>
        <w:rPr>
          <w:sz w:val="22"/>
          <w:szCs w:val="22"/>
        </w:rPr>
        <w:t xml:space="preserve">mall </w:t>
      </w:r>
      <w:r w:rsidR="009F4AAF">
        <w:rPr>
          <w:sz w:val="22"/>
          <w:szCs w:val="22"/>
        </w:rPr>
        <w:t>P</w:t>
      </w:r>
      <w:r>
        <w:rPr>
          <w:sz w:val="22"/>
          <w:szCs w:val="22"/>
        </w:rPr>
        <w:t>roducers</w:t>
      </w:r>
      <w:r w:rsidR="00C2084F">
        <w:rPr>
          <w:sz w:val="22"/>
          <w:szCs w:val="22"/>
        </w:rPr>
        <w:t xml:space="preserve">, </w:t>
      </w:r>
      <w:r>
        <w:rPr>
          <w:sz w:val="22"/>
          <w:szCs w:val="22"/>
        </w:rPr>
        <w:t xml:space="preserve">Marine Stewardship Council, </w:t>
      </w:r>
      <w:r w:rsidR="00C2084F">
        <w:rPr>
          <w:sz w:val="22"/>
          <w:szCs w:val="22"/>
        </w:rPr>
        <w:t>(</w:t>
      </w:r>
      <w:r>
        <w:rPr>
          <w:sz w:val="22"/>
          <w:szCs w:val="22"/>
        </w:rPr>
        <w:t>MSC</w:t>
      </w:r>
      <w:r w:rsidR="00C2084F">
        <w:rPr>
          <w:sz w:val="22"/>
          <w:szCs w:val="22"/>
        </w:rPr>
        <w:t>)</w:t>
      </w:r>
      <w:r>
        <w:rPr>
          <w:sz w:val="22"/>
          <w:szCs w:val="22"/>
        </w:rPr>
        <w:t xml:space="preserve"> </w:t>
      </w:r>
      <w:r w:rsidR="00C2084F">
        <w:rPr>
          <w:sz w:val="22"/>
          <w:szCs w:val="22"/>
        </w:rPr>
        <w:t xml:space="preserve"> and Aquaculture</w:t>
      </w:r>
      <w:r>
        <w:rPr>
          <w:sz w:val="22"/>
          <w:szCs w:val="22"/>
        </w:rPr>
        <w:t xml:space="preserve"> Stewardship Council </w:t>
      </w:r>
      <w:r w:rsidR="00C2084F">
        <w:rPr>
          <w:sz w:val="22"/>
          <w:szCs w:val="22"/>
        </w:rPr>
        <w:t>(</w:t>
      </w:r>
      <w:r>
        <w:rPr>
          <w:sz w:val="22"/>
          <w:szCs w:val="22"/>
        </w:rPr>
        <w:t>ASC</w:t>
      </w:r>
      <w:r w:rsidR="00C2084F">
        <w:rPr>
          <w:sz w:val="22"/>
          <w:szCs w:val="22"/>
        </w:rPr>
        <w:t>).</w:t>
      </w:r>
    </w:p>
    <w:p w14:paraId="721E4292" w14:textId="549BC20D" w:rsidR="002647CF" w:rsidRDefault="002647CF" w:rsidP="002647CF">
      <w:pPr>
        <w:pStyle w:val="CommentText"/>
        <w:rPr>
          <w:sz w:val="22"/>
          <w:szCs w:val="22"/>
        </w:rPr>
      </w:pPr>
      <w:r w:rsidRPr="1CC9E06E">
        <w:rPr>
          <w:sz w:val="22"/>
          <w:szCs w:val="22"/>
        </w:rPr>
        <w:t>In 2019</w:t>
      </w:r>
      <w:r w:rsidR="00944FEA">
        <w:rPr>
          <w:sz w:val="22"/>
          <w:szCs w:val="22"/>
        </w:rPr>
        <w:t>,</w:t>
      </w:r>
      <w:r w:rsidRPr="1CC9E06E">
        <w:rPr>
          <w:sz w:val="22"/>
          <w:szCs w:val="22"/>
        </w:rPr>
        <w:t xml:space="preserve"> 5 sustainability certifications </w:t>
      </w:r>
      <w:r w:rsidR="00E95CF0">
        <w:rPr>
          <w:sz w:val="22"/>
          <w:szCs w:val="22"/>
        </w:rPr>
        <w:t xml:space="preserve">were </w:t>
      </w:r>
      <w:r w:rsidRPr="1CC9E06E">
        <w:rPr>
          <w:sz w:val="22"/>
          <w:szCs w:val="22"/>
        </w:rPr>
        <w:t xml:space="preserve">added </w:t>
      </w:r>
      <w:r w:rsidR="00E95CF0">
        <w:rPr>
          <w:sz w:val="22"/>
          <w:szCs w:val="22"/>
        </w:rPr>
        <w:t xml:space="preserve">to the portfolio. </w:t>
      </w:r>
    </w:p>
    <w:p w14:paraId="191C7319" w14:textId="51019B94" w:rsidR="0049732E" w:rsidRPr="00D43078" w:rsidRDefault="0E9C6DAF" w:rsidP="3651B6FB">
      <w:pPr>
        <w:pStyle w:val="CommentText"/>
        <w:rPr>
          <w:sz w:val="22"/>
          <w:szCs w:val="22"/>
        </w:rPr>
      </w:pPr>
      <w:r w:rsidRPr="3651B6FB">
        <w:rPr>
          <w:sz w:val="22"/>
          <w:szCs w:val="22"/>
        </w:rPr>
        <w:t>T</w:t>
      </w:r>
      <w:r w:rsidR="59F1E5D2" w:rsidRPr="3651B6FB">
        <w:rPr>
          <w:sz w:val="22"/>
          <w:szCs w:val="22"/>
        </w:rPr>
        <w:t>he</w:t>
      </w:r>
      <w:r w:rsidR="00CF4014">
        <w:rPr>
          <w:sz w:val="22"/>
          <w:szCs w:val="22"/>
        </w:rPr>
        <w:t xml:space="preserve"> </w:t>
      </w:r>
      <w:r w:rsidR="3612D270" w:rsidRPr="3651B6FB">
        <w:rPr>
          <w:sz w:val="22"/>
          <w:szCs w:val="22"/>
        </w:rPr>
        <w:t>GL</w:t>
      </w:r>
      <w:r w:rsidR="59F1E5D2" w:rsidRPr="3651B6FB">
        <w:rPr>
          <w:sz w:val="22"/>
          <w:szCs w:val="22"/>
        </w:rPr>
        <w:t xml:space="preserve"> is a comprehensive list of measures which </w:t>
      </w:r>
      <w:r w:rsidR="2563F7CC" w:rsidRPr="3651B6FB">
        <w:rPr>
          <w:sz w:val="22"/>
          <w:szCs w:val="22"/>
        </w:rPr>
        <w:t xml:space="preserve">is </w:t>
      </w:r>
      <w:r w:rsidR="59F1E5D2" w:rsidRPr="3651B6FB">
        <w:rPr>
          <w:sz w:val="22"/>
          <w:szCs w:val="22"/>
        </w:rPr>
        <w:t>compiled based on</w:t>
      </w:r>
      <w:r w:rsidR="4610B472" w:rsidRPr="3651B6FB">
        <w:rPr>
          <w:sz w:val="22"/>
          <w:szCs w:val="22"/>
        </w:rPr>
        <w:t xml:space="preserve"> a</w:t>
      </w:r>
      <w:r w:rsidR="59F1E5D2" w:rsidRPr="3651B6FB">
        <w:rPr>
          <w:sz w:val="22"/>
          <w:szCs w:val="22"/>
        </w:rPr>
        <w:t xml:space="preserve"> literature review, benchmarking and sector practice assessment. The respective measures </w:t>
      </w:r>
      <w:r w:rsidR="05BFAB8B" w:rsidRPr="3651B6FB">
        <w:rPr>
          <w:sz w:val="22"/>
          <w:szCs w:val="22"/>
        </w:rPr>
        <w:t xml:space="preserve">are </w:t>
      </w:r>
      <w:r w:rsidR="59F1E5D2" w:rsidRPr="3651B6FB">
        <w:rPr>
          <w:sz w:val="22"/>
          <w:szCs w:val="22"/>
        </w:rPr>
        <w:t>then selected based on their contribution to the fund’s impact goals and confirmed by the fund’s Bo</w:t>
      </w:r>
      <w:r w:rsidR="3460F409" w:rsidRPr="3651B6FB">
        <w:rPr>
          <w:sz w:val="22"/>
          <w:szCs w:val="22"/>
        </w:rPr>
        <w:t xml:space="preserve">ard of </w:t>
      </w:r>
      <w:r w:rsidR="59F1E5D2" w:rsidRPr="3651B6FB">
        <w:rPr>
          <w:sz w:val="22"/>
          <w:szCs w:val="22"/>
        </w:rPr>
        <w:t>D</w:t>
      </w:r>
      <w:r w:rsidR="65D3482C" w:rsidRPr="3651B6FB">
        <w:rPr>
          <w:sz w:val="22"/>
          <w:szCs w:val="22"/>
        </w:rPr>
        <w:t>irectors.</w:t>
      </w:r>
      <w:r w:rsidR="1FAC80F4" w:rsidRPr="3651B6FB">
        <w:rPr>
          <w:sz w:val="22"/>
          <w:szCs w:val="22"/>
        </w:rPr>
        <w:t xml:space="preserve"> There are plans to extend the GL to include mea</w:t>
      </w:r>
      <w:r w:rsidR="005733CE">
        <w:rPr>
          <w:sz w:val="22"/>
          <w:szCs w:val="22"/>
        </w:rPr>
        <w:t>s</w:t>
      </w:r>
      <w:r w:rsidR="1FAC80F4" w:rsidRPr="3651B6FB">
        <w:rPr>
          <w:sz w:val="22"/>
          <w:szCs w:val="22"/>
        </w:rPr>
        <w:t>ures for the tourism sector in 2020, an area which the fund i</w:t>
      </w:r>
      <w:r w:rsidR="005733CE">
        <w:rPr>
          <w:sz w:val="22"/>
          <w:szCs w:val="22"/>
        </w:rPr>
        <w:t>s</w:t>
      </w:r>
      <w:r w:rsidR="1FAC80F4" w:rsidRPr="3651B6FB">
        <w:rPr>
          <w:sz w:val="22"/>
          <w:szCs w:val="22"/>
        </w:rPr>
        <w:t xml:space="preserve"> looking </w:t>
      </w:r>
      <w:r w:rsidR="005733CE">
        <w:rPr>
          <w:sz w:val="22"/>
          <w:szCs w:val="22"/>
        </w:rPr>
        <w:t>to</w:t>
      </w:r>
      <w:r w:rsidR="1FAC80F4" w:rsidRPr="3651B6FB">
        <w:rPr>
          <w:sz w:val="22"/>
          <w:szCs w:val="22"/>
        </w:rPr>
        <w:t xml:space="preserve"> expand further into in future.</w:t>
      </w:r>
    </w:p>
    <w:p w14:paraId="699FE4C9" w14:textId="1233B85F" w:rsidR="00B2516C" w:rsidRDefault="100C6A3F" w:rsidP="00C01550">
      <w:pPr>
        <w:pStyle w:val="Normal1"/>
        <w:spacing w:after="120" w:line="276" w:lineRule="auto"/>
        <w:jc w:val="both"/>
        <w:rPr>
          <w:sz w:val="22"/>
          <w:szCs w:val="22"/>
        </w:rPr>
      </w:pPr>
      <w:r w:rsidRPr="71E92DF2">
        <w:rPr>
          <w:rFonts w:ascii="Calibri" w:hAnsi="Calibri"/>
          <w:color w:val="000000" w:themeColor="text1"/>
          <w:sz w:val="22"/>
          <w:szCs w:val="22"/>
        </w:rPr>
        <w:lastRenderedPageBreak/>
        <w:t>GL</w:t>
      </w:r>
      <w:r w:rsidR="003E3ED0" w:rsidRPr="71E92DF2">
        <w:rPr>
          <w:rFonts w:ascii="Calibri" w:hAnsi="Calibri"/>
          <w:color w:val="000000" w:themeColor="text1"/>
          <w:sz w:val="22"/>
          <w:szCs w:val="22"/>
        </w:rPr>
        <w:t xml:space="preserve"> </w:t>
      </w:r>
      <w:r w:rsidR="009420AA" w:rsidRPr="71E92DF2">
        <w:rPr>
          <w:rFonts w:ascii="Calibri" w:hAnsi="Calibri"/>
          <w:color w:val="000000" w:themeColor="text1"/>
          <w:sz w:val="22"/>
          <w:szCs w:val="22"/>
        </w:rPr>
        <w:t xml:space="preserve">measure </w:t>
      </w:r>
      <w:r w:rsidR="7D5CD934" w:rsidRPr="71E92DF2">
        <w:rPr>
          <w:rFonts w:ascii="Calibri" w:hAnsi="Calibri"/>
          <w:color w:val="000000" w:themeColor="text1"/>
          <w:sz w:val="22"/>
          <w:szCs w:val="22"/>
        </w:rPr>
        <w:t xml:space="preserve">examples </w:t>
      </w:r>
      <w:r w:rsidR="0ADF7E2C" w:rsidRPr="71E92DF2">
        <w:rPr>
          <w:rFonts w:ascii="Calibri" w:hAnsi="Calibri"/>
          <w:color w:val="000000" w:themeColor="text1"/>
          <w:sz w:val="22"/>
          <w:szCs w:val="22"/>
        </w:rPr>
        <w:t>include</w:t>
      </w:r>
      <w:r w:rsidR="005757FC">
        <w:rPr>
          <w:rFonts w:ascii="Calibri" w:hAnsi="Calibri"/>
          <w:color w:val="000000" w:themeColor="text1"/>
          <w:sz w:val="22"/>
          <w:szCs w:val="22"/>
        </w:rPr>
        <w:t xml:space="preserve"> specific modernisation packages for ranching, </w:t>
      </w:r>
      <w:r w:rsidR="00644EE9">
        <w:rPr>
          <w:rFonts w:ascii="Calibri" w:hAnsi="Calibri"/>
          <w:color w:val="000000" w:themeColor="text1"/>
          <w:sz w:val="22"/>
          <w:szCs w:val="22"/>
        </w:rPr>
        <w:t>specific i</w:t>
      </w:r>
      <w:r w:rsidR="00644EE9" w:rsidRPr="00644EE9">
        <w:rPr>
          <w:rFonts w:ascii="Calibri" w:hAnsi="Calibri"/>
          <w:color w:val="000000" w:themeColor="text1"/>
          <w:sz w:val="22"/>
          <w:szCs w:val="22"/>
        </w:rPr>
        <w:t>nvestments in infrastructure and process automation to reduce losses and enhance productivity throughout the livestock production process</w:t>
      </w:r>
      <w:r w:rsidR="007452DB">
        <w:rPr>
          <w:rFonts w:ascii="Calibri" w:hAnsi="Calibri"/>
          <w:color w:val="000000" w:themeColor="text1"/>
          <w:sz w:val="22"/>
          <w:szCs w:val="22"/>
        </w:rPr>
        <w:t xml:space="preserve"> and cover cr</w:t>
      </w:r>
      <w:r w:rsidR="00BA7237">
        <w:rPr>
          <w:rFonts w:ascii="Calibri" w:hAnsi="Calibri"/>
          <w:color w:val="000000" w:themeColor="text1"/>
          <w:sz w:val="22"/>
          <w:szCs w:val="22"/>
        </w:rPr>
        <w:t>op season finance.</w:t>
      </w:r>
    </w:p>
    <w:p w14:paraId="528DB7E6" w14:textId="1AE11FF6" w:rsidR="0049732E" w:rsidRPr="00872C7E" w:rsidRDefault="00D028B5" w:rsidP="00A72908">
      <w:pPr>
        <w:pStyle w:val="CommentText"/>
        <w:rPr>
          <w:sz w:val="22"/>
          <w:szCs w:val="22"/>
          <w:u w:val="single"/>
        </w:rPr>
      </w:pPr>
      <w:r>
        <w:rPr>
          <w:sz w:val="22"/>
          <w:szCs w:val="22"/>
          <w:u w:val="single"/>
        </w:rPr>
        <w:t>Tourism</w:t>
      </w:r>
    </w:p>
    <w:p w14:paraId="29EE01D8" w14:textId="1D51E4A3" w:rsidR="001647EA" w:rsidRPr="00CF0653" w:rsidRDefault="00CF0653" w:rsidP="00CF0653">
      <w:pPr>
        <w:spacing w:before="0" w:line="240" w:lineRule="auto"/>
        <w:rPr>
          <w:rFonts w:eastAsia="Arial" w:cs="Arial"/>
          <w:color w:val="000000"/>
        </w:rPr>
      </w:pPr>
      <w:r>
        <w:t xml:space="preserve">EBF currently do not make any investments into the </w:t>
      </w:r>
      <w:r w:rsidR="008D7BBA">
        <w:t>t</w:t>
      </w:r>
      <w:r>
        <w:t xml:space="preserve">ourism </w:t>
      </w:r>
      <w:r w:rsidR="008D7BBA">
        <w:t>s</w:t>
      </w:r>
      <w:r>
        <w:t>ector. However, in 2020, EBF are reviewing criteria and standards which could be applicable to make those investments, under the guidance of the Board of Directors.</w:t>
      </w:r>
      <w:r w:rsidR="001647EA">
        <w:br w:type="page"/>
      </w:r>
    </w:p>
    <w:p w14:paraId="2AC97457" w14:textId="758FF1F9" w:rsidR="000004E0" w:rsidRPr="00903F1B" w:rsidRDefault="007D3D39" w:rsidP="00DD4C2A">
      <w:pPr>
        <w:pStyle w:val="Heading2"/>
        <w:rPr>
          <w:i/>
        </w:rPr>
      </w:pPr>
      <w:bookmarkStart w:id="10" w:name="_Toc51578518"/>
      <w:r>
        <w:lastRenderedPageBreak/>
        <w:t>B</w:t>
      </w:r>
      <w:r w:rsidR="000004E0" w:rsidRPr="00D0005A">
        <w:t>: DETAILED OUTPUT SCORING</w:t>
      </w:r>
      <w:bookmarkEnd w:id="10"/>
      <w:r w:rsidR="000004E0" w:rsidRPr="00D0005A">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1166"/>
        <w:gridCol w:w="38"/>
        <w:gridCol w:w="1095"/>
        <w:gridCol w:w="1418"/>
        <w:gridCol w:w="2977"/>
        <w:gridCol w:w="850"/>
      </w:tblGrid>
      <w:tr w:rsidR="000004E0" w:rsidRPr="00D0005A" w14:paraId="41B604ED" w14:textId="77777777" w:rsidTr="3651B6FB">
        <w:trPr>
          <w:trHeight w:val="400"/>
        </w:trPr>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D810247"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Title </w:t>
            </w:r>
          </w:p>
        </w:tc>
        <w:tc>
          <w:tcPr>
            <w:tcW w:w="75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1B03" w14:textId="5F26D515" w:rsidR="000004E0" w:rsidRPr="00D0005A" w:rsidRDefault="000004E0" w:rsidP="000004E0">
            <w:pPr>
              <w:pStyle w:val="Normal1"/>
              <w:spacing w:after="120" w:line="276" w:lineRule="auto"/>
              <w:rPr>
                <w:rFonts w:ascii="Calibri" w:hAnsi="Calibri"/>
                <w:color w:val="FF0000"/>
                <w:sz w:val="22"/>
                <w:szCs w:val="22"/>
              </w:rPr>
            </w:pPr>
            <w:r w:rsidRPr="3651B6FB">
              <w:rPr>
                <w:rFonts w:ascii="Calibri" w:hAnsi="Calibri"/>
                <w:color w:val="auto"/>
                <w:sz w:val="22"/>
                <w:szCs w:val="22"/>
              </w:rPr>
              <w:t xml:space="preserve">Provision of continuous and sufficient </w:t>
            </w:r>
            <w:r w:rsidR="67FDC683" w:rsidRPr="3651B6FB">
              <w:rPr>
                <w:rFonts w:ascii="Calibri" w:hAnsi="Calibri"/>
                <w:color w:val="auto"/>
                <w:sz w:val="22"/>
                <w:szCs w:val="22"/>
              </w:rPr>
              <w:t>TA</w:t>
            </w:r>
          </w:p>
        </w:tc>
      </w:tr>
      <w:tr w:rsidR="000004E0" w:rsidRPr="00D0005A" w14:paraId="63252FD8" w14:textId="77777777" w:rsidTr="3651B6FB">
        <w:trPr>
          <w:trHeight w:val="400"/>
        </w:trPr>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EE7D2D5"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344F"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D338927"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15776" w14:textId="67801955" w:rsidR="000004E0" w:rsidRPr="00A84E9B" w:rsidRDefault="00B92573" w:rsidP="000004E0">
            <w:pPr>
              <w:pStyle w:val="Normal1"/>
              <w:spacing w:after="120" w:line="276" w:lineRule="auto"/>
              <w:rPr>
                <w:rFonts w:ascii="Calibri" w:hAnsi="Calibri"/>
                <w:b/>
                <w:color w:val="FF0000"/>
                <w:sz w:val="22"/>
                <w:szCs w:val="22"/>
              </w:rPr>
            </w:pPr>
            <w:r w:rsidRPr="001E31C6">
              <w:rPr>
                <w:rFonts w:ascii="Calibri" w:hAnsi="Calibri"/>
                <w:b/>
                <w:color w:val="auto"/>
                <w:sz w:val="22"/>
                <w:szCs w:val="22"/>
              </w:rPr>
              <w:t>A</w:t>
            </w:r>
          </w:p>
        </w:tc>
      </w:tr>
      <w:tr w:rsidR="000004E0" w:rsidRPr="00D0005A" w14:paraId="77B34669" w14:textId="77777777" w:rsidTr="3651B6FB">
        <w:trPr>
          <w:trHeight w:val="400"/>
        </w:trPr>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24A9537A" w14:textId="77777777" w:rsidR="000004E0" w:rsidRPr="00D0005A" w:rsidRDefault="00872C7E"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3947" w14:textId="58726917" w:rsidR="000004E0" w:rsidRPr="00D0005A" w:rsidRDefault="00A63A77" w:rsidP="000004E0">
            <w:pPr>
              <w:pStyle w:val="Normal1"/>
              <w:spacing w:after="120" w:line="276" w:lineRule="auto"/>
              <w:rPr>
                <w:rFonts w:ascii="Calibri" w:hAnsi="Calibri"/>
                <w:sz w:val="22"/>
                <w:szCs w:val="22"/>
              </w:rPr>
            </w:pPr>
            <w:r>
              <w:rPr>
                <w:rFonts w:ascii="Calibri" w:hAnsi="Calibri"/>
                <w:sz w:val="22"/>
                <w:szCs w:val="22"/>
              </w:rPr>
              <w:t>Moderate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A4616FC"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C923E" w14:textId="77777777" w:rsidR="000004E0" w:rsidRPr="00D0005A" w:rsidRDefault="00FB5AA8" w:rsidP="00FB5AA8">
            <w:pPr>
              <w:pStyle w:val="Normal1"/>
              <w:spacing w:after="120" w:line="276" w:lineRule="auto"/>
              <w:rPr>
                <w:rFonts w:ascii="Calibri" w:hAnsi="Calibri"/>
                <w:sz w:val="22"/>
                <w:szCs w:val="22"/>
              </w:rPr>
            </w:pPr>
            <w:r>
              <w:rPr>
                <w:rFonts w:ascii="Calibri" w:hAnsi="Calibri"/>
                <w:sz w:val="22"/>
                <w:szCs w:val="22"/>
              </w:rPr>
              <w:t>15%</w:t>
            </w:r>
          </w:p>
        </w:tc>
      </w:tr>
      <w:tr w:rsidR="00872C7E" w:rsidRPr="00D0005A" w14:paraId="5E403C60" w14:textId="77777777" w:rsidTr="3651B6FB">
        <w:trPr>
          <w:gridAfter w:val="3"/>
          <w:wAfter w:w="5245" w:type="dxa"/>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3A12DF2" w14:textId="142B9697" w:rsidR="00872C7E" w:rsidRPr="00D0005A" w:rsidRDefault="5C928BD8" w:rsidP="000004E0">
            <w:pPr>
              <w:pStyle w:val="Normal1"/>
              <w:spacing w:after="120" w:line="276" w:lineRule="auto"/>
              <w:rPr>
                <w:rFonts w:ascii="Calibri" w:hAnsi="Calibri"/>
                <w:sz w:val="22"/>
                <w:szCs w:val="22"/>
              </w:rPr>
            </w:pPr>
            <w:r w:rsidRPr="71E92DF2">
              <w:rPr>
                <w:rFonts w:ascii="Calibri" w:hAnsi="Calibri"/>
                <w:sz w:val="22"/>
                <w:szCs w:val="22"/>
              </w:rPr>
              <w:t>Impact wei</w:t>
            </w:r>
            <w:r w:rsidR="001647EA" w:rsidRPr="71E92DF2">
              <w:rPr>
                <w:rFonts w:ascii="Calibri" w:hAnsi="Calibri"/>
                <w:sz w:val="22"/>
                <w:szCs w:val="22"/>
              </w:rPr>
              <w:t>ghting % revised since last AR</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63DF" w14:textId="77777777" w:rsidR="00872C7E" w:rsidRPr="00D0005A" w:rsidRDefault="5C928BD8" w:rsidP="00B900CC">
            <w:pPr>
              <w:pStyle w:val="Normal1"/>
              <w:spacing w:after="120" w:line="276" w:lineRule="auto"/>
              <w:rPr>
                <w:rFonts w:ascii="Calibri" w:hAnsi="Calibri"/>
                <w:sz w:val="22"/>
                <w:szCs w:val="22"/>
              </w:rPr>
            </w:pPr>
            <w:r w:rsidRPr="71E92DF2">
              <w:rPr>
                <w:rFonts w:ascii="Calibri" w:hAnsi="Calibri"/>
                <w:sz w:val="22"/>
                <w:szCs w:val="22"/>
              </w:rPr>
              <w:t>15%</w:t>
            </w:r>
          </w:p>
        </w:tc>
      </w:tr>
    </w:tbl>
    <w:p w14:paraId="61590AF6" w14:textId="77777777" w:rsidR="000004E0" w:rsidRPr="00D0005A" w:rsidRDefault="000004E0" w:rsidP="000004E0">
      <w:pPr>
        <w:pStyle w:val="Normal1"/>
        <w:spacing w:after="120" w:line="276" w:lineRule="auto"/>
        <w:rPr>
          <w:rFonts w:ascii="Calibri" w:hAnsi="Calibri"/>
          <w:b/>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268"/>
        <w:gridCol w:w="2126"/>
      </w:tblGrid>
      <w:tr w:rsidR="000004E0" w:rsidRPr="00D0005A" w14:paraId="4DBF4A52" w14:textId="77777777" w:rsidTr="5954F8B8">
        <w:trPr>
          <w:trHeight w:val="2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0066246"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FF4E846" w14:textId="04013F76" w:rsidR="000004E0" w:rsidRPr="00D0005A" w:rsidRDefault="000004E0" w:rsidP="5954F8B8">
            <w:pPr>
              <w:pStyle w:val="Normal1"/>
              <w:spacing w:after="120" w:line="276" w:lineRule="auto"/>
              <w:rPr>
                <w:rFonts w:ascii="Calibri" w:hAnsi="Calibri"/>
                <w:b/>
                <w:bCs/>
                <w:sz w:val="22"/>
                <w:szCs w:val="22"/>
              </w:rPr>
            </w:pPr>
            <w:r w:rsidRPr="5954F8B8">
              <w:rPr>
                <w:rFonts w:ascii="Calibri" w:hAnsi="Calibri"/>
                <w:b/>
                <w:bCs/>
                <w:sz w:val="22"/>
                <w:szCs w:val="22"/>
              </w:rPr>
              <w:t>Milestone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17FC54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62739463" w14:textId="77777777" w:rsidTr="5954F8B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3016F" w14:textId="77777777"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3.1. </w:t>
            </w:r>
            <w:r w:rsidRPr="00903F1B">
              <w:rPr>
                <w:rFonts w:ascii="Calibri" w:hAnsi="Calibri"/>
                <w:sz w:val="22"/>
                <w:szCs w:val="22"/>
              </w:rPr>
              <w:t>Number of on-going/outstanding TA projects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ACA67" w14:textId="6F2F33F7"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3AB68" w14:textId="737A533A"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30</w:t>
            </w:r>
          </w:p>
        </w:tc>
      </w:tr>
      <w:tr w:rsidR="000004E0" w:rsidRPr="00D0005A" w14:paraId="08CE7EEC" w14:textId="77777777" w:rsidTr="5954F8B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917B" w14:textId="6FC9761F"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3.2. </w:t>
            </w:r>
            <w:r w:rsidRPr="00903F1B">
              <w:rPr>
                <w:rFonts w:ascii="Calibri" w:hAnsi="Calibri"/>
                <w:sz w:val="22"/>
                <w:szCs w:val="22"/>
              </w:rPr>
              <w:t xml:space="preserve">Number of </w:t>
            </w:r>
            <w:r w:rsidR="00261682">
              <w:rPr>
                <w:rFonts w:ascii="Calibri" w:hAnsi="Calibri"/>
                <w:iCs/>
                <w:sz w:val="22"/>
                <w:szCs w:val="22"/>
              </w:rPr>
              <w:t>FI</w:t>
            </w:r>
            <w:r w:rsidR="00261682">
              <w:rPr>
                <w:rFonts w:ascii="Calibri" w:hAnsi="Calibri"/>
                <w:sz w:val="22"/>
                <w:szCs w:val="22"/>
              </w:rPr>
              <w:t xml:space="preserve">s </w:t>
            </w:r>
            <w:r w:rsidRPr="00903F1B">
              <w:rPr>
                <w:rFonts w:ascii="Calibri" w:hAnsi="Calibri"/>
                <w:sz w:val="22"/>
                <w:szCs w:val="22"/>
              </w:rPr>
              <w:t>supported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C44C" w14:textId="13F9E51B"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C5C53" w14:textId="7440188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w:t>
            </w:r>
            <w:r w:rsidR="00BA6A61">
              <w:rPr>
                <w:rFonts w:ascii="Calibri" w:hAnsi="Calibri"/>
                <w:sz w:val="22"/>
                <w:szCs w:val="22"/>
              </w:rPr>
              <w:t>7</w:t>
            </w:r>
          </w:p>
        </w:tc>
      </w:tr>
      <w:tr w:rsidR="000004E0" w:rsidRPr="00D0005A" w14:paraId="034B7CAC" w14:textId="77777777" w:rsidTr="5954F8B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7E1FF" w14:textId="77777777" w:rsidR="000004E0" w:rsidRPr="00D0005A" w:rsidRDefault="00903F1B" w:rsidP="00903F1B">
            <w:pPr>
              <w:pStyle w:val="Normal1"/>
              <w:tabs>
                <w:tab w:val="left" w:pos="1695"/>
              </w:tabs>
              <w:spacing w:after="120" w:line="276" w:lineRule="auto"/>
              <w:rPr>
                <w:rFonts w:ascii="Calibri" w:hAnsi="Calibri"/>
                <w:sz w:val="22"/>
                <w:szCs w:val="22"/>
              </w:rPr>
            </w:pPr>
            <w:r>
              <w:rPr>
                <w:rFonts w:ascii="Calibri" w:hAnsi="Calibri"/>
                <w:sz w:val="22"/>
                <w:szCs w:val="22"/>
              </w:rPr>
              <w:t xml:space="preserve">3.3. </w:t>
            </w:r>
            <w:r w:rsidRPr="00903F1B">
              <w:rPr>
                <w:rFonts w:ascii="Calibri" w:hAnsi="Calibri"/>
                <w:sz w:val="22"/>
                <w:szCs w:val="22"/>
              </w:rPr>
              <w:t>Number of completed TA projects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5F1AA" w14:textId="0A3F6B71"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4F4AD" w14:textId="05EE4AA2"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33</w:t>
            </w:r>
          </w:p>
        </w:tc>
      </w:tr>
      <w:tr w:rsidR="000004E0" w:rsidRPr="00D0005A" w14:paraId="145BBB74" w14:textId="77777777" w:rsidTr="5954F8B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A94A6" w14:textId="77777777"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3.4. </w:t>
            </w:r>
            <w:r w:rsidRPr="00903F1B">
              <w:rPr>
                <w:rFonts w:ascii="Calibri" w:hAnsi="Calibri"/>
                <w:sz w:val="22"/>
                <w:szCs w:val="22"/>
              </w:rPr>
              <w:t>Budget spent on TA projects (USD million)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566B3" w14:textId="7724562A" w:rsidR="000004E0" w:rsidRPr="00D0005A" w:rsidRDefault="00BA6A61" w:rsidP="00BA6A61">
            <w:pPr>
              <w:pStyle w:val="Normal1"/>
              <w:spacing w:after="120" w:line="276" w:lineRule="auto"/>
              <w:jc w:val="center"/>
              <w:rPr>
                <w:rFonts w:ascii="Calibri" w:hAnsi="Calibri"/>
                <w:sz w:val="22"/>
                <w:szCs w:val="22"/>
              </w:rPr>
            </w:pPr>
            <w:r>
              <w:rPr>
                <w:rFonts w:ascii="Calibri" w:hAnsi="Calibri"/>
                <w:sz w:val="22"/>
                <w:szCs w:val="22"/>
              </w:rPr>
              <w:t>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18298" w14:textId="557797DF"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2.1</w:t>
            </w:r>
          </w:p>
        </w:tc>
      </w:tr>
    </w:tbl>
    <w:p w14:paraId="1E3320AE" w14:textId="77777777" w:rsidR="000004E0" w:rsidRPr="00D0005A" w:rsidRDefault="000004E0" w:rsidP="000004E0">
      <w:pPr>
        <w:pStyle w:val="Normal1"/>
        <w:spacing w:after="120" w:line="276" w:lineRule="auto"/>
        <w:jc w:val="both"/>
        <w:rPr>
          <w:rFonts w:ascii="Calibri" w:hAnsi="Calibri"/>
          <w:b/>
          <w:sz w:val="22"/>
          <w:szCs w:val="22"/>
        </w:rPr>
      </w:pPr>
    </w:p>
    <w:p w14:paraId="2A7972A4" w14:textId="77777777" w:rsidR="000004E0"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102FBAFC" w14:textId="1A4F9E6F" w:rsidR="00903F1B" w:rsidRPr="00903F1B" w:rsidRDefault="00903F1B" w:rsidP="000004E0">
      <w:pPr>
        <w:pStyle w:val="Normal1"/>
        <w:spacing w:after="120" w:line="276" w:lineRule="auto"/>
        <w:jc w:val="both"/>
        <w:rPr>
          <w:rFonts w:ascii="Calibri" w:hAnsi="Calibri"/>
          <w:sz w:val="22"/>
          <w:szCs w:val="22"/>
        </w:rPr>
      </w:pPr>
      <w:r w:rsidRPr="00903F1B">
        <w:rPr>
          <w:rFonts w:ascii="Calibri" w:hAnsi="Calibri"/>
          <w:sz w:val="22"/>
          <w:szCs w:val="22"/>
        </w:rPr>
        <w:t>Across all</w:t>
      </w:r>
      <w:r>
        <w:rPr>
          <w:rFonts w:ascii="Calibri" w:hAnsi="Calibri"/>
          <w:sz w:val="22"/>
          <w:szCs w:val="22"/>
        </w:rPr>
        <w:t xml:space="preserve"> metrics the scale of TA support provided has increased</w:t>
      </w:r>
      <w:r w:rsidR="009420AA">
        <w:rPr>
          <w:rFonts w:ascii="Calibri" w:hAnsi="Calibri"/>
          <w:sz w:val="22"/>
          <w:szCs w:val="22"/>
        </w:rPr>
        <w:t xml:space="preserve"> - m</w:t>
      </w:r>
      <w:r w:rsidR="004B743C">
        <w:rPr>
          <w:rFonts w:ascii="Calibri" w:hAnsi="Calibri"/>
          <w:sz w:val="22"/>
          <w:szCs w:val="22"/>
        </w:rPr>
        <w:t>eeting all but one indicator</w:t>
      </w:r>
      <w:r w:rsidR="00BA6A61">
        <w:rPr>
          <w:rFonts w:ascii="Calibri" w:hAnsi="Calibri"/>
          <w:sz w:val="22"/>
          <w:szCs w:val="22"/>
        </w:rPr>
        <w:t xml:space="preserve"> (</w:t>
      </w:r>
      <w:r w:rsidR="008D7BBA">
        <w:rPr>
          <w:rFonts w:ascii="Calibri" w:hAnsi="Calibri"/>
          <w:sz w:val="22"/>
          <w:szCs w:val="22"/>
        </w:rPr>
        <w:t xml:space="preserve">budget spent on TA </w:t>
      </w:r>
      <w:r w:rsidR="00BA6A61">
        <w:rPr>
          <w:rFonts w:ascii="Calibri" w:hAnsi="Calibri"/>
          <w:sz w:val="22"/>
          <w:szCs w:val="22"/>
        </w:rPr>
        <w:t>project</w:t>
      </w:r>
      <w:r w:rsidR="008D7BBA">
        <w:rPr>
          <w:rFonts w:ascii="Calibri" w:hAnsi="Calibri"/>
          <w:sz w:val="22"/>
          <w:szCs w:val="22"/>
        </w:rPr>
        <w:t>s</w:t>
      </w:r>
      <w:r w:rsidR="00BA6A61">
        <w:rPr>
          <w:rFonts w:ascii="Calibri" w:hAnsi="Calibri"/>
          <w:sz w:val="22"/>
          <w:szCs w:val="22"/>
        </w:rPr>
        <w:t>)</w:t>
      </w:r>
      <w:r w:rsidR="009420AA">
        <w:rPr>
          <w:rFonts w:ascii="Calibri" w:hAnsi="Calibri"/>
          <w:sz w:val="22"/>
          <w:szCs w:val="22"/>
        </w:rPr>
        <w:t xml:space="preserve">. </w:t>
      </w:r>
      <w:r w:rsidR="00C23E2E">
        <w:rPr>
          <w:rFonts w:ascii="Calibri" w:hAnsi="Calibri"/>
          <w:sz w:val="22"/>
          <w:szCs w:val="22"/>
        </w:rPr>
        <w:t xml:space="preserve"> </w:t>
      </w:r>
    </w:p>
    <w:p w14:paraId="122516A0" w14:textId="666F3B91" w:rsidR="000004E0" w:rsidRPr="00D0005A"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0AD653E1" w14:textId="77777777" w:rsidR="00B94404" w:rsidRDefault="00B94404" w:rsidP="00B94404">
      <w:pPr>
        <w:pStyle w:val="Normal1"/>
        <w:spacing w:after="120" w:line="276" w:lineRule="auto"/>
        <w:jc w:val="both"/>
        <w:rPr>
          <w:rFonts w:ascii="Calibri" w:hAnsi="Calibri"/>
          <w:sz w:val="22"/>
          <w:szCs w:val="22"/>
        </w:rPr>
      </w:pPr>
      <w:r>
        <w:rPr>
          <w:rFonts w:ascii="Calibri" w:hAnsi="Calibri"/>
          <w:sz w:val="22"/>
          <w:szCs w:val="22"/>
        </w:rPr>
        <w:t>Several key activities have taken place to date:</w:t>
      </w:r>
    </w:p>
    <w:p w14:paraId="5B5C9CDA" w14:textId="685C106F" w:rsidR="00B94404" w:rsidRDefault="00B94404" w:rsidP="00B94404">
      <w:pPr>
        <w:pStyle w:val="Normal1"/>
        <w:numPr>
          <w:ilvl w:val="0"/>
          <w:numId w:val="28"/>
        </w:numPr>
        <w:spacing w:after="120" w:line="276" w:lineRule="auto"/>
        <w:jc w:val="both"/>
        <w:rPr>
          <w:rFonts w:ascii="Calibri" w:hAnsi="Calibri"/>
          <w:sz w:val="22"/>
          <w:szCs w:val="22"/>
        </w:rPr>
      </w:pPr>
      <w:r w:rsidRPr="75155D3C">
        <w:rPr>
          <w:rFonts w:ascii="Calibri" w:hAnsi="Calibri"/>
          <w:sz w:val="22"/>
          <w:szCs w:val="22"/>
        </w:rPr>
        <w:t>A</w:t>
      </w:r>
      <w:r w:rsidR="00F551E4">
        <w:rPr>
          <w:rFonts w:ascii="Calibri" w:hAnsi="Calibri"/>
          <w:sz w:val="22"/>
          <w:szCs w:val="22"/>
        </w:rPr>
        <w:t>ss</w:t>
      </w:r>
      <w:r w:rsidRPr="75155D3C">
        <w:rPr>
          <w:rFonts w:ascii="Calibri" w:hAnsi="Calibri"/>
          <w:sz w:val="22"/>
          <w:szCs w:val="22"/>
        </w:rPr>
        <w:t>ess the robustness of sustainability standards; ensuring EBF objectives are aligned and to increase and diversify the number of eligible standards. The EBF-Development Facility is now providing training in partner institutions.</w:t>
      </w:r>
    </w:p>
    <w:p w14:paraId="0AFA474B" w14:textId="61881C9C" w:rsidR="00B94404" w:rsidRDefault="00B94404" w:rsidP="00B94404">
      <w:pPr>
        <w:pStyle w:val="Normal1"/>
        <w:numPr>
          <w:ilvl w:val="0"/>
          <w:numId w:val="28"/>
        </w:numPr>
        <w:spacing w:after="120" w:line="276" w:lineRule="auto"/>
        <w:jc w:val="both"/>
        <w:rPr>
          <w:rFonts w:asciiTheme="minorHAnsi" w:eastAsiaTheme="minorEastAsia" w:hAnsiTheme="minorHAnsi" w:cstheme="minorBidi"/>
          <w:color w:val="000000" w:themeColor="text1"/>
          <w:sz w:val="22"/>
          <w:szCs w:val="22"/>
        </w:rPr>
      </w:pPr>
      <w:r w:rsidRPr="75155D3C">
        <w:rPr>
          <w:rFonts w:ascii="Calibri" w:hAnsi="Calibri"/>
          <w:sz w:val="22"/>
          <w:szCs w:val="22"/>
        </w:rPr>
        <w:t>Develop impact and sustainability frameworks: Both for the EBF-LAC as an impact investor, but also to develop</w:t>
      </w:r>
      <w:r w:rsidR="00F551E4">
        <w:rPr>
          <w:rFonts w:ascii="Calibri" w:hAnsi="Calibri"/>
          <w:sz w:val="22"/>
          <w:szCs w:val="22"/>
        </w:rPr>
        <w:t xml:space="preserve"> Environmental and Social Management Systems</w:t>
      </w:r>
      <w:r w:rsidRPr="75155D3C">
        <w:rPr>
          <w:rFonts w:ascii="Calibri" w:hAnsi="Calibri"/>
          <w:sz w:val="22"/>
          <w:szCs w:val="22"/>
        </w:rPr>
        <w:t xml:space="preserve"> </w:t>
      </w:r>
      <w:r w:rsidR="00F551E4">
        <w:rPr>
          <w:rFonts w:ascii="Calibri" w:hAnsi="Calibri"/>
          <w:sz w:val="22"/>
          <w:szCs w:val="22"/>
        </w:rPr>
        <w:t>(</w:t>
      </w:r>
      <w:r w:rsidRPr="75155D3C">
        <w:rPr>
          <w:rFonts w:ascii="Calibri" w:hAnsi="Calibri"/>
          <w:sz w:val="22"/>
          <w:szCs w:val="22"/>
        </w:rPr>
        <w:t>ESMS</w:t>
      </w:r>
      <w:r w:rsidR="00F551E4">
        <w:rPr>
          <w:rFonts w:ascii="Calibri" w:hAnsi="Calibri"/>
          <w:sz w:val="22"/>
          <w:szCs w:val="22"/>
        </w:rPr>
        <w:t>)</w:t>
      </w:r>
      <w:r w:rsidRPr="75155D3C">
        <w:rPr>
          <w:rFonts w:ascii="Calibri" w:hAnsi="Calibri"/>
          <w:sz w:val="22"/>
          <w:szCs w:val="22"/>
        </w:rPr>
        <w:t xml:space="preserve"> within partner institutions.</w:t>
      </w:r>
      <w:r w:rsidR="00F551E4">
        <w:rPr>
          <w:rFonts w:ascii="Calibri" w:hAnsi="Calibri"/>
          <w:sz w:val="22"/>
          <w:szCs w:val="22"/>
        </w:rPr>
        <w:t xml:space="preserve"> A ESMS is </w:t>
      </w:r>
      <w:r w:rsidR="00F551E4" w:rsidRPr="00F551E4">
        <w:rPr>
          <w:rFonts w:ascii="Calibri" w:hAnsi="Calibri"/>
          <w:sz w:val="22"/>
          <w:szCs w:val="22"/>
        </w:rPr>
        <w:t xml:space="preserve">a set of policies, procedures, tools and internal capacity to </w:t>
      </w:r>
      <w:r w:rsidR="00DF350D" w:rsidRPr="00DF350D">
        <w:rPr>
          <w:rFonts w:ascii="Calibri" w:hAnsi="Calibri"/>
          <w:sz w:val="22"/>
          <w:szCs w:val="22"/>
        </w:rPr>
        <w:t>identify and mitigate the potential environmental and social risks of a planned investment. By integrating ESMS into their lending decisions, banks and other financial institutions can comprehensively assess the overall impact of their activities, mitigate risks and strive for a more sustainable performance.</w:t>
      </w:r>
    </w:p>
    <w:p w14:paraId="3E8DB188" w14:textId="76D91012" w:rsidR="00B94404" w:rsidRDefault="00B94404" w:rsidP="00B94404">
      <w:pPr>
        <w:pStyle w:val="Normal1"/>
        <w:numPr>
          <w:ilvl w:val="0"/>
          <w:numId w:val="28"/>
        </w:numPr>
        <w:spacing w:after="120" w:line="276" w:lineRule="auto"/>
        <w:jc w:val="both"/>
        <w:rPr>
          <w:rFonts w:ascii="Calibri" w:hAnsi="Calibri"/>
          <w:sz w:val="22"/>
          <w:szCs w:val="22"/>
        </w:rPr>
      </w:pPr>
      <w:r>
        <w:rPr>
          <w:rFonts w:ascii="Calibri" w:hAnsi="Calibri"/>
          <w:sz w:val="22"/>
          <w:szCs w:val="22"/>
        </w:rPr>
        <w:t>Knowledge sharing: Dissemination of awareness-raising material for lending sustainably and using sustainability standards. Co-sponsoring events and building partnerships to provide training, such as at IDB, UNEP FI.</w:t>
      </w:r>
    </w:p>
    <w:p w14:paraId="3DFAC81B" w14:textId="55CE8972" w:rsidR="00903F1B" w:rsidRPr="00A47D2E" w:rsidRDefault="00B94404" w:rsidP="00CE3099">
      <w:pPr>
        <w:pStyle w:val="Normal1"/>
        <w:numPr>
          <w:ilvl w:val="0"/>
          <w:numId w:val="28"/>
        </w:numPr>
        <w:spacing w:after="120" w:line="276" w:lineRule="auto"/>
        <w:jc w:val="both"/>
        <w:rPr>
          <w:rFonts w:ascii="Calibri" w:hAnsi="Calibri"/>
          <w:sz w:val="22"/>
          <w:szCs w:val="22"/>
        </w:rPr>
      </w:pPr>
      <w:r>
        <w:rPr>
          <w:rFonts w:ascii="Calibri" w:hAnsi="Calibri"/>
          <w:sz w:val="22"/>
          <w:szCs w:val="22"/>
        </w:rPr>
        <w:t>Training in the use of innovative tools and techniques. For example</w:t>
      </w:r>
      <w:r w:rsidR="00787424" w:rsidRPr="00A47D2E">
        <w:rPr>
          <w:rFonts w:ascii="Calibri" w:hAnsi="Calibri"/>
          <w:sz w:val="22"/>
          <w:szCs w:val="22"/>
        </w:rPr>
        <w:t>,</w:t>
      </w:r>
      <w:r w:rsidR="00A47D2E" w:rsidRPr="00A47D2E">
        <w:rPr>
          <w:rFonts w:ascii="Calibri" w:hAnsi="Calibri"/>
          <w:sz w:val="22"/>
          <w:szCs w:val="22"/>
        </w:rPr>
        <w:t xml:space="preserve"> the</w:t>
      </w:r>
      <w:r w:rsidR="00787424" w:rsidRPr="00A47D2E">
        <w:rPr>
          <w:rFonts w:ascii="Calibri" w:hAnsi="Calibri"/>
          <w:sz w:val="22"/>
          <w:szCs w:val="22"/>
        </w:rPr>
        <w:t xml:space="preserve"> </w:t>
      </w:r>
      <w:r w:rsidR="000F403E">
        <w:rPr>
          <w:rFonts w:ascii="Calibri" w:hAnsi="Calibri"/>
          <w:sz w:val="22"/>
          <w:szCs w:val="22"/>
        </w:rPr>
        <w:t>EBF</w:t>
      </w:r>
      <w:r w:rsidR="00787424" w:rsidRPr="00A47D2E">
        <w:rPr>
          <w:rFonts w:ascii="Calibri" w:hAnsi="Calibri"/>
          <w:sz w:val="22"/>
          <w:szCs w:val="22"/>
        </w:rPr>
        <w:t xml:space="preserve"> </w:t>
      </w:r>
      <w:r w:rsidR="00A47D2E" w:rsidRPr="00A47D2E">
        <w:rPr>
          <w:rFonts w:ascii="Calibri" w:hAnsi="Calibri"/>
          <w:sz w:val="22"/>
          <w:szCs w:val="22"/>
        </w:rPr>
        <w:t xml:space="preserve">supported </w:t>
      </w:r>
      <w:r w:rsidR="00A8672D">
        <w:rPr>
          <w:rFonts w:ascii="Calibri" w:hAnsi="Calibri"/>
          <w:sz w:val="22"/>
          <w:szCs w:val="22"/>
        </w:rPr>
        <w:t>FIs</w:t>
      </w:r>
      <w:r w:rsidR="00A47D2E" w:rsidRPr="00A47D2E">
        <w:rPr>
          <w:rFonts w:ascii="Calibri" w:hAnsi="Calibri"/>
          <w:sz w:val="22"/>
          <w:szCs w:val="22"/>
        </w:rPr>
        <w:t xml:space="preserve"> and borrowers </w:t>
      </w:r>
      <w:r w:rsidR="00A47D2E">
        <w:rPr>
          <w:rFonts w:ascii="Calibri" w:hAnsi="Calibri"/>
          <w:sz w:val="22"/>
          <w:szCs w:val="22"/>
        </w:rPr>
        <w:t xml:space="preserve">in </w:t>
      </w:r>
      <w:r w:rsidR="00A47D2E" w:rsidRPr="00A47D2E">
        <w:rPr>
          <w:rFonts w:ascii="Calibri" w:hAnsi="Calibri"/>
          <w:sz w:val="22"/>
          <w:szCs w:val="22"/>
        </w:rPr>
        <w:t>Panama and Nicaragua to use drones and satellite imagery to collect data</w:t>
      </w:r>
      <w:r w:rsidR="00A47D2E">
        <w:rPr>
          <w:rFonts w:ascii="Calibri" w:hAnsi="Calibri"/>
          <w:sz w:val="22"/>
          <w:szCs w:val="22"/>
        </w:rPr>
        <w:t xml:space="preserve"> on farms</w:t>
      </w:r>
      <w:r w:rsidR="00A47D2E" w:rsidRPr="00A47D2E">
        <w:rPr>
          <w:rFonts w:ascii="Calibri" w:hAnsi="Calibri"/>
          <w:sz w:val="22"/>
          <w:szCs w:val="22"/>
        </w:rPr>
        <w:t xml:space="preserve">. This data can be used to assess environmental risk </w:t>
      </w:r>
      <w:r w:rsidR="00A47D2E">
        <w:rPr>
          <w:rFonts w:ascii="Calibri" w:hAnsi="Calibri"/>
          <w:sz w:val="22"/>
          <w:szCs w:val="22"/>
        </w:rPr>
        <w:t>to inform</w:t>
      </w:r>
      <w:r w:rsidR="00A47D2E" w:rsidRPr="00A47D2E">
        <w:rPr>
          <w:rFonts w:ascii="Calibri" w:hAnsi="Calibri"/>
          <w:sz w:val="22"/>
          <w:szCs w:val="22"/>
        </w:rPr>
        <w:t xml:space="preserve"> financial decision making. For example, more than 175 cattle ranches were analysed, and 100 management reports prepared throughout 2019</w:t>
      </w:r>
      <w:r w:rsidR="00A47D2E">
        <w:rPr>
          <w:rFonts w:ascii="Calibri" w:hAnsi="Calibri"/>
          <w:sz w:val="22"/>
          <w:szCs w:val="22"/>
        </w:rPr>
        <w:t>. These measures assist in preservation of remnant forests and focus re-planting efforts to avoid depletion and secure compliance of forest protection.</w:t>
      </w:r>
      <w:r w:rsidR="00903F1B">
        <w:br w:type="page"/>
      </w:r>
    </w:p>
    <w:p w14:paraId="58DB9716" w14:textId="5319925A" w:rsidR="000004E0" w:rsidRPr="00903F1B" w:rsidRDefault="007D3D39" w:rsidP="00DD4C2A">
      <w:pPr>
        <w:pStyle w:val="Heading2"/>
        <w:rPr>
          <w:i/>
        </w:rPr>
      </w:pPr>
      <w:bookmarkStart w:id="11" w:name="_Toc51578519"/>
      <w:r>
        <w:lastRenderedPageBreak/>
        <w:t>B</w:t>
      </w:r>
      <w:r w:rsidR="000004E0" w:rsidRPr="00D0005A">
        <w:t>: DETAILED OUTPUT SCORING</w:t>
      </w:r>
      <w:bookmarkEnd w:id="11"/>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543"/>
        <w:gridCol w:w="1124"/>
        <w:gridCol w:w="3103"/>
        <w:gridCol w:w="987"/>
      </w:tblGrid>
      <w:tr w:rsidR="000004E0" w:rsidRPr="00D0005A" w14:paraId="40822977" w14:textId="77777777" w:rsidTr="71E92DF2">
        <w:trPr>
          <w:trHeight w:val="381"/>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B401AAE" w14:textId="77777777" w:rsidR="000004E0" w:rsidRPr="00903F1B" w:rsidRDefault="000004E0" w:rsidP="000004E0">
            <w:pPr>
              <w:pStyle w:val="Normal1"/>
              <w:spacing w:after="120" w:line="276" w:lineRule="auto"/>
              <w:rPr>
                <w:rFonts w:ascii="Calibri" w:hAnsi="Calibri"/>
                <w:b/>
                <w:color w:val="auto"/>
                <w:sz w:val="22"/>
                <w:szCs w:val="22"/>
              </w:rPr>
            </w:pPr>
            <w:r w:rsidRPr="00903F1B">
              <w:rPr>
                <w:rFonts w:ascii="Calibri" w:hAnsi="Calibri"/>
                <w:b/>
                <w:color w:val="auto"/>
                <w:sz w:val="22"/>
                <w:szCs w:val="22"/>
              </w:rPr>
              <w:t xml:space="preserve">Output Title </w:t>
            </w:r>
          </w:p>
        </w:tc>
        <w:tc>
          <w:tcPr>
            <w:tcW w:w="67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706E" w14:textId="77777777" w:rsidR="000004E0" w:rsidRPr="00D26703" w:rsidRDefault="00903F1B" w:rsidP="000004E0">
            <w:pPr>
              <w:pStyle w:val="Normal1"/>
              <w:spacing w:after="120" w:line="276" w:lineRule="auto"/>
              <w:rPr>
                <w:rFonts w:ascii="Calibri" w:hAnsi="Calibri"/>
                <w:color w:val="auto"/>
                <w:sz w:val="22"/>
                <w:szCs w:val="22"/>
              </w:rPr>
            </w:pPr>
            <w:r w:rsidRPr="00D26703">
              <w:rPr>
                <w:rFonts w:ascii="Calibri" w:hAnsi="Calibri"/>
                <w:color w:val="auto"/>
                <w:sz w:val="22"/>
                <w:szCs w:val="22"/>
              </w:rPr>
              <w:t>Improved partnerships and development of activities with other sector stakeholders</w:t>
            </w:r>
          </w:p>
        </w:tc>
      </w:tr>
      <w:tr w:rsidR="000004E0" w:rsidRPr="00D0005A" w14:paraId="2E784742" w14:textId="77777777" w:rsidTr="71E92DF2">
        <w:trPr>
          <w:trHeight w:val="381"/>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C7D9D95"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357C9"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4</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31BA11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F9B4" w14:textId="39245378" w:rsidR="000004E0" w:rsidRPr="009C0299" w:rsidRDefault="007431F9" w:rsidP="000004E0">
            <w:pPr>
              <w:pStyle w:val="Normal1"/>
              <w:spacing w:after="120" w:line="276" w:lineRule="auto"/>
              <w:rPr>
                <w:rFonts w:ascii="Calibri" w:hAnsi="Calibri"/>
                <w:color w:val="FF0000"/>
                <w:sz w:val="22"/>
                <w:szCs w:val="22"/>
              </w:rPr>
            </w:pPr>
            <w:r w:rsidRPr="001E31C6">
              <w:rPr>
                <w:rFonts w:ascii="Calibri" w:hAnsi="Calibri"/>
                <w:color w:val="auto"/>
                <w:sz w:val="22"/>
                <w:szCs w:val="22"/>
              </w:rPr>
              <w:t>A</w:t>
            </w:r>
          </w:p>
        </w:tc>
      </w:tr>
      <w:tr w:rsidR="000004E0" w:rsidRPr="00D0005A" w14:paraId="1DAAC1D8" w14:textId="77777777" w:rsidTr="71E92DF2">
        <w:trPr>
          <w:trHeight w:val="381"/>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75272C9" w14:textId="77777777" w:rsidR="000004E0" w:rsidRPr="00D0005A" w:rsidRDefault="00872C7E"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C288" w14:textId="55C7D039" w:rsidR="000004E0" w:rsidRPr="00D0005A" w:rsidRDefault="00B369C2" w:rsidP="71E92DF2">
            <w:pPr>
              <w:pStyle w:val="Normal1"/>
              <w:spacing w:after="120" w:line="276" w:lineRule="auto"/>
              <w:rPr>
                <w:rFonts w:ascii="Calibri" w:hAnsi="Calibri"/>
                <w:sz w:val="22"/>
                <w:szCs w:val="22"/>
              </w:rPr>
            </w:pPr>
            <w:r w:rsidRPr="71E92DF2">
              <w:rPr>
                <w:rFonts w:ascii="Calibri" w:hAnsi="Calibri"/>
                <w:sz w:val="22"/>
                <w:szCs w:val="22"/>
              </w:rPr>
              <w:t>Moderate</w:t>
            </w:r>
          </w:p>
          <w:p w14:paraId="110A719F" w14:textId="65848DD7" w:rsidR="000004E0" w:rsidRPr="00D0005A" w:rsidRDefault="000004E0" w:rsidP="71E92DF2">
            <w:pPr>
              <w:pStyle w:val="Normal1"/>
              <w:spacing w:after="120" w:line="276" w:lineRule="auto"/>
              <w:rPr>
                <w:color w:val="000000" w:themeColor="text1"/>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8B5AA1E" w14:textId="77777777" w:rsidR="000004E0" w:rsidRPr="00D0005A" w:rsidRDefault="00C316C6" w:rsidP="000004E0">
            <w:pPr>
              <w:pStyle w:val="Normal1"/>
              <w:spacing w:after="120" w:line="276" w:lineRule="auto"/>
              <w:rPr>
                <w:rFonts w:ascii="Calibri" w:hAnsi="Calibri"/>
                <w:sz w:val="22"/>
                <w:szCs w:val="22"/>
              </w:rPr>
            </w:pPr>
            <w:r>
              <w:rPr>
                <w:rFonts w:ascii="Calibri" w:hAnsi="Calibri"/>
                <w:sz w:val="22"/>
                <w:szCs w:val="22"/>
              </w:rPr>
              <w:t>Previous AR score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C1412" w14:textId="3D105B6B" w:rsidR="000004E0" w:rsidRPr="00D0005A" w:rsidRDefault="00BA6A61" w:rsidP="000004E0">
            <w:pPr>
              <w:pStyle w:val="Normal1"/>
              <w:spacing w:after="120" w:line="276" w:lineRule="auto"/>
              <w:rPr>
                <w:rFonts w:ascii="Calibri" w:hAnsi="Calibri"/>
                <w:sz w:val="22"/>
                <w:szCs w:val="22"/>
              </w:rPr>
            </w:pPr>
            <w:r>
              <w:rPr>
                <w:rFonts w:ascii="Calibri" w:hAnsi="Calibri"/>
                <w:sz w:val="22"/>
                <w:szCs w:val="22"/>
              </w:rPr>
              <w:t>B</w:t>
            </w:r>
          </w:p>
        </w:tc>
      </w:tr>
      <w:tr w:rsidR="00872C7E" w:rsidRPr="00D0005A" w14:paraId="296D4E29" w14:textId="77777777" w:rsidTr="71E92DF2">
        <w:trPr>
          <w:gridAfter w:val="3"/>
          <w:wAfter w:w="5214" w:type="dxa"/>
          <w:trHeight w:val="408"/>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ADB4400" w14:textId="77777777" w:rsidR="00872C7E" w:rsidRPr="00D0005A" w:rsidRDefault="00872C7E" w:rsidP="00C316C6">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C8740" w14:textId="77777777" w:rsidR="00872C7E" w:rsidRDefault="00872C7E" w:rsidP="00C316C6">
            <w:pPr>
              <w:pStyle w:val="Normal1"/>
              <w:spacing w:after="120" w:line="276" w:lineRule="auto"/>
              <w:rPr>
                <w:rFonts w:ascii="Calibri" w:hAnsi="Calibri"/>
                <w:sz w:val="22"/>
                <w:szCs w:val="22"/>
              </w:rPr>
            </w:pPr>
            <w:r>
              <w:rPr>
                <w:rFonts w:ascii="Calibri" w:hAnsi="Calibri"/>
                <w:sz w:val="22"/>
                <w:szCs w:val="22"/>
              </w:rPr>
              <w:t>15%</w:t>
            </w:r>
          </w:p>
        </w:tc>
      </w:tr>
      <w:tr w:rsidR="00872C7E" w:rsidRPr="00D0005A" w14:paraId="56E02948" w14:textId="77777777" w:rsidTr="71E92DF2">
        <w:trPr>
          <w:gridAfter w:val="3"/>
          <w:wAfter w:w="5214" w:type="dxa"/>
          <w:trHeight w:val="803"/>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15C3F4D" w14:textId="175E0D5E" w:rsidR="00872C7E" w:rsidRPr="00D0005A" w:rsidRDefault="00872C7E" w:rsidP="00C316C6">
            <w:pPr>
              <w:pStyle w:val="Normal1"/>
              <w:spacing w:after="120" w:line="276" w:lineRule="auto"/>
              <w:rPr>
                <w:rFonts w:ascii="Calibri" w:hAnsi="Calibri"/>
                <w:sz w:val="22"/>
                <w:szCs w:val="22"/>
              </w:rPr>
            </w:pPr>
            <w:r w:rsidRPr="00D0005A">
              <w:rPr>
                <w:rFonts w:ascii="Calibri" w:hAnsi="Calibri"/>
                <w:sz w:val="22"/>
                <w:szCs w:val="22"/>
              </w:rPr>
              <w:t>Impact wei</w:t>
            </w:r>
            <w:r w:rsidR="009C0299">
              <w:rPr>
                <w:rFonts w:ascii="Calibri" w:hAnsi="Calibri"/>
                <w:sz w:val="22"/>
                <w:szCs w:val="22"/>
              </w:rPr>
              <w:t>ghting % revised since last AR</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566F5" w14:textId="77777777" w:rsidR="00872C7E" w:rsidRPr="00D0005A" w:rsidRDefault="00872C7E" w:rsidP="00C316C6">
            <w:pPr>
              <w:pStyle w:val="Normal1"/>
              <w:spacing w:after="120" w:line="276" w:lineRule="auto"/>
              <w:rPr>
                <w:rFonts w:ascii="Calibri" w:hAnsi="Calibri"/>
                <w:sz w:val="22"/>
                <w:szCs w:val="22"/>
              </w:rPr>
            </w:pPr>
            <w:r>
              <w:rPr>
                <w:rFonts w:ascii="Calibri" w:hAnsi="Calibri"/>
                <w:sz w:val="22"/>
                <w:szCs w:val="22"/>
              </w:rPr>
              <w:t>N/A</w:t>
            </w:r>
          </w:p>
          <w:p w14:paraId="237B93C1" w14:textId="77777777" w:rsidR="00872C7E" w:rsidRPr="00D0005A" w:rsidRDefault="00872C7E" w:rsidP="00C316C6">
            <w:pPr>
              <w:pStyle w:val="Normal1"/>
              <w:spacing w:after="120" w:line="276" w:lineRule="auto"/>
              <w:rPr>
                <w:rFonts w:ascii="Calibri" w:hAnsi="Calibri"/>
                <w:sz w:val="22"/>
                <w:szCs w:val="22"/>
              </w:rPr>
            </w:pPr>
          </w:p>
        </w:tc>
      </w:tr>
    </w:tbl>
    <w:p w14:paraId="709C84A6" w14:textId="77777777" w:rsidR="000004E0" w:rsidRPr="00D0005A" w:rsidRDefault="000004E0" w:rsidP="00F2322F">
      <w:pPr>
        <w:pStyle w:val="Normal1"/>
        <w:spacing w:after="120" w:line="276" w:lineRule="auto"/>
        <w:rPr>
          <w:rFonts w:ascii="Calibri" w:hAnsi="Calibri"/>
          <w:b/>
          <w:sz w:val="22"/>
          <w:szCs w:val="22"/>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2268"/>
        <w:gridCol w:w="1559"/>
      </w:tblGrid>
      <w:tr w:rsidR="000004E0" w:rsidRPr="00D0005A" w14:paraId="122DF47C" w14:textId="77777777" w:rsidTr="5954F8B8">
        <w:trPr>
          <w:trHeight w:val="260"/>
        </w:trPr>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F99B7C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72D626F" w14:textId="0BC55E0B" w:rsidR="000004E0" w:rsidRPr="00D0005A" w:rsidRDefault="000004E0" w:rsidP="5954F8B8">
            <w:pPr>
              <w:pStyle w:val="Normal1"/>
              <w:spacing w:after="120" w:line="276" w:lineRule="auto"/>
              <w:rPr>
                <w:rFonts w:ascii="Calibri" w:hAnsi="Calibri"/>
                <w:b/>
                <w:bCs/>
                <w:sz w:val="22"/>
                <w:szCs w:val="22"/>
              </w:rPr>
            </w:pPr>
            <w:r w:rsidRPr="5954F8B8">
              <w:rPr>
                <w:rFonts w:ascii="Calibri" w:hAnsi="Calibri"/>
                <w:b/>
                <w:bCs/>
                <w:sz w:val="22"/>
                <w:szCs w:val="22"/>
              </w:rPr>
              <w:t>Milestone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325F4D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53FB54B9" w14:textId="77777777" w:rsidTr="5954F8B8">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E495" w14:textId="77777777" w:rsidR="000004E0" w:rsidRPr="00D0005A" w:rsidRDefault="00DE0D62" w:rsidP="000004E0">
            <w:pPr>
              <w:pStyle w:val="Normal1"/>
              <w:spacing w:after="120" w:line="276" w:lineRule="auto"/>
              <w:rPr>
                <w:rFonts w:ascii="Calibri" w:hAnsi="Calibri"/>
                <w:sz w:val="22"/>
                <w:szCs w:val="22"/>
              </w:rPr>
            </w:pPr>
            <w:r>
              <w:rPr>
                <w:rFonts w:ascii="Calibri" w:hAnsi="Calibri"/>
                <w:sz w:val="22"/>
                <w:szCs w:val="22"/>
              </w:rPr>
              <w:t xml:space="preserve">4.1. </w:t>
            </w:r>
            <w:r w:rsidR="00903F1B" w:rsidRPr="00903F1B">
              <w:rPr>
                <w:rFonts w:ascii="Calibri" w:hAnsi="Calibri"/>
                <w:sz w:val="22"/>
                <w:szCs w:val="22"/>
              </w:rPr>
              <w:t>Number of external events organised for the EBF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F00F" w14:textId="78E06D2D"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757AD" w14:textId="4895ABF9"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w:t>
            </w:r>
          </w:p>
        </w:tc>
      </w:tr>
      <w:tr w:rsidR="000004E0" w:rsidRPr="00D0005A" w14:paraId="682B548C" w14:textId="77777777" w:rsidTr="5954F8B8">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24FB" w14:textId="74CB9D2E" w:rsidR="000004E0" w:rsidRPr="00D0005A" w:rsidRDefault="00DE0D62" w:rsidP="000004E0">
            <w:pPr>
              <w:pStyle w:val="Normal1"/>
              <w:spacing w:after="120" w:line="276" w:lineRule="auto"/>
              <w:rPr>
                <w:rFonts w:ascii="Calibri" w:hAnsi="Calibri"/>
                <w:sz w:val="22"/>
                <w:szCs w:val="22"/>
              </w:rPr>
            </w:pPr>
            <w:r>
              <w:rPr>
                <w:rFonts w:ascii="Calibri" w:hAnsi="Calibri"/>
                <w:sz w:val="22"/>
                <w:szCs w:val="22"/>
              </w:rPr>
              <w:t xml:space="preserve">4.2. </w:t>
            </w:r>
            <w:r w:rsidR="00903F1B" w:rsidRPr="00903F1B">
              <w:rPr>
                <w:rFonts w:ascii="Calibri" w:hAnsi="Calibri"/>
                <w:sz w:val="22"/>
                <w:szCs w:val="22"/>
              </w:rPr>
              <w:t xml:space="preserve">Number of events EBF has </w:t>
            </w:r>
            <w:r w:rsidR="00BA6A61">
              <w:rPr>
                <w:rFonts w:ascii="Calibri" w:hAnsi="Calibri"/>
                <w:sz w:val="22"/>
                <w:szCs w:val="22"/>
              </w:rPr>
              <w:t>supported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A0FA" w14:textId="50D8BCDC"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570F5" w14:textId="6048BFE9" w:rsidR="000004E0" w:rsidRPr="00D0005A" w:rsidRDefault="00BA6A61" w:rsidP="009C0299">
            <w:pPr>
              <w:pStyle w:val="Normal1"/>
              <w:spacing w:after="120" w:line="276" w:lineRule="auto"/>
              <w:jc w:val="center"/>
              <w:rPr>
                <w:rFonts w:ascii="Calibri" w:hAnsi="Calibri"/>
                <w:sz w:val="22"/>
                <w:szCs w:val="22"/>
              </w:rPr>
            </w:pPr>
            <w:r>
              <w:rPr>
                <w:rFonts w:ascii="Calibri" w:hAnsi="Calibri"/>
                <w:sz w:val="22"/>
                <w:szCs w:val="22"/>
              </w:rPr>
              <w:t>29</w:t>
            </w:r>
          </w:p>
        </w:tc>
      </w:tr>
      <w:tr w:rsidR="000004E0" w:rsidRPr="00D0005A" w14:paraId="28F8692A" w14:textId="77777777" w:rsidTr="5954F8B8">
        <w:trPr>
          <w:trHeight w:val="614"/>
        </w:trPr>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76E20" w14:textId="5B14BC83" w:rsidR="000004E0" w:rsidRPr="00CE3099" w:rsidRDefault="00DE0D62" w:rsidP="00DB4DBB">
            <w:pPr>
              <w:pStyle w:val="Normal1"/>
              <w:spacing w:after="120" w:line="276" w:lineRule="auto"/>
              <w:rPr>
                <w:rFonts w:ascii="Calibri" w:hAnsi="Calibri"/>
                <w:i/>
                <w:iCs/>
                <w:sz w:val="22"/>
                <w:szCs w:val="22"/>
              </w:rPr>
            </w:pPr>
            <w:r w:rsidRPr="00CE3099">
              <w:rPr>
                <w:rFonts w:ascii="Calibri" w:hAnsi="Calibri"/>
                <w:i/>
                <w:iCs/>
                <w:sz w:val="22"/>
                <w:szCs w:val="22"/>
              </w:rPr>
              <w:t xml:space="preserve">4.3. </w:t>
            </w:r>
            <w:r w:rsidR="00903F1B" w:rsidRPr="00CE3099">
              <w:rPr>
                <w:rFonts w:ascii="Calibri" w:hAnsi="Calibri"/>
                <w:i/>
                <w:iCs/>
                <w:sz w:val="22"/>
                <w:szCs w:val="22"/>
              </w:rPr>
              <w:t>Number of investments reali</w:t>
            </w:r>
            <w:r w:rsidR="00DB4DBB" w:rsidRPr="00CE3099">
              <w:rPr>
                <w:rFonts w:ascii="Calibri" w:hAnsi="Calibri"/>
                <w:i/>
                <w:iCs/>
                <w:sz w:val="22"/>
                <w:szCs w:val="22"/>
              </w:rPr>
              <w:t>s</w:t>
            </w:r>
            <w:r w:rsidR="00903F1B" w:rsidRPr="00CE3099">
              <w:rPr>
                <w:rFonts w:ascii="Calibri" w:hAnsi="Calibri"/>
                <w:i/>
                <w:iCs/>
                <w:sz w:val="22"/>
                <w:szCs w:val="22"/>
              </w:rPr>
              <w:t>ed by the Fund in partnership with other institutions (e.g. syndicated loans)</w:t>
            </w:r>
            <w:r w:rsidR="004D0280">
              <w:rPr>
                <w:rFonts w:ascii="Calibri" w:hAnsi="Calibri"/>
                <w:i/>
                <w:iCs/>
                <w:sz w:val="22"/>
                <w:szCs w:val="22"/>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8B7B6" w14:textId="34F212CE" w:rsidR="000004E0" w:rsidRPr="00CE3099" w:rsidRDefault="00A7583E" w:rsidP="009C0299">
            <w:pPr>
              <w:pStyle w:val="Normal1"/>
              <w:spacing w:after="120" w:line="276" w:lineRule="auto"/>
              <w:jc w:val="center"/>
              <w:rPr>
                <w:rFonts w:ascii="Calibri" w:hAnsi="Calibri"/>
                <w:i/>
                <w:iCs/>
                <w:sz w:val="22"/>
                <w:szCs w:val="22"/>
              </w:rPr>
            </w:pPr>
            <w:r>
              <w:rPr>
                <w:rFonts w:ascii="Calibri" w:hAnsi="Calibri"/>
                <w:i/>
                <w:iCs/>
                <w:sz w:val="22"/>
                <w:szCs w:val="22"/>
              </w:rPr>
              <w:t>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CA526" w14:textId="0255686F" w:rsidR="000004E0" w:rsidRPr="00CE3099" w:rsidRDefault="00BA6A61" w:rsidP="009C0299">
            <w:pPr>
              <w:pStyle w:val="Normal1"/>
              <w:spacing w:after="120" w:line="276" w:lineRule="auto"/>
              <w:jc w:val="center"/>
              <w:rPr>
                <w:rFonts w:ascii="Calibri" w:hAnsi="Calibri"/>
                <w:i/>
                <w:iCs/>
                <w:sz w:val="22"/>
                <w:szCs w:val="22"/>
              </w:rPr>
            </w:pPr>
            <w:r w:rsidRPr="00CE3099">
              <w:rPr>
                <w:rFonts w:ascii="Calibri" w:hAnsi="Calibri"/>
                <w:i/>
                <w:iCs/>
                <w:sz w:val="22"/>
                <w:szCs w:val="22"/>
              </w:rPr>
              <w:t>4</w:t>
            </w:r>
          </w:p>
        </w:tc>
      </w:tr>
      <w:tr w:rsidR="000004E0" w:rsidRPr="00D0005A" w14:paraId="311DB878" w14:textId="77777777" w:rsidTr="5954F8B8">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7393D" w14:textId="6C142C82" w:rsidR="000004E0" w:rsidRPr="00CE3099" w:rsidRDefault="00DE0D62" w:rsidP="000004E0">
            <w:pPr>
              <w:pStyle w:val="Normal1"/>
              <w:spacing w:after="120" w:line="276" w:lineRule="auto"/>
              <w:rPr>
                <w:rFonts w:ascii="Calibri" w:hAnsi="Calibri"/>
                <w:i/>
                <w:iCs/>
                <w:sz w:val="22"/>
                <w:szCs w:val="22"/>
              </w:rPr>
            </w:pPr>
            <w:r w:rsidRPr="00CE3099">
              <w:rPr>
                <w:rFonts w:ascii="Calibri" w:hAnsi="Calibri"/>
                <w:i/>
                <w:iCs/>
                <w:sz w:val="22"/>
                <w:szCs w:val="22"/>
              </w:rPr>
              <w:t xml:space="preserve">4.4. </w:t>
            </w:r>
            <w:r w:rsidR="00F13C08" w:rsidRPr="00CE3099">
              <w:rPr>
                <w:rFonts w:ascii="Calibri" w:hAnsi="Calibri"/>
                <w:i/>
                <w:iCs/>
                <w:sz w:val="22"/>
                <w:szCs w:val="22"/>
              </w:rPr>
              <w:t>Investments realis</w:t>
            </w:r>
            <w:r w:rsidR="00903F1B" w:rsidRPr="00CE3099">
              <w:rPr>
                <w:rFonts w:ascii="Calibri" w:hAnsi="Calibri"/>
                <w:i/>
                <w:iCs/>
                <w:sz w:val="22"/>
                <w:szCs w:val="22"/>
              </w:rPr>
              <w:t xml:space="preserve">ed by the Fund in partnership with other institutions (USD </w:t>
            </w:r>
            <w:r w:rsidR="006F6778" w:rsidRPr="00CE3099">
              <w:rPr>
                <w:rFonts w:ascii="Calibri" w:hAnsi="Calibri"/>
                <w:i/>
                <w:iCs/>
                <w:sz w:val="22"/>
                <w:szCs w:val="22"/>
              </w:rPr>
              <w:t>millions)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BAFDB" w14:textId="2B404039" w:rsidR="000004E0" w:rsidRPr="00CE3099" w:rsidRDefault="00A7583E" w:rsidP="009C0299">
            <w:pPr>
              <w:pStyle w:val="Normal1"/>
              <w:spacing w:after="120" w:line="276" w:lineRule="auto"/>
              <w:jc w:val="center"/>
              <w:rPr>
                <w:rFonts w:ascii="Calibri" w:hAnsi="Calibri"/>
                <w:i/>
                <w:iCs/>
                <w:sz w:val="22"/>
                <w:szCs w:val="22"/>
              </w:rPr>
            </w:pPr>
            <w:r>
              <w:rPr>
                <w:rFonts w:ascii="Calibri" w:hAnsi="Calibri"/>
                <w:i/>
                <w:iCs/>
                <w:sz w:val="22"/>
                <w:szCs w:val="22"/>
              </w:rPr>
              <w:t>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1E1A" w14:textId="5AECA345" w:rsidR="000004E0" w:rsidRPr="00CE3099" w:rsidRDefault="00A7583E" w:rsidP="009C0299">
            <w:pPr>
              <w:pStyle w:val="Normal1"/>
              <w:spacing w:after="120" w:line="276" w:lineRule="auto"/>
              <w:jc w:val="center"/>
              <w:rPr>
                <w:rFonts w:ascii="Calibri" w:hAnsi="Calibri"/>
                <w:i/>
                <w:iCs/>
                <w:sz w:val="22"/>
                <w:szCs w:val="22"/>
              </w:rPr>
            </w:pPr>
            <w:r>
              <w:rPr>
                <w:rFonts w:ascii="Calibri" w:hAnsi="Calibri"/>
                <w:i/>
                <w:iCs/>
                <w:sz w:val="22"/>
                <w:szCs w:val="22"/>
              </w:rPr>
              <w:t>n/a</w:t>
            </w:r>
          </w:p>
        </w:tc>
      </w:tr>
    </w:tbl>
    <w:p w14:paraId="5C3A9215" w14:textId="4F9657A6" w:rsidR="00F2322F" w:rsidRDefault="004D0280" w:rsidP="00F13C08">
      <w:pPr>
        <w:pStyle w:val="Normal1"/>
        <w:spacing w:after="120" w:line="276" w:lineRule="auto"/>
        <w:jc w:val="both"/>
        <w:rPr>
          <w:rFonts w:ascii="Calibri" w:hAnsi="Calibri"/>
          <w:b/>
          <w:sz w:val="22"/>
          <w:szCs w:val="22"/>
        </w:rPr>
      </w:pPr>
      <w:r>
        <w:rPr>
          <w:rFonts w:ascii="Calibri" w:hAnsi="Calibri"/>
          <w:b/>
          <w:sz w:val="22"/>
          <w:szCs w:val="22"/>
        </w:rPr>
        <w:t>*</w:t>
      </w:r>
      <w:r w:rsidRPr="004D0280">
        <w:rPr>
          <w:rFonts w:ascii="Calibri" w:hAnsi="Calibri"/>
          <w:sz w:val="22"/>
          <w:szCs w:val="22"/>
        </w:rPr>
        <w:t xml:space="preserve"> </w:t>
      </w:r>
      <w:r w:rsidRPr="3651B6FB">
        <w:rPr>
          <w:rFonts w:ascii="Calibri" w:hAnsi="Calibri"/>
          <w:sz w:val="22"/>
          <w:szCs w:val="22"/>
        </w:rPr>
        <w:t>not part of the output scor</w:t>
      </w:r>
      <w:r>
        <w:rPr>
          <w:rFonts w:ascii="Calibri" w:hAnsi="Calibri"/>
          <w:sz w:val="22"/>
          <w:szCs w:val="22"/>
        </w:rPr>
        <w:t>e</w:t>
      </w:r>
    </w:p>
    <w:p w14:paraId="4E031C33" w14:textId="77777777" w:rsidR="003A5F04" w:rsidRDefault="000004E0" w:rsidP="00F13C08">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259CACB5" w14:textId="6638DB32" w:rsidR="00F91A0A" w:rsidRDefault="00F91A0A" w:rsidP="00F91A0A">
      <w:pPr>
        <w:pStyle w:val="Normal1"/>
        <w:numPr>
          <w:ilvl w:val="0"/>
          <w:numId w:val="28"/>
        </w:numPr>
        <w:spacing w:after="120" w:line="276" w:lineRule="auto"/>
        <w:jc w:val="both"/>
        <w:rPr>
          <w:rFonts w:ascii="Calibri" w:hAnsi="Calibri"/>
          <w:sz w:val="22"/>
          <w:szCs w:val="22"/>
        </w:rPr>
      </w:pPr>
      <w:r>
        <w:rPr>
          <w:rFonts w:ascii="Calibri" w:hAnsi="Calibri"/>
          <w:sz w:val="22"/>
          <w:szCs w:val="22"/>
        </w:rPr>
        <w:t xml:space="preserve">These KPIs have been reformulated to </w:t>
      </w:r>
      <w:r w:rsidR="000B4440">
        <w:rPr>
          <w:rFonts w:ascii="Calibri" w:hAnsi="Calibri"/>
          <w:sz w:val="22"/>
          <w:szCs w:val="22"/>
        </w:rPr>
        <w:t xml:space="preserve">now </w:t>
      </w:r>
      <w:r>
        <w:rPr>
          <w:rFonts w:ascii="Calibri" w:hAnsi="Calibri"/>
          <w:sz w:val="22"/>
          <w:szCs w:val="22"/>
        </w:rPr>
        <w:t xml:space="preserve">reflect external events exclusively organised by EBF (Indicator 4.1), and those that have been co-sponsored (4.2). </w:t>
      </w:r>
    </w:p>
    <w:p w14:paraId="648D54B5" w14:textId="34A362DB" w:rsidR="00F91A0A" w:rsidRPr="00F91A0A" w:rsidRDefault="00F91A0A" w:rsidP="009C0299">
      <w:pPr>
        <w:pStyle w:val="Normal1"/>
        <w:numPr>
          <w:ilvl w:val="0"/>
          <w:numId w:val="28"/>
        </w:numPr>
        <w:spacing w:after="120" w:line="276" w:lineRule="auto"/>
        <w:jc w:val="both"/>
        <w:rPr>
          <w:rFonts w:ascii="Calibri" w:hAnsi="Calibri"/>
          <w:sz w:val="22"/>
          <w:szCs w:val="22"/>
        </w:rPr>
      </w:pPr>
      <w:r w:rsidRPr="3651B6FB">
        <w:rPr>
          <w:rFonts w:ascii="Calibri" w:hAnsi="Calibri"/>
          <w:sz w:val="22"/>
          <w:szCs w:val="22"/>
        </w:rPr>
        <w:t xml:space="preserve">Indicators 4.3 and 4.4 are </w:t>
      </w:r>
      <w:r w:rsidR="00CC381E" w:rsidRPr="3651B6FB">
        <w:rPr>
          <w:rFonts w:ascii="Calibri" w:hAnsi="Calibri"/>
          <w:sz w:val="22"/>
          <w:szCs w:val="22"/>
        </w:rPr>
        <w:t>not considered as part of the output scoring as the</w:t>
      </w:r>
      <w:r w:rsidR="00D26703" w:rsidRPr="3651B6FB">
        <w:rPr>
          <w:rFonts w:ascii="Calibri" w:hAnsi="Calibri"/>
          <w:sz w:val="22"/>
          <w:szCs w:val="22"/>
        </w:rPr>
        <w:t>y</w:t>
      </w:r>
      <w:r w:rsidR="00CC381E" w:rsidRPr="3651B6FB">
        <w:rPr>
          <w:rFonts w:ascii="Calibri" w:hAnsi="Calibri"/>
          <w:sz w:val="22"/>
          <w:szCs w:val="22"/>
        </w:rPr>
        <w:t xml:space="preserve"> are not specific </w:t>
      </w:r>
      <w:r w:rsidR="00D26703" w:rsidRPr="3651B6FB">
        <w:rPr>
          <w:rFonts w:ascii="Calibri" w:hAnsi="Calibri"/>
          <w:sz w:val="22"/>
          <w:szCs w:val="22"/>
        </w:rPr>
        <w:t>objectives of the EBF</w:t>
      </w:r>
      <w:r w:rsidR="00CC381E" w:rsidRPr="3651B6FB">
        <w:rPr>
          <w:rFonts w:ascii="Calibri" w:hAnsi="Calibri"/>
          <w:sz w:val="22"/>
          <w:szCs w:val="22"/>
        </w:rPr>
        <w:t xml:space="preserve">. </w:t>
      </w:r>
      <w:r w:rsidRPr="3651B6FB">
        <w:rPr>
          <w:rFonts w:ascii="Calibri" w:hAnsi="Calibri"/>
          <w:sz w:val="22"/>
          <w:szCs w:val="22"/>
        </w:rPr>
        <w:t xml:space="preserve">However, they are still being measured as a matter of data collections. </w:t>
      </w:r>
    </w:p>
    <w:p w14:paraId="62107DA2" w14:textId="77777777" w:rsidR="000004E0" w:rsidRDefault="000004E0" w:rsidP="00F13C08">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253BA0CE" w14:textId="35EB5278" w:rsidR="000B4440" w:rsidRDefault="00903F1B" w:rsidP="0038569C">
      <w:pPr>
        <w:pStyle w:val="Normal1"/>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Sponsoring/participation in events: </w:t>
      </w:r>
    </w:p>
    <w:p w14:paraId="20677217" w14:textId="74C45B0C" w:rsidR="00D11D33" w:rsidRDefault="00D11D33" w:rsidP="0038569C">
      <w:pPr>
        <w:pStyle w:val="Normal1"/>
        <w:numPr>
          <w:ilvl w:val="0"/>
          <w:numId w:val="48"/>
        </w:numPr>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75155D3C">
        <w:rPr>
          <w:rFonts w:ascii="Calibri" w:hAnsi="Calibri"/>
          <w:sz w:val="22"/>
          <w:szCs w:val="22"/>
        </w:rPr>
        <w:t xml:space="preserve">The </w:t>
      </w:r>
      <w:r w:rsidR="00F81832" w:rsidRPr="75155D3C">
        <w:rPr>
          <w:rFonts w:ascii="Calibri" w:hAnsi="Calibri"/>
          <w:sz w:val="22"/>
          <w:szCs w:val="22"/>
        </w:rPr>
        <w:t xml:space="preserve">EBF </w:t>
      </w:r>
      <w:r w:rsidRPr="75155D3C">
        <w:rPr>
          <w:rFonts w:ascii="Calibri" w:hAnsi="Calibri"/>
          <w:sz w:val="22"/>
          <w:szCs w:val="22"/>
        </w:rPr>
        <w:t>hosted their fi</w:t>
      </w:r>
      <w:r w:rsidR="00A8672D" w:rsidRPr="75155D3C">
        <w:rPr>
          <w:rFonts w:ascii="Calibri" w:hAnsi="Calibri"/>
          <w:sz w:val="22"/>
          <w:szCs w:val="22"/>
        </w:rPr>
        <w:t>r</w:t>
      </w:r>
      <w:r w:rsidRPr="75155D3C">
        <w:rPr>
          <w:rFonts w:ascii="Calibri" w:hAnsi="Calibri"/>
          <w:sz w:val="22"/>
          <w:szCs w:val="22"/>
        </w:rPr>
        <w:t xml:space="preserve">st conference, “Our Journey”. The event brought together the different investors, the representatives of financial intermediaries and various </w:t>
      </w:r>
      <w:r w:rsidR="006F6778" w:rsidRPr="75155D3C">
        <w:rPr>
          <w:rFonts w:ascii="Calibri" w:hAnsi="Calibri"/>
          <w:sz w:val="22"/>
          <w:szCs w:val="22"/>
        </w:rPr>
        <w:t>downstream</w:t>
      </w:r>
      <w:r w:rsidRPr="75155D3C">
        <w:rPr>
          <w:rFonts w:ascii="Calibri" w:hAnsi="Calibri"/>
          <w:sz w:val="22"/>
          <w:szCs w:val="22"/>
        </w:rPr>
        <w:t xml:space="preserve"> borrowers. Several observations were made at the event:</w:t>
      </w:r>
    </w:p>
    <w:p w14:paraId="0A518484" w14:textId="6EA8A1E7" w:rsidR="00D11D33" w:rsidRDefault="00D11D33" w:rsidP="0038569C">
      <w:pPr>
        <w:pStyle w:val="ListParagraph"/>
        <w:numPr>
          <w:ilvl w:val="0"/>
          <w:numId w:val="28"/>
        </w:numPr>
        <w:spacing w:before="0" w:after="160" w:line="259" w:lineRule="auto"/>
      </w:pPr>
      <w:r>
        <w:t xml:space="preserve">The progress of the </w:t>
      </w:r>
      <w:r w:rsidR="00F81832">
        <w:t>F</w:t>
      </w:r>
      <w:r>
        <w:t xml:space="preserve">und </w:t>
      </w:r>
      <w:r w:rsidR="03F4ED14">
        <w:t xml:space="preserve">demonstrates </w:t>
      </w:r>
      <w:r>
        <w:t>that conservation business practices can be a viable economic model.</w:t>
      </w:r>
    </w:p>
    <w:p w14:paraId="1481C288" w14:textId="3381AF8C" w:rsidR="00D11D33" w:rsidRDefault="00D11D33" w:rsidP="0038569C">
      <w:pPr>
        <w:pStyle w:val="ListParagraph"/>
        <w:numPr>
          <w:ilvl w:val="0"/>
          <w:numId w:val="28"/>
        </w:numPr>
        <w:spacing w:before="0" w:after="160" w:line="259" w:lineRule="auto"/>
      </w:pPr>
      <w:r>
        <w:t xml:space="preserve">EBF </w:t>
      </w:r>
      <w:r w:rsidR="00967A65">
        <w:t>have significant relationships with the financial industry which is deliver</w:t>
      </w:r>
      <w:r w:rsidR="00CC381E">
        <w:t>ing</w:t>
      </w:r>
      <w:r w:rsidR="00967A65">
        <w:t xml:space="preserve"> agricultural investment on the ground. This relationship gives EBF a unique opportunity to </w:t>
      </w:r>
      <w:r w:rsidR="00E218D6">
        <w:t xml:space="preserve">embed </w:t>
      </w:r>
      <w:r w:rsidR="00673DDA">
        <w:t xml:space="preserve">environmental </w:t>
      </w:r>
      <w:r w:rsidR="00E218D6">
        <w:t xml:space="preserve">sustainability with these banking </w:t>
      </w:r>
      <w:r w:rsidR="00673DDA">
        <w:t>institutions</w:t>
      </w:r>
      <w:r w:rsidR="00E218D6">
        <w:t>.</w:t>
      </w:r>
    </w:p>
    <w:p w14:paraId="010D8A21" w14:textId="5C283350" w:rsidR="00673DDA" w:rsidRDefault="00673DDA" w:rsidP="0038569C">
      <w:pPr>
        <w:pStyle w:val="ListParagraph"/>
        <w:numPr>
          <w:ilvl w:val="0"/>
          <w:numId w:val="28"/>
        </w:numPr>
        <w:spacing w:before="0" w:after="160" w:line="259" w:lineRule="auto"/>
      </w:pPr>
      <w:r>
        <w:t>The social, environmental and the economic logic of funding downstream businesses</w:t>
      </w:r>
      <w:r w:rsidR="52FAC5FE">
        <w:t>. EBF has the ability - t</w:t>
      </w:r>
      <w:r>
        <w:t>h</w:t>
      </w:r>
      <w:r w:rsidR="00B94404">
        <w:t>r</w:t>
      </w:r>
      <w:r>
        <w:t xml:space="preserve">ough the financiers in country </w:t>
      </w:r>
      <w:r w:rsidR="5A66EEF7">
        <w:t xml:space="preserve">- </w:t>
      </w:r>
      <w:r>
        <w:t>to reach the smaller businesses</w:t>
      </w:r>
      <w:r w:rsidR="3390C6B5">
        <w:t xml:space="preserve">. This </w:t>
      </w:r>
      <w:r>
        <w:t xml:space="preserve">may not be possible with direct investments. </w:t>
      </w:r>
    </w:p>
    <w:p w14:paraId="66B9D11A" w14:textId="7B6C1C6B" w:rsidR="000004E0" w:rsidRPr="007431F9" w:rsidRDefault="00673DDA" w:rsidP="0038569C">
      <w:pPr>
        <w:pStyle w:val="ListParagraph"/>
        <w:numPr>
          <w:ilvl w:val="0"/>
          <w:numId w:val="48"/>
        </w:numPr>
        <w:spacing w:before="0" w:after="160" w:line="259" w:lineRule="auto"/>
      </w:pPr>
      <w:r>
        <w:lastRenderedPageBreak/>
        <w:t>EBF present</w:t>
      </w:r>
      <w:r w:rsidR="490068A9">
        <w:t>ed</w:t>
      </w:r>
      <w:r>
        <w:t xml:space="preserve"> at the</w:t>
      </w:r>
      <w:r w:rsidR="00F76D09">
        <w:t xml:space="preserve"> United Nations Environment Programme </w:t>
      </w:r>
      <w:r>
        <w:t xml:space="preserve">– </w:t>
      </w:r>
      <w:r w:rsidR="00A8672D">
        <w:t xml:space="preserve">FIs </w:t>
      </w:r>
      <w:r>
        <w:t>(UNEP-FI) for sustainable finance 2019, 14-15</w:t>
      </w:r>
      <w:r w:rsidRPr="75155D3C">
        <w:rPr>
          <w:vertAlign w:val="superscript"/>
        </w:rPr>
        <w:t>th</w:t>
      </w:r>
      <w:r>
        <w:t xml:space="preserve"> October in Sao Paulo, Brazil. EBF used its experience to collaborate </w:t>
      </w:r>
      <w:r w:rsidR="2060C6EE">
        <w:t xml:space="preserve">with </w:t>
      </w:r>
      <w:r>
        <w:t xml:space="preserve">colleagues on </w:t>
      </w:r>
      <w:r w:rsidR="007431F9">
        <w:t>integrating</w:t>
      </w:r>
      <w:r>
        <w:t xml:space="preserve"> </w:t>
      </w:r>
      <w:r w:rsidR="007431F9">
        <w:t xml:space="preserve">sustainable finance and promoting the uptake of principles for responsible banking, positive impact measurement and growth, social impact and inclusion – in addition to applications of fintech in green financing. </w:t>
      </w:r>
      <w:r>
        <w:br w:type="page"/>
      </w:r>
    </w:p>
    <w:p w14:paraId="0197B43B" w14:textId="34B0F007" w:rsidR="000004E0" w:rsidRPr="00D0005A" w:rsidRDefault="007D3D39" w:rsidP="00DD4C2A">
      <w:pPr>
        <w:pStyle w:val="Heading2"/>
        <w:rPr>
          <w:i/>
        </w:rPr>
      </w:pPr>
      <w:bookmarkStart w:id="12" w:name="_Toc51578520"/>
      <w:r>
        <w:lastRenderedPageBreak/>
        <w:t>C</w:t>
      </w:r>
      <w:r w:rsidR="000004E0" w:rsidRPr="00D0005A">
        <w:t>: VALUE FOR MONEY</w:t>
      </w:r>
      <w:r w:rsidR="00510E3B">
        <w:t xml:space="preserve"> (</w:t>
      </w:r>
      <w:proofErr w:type="spellStart"/>
      <w:r w:rsidR="00510E3B">
        <w:t>VfM</w:t>
      </w:r>
      <w:proofErr w:type="spellEnd"/>
      <w:r w:rsidR="00510E3B">
        <w:t>)</w:t>
      </w:r>
      <w:r w:rsidR="000004E0" w:rsidRPr="00D0005A">
        <w:t xml:space="preserve"> </w:t>
      </w:r>
      <w:r w:rsidR="00510E3B">
        <w:t>and</w:t>
      </w:r>
      <w:r w:rsidR="000004E0" w:rsidRPr="00D0005A">
        <w:t xml:space="preserve"> FINANCIAL PERFORMANCE</w:t>
      </w:r>
      <w:bookmarkEnd w:id="12"/>
    </w:p>
    <w:p w14:paraId="33E9F07C" w14:textId="77777777" w:rsidR="000004E0" w:rsidRPr="00D0005A" w:rsidRDefault="000004E0" w:rsidP="000004E0">
      <w:pPr>
        <w:pStyle w:val="Normal1"/>
        <w:spacing w:after="120" w:line="276" w:lineRule="auto"/>
        <w:rPr>
          <w:rFonts w:ascii="Calibri" w:hAnsi="Calibri"/>
          <w:b/>
          <w:sz w:val="22"/>
          <w:szCs w:val="22"/>
        </w:rPr>
      </w:pPr>
      <w:proofErr w:type="spellStart"/>
      <w:r w:rsidRPr="00D0005A">
        <w:rPr>
          <w:rFonts w:ascii="Calibri" w:hAnsi="Calibri"/>
          <w:b/>
          <w:sz w:val="22"/>
          <w:szCs w:val="22"/>
        </w:rPr>
        <w:t>VfM</w:t>
      </w:r>
      <w:proofErr w:type="spellEnd"/>
      <w:r w:rsidRPr="00D0005A">
        <w:rPr>
          <w:rFonts w:ascii="Calibri" w:hAnsi="Calibri"/>
          <w:b/>
          <w:sz w:val="22"/>
          <w:szCs w:val="22"/>
        </w:rPr>
        <w:t xml:space="preserve"> performance compared to the original </w:t>
      </w:r>
      <w:proofErr w:type="spellStart"/>
      <w:r w:rsidRPr="00D0005A">
        <w:rPr>
          <w:rFonts w:ascii="Calibri" w:hAnsi="Calibri"/>
          <w:b/>
          <w:sz w:val="22"/>
          <w:szCs w:val="22"/>
        </w:rPr>
        <w:t>VfM</w:t>
      </w:r>
      <w:proofErr w:type="spellEnd"/>
      <w:r w:rsidRPr="00D0005A">
        <w:rPr>
          <w:rFonts w:ascii="Calibri" w:hAnsi="Calibri"/>
          <w:b/>
          <w:sz w:val="22"/>
          <w:szCs w:val="22"/>
        </w:rPr>
        <w:t xml:space="preserve"> proposition in the business case </w:t>
      </w:r>
    </w:p>
    <w:p w14:paraId="30BB8F9A" w14:textId="77777777" w:rsidR="00570F59" w:rsidRDefault="00284ECC" w:rsidP="00284ECC">
      <w:pPr>
        <w:pStyle w:val="Normal1"/>
        <w:spacing w:after="120" w:line="276" w:lineRule="auto"/>
        <w:jc w:val="both"/>
        <w:rPr>
          <w:rFonts w:ascii="Calibri" w:hAnsi="Calibri"/>
          <w:i/>
          <w:sz w:val="22"/>
          <w:szCs w:val="22"/>
        </w:rPr>
      </w:pPr>
      <w:r w:rsidRPr="002F0726">
        <w:rPr>
          <w:rFonts w:ascii="Calibri" w:hAnsi="Calibri"/>
          <w:b/>
          <w:i/>
          <w:sz w:val="22"/>
          <w:szCs w:val="22"/>
        </w:rPr>
        <w:t>Economy:</w:t>
      </w:r>
      <w:r w:rsidR="00D877B4" w:rsidRPr="002F0726">
        <w:rPr>
          <w:rFonts w:ascii="Calibri" w:hAnsi="Calibri"/>
          <w:b/>
          <w:i/>
          <w:sz w:val="22"/>
          <w:szCs w:val="22"/>
        </w:rPr>
        <w:t xml:space="preserve"> </w:t>
      </w:r>
    </w:p>
    <w:p w14:paraId="539D6DCB" w14:textId="74AC7EE2" w:rsidR="0038569C" w:rsidRPr="0072143B" w:rsidRDefault="0038569C" w:rsidP="358F83BF">
      <w:pPr>
        <w:pStyle w:val="paragraph"/>
        <w:spacing w:before="0" w:beforeAutospacing="0" w:after="0" w:afterAutospacing="0"/>
        <w:jc w:val="both"/>
        <w:textAlignment w:val="baseline"/>
        <w:rPr>
          <w:rStyle w:val="eop"/>
          <w:rFonts w:asciiTheme="minorHAnsi" w:hAnsiTheme="minorHAnsi" w:cstheme="minorBidi"/>
          <w:color w:val="000000"/>
          <w:sz w:val="22"/>
          <w:szCs w:val="22"/>
        </w:rPr>
      </w:pPr>
      <w:r w:rsidRPr="358F83BF">
        <w:rPr>
          <w:rStyle w:val="normaltextrun"/>
          <w:rFonts w:asciiTheme="minorHAnsi" w:eastAsiaTheme="majorEastAsia" w:hAnsiTheme="minorHAnsi" w:cstheme="minorBidi"/>
          <w:color w:val="000000" w:themeColor="text1"/>
          <w:sz w:val="22"/>
          <w:szCs w:val="22"/>
        </w:rPr>
        <w:t xml:space="preserve">The total operating costs </w:t>
      </w:r>
      <w:r w:rsidR="0062721C" w:rsidRPr="358F83BF">
        <w:rPr>
          <w:rStyle w:val="normaltextrun"/>
          <w:rFonts w:asciiTheme="minorHAnsi" w:eastAsiaTheme="majorEastAsia" w:hAnsiTheme="minorHAnsi" w:cstheme="minorBidi"/>
          <w:color w:val="000000" w:themeColor="text1"/>
          <w:sz w:val="22"/>
          <w:szCs w:val="22"/>
        </w:rPr>
        <w:t xml:space="preserve">have </w:t>
      </w:r>
      <w:r w:rsidR="00695A56" w:rsidRPr="358F83BF">
        <w:rPr>
          <w:rStyle w:val="normaltextrun"/>
          <w:rFonts w:asciiTheme="minorHAnsi" w:eastAsiaTheme="majorEastAsia" w:hAnsiTheme="minorHAnsi" w:cstheme="minorBidi"/>
          <w:color w:val="000000" w:themeColor="text1"/>
          <w:sz w:val="22"/>
          <w:szCs w:val="22"/>
        </w:rPr>
        <w:t>continued to decrease as percentage of average portfolio</w:t>
      </w:r>
      <w:r w:rsidRPr="358F83BF">
        <w:rPr>
          <w:rStyle w:val="normaltextrun"/>
          <w:rFonts w:asciiTheme="minorHAnsi" w:eastAsiaTheme="majorEastAsia" w:hAnsiTheme="minorHAnsi" w:cstheme="minorBidi"/>
          <w:color w:val="000000" w:themeColor="text1"/>
          <w:sz w:val="22"/>
          <w:szCs w:val="22"/>
        </w:rPr>
        <w:t xml:space="preserve">. Total operating costs include the </w:t>
      </w:r>
      <w:r w:rsidR="00F81832" w:rsidRPr="358F83BF">
        <w:rPr>
          <w:rStyle w:val="normaltextrun"/>
          <w:rFonts w:asciiTheme="minorHAnsi" w:eastAsiaTheme="majorEastAsia" w:hAnsiTheme="minorHAnsi" w:cstheme="minorBidi"/>
          <w:color w:val="000000" w:themeColor="text1"/>
          <w:sz w:val="22"/>
          <w:szCs w:val="22"/>
        </w:rPr>
        <w:t>F</w:t>
      </w:r>
      <w:r w:rsidRPr="358F83BF">
        <w:rPr>
          <w:rStyle w:val="normaltextrun"/>
          <w:rFonts w:asciiTheme="minorHAnsi" w:eastAsiaTheme="majorEastAsia" w:hAnsiTheme="minorHAnsi" w:cstheme="minorBidi"/>
          <w:color w:val="000000" w:themeColor="text1"/>
          <w:sz w:val="22"/>
          <w:szCs w:val="22"/>
        </w:rPr>
        <w:t xml:space="preserve">und manager fees which </w:t>
      </w:r>
      <w:r w:rsidR="00F675E8" w:rsidRPr="358F83BF">
        <w:rPr>
          <w:rStyle w:val="normaltextrun"/>
          <w:rFonts w:asciiTheme="minorHAnsi" w:eastAsiaTheme="majorEastAsia" w:hAnsiTheme="minorHAnsi" w:cstheme="minorBidi"/>
          <w:color w:val="000000" w:themeColor="text1"/>
          <w:sz w:val="22"/>
          <w:szCs w:val="22"/>
        </w:rPr>
        <w:t xml:space="preserve">have </w:t>
      </w:r>
      <w:r w:rsidRPr="358F83BF">
        <w:rPr>
          <w:rStyle w:val="normaltextrun"/>
          <w:rFonts w:asciiTheme="minorHAnsi" w:eastAsiaTheme="majorEastAsia" w:hAnsiTheme="minorHAnsi" w:cstheme="minorBidi"/>
          <w:color w:val="000000" w:themeColor="text1"/>
          <w:sz w:val="22"/>
          <w:szCs w:val="22"/>
        </w:rPr>
        <w:t xml:space="preserve">been covered directly from returns on capital of the </w:t>
      </w:r>
      <w:r w:rsidR="00F81832" w:rsidRPr="358F83BF">
        <w:rPr>
          <w:rStyle w:val="normaltextrun"/>
          <w:rFonts w:asciiTheme="minorHAnsi" w:eastAsiaTheme="majorEastAsia" w:hAnsiTheme="minorHAnsi" w:cstheme="minorBidi"/>
          <w:color w:val="000000" w:themeColor="text1"/>
          <w:sz w:val="22"/>
          <w:szCs w:val="22"/>
        </w:rPr>
        <w:t>F</w:t>
      </w:r>
      <w:r w:rsidRPr="358F83BF">
        <w:rPr>
          <w:rStyle w:val="normaltextrun"/>
          <w:rFonts w:asciiTheme="minorHAnsi" w:eastAsiaTheme="majorEastAsia" w:hAnsiTheme="minorHAnsi" w:cstheme="minorBidi"/>
          <w:color w:val="000000" w:themeColor="text1"/>
          <w:sz w:val="22"/>
          <w:szCs w:val="22"/>
        </w:rPr>
        <w:t xml:space="preserve">und. The remaining income will be redistributed to the shareholders, via the </w:t>
      </w:r>
      <w:r w:rsidR="00F675E8" w:rsidRPr="358F83BF">
        <w:rPr>
          <w:rStyle w:val="normaltextrun"/>
          <w:rFonts w:asciiTheme="minorHAnsi" w:eastAsiaTheme="majorEastAsia" w:hAnsiTheme="minorHAnsi" w:cstheme="minorBidi"/>
          <w:color w:val="000000" w:themeColor="text1"/>
          <w:sz w:val="22"/>
          <w:szCs w:val="22"/>
        </w:rPr>
        <w:t xml:space="preserve">agreed </w:t>
      </w:r>
      <w:r w:rsidRPr="358F83BF">
        <w:rPr>
          <w:rStyle w:val="normaltextrun"/>
          <w:rFonts w:asciiTheme="minorHAnsi" w:eastAsiaTheme="majorEastAsia" w:hAnsiTheme="minorHAnsi" w:cstheme="minorBidi"/>
          <w:color w:val="000000" w:themeColor="text1"/>
          <w:sz w:val="22"/>
          <w:szCs w:val="22"/>
        </w:rPr>
        <w:t>income waterfall</w:t>
      </w:r>
      <w:r w:rsidR="00F675E8" w:rsidRPr="358F83BF">
        <w:rPr>
          <w:rStyle w:val="normaltextrun"/>
          <w:rFonts w:asciiTheme="minorHAnsi" w:eastAsiaTheme="majorEastAsia" w:hAnsiTheme="minorHAnsi" w:cstheme="minorBidi"/>
          <w:color w:val="000000" w:themeColor="text1"/>
          <w:sz w:val="22"/>
          <w:szCs w:val="22"/>
        </w:rPr>
        <w:t xml:space="preserve"> which </w:t>
      </w:r>
      <w:r w:rsidRPr="358F83BF">
        <w:rPr>
          <w:rStyle w:val="normaltextrun"/>
          <w:rFonts w:asciiTheme="minorHAnsi" w:eastAsiaTheme="majorEastAsia" w:hAnsiTheme="minorHAnsi" w:cstheme="minorBidi"/>
          <w:color w:val="000000" w:themeColor="text1"/>
          <w:sz w:val="22"/>
          <w:szCs w:val="22"/>
        </w:rPr>
        <w:t>ensure</w:t>
      </w:r>
      <w:r w:rsidR="00F675E8" w:rsidRPr="358F83BF">
        <w:rPr>
          <w:rStyle w:val="normaltextrun"/>
          <w:rFonts w:asciiTheme="minorHAnsi" w:eastAsiaTheme="majorEastAsia" w:hAnsiTheme="minorHAnsi" w:cstheme="minorBidi"/>
          <w:color w:val="000000" w:themeColor="text1"/>
          <w:sz w:val="22"/>
          <w:szCs w:val="22"/>
        </w:rPr>
        <w:t>s</w:t>
      </w:r>
      <w:r w:rsidRPr="358F83BF">
        <w:rPr>
          <w:rStyle w:val="normaltextrun"/>
          <w:rFonts w:asciiTheme="minorHAnsi" w:eastAsiaTheme="majorEastAsia" w:hAnsiTheme="minorHAnsi" w:cstheme="minorBidi"/>
          <w:color w:val="000000" w:themeColor="text1"/>
          <w:sz w:val="22"/>
          <w:szCs w:val="22"/>
        </w:rPr>
        <w:t xml:space="preserve"> that more senior debt and shareholdings are paid first, before complementary dividends are paid to the Junior </w:t>
      </w:r>
      <w:r w:rsidR="00902BAF" w:rsidRPr="358F83BF">
        <w:rPr>
          <w:rStyle w:val="normaltextrun"/>
          <w:rFonts w:asciiTheme="minorHAnsi" w:eastAsiaTheme="majorEastAsia" w:hAnsiTheme="minorHAnsi" w:cstheme="minorBidi"/>
          <w:color w:val="000000" w:themeColor="text1"/>
          <w:sz w:val="22"/>
          <w:szCs w:val="22"/>
        </w:rPr>
        <w:t>s</w:t>
      </w:r>
      <w:r w:rsidRPr="358F83BF">
        <w:rPr>
          <w:rStyle w:val="normaltextrun"/>
          <w:rFonts w:asciiTheme="minorHAnsi" w:eastAsiaTheme="majorEastAsia" w:hAnsiTheme="minorHAnsi" w:cstheme="minorBidi"/>
          <w:color w:val="000000" w:themeColor="text1"/>
          <w:sz w:val="22"/>
          <w:szCs w:val="22"/>
        </w:rPr>
        <w:t xml:space="preserve">hareholders (Defra). As the </w:t>
      </w:r>
      <w:r w:rsidR="00F81832" w:rsidRPr="358F83BF">
        <w:rPr>
          <w:rStyle w:val="normaltextrun"/>
          <w:rFonts w:asciiTheme="minorHAnsi" w:eastAsiaTheme="majorEastAsia" w:hAnsiTheme="minorHAnsi" w:cstheme="minorBidi"/>
          <w:color w:val="000000" w:themeColor="text1"/>
          <w:sz w:val="22"/>
          <w:szCs w:val="22"/>
        </w:rPr>
        <w:t>F</w:t>
      </w:r>
      <w:r w:rsidR="00DF1AAA" w:rsidRPr="358F83BF">
        <w:rPr>
          <w:rStyle w:val="normaltextrun"/>
          <w:rFonts w:asciiTheme="minorHAnsi" w:eastAsiaTheme="majorEastAsia" w:hAnsiTheme="minorHAnsi" w:cstheme="minorBidi"/>
          <w:color w:val="000000" w:themeColor="text1"/>
          <w:sz w:val="22"/>
          <w:szCs w:val="22"/>
        </w:rPr>
        <w:t>und’s</w:t>
      </w:r>
      <w:r w:rsidRPr="358F83BF">
        <w:rPr>
          <w:rStyle w:val="normaltextrun"/>
          <w:rFonts w:asciiTheme="minorHAnsi" w:eastAsiaTheme="majorEastAsia" w:hAnsiTheme="minorHAnsi" w:cstheme="minorBidi"/>
          <w:color w:val="000000" w:themeColor="text1"/>
          <w:sz w:val="22"/>
          <w:szCs w:val="22"/>
        </w:rPr>
        <w:t xml:space="preserve"> income has exceeded costs, Junior shareholders have received a dividend of USD 130,000 (0.5%). </w:t>
      </w:r>
      <w:r w:rsidRPr="358F83BF">
        <w:rPr>
          <w:rStyle w:val="eop"/>
          <w:rFonts w:asciiTheme="minorHAnsi" w:hAnsiTheme="minorHAnsi" w:cstheme="minorBidi"/>
          <w:color w:val="000000" w:themeColor="text1"/>
          <w:sz w:val="22"/>
          <w:szCs w:val="22"/>
        </w:rPr>
        <w:t> </w:t>
      </w:r>
    </w:p>
    <w:p w14:paraId="5C230548" w14:textId="77777777" w:rsidR="0038569C" w:rsidRPr="0072143B" w:rsidRDefault="0038569C" w:rsidP="0072143B">
      <w:pPr>
        <w:pStyle w:val="paragraph"/>
        <w:spacing w:before="0" w:beforeAutospacing="0" w:after="0" w:afterAutospacing="0"/>
        <w:jc w:val="both"/>
        <w:textAlignment w:val="baseline"/>
        <w:rPr>
          <w:rFonts w:asciiTheme="minorHAnsi" w:hAnsiTheme="minorHAnsi" w:cstheme="minorHAnsi"/>
          <w:color w:val="000000"/>
          <w:sz w:val="18"/>
          <w:szCs w:val="18"/>
        </w:rPr>
      </w:pPr>
    </w:p>
    <w:p w14:paraId="41C4396C" w14:textId="6BE8CCFC" w:rsidR="00DF1AAA" w:rsidRPr="0072143B" w:rsidRDefault="0038569C" w:rsidP="6FFD9B3C">
      <w:pPr>
        <w:pStyle w:val="paragraph"/>
        <w:spacing w:before="0" w:beforeAutospacing="0" w:after="0" w:afterAutospacing="0"/>
        <w:jc w:val="both"/>
        <w:textAlignment w:val="baseline"/>
        <w:rPr>
          <w:rStyle w:val="eop"/>
          <w:rFonts w:asciiTheme="minorHAnsi" w:hAnsiTheme="minorHAnsi" w:cstheme="minorBidi"/>
          <w:color w:val="000000"/>
          <w:sz w:val="22"/>
          <w:szCs w:val="22"/>
        </w:rPr>
      </w:pPr>
      <w:r w:rsidRPr="6FFD9B3C">
        <w:rPr>
          <w:rStyle w:val="normaltextrun"/>
          <w:rFonts w:asciiTheme="minorHAnsi" w:eastAsiaTheme="majorEastAsia" w:hAnsiTheme="minorHAnsi" w:cstheme="minorBidi"/>
          <w:color w:val="000000" w:themeColor="text1"/>
          <w:sz w:val="22"/>
          <w:szCs w:val="22"/>
        </w:rPr>
        <w:t>Despite the continued dividends Defra’s shareholding value has continued to decline to a total value of USD 25.2m since initial investment value of USD 27.4m, - 8%. This is because of the new accounting standard, IFRS-9. Impairments of this kind are applied to shares</w:t>
      </w:r>
      <w:r w:rsidR="52247664" w:rsidRPr="6FFD9B3C">
        <w:rPr>
          <w:rStyle w:val="normaltextrun"/>
          <w:rFonts w:asciiTheme="minorHAnsi" w:eastAsiaTheme="majorEastAsia" w:hAnsiTheme="minorHAnsi" w:cstheme="minorBidi"/>
          <w:color w:val="000000" w:themeColor="text1"/>
          <w:sz w:val="22"/>
          <w:szCs w:val="22"/>
        </w:rPr>
        <w:t xml:space="preserve"> on the balance sheet. Designed</w:t>
      </w:r>
      <w:r w:rsidRPr="6FFD9B3C">
        <w:rPr>
          <w:rStyle w:val="normaltextrun"/>
          <w:rFonts w:asciiTheme="minorHAnsi" w:eastAsiaTheme="majorEastAsia" w:hAnsiTheme="minorHAnsi" w:cstheme="minorBidi"/>
          <w:color w:val="000000" w:themeColor="text1"/>
          <w:sz w:val="22"/>
          <w:szCs w:val="22"/>
        </w:rPr>
        <w:t xml:space="preserve"> to buffer/reserve against future lo</w:t>
      </w:r>
      <w:r w:rsidR="7FD7F5EA" w:rsidRPr="6FFD9B3C">
        <w:rPr>
          <w:rStyle w:val="normaltextrun"/>
          <w:rFonts w:asciiTheme="minorHAnsi" w:eastAsiaTheme="majorEastAsia" w:hAnsiTheme="minorHAnsi" w:cstheme="minorBidi"/>
          <w:color w:val="000000" w:themeColor="text1"/>
          <w:sz w:val="22"/>
          <w:szCs w:val="22"/>
        </w:rPr>
        <w:t>s</w:t>
      </w:r>
      <w:r w:rsidRPr="6FFD9B3C">
        <w:rPr>
          <w:rStyle w:val="normaltextrun"/>
          <w:rFonts w:asciiTheme="minorHAnsi" w:eastAsiaTheme="majorEastAsia" w:hAnsiTheme="minorHAnsi" w:cstheme="minorBidi"/>
          <w:color w:val="000000" w:themeColor="text1"/>
          <w:sz w:val="22"/>
          <w:szCs w:val="22"/>
        </w:rPr>
        <w:t>ses, although these are not yet realised</w:t>
      </w:r>
      <w:r w:rsidR="6B564B56" w:rsidRPr="6FFD9B3C">
        <w:rPr>
          <w:rStyle w:val="normaltextrun"/>
          <w:rFonts w:asciiTheme="minorHAnsi" w:eastAsiaTheme="majorEastAsia" w:hAnsiTheme="minorHAnsi" w:cstheme="minorBidi"/>
          <w:color w:val="000000" w:themeColor="text1"/>
          <w:sz w:val="22"/>
          <w:szCs w:val="22"/>
        </w:rPr>
        <w:t xml:space="preserve">, therefore we do not expect this to </w:t>
      </w:r>
      <w:r w:rsidR="0DDB86AB" w:rsidRPr="6FFD9B3C">
        <w:rPr>
          <w:rStyle w:val="normaltextrun"/>
          <w:rFonts w:asciiTheme="minorHAnsi" w:eastAsiaTheme="majorEastAsia" w:hAnsiTheme="minorHAnsi" w:cstheme="minorBidi"/>
          <w:color w:val="000000" w:themeColor="text1"/>
          <w:sz w:val="22"/>
          <w:szCs w:val="22"/>
        </w:rPr>
        <w:t>affect</w:t>
      </w:r>
      <w:r w:rsidR="6B564B56" w:rsidRPr="6FFD9B3C">
        <w:rPr>
          <w:rStyle w:val="normaltextrun"/>
          <w:rFonts w:asciiTheme="minorHAnsi" w:eastAsiaTheme="majorEastAsia" w:hAnsiTheme="minorHAnsi" w:cstheme="minorBidi"/>
          <w:color w:val="000000" w:themeColor="text1"/>
          <w:sz w:val="22"/>
          <w:szCs w:val="22"/>
        </w:rPr>
        <w:t xml:space="preserve"> our current </w:t>
      </w:r>
      <w:proofErr w:type="spellStart"/>
      <w:r w:rsidR="7F05839D" w:rsidRPr="6FFD9B3C">
        <w:rPr>
          <w:rStyle w:val="normaltextrun"/>
          <w:rFonts w:asciiTheme="minorHAnsi" w:eastAsiaTheme="majorEastAsia" w:hAnsiTheme="minorHAnsi" w:cstheme="minorBidi"/>
          <w:color w:val="000000" w:themeColor="text1"/>
          <w:sz w:val="22"/>
          <w:szCs w:val="22"/>
        </w:rPr>
        <w:t>VfM</w:t>
      </w:r>
      <w:proofErr w:type="spellEnd"/>
      <w:r w:rsidRPr="6FFD9B3C">
        <w:rPr>
          <w:rStyle w:val="eop"/>
          <w:rFonts w:asciiTheme="minorHAnsi" w:hAnsiTheme="minorHAnsi" w:cstheme="minorBidi"/>
          <w:color w:val="000000" w:themeColor="text1"/>
          <w:sz w:val="22"/>
          <w:szCs w:val="22"/>
        </w:rPr>
        <w:t> </w:t>
      </w:r>
      <w:r w:rsidR="469DA047" w:rsidRPr="6FFD9B3C">
        <w:rPr>
          <w:rStyle w:val="eop"/>
          <w:rFonts w:asciiTheme="minorHAnsi" w:hAnsiTheme="minorHAnsi" w:cstheme="minorBidi"/>
          <w:color w:val="000000" w:themeColor="text1"/>
          <w:sz w:val="22"/>
          <w:szCs w:val="22"/>
        </w:rPr>
        <w:t>considerations</w:t>
      </w:r>
      <w:r w:rsidR="6F908DB3" w:rsidRPr="6FFD9B3C">
        <w:rPr>
          <w:rStyle w:val="eop"/>
          <w:rFonts w:asciiTheme="minorHAnsi" w:hAnsiTheme="minorHAnsi" w:cstheme="minorBidi"/>
          <w:color w:val="000000" w:themeColor="text1"/>
          <w:sz w:val="22"/>
          <w:szCs w:val="22"/>
        </w:rPr>
        <w:t>.</w:t>
      </w:r>
    </w:p>
    <w:p w14:paraId="01E18729" w14:textId="77777777" w:rsidR="00DF1AAA" w:rsidRPr="00DF1AAA" w:rsidRDefault="00DF1AAA" w:rsidP="3651B6FB">
      <w:pPr>
        <w:pStyle w:val="paragraph"/>
        <w:spacing w:before="0" w:beforeAutospacing="0" w:after="0" w:afterAutospacing="0"/>
        <w:jc w:val="both"/>
        <w:textAlignment w:val="baseline"/>
        <w:rPr>
          <w:rFonts w:ascii="&amp;quot" w:hAnsi="&amp;quot"/>
          <w:color w:val="000000"/>
          <w:sz w:val="22"/>
          <w:szCs w:val="22"/>
        </w:rPr>
      </w:pPr>
    </w:p>
    <w:p w14:paraId="396BBE8F" w14:textId="77777777" w:rsidR="00284ECC" w:rsidRDefault="00C4AAA7" w:rsidP="0038569C">
      <w:pPr>
        <w:pStyle w:val="Normal1"/>
        <w:spacing w:after="120" w:line="276" w:lineRule="auto"/>
        <w:jc w:val="both"/>
        <w:rPr>
          <w:rFonts w:asciiTheme="minorHAnsi" w:hAnsiTheme="minorHAnsi"/>
          <w:i/>
          <w:sz w:val="22"/>
          <w:szCs w:val="22"/>
        </w:rPr>
      </w:pPr>
      <w:r w:rsidRPr="44CBFA01">
        <w:rPr>
          <w:rFonts w:ascii="Calibri" w:hAnsi="Calibri"/>
          <w:b/>
          <w:bCs/>
          <w:i/>
          <w:iCs/>
          <w:sz w:val="22"/>
          <w:szCs w:val="22"/>
        </w:rPr>
        <w:t xml:space="preserve">Efficiency: </w:t>
      </w:r>
    </w:p>
    <w:p w14:paraId="0A274B94" w14:textId="285B8CA1" w:rsidR="44CBFA01" w:rsidRDefault="44CBFA01" w:rsidP="44CBFA01">
      <w:pPr>
        <w:rPr>
          <w:color w:val="000000" w:themeColor="text1"/>
        </w:rPr>
      </w:pPr>
      <w:r w:rsidRPr="358F83BF">
        <w:rPr>
          <w:rFonts w:asciiTheme="minorHAnsi" w:eastAsiaTheme="minorEastAsia" w:hAnsiTheme="minorHAnsi" w:cstheme="minorBidi"/>
          <w:color w:val="000000" w:themeColor="text1"/>
        </w:rPr>
        <w:t>Per the 2019 findings, EBF exceeded the Business Case targets for expected carbon sequestration of 560,000 tonnes by 87.5% (as established in the business case), with a cumulative current fund level of 1,050,000 tonnes of carbon sequestered. Furthermore, in 2019, EBF sustainably managed 261,000 Ha of land, compared to an initial objective of 65,000 Ha set forth in the business case: outperforming the target by 301.5%.</w:t>
      </w:r>
    </w:p>
    <w:p w14:paraId="093458E9" w14:textId="1F561A9C" w:rsidR="44CBFA01" w:rsidRPr="00E648CB" w:rsidRDefault="44CBFA01">
      <w:pPr>
        <w:rPr>
          <w:rFonts w:asciiTheme="minorHAnsi" w:eastAsiaTheme="minorEastAsia" w:hAnsiTheme="minorHAnsi" w:cstheme="minorBidi"/>
          <w:color w:val="000000" w:themeColor="text1"/>
        </w:rPr>
      </w:pPr>
      <w:r w:rsidRPr="00E648CB">
        <w:rPr>
          <w:rFonts w:asciiTheme="minorHAnsi" w:eastAsiaTheme="minorEastAsia" w:hAnsiTheme="minorHAnsi" w:cstheme="minorBidi"/>
          <w:color w:val="000000" w:themeColor="text1"/>
        </w:rPr>
        <w:t xml:space="preserve">The Fund is also on track to reach the private-sector leverage potential target of 1:2. </w:t>
      </w:r>
    </w:p>
    <w:p w14:paraId="4FF4763D" w14:textId="79756584" w:rsidR="00DF1AAA" w:rsidRDefault="0AA55D01" w:rsidP="44CBFA01">
      <w:pPr>
        <w:pStyle w:val="Normal1"/>
        <w:spacing w:after="120" w:line="276" w:lineRule="auto"/>
        <w:jc w:val="both"/>
        <w:rPr>
          <w:rFonts w:asciiTheme="minorHAnsi" w:hAnsiTheme="minorHAnsi"/>
          <w:sz w:val="22"/>
          <w:szCs w:val="22"/>
        </w:rPr>
      </w:pPr>
      <w:r w:rsidRPr="44CBFA01">
        <w:rPr>
          <w:rFonts w:asciiTheme="minorHAnsi" w:hAnsiTheme="minorHAnsi"/>
          <w:sz w:val="22"/>
          <w:szCs w:val="22"/>
        </w:rPr>
        <w:t xml:space="preserve">During 2019, the EBF-TA facility supported borrowers and </w:t>
      </w:r>
      <w:r w:rsidR="310713E7" w:rsidRPr="44CBFA01">
        <w:rPr>
          <w:rFonts w:ascii="Calibri" w:hAnsi="Calibri"/>
          <w:sz w:val="22"/>
          <w:szCs w:val="22"/>
        </w:rPr>
        <w:t>FIs</w:t>
      </w:r>
      <w:r w:rsidR="11B59392" w:rsidRPr="44CBFA01">
        <w:rPr>
          <w:rFonts w:ascii="Calibri" w:hAnsi="Calibri"/>
          <w:sz w:val="22"/>
          <w:szCs w:val="22"/>
        </w:rPr>
        <w:t xml:space="preserve"> </w:t>
      </w:r>
      <w:r w:rsidRPr="44CBFA01">
        <w:rPr>
          <w:rFonts w:asciiTheme="minorHAnsi" w:hAnsiTheme="minorHAnsi"/>
          <w:sz w:val="22"/>
          <w:szCs w:val="22"/>
        </w:rPr>
        <w:t xml:space="preserve">to utilise new technology such as drones and satellite imaging to collect data that will inform environmental risk into financial decision making. Over 100 management reports to over 175 cattle ranches have been provided with analysis. In addition, these measures will monitor remnant forests and focus protection of these and re-plant buffer regions for added protection. </w:t>
      </w:r>
      <w:r w:rsidR="33228FA8" w:rsidRPr="44CBFA01">
        <w:rPr>
          <w:rFonts w:asciiTheme="minorHAnsi" w:hAnsiTheme="minorHAnsi"/>
          <w:sz w:val="22"/>
          <w:szCs w:val="22"/>
        </w:rPr>
        <w:t>This technology has allowed the partner institution (Bank) to ensure investment compliance with forest protection and increased the ability</w:t>
      </w:r>
      <w:r w:rsidR="68BF45CA" w:rsidRPr="44CBFA01">
        <w:rPr>
          <w:rFonts w:asciiTheme="minorHAnsi" w:hAnsiTheme="minorHAnsi"/>
          <w:sz w:val="22"/>
          <w:szCs w:val="22"/>
        </w:rPr>
        <w:t xml:space="preserve"> of</w:t>
      </w:r>
      <w:r w:rsidR="33228FA8" w:rsidRPr="44CBFA01">
        <w:rPr>
          <w:rFonts w:asciiTheme="minorHAnsi" w:hAnsiTheme="minorHAnsi"/>
          <w:sz w:val="22"/>
          <w:szCs w:val="22"/>
        </w:rPr>
        <w:t xml:space="preserve"> sub-borrowers to meet the sustainability standards of banks – improving transparency between lender and borrower. For EBF, and therefore Defra, this </w:t>
      </w:r>
      <w:r w:rsidRPr="44CBFA01">
        <w:rPr>
          <w:rFonts w:asciiTheme="minorHAnsi" w:hAnsiTheme="minorHAnsi"/>
          <w:sz w:val="22"/>
          <w:szCs w:val="22"/>
        </w:rPr>
        <w:t>increase</w:t>
      </w:r>
      <w:r w:rsidR="33228FA8" w:rsidRPr="44CBFA01">
        <w:rPr>
          <w:rFonts w:asciiTheme="minorHAnsi" w:hAnsiTheme="minorHAnsi"/>
          <w:sz w:val="22"/>
          <w:szCs w:val="22"/>
        </w:rPr>
        <w:t>s</w:t>
      </w:r>
      <w:r w:rsidRPr="44CBFA01">
        <w:rPr>
          <w:rFonts w:asciiTheme="minorHAnsi" w:hAnsiTheme="minorHAnsi"/>
          <w:sz w:val="22"/>
          <w:szCs w:val="22"/>
        </w:rPr>
        <w:t xml:space="preserve"> the impact of our investments</w:t>
      </w:r>
      <w:r w:rsidR="33228FA8" w:rsidRPr="44CBFA01">
        <w:rPr>
          <w:rFonts w:asciiTheme="minorHAnsi" w:hAnsiTheme="minorHAnsi"/>
          <w:sz w:val="22"/>
          <w:szCs w:val="22"/>
        </w:rPr>
        <w:t>.</w:t>
      </w:r>
    </w:p>
    <w:p w14:paraId="38413051" w14:textId="33445D09" w:rsidR="00DF1AAA" w:rsidRPr="001E6EF8" w:rsidRDefault="0AA55D01" w:rsidP="44CBFA01">
      <w:pPr>
        <w:pStyle w:val="Normal1"/>
        <w:spacing w:after="120" w:line="276" w:lineRule="auto"/>
        <w:jc w:val="both"/>
        <w:rPr>
          <w:rFonts w:asciiTheme="minorHAnsi" w:hAnsiTheme="minorHAnsi"/>
          <w:sz w:val="22"/>
          <w:szCs w:val="22"/>
        </w:rPr>
      </w:pPr>
      <w:r w:rsidRPr="358F83BF">
        <w:rPr>
          <w:rFonts w:asciiTheme="minorHAnsi" w:hAnsiTheme="minorHAnsi"/>
          <w:sz w:val="22"/>
          <w:szCs w:val="22"/>
        </w:rPr>
        <w:t>Further, the EBF</w:t>
      </w:r>
      <w:r w:rsidR="00E3600A" w:rsidRPr="358F83BF">
        <w:rPr>
          <w:rFonts w:asciiTheme="minorHAnsi" w:hAnsiTheme="minorHAnsi"/>
          <w:sz w:val="22"/>
          <w:szCs w:val="22"/>
        </w:rPr>
        <w:t xml:space="preserve"> DF</w:t>
      </w:r>
      <w:r w:rsidRPr="358F83BF">
        <w:rPr>
          <w:rFonts w:asciiTheme="minorHAnsi" w:hAnsiTheme="minorHAnsi"/>
          <w:sz w:val="22"/>
          <w:szCs w:val="22"/>
        </w:rPr>
        <w:t xml:space="preserve"> has utilised relationships built in </w:t>
      </w:r>
      <w:r w:rsidR="00E3600A" w:rsidRPr="358F83BF">
        <w:rPr>
          <w:rFonts w:asciiTheme="minorHAnsi" w:hAnsiTheme="minorHAnsi"/>
          <w:sz w:val="22"/>
          <w:szCs w:val="22"/>
        </w:rPr>
        <w:t xml:space="preserve">by the Fund </w:t>
      </w:r>
      <w:r w:rsidRPr="358F83BF">
        <w:rPr>
          <w:rFonts w:asciiTheme="minorHAnsi" w:hAnsiTheme="minorHAnsi"/>
          <w:sz w:val="22"/>
          <w:szCs w:val="22"/>
        </w:rPr>
        <w:t xml:space="preserve">to embed ESG lending and to offer </w:t>
      </w:r>
      <w:r w:rsidR="1CC8D9EE" w:rsidRPr="358F83BF">
        <w:rPr>
          <w:rFonts w:asciiTheme="minorHAnsi" w:hAnsiTheme="minorHAnsi"/>
          <w:sz w:val="22"/>
          <w:szCs w:val="22"/>
        </w:rPr>
        <w:t>TA</w:t>
      </w:r>
      <w:r w:rsidR="11B59392" w:rsidRPr="358F83BF">
        <w:rPr>
          <w:rFonts w:asciiTheme="minorHAnsi" w:hAnsiTheme="minorHAnsi"/>
          <w:sz w:val="22"/>
          <w:szCs w:val="22"/>
        </w:rPr>
        <w:t xml:space="preserve"> </w:t>
      </w:r>
      <w:r w:rsidRPr="358F83BF">
        <w:rPr>
          <w:rFonts w:asciiTheme="minorHAnsi" w:hAnsiTheme="minorHAnsi"/>
          <w:sz w:val="22"/>
          <w:szCs w:val="22"/>
        </w:rPr>
        <w:t xml:space="preserve">to increase the sustainability </w:t>
      </w:r>
      <w:r w:rsidR="0F61203F" w:rsidRPr="358F83BF">
        <w:rPr>
          <w:rFonts w:asciiTheme="minorHAnsi" w:hAnsiTheme="minorHAnsi"/>
          <w:sz w:val="22"/>
          <w:szCs w:val="22"/>
        </w:rPr>
        <w:t xml:space="preserve">of end-borrowers – enhancing the </w:t>
      </w:r>
      <w:proofErr w:type="spellStart"/>
      <w:r w:rsidR="398917FC" w:rsidRPr="358F83BF">
        <w:rPr>
          <w:rFonts w:asciiTheme="minorHAnsi" w:hAnsiTheme="minorHAnsi"/>
          <w:sz w:val="22"/>
          <w:szCs w:val="22"/>
        </w:rPr>
        <w:t>VfM</w:t>
      </w:r>
      <w:proofErr w:type="spellEnd"/>
      <w:r w:rsidR="0F61203F" w:rsidRPr="358F83BF">
        <w:rPr>
          <w:rFonts w:asciiTheme="minorHAnsi" w:hAnsiTheme="minorHAnsi"/>
          <w:sz w:val="22"/>
          <w:szCs w:val="22"/>
        </w:rPr>
        <w:t xml:space="preserve"> of our investments.</w:t>
      </w:r>
      <w:r w:rsidR="33228FA8" w:rsidRPr="358F83BF">
        <w:rPr>
          <w:rFonts w:asciiTheme="minorHAnsi" w:hAnsiTheme="minorHAnsi"/>
          <w:sz w:val="22"/>
          <w:szCs w:val="22"/>
        </w:rPr>
        <w:t xml:space="preserve"> </w:t>
      </w:r>
      <w:r w:rsidR="00E3600A" w:rsidRPr="358F83BF">
        <w:rPr>
          <w:rFonts w:asciiTheme="minorHAnsi" w:hAnsiTheme="minorHAnsi"/>
          <w:sz w:val="22"/>
          <w:szCs w:val="22"/>
        </w:rPr>
        <w:t>This is further de</w:t>
      </w:r>
      <w:r w:rsidR="33228FA8" w:rsidRPr="358F83BF">
        <w:rPr>
          <w:rFonts w:asciiTheme="minorHAnsi" w:hAnsiTheme="minorHAnsi"/>
          <w:sz w:val="22"/>
          <w:szCs w:val="22"/>
        </w:rPr>
        <w:t>scribed in Output 3.</w:t>
      </w:r>
    </w:p>
    <w:p w14:paraId="1B69FFDE" w14:textId="460B8773" w:rsidR="001E6EF8" w:rsidRDefault="00284ECC" w:rsidP="0038569C">
      <w:pPr>
        <w:pStyle w:val="Normal1"/>
        <w:spacing w:after="120" w:line="276" w:lineRule="auto"/>
        <w:jc w:val="both"/>
        <w:rPr>
          <w:rFonts w:ascii="Calibri" w:hAnsi="Calibri"/>
          <w:b/>
          <w:i/>
          <w:sz w:val="22"/>
          <w:szCs w:val="22"/>
        </w:rPr>
      </w:pPr>
      <w:r w:rsidRPr="002F0726">
        <w:rPr>
          <w:rFonts w:ascii="Calibri" w:hAnsi="Calibri"/>
          <w:b/>
          <w:i/>
          <w:sz w:val="22"/>
          <w:szCs w:val="22"/>
        </w:rPr>
        <w:t>Effectiveness:</w:t>
      </w:r>
      <w:r w:rsidR="00273C48" w:rsidRPr="002F0726">
        <w:rPr>
          <w:rFonts w:ascii="Calibri" w:hAnsi="Calibri"/>
          <w:b/>
          <w:i/>
          <w:sz w:val="22"/>
          <w:szCs w:val="22"/>
        </w:rPr>
        <w:t xml:space="preserve"> </w:t>
      </w:r>
    </w:p>
    <w:p w14:paraId="3B9A45A0" w14:textId="115E22A2" w:rsidR="006A5849" w:rsidRDefault="006A5849" w:rsidP="3651B6FB">
      <w:pPr>
        <w:pStyle w:val="Normal1"/>
        <w:jc w:val="both"/>
        <w:rPr>
          <w:rFonts w:asciiTheme="minorHAnsi" w:hAnsiTheme="minorHAnsi" w:cstheme="minorBidi"/>
          <w:sz w:val="22"/>
          <w:szCs w:val="22"/>
        </w:rPr>
      </w:pPr>
      <w:r w:rsidRPr="75155D3C">
        <w:rPr>
          <w:rFonts w:asciiTheme="minorHAnsi" w:hAnsiTheme="minorHAnsi" w:cstheme="minorBidi"/>
          <w:sz w:val="22"/>
          <w:szCs w:val="22"/>
        </w:rPr>
        <w:t>The Fund has worked constructively alongside Defra to define KPIs including finance leveraged and CO</w:t>
      </w:r>
      <w:r w:rsidRPr="75155D3C">
        <w:rPr>
          <w:rFonts w:asciiTheme="minorHAnsi" w:hAnsiTheme="minorHAnsi" w:cstheme="minorBidi"/>
          <w:sz w:val="22"/>
          <w:szCs w:val="22"/>
          <w:vertAlign w:val="subscript"/>
        </w:rPr>
        <w:t>2</w:t>
      </w:r>
      <w:r w:rsidRPr="75155D3C">
        <w:rPr>
          <w:rFonts w:asciiTheme="minorHAnsi" w:hAnsiTheme="minorHAnsi" w:cstheme="minorBidi"/>
          <w:sz w:val="22"/>
          <w:szCs w:val="22"/>
        </w:rPr>
        <w:t xml:space="preserve"> sequestration. </w:t>
      </w:r>
      <w:r w:rsidR="001E6EF8" w:rsidRPr="3651B6FB">
        <w:rPr>
          <w:rFonts w:asciiTheme="minorHAnsi" w:hAnsiTheme="minorHAnsi" w:cstheme="minorBidi"/>
          <w:sz w:val="22"/>
          <w:szCs w:val="22"/>
        </w:rPr>
        <w:t xml:space="preserve">The </w:t>
      </w:r>
      <w:r w:rsidR="00F81832" w:rsidRPr="3651B6FB">
        <w:rPr>
          <w:rFonts w:asciiTheme="minorHAnsi" w:hAnsiTheme="minorHAnsi" w:cstheme="minorBidi"/>
          <w:sz w:val="22"/>
          <w:szCs w:val="22"/>
        </w:rPr>
        <w:t>F</w:t>
      </w:r>
      <w:r w:rsidR="001E6EF8" w:rsidRPr="3651B6FB">
        <w:rPr>
          <w:rFonts w:asciiTheme="minorHAnsi" w:hAnsiTheme="minorHAnsi" w:cstheme="minorBidi"/>
          <w:sz w:val="22"/>
          <w:szCs w:val="22"/>
        </w:rPr>
        <w:t>und has met or exceeded all</w:t>
      </w:r>
      <w:r w:rsidR="00753817">
        <w:rPr>
          <w:rFonts w:asciiTheme="minorHAnsi" w:hAnsiTheme="minorHAnsi" w:cstheme="minorBidi"/>
          <w:sz w:val="22"/>
          <w:szCs w:val="22"/>
        </w:rPr>
        <w:t xml:space="preserve"> outcome and output</w:t>
      </w:r>
      <w:r w:rsidR="001E6EF8" w:rsidRPr="3651B6FB">
        <w:rPr>
          <w:rFonts w:asciiTheme="minorHAnsi" w:hAnsiTheme="minorHAnsi" w:cstheme="minorBidi"/>
          <w:sz w:val="22"/>
          <w:szCs w:val="22"/>
        </w:rPr>
        <w:t xml:space="preserve"> indicator targets for 2019</w:t>
      </w:r>
      <w:r w:rsidR="00753817">
        <w:rPr>
          <w:rFonts w:asciiTheme="minorHAnsi" w:hAnsiTheme="minorHAnsi" w:cstheme="minorBidi"/>
          <w:sz w:val="22"/>
          <w:szCs w:val="22"/>
        </w:rPr>
        <w:t xml:space="preserve"> except output indicator 3.4</w:t>
      </w:r>
      <w:r w:rsidR="001E6EF8" w:rsidRPr="3651B6FB">
        <w:rPr>
          <w:rFonts w:asciiTheme="minorHAnsi" w:hAnsiTheme="minorHAnsi" w:cstheme="minorBidi"/>
          <w:sz w:val="22"/>
          <w:szCs w:val="22"/>
        </w:rPr>
        <w:t xml:space="preserve">. </w:t>
      </w:r>
      <w:r>
        <w:rPr>
          <w:rFonts w:asciiTheme="minorHAnsi" w:hAnsiTheme="minorHAnsi" w:cstheme="minorBidi"/>
          <w:sz w:val="22"/>
          <w:szCs w:val="22"/>
        </w:rPr>
        <w:t>This includes, for example:</w:t>
      </w:r>
    </w:p>
    <w:p w14:paraId="7D350E46" w14:textId="4319DBAB" w:rsidR="006A5849" w:rsidRDefault="001E6EF8" w:rsidP="006A5849">
      <w:pPr>
        <w:pStyle w:val="Normal1"/>
        <w:numPr>
          <w:ilvl w:val="0"/>
          <w:numId w:val="28"/>
        </w:numPr>
        <w:jc w:val="both"/>
        <w:rPr>
          <w:rFonts w:asciiTheme="minorHAnsi" w:hAnsiTheme="minorHAnsi" w:cstheme="minorBidi"/>
          <w:sz w:val="22"/>
          <w:szCs w:val="22"/>
        </w:rPr>
      </w:pPr>
      <w:r w:rsidRPr="3651B6FB">
        <w:rPr>
          <w:rFonts w:asciiTheme="minorHAnsi" w:hAnsiTheme="minorHAnsi" w:cstheme="minorBidi"/>
          <w:sz w:val="22"/>
          <w:szCs w:val="22"/>
        </w:rPr>
        <w:t xml:space="preserve">Reaching a total portfolio size of USD 491.1, against a </w:t>
      </w:r>
      <w:r w:rsidR="007B1E33">
        <w:rPr>
          <w:rFonts w:asciiTheme="minorHAnsi" w:hAnsiTheme="minorHAnsi" w:cstheme="minorBidi"/>
          <w:sz w:val="22"/>
          <w:szCs w:val="22"/>
        </w:rPr>
        <w:t xml:space="preserve">Defra </w:t>
      </w:r>
      <w:r w:rsidRPr="3651B6FB">
        <w:rPr>
          <w:rFonts w:asciiTheme="minorHAnsi" w:hAnsiTheme="minorHAnsi" w:cstheme="minorBidi"/>
          <w:sz w:val="22"/>
          <w:szCs w:val="22"/>
        </w:rPr>
        <w:t xml:space="preserve">target of USD 379m. </w:t>
      </w:r>
    </w:p>
    <w:p w14:paraId="0B6AD712" w14:textId="1327E0F4" w:rsidR="006A5849" w:rsidRDefault="006A5849" w:rsidP="006A5849">
      <w:pPr>
        <w:pStyle w:val="Normal1"/>
        <w:numPr>
          <w:ilvl w:val="0"/>
          <w:numId w:val="28"/>
        </w:numPr>
        <w:jc w:val="both"/>
        <w:rPr>
          <w:rFonts w:asciiTheme="minorHAnsi" w:hAnsiTheme="minorHAnsi" w:cstheme="minorBidi"/>
          <w:sz w:val="22"/>
          <w:szCs w:val="22"/>
        </w:rPr>
      </w:pPr>
      <w:r>
        <w:rPr>
          <w:rFonts w:asciiTheme="minorHAnsi" w:hAnsiTheme="minorHAnsi" w:cstheme="minorBidi"/>
          <w:sz w:val="22"/>
          <w:szCs w:val="22"/>
        </w:rPr>
        <w:t>D</w:t>
      </w:r>
      <w:r w:rsidR="001E6EF8" w:rsidRPr="3651B6FB">
        <w:rPr>
          <w:rFonts w:asciiTheme="minorHAnsi" w:hAnsiTheme="minorHAnsi" w:cstheme="minorBidi"/>
          <w:sz w:val="22"/>
          <w:szCs w:val="22"/>
        </w:rPr>
        <w:t>eliver</w:t>
      </w:r>
      <w:r>
        <w:rPr>
          <w:rFonts w:asciiTheme="minorHAnsi" w:hAnsiTheme="minorHAnsi" w:cstheme="minorBidi"/>
          <w:sz w:val="22"/>
          <w:szCs w:val="22"/>
        </w:rPr>
        <w:t>ing</w:t>
      </w:r>
      <w:r w:rsidR="001E6EF8" w:rsidRPr="3651B6FB">
        <w:rPr>
          <w:rFonts w:asciiTheme="minorHAnsi" w:hAnsiTheme="minorHAnsi" w:cstheme="minorBidi"/>
          <w:sz w:val="22"/>
          <w:szCs w:val="22"/>
        </w:rPr>
        <w:t xml:space="preserve"> over 261,000 Hectares of land sustainably managed against a </w:t>
      </w:r>
      <w:r w:rsidR="007B1E33">
        <w:rPr>
          <w:rFonts w:asciiTheme="minorHAnsi" w:hAnsiTheme="minorHAnsi" w:cstheme="minorBidi"/>
          <w:sz w:val="22"/>
          <w:szCs w:val="22"/>
        </w:rPr>
        <w:t xml:space="preserve">Defra </w:t>
      </w:r>
      <w:r w:rsidR="007B1E33" w:rsidRPr="3651B6FB">
        <w:rPr>
          <w:rFonts w:asciiTheme="minorHAnsi" w:hAnsiTheme="minorHAnsi" w:cstheme="minorBidi"/>
          <w:sz w:val="22"/>
          <w:szCs w:val="22"/>
        </w:rPr>
        <w:t xml:space="preserve">target </w:t>
      </w:r>
      <w:r w:rsidR="007B1E33">
        <w:rPr>
          <w:rFonts w:asciiTheme="minorHAnsi" w:hAnsiTheme="minorHAnsi" w:cstheme="minorBidi"/>
          <w:sz w:val="22"/>
          <w:szCs w:val="22"/>
        </w:rPr>
        <w:t xml:space="preserve">of </w:t>
      </w:r>
      <w:r w:rsidR="0072143B" w:rsidRPr="3651B6FB">
        <w:rPr>
          <w:rFonts w:asciiTheme="minorHAnsi" w:hAnsiTheme="minorHAnsi" w:cstheme="minorBidi"/>
          <w:sz w:val="22"/>
          <w:szCs w:val="22"/>
        </w:rPr>
        <w:t>200,000</w:t>
      </w:r>
      <w:r w:rsidR="007B1E33">
        <w:rPr>
          <w:rFonts w:asciiTheme="minorHAnsi" w:hAnsiTheme="minorHAnsi" w:cstheme="minorBidi"/>
          <w:sz w:val="22"/>
          <w:szCs w:val="22"/>
        </w:rPr>
        <w:t xml:space="preserve"> </w:t>
      </w:r>
      <w:r w:rsidR="0072143B" w:rsidRPr="3651B6FB">
        <w:rPr>
          <w:rFonts w:asciiTheme="minorHAnsi" w:hAnsiTheme="minorHAnsi" w:cstheme="minorBidi"/>
          <w:sz w:val="22"/>
          <w:szCs w:val="22"/>
        </w:rPr>
        <w:t>hectare</w:t>
      </w:r>
      <w:r w:rsidR="007B1E33">
        <w:rPr>
          <w:rFonts w:asciiTheme="minorHAnsi" w:hAnsiTheme="minorHAnsi" w:cstheme="minorBidi"/>
          <w:sz w:val="22"/>
          <w:szCs w:val="22"/>
        </w:rPr>
        <w:t>s.</w:t>
      </w:r>
      <w:r w:rsidR="54CDF83D" w:rsidRPr="3651B6FB">
        <w:rPr>
          <w:rFonts w:asciiTheme="minorHAnsi" w:hAnsiTheme="minorHAnsi" w:cstheme="minorBidi"/>
          <w:sz w:val="22"/>
          <w:szCs w:val="22"/>
        </w:rPr>
        <w:t xml:space="preserve"> </w:t>
      </w:r>
    </w:p>
    <w:p w14:paraId="609637E8" w14:textId="277D976A" w:rsidR="006A5849" w:rsidRDefault="006A5849" w:rsidP="006A5849">
      <w:pPr>
        <w:pStyle w:val="Normal1"/>
        <w:numPr>
          <w:ilvl w:val="0"/>
          <w:numId w:val="28"/>
        </w:numPr>
        <w:jc w:val="both"/>
        <w:rPr>
          <w:rFonts w:asciiTheme="minorHAnsi" w:hAnsiTheme="minorHAnsi" w:cstheme="minorBidi"/>
          <w:sz w:val="22"/>
          <w:szCs w:val="22"/>
        </w:rPr>
      </w:pPr>
      <w:r>
        <w:rPr>
          <w:rFonts w:asciiTheme="minorHAnsi" w:hAnsiTheme="minorHAnsi" w:cstheme="minorBidi"/>
          <w:sz w:val="22"/>
          <w:szCs w:val="22"/>
        </w:rPr>
        <w:t>S</w:t>
      </w:r>
      <w:r w:rsidR="54CDF83D" w:rsidRPr="3651B6FB">
        <w:rPr>
          <w:rFonts w:asciiTheme="minorHAnsi" w:hAnsiTheme="minorHAnsi" w:cstheme="minorBidi"/>
          <w:sz w:val="22"/>
          <w:szCs w:val="22"/>
        </w:rPr>
        <w:t>equester</w:t>
      </w:r>
      <w:r>
        <w:rPr>
          <w:rFonts w:asciiTheme="minorHAnsi" w:hAnsiTheme="minorHAnsi" w:cstheme="minorBidi"/>
          <w:sz w:val="22"/>
          <w:szCs w:val="22"/>
        </w:rPr>
        <w:t>ing</w:t>
      </w:r>
      <w:r w:rsidR="56E1B463" w:rsidRPr="3651B6FB">
        <w:rPr>
          <w:rFonts w:asciiTheme="minorHAnsi" w:hAnsiTheme="minorHAnsi" w:cstheme="minorBidi"/>
          <w:sz w:val="22"/>
          <w:szCs w:val="22"/>
        </w:rPr>
        <w:t xml:space="preserve"> </w:t>
      </w:r>
      <w:r w:rsidR="5E16CC43" w:rsidRPr="3651B6FB">
        <w:rPr>
          <w:rFonts w:asciiTheme="minorHAnsi" w:hAnsiTheme="minorHAnsi" w:cstheme="minorBidi"/>
          <w:sz w:val="22"/>
          <w:szCs w:val="22"/>
        </w:rPr>
        <w:t>N</w:t>
      </w:r>
      <w:r w:rsidR="56E1B463" w:rsidRPr="3651B6FB">
        <w:rPr>
          <w:rFonts w:asciiTheme="minorHAnsi" w:hAnsiTheme="minorHAnsi" w:cstheme="minorBidi"/>
          <w:sz w:val="22"/>
          <w:szCs w:val="22"/>
        </w:rPr>
        <w:t>et</w:t>
      </w:r>
      <w:r w:rsidR="001E6EF8" w:rsidRPr="3651B6FB">
        <w:rPr>
          <w:rFonts w:asciiTheme="minorHAnsi" w:hAnsiTheme="minorHAnsi" w:cstheme="minorBidi"/>
          <w:sz w:val="22"/>
          <w:szCs w:val="22"/>
        </w:rPr>
        <w:t xml:space="preserve"> </w:t>
      </w:r>
      <w:r w:rsidR="00753817" w:rsidRPr="3651B6FB">
        <w:rPr>
          <w:rFonts w:asciiTheme="minorHAnsi" w:eastAsiaTheme="minorEastAsia" w:hAnsiTheme="minorHAnsi" w:cstheme="minorBidi"/>
          <w:color w:val="000000" w:themeColor="text1"/>
          <w:sz w:val="22"/>
          <w:szCs w:val="22"/>
        </w:rPr>
        <w:t>1,050,000</w:t>
      </w:r>
      <w:r w:rsidR="00753817">
        <w:rPr>
          <w:rFonts w:asciiTheme="minorHAnsi" w:eastAsiaTheme="minorEastAsia" w:hAnsiTheme="minorHAnsi" w:cstheme="minorBidi"/>
          <w:color w:val="000000" w:themeColor="text1"/>
          <w:sz w:val="22"/>
          <w:szCs w:val="22"/>
        </w:rPr>
        <w:t xml:space="preserve"> tonnes</w:t>
      </w:r>
      <w:r w:rsidR="004E3E37">
        <w:rPr>
          <w:rFonts w:asciiTheme="minorHAnsi" w:eastAsiaTheme="minorEastAsia" w:hAnsiTheme="minorHAnsi" w:cstheme="minorBidi"/>
          <w:color w:val="000000" w:themeColor="text1"/>
          <w:sz w:val="22"/>
          <w:szCs w:val="22"/>
        </w:rPr>
        <w:t xml:space="preserve"> </w:t>
      </w:r>
      <w:r w:rsidR="031B4107" w:rsidRPr="3651B6FB">
        <w:rPr>
          <w:rFonts w:ascii="Calibri" w:eastAsia="Calibri" w:hAnsi="Calibri" w:cs="Calibri"/>
          <w:color w:val="000000" w:themeColor="text1"/>
          <w:sz w:val="21"/>
          <w:szCs w:val="21"/>
        </w:rPr>
        <w:t>of CO2</w:t>
      </w:r>
      <w:r w:rsidR="007B1E33">
        <w:rPr>
          <w:rFonts w:ascii="Calibri" w:eastAsia="Calibri" w:hAnsi="Calibri" w:cs="Calibri"/>
          <w:color w:val="000000" w:themeColor="text1"/>
          <w:sz w:val="21"/>
          <w:szCs w:val="21"/>
        </w:rPr>
        <w:t xml:space="preserve"> against a Defra target of 800,000 tonnes.</w:t>
      </w:r>
    </w:p>
    <w:p w14:paraId="0A8F1AF8" w14:textId="42AB6A42" w:rsidR="001E6EF8" w:rsidRPr="00A7583E" w:rsidRDefault="006A5849" w:rsidP="00CE3099">
      <w:pPr>
        <w:pStyle w:val="Normal1"/>
        <w:numPr>
          <w:ilvl w:val="0"/>
          <w:numId w:val="28"/>
        </w:numPr>
        <w:jc w:val="both"/>
        <w:rPr>
          <w:rFonts w:asciiTheme="minorHAnsi" w:hAnsiTheme="minorHAnsi" w:cstheme="minorBidi"/>
          <w:sz w:val="22"/>
          <w:szCs w:val="22"/>
          <w:lang w:val="es-EC"/>
        </w:rPr>
      </w:pPr>
      <w:proofErr w:type="spellStart"/>
      <w:r w:rsidRPr="00A7583E">
        <w:rPr>
          <w:rFonts w:asciiTheme="minorHAnsi" w:hAnsiTheme="minorHAnsi" w:cstheme="minorBidi"/>
          <w:sz w:val="22"/>
          <w:szCs w:val="22"/>
          <w:lang w:val="es-EC"/>
        </w:rPr>
        <w:t>E</w:t>
      </w:r>
      <w:r w:rsidR="001E6EF8" w:rsidRPr="00A7583E">
        <w:rPr>
          <w:rFonts w:asciiTheme="minorHAnsi" w:hAnsiTheme="minorHAnsi" w:cstheme="minorBidi"/>
          <w:sz w:val="22"/>
          <w:szCs w:val="22"/>
          <w:lang w:val="es-EC"/>
        </w:rPr>
        <w:t>xpanded</w:t>
      </w:r>
      <w:proofErr w:type="spellEnd"/>
      <w:r w:rsidR="001E6EF8" w:rsidRPr="00A7583E">
        <w:rPr>
          <w:rFonts w:asciiTheme="minorHAnsi" w:hAnsiTheme="minorHAnsi" w:cstheme="minorBidi"/>
          <w:sz w:val="22"/>
          <w:szCs w:val="22"/>
          <w:lang w:val="es-EC"/>
        </w:rPr>
        <w:t xml:space="preserve"> </w:t>
      </w:r>
      <w:r w:rsidR="00F81832" w:rsidRPr="00A7583E">
        <w:rPr>
          <w:rFonts w:asciiTheme="minorHAnsi" w:hAnsiTheme="minorHAnsi" w:cstheme="minorBidi"/>
          <w:sz w:val="22"/>
          <w:szCs w:val="22"/>
          <w:lang w:val="es-EC"/>
        </w:rPr>
        <w:t>F</w:t>
      </w:r>
      <w:r w:rsidR="001E6EF8" w:rsidRPr="00A7583E">
        <w:rPr>
          <w:rFonts w:asciiTheme="minorHAnsi" w:hAnsiTheme="minorHAnsi" w:cstheme="minorBidi"/>
          <w:sz w:val="22"/>
          <w:szCs w:val="22"/>
          <w:lang w:val="es-EC"/>
        </w:rPr>
        <w:t xml:space="preserve">und </w:t>
      </w:r>
      <w:proofErr w:type="spellStart"/>
      <w:r w:rsidR="001E6EF8" w:rsidRPr="00A7583E">
        <w:rPr>
          <w:rFonts w:asciiTheme="minorHAnsi" w:hAnsiTheme="minorHAnsi" w:cstheme="minorBidi"/>
          <w:sz w:val="22"/>
          <w:szCs w:val="22"/>
          <w:lang w:val="es-EC"/>
        </w:rPr>
        <w:t>activities</w:t>
      </w:r>
      <w:proofErr w:type="spellEnd"/>
      <w:r w:rsidR="001E6EF8" w:rsidRPr="00A7583E">
        <w:rPr>
          <w:rFonts w:asciiTheme="minorHAnsi" w:hAnsiTheme="minorHAnsi" w:cstheme="minorBidi"/>
          <w:sz w:val="22"/>
          <w:szCs w:val="22"/>
          <w:lang w:val="es-EC"/>
        </w:rPr>
        <w:t xml:space="preserve"> to </w:t>
      </w:r>
      <w:proofErr w:type="spellStart"/>
      <w:r w:rsidR="001E6EF8" w:rsidRPr="00A7583E">
        <w:rPr>
          <w:rFonts w:asciiTheme="minorHAnsi" w:hAnsiTheme="minorHAnsi" w:cstheme="minorBidi"/>
          <w:sz w:val="22"/>
          <w:szCs w:val="22"/>
          <w:lang w:val="es-EC"/>
        </w:rPr>
        <w:t>an</w:t>
      </w:r>
      <w:proofErr w:type="spellEnd"/>
      <w:r w:rsidR="001E6EF8" w:rsidRPr="00A7583E">
        <w:rPr>
          <w:rFonts w:asciiTheme="minorHAnsi" w:hAnsiTheme="minorHAnsi" w:cstheme="minorBidi"/>
          <w:sz w:val="22"/>
          <w:szCs w:val="22"/>
          <w:lang w:val="es-EC"/>
        </w:rPr>
        <w:t xml:space="preserve"> </w:t>
      </w:r>
      <w:proofErr w:type="spellStart"/>
      <w:r w:rsidR="001E6EF8" w:rsidRPr="00A7583E">
        <w:rPr>
          <w:rFonts w:asciiTheme="minorHAnsi" w:hAnsiTheme="minorHAnsi" w:cstheme="minorBidi"/>
          <w:sz w:val="22"/>
          <w:szCs w:val="22"/>
          <w:lang w:val="es-EC"/>
        </w:rPr>
        <w:t>additional</w:t>
      </w:r>
      <w:proofErr w:type="spellEnd"/>
      <w:r w:rsidR="001E6EF8" w:rsidRPr="00A7583E">
        <w:rPr>
          <w:rFonts w:asciiTheme="minorHAnsi" w:hAnsiTheme="minorHAnsi" w:cstheme="minorBidi"/>
          <w:sz w:val="22"/>
          <w:szCs w:val="22"/>
          <w:lang w:val="es-EC"/>
        </w:rPr>
        <w:t xml:space="preserve"> </w:t>
      </w:r>
      <w:proofErr w:type="spellStart"/>
      <w:r w:rsidR="00A8672D" w:rsidRPr="00A7583E">
        <w:rPr>
          <w:rFonts w:asciiTheme="minorHAnsi" w:hAnsiTheme="minorHAnsi" w:cstheme="minorBidi"/>
          <w:sz w:val="22"/>
          <w:szCs w:val="22"/>
          <w:lang w:val="es-EC"/>
        </w:rPr>
        <w:t>five</w:t>
      </w:r>
      <w:proofErr w:type="spellEnd"/>
      <w:r w:rsidR="001E6EF8" w:rsidRPr="00A7583E">
        <w:rPr>
          <w:rFonts w:asciiTheme="minorHAnsi" w:hAnsiTheme="minorHAnsi" w:cstheme="minorBidi"/>
          <w:sz w:val="22"/>
          <w:szCs w:val="22"/>
          <w:lang w:val="es-EC"/>
        </w:rPr>
        <w:t xml:space="preserve"> </w:t>
      </w:r>
      <w:proofErr w:type="spellStart"/>
      <w:r w:rsidR="00A8672D" w:rsidRPr="00A7583E">
        <w:rPr>
          <w:rFonts w:ascii="Calibri" w:hAnsi="Calibri"/>
          <w:sz w:val="22"/>
          <w:szCs w:val="22"/>
          <w:lang w:val="es-EC"/>
        </w:rPr>
        <w:t>FIs</w:t>
      </w:r>
      <w:proofErr w:type="spellEnd"/>
      <w:r w:rsidR="001E6EF8" w:rsidRPr="00A7583E">
        <w:rPr>
          <w:rFonts w:asciiTheme="minorHAnsi" w:hAnsiTheme="minorHAnsi" w:cstheme="minorBidi"/>
          <w:sz w:val="22"/>
          <w:szCs w:val="22"/>
          <w:lang w:val="es-EC"/>
        </w:rPr>
        <w:t>: Banco D</w:t>
      </w:r>
      <w:r w:rsidR="007B1E33">
        <w:rPr>
          <w:rFonts w:asciiTheme="minorHAnsi" w:hAnsiTheme="minorHAnsi" w:cstheme="minorBidi"/>
          <w:sz w:val="22"/>
          <w:szCs w:val="22"/>
          <w:lang w:val="es-EC"/>
        </w:rPr>
        <w:t>av</w:t>
      </w:r>
      <w:r w:rsidR="001E6EF8" w:rsidRPr="00A7583E">
        <w:rPr>
          <w:rFonts w:asciiTheme="minorHAnsi" w:hAnsiTheme="minorHAnsi" w:cstheme="minorBidi"/>
          <w:sz w:val="22"/>
          <w:szCs w:val="22"/>
          <w:lang w:val="es-EC"/>
        </w:rPr>
        <w:t>iv</w:t>
      </w:r>
      <w:r w:rsidR="007B1E33">
        <w:rPr>
          <w:rFonts w:asciiTheme="minorHAnsi" w:hAnsiTheme="minorHAnsi" w:cstheme="minorBidi"/>
          <w:sz w:val="22"/>
          <w:szCs w:val="22"/>
          <w:lang w:val="es-EC"/>
        </w:rPr>
        <w:t>i</w:t>
      </w:r>
      <w:r w:rsidR="001E6EF8" w:rsidRPr="00A7583E">
        <w:rPr>
          <w:rFonts w:asciiTheme="minorHAnsi" w:hAnsiTheme="minorHAnsi" w:cstheme="minorBidi"/>
          <w:sz w:val="22"/>
          <w:szCs w:val="22"/>
          <w:lang w:val="es-EC"/>
        </w:rPr>
        <w:t>enda (C</w:t>
      </w:r>
      <w:r w:rsidR="004B3B94">
        <w:rPr>
          <w:rFonts w:asciiTheme="minorHAnsi" w:hAnsiTheme="minorHAnsi" w:cstheme="minorBidi"/>
          <w:sz w:val="22"/>
          <w:szCs w:val="22"/>
          <w:lang w:val="es-EC"/>
        </w:rPr>
        <w:t>olombia</w:t>
      </w:r>
      <w:r w:rsidR="001E6EF8" w:rsidRPr="00A7583E">
        <w:rPr>
          <w:rFonts w:asciiTheme="minorHAnsi" w:hAnsiTheme="minorHAnsi" w:cstheme="minorBidi"/>
          <w:sz w:val="22"/>
          <w:szCs w:val="22"/>
          <w:lang w:val="es-EC"/>
        </w:rPr>
        <w:t>)</w:t>
      </w:r>
      <w:r w:rsidR="007B1E33">
        <w:rPr>
          <w:rFonts w:asciiTheme="minorHAnsi" w:hAnsiTheme="minorHAnsi" w:cstheme="minorBidi"/>
          <w:sz w:val="22"/>
          <w:szCs w:val="22"/>
          <w:lang w:val="es-EC"/>
        </w:rPr>
        <w:t>,</w:t>
      </w:r>
      <w:r w:rsidR="001E6EF8" w:rsidRPr="00A7583E">
        <w:rPr>
          <w:rFonts w:asciiTheme="minorHAnsi" w:hAnsiTheme="minorHAnsi" w:cstheme="minorBidi"/>
          <w:sz w:val="22"/>
          <w:szCs w:val="22"/>
          <w:lang w:val="es-EC"/>
        </w:rPr>
        <w:t xml:space="preserve"> Promerica (Costa Rica), Banco Guayaquil (Ecuador) Banco Atlanta (El Salvador), Banco Cuscatlán (</w:t>
      </w:r>
      <w:r w:rsidR="00902BAF" w:rsidRPr="00A7583E">
        <w:rPr>
          <w:rFonts w:asciiTheme="minorHAnsi" w:hAnsiTheme="minorHAnsi" w:cstheme="minorBidi"/>
          <w:sz w:val="22"/>
          <w:szCs w:val="22"/>
          <w:lang w:val="es-EC"/>
        </w:rPr>
        <w:t>E</w:t>
      </w:r>
      <w:r w:rsidR="001E6EF8" w:rsidRPr="00A7583E">
        <w:rPr>
          <w:rFonts w:asciiTheme="minorHAnsi" w:hAnsiTheme="minorHAnsi" w:cstheme="minorBidi"/>
          <w:sz w:val="22"/>
          <w:szCs w:val="22"/>
          <w:lang w:val="es-EC"/>
        </w:rPr>
        <w:t>l Salvador).</w:t>
      </w:r>
    </w:p>
    <w:p w14:paraId="39640627" w14:textId="77777777" w:rsidR="006A5849" w:rsidRPr="00A7583E" w:rsidRDefault="006A5849" w:rsidP="0072143B">
      <w:pPr>
        <w:pStyle w:val="Normal1"/>
        <w:jc w:val="both"/>
        <w:rPr>
          <w:rFonts w:asciiTheme="minorHAnsi" w:hAnsiTheme="minorHAnsi" w:cstheme="minorBidi"/>
          <w:sz w:val="22"/>
          <w:szCs w:val="22"/>
          <w:lang w:val="es-EC"/>
        </w:rPr>
      </w:pPr>
    </w:p>
    <w:p w14:paraId="3C952371" w14:textId="226ED652" w:rsidR="001E6EF8" w:rsidRPr="00FE1D6A" w:rsidRDefault="006A5849" w:rsidP="0072143B">
      <w:pPr>
        <w:pStyle w:val="Normal1"/>
        <w:jc w:val="both"/>
        <w:rPr>
          <w:rFonts w:asciiTheme="minorHAnsi" w:hAnsiTheme="minorHAnsi" w:cstheme="minorBidi"/>
          <w:sz w:val="22"/>
          <w:szCs w:val="22"/>
        </w:rPr>
      </w:pPr>
      <w:r w:rsidRPr="75155D3C">
        <w:rPr>
          <w:rFonts w:asciiTheme="minorHAnsi" w:hAnsiTheme="minorHAnsi" w:cstheme="minorBidi"/>
          <w:sz w:val="22"/>
          <w:szCs w:val="22"/>
        </w:rPr>
        <w:t xml:space="preserve">The Fund is </w:t>
      </w:r>
      <w:r>
        <w:rPr>
          <w:rFonts w:asciiTheme="minorHAnsi" w:hAnsiTheme="minorHAnsi" w:cstheme="minorBidi"/>
          <w:sz w:val="22"/>
          <w:szCs w:val="22"/>
        </w:rPr>
        <w:t xml:space="preserve">also </w:t>
      </w:r>
      <w:r w:rsidRPr="75155D3C">
        <w:rPr>
          <w:rFonts w:asciiTheme="minorHAnsi" w:hAnsiTheme="minorHAnsi" w:cstheme="minorBidi"/>
          <w:sz w:val="22"/>
          <w:szCs w:val="22"/>
        </w:rPr>
        <w:t xml:space="preserve">exceeding the </w:t>
      </w:r>
      <w:proofErr w:type="spellStart"/>
      <w:r w:rsidRPr="75155D3C">
        <w:rPr>
          <w:rFonts w:asciiTheme="minorHAnsi" w:hAnsiTheme="minorHAnsi" w:cstheme="minorBidi"/>
          <w:sz w:val="22"/>
          <w:szCs w:val="22"/>
        </w:rPr>
        <w:t>VfM</w:t>
      </w:r>
      <w:proofErr w:type="spellEnd"/>
      <w:r w:rsidRPr="75155D3C">
        <w:rPr>
          <w:rFonts w:asciiTheme="minorHAnsi" w:hAnsiTheme="minorHAnsi" w:cstheme="minorBidi"/>
          <w:sz w:val="22"/>
          <w:szCs w:val="22"/>
        </w:rPr>
        <w:t xml:space="preserve"> expectations set out in the business case.</w:t>
      </w:r>
    </w:p>
    <w:p w14:paraId="320D16BC" w14:textId="77777777" w:rsidR="00A572BB" w:rsidRDefault="00A572BB" w:rsidP="678549C0">
      <w:pPr>
        <w:pStyle w:val="Normal1"/>
        <w:jc w:val="both"/>
        <w:rPr>
          <w:rFonts w:asciiTheme="minorHAnsi" w:hAnsiTheme="minorHAnsi" w:cstheme="minorBidi"/>
          <w:sz w:val="22"/>
          <w:szCs w:val="22"/>
        </w:rPr>
      </w:pPr>
    </w:p>
    <w:p w14:paraId="233939FA" w14:textId="12304FFB" w:rsidR="00DB50A9" w:rsidRDefault="00284ECC" w:rsidP="0038569C">
      <w:pPr>
        <w:pStyle w:val="Normal1"/>
        <w:spacing w:after="120" w:line="276" w:lineRule="auto"/>
        <w:jc w:val="both"/>
        <w:rPr>
          <w:rFonts w:ascii="Calibri" w:hAnsi="Calibri"/>
          <w:i/>
          <w:sz w:val="22"/>
          <w:szCs w:val="22"/>
        </w:rPr>
      </w:pPr>
      <w:r w:rsidRPr="002F0726">
        <w:rPr>
          <w:rFonts w:ascii="Calibri" w:hAnsi="Calibri"/>
          <w:b/>
          <w:i/>
          <w:sz w:val="22"/>
          <w:szCs w:val="22"/>
        </w:rPr>
        <w:t>Equity:</w:t>
      </w:r>
      <w:r w:rsidR="00273C48" w:rsidRPr="002F0726">
        <w:rPr>
          <w:rFonts w:ascii="Calibri" w:hAnsi="Calibri"/>
          <w:b/>
          <w:i/>
          <w:sz w:val="22"/>
          <w:szCs w:val="22"/>
        </w:rPr>
        <w:t xml:space="preserve"> </w:t>
      </w:r>
    </w:p>
    <w:p w14:paraId="62CF3633" w14:textId="121F13AA" w:rsidR="1DE7C5C9" w:rsidRDefault="00964AA9" w:rsidP="3651B6FB">
      <w:pPr>
        <w:pStyle w:val="Normal1"/>
        <w:spacing w:after="120" w:line="276" w:lineRule="auto"/>
        <w:jc w:val="both"/>
        <w:rPr>
          <w:rFonts w:asciiTheme="minorHAnsi" w:hAnsiTheme="minorHAnsi" w:cstheme="minorBidi"/>
          <w:sz w:val="22"/>
          <w:szCs w:val="22"/>
        </w:rPr>
      </w:pPr>
      <w:r w:rsidRPr="358F83BF">
        <w:rPr>
          <w:rFonts w:asciiTheme="minorHAnsi" w:hAnsiTheme="minorHAnsi" w:cstheme="minorBidi"/>
          <w:sz w:val="22"/>
          <w:szCs w:val="22"/>
        </w:rPr>
        <w:t xml:space="preserve">We would expect investments in 2019 to have an increasingly higher impact for women as there is an increased focus on microfinancing </w:t>
      </w:r>
      <w:r w:rsidR="00A572BB" w:rsidRPr="358F83BF">
        <w:rPr>
          <w:rFonts w:asciiTheme="minorHAnsi" w:hAnsiTheme="minorHAnsi" w:cstheme="minorBidi"/>
          <w:sz w:val="22"/>
          <w:szCs w:val="22"/>
        </w:rPr>
        <w:t xml:space="preserve">(small scale loans made by banks) </w:t>
      </w:r>
      <w:r w:rsidRPr="358F83BF">
        <w:rPr>
          <w:rFonts w:asciiTheme="minorHAnsi" w:hAnsiTheme="minorHAnsi" w:cstheme="minorBidi"/>
          <w:sz w:val="22"/>
          <w:szCs w:val="22"/>
        </w:rPr>
        <w:t xml:space="preserve">– which focuses on businesses in which women are much </w:t>
      </w:r>
      <w:r w:rsidRPr="358F83BF">
        <w:rPr>
          <w:rFonts w:asciiTheme="minorHAnsi" w:hAnsiTheme="minorHAnsi" w:cstheme="minorBidi"/>
          <w:sz w:val="22"/>
          <w:szCs w:val="22"/>
        </w:rPr>
        <w:lastRenderedPageBreak/>
        <w:t>better represented both as workers and as business leaders or agricultural holders.</w:t>
      </w:r>
      <w:r w:rsidR="13E00F67" w:rsidRPr="358F83BF">
        <w:rPr>
          <w:rFonts w:asciiTheme="minorHAnsi" w:hAnsiTheme="minorHAnsi" w:cstheme="minorBidi"/>
          <w:sz w:val="22"/>
          <w:szCs w:val="22"/>
        </w:rPr>
        <w:t xml:space="preserve"> </w:t>
      </w:r>
      <w:r w:rsidR="00A572BB" w:rsidRPr="358F83BF">
        <w:rPr>
          <w:rFonts w:asciiTheme="minorHAnsi" w:hAnsiTheme="minorHAnsi" w:cstheme="minorBidi"/>
          <w:sz w:val="22"/>
          <w:szCs w:val="22"/>
        </w:rPr>
        <w:t xml:space="preserve">The Fund has seen a continued reduction in the size of loans being made to borrowers. </w:t>
      </w:r>
      <w:r w:rsidR="13E00F67" w:rsidRPr="358F83BF">
        <w:rPr>
          <w:rFonts w:asciiTheme="minorHAnsi" w:hAnsiTheme="minorHAnsi" w:cstheme="minorBidi"/>
          <w:sz w:val="22"/>
          <w:szCs w:val="22"/>
        </w:rPr>
        <w:t>Limited data on the gend</w:t>
      </w:r>
      <w:r w:rsidR="59B471AA" w:rsidRPr="358F83BF">
        <w:rPr>
          <w:rFonts w:asciiTheme="minorHAnsi" w:hAnsiTheme="minorHAnsi" w:cstheme="minorBidi"/>
          <w:sz w:val="22"/>
          <w:szCs w:val="22"/>
        </w:rPr>
        <w:t xml:space="preserve">er of down-stream </w:t>
      </w:r>
      <w:r w:rsidR="566E9CB2" w:rsidRPr="358F83BF">
        <w:rPr>
          <w:rFonts w:asciiTheme="minorHAnsi" w:hAnsiTheme="minorHAnsi" w:cstheme="minorBidi"/>
          <w:sz w:val="22"/>
          <w:szCs w:val="22"/>
        </w:rPr>
        <w:t>borrowers</w:t>
      </w:r>
      <w:r w:rsidR="59B471AA" w:rsidRPr="358F83BF">
        <w:rPr>
          <w:rFonts w:asciiTheme="minorHAnsi" w:hAnsiTheme="minorHAnsi" w:cstheme="minorBidi"/>
          <w:sz w:val="22"/>
          <w:szCs w:val="22"/>
        </w:rPr>
        <w:t>, due to the use of intermediaries (banks)</w:t>
      </w:r>
      <w:r w:rsidR="733281FF" w:rsidRPr="358F83BF">
        <w:rPr>
          <w:rFonts w:asciiTheme="minorHAnsi" w:hAnsiTheme="minorHAnsi" w:cstheme="minorBidi"/>
          <w:sz w:val="22"/>
          <w:szCs w:val="22"/>
        </w:rPr>
        <w:t>, prevents a more detailed assessment</w:t>
      </w:r>
      <w:r w:rsidR="1DE7C5C9" w:rsidRPr="358F83BF">
        <w:rPr>
          <w:rFonts w:asciiTheme="minorHAnsi" w:hAnsiTheme="minorHAnsi" w:cstheme="minorBidi"/>
          <w:sz w:val="22"/>
          <w:szCs w:val="22"/>
        </w:rPr>
        <w:t>.</w:t>
      </w:r>
      <w:r w:rsidR="464D34BE" w:rsidRPr="358F83BF">
        <w:rPr>
          <w:rFonts w:asciiTheme="minorHAnsi" w:hAnsiTheme="minorHAnsi" w:cstheme="minorBidi"/>
          <w:sz w:val="22"/>
          <w:szCs w:val="22"/>
        </w:rPr>
        <w:t xml:space="preserve"> </w:t>
      </w:r>
      <w:r w:rsidR="29379CF4" w:rsidRPr="358F83BF">
        <w:rPr>
          <w:rFonts w:asciiTheme="minorHAnsi" w:hAnsiTheme="minorHAnsi" w:cstheme="minorBidi"/>
          <w:sz w:val="22"/>
          <w:szCs w:val="22"/>
        </w:rPr>
        <w:t xml:space="preserve">There is an opportunity to work with the Development Facility to understand how TA and capacity building has </w:t>
      </w:r>
      <w:r w:rsidR="464D34BE" w:rsidRPr="358F83BF">
        <w:rPr>
          <w:rFonts w:asciiTheme="minorHAnsi" w:hAnsiTheme="minorHAnsi" w:cstheme="minorBidi"/>
          <w:sz w:val="22"/>
          <w:szCs w:val="22"/>
        </w:rPr>
        <w:t xml:space="preserve">equity </w:t>
      </w:r>
      <w:r w:rsidR="266F7160" w:rsidRPr="358F83BF">
        <w:rPr>
          <w:rFonts w:asciiTheme="minorHAnsi" w:hAnsiTheme="minorHAnsi" w:cstheme="minorBidi"/>
          <w:sz w:val="22"/>
          <w:szCs w:val="22"/>
        </w:rPr>
        <w:t xml:space="preserve">benefits.  </w:t>
      </w:r>
    </w:p>
    <w:p w14:paraId="3C36E326" w14:textId="5B469F86" w:rsidR="678549C0" w:rsidRDefault="678549C0" w:rsidP="678549C0">
      <w:pPr>
        <w:pStyle w:val="Normal1"/>
        <w:spacing w:after="120" w:line="276" w:lineRule="auto"/>
        <w:jc w:val="both"/>
        <w:rPr>
          <w:rFonts w:asciiTheme="minorHAnsi" w:hAnsiTheme="minorHAnsi" w:cstheme="minorBidi"/>
          <w:sz w:val="22"/>
          <w:szCs w:val="22"/>
        </w:rPr>
      </w:pPr>
    </w:p>
    <w:p w14:paraId="09A6120B" w14:textId="549D791D" w:rsidR="000004E0" w:rsidRPr="002F0726" w:rsidRDefault="000004E0" w:rsidP="0038569C">
      <w:pPr>
        <w:pStyle w:val="Normal1"/>
        <w:spacing w:after="120" w:line="276" w:lineRule="auto"/>
        <w:rPr>
          <w:rFonts w:ascii="Calibri" w:hAnsi="Calibri"/>
          <w:b/>
          <w:i/>
          <w:sz w:val="22"/>
          <w:szCs w:val="22"/>
        </w:rPr>
      </w:pPr>
      <w:r w:rsidRPr="002F0726">
        <w:rPr>
          <w:rFonts w:ascii="Calibri" w:hAnsi="Calibri"/>
          <w:b/>
          <w:i/>
          <w:sz w:val="22"/>
          <w:szCs w:val="22"/>
        </w:rPr>
        <w:t xml:space="preserve">Assessment of whether the programme continues to represent </w:t>
      </w:r>
      <w:proofErr w:type="spellStart"/>
      <w:r w:rsidR="0028768C">
        <w:rPr>
          <w:rFonts w:ascii="Calibri" w:hAnsi="Calibri"/>
          <w:b/>
          <w:i/>
          <w:sz w:val="22"/>
          <w:szCs w:val="22"/>
        </w:rPr>
        <w:t>VfM</w:t>
      </w:r>
      <w:proofErr w:type="spellEnd"/>
    </w:p>
    <w:p w14:paraId="238E36B8" w14:textId="7092EC08" w:rsidR="00E822CC" w:rsidRDefault="00A572BB" w:rsidP="00CE3099">
      <w:pPr>
        <w:pStyle w:val="Normal1"/>
        <w:spacing w:after="120" w:line="276" w:lineRule="auto"/>
        <w:jc w:val="both"/>
        <w:rPr>
          <w:rFonts w:ascii="Calibri" w:hAnsi="Calibri"/>
          <w:sz w:val="22"/>
          <w:szCs w:val="22"/>
        </w:rPr>
      </w:pPr>
      <w:r w:rsidRPr="358F83BF">
        <w:rPr>
          <w:rFonts w:ascii="Calibri" w:hAnsi="Calibri"/>
          <w:sz w:val="22"/>
          <w:szCs w:val="22"/>
        </w:rPr>
        <w:t xml:space="preserve">The Defra investment in EBF continues to represent good </w:t>
      </w:r>
      <w:proofErr w:type="spellStart"/>
      <w:r w:rsidRPr="358F83BF">
        <w:rPr>
          <w:rFonts w:ascii="Calibri" w:hAnsi="Calibri"/>
          <w:sz w:val="22"/>
          <w:szCs w:val="22"/>
        </w:rPr>
        <w:t>VfM</w:t>
      </w:r>
      <w:proofErr w:type="spellEnd"/>
      <w:r w:rsidRPr="358F83BF">
        <w:rPr>
          <w:rFonts w:ascii="Calibri" w:hAnsi="Calibri"/>
          <w:sz w:val="22"/>
          <w:szCs w:val="22"/>
        </w:rPr>
        <w:t xml:space="preserve">; significantly increasing the amount of funding available for financing environmentally sustainable business across Latin America and increasing its funding available to smaller businesses, exceeding the milestones set out by Defra and utilising its relationships with FIs to drive transformational change across the agricultural sector. The total operating costs of the EBF are also reducing. </w:t>
      </w:r>
    </w:p>
    <w:p w14:paraId="2C8CF264" w14:textId="77777777" w:rsidR="004B4D80" w:rsidRPr="002F0726" w:rsidRDefault="004B4D80" w:rsidP="0038569C">
      <w:pPr>
        <w:pStyle w:val="Normal1"/>
        <w:spacing w:after="120" w:line="276" w:lineRule="auto"/>
        <w:rPr>
          <w:rFonts w:ascii="Calibri" w:hAnsi="Calibri"/>
          <w:i/>
          <w:sz w:val="22"/>
          <w:szCs w:val="22"/>
          <w:u w:val="single"/>
        </w:rPr>
      </w:pPr>
    </w:p>
    <w:tbl>
      <w:tblPr>
        <w:tblW w:w="6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2700"/>
      </w:tblGrid>
      <w:tr w:rsidR="000004E0" w:rsidRPr="002F0726" w14:paraId="52EF3958" w14:textId="77777777" w:rsidTr="000004E0">
        <w:tc>
          <w:tcPr>
            <w:tcW w:w="4260" w:type="dxa"/>
            <w:tcBorders>
              <w:top w:val="single" w:sz="4" w:space="0" w:color="000000"/>
              <w:left w:val="single" w:sz="4" w:space="0" w:color="000000"/>
              <w:bottom w:val="single" w:sz="4" w:space="0" w:color="000000"/>
              <w:right w:val="single" w:sz="4" w:space="0" w:color="000000"/>
            </w:tcBorders>
            <w:shd w:val="clear" w:color="auto" w:fill="DBE5F1"/>
          </w:tcPr>
          <w:p w14:paraId="363BAA70" w14:textId="77777777" w:rsidR="000004E0" w:rsidRPr="0028768C" w:rsidRDefault="000004E0" w:rsidP="000004E0">
            <w:pPr>
              <w:pStyle w:val="Normal1"/>
              <w:spacing w:after="120" w:line="276" w:lineRule="auto"/>
              <w:rPr>
                <w:rFonts w:ascii="Calibri" w:hAnsi="Calibri"/>
                <w:sz w:val="22"/>
                <w:szCs w:val="22"/>
              </w:rPr>
            </w:pPr>
            <w:r w:rsidRPr="0028768C">
              <w:rPr>
                <w:rFonts w:ascii="Calibri" w:hAnsi="Calibri"/>
                <w:sz w:val="22"/>
                <w:szCs w:val="22"/>
              </w:rPr>
              <w:t>Date of last narrative financial report</w:t>
            </w:r>
          </w:p>
        </w:tc>
        <w:tc>
          <w:tcPr>
            <w:tcW w:w="2700" w:type="dxa"/>
            <w:tcBorders>
              <w:top w:val="single" w:sz="4" w:space="0" w:color="000000"/>
              <w:left w:val="single" w:sz="4" w:space="0" w:color="000000"/>
              <w:bottom w:val="single" w:sz="4" w:space="0" w:color="000000"/>
              <w:right w:val="single" w:sz="4" w:space="0" w:color="000000"/>
            </w:tcBorders>
          </w:tcPr>
          <w:p w14:paraId="2A0668CD" w14:textId="2111322B" w:rsidR="000004E0" w:rsidRPr="0028768C" w:rsidRDefault="00E64B5B" w:rsidP="000004E0">
            <w:pPr>
              <w:pStyle w:val="Normal1"/>
              <w:spacing w:after="120" w:line="276" w:lineRule="auto"/>
              <w:rPr>
                <w:rFonts w:ascii="Calibri" w:hAnsi="Calibri"/>
                <w:sz w:val="22"/>
                <w:szCs w:val="22"/>
              </w:rPr>
            </w:pPr>
            <w:r w:rsidRPr="0028768C">
              <w:rPr>
                <w:rFonts w:ascii="Calibri" w:hAnsi="Calibri"/>
                <w:sz w:val="22"/>
                <w:szCs w:val="22"/>
              </w:rPr>
              <w:t>201</w:t>
            </w:r>
            <w:r w:rsidR="002171D4">
              <w:rPr>
                <w:rFonts w:ascii="Calibri" w:hAnsi="Calibri"/>
                <w:sz w:val="22"/>
                <w:szCs w:val="22"/>
              </w:rPr>
              <w:t>9</w:t>
            </w:r>
            <w:r w:rsidRPr="0028768C">
              <w:rPr>
                <w:rFonts w:ascii="Calibri" w:hAnsi="Calibri"/>
                <w:sz w:val="22"/>
                <w:szCs w:val="22"/>
              </w:rPr>
              <w:t xml:space="preserve"> Q4</w:t>
            </w:r>
          </w:p>
        </w:tc>
      </w:tr>
      <w:tr w:rsidR="000004E0" w:rsidRPr="002F0726" w14:paraId="782EA5F1" w14:textId="77777777" w:rsidTr="000004E0">
        <w:tc>
          <w:tcPr>
            <w:tcW w:w="4260" w:type="dxa"/>
            <w:tcBorders>
              <w:top w:val="single" w:sz="4" w:space="0" w:color="000000"/>
              <w:left w:val="single" w:sz="4" w:space="0" w:color="000000"/>
              <w:bottom w:val="single" w:sz="4" w:space="0" w:color="000000"/>
              <w:right w:val="single" w:sz="4" w:space="0" w:color="000000"/>
            </w:tcBorders>
            <w:shd w:val="clear" w:color="auto" w:fill="DBE5F1"/>
          </w:tcPr>
          <w:p w14:paraId="3E77B9A3" w14:textId="77777777" w:rsidR="000004E0" w:rsidRPr="0028768C" w:rsidRDefault="000004E0" w:rsidP="000004E0">
            <w:pPr>
              <w:pStyle w:val="Normal1"/>
              <w:spacing w:after="120" w:line="276" w:lineRule="auto"/>
              <w:rPr>
                <w:rFonts w:ascii="Calibri" w:hAnsi="Calibri"/>
                <w:sz w:val="22"/>
                <w:szCs w:val="22"/>
              </w:rPr>
            </w:pPr>
            <w:r w:rsidRPr="0028768C">
              <w:rPr>
                <w:rFonts w:ascii="Calibri" w:hAnsi="Calibri"/>
                <w:sz w:val="22"/>
                <w:szCs w:val="22"/>
              </w:rPr>
              <w:t>Date of last audited annual statement</w:t>
            </w:r>
          </w:p>
        </w:tc>
        <w:tc>
          <w:tcPr>
            <w:tcW w:w="2700" w:type="dxa"/>
            <w:tcBorders>
              <w:top w:val="single" w:sz="4" w:space="0" w:color="000000"/>
              <w:left w:val="single" w:sz="4" w:space="0" w:color="000000"/>
              <w:bottom w:val="single" w:sz="4" w:space="0" w:color="000000"/>
              <w:right w:val="single" w:sz="4" w:space="0" w:color="000000"/>
            </w:tcBorders>
          </w:tcPr>
          <w:p w14:paraId="121985CC" w14:textId="3EA3B3F5" w:rsidR="000004E0" w:rsidRPr="0028768C" w:rsidRDefault="00A2671D" w:rsidP="00A2671D">
            <w:pPr>
              <w:pStyle w:val="Normal1"/>
              <w:spacing w:after="120" w:line="276" w:lineRule="auto"/>
              <w:rPr>
                <w:rFonts w:ascii="Calibri" w:hAnsi="Calibri"/>
                <w:sz w:val="22"/>
                <w:szCs w:val="22"/>
              </w:rPr>
            </w:pPr>
            <w:r w:rsidRPr="0028768C">
              <w:rPr>
                <w:rFonts w:ascii="Calibri" w:hAnsi="Calibri"/>
                <w:sz w:val="22"/>
                <w:szCs w:val="22"/>
              </w:rPr>
              <w:t>The 201</w:t>
            </w:r>
            <w:r w:rsidR="002171D4">
              <w:rPr>
                <w:rFonts w:ascii="Calibri" w:hAnsi="Calibri"/>
                <w:sz w:val="22"/>
                <w:szCs w:val="22"/>
              </w:rPr>
              <w:t>9</w:t>
            </w:r>
            <w:r w:rsidRPr="0028768C">
              <w:rPr>
                <w:rFonts w:ascii="Calibri" w:hAnsi="Calibri"/>
                <w:sz w:val="22"/>
                <w:szCs w:val="22"/>
              </w:rPr>
              <w:t xml:space="preserve"> annual statement has been audited, effective in April 20</w:t>
            </w:r>
            <w:r w:rsidR="002171D4">
              <w:rPr>
                <w:rFonts w:ascii="Calibri" w:hAnsi="Calibri"/>
                <w:sz w:val="22"/>
                <w:szCs w:val="22"/>
              </w:rPr>
              <w:t>20</w:t>
            </w:r>
            <w:r w:rsidRPr="0028768C">
              <w:rPr>
                <w:rFonts w:ascii="Calibri" w:hAnsi="Calibri"/>
                <w:sz w:val="22"/>
                <w:szCs w:val="22"/>
              </w:rPr>
              <w:t>.</w:t>
            </w:r>
          </w:p>
        </w:tc>
      </w:tr>
    </w:tbl>
    <w:p w14:paraId="30A10FA7" w14:textId="77777777" w:rsidR="000004E0" w:rsidRPr="00D0005A" w:rsidRDefault="000004E0" w:rsidP="000004E0">
      <w:pPr>
        <w:pStyle w:val="Normal1"/>
        <w:spacing w:after="120" w:line="276" w:lineRule="auto"/>
        <w:rPr>
          <w:rFonts w:ascii="Calibri" w:hAnsi="Calibri"/>
          <w:b/>
          <w:sz w:val="22"/>
          <w:szCs w:val="22"/>
        </w:rPr>
      </w:pPr>
    </w:p>
    <w:p w14:paraId="2DE2524F" w14:textId="77777777" w:rsidR="000004E0" w:rsidRPr="00D0005A" w:rsidRDefault="000004E0" w:rsidP="000004E0">
      <w:pPr>
        <w:spacing w:before="0"/>
      </w:pPr>
      <w:r w:rsidRPr="00D0005A">
        <w:br w:type="page"/>
      </w:r>
    </w:p>
    <w:p w14:paraId="5E7C75F7" w14:textId="0F4600D4" w:rsidR="000004E0" w:rsidRPr="00D0005A" w:rsidRDefault="007D3D39" w:rsidP="00DD4C2A">
      <w:pPr>
        <w:pStyle w:val="Heading2"/>
        <w:rPr>
          <w:i/>
        </w:rPr>
      </w:pPr>
      <w:bookmarkStart w:id="13" w:name="_Toc51578521"/>
      <w:r>
        <w:lastRenderedPageBreak/>
        <w:t>D</w:t>
      </w:r>
      <w:r w:rsidR="000004E0" w:rsidRPr="00D0005A">
        <w:t>: RISK</w:t>
      </w:r>
      <w:bookmarkEnd w:id="13"/>
    </w:p>
    <w:p w14:paraId="67C679B1" w14:textId="31F8B15D" w:rsidR="00622DE1" w:rsidRPr="00622DE1" w:rsidRDefault="00622DE1" w:rsidP="000004E0">
      <w:pPr>
        <w:pStyle w:val="Normal1"/>
        <w:spacing w:after="120" w:line="276" w:lineRule="auto"/>
        <w:rPr>
          <w:rFonts w:ascii="Calibri" w:hAnsi="Calibri"/>
          <w:b/>
          <w:sz w:val="22"/>
          <w:szCs w:val="22"/>
        </w:rPr>
      </w:pPr>
      <w:r w:rsidRPr="00D0005A">
        <w:rPr>
          <w:rFonts w:ascii="Calibri" w:hAnsi="Calibri"/>
          <w:b/>
          <w:sz w:val="22"/>
          <w:szCs w:val="22"/>
        </w:rPr>
        <w:t xml:space="preserve">Overall risk rating:  </w:t>
      </w:r>
      <w:r w:rsidRPr="004D37D7">
        <w:rPr>
          <w:rFonts w:ascii="Calibri" w:hAnsi="Calibri"/>
          <w:b/>
          <w:sz w:val="22"/>
          <w:szCs w:val="22"/>
        </w:rPr>
        <w:t>Moderate</w:t>
      </w:r>
    </w:p>
    <w:p w14:paraId="443769E5" w14:textId="475C082F" w:rsidR="00622DE1" w:rsidRDefault="00493E01" w:rsidP="000004E0">
      <w:pPr>
        <w:pStyle w:val="Normal1"/>
        <w:spacing w:after="120" w:line="276" w:lineRule="auto"/>
        <w:rPr>
          <w:rFonts w:ascii="Calibri" w:hAnsi="Calibri"/>
          <w:sz w:val="22"/>
          <w:szCs w:val="22"/>
        </w:rPr>
      </w:pPr>
      <w:r w:rsidRPr="00D02A7E">
        <w:rPr>
          <w:rFonts w:ascii="Calibri" w:hAnsi="Calibri"/>
          <w:sz w:val="22"/>
          <w:szCs w:val="22"/>
        </w:rPr>
        <w:t xml:space="preserve">Risks here are specifically associated with risk to the </w:t>
      </w:r>
      <w:r w:rsidR="00510E3B">
        <w:rPr>
          <w:rFonts w:ascii="Calibri" w:hAnsi="Calibri"/>
          <w:sz w:val="22"/>
          <w:szCs w:val="22"/>
        </w:rPr>
        <w:t>EBF</w:t>
      </w:r>
      <w:r w:rsidRPr="00D02A7E">
        <w:rPr>
          <w:rFonts w:ascii="Calibri" w:hAnsi="Calibri"/>
          <w:sz w:val="22"/>
          <w:szCs w:val="22"/>
        </w:rPr>
        <w:t xml:space="preserve"> and its impact. Defra</w:t>
      </w:r>
      <w:r w:rsidR="0028768C">
        <w:rPr>
          <w:rFonts w:ascii="Calibri" w:hAnsi="Calibri"/>
          <w:sz w:val="22"/>
          <w:szCs w:val="22"/>
        </w:rPr>
        <w:t xml:space="preserve"> related</w:t>
      </w:r>
      <w:r w:rsidRPr="00D02A7E">
        <w:rPr>
          <w:rFonts w:ascii="Calibri" w:hAnsi="Calibri"/>
          <w:sz w:val="22"/>
          <w:szCs w:val="22"/>
        </w:rPr>
        <w:t xml:space="preserve"> risks (i</w:t>
      </w:r>
      <w:r w:rsidR="00510E3B">
        <w:rPr>
          <w:rFonts w:ascii="Calibri" w:hAnsi="Calibri"/>
          <w:sz w:val="22"/>
          <w:szCs w:val="22"/>
        </w:rPr>
        <w:t>.</w:t>
      </w:r>
      <w:r w:rsidRPr="00D02A7E">
        <w:rPr>
          <w:rFonts w:ascii="Calibri" w:hAnsi="Calibri"/>
          <w:sz w:val="22"/>
          <w:szCs w:val="22"/>
        </w:rPr>
        <w:t xml:space="preserve">e. </w:t>
      </w:r>
      <w:r w:rsidR="00510E3B">
        <w:rPr>
          <w:rFonts w:ascii="Calibri" w:hAnsi="Calibri"/>
          <w:sz w:val="22"/>
          <w:szCs w:val="22"/>
        </w:rPr>
        <w:t>p</w:t>
      </w:r>
      <w:r w:rsidR="0028768C">
        <w:rPr>
          <w:rFonts w:ascii="Calibri" w:hAnsi="Calibri"/>
          <w:sz w:val="22"/>
          <w:szCs w:val="22"/>
        </w:rPr>
        <w:t>roject management) undergo</w:t>
      </w:r>
      <w:r w:rsidRPr="00D02A7E">
        <w:rPr>
          <w:rFonts w:ascii="Calibri" w:hAnsi="Calibri"/>
          <w:sz w:val="22"/>
          <w:szCs w:val="22"/>
        </w:rPr>
        <w:t xml:space="preserve"> regular assessment internally.</w:t>
      </w:r>
    </w:p>
    <w:p w14:paraId="1CE653EE" w14:textId="77777777" w:rsidR="00493E01" w:rsidRPr="00D02A7E" w:rsidRDefault="00E904AC" w:rsidP="000004E0">
      <w:pPr>
        <w:pStyle w:val="Normal1"/>
        <w:spacing w:after="120" w:line="276" w:lineRule="auto"/>
        <w:rPr>
          <w:rFonts w:ascii="Calibri" w:hAnsi="Calibri"/>
          <w:sz w:val="22"/>
          <w:szCs w:val="22"/>
        </w:rPr>
      </w:pPr>
      <w:r>
        <w:rPr>
          <w:rFonts w:ascii="Calibri" w:hAnsi="Calibri"/>
          <w:sz w:val="22"/>
          <w:szCs w:val="22"/>
        </w:rPr>
        <w:t xml:space="preserve">Risks associated with </w:t>
      </w:r>
      <w:r w:rsidR="00622DE1">
        <w:rPr>
          <w:rFonts w:ascii="Calibri" w:hAnsi="Calibri"/>
          <w:sz w:val="22"/>
          <w:szCs w:val="22"/>
        </w:rPr>
        <w:t>impact and reaching milestones has been described in each output section. However overarching or notable risks have been summarised below.</w:t>
      </w:r>
    </w:p>
    <w:p w14:paraId="4B2E8DDA" w14:textId="77777777" w:rsidR="000004E0" w:rsidRDefault="00EA6D65" w:rsidP="000004E0">
      <w:pPr>
        <w:pStyle w:val="Normal1"/>
        <w:spacing w:after="120" w:line="276" w:lineRule="auto"/>
        <w:rPr>
          <w:rFonts w:ascii="Calibri" w:hAnsi="Calibri"/>
          <w:b/>
          <w:sz w:val="22"/>
          <w:szCs w:val="22"/>
        </w:rPr>
      </w:pPr>
      <w:r>
        <w:rPr>
          <w:rFonts w:ascii="Calibri" w:hAnsi="Calibri"/>
          <w:b/>
          <w:sz w:val="22"/>
          <w:szCs w:val="22"/>
        </w:rPr>
        <w:t>Summary of key EBF Risks</w:t>
      </w:r>
    </w:p>
    <w:tbl>
      <w:tblPr>
        <w:tblStyle w:val="TableGrid"/>
        <w:tblW w:w="10490" w:type="dxa"/>
        <w:tblInd w:w="-147" w:type="dxa"/>
        <w:tblLook w:val="04A0" w:firstRow="1" w:lastRow="0" w:firstColumn="1" w:lastColumn="0" w:noHBand="0" w:noVBand="1"/>
      </w:tblPr>
      <w:tblGrid>
        <w:gridCol w:w="1390"/>
        <w:gridCol w:w="1367"/>
        <w:gridCol w:w="1111"/>
        <w:gridCol w:w="1236"/>
        <w:gridCol w:w="5386"/>
      </w:tblGrid>
      <w:tr w:rsidR="002B4D93" w14:paraId="56B66473" w14:textId="77777777" w:rsidTr="00A7583E">
        <w:tc>
          <w:tcPr>
            <w:tcW w:w="1390" w:type="dxa"/>
          </w:tcPr>
          <w:p w14:paraId="5404CD78"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Description of risk</w:t>
            </w:r>
          </w:p>
        </w:tc>
        <w:tc>
          <w:tcPr>
            <w:tcW w:w="1367" w:type="dxa"/>
          </w:tcPr>
          <w:p w14:paraId="574B564D"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Type</w:t>
            </w:r>
          </w:p>
        </w:tc>
        <w:tc>
          <w:tcPr>
            <w:tcW w:w="1111" w:type="dxa"/>
          </w:tcPr>
          <w:p w14:paraId="003A9C6C"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Risk Rating</w:t>
            </w:r>
          </w:p>
        </w:tc>
        <w:tc>
          <w:tcPr>
            <w:tcW w:w="1236" w:type="dxa"/>
          </w:tcPr>
          <w:p w14:paraId="638F838B" w14:textId="2675D1E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Likel</w:t>
            </w:r>
            <w:r w:rsidR="00510E3B">
              <w:rPr>
                <w:rFonts w:ascii="Calibri" w:hAnsi="Calibri"/>
                <w:b/>
                <w:sz w:val="22"/>
                <w:szCs w:val="22"/>
              </w:rPr>
              <w:t>i</w:t>
            </w:r>
            <w:r>
              <w:rPr>
                <w:rFonts w:ascii="Calibri" w:hAnsi="Calibri"/>
                <w:b/>
                <w:sz w:val="22"/>
                <w:szCs w:val="22"/>
              </w:rPr>
              <w:t>hood</w:t>
            </w:r>
          </w:p>
        </w:tc>
        <w:tc>
          <w:tcPr>
            <w:tcW w:w="5386" w:type="dxa"/>
          </w:tcPr>
          <w:p w14:paraId="13B66110" w14:textId="77777777" w:rsidR="002B4D93" w:rsidRDefault="002B4D93" w:rsidP="002B4D93">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Mitigation activities</w:t>
            </w:r>
          </w:p>
        </w:tc>
      </w:tr>
      <w:tr w:rsidR="002B4D93" w14:paraId="610F0EFA" w14:textId="77777777" w:rsidTr="00A7583E">
        <w:tc>
          <w:tcPr>
            <w:tcW w:w="1390" w:type="dxa"/>
          </w:tcPr>
          <w:p w14:paraId="2E386E1D" w14:textId="50F41D26" w:rsidR="002B4D93" w:rsidRPr="000926EA" w:rsidRDefault="007D3D39"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Political and civil u</w:t>
            </w:r>
            <w:r w:rsidR="002B4D93" w:rsidRPr="000926EA">
              <w:rPr>
                <w:rFonts w:ascii="Calibri" w:hAnsi="Calibri"/>
                <w:sz w:val="22"/>
                <w:szCs w:val="22"/>
                <w:lang w:val="en-US"/>
              </w:rPr>
              <w:t>nrest in Nicaragua</w:t>
            </w:r>
            <w:r w:rsidRPr="000926EA">
              <w:rPr>
                <w:rFonts w:ascii="Calibri" w:hAnsi="Calibri"/>
                <w:sz w:val="22"/>
                <w:szCs w:val="22"/>
                <w:lang w:val="en-US"/>
              </w:rPr>
              <w:t xml:space="preserve"> results in reduced loan incomes</w:t>
            </w:r>
            <w:r w:rsidR="002B4D93" w:rsidRPr="000926EA">
              <w:rPr>
                <w:rFonts w:ascii="Calibri" w:hAnsi="Calibri"/>
                <w:sz w:val="22"/>
                <w:szCs w:val="22"/>
                <w:lang w:val="en-US"/>
              </w:rPr>
              <w:t xml:space="preserve"> </w:t>
            </w:r>
          </w:p>
        </w:tc>
        <w:tc>
          <w:tcPr>
            <w:tcW w:w="1367" w:type="dxa"/>
          </w:tcPr>
          <w:p w14:paraId="45E51C50" w14:textId="1102431E" w:rsidR="002B4D93" w:rsidRPr="000926EA" w:rsidRDefault="002B4D93"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 xml:space="preserve">Political </w:t>
            </w:r>
            <w:r w:rsidR="00510E3B" w:rsidRPr="000926EA">
              <w:rPr>
                <w:rFonts w:ascii="Calibri" w:hAnsi="Calibri"/>
                <w:sz w:val="22"/>
                <w:szCs w:val="22"/>
              </w:rPr>
              <w:t>and</w:t>
            </w:r>
            <w:r w:rsidRPr="000926EA">
              <w:rPr>
                <w:rFonts w:ascii="Calibri" w:hAnsi="Calibri"/>
                <w:sz w:val="22"/>
                <w:szCs w:val="22"/>
              </w:rPr>
              <w:t xml:space="preserve"> Economic stability </w:t>
            </w:r>
          </w:p>
        </w:tc>
        <w:tc>
          <w:tcPr>
            <w:tcW w:w="1111" w:type="dxa"/>
          </w:tcPr>
          <w:p w14:paraId="017BF15F" w14:textId="77777777" w:rsidR="002B4D93" w:rsidRPr="000926E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Major</w:t>
            </w:r>
          </w:p>
        </w:tc>
        <w:tc>
          <w:tcPr>
            <w:tcW w:w="1236" w:type="dxa"/>
          </w:tcPr>
          <w:p w14:paraId="0AE787DB" w14:textId="612D2FC1" w:rsidR="002B4D93" w:rsidRPr="000926EA" w:rsidRDefault="007D3D39"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Likely</w:t>
            </w:r>
          </w:p>
        </w:tc>
        <w:tc>
          <w:tcPr>
            <w:tcW w:w="5386" w:type="dxa"/>
          </w:tcPr>
          <w:p w14:paraId="6F5394D4" w14:textId="73CB8D56" w:rsidR="00493E01" w:rsidRPr="000926EA" w:rsidRDefault="00493E01" w:rsidP="00C04C5A">
            <w:pPr>
              <w:pStyle w:val="Normal1"/>
              <w:numPr>
                <w:ilvl w:val="0"/>
                <w:numId w:val="26"/>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Fund is</w:t>
            </w:r>
            <w:r w:rsidR="00B85663" w:rsidRPr="000926EA">
              <w:rPr>
                <w:rFonts w:ascii="Calibri" w:hAnsi="Calibri"/>
                <w:sz w:val="22"/>
                <w:szCs w:val="22"/>
                <w:lang w:val="en-US"/>
              </w:rPr>
              <w:t xml:space="preserve"> passively deleveraging</w:t>
            </w:r>
            <w:r w:rsidRPr="000926EA">
              <w:rPr>
                <w:rFonts w:ascii="Calibri" w:hAnsi="Calibri"/>
                <w:sz w:val="22"/>
                <w:szCs w:val="22"/>
                <w:lang w:val="en-US"/>
              </w:rPr>
              <w:t xml:space="preserve"> </w:t>
            </w:r>
            <w:r w:rsidR="00B85663" w:rsidRPr="000926EA">
              <w:rPr>
                <w:rFonts w:ascii="Calibri" w:hAnsi="Calibri"/>
                <w:sz w:val="22"/>
                <w:szCs w:val="22"/>
                <w:lang w:val="en-US"/>
              </w:rPr>
              <w:t xml:space="preserve">itself from Nicaragua as repayments are being </w:t>
            </w:r>
            <w:r w:rsidR="00D32FCF">
              <w:rPr>
                <w:rFonts w:ascii="Calibri" w:hAnsi="Calibri"/>
                <w:sz w:val="22"/>
                <w:szCs w:val="22"/>
                <w:lang w:val="en-US"/>
              </w:rPr>
              <w:t xml:space="preserve">made </w:t>
            </w:r>
            <w:r w:rsidR="00B85663" w:rsidRPr="000926EA">
              <w:rPr>
                <w:rFonts w:ascii="Calibri" w:hAnsi="Calibri"/>
                <w:sz w:val="22"/>
                <w:szCs w:val="22"/>
                <w:lang w:val="en-US"/>
              </w:rPr>
              <w:t>on investments</w:t>
            </w:r>
            <w:r w:rsidRPr="000926EA">
              <w:rPr>
                <w:rFonts w:ascii="Calibri" w:hAnsi="Calibri"/>
                <w:sz w:val="22"/>
                <w:szCs w:val="22"/>
                <w:lang w:val="en-US"/>
              </w:rPr>
              <w:t xml:space="preserve"> </w:t>
            </w:r>
          </w:p>
          <w:p w14:paraId="74817E2A" w14:textId="0FCB284A" w:rsidR="00493E01" w:rsidRPr="000926EA" w:rsidRDefault="00493E01" w:rsidP="00C04C5A">
            <w:pPr>
              <w:pStyle w:val="Normal1"/>
              <w:numPr>
                <w:ilvl w:val="0"/>
                <w:numId w:val="26"/>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 xml:space="preserve">Regular monitoring of </w:t>
            </w:r>
            <w:r w:rsidR="00510E3B" w:rsidRPr="000926EA">
              <w:rPr>
                <w:rFonts w:ascii="Calibri" w:hAnsi="Calibri"/>
                <w:sz w:val="22"/>
                <w:szCs w:val="22"/>
                <w:lang w:val="en-US"/>
              </w:rPr>
              <w:t xml:space="preserve">political and economic </w:t>
            </w:r>
            <w:r w:rsidR="00FA62C1" w:rsidRPr="000926EA">
              <w:rPr>
                <w:rFonts w:ascii="Calibri" w:hAnsi="Calibri"/>
                <w:sz w:val="22"/>
                <w:szCs w:val="22"/>
                <w:lang w:val="en-US"/>
              </w:rPr>
              <w:t>situation</w:t>
            </w:r>
          </w:p>
          <w:p w14:paraId="26D1FE21" w14:textId="6187C650" w:rsidR="002B4D93" w:rsidRPr="000926EA" w:rsidRDefault="00493E01" w:rsidP="00C04C5A">
            <w:pPr>
              <w:pStyle w:val="Normal1"/>
              <w:numPr>
                <w:ilvl w:val="0"/>
                <w:numId w:val="26"/>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75155D3C">
              <w:rPr>
                <w:rFonts w:ascii="Calibri" w:hAnsi="Calibri"/>
                <w:sz w:val="22"/>
                <w:szCs w:val="22"/>
                <w:lang w:val="en-US"/>
              </w:rPr>
              <w:t xml:space="preserve">Continued monitoring of loan repayments (so far </w:t>
            </w:r>
            <w:r w:rsidR="569B8827" w:rsidRPr="75155D3C">
              <w:rPr>
                <w:rFonts w:ascii="Calibri" w:hAnsi="Calibri"/>
                <w:sz w:val="22"/>
                <w:szCs w:val="22"/>
                <w:lang w:val="en-US"/>
              </w:rPr>
              <w:t>loan repayments</w:t>
            </w:r>
            <w:r w:rsidRPr="75155D3C">
              <w:rPr>
                <w:rFonts w:ascii="Calibri" w:hAnsi="Calibri"/>
                <w:sz w:val="22"/>
                <w:szCs w:val="22"/>
                <w:lang w:val="en-US"/>
              </w:rPr>
              <w:t xml:space="preserve"> are as expected)</w:t>
            </w:r>
          </w:p>
        </w:tc>
      </w:tr>
      <w:tr w:rsidR="002B4D93" w14:paraId="707C9E4E" w14:textId="77777777" w:rsidTr="00A7583E">
        <w:tc>
          <w:tcPr>
            <w:tcW w:w="1390" w:type="dxa"/>
          </w:tcPr>
          <w:p w14:paraId="19BE889B" w14:textId="33BC501D" w:rsidR="002B4D93" w:rsidRPr="000926E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Integr</w:t>
            </w:r>
            <w:r w:rsidR="00510E3B" w:rsidRPr="000926EA">
              <w:rPr>
                <w:rFonts w:ascii="Calibri" w:hAnsi="Calibri"/>
                <w:sz w:val="22"/>
                <w:szCs w:val="22"/>
              </w:rPr>
              <w:t>i</w:t>
            </w:r>
            <w:r w:rsidRPr="000926EA">
              <w:rPr>
                <w:rFonts w:ascii="Calibri" w:hAnsi="Calibri"/>
                <w:sz w:val="22"/>
                <w:szCs w:val="22"/>
              </w:rPr>
              <w:t>ty of eligibility standards</w:t>
            </w:r>
          </w:p>
        </w:tc>
        <w:tc>
          <w:tcPr>
            <w:tcW w:w="1367" w:type="dxa"/>
          </w:tcPr>
          <w:p w14:paraId="3D8B587B" w14:textId="77777777" w:rsidR="002B4D93" w:rsidRPr="000926E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Operational and Reputational</w:t>
            </w:r>
          </w:p>
        </w:tc>
        <w:tc>
          <w:tcPr>
            <w:tcW w:w="1111" w:type="dxa"/>
          </w:tcPr>
          <w:p w14:paraId="25CE4D0A" w14:textId="77777777" w:rsidR="002B4D93" w:rsidRPr="000926E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Major</w:t>
            </w:r>
          </w:p>
        </w:tc>
        <w:tc>
          <w:tcPr>
            <w:tcW w:w="1236" w:type="dxa"/>
          </w:tcPr>
          <w:p w14:paraId="766E30C0" w14:textId="77777777" w:rsidR="002B4D93" w:rsidRPr="000926E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Unlikely</w:t>
            </w:r>
          </w:p>
        </w:tc>
        <w:tc>
          <w:tcPr>
            <w:tcW w:w="5386" w:type="dxa"/>
          </w:tcPr>
          <w:p w14:paraId="7C5137D2" w14:textId="436FDC37" w:rsidR="00493E01" w:rsidRPr="000926EA" w:rsidRDefault="00493E01" w:rsidP="00C04C5A">
            <w:pPr>
              <w:pStyle w:val="Normal1"/>
              <w:numPr>
                <w:ilvl w:val="0"/>
                <w:numId w:val="37"/>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358F83BF">
              <w:rPr>
                <w:rFonts w:ascii="Calibri" w:hAnsi="Calibri"/>
                <w:sz w:val="22"/>
                <w:szCs w:val="22"/>
                <w:lang w:val="en-US"/>
              </w:rPr>
              <w:t xml:space="preserve">Independent </w:t>
            </w:r>
            <w:r w:rsidR="1F2FA735" w:rsidRPr="358F83BF">
              <w:rPr>
                <w:rFonts w:ascii="Calibri" w:hAnsi="Calibri"/>
                <w:sz w:val="22"/>
                <w:szCs w:val="22"/>
                <w:lang w:val="en-US"/>
              </w:rPr>
              <w:t>commissioning</w:t>
            </w:r>
            <w:r w:rsidRPr="358F83BF">
              <w:rPr>
                <w:rFonts w:ascii="Calibri" w:hAnsi="Calibri"/>
                <w:sz w:val="22"/>
                <w:szCs w:val="22"/>
                <w:lang w:val="en-US"/>
              </w:rPr>
              <w:t xml:space="preserve"> on the </w:t>
            </w:r>
            <w:r w:rsidR="1F2FA735" w:rsidRPr="358F83BF">
              <w:rPr>
                <w:rFonts w:ascii="Calibri" w:hAnsi="Calibri"/>
                <w:sz w:val="22"/>
                <w:szCs w:val="22"/>
                <w:lang w:val="en-US"/>
              </w:rPr>
              <w:t>sustainability</w:t>
            </w:r>
            <w:r w:rsidRPr="358F83BF">
              <w:rPr>
                <w:rFonts w:ascii="Calibri" w:hAnsi="Calibri"/>
                <w:sz w:val="22"/>
                <w:szCs w:val="22"/>
                <w:lang w:val="en-US"/>
              </w:rPr>
              <w:t xml:space="preserve"> standards </w:t>
            </w:r>
            <w:r w:rsidR="606BED3D" w:rsidRPr="358F83BF">
              <w:rPr>
                <w:rFonts w:ascii="Calibri" w:hAnsi="Calibri"/>
                <w:sz w:val="22"/>
                <w:szCs w:val="22"/>
                <w:lang w:val="en-US"/>
              </w:rPr>
              <w:t>including validating  through different label studies and monitoring negative press</w:t>
            </w:r>
          </w:p>
          <w:p w14:paraId="52D78014" w14:textId="77DB5FE9" w:rsidR="00C04C5A" w:rsidRPr="000926EA" w:rsidRDefault="00493E01" w:rsidP="00C04C5A">
            <w:pPr>
              <w:pStyle w:val="Normal1"/>
              <w:numPr>
                <w:ilvl w:val="0"/>
                <w:numId w:val="37"/>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358F83BF">
              <w:rPr>
                <w:rFonts w:ascii="Calibri" w:hAnsi="Calibri"/>
                <w:sz w:val="22"/>
                <w:szCs w:val="22"/>
                <w:lang w:val="en-US"/>
              </w:rPr>
              <w:t>Moni</w:t>
            </w:r>
            <w:r w:rsidR="48EBC783" w:rsidRPr="358F83BF">
              <w:rPr>
                <w:rFonts w:ascii="Calibri" w:hAnsi="Calibri"/>
                <w:sz w:val="22"/>
                <w:szCs w:val="22"/>
                <w:lang w:val="en-US"/>
              </w:rPr>
              <w:t xml:space="preserve">toring as part of </w:t>
            </w:r>
            <w:r w:rsidR="00A8672D" w:rsidRPr="358F83BF">
              <w:rPr>
                <w:rFonts w:asciiTheme="minorHAnsi" w:hAnsiTheme="minorHAnsi"/>
                <w:sz w:val="22"/>
                <w:szCs w:val="22"/>
              </w:rPr>
              <w:t>TA</w:t>
            </w:r>
          </w:p>
          <w:p w14:paraId="305964CB" w14:textId="77777777" w:rsidR="002B4D93" w:rsidRPr="000926EA" w:rsidRDefault="00C04C5A" w:rsidP="00C04C5A">
            <w:pPr>
              <w:pStyle w:val="Normal1"/>
              <w:numPr>
                <w:ilvl w:val="0"/>
                <w:numId w:val="37"/>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Internal screening to ensure robust sustainability standards</w:t>
            </w:r>
          </w:p>
        </w:tc>
      </w:tr>
      <w:tr w:rsidR="002B4D93" w14:paraId="1F7B7C16" w14:textId="77777777" w:rsidTr="00A7583E">
        <w:tc>
          <w:tcPr>
            <w:tcW w:w="1390" w:type="dxa"/>
          </w:tcPr>
          <w:p w14:paraId="77D1F903" w14:textId="2DD2E7DD" w:rsidR="002B4D93" w:rsidRPr="000926EA"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 xml:space="preserve">Potential </w:t>
            </w:r>
            <w:r w:rsidR="00FA62C1" w:rsidRPr="000926EA">
              <w:rPr>
                <w:rFonts w:ascii="Calibri" w:hAnsi="Calibri"/>
                <w:sz w:val="22"/>
                <w:szCs w:val="22"/>
                <w:lang w:val="en-US"/>
              </w:rPr>
              <w:t>graduation</w:t>
            </w:r>
            <w:r w:rsidRPr="000926EA">
              <w:rPr>
                <w:rFonts w:ascii="Calibri" w:hAnsi="Calibri"/>
                <w:sz w:val="22"/>
                <w:szCs w:val="22"/>
                <w:lang w:val="en-US"/>
              </w:rPr>
              <w:t xml:space="preserve"> for ODA </w:t>
            </w:r>
            <w:r w:rsidR="00FA62C1" w:rsidRPr="000926EA">
              <w:rPr>
                <w:rFonts w:ascii="Calibri" w:hAnsi="Calibri"/>
                <w:sz w:val="22"/>
                <w:szCs w:val="22"/>
                <w:lang w:val="en-US"/>
              </w:rPr>
              <w:t>eligibility</w:t>
            </w:r>
            <w:r w:rsidRPr="000926EA">
              <w:rPr>
                <w:rFonts w:ascii="Calibri" w:hAnsi="Calibri"/>
                <w:sz w:val="22"/>
                <w:szCs w:val="22"/>
                <w:lang w:val="en-US"/>
              </w:rPr>
              <w:t xml:space="preserve"> (</w:t>
            </w:r>
            <w:r w:rsidR="00A7583E">
              <w:rPr>
                <w:rFonts w:ascii="Calibri" w:hAnsi="Calibri"/>
                <w:sz w:val="22"/>
                <w:szCs w:val="22"/>
                <w:lang w:val="en-US"/>
              </w:rPr>
              <w:t>s</w:t>
            </w:r>
            <w:r w:rsidR="00FA62C1" w:rsidRPr="000926EA">
              <w:rPr>
                <w:rFonts w:ascii="Calibri" w:hAnsi="Calibri"/>
                <w:sz w:val="22"/>
                <w:szCs w:val="22"/>
                <w:lang w:val="en-US"/>
              </w:rPr>
              <w:t>pecifically</w:t>
            </w:r>
            <w:r w:rsidRPr="000926EA">
              <w:rPr>
                <w:rFonts w:ascii="Calibri" w:hAnsi="Calibri"/>
                <w:sz w:val="22"/>
                <w:szCs w:val="22"/>
                <w:lang w:val="en-US"/>
              </w:rPr>
              <w:t xml:space="preserve"> Panama)</w:t>
            </w:r>
          </w:p>
        </w:tc>
        <w:tc>
          <w:tcPr>
            <w:tcW w:w="1367" w:type="dxa"/>
          </w:tcPr>
          <w:p w14:paraId="4D4AF0D5" w14:textId="77777777" w:rsidR="002B4D93" w:rsidRPr="000926EA"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Operational and Reputational</w:t>
            </w:r>
          </w:p>
        </w:tc>
        <w:tc>
          <w:tcPr>
            <w:tcW w:w="1111" w:type="dxa"/>
          </w:tcPr>
          <w:p w14:paraId="4F060840" w14:textId="77777777" w:rsidR="002B4D93" w:rsidRPr="000926EA"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M</w:t>
            </w:r>
            <w:r w:rsidR="00EA6D65" w:rsidRPr="000926EA">
              <w:rPr>
                <w:rFonts w:ascii="Calibri" w:hAnsi="Calibri"/>
                <w:sz w:val="22"/>
                <w:szCs w:val="22"/>
              </w:rPr>
              <w:t>oderate</w:t>
            </w:r>
          </w:p>
        </w:tc>
        <w:tc>
          <w:tcPr>
            <w:tcW w:w="1236" w:type="dxa"/>
          </w:tcPr>
          <w:p w14:paraId="3577562B" w14:textId="77777777" w:rsidR="002B4D93" w:rsidRPr="000926EA"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0926EA">
              <w:rPr>
                <w:rFonts w:ascii="Calibri" w:hAnsi="Calibri"/>
                <w:sz w:val="22"/>
                <w:szCs w:val="22"/>
              </w:rPr>
              <w:t>Very Likely</w:t>
            </w:r>
          </w:p>
        </w:tc>
        <w:tc>
          <w:tcPr>
            <w:tcW w:w="5386" w:type="dxa"/>
          </w:tcPr>
          <w:p w14:paraId="3E317E12" w14:textId="0DE7B58F" w:rsidR="00D02A7E" w:rsidRPr="000926EA" w:rsidRDefault="43794BCA" w:rsidP="00D02A7E">
            <w:pPr>
              <w:pStyle w:val="Normal1"/>
              <w:numPr>
                <w:ilvl w:val="0"/>
                <w:numId w:val="3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3651B6FB">
              <w:rPr>
                <w:rFonts w:ascii="Calibri" w:hAnsi="Calibri"/>
                <w:sz w:val="22"/>
                <w:szCs w:val="22"/>
                <w:lang w:val="en-US"/>
              </w:rPr>
              <w:t>Exposure to Panama is being reduced as i</w:t>
            </w:r>
            <w:r w:rsidR="00D32FCF" w:rsidRPr="3651B6FB">
              <w:rPr>
                <w:rFonts w:ascii="Calibri" w:hAnsi="Calibri"/>
                <w:sz w:val="22"/>
                <w:szCs w:val="22"/>
                <w:lang w:val="en-US"/>
              </w:rPr>
              <w:t>t</w:t>
            </w:r>
            <w:r w:rsidRPr="3651B6FB">
              <w:rPr>
                <w:rFonts w:ascii="Calibri" w:hAnsi="Calibri"/>
                <w:sz w:val="22"/>
                <w:szCs w:val="22"/>
                <w:lang w:val="en-US"/>
              </w:rPr>
              <w:t xml:space="preserve"> closes on ODA graduation</w:t>
            </w:r>
          </w:p>
          <w:p w14:paraId="0BBE5933" w14:textId="4FB309D6" w:rsidR="00D02A7E" w:rsidRPr="000926EA" w:rsidRDefault="00D02A7E" w:rsidP="00D02A7E">
            <w:pPr>
              <w:pStyle w:val="Normal1"/>
              <w:numPr>
                <w:ilvl w:val="0"/>
                <w:numId w:val="3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000926EA">
              <w:rPr>
                <w:rFonts w:ascii="Calibri" w:hAnsi="Calibri"/>
                <w:sz w:val="22"/>
                <w:szCs w:val="22"/>
                <w:lang w:val="en-US"/>
              </w:rPr>
              <w:t xml:space="preserve">Relatively short loan </w:t>
            </w:r>
            <w:r w:rsidR="00FA62C1" w:rsidRPr="000926EA">
              <w:rPr>
                <w:rFonts w:ascii="Calibri" w:hAnsi="Calibri"/>
                <w:sz w:val="22"/>
                <w:szCs w:val="22"/>
                <w:lang w:val="en-US"/>
              </w:rPr>
              <w:t>recuperation</w:t>
            </w:r>
            <w:r w:rsidRPr="000926EA">
              <w:rPr>
                <w:rFonts w:ascii="Calibri" w:hAnsi="Calibri"/>
                <w:sz w:val="22"/>
                <w:szCs w:val="22"/>
                <w:lang w:val="en-US"/>
              </w:rPr>
              <w:t xml:space="preserve"> time, most within 5 years.</w:t>
            </w:r>
          </w:p>
          <w:p w14:paraId="2070B925" w14:textId="5F506E42" w:rsidR="002B4D93" w:rsidRPr="000926EA" w:rsidRDefault="7D28059E" w:rsidP="00D02A7E">
            <w:pPr>
              <w:pStyle w:val="Normal1"/>
              <w:numPr>
                <w:ilvl w:val="0"/>
                <w:numId w:val="3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US"/>
              </w:rPr>
            </w:pPr>
            <w:r w:rsidRPr="358F83BF">
              <w:rPr>
                <w:rFonts w:ascii="Calibri" w:hAnsi="Calibri"/>
                <w:sz w:val="22"/>
                <w:szCs w:val="22"/>
                <w:lang w:val="en-US"/>
              </w:rPr>
              <w:t xml:space="preserve">Fund is outlining to expand portfolio to other </w:t>
            </w:r>
            <w:r w:rsidR="00FE1D6A" w:rsidRPr="358F83BF">
              <w:rPr>
                <w:rFonts w:ascii="Calibri" w:hAnsi="Calibri"/>
                <w:sz w:val="22"/>
                <w:szCs w:val="22"/>
                <w:lang w:val="en-US"/>
              </w:rPr>
              <w:t xml:space="preserve">ODA-eligible </w:t>
            </w:r>
            <w:r w:rsidR="1F2FA735" w:rsidRPr="358F83BF">
              <w:rPr>
                <w:rFonts w:ascii="Calibri" w:hAnsi="Calibri"/>
                <w:sz w:val="22"/>
                <w:szCs w:val="22"/>
                <w:lang w:val="en-US"/>
              </w:rPr>
              <w:t>countries</w:t>
            </w:r>
            <w:r w:rsidRPr="358F83BF">
              <w:rPr>
                <w:rFonts w:ascii="Calibri" w:hAnsi="Calibri"/>
                <w:sz w:val="22"/>
                <w:szCs w:val="22"/>
                <w:lang w:val="en-US"/>
              </w:rPr>
              <w:t xml:space="preserve">, </w:t>
            </w:r>
            <w:r w:rsidR="78373157" w:rsidRPr="358F83BF">
              <w:rPr>
                <w:rFonts w:ascii="Calibri" w:hAnsi="Calibri"/>
                <w:sz w:val="22"/>
                <w:szCs w:val="22"/>
                <w:lang w:val="en-US"/>
              </w:rPr>
              <w:t xml:space="preserve">reducing </w:t>
            </w:r>
            <w:r w:rsidRPr="358F83BF">
              <w:rPr>
                <w:rFonts w:ascii="Calibri" w:hAnsi="Calibri"/>
                <w:sz w:val="22"/>
                <w:szCs w:val="22"/>
                <w:lang w:val="en-US"/>
              </w:rPr>
              <w:t>exposure to single country.</w:t>
            </w:r>
          </w:p>
        </w:tc>
      </w:tr>
    </w:tbl>
    <w:p w14:paraId="669200EA" w14:textId="77777777" w:rsidR="004B6C6C" w:rsidRPr="001D284C" w:rsidRDefault="004B6C6C" w:rsidP="00B11A9E">
      <w:pPr>
        <w:rPr>
          <w:i/>
        </w:rPr>
      </w:pPr>
    </w:p>
    <w:p w14:paraId="0A39F724" w14:textId="41A59016" w:rsidR="000004E0" w:rsidRPr="00D0005A" w:rsidRDefault="007D3D39" w:rsidP="00DD4C2A">
      <w:pPr>
        <w:pStyle w:val="Heading2"/>
      </w:pPr>
      <w:bookmarkStart w:id="14" w:name="_Toc51578522"/>
      <w:r>
        <w:t>E</w:t>
      </w:r>
      <w:r w:rsidR="000004E0" w:rsidRPr="00D0005A">
        <w:t>: COMMERCIAL CONSIDERATIO</w:t>
      </w:r>
      <w:r w:rsidR="00022D29">
        <w:t>NS</w:t>
      </w:r>
      <w:bookmarkEnd w:id="14"/>
    </w:p>
    <w:p w14:paraId="6CCAC34B" w14:textId="77777777" w:rsidR="00A200DE" w:rsidRDefault="00A200DE" w:rsidP="00A200DE">
      <w:pPr>
        <w:pStyle w:val="Normal1"/>
        <w:spacing w:after="120" w:line="276" w:lineRule="auto"/>
        <w:rPr>
          <w:rFonts w:ascii="Calibri" w:hAnsi="Calibri"/>
          <w:sz w:val="22"/>
          <w:szCs w:val="22"/>
        </w:rPr>
      </w:pPr>
    </w:p>
    <w:p w14:paraId="39B2FC52" w14:textId="1F94F898" w:rsidR="004265A7" w:rsidRPr="00300800" w:rsidRDefault="00A200DE" w:rsidP="00300800">
      <w:pPr>
        <w:pStyle w:val="Normal1"/>
        <w:spacing w:after="120" w:line="276" w:lineRule="auto"/>
        <w:jc w:val="both"/>
        <w:rPr>
          <w:rFonts w:ascii="Calibri" w:hAnsi="Calibri"/>
          <w:sz w:val="22"/>
          <w:szCs w:val="22"/>
          <w:lang w:val="en-US"/>
        </w:rPr>
      </w:pPr>
      <w:r w:rsidRPr="75155D3C">
        <w:rPr>
          <w:rFonts w:ascii="Calibri" w:hAnsi="Calibri"/>
          <w:sz w:val="22"/>
          <w:szCs w:val="22"/>
        </w:rPr>
        <w:t>As of the end of 201</w:t>
      </w:r>
      <w:r w:rsidR="006F1627" w:rsidRPr="75155D3C">
        <w:rPr>
          <w:rFonts w:ascii="Calibri" w:hAnsi="Calibri"/>
          <w:sz w:val="22"/>
          <w:szCs w:val="22"/>
        </w:rPr>
        <w:t>9</w:t>
      </w:r>
      <w:r w:rsidRPr="75155D3C">
        <w:rPr>
          <w:rFonts w:ascii="Calibri" w:hAnsi="Calibri"/>
          <w:sz w:val="22"/>
          <w:szCs w:val="22"/>
        </w:rPr>
        <w:t>, 1</w:t>
      </w:r>
      <w:r w:rsidR="006F1627" w:rsidRPr="75155D3C">
        <w:rPr>
          <w:rFonts w:ascii="Calibri" w:hAnsi="Calibri"/>
          <w:sz w:val="22"/>
          <w:szCs w:val="22"/>
        </w:rPr>
        <w:t>9</w:t>
      </w:r>
      <w:r w:rsidRPr="75155D3C">
        <w:rPr>
          <w:rFonts w:ascii="Calibri" w:hAnsi="Calibri"/>
          <w:sz w:val="22"/>
          <w:szCs w:val="22"/>
        </w:rPr>
        <w:t xml:space="preserve"> partner FIs have received financing from the </w:t>
      </w:r>
      <w:r w:rsidR="00510E3B" w:rsidRPr="75155D3C">
        <w:rPr>
          <w:rFonts w:ascii="Calibri" w:hAnsi="Calibri"/>
          <w:sz w:val="22"/>
          <w:szCs w:val="22"/>
        </w:rPr>
        <w:t>EBF</w:t>
      </w:r>
      <w:r w:rsidRPr="75155D3C">
        <w:rPr>
          <w:rFonts w:ascii="Calibri" w:hAnsi="Calibri"/>
          <w:sz w:val="22"/>
          <w:szCs w:val="22"/>
        </w:rPr>
        <w:t xml:space="preserve">. As well as the </w:t>
      </w:r>
      <w:r w:rsidR="0085485B">
        <w:rPr>
          <w:rFonts w:ascii="Calibri" w:hAnsi="Calibri"/>
          <w:sz w:val="22"/>
          <w:szCs w:val="22"/>
        </w:rPr>
        <w:t>financial</w:t>
      </w:r>
      <w:r w:rsidR="0085485B" w:rsidRPr="75155D3C">
        <w:rPr>
          <w:rFonts w:ascii="Calibri" w:hAnsi="Calibri"/>
          <w:sz w:val="22"/>
          <w:szCs w:val="22"/>
        </w:rPr>
        <w:t xml:space="preserve"> </w:t>
      </w:r>
      <w:r w:rsidRPr="75155D3C">
        <w:rPr>
          <w:rFonts w:ascii="Calibri" w:hAnsi="Calibri"/>
          <w:sz w:val="22"/>
          <w:szCs w:val="22"/>
        </w:rPr>
        <w:t>contribution to FIs, EBF also continues to support the investment, often through</w:t>
      </w:r>
      <w:r w:rsidR="00510E3B" w:rsidRPr="75155D3C">
        <w:rPr>
          <w:rFonts w:ascii="Calibri" w:hAnsi="Calibri"/>
          <w:sz w:val="22"/>
          <w:szCs w:val="22"/>
        </w:rPr>
        <w:t xml:space="preserve"> TA</w:t>
      </w:r>
      <w:r w:rsidRPr="75155D3C">
        <w:rPr>
          <w:rFonts w:ascii="Calibri" w:hAnsi="Calibri"/>
          <w:sz w:val="22"/>
          <w:szCs w:val="22"/>
        </w:rPr>
        <w:t xml:space="preserve"> through establishing or improving ESMS practices and satellite monitoring. </w:t>
      </w:r>
      <w:r w:rsidR="007D3D39" w:rsidRPr="75155D3C">
        <w:rPr>
          <w:rFonts w:ascii="Calibri" w:hAnsi="Calibri"/>
          <w:sz w:val="22"/>
          <w:szCs w:val="22"/>
        </w:rPr>
        <w:t>Additionally,</w:t>
      </w:r>
      <w:r w:rsidRPr="75155D3C">
        <w:rPr>
          <w:rFonts w:ascii="Calibri" w:hAnsi="Calibri"/>
          <w:sz w:val="22"/>
          <w:szCs w:val="22"/>
        </w:rPr>
        <w:t xml:space="preserve"> EBF provides capacity building to FI staff enhancing awareness and expertise in delivering finance to environmentally sustainable businesses. </w:t>
      </w:r>
      <w:r w:rsidR="006C646C" w:rsidRPr="75155D3C">
        <w:rPr>
          <w:rFonts w:ascii="Calibri" w:hAnsi="Calibri"/>
          <w:sz w:val="22"/>
          <w:szCs w:val="22"/>
        </w:rPr>
        <w:t xml:space="preserve">For example, </w:t>
      </w:r>
      <w:r w:rsidR="00A8672D" w:rsidRPr="75155D3C">
        <w:rPr>
          <w:rFonts w:asciiTheme="minorHAnsi" w:hAnsiTheme="minorHAnsi"/>
          <w:sz w:val="22"/>
          <w:szCs w:val="22"/>
        </w:rPr>
        <w:t>TA</w:t>
      </w:r>
      <w:r w:rsidR="61FA1DE3" w:rsidRPr="75155D3C">
        <w:rPr>
          <w:rFonts w:asciiTheme="minorHAnsi" w:hAnsiTheme="minorHAnsi"/>
          <w:sz w:val="22"/>
          <w:szCs w:val="22"/>
        </w:rPr>
        <w:t xml:space="preserve"> </w:t>
      </w:r>
      <w:r w:rsidR="006C646C" w:rsidRPr="75155D3C">
        <w:rPr>
          <w:rFonts w:ascii="Calibri" w:hAnsi="Calibri"/>
          <w:sz w:val="22"/>
          <w:szCs w:val="22"/>
        </w:rPr>
        <w:t xml:space="preserve">has been provided in the form of trainings to several staff of the </w:t>
      </w:r>
      <w:r w:rsidR="00F81832" w:rsidRPr="75155D3C">
        <w:rPr>
          <w:rFonts w:ascii="Calibri" w:hAnsi="Calibri"/>
          <w:sz w:val="22"/>
          <w:szCs w:val="22"/>
        </w:rPr>
        <w:t>F</w:t>
      </w:r>
      <w:r w:rsidR="006C646C" w:rsidRPr="75155D3C">
        <w:rPr>
          <w:rFonts w:ascii="Calibri" w:hAnsi="Calibri"/>
          <w:sz w:val="22"/>
          <w:szCs w:val="22"/>
        </w:rPr>
        <w:t>und</w:t>
      </w:r>
      <w:r w:rsidR="006C646C" w:rsidRPr="75155D3C">
        <w:rPr>
          <w:rFonts w:ascii="Calibri" w:hAnsi="Calibri"/>
          <w:sz w:val="22"/>
          <w:szCs w:val="22"/>
          <w:lang w:val="en-US"/>
        </w:rPr>
        <w:t>’s partner institutions on t</w:t>
      </w:r>
      <w:r w:rsidR="0028768C" w:rsidRPr="75155D3C">
        <w:rPr>
          <w:rFonts w:ascii="Calibri" w:hAnsi="Calibri"/>
          <w:sz w:val="22"/>
          <w:szCs w:val="22"/>
          <w:lang w:val="en-US"/>
        </w:rPr>
        <w:t xml:space="preserve">he development and </w:t>
      </w:r>
      <w:proofErr w:type="spellStart"/>
      <w:r w:rsidR="0028768C" w:rsidRPr="75155D3C">
        <w:rPr>
          <w:rFonts w:ascii="Calibri" w:hAnsi="Calibri"/>
          <w:sz w:val="22"/>
          <w:szCs w:val="22"/>
          <w:lang w:val="en-US"/>
        </w:rPr>
        <w:t>operationalis</w:t>
      </w:r>
      <w:r w:rsidR="006C646C" w:rsidRPr="75155D3C">
        <w:rPr>
          <w:rFonts w:ascii="Calibri" w:hAnsi="Calibri"/>
          <w:sz w:val="22"/>
          <w:szCs w:val="22"/>
          <w:lang w:val="en-US"/>
        </w:rPr>
        <w:t>ation</w:t>
      </w:r>
      <w:proofErr w:type="spellEnd"/>
      <w:r w:rsidR="006C646C" w:rsidRPr="75155D3C">
        <w:rPr>
          <w:rFonts w:ascii="Calibri" w:hAnsi="Calibri"/>
          <w:sz w:val="22"/>
          <w:szCs w:val="22"/>
          <w:lang w:val="en-US"/>
        </w:rPr>
        <w:t xml:space="preserve"> of </w:t>
      </w:r>
      <w:r w:rsidR="488B5906" w:rsidRPr="75155D3C">
        <w:rPr>
          <w:rFonts w:ascii="Calibri" w:hAnsi="Calibri"/>
          <w:sz w:val="22"/>
          <w:szCs w:val="22"/>
          <w:lang w:val="en-US"/>
        </w:rPr>
        <w:lastRenderedPageBreak/>
        <w:t>ESMS</w:t>
      </w:r>
      <w:r w:rsidR="006C646C" w:rsidRPr="75155D3C">
        <w:rPr>
          <w:rFonts w:ascii="Calibri" w:hAnsi="Calibri"/>
          <w:sz w:val="22"/>
          <w:szCs w:val="22"/>
          <w:lang w:val="en-US"/>
        </w:rPr>
        <w:t xml:space="preserve"> (Banco </w:t>
      </w:r>
      <w:proofErr w:type="spellStart"/>
      <w:r w:rsidR="006C646C" w:rsidRPr="75155D3C">
        <w:rPr>
          <w:rFonts w:ascii="Calibri" w:hAnsi="Calibri"/>
          <w:sz w:val="22"/>
          <w:szCs w:val="22"/>
          <w:lang w:val="en-US"/>
        </w:rPr>
        <w:t>Hipotecario</w:t>
      </w:r>
      <w:proofErr w:type="spellEnd"/>
      <w:r w:rsidR="006C646C" w:rsidRPr="75155D3C">
        <w:rPr>
          <w:rFonts w:ascii="Calibri" w:hAnsi="Calibri"/>
          <w:sz w:val="22"/>
          <w:szCs w:val="22"/>
          <w:lang w:val="en-US"/>
        </w:rPr>
        <w:t xml:space="preserve"> in El Salvador and Banco </w:t>
      </w:r>
      <w:proofErr w:type="spellStart"/>
      <w:r w:rsidR="006C646C" w:rsidRPr="75155D3C">
        <w:rPr>
          <w:rFonts w:ascii="Calibri" w:hAnsi="Calibri"/>
          <w:sz w:val="22"/>
          <w:szCs w:val="22"/>
          <w:lang w:val="en-US"/>
        </w:rPr>
        <w:t>Lafise</w:t>
      </w:r>
      <w:proofErr w:type="spellEnd"/>
      <w:r w:rsidR="006C646C" w:rsidRPr="75155D3C">
        <w:rPr>
          <w:rFonts w:ascii="Calibri" w:hAnsi="Calibri"/>
          <w:sz w:val="22"/>
          <w:szCs w:val="22"/>
          <w:lang w:val="en-US"/>
        </w:rPr>
        <w:t xml:space="preserve"> in Nicaragua). Technical training on the use of land-use/land-cover monitoring tools have also been provided to staff from partner institutions</w:t>
      </w:r>
      <w:r w:rsidR="006F1627" w:rsidRPr="75155D3C">
        <w:rPr>
          <w:rFonts w:ascii="Calibri" w:hAnsi="Calibri"/>
          <w:sz w:val="22"/>
          <w:szCs w:val="22"/>
          <w:lang w:val="en-US"/>
        </w:rPr>
        <w:t>.</w:t>
      </w:r>
      <w:r w:rsidR="007A7CFF" w:rsidRPr="007A7CFF">
        <w:t xml:space="preserve"> </w:t>
      </w:r>
      <w:r w:rsidR="007A7CFF" w:rsidRPr="007A7CFF">
        <w:rPr>
          <w:rFonts w:asciiTheme="minorHAnsi" w:hAnsiTheme="minorHAnsi" w:cstheme="minorHAnsi"/>
          <w:sz w:val="22"/>
          <w:szCs w:val="22"/>
        </w:rPr>
        <w:t>In addition to supporting FI’s directly, EBF also support end borrowers</w:t>
      </w:r>
      <w:r w:rsidR="007A7CFF" w:rsidRPr="007A7CFF">
        <w:rPr>
          <w:rFonts w:ascii="Calibri" w:hAnsi="Calibri"/>
          <w:sz w:val="20"/>
          <w:szCs w:val="20"/>
          <w:lang w:val="en-US"/>
        </w:rPr>
        <w:t xml:space="preserve"> </w:t>
      </w:r>
      <w:r w:rsidR="007A7CFF">
        <w:rPr>
          <w:rFonts w:ascii="Calibri" w:hAnsi="Calibri"/>
          <w:sz w:val="22"/>
          <w:szCs w:val="22"/>
          <w:lang w:val="en-US"/>
        </w:rPr>
        <w:t>(</w:t>
      </w:r>
      <w:r w:rsidR="007A7CFF" w:rsidRPr="007A7CFF">
        <w:rPr>
          <w:rFonts w:ascii="Calibri" w:hAnsi="Calibri"/>
          <w:sz w:val="22"/>
          <w:szCs w:val="22"/>
          <w:lang w:val="en-US"/>
        </w:rPr>
        <w:t>companies and producers</w:t>
      </w:r>
      <w:r w:rsidR="007A7CFF">
        <w:rPr>
          <w:rFonts w:ascii="Calibri" w:hAnsi="Calibri"/>
          <w:sz w:val="22"/>
          <w:szCs w:val="22"/>
          <w:lang w:val="en-US"/>
        </w:rPr>
        <w:t>)</w:t>
      </w:r>
      <w:r w:rsidR="007A7CFF" w:rsidRPr="007A7CFF">
        <w:rPr>
          <w:rFonts w:ascii="Calibri" w:hAnsi="Calibri"/>
          <w:sz w:val="22"/>
          <w:szCs w:val="22"/>
          <w:lang w:val="en-US"/>
        </w:rPr>
        <w:t xml:space="preserve"> </w:t>
      </w:r>
      <w:r w:rsidR="007A7CFF">
        <w:rPr>
          <w:rFonts w:ascii="Calibri" w:hAnsi="Calibri"/>
          <w:sz w:val="22"/>
          <w:szCs w:val="22"/>
          <w:lang w:val="en-US"/>
        </w:rPr>
        <w:t xml:space="preserve">through </w:t>
      </w:r>
      <w:r w:rsidR="007A7CFF" w:rsidRPr="007A7CFF">
        <w:rPr>
          <w:rFonts w:ascii="Calibri" w:hAnsi="Calibri"/>
          <w:sz w:val="22"/>
          <w:szCs w:val="22"/>
          <w:lang w:val="en-US"/>
        </w:rPr>
        <w:t>tailored technical assistance projects designed to promote the adoption of sustainable business practices</w:t>
      </w:r>
      <w:r w:rsidR="007A7CFF">
        <w:rPr>
          <w:rFonts w:ascii="Calibri" w:hAnsi="Calibri"/>
          <w:sz w:val="22"/>
          <w:szCs w:val="22"/>
          <w:lang w:val="en-US"/>
        </w:rPr>
        <w:t xml:space="preserve">, such as </w:t>
      </w:r>
      <w:r w:rsidR="007A7CFF" w:rsidRPr="007A7CFF">
        <w:rPr>
          <w:rFonts w:ascii="Calibri" w:hAnsi="Calibri"/>
          <w:sz w:val="22"/>
          <w:szCs w:val="22"/>
          <w:lang w:val="en-US"/>
        </w:rPr>
        <w:t>providing training sessions</w:t>
      </w:r>
      <w:r w:rsidR="007A7CFF">
        <w:rPr>
          <w:rFonts w:ascii="Calibri" w:hAnsi="Calibri"/>
          <w:sz w:val="22"/>
          <w:szCs w:val="22"/>
          <w:lang w:val="en-US"/>
        </w:rPr>
        <w:t xml:space="preserve"> and workshops</w:t>
      </w:r>
      <w:r w:rsidR="007A7CFF" w:rsidRPr="007A7CFF">
        <w:rPr>
          <w:rFonts w:ascii="Calibri" w:hAnsi="Calibri"/>
          <w:sz w:val="22"/>
          <w:szCs w:val="22"/>
          <w:lang w:val="en-US"/>
        </w:rPr>
        <w:t xml:space="preserve"> on sustainable production practices</w:t>
      </w:r>
      <w:r w:rsidR="007A7CFF">
        <w:rPr>
          <w:rFonts w:ascii="Calibri" w:hAnsi="Calibri"/>
          <w:sz w:val="22"/>
          <w:szCs w:val="22"/>
          <w:lang w:val="en-US"/>
        </w:rPr>
        <w:t>.</w:t>
      </w:r>
    </w:p>
    <w:p w14:paraId="2286BB2B" w14:textId="77777777" w:rsidR="00A200DE" w:rsidRPr="00300800" w:rsidRDefault="00A200DE" w:rsidP="00A200DE">
      <w:pPr>
        <w:pStyle w:val="Normal1"/>
        <w:spacing w:after="120" w:line="276" w:lineRule="auto"/>
        <w:rPr>
          <w:rFonts w:ascii="Calibri" w:hAnsi="Calibri"/>
          <w:sz w:val="22"/>
          <w:szCs w:val="22"/>
          <w:lang w:val="en-US"/>
        </w:rPr>
      </w:pPr>
    </w:p>
    <w:p w14:paraId="25C7313F" w14:textId="18483A7B" w:rsidR="000004E0" w:rsidRPr="00D0005A" w:rsidRDefault="00CD412F" w:rsidP="00DD4C2A">
      <w:pPr>
        <w:pStyle w:val="Heading2"/>
      </w:pPr>
      <w:bookmarkStart w:id="15" w:name="_Toc51578523"/>
      <w:r>
        <w:t>F</w:t>
      </w:r>
      <w:r w:rsidR="00022D29">
        <w:t>: CONDITIONALITY</w:t>
      </w:r>
      <w:bookmarkEnd w:id="15"/>
    </w:p>
    <w:p w14:paraId="63110109" w14:textId="78C593A8" w:rsidR="001F1DE6" w:rsidRDefault="00EE4C1B" w:rsidP="00CE3099">
      <w:pPr>
        <w:pStyle w:val="Normal1"/>
        <w:spacing w:after="120" w:line="276" w:lineRule="auto"/>
        <w:jc w:val="both"/>
        <w:rPr>
          <w:rFonts w:ascii="Calibri" w:hAnsi="Calibri"/>
          <w:sz w:val="22"/>
          <w:szCs w:val="22"/>
        </w:rPr>
      </w:pPr>
      <w:r>
        <w:rPr>
          <w:rFonts w:ascii="Calibri" w:hAnsi="Calibri"/>
          <w:sz w:val="22"/>
          <w:szCs w:val="22"/>
        </w:rPr>
        <w:t>Under</w:t>
      </w:r>
      <w:r w:rsidR="001F1DE6">
        <w:rPr>
          <w:rFonts w:ascii="Calibri" w:hAnsi="Calibri"/>
          <w:sz w:val="22"/>
          <w:szCs w:val="22"/>
        </w:rPr>
        <w:t xml:space="preserve"> EBF</w:t>
      </w:r>
      <w:r w:rsidR="00D32FCF">
        <w:rPr>
          <w:rFonts w:ascii="Calibri" w:hAnsi="Calibri"/>
          <w:sz w:val="22"/>
          <w:szCs w:val="22"/>
        </w:rPr>
        <w:t>’s</w:t>
      </w:r>
      <w:r w:rsidR="001F1DE6">
        <w:rPr>
          <w:rFonts w:ascii="Calibri" w:hAnsi="Calibri"/>
          <w:sz w:val="22"/>
          <w:szCs w:val="22"/>
        </w:rPr>
        <w:t xml:space="preserve"> underlying legal documentation Defra has safeguards to protect the key</w:t>
      </w:r>
      <w:r>
        <w:rPr>
          <w:rFonts w:ascii="Calibri" w:hAnsi="Calibri"/>
          <w:sz w:val="22"/>
          <w:szCs w:val="22"/>
        </w:rPr>
        <w:t xml:space="preserve"> investment mandate </w:t>
      </w:r>
      <w:r w:rsidR="001F1DE6">
        <w:rPr>
          <w:rFonts w:ascii="Calibri" w:hAnsi="Calibri"/>
          <w:sz w:val="22"/>
          <w:szCs w:val="22"/>
        </w:rPr>
        <w:t xml:space="preserve">of the </w:t>
      </w:r>
      <w:r w:rsidR="00F81832">
        <w:rPr>
          <w:rFonts w:ascii="Calibri" w:hAnsi="Calibri"/>
          <w:sz w:val="22"/>
          <w:szCs w:val="22"/>
        </w:rPr>
        <w:t>F</w:t>
      </w:r>
      <w:r w:rsidR="001F1DE6">
        <w:rPr>
          <w:rFonts w:ascii="Calibri" w:hAnsi="Calibri"/>
          <w:sz w:val="22"/>
          <w:szCs w:val="22"/>
        </w:rPr>
        <w:t>und. This includes ensuring in</w:t>
      </w:r>
      <w:r w:rsidR="0028768C">
        <w:rPr>
          <w:rFonts w:ascii="Calibri" w:hAnsi="Calibri"/>
          <w:sz w:val="22"/>
          <w:szCs w:val="22"/>
        </w:rPr>
        <w:t xml:space="preserve">vestments </w:t>
      </w:r>
      <w:r w:rsidR="006F6778">
        <w:rPr>
          <w:rFonts w:ascii="Calibri" w:hAnsi="Calibri"/>
          <w:sz w:val="22"/>
          <w:szCs w:val="22"/>
        </w:rPr>
        <w:t xml:space="preserve">are </w:t>
      </w:r>
      <w:r w:rsidR="0028768C">
        <w:rPr>
          <w:rFonts w:ascii="Calibri" w:hAnsi="Calibri"/>
          <w:sz w:val="22"/>
          <w:szCs w:val="22"/>
        </w:rPr>
        <w:t xml:space="preserve">made to ODA </w:t>
      </w:r>
      <w:r w:rsidR="001F1DE6">
        <w:rPr>
          <w:rFonts w:ascii="Calibri" w:hAnsi="Calibri"/>
          <w:sz w:val="22"/>
          <w:szCs w:val="22"/>
        </w:rPr>
        <w:t xml:space="preserve">eligible countries </w:t>
      </w:r>
      <w:r w:rsidR="0028768C">
        <w:rPr>
          <w:rFonts w:ascii="Calibri" w:hAnsi="Calibri"/>
          <w:sz w:val="22"/>
          <w:szCs w:val="22"/>
        </w:rPr>
        <w:t xml:space="preserve">and </w:t>
      </w:r>
      <w:r w:rsidR="006F6778">
        <w:rPr>
          <w:rFonts w:ascii="Calibri" w:hAnsi="Calibri"/>
          <w:sz w:val="22"/>
          <w:szCs w:val="22"/>
        </w:rPr>
        <w:t xml:space="preserve">that </w:t>
      </w:r>
      <w:r w:rsidR="001F1DE6">
        <w:rPr>
          <w:rFonts w:ascii="Calibri" w:hAnsi="Calibri"/>
          <w:sz w:val="22"/>
          <w:szCs w:val="22"/>
        </w:rPr>
        <w:t xml:space="preserve">downstream businesses meet criteria </w:t>
      </w:r>
      <w:r w:rsidR="006F6778">
        <w:rPr>
          <w:rFonts w:ascii="Calibri" w:hAnsi="Calibri"/>
          <w:sz w:val="22"/>
          <w:szCs w:val="22"/>
        </w:rPr>
        <w:t xml:space="preserve">relating to </w:t>
      </w:r>
      <w:r w:rsidR="001F1DE6">
        <w:rPr>
          <w:rFonts w:ascii="Calibri" w:hAnsi="Calibri"/>
          <w:sz w:val="22"/>
          <w:szCs w:val="22"/>
        </w:rPr>
        <w:t xml:space="preserve">environmental sustainability certification or </w:t>
      </w:r>
      <w:r w:rsidR="0028768C">
        <w:rPr>
          <w:rFonts w:ascii="Calibri" w:hAnsi="Calibri"/>
          <w:sz w:val="22"/>
          <w:szCs w:val="22"/>
        </w:rPr>
        <w:t xml:space="preserve">green list </w:t>
      </w:r>
      <w:r w:rsidR="001F1DE6">
        <w:rPr>
          <w:rFonts w:ascii="Calibri" w:hAnsi="Calibri"/>
          <w:sz w:val="22"/>
          <w:szCs w:val="22"/>
        </w:rPr>
        <w:t>activities</w:t>
      </w:r>
      <w:r w:rsidR="006F6778">
        <w:rPr>
          <w:rFonts w:ascii="Calibri" w:hAnsi="Calibri"/>
          <w:sz w:val="22"/>
          <w:szCs w:val="22"/>
        </w:rPr>
        <w:t xml:space="preserve">. </w:t>
      </w:r>
    </w:p>
    <w:p w14:paraId="3F6F8ABA" w14:textId="180B12A5" w:rsidR="006F1627" w:rsidRPr="00AA3B2C" w:rsidRDefault="006F1627" w:rsidP="00CE3099">
      <w:pPr>
        <w:pStyle w:val="Normal1"/>
        <w:spacing w:after="120" w:line="276" w:lineRule="auto"/>
        <w:jc w:val="both"/>
        <w:rPr>
          <w:rFonts w:ascii="Calibri" w:hAnsi="Calibri"/>
          <w:sz w:val="22"/>
          <w:szCs w:val="22"/>
        </w:rPr>
      </w:pPr>
      <w:r>
        <w:rPr>
          <w:rFonts w:ascii="Calibri" w:hAnsi="Calibri"/>
          <w:sz w:val="22"/>
          <w:szCs w:val="22"/>
        </w:rPr>
        <w:t>As part of the top-u</w:t>
      </w:r>
      <w:r w:rsidR="00902BAF">
        <w:rPr>
          <w:rFonts w:ascii="Calibri" w:hAnsi="Calibri"/>
          <w:sz w:val="22"/>
          <w:szCs w:val="22"/>
        </w:rPr>
        <w:t>p</w:t>
      </w:r>
      <w:r>
        <w:rPr>
          <w:rFonts w:ascii="Calibri" w:hAnsi="Calibri"/>
          <w:sz w:val="22"/>
          <w:szCs w:val="22"/>
        </w:rPr>
        <w:t xml:space="preserve"> investment in December</w:t>
      </w:r>
      <w:r w:rsidR="00902BAF">
        <w:rPr>
          <w:rFonts w:ascii="Calibri" w:hAnsi="Calibri"/>
          <w:sz w:val="22"/>
          <w:szCs w:val="22"/>
        </w:rPr>
        <w:t xml:space="preserve"> </w:t>
      </w:r>
      <w:r>
        <w:rPr>
          <w:rFonts w:ascii="Calibri" w:hAnsi="Calibri"/>
          <w:sz w:val="22"/>
          <w:szCs w:val="22"/>
        </w:rPr>
        <w:t>2019</w:t>
      </w:r>
      <w:r w:rsidR="00902BAF">
        <w:rPr>
          <w:rFonts w:ascii="Calibri" w:hAnsi="Calibri"/>
          <w:sz w:val="22"/>
          <w:szCs w:val="22"/>
        </w:rPr>
        <w:t>,</w:t>
      </w:r>
      <w:r>
        <w:rPr>
          <w:rFonts w:ascii="Calibri" w:hAnsi="Calibri"/>
          <w:sz w:val="22"/>
          <w:szCs w:val="22"/>
        </w:rPr>
        <w:t xml:space="preserve"> additional requirements have been secured in the investment agreements</w:t>
      </w:r>
      <w:r w:rsidR="00902BAF">
        <w:rPr>
          <w:rFonts w:ascii="Calibri" w:hAnsi="Calibri"/>
          <w:sz w:val="22"/>
          <w:szCs w:val="22"/>
        </w:rPr>
        <w:t>. This provides further comfort in relation to</w:t>
      </w:r>
      <w:r w:rsidR="00FE1D6A">
        <w:rPr>
          <w:rFonts w:ascii="Calibri" w:hAnsi="Calibri"/>
          <w:sz w:val="22"/>
          <w:szCs w:val="22"/>
        </w:rPr>
        <w:t xml:space="preserve"> HMG’s </w:t>
      </w:r>
      <w:r>
        <w:rPr>
          <w:rFonts w:ascii="Calibri" w:hAnsi="Calibri"/>
          <w:sz w:val="22"/>
          <w:szCs w:val="22"/>
        </w:rPr>
        <w:t xml:space="preserve">exclusion list, policies in relation to UK sanctions, </w:t>
      </w:r>
      <w:r w:rsidR="00902BAF">
        <w:rPr>
          <w:rFonts w:ascii="Calibri" w:hAnsi="Calibri"/>
          <w:sz w:val="22"/>
          <w:szCs w:val="22"/>
        </w:rPr>
        <w:t xml:space="preserve">and </w:t>
      </w:r>
      <w:r>
        <w:rPr>
          <w:rFonts w:ascii="Calibri" w:hAnsi="Calibri"/>
          <w:sz w:val="22"/>
          <w:szCs w:val="22"/>
        </w:rPr>
        <w:t>safeguarding.</w:t>
      </w:r>
    </w:p>
    <w:p w14:paraId="5A5506F7" w14:textId="1793112D" w:rsidR="00022D29" w:rsidRPr="00213FE4" w:rsidRDefault="00EE4C1B" w:rsidP="00DD4C2A">
      <w:pPr>
        <w:pStyle w:val="Heading2"/>
      </w:pPr>
      <w:bookmarkStart w:id="16" w:name="_Toc51578524"/>
      <w:r>
        <w:t>G</w:t>
      </w:r>
      <w:r w:rsidR="00022D29">
        <w:t>: MONITORING &amp; EVALUATION</w:t>
      </w:r>
      <w:bookmarkEnd w:id="16"/>
    </w:p>
    <w:p w14:paraId="0AF908A7"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b/>
          <w:sz w:val="22"/>
          <w:szCs w:val="22"/>
        </w:rPr>
        <w:t>Evidence and evaluation</w:t>
      </w:r>
    </w:p>
    <w:p w14:paraId="0ECD96C2" w14:textId="0E7642D1" w:rsidR="004D37D7" w:rsidRDefault="000004E0" w:rsidP="004D37D7">
      <w:r w:rsidRPr="00D0005A">
        <w:t xml:space="preserve">The theory of change </w:t>
      </w:r>
      <w:r w:rsidR="004D37D7">
        <w:t>for</w:t>
      </w:r>
      <w:r w:rsidRPr="00D0005A">
        <w:t xml:space="preserve"> the </w:t>
      </w:r>
      <w:r w:rsidR="00510E3B">
        <w:t>EB</w:t>
      </w:r>
      <w:r w:rsidRPr="00D0005A">
        <w:t>F</w:t>
      </w:r>
      <w:r w:rsidR="00510E3B">
        <w:t xml:space="preserve"> </w:t>
      </w:r>
      <w:r w:rsidR="004D37D7">
        <w:t xml:space="preserve">states </w:t>
      </w:r>
      <w:r w:rsidRPr="00D0005A">
        <w:t xml:space="preserve">that the </w:t>
      </w:r>
      <w:r w:rsidR="00510E3B">
        <w:t>EBF</w:t>
      </w:r>
      <w:r w:rsidRPr="00D0005A">
        <w:t xml:space="preserve"> </w:t>
      </w:r>
      <w:r w:rsidR="004D37D7">
        <w:t>should carry</w:t>
      </w:r>
      <w:r w:rsidRPr="00D0005A">
        <w:t xml:space="preserve"> out specific activities that lead to positive effects, or short-term outcomes, which in turn trigger long-term change</w:t>
      </w:r>
      <w:r w:rsidR="004B6C6C">
        <w:t xml:space="preserve"> (Annex 1)</w:t>
      </w:r>
      <w:r w:rsidRPr="00D0005A">
        <w:t xml:space="preserve">. </w:t>
      </w:r>
      <w:r w:rsidR="00FE1D6A">
        <w:t xml:space="preserve">The </w:t>
      </w:r>
      <w:r w:rsidRPr="00D0005A">
        <w:t>two impact pathways (FIs and businesses) have their own route towards achieving the</w:t>
      </w:r>
      <w:r w:rsidR="00FE1D6A">
        <w:t xml:space="preserve">se </w:t>
      </w:r>
      <w:r w:rsidRPr="00D0005A">
        <w:t>outcome</w:t>
      </w:r>
      <w:r w:rsidR="00FE1D6A">
        <w:t xml:space="preserve">s and </w:t>
      </w:r>
      <w:r w:rsidRPr="00D0005A">
        <w:t xml:space="preserve">reinforce </w:t>
      </w:r>
      <w:r w:rsidR="00EE4C1B" w:rsidRPr="00D0005A">
        <w:t>one another,</w:t>
      </w:r>
      <w:r w:rsidRPr="00D0005A">
        <w:t xml:space="preserve"> </w:t>
      </w:r>
      <w:r w:rsidR="00FE1D6A">
        <w:t xml:space="preserve">which in turn </w:t>
      </w:r>
      <w:r w:rsidRPr="00D0005A">
        <w:t xml:space="preserve">is crucial to driving transformational change in the market. </w:t>
      </w:r>
    </w:p>
    <w:p w14:paraId="13A99F90" w14:textId="568B1F15" w:rsidR="007A7CFF" w:rsidRDefault="007A7CFF" w:rsidP="007A7CFF">
      <w:pPr>
        <w:rPr>
          <w:color w:val="000000" w:themeColor="text1"/>
          <w:lang w:val="en-US"/>
        </w:rPr>
      </w:pPr>
      <w:r w:rsidRPr="3651B6FB">
        <w:rPr>
          <w:rFonts w:eastAsia="Calibri" w:cs="Calibri"/>
          <w:color w:val="000000" w:themeColor="text1"/>
        </w:rPr>
        <w:t xml:space="preserve">Additionality is taken into account for all interventions funded through ICF. This is to ensure there is a net change in impacts resulting from UK funding, other than the </w:t>
      </w:r>
      <w:r w:rsidR="00E1380C" w:rsidRPr="3651B6FB">
        <w:rPr>
          <w:rFonts w:eastAsia="Calibri" w:cs="Calibri"/>
          <w:color w:val="000000" w:themeColor="text1"/>
        </w:rPr>
        <w:t>business-as-usual</w:t>
      </w:r>
      <w:r w:rsidRPr="3651B6FB">
        <w:rPr>
          <w:rFonts w:eastAsia="Calibri" w:cs="Calibri"/>
          <w:color w:val="000000" w:themeColor="text1"/>
        </w:rPr>
        <w:t xml:space="preserve"> changes that would occur without UK funding. Ideally for most scenarios, the outputs would be compared to a suitable baseline or counterfactual scenario, so as to isolate the impact/additionality of a programme. For most programmes an additionality rate of 50% to be conservative is applied to the impacts, however this can change if there’s more evidence to suggest there is more certainty in the impacts of a programme.</w:t>
      </w:r>
    </w:p>
    <w:p w14:paraId="0B5C4164" w14:textId="70FD0E4D" w:rsidR="00C04C5A" w:rsidRDefault="00C04C5A" w:rsidP="4A1C04E9"/>
    <w:p w14:paraId="216DC079" w14:textId="0605E779" w:rsidR="003469FB" w:rsidRDefault="003469FB" w:rsidP="004D37D7">
      <w:pPr>
        <w:rPr>
          <w:u w:val="single"/>
        </w:rPr>
      </w:pPr>
      <w:r w:rsidRPr="003469FB">
        <w:rPr>
          <w:u w:val="single"/>
        </w:rPr>
        <w:t>Updated methodology for Net CO</w:t>
      </w:r>
      <w:r w:rsidRPr="003469FB">
        <w:rPr>
          <w:u w:val="single"/>
          <w:vertAlign w:val="subscript"/>
        </w:rPr>
        <w:t>2</w:t>
      </w:r>
      <w:r w:rsidRPr="003469FB">
        <w:rPr>
          <w:u w:val="single"/>
        </w:rPr>
        <w:t xml:space="preserve"> sequestration as a result of EBF support</w:t>
      </w:r>
    </w:p>
    <w:p w14:paraId="7B1452EF" w14:textId="3527B9F8" w:rsidR="00A40A94" w:rsidRPr="00CD32DD" w:rsidRDefault="00CD32DD" w:rsidP="004D37D7">
      <w:r>
        <w:t>CO</w:t>
      </w:r>
      <w:r w:rsidRPr="00CD32DD">
        <w:rPr>
          <w:vertAlign w:val="subscript"/>
        </w:rPr>
        <w:t>2</w:t>
      </w:r>
      <w:r>
        <w:t xml:space="preserve"> sequestration is predominantly calculated through the </w:t>
      </w:r>
      <w:r w:rsidR="00F81832">
        <w:t>F</w:t>
      </w:r>
      <w:r>
        <w:t>und</w:t>
      </w:r>
      <w:r w:rsidR="00902BAF">
        <w:t>’</w:t>
      </w:r>
      <w:r>
        <w:t xml:space="preserve">s investments in </w:t>
      </w:r>
      <w:r w:rsidR="00902BAF">
        <w:t>a</w:t>
      </w:r>
      <w:r>
        <w:t xml:space="preserve">groforestry systems, particularly that of </w:t>
      </w:r>
      <w:r w:rsidR="00902BAF">
        <w:t>c</w:t>
      </w:r>
      <w:r>
        <w:t>offee</w:t>
      </w:r>
      <w:r w:rsidR="00B3369E">
        <w:t>,</w:t>
      </w:r>
      <w:r>
        <w:t xml:space="preserve"> </w:t>
      </w:r>
      <w:r w:rsidR="00902BAF">
        <w:t>c</w:t>
      </w:r>
      <w:r>
        <w:t>ocoa</w:t>
      </w:r>
      <w:r w:rsidR="00F968A3">
        <w:t xml:space="preserve"> and </w:t>
      </w:r>
      <w:r w:rsidR="00902BAF">
        <w:t>f</w:t>
      </w:r>
      <w:r w:rsidR="00F968A3">
        <w:t>orestry investments</w:t>
      </w:r>
      <w:r w:rsidR="0064029B">
        <w:t xml:space="preserve">. The </w:t>
      </w:r>
      <w:r w:rsidR="00F968A3">
        <w:t>calculation considers the baseline of CO</w:t>
      </w:r>
      <w:r w:rsidR="00F968A3" w:rsidRPr="00F968A3">
        <w:rPr>
          <w:vertAlign w:val="subscript"/>
        </w:rPr>
        <w:t>2</w:t>
      </w:r>
      <w:r w:rsidR="00F968A3">
        <w:t xml:space="preserve"> sequestration, (</w:t>
      </w:r>
      <w:r w:rsidR="006F6778">
        <w:t>i.e.</w:t>
      </w:r>
      <w:r w:rsidR="00F968A3">
        <w:t xml:space="preserve"> without EBF intervention) to give the ‘Net figure’ against the additional sequestration as a direct impact of EBF’s investment. </w:t>
      </w:r>
    </w:p>
    <w:p w14:paraId="53543E97" w14:textId="50161E1C" w:rsidR="004D37D7" w:rsidRDefault="004D37D7" w:rsidP="006939AC">
      <w:pPr>
        <w:pStyle w:val="Caption"/>
        <w:spacing w:before="0"/>
        <w:rPr>
          <w:b/>
          <w:i/>
          <w:sz w:val="22"/>
        </w:rPr>
      </w:pPr>
      <w:r w:rsidRPr="004D37D7">
        <w:rPr>
          <w:b/>
          <w:i/>
          <w:sz w:val="22"/>
        </w:rPr>
        <w:t xml:space="preserve">Figure </w:t>
      </w:r>
      <w:r w:rsidR="000874BB">
        <w:rPr>
          <w:b/>
          <w:i/>
          <w:sz w:val="22"/>
        </w:rPr>
        <w:t>A</w:t>
      </w:r>
      <w:r w:rsidRPr="004D37D7">
        <w:rPr>
          <w:b/>
          <w:i/>
          <w:sz w:val="22"/>
        </w:rPr>
        <w:t xml:space="preserve">. </w:t>
      </w:r>
      <w:r w:rsidR="00213FE4">
        <w:rPr>
          <w:b/>
          <w:i/>
          <w:sz w:val="22"/>
        </w:rPr>
        <w:t>Overview of</w:t>
      </w:r>
      <w:r w:rsidRPr="004D37D7">
        <w:rPr>
          <w:b/>
          <w:i/>
          <w:sz w:val="22"/>
        </w:rPr>
        <w:t xml:space="preserve"> Fund’s impact </w:t>
      </w:r>
      <w:r w:rsidR="00037511">
        <w:rPr>
          <w:b/>
          <w:i/>
          <w:sz w:val="22"/>
        </w:rPr>
        <w:t>pathway</w:t>
      </w:r>
    </w:p>
    <w:p w14:paraId="61F20F9A" w14:textId="57111BD1" w:rsidR="00402B0B" w:rsidRPr="00402B0B" w:rsidRDefault="00402B0B" w:rsidP="00402B0B">
      <w:pPr>
        <w:rPr>
          <w:lang w:val="en-US"/>
        </w:rPr>
      </w:pPr>
      <w:r>
        <w:rPr>
          <w:lang w:val="en-US"/>
        </w:rPr>
        <w:t>(</w:t>
      </w:r>
      <w:hyperlink r:id="rId13" w:history="1">
        <w:r w:rsidRPr="00B86738">
          <w:rPr>
            <w:rStyle w:val="Hyperlink"/>
            <w:lang w:val="en-US"/>
          </w:rPr>
          <w:t xml:space="preserve">Detailed description </w:t>
        </w:r>
        <w:r w:rsidR="00B86738" w:rsidRPr="00B86738">
          <w:rPr>
            <w:rStyle w:val="Hyperlink"/>
            <w:lang w:val="en-US"/>
          </w:rPr>
          <w:t>here</w:t>
        </w:r>
      </w:hyperlink>
      <w:r>
        <w:rPr>
          <w:lang w:val="en-US"/>
        </w:rPr>
        <w:t>)</w:t>
      </w:r>
    </w:p>
    <w:p w14:paraId="1E4D849A" w14:textId="77777777" w:rsidR="007A674F" w:rsidRDefault="006939AC" w:rsidP="00EA3252">
      <w:pPr>
        <w:pStyle w:val="Normal1"/>
        <w:contextualSpacing/>
        <w:jc w:val="both"/>
        <w:rPr>
          <w:rFonts w:ascii="Calibri" w:hAnsi="Calibri"/>
          <w:b/>
          <w:sz w:val="22"/>
          <w:szCs w:val="22"/>
        </w:rPr>
      </w:pPr>
      <w:r>
        <w:rPr>
          <w:noProof/>
          <w:color w:val="2B579A"/>
          <w:shd w:val="clear" w:color="auto" w:fill="E6E6E6"/>
          <w:lang w:eastAsia="en-GB"/>
        </w:rPr>
        <w:lastRenderedPageBreak/>
        <w:drawing>
          <wp:inline distT="0" distB="0" distL="0" distR="0" wp14:anchorId="5029E1C2" wp14:editId="71C6C111">
            <wp:extent cx="6060528"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2152" t="36485" r="1285" b="17594"/>
                    <a:stretch/>
                  </pic:blipFill>
                  <pic:spPr bwMode="auto">
                    <a:xfrm>
                      <a:off x="0" y="0"/>
                      <a:ext cx="6082592" cy="3756953"/>
                    </a:xfrm>
                    <a:prstGeom prst="rect">
                      <a:avLst/>
                    </a:prstGeom>
                    <a:ln>
                      <a:noFill/>
                    </a:ln>
                    <a:extLst>
                      <a:ext uri="{53640926-AAD7-44D8-BBD7-CCE9431645EC}">
                        <a14:shadowObscured xmlns:a14="http://schemas.microsoft.com/office/drawing/2010/main"/>
                      </a:ext>
                    </a:extLst>
                  </pic:spPr>
                </pic:pic>
              </a:graphicData>
            </a:graphic>
          </wp:inline>
        </w:drawing>
      </w:r>
    </w:p>
    <w:p w14:paraId="1EE4D2E0" w14:textId="77777777" w:rsidR="007A674F" w:rsidRDefault="007A674F" w:rsidP="00EA3252">
      <w:pPr>
        <w:pStyle w:val="Normal1"/>
        <w:contextualSpacing/>
        <w:jc w:val="both"/>
        <w:rPr>
          <w:rFonts w:ascii="Calibri" w:hAnsi="Calibri"/>
          <w:b/>
          <w:sz w:val="22"/>
          <w:szCs w:val="22"/>
        </w:rPr>
      </w:pPr>
    </w:p>
    <w:p w14:paraId="4B7AA76D" w14:textId="28F7F03B" w:rsidR="000004E0" w:rsidRPr="00EA3252" w:rsidRDefault="000004E0" w:rsidP="00EA3252">
      <w:pPr>
        <w:pStyle w:val="Normal1"/>
        <w:contextualSpacing/>
        <w:jc w:val="both"/>
        <w:rPr>
          <w:rFonts w:ascii="Calibri" w:hAnsi="Calibri"/>
          <w:b/>
          <w:sz w:val="22"/>
          <w:szCs w:val="22"/>
        </w:rPr>
      </w:pPr>
      <w:r w:rsidRPr="00EA3252">
        <w:rPr>
          <w:rFonts w:ascii="Calibri" w:hAnsi="Calibri"/>
          <w:b/>
          <w:sz w:val="22"/>
          <w:szCs w:val="22"/>
        </w:rPr>
        <w:t>How is evidence disaggregated by sex and age, and by other variables?</w:t>
      </w:r>
    </w:p>
    <w:p w14:paraId="41173EF2" w14:textId="26F24409" w:rsidR="00B86738" w:rsidRDefault="000004E0" w:rsidP="00EA3252">
      <w:r>
        <w:t>The evid</w:t>
      </w:r>
      <w:r w:rsidR="0028768C">
        <w:t xml:space="preserve">ence currently compiled by the </w:t>
      </w:r>
      <w:r w:rsidR="00F81832">
        <w:t>F</w:t>
      </w:r>
      <w:r>
        <w:t>und on the impacts of its investments or the information that is reported by partner institutions in the context of the bi-annual sub-loan reports is not disaggregated by sex or by age. To minimi</w:t>
      </w:r>
      <w:r w:rsidR="0028768C">
        <w:t>s</w:t>
      </w:r>
      <w:r>
        <w:t>e the burden on the partner institutions, which is already significantly highe</w:t>
      </w:r>
      <w:r w:rsidR="0028768C">
        <w:t xml:space="preserve">r than for standard loans, the </w:t>
      </w:r>
      <w:r w:rsidR="00F81832">
        <w:t>F</w:t>
      </w:r>
      <w:r>
        <w:t xml:space="preserve">und does not intend to ask its partners to directly report </w:t>
      </w:r>
      <w:r w:rsidR="0028768C">
        <w:t xml:space="preserve">this information. Instead, the </w:t>
      </w:r>
      <w:r w:rsidR="00F81832">
        <w:t>F</w:t>
      </w:r>
      <w:r>
        <w:t>und proposes to rely on third party evidence, when it is available</w:t>
      </w:r>
      <w:r w:rsidR="36CA0DEA">
        <w:t xml:space="preserve"> (</w:t>
      </w:r>
      <w:r w:rsidR="6F9400CA">
        <w:t>for example ILO data on women participation in labour markets to assess female jobs),</w:t>
      </w:r>
      <w:r>
        <w:t xml:space="preserve"> to provide estimates of gender disaggregation for certain indicators of interest. </w:t>
      </w:r>
      <w:r w:rsidR="00B86738">
        <w:t>The EBF</w:t>
      </w:r>
      <w:r w:rsidR="006F6778">
        <w:t xml:space="preserve"> Development </w:t>
      </w:r>
      <w:r w:rsidR="00B86738">
        <w:t>F</w:t>
      </w:r>
      <w:r w:rsidR="006F6778">
        <w:t>acility</w:t>
      </w:r>
      <w:r w:rsidR="00B86738">
        <w:t xml:space="preserve"> disaggregates sex in its monitoring and impact work. </w:t>
      </w:r>
    </w:p>
    <w:p w14:paraId="3563542D" w14:textId="77777777" w:rsidR="000004E0" w:rsidRPr="00EA3252" w:rsidRDefault="000004E0" w:rsidP="00EA3252">
      <w:pPr>
        <w:rPr>
          <w:b/>
        </w:rPr>
      </w:pPr>
      <w:r w:rsidRPr="00EA3252">
        <w:rPr>
          <w:b/>
        </w:rPr>
        <w:t>Monitoring progress throughout the review period</w:t>
      </w:r>
    </w:p>
    <w:p w14:paraId="3EA1185E" w14:textId="1749147F" w:rsidR="000004E0" w:rsidRPr="00D0005A" w:rsidRDefault="0028768C" w:rsidP="000004E0">
      <w:pPr>
        <w:spacing w:before="0"/>
      </w:pPr>
      <w:r>
        <w:t xml:space="preserve">The </w:t>
      </w:r>
      <w:r w:rsidR="00F81832">
        <w:t>EBF’s</w:t>
      </w:r>
      <w:r w:rsidR="000004E0" w:rsidRPr="00D0005A">
        <w:t xml:space="preserve"> continuous monitoring approach consists in the following activities:</w:t>
      </w:r>
    </w:p>
    <w:p w14:paraId="453095B4" w14:textId="77777777" w:rsidR="000004E0" w:rsidRPr="00D0005A" w:rsidRDefault="000004E0" w:rsidP="000004E0">
      <w:pPr>
        <w:spacing w:before="0"/>
        <w:rPr>
          <w:u w:val="single"/>
        </w:rPr>
      </w:pPr>
      <w:r w:rsidRPr="00D0005A">
        <w:rPr>
          <w:u w:val="single"/>
        </w:rPr>
        <w:t>1. Credit monitoring / monitoring of financial performance of investees</w:t>
      </w:r>
    </w:p>
    <w:p w14:paraId="73EC0622" w14:textId="37BB37F4" w:rsidR="000004E0" w:rsidRPr="00D0005A" w:rsidRDefault="0028768C" w:rsidP="000004E0">
      <w:pPr>
        <w:spacing w:before="0"/>
      </w:pPr>
      <w:r>
        <w:t>In 201</w:t>
      </w:r>
      <w:r w:rsidR="002171D4">
        <w:t>9</w:t>
      </w:r>
      <w:r>
        <w:t xml:space="preserve"> the </w:t>
      </w:r>
      <w:r w:rsidR="00F81832">
        <w:t>F</w:t>
      </w:r>
      <w:r>
        <w:t xml:space="preserve">und </w:t>
      </w:r>
      <w:r w:rsidR="000769C3">
        <w:t xml:space="preserve">Advisor </w:t>
      </w:r>
      <w:r w:rsidR="000004E0">
        <w:t xml:space="preserve">followed its traditional credit monitoring approach consisting of quarterly risk reviews that are presented to the Rating Committee. The reviews were conducted for each partner institution and include a general review of performance in the recent quarter, spotting of trends, covenant monitoring and adjustment of ratings if necessary. In parallel, the </w:t>
      </w:r>
      <w:r w:rsidR="00F81832">
        <w:t>F</w:t>
      </w:r>
      <w:r>
        <w:t>und m</w:t>
      </w:r>
      <w:r w:rsidR="000004E0">
        <w:t>anager introduced a company-wide new rating methodology following S</w:t>
      </w:r>
      <w:r w:rsidR="00BA57CE">
        <w:t xml:space="preserve">tandard </w:t>
      </w:r>
      <w:r w:rsidR="000004E0">
        <w:t>&amp;</w:t>
      </w:r>
      <w:r w:rsidR="00BA57CE">
        <w:t xml:space="preserve"> Poor’s</w:t>
      </w:r>
      <w:r w:rsidR="000004E0">
        <w:t xml:space="preserve"> guidelines and rated its entire portfolio according to this new methodology.</w:t>
      </w:r>
    </w:p>
    <w:p w14:paraId="40B44E32" w14:textId="77777777" w:rsidR="000004E0" w:rsidRPr="00D0005A" w:rsidRDefault="000004E0" w:rsidP="000004E0">
      <w:pPr>
        <w:spacing w:before="0"/>
        <w:rPr>
          <w:u w:val="single"/>
        </w:rPr>
      </w:pPr>
      <w:r w:rsidRPr="00D0005A">
        <w:rPr>
          <w:u w:val="single"/>
        </w:rPr>
        <w:t>2. Monitoring of the use of proceeds (sub-loan monitoring)</w:t>
      </w:r>
    </w:p>
    <w:p w14:paraId="6028BA24" w14:textId="09639AB7" w:rsidR="00402B0B" w:rsidRPr="00702553" w:rsidRDefault="000004E0" w:rsidP="000004E0">
      <w:pPr>
        <w:spacing w:before="0"/>
      </w:pPr>
      <w:r w:rsidRPr="00D0005A">
        <w:t xml:space="preserve">Partner institutions are required to report to the </w:t>
      </w:r>
      <w:r w:rsidR="00F81832">
        <w:t>F</w:t>
      </w:r>
      <w:r w:rsidR="0028768C">
        <w:t>und m</w:t>
      </w:r>
      <w:r w:rsidRPr="00D0005A">
        <w:t xml:space="preserve">anager on the use of </w:t>
      </w:r>
      <w:r w:rsidR="00F81832">
        <w:t>F</w:t>
      </w:r>
      <w:r w:rsidR="0028768C">
        <w:t xml:space="preserve">unds on a bi-annual basis. The </w:t>
      </w:r>
      <w:r w:rsidR="00F81832">
        <w:t>F</w:t>
      </w:r>
      <w:r w:rsidR="0028768C">
        <w:t>und m</w:t>
      </w:r>
      <w:r w:rsidRPr="00D0005A">
        <w:t xml:space="preserve">anager </w:t>
      </w:r>
      <w:r w:rsidR="00E648CB">
        <w:t>ensures</w:t>
      </w:r>
      <w:r w:rsidRPr="00D0005A">
        <w:t xml:space="preserve"> that its resources are used in the eligible sectors following the respective criteria and whether the partner institutions abide by the minimum required on-lending rate. </w:t>
      </w:r>
      <w:r w:rsidR="009C6DE8">
        <w:t>P</w:t>
      </w:r>
      <w:r w:rsidRPr="00D0005A">
        <w:t>artner institutions report loan-by-loan on a specified set of information (such as loan amounts, target sector, financed activities, loan type</w:t>
      </w:r>
      <w:r w:rsidR="005D5785">
        <w:t>,</w:t>
      </w:r>
      <w:r w:rsidRPr="00D0005A">
        <w:t xml:space="preserve"> </w:t>
      </w:r>
      <w:r w:rsidR="00072CA3" w:rsidRPr="00D0005A">
        <w:t>and sustainability</w:t>
      </w:r>
      <w:r w:rsidRPr="00D0005A">
        <w:t xml:space="preserve"> standard</w:t>
      </w:r>
      <w:r w:rsidR="005D5785">
        <w:t xml:space="preserve"> and farm or business size</w:t>
      </w:r>
      <w:r w:rsidRPr="00D0005A">
        <w:t>) on an anonymous basis (no obligation to report names of sub-borrowers).</w:t>
      </w:r>
      <w:r w:rsidR="00EA3252">
        <w:t xml:space="preserve">       </w:t>
      </w:r>
    </w:p>
    <w:p w14:paraId="1579D916" w14:textId="6416AE8A" w:rsidR="000004E0" w:rsidRDefault="00BD1E29" w:rsidP="000004E0">
      <w:pPr>
        <w:spacing w:before="0"/>
        <w:rPr>
          <w:u w:val="single"/>
        </w:rPr>
      </w:pPr>
      <w:r>
        <w:rPr>
          <w:u w:val="single"/>
        </w:rPr>
        <w:lastRenderedPageBreak/>
        <w:t>3</w:t>
      </w:r>
      <w:r w:rsidR="000004E0" w:rsidRPr="00D0005A">
        <w:rPr>
          <w:u w:val="single"/>
        </w:rPr>
        <w:t>. Monitoring through relationship management (visits, meetings)</w:t>
      </w:r>
    </w:p>
    <w:p w14:paraId="0EF46095" w14:textId="48426D9C" w:rsidR="009C126F" w:rsidRPr="000B28C6" w:rsidRDefault="005D5785" w:rsidP="000B28C6">
      <w:pPr>
        <w:spacing w:before="0"/>
      </w:pPr>
      <w:r w:rsidRPr="00702553">
        <w:t xml:space="preserve">As part of ensuring that its </w:t>
      </w:r>
      <w:r w:rsidR="00F81832">
        <w:t>F</w:t>
      </w:r>
      <w:r w:rsidRPr="00702553">
        <w:t xml:space="preserve">unds as used according to its eligibility criteria, the </w:t>
      </w:r>
      <w:r w:rsidR="00F81832">
        <w:t>F</w:t>
      </w:r>
      <w:r w:rsidRPr="00702553">
        <w:t>und carries out regular visits to its sub-borrowers.</w:t>
      </w:r>
      <w:bookmarkStart w:id="17" w:name="_gjdgxs" w:colFirst="0" w:colLast="0"/>
      <w:bookmarkEnd w:id="17"/>
    </w:p>
    <w:sectPr w:rsidR="009C126F" w:rsidRPr="000B28C6" w:rsidSect="000004E0">
      <w:headerReference w:type="default" r:id="rId15"/>
      <w:footerReference w:type="default" r:id="rId16"/>
      <w:type w:val="continuous"/>
      <w:pgSz w:w="11906" w:h="16838" w:code="9"/>
      <w:pgMar w:top="1135" w:right="851" w:bottom="73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30B7" w14:textId="77777777" w:rsidR="00E65CA7" w:rsidRDefault="00E65CA7">
      <w:pPr>
        <w:spacing w:before="0" w:after="0" w:line="240" w:lineRule="auto"/>
      </w:pPr>
      <w:r>
        <w:separator/>
      </w:r>
    </w:p>
  </w:endnote>
  <w:endnote w:type="continuationSeparator" w:id="0">
    <w:p w14:paraId="60AE81FF" w14:textId="77777777" w:rsidR="00E65CA7" w:rsidRDefault="00E65CA7">
      <w:pPr>
        <w:spacing w:before="0" w:after="0" w:line="240" w:lineRule="auto"/>
      </w:pPr>
      <w:r>
        <w:continuationSeparator/>
      </w:r>
    </w:p>
  </w:endnote>
  <w:endnote w:type="continuationNotice" w:id="1">
    <w:p w14:paraId="0EBF2DD3" w14:textId="77777777" w:rsidR="00E65CA7" w:rsidRDefault="00E65C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7312" w14:textId="77777777" w:rsidR="00022B84" w:rsidRPr="00441161" w:rsidRDefault="00022B84">
    <w:pPr>
      <w:pStyle w:val="Normal1"/>
      <w:tabs>
        <w:tab w:val="center" w:pos="4153"/>
        <w:tab w:val="right" w:pos="8306"/>
      </w:tabs>
      <w:jc w:val="center"/>
      <w:rPr>
        <w:rFonts w:asciiTheme="majorHAnsi" w:hAnsiTheme="majorHAnsi"/>
        <w:sz w:val="20"/>
        <w:szCs w:val="20"/>
      </w:rPr>
    </w:pPr>
    <w:r w:rsidRPr="00441161">
      <w:rPr>
        <w:rFonts w:asciiTheme="majorHAnsi" w:hAnsiTheme="majorHAnsi"/>
        <w:color w:val="2B579A"/>
        <w:sz w:val="20"/>
        <w:szCs w:val="20"/>
        <w:shd w:val="clear" w:color="auto" w:fill="E6E6E6"/>
      </w:rPr>
      <w:fldChar w:fldCharType="begin"/>
    </w:r>
    <w:r w:rsidRPr="00441161">
      <w:rPr>
        <w:rFonts w:asciiTheme="majorHAnsi" w:hAnsiTheme="majorHAnsi"/>
        <w:sz w:val="20"/>
        <w:szCs w:val="20"/>
      </w:rPr>
      <w:instrText>PAGE</w:instrText>
    </w:r>
    <w:r w:rsidRPr="00441161">
      <w:rPr>
        <w:rFonts w:asciiTheme="majorHAnsi" w:hAnsiTheme="majorHAnsi"/>
        <w:color w:val="2B579A"/>
        <w:sz w:val="20"/>
        <w:szCs w:val="20"/>
        <w:shd w:val="clear" w:color="auto" w:fill="E6E6E6"/>
      </w:rPr>
      <w:fldChar w:fldCharType="separate"/>
    </w:r>
    <w:r>
      <w:rPr>
        <w:rFonts w:asciiTheme="majorHAnsi" w:hAnsiTheme="majorHAnsi"/>
        <w:noProof/>
        <w:sz w:val="20"/>
        <w:szCs w:val="20"/>
      </w:rPr>
      <w:t>21</w:t>
    </w:r>
    <w:r w:rsidRPr="00441161">
      <w:rPr>
        <w:rFonts w:asciiTheme="majorHAnsi" w:hAnsiTheme="majorHAnsi"/>
        <w:color w:val="2B579A"/>
        <w:sz w:val="20"/>
        <w:szCs w:val="20"/>
        <w:shd w:val="clear" w:color="auto" w:fill="E6E6E6"/>
      </w:rPr>
      <w:fldChar w:fldCharType="end"/>
    </w:r>
  </w:p>
  <w:p w14:paraId="59E935A1" w14:textId="77777777" w:rsidR="00022B84" w:rsidRDefault="00022B84">
    <w:pPr>
      <w:pStyle w:val="Normal1"/>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9696" w14:textId="77777777" w:rsidR="00E65CA7" w:rsidRDefault="00E65CA7">
      <w:pPr>
        <w:spacing w:before="0" w:after="0" w:line="240" w:lineRule="auto"/>
      </w:pPr>
      <w:r>
        <w:separator/>
      </w:r>
    </w:p>
  </w:footnote>
  <w:footnote w:type="continuationSeparator" w:id="0">
    <w:p w14:paraId="13A9CC23" w14:textId="77777777" w:rsidR="00E65CA7" w:rsidRDefault="00E65CA7">
      <w:pPr>
        <w:spacing w:before="0" w:after="0" w:line="240" w:lineRule="auto"/>
      </w:pPr>
      <w:r>
        <w:continuationSeparator/>
      </w:r>
    </w:p>
  </w:footnote>
  <w:footnote w:type="continuationNotice" w:id="1">
    <w:p w14:paraId="1E54D2BA" w14:textId="77777777" w:rsidR="00E65CA7" w:rsidRDefault="00E65CA7">
      <w:pPr>
        <w:spacing w:before="0" w:after="0" w:line="240" w:lineRule="auto"/>
      </w:pPr>
    </w:p>
  </w:footnote>
  <w:footnote w:id="2">
    <w:p w14:paraId="2874A502" w14:textId="2B1ADE20" w:rsidR="00022B84" w:rsidRDefault="00022B84">
      <w:pPr>
        <w:pStyle w:val="FootnoteText"/>
      </w:pPr>
      <w:r>
        <w:rPr>
          <w:rStyle w:val="FootnoteReference"/>
        </w:rPr>
        <w:footnoteRef/>
      </w:r>
      <w:r>
        <w:t xml:space="preserve"> To note, the EBF immediately converts investments of GBP into USD. Defra investment/shareholdings are therefore referred to USD throughout this report.</w:t>
      </w:r>
    </w:p>
  </w:footnote>
  <w:footnote w:id="3">
    <w:p w14:paraId="5CB3C08B" w14:textId="5AB7A185" w:rsidR="00022B84" w:rsidRDefault="00022B84">
      <w:pPr>
        <w:pStyle w:val="FootnoteText"/>
      </w:pPr>
      <w:r>
        <w:rPr>
          <w:rStyle w:val="FootnoteReference"/>
        </w:rPr>
        <w:footnoteRef/>
      </w:r>
      <w:r>
        <w:t xml:space="preserve"> Such activities fall into several specific categories which suitable VSS are not prevalent: Soil Conservation, Resource Efficiency/irrigation, Waste treatment, Native species, Sustainable Land Use Production and Extraction Practices and Other. They must be cleared by the independent Board of Directors and align with investment mandate. </w:t>
      </w:r>
    </w:p>
  </w:footnote>
  <w:footnote w:id="4">
    <w:p w14:paraId="558F6A66" w14:textId="1DF4ACA9" w:rsidR="00022B84" w:rsidRDefault="00022B84">
      <w:pPr>
        <w:pStyle w:val="FootnoteText"/>
      </w:pPr>
      <w:r>
        <w:rPr>
          <w:rStyle w:val="FootnoteReference"/>
        </w:rPr>
        <w:footnoteRef/>
      </w:r>
      <w:r>
        <w:t xml:space="preserve"> </w:t>
      </w:r>
      <w:bookmarkStart w:id="9" w:name="_Hlk87879758"/>
      <w:r>
        <w:t>There are not set objectives regarding the d</w:t>
      </w:r>
      <w:r w:rsidRPr="00A25907">
        <w:t xml:space="preserve">istribution between lending to sustainable businesses via green list or certification standards. Therefore, it was agreed in the previous AR that indicators 2.3 and 2.4 would not contribute towards performance-based scoring, but </w:t>
      </w:r>
      <w:r>
        <w:t xml:space="preserve">that said indicators would be monitored to support the </w:t>
      </w:r>
      <w:r w:rsidRPr="00A25907">
        <w:t>tracking</w:t>
      </w:r>
      <w:r>
        <w:t xml:space="preserve"> of changes to the p</w:t>
      </w:r>
      <w:r w:rsidRPr="00A25907">
        <w:t>ortfolio make-up over time</w:t>
      </w:r>
      <w:r>
        <w:t xml:space="preserve">. As </w:t>
      </w:r>
      <w:r w:rsidRPr="00A25907">
        <w:t xml:space="preserve">such </w:t>
      </w:r>
      <w:r>
        <w:t>no target is included</w:t>
      </w:r>
      <w:bookmarkEnd w:id="9"/>
      <w:r>
        <w:t>.</w:t>
      </w:r>
    </w:p>
  </w:footnote>
  <w:footnote w:id="5">
    <w:p w14:paraId="79F19FF2" w14:textId="77777777" w:rsidR="00022B84" w:rsidRDefault="00022B84">
      <w:pPr>
        <w:pStyle w:val="FootnoteText"/>
      </w:pPr>
      <w:r>
        <w:rPr>
          <w:rStyle w:val="FootnoteReference"/>
        </w:rPr>
        <w:footnoteRef/>
      </w:r>
      <w:r>
        <w:t xml:space="preserve"> As per the footnote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C153" w14:textId="181B7B54" w:rsidR="00022B84" w:rsidRDefault="00022B84" w:rsidP="00671AA1">
    <w:pPr>
      <w:pStyle w:val="Header"/>
      <w:jc w:val="center"/>
    </w:pPr>
    <w:r>
      <w:t>--- OFFICIAL SENSITIVE ---</w:t>
    </w:r>
  </w:p>
  <w:p w14:paraId="4D6B4F04" w14:textId="311F4609" w:rsidR="00022B84" w:rsidRPr="00441161" w:rsidRDefault="00022B84" w:rsidP="00671AA1">
    <w:pPr>
      <w:pStyle w:val="Normal1"/>
      <w:tabs>
        <w:tab w:val="center" w:pos="4153"/>
        <w:tab w:val="right" w:pos="8306"/>
      </w:tabs>
      <w:jc w:val="center"/>
      <w:rPr>
        <w:rFonts w:asciiTheme="majorHAnsi" w:hAnsiTheme="majorHAnsi"/>
        <w:sz w:val="20"/>
        <w:szCs w:val="20"/>
      </w:rPr>
    </w:pPr>
    <w:r w:rsidRPr="00441161">
      <w:rPr>
        <w:rFonts w:asciiTheme="majorHAnsi" w:hAnsiTheme="majorHAnsi"/>
        <w:sz w:val="20"/>
        <w:szCs w:val="20"/>
      </w:rPr>
      <w:t>Defra ICF Eco. Business Fund Annual Rev</w:t>
    </w:r>
    <w:r>
      <w:rPr>
        <w:rFonts w:asciiTheme="majorHAnsi" w:hAnsiTheme="majorHAnsi"/>
        <w:sz w:val="20"/>
        <w:szCs w:val="20"/>
      </w:rPr>
      <w:t>iew – 2019 Performance</w:t>
    </w:r>
  </w:p>
  <w:p w14:paraId="40384446" w14:textId="314DFE24" w:rsidR="00022B84" w:rsidRDefault="00022B84">
    <w:pPr>
      <w:pStyle w:val="Header"/>
    </w:pPr>
  </w:p>
  <w:p w14:paraId="17742BDD" w14:textId="55A4329F" w:rsidR="00022B84" w:rsidRPr="00441161" w:rsidRDefault="00022B84" w:rsidP="000004E0">
    <w:pPr>
      <w:pStyle w:val="Normal1"/>
      <w:tabs>
        <w:tab w:val="center" w:pos="4153"/>
        <w:tab w:val="right" w:pos="8306"/>
      </w:tabs>
      <w:jc w:val="cent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74F"/>
    <w:multiLevelType w:val="hybridMultilevel"/>
    <w:tmpl w:val="897E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0122"/>
    <w:multiLevelType w:val="hybridMultilevel"/>
    <w:tmpl w:val="5732A4CC"/>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35A0"/>
    <w:multiLevelType w:val="hybridMultilevel"/>
    <w:tmpl w:val="18C0E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66E29"/>
    <w:multiLevelType w:val="hybridMultilevel"/>
    <w:tmpl w:val="89C6D288"/>
    <w:lvl w:ilvl="0" w:tplc="14509E1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306FF0"/>
    <w:multiLevelType w:val="multilevel"/>
    <w:tmpl w:val="0BD2C91C"/>
    <w:lvl w:ilvl="0">
      <w:start w:val="1"/>
      <w:numFmt w:val="decimal"/>
      <w:lvlText w:val="%1."/>
      <w:lvlJc w:val="left"/>
      <w:pPr>
        <w:ind w:left="720" w:hanging="360"/>
      </w:pPr>
      <w:rPr>
        <w:rFonts w:ascii="Calibri" w:eastAsia="Times New Roman" w:hAnsi="Calibri" w:cs="Franklin Gothic Book"/>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A31876"/>
    <w:multiLevelType w:val="hybridMultilevel"/>
    <w:tmpl w:val="2FC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B6563"/>
    <w:multiLevelType w:val="hybridMultilevel"/>
    <w:tmpl w:val="9FC4A532"/>
    <w:lvl w:ilvl="0" w:tplc="0E74C178">
      <w:start w:val="1"/>
      <w:numFmt w:val="bullet"/>
      <w:lvlText w:val=""/>
      <w:lvlJc w:val="left"/>
      <w:pPr>
        <w:ind w:left="720" w:hanging="360"/>
      </w:pPr>
      <w:rPr>
        <w:rFonts w:ascii="Symbol" w:hAnsi="Symbol" w:hint="default"/>
      </w:rPr>
    </w:lvl>
    <w:lvl w:ilvl="1" w:tplc="AEEC0530">
      <w:start w:val="1"/>
      <w:numFmt w:val="bullet"/>
      <w:lvlText w:val="o"/>
      <w:lvlJc w:val="left"/>
      <w:pPr>
        <w:ind w:left="1440" w:hanging="360"/>
      </w:pPr>
      <w:rPr>
        <w:rFonts w:ascii="Courier New" w:hAnsi="Courier New" w:hint="default"/>
      </w:rPr>
    </w:lvl>
    <w:lvl w:ilvl="2" w:tplc="7752E62A">
      <w:start w:val="1"/>
      <w:numFmt w:val="bullet"/>
      <w:lvlText w:val=""/>
      <w:lvlJc w:val="left"/>
      <w:pPr>
        <w:ind w:left="2160" w:hanging="360"/>
      </w:pPr>
      <w:rPr>
        <w:rFonts w:ascii="Wingdings" w:hAnsi="Wingdings" w:hint="default"/>
      </w:rPr>
    </w:lvl>
    <w:lvl w:ilvl="3" w:tplc="55A0778E">
      <w:start w:val="1"/>
      <w:numFmt w:val="bullet"/>
      <w:lvlText w:val=""/>
      <w:lvlJc w:val="left"/>
      <w:pPr>
        <w:ind w:left="2880" w:hanging="360"/>
      </w:pPr>
      <w:rPr>
        <w:rFonts w:ascii="Symbol" w:hAnsi="Symbol" w:hint="default"/>
      </w:rPr>
    </w:lvl>
    <w:lvl w:ilvl="4" w:tplc="28A46574">
      <w:start w:val="1"/>
      <w:numFmt w:val="bullet"/>
      <w:lvlText w:val="o"/>
      <w:lvlJc w:val="left"/>
      <w:pPr>
        <w:ind w:left="3600" w:hanging="360"/>
      </w:pPr>
      <w:rPr>
        <w:rFonts w:ascii="Courier New" w:hAnsi="Courier New" w:hint="default"/>
      </w:rPr>
    </w:lvl>
    <w:lvl w:ilvl="5" w:tplc="71E863BC">
      <w:start w:val="1"/>
      <w:numFmt w:val="bullet"/>
      <w:lvlText w:val=""/>
      <w:lvlJc w:val="left"/>
      <w:pPr>
        <w:ind w:left="4320" w:hanging="360"/>
      </w:pPr>
      <w:rPr>
        <w:rFonts w:ascii="Wingdings" w:hAnsi="Wingdings" w:hint="default"/>
      </w:rPr>
    </w:lvl>
    <w:lvl w:ilvl="6" w:tplc="C152EC3E">
      <w:start w:val="1"/>
      <w:numFmt w:val="bullet"/>
      <w:lvlText w:val=""/>
      <w:lvlJc w:val="left"/>
      <w:pPr>
        <w:ind w:left="5040" w:hanging="360"/>
      </w:pPr>
      <w:rPr>
        <w:rFonts w:ascii="Symbol" w:hAnsi="Symbol" w:hint="default"/>
      </w:rPr>
    </w:lvl>
    <w:lvl w:ilvl="7" w:tplc="8A56A910">
      <w:start w:val="1"/>
      <w:numFmt w:val="bullet"/>
      <w:lvlText w:val="o"/>
      <w:lvlJc w:val="left"/>
      <w:pPr>
        <w:ind w:left="5760" w:hanging="360"/>
      </w:pPr>
      <w:rPr>
        <w:rFonts w:ascii="Courier New" w:hAnsi="Courier New" w:hint="default"/>
      </w:rPr>
    </w:lvl>
    <w:lvl w:ilvl="8" w:tplc="3DE4A5C4">
      <w:start w:val="1"/>
      <w:numFmt w:val="bullet"/>
      <w:lvlText w:val=""/>
      <w:lvlJc w:val="left"/>
      <w:pPr>
        <w:ind w:left="6480" w:hanging="360"/>
      </w:pPr>
      <w:rPr>
        <w:rFonts w:ascii="Wingdings" w:hAnsi="Wingdings" w:hint="default"/>
      </w:rPr>
    </w:lvl>
  </w:abstractNum>
  <w:abstractNum w:abstractNumId="7" w15:restartNumberingAfterBreak="0">
    <w:nsid w:val="0A1E4831"/>
    <w:multiLevelType w:val="hybridMultilevel"/>
    <w:tmpl w:val="8C7E5E98"/>
    <w:lvl w:ilvl="0" w:tplc="08090001">
      <w:start w:val="1"/>
      <w:numFmt w:val="bullet"/>
      <w:lvlText w:val=""/>
      <w:lvlJc w:val="left"/>
      <w:pPr>
        <w:ind w:left="8108" w:hanging="360"/>
      </w:pPr>
      <w:rPr>
        <w:rFonts w:ascii="Symbol" w:hAnsi="Symbol" w:hint="default"/>
      </w:rPr>
    </w:lvl>
    <w:lvl w:ilvl="1" w:tplc="08090003" w:tentative="1">
      <w:start w:val="1"/>
      <w:numFmt w:val="bullet"/>
      <w:lvlText w:val="o"/>
      <w:lvlJc w:val="left"/>
      <w:pPr>
        <w:ind w:left="8828" w:hanging="360"/>
      </w:pPr>
      <w:rPr>
        <w:rFonts w:ascii="Courier New" w:hAnsi="Courier New" w:cs="Courier New" w:hint="default"/>
      </w:rPr>
    </w:lvl>
    <w:lvl w:ilvl="2" w:tplc="08090005" w:tentative="1">
      <w:start w:val="1"/>
      <w:numFmt w:val="bullet"/>
      <w:lvlText w:val=""/>
      <w:lvlJc w:val="left"/>
      <w:pPr>
        <w:ind w:left="9548" w:hanging="360"/>
      </w:pPr>
      <w:rPr>
        <w:rFonts w:ascii="Wingdings" w:hAnsi="Wingdings" w:hint="default"/>
      </w:rPr>
    </w:lvl>
    <w:lvl w:ilvl="3" w:tplc="08090001" w:tentative="1">
      <w:start w:val="1"/>
      <w:numFmt w:val="bullet"/>
      <w:lvlText w:val=""/>
      <w:lvlJc w:val="left"/>
      <w:pPr>
        <w:ind w:left="10268" w:hanging="360"/>
      </w:pPr>
      <w:rPr>
        <w:rFonts w:ascii="Symbol" w:hAnsi="Symbol" w:hint="default"/>
      </w:rPr>
    </w:lvl>
    <w:lvl w:ilvl="4" w:tplc="08090003" w:tentative="1">
      <w:start w:val="1"/>
      <w:numFmt w:val="bullet"/>
      <w:lvlText w:val="o"/>
      <w:lvlJc w:val="left"/>
      <w:pPr>
        <w:ind w:left="10988" w:hanging="360"/>
      </w:pPr>
      <w:rPr>
        <w:rFonts w:ascii="Courier New" w:hAnsi="Courier New" w:cs="Courier New" w:hint="default"/>
      </w:rPr>
    </w:lvl>
    <w:lvl w:ilvl="5" w:tplc="08090005" w:tentative="1">
      <w:start w:val="1"/>
      <w:numFmt w:val="bullet"/>
      <w:lvlText w:val=""/>
      <w:lvlJc w:val="left"/>
      <w:pPr>
        <w:ind w:left="11708" w:hanging="360"/>
      </w:pPr>
      <w:rPr>
        <w:rFonts w:ascii="Wingdings" w:hAnsi="Wingdings" w:hint="default"/>
      </w:rPr>
    </w:lvl>
    <w:lvl w:ilvl="6" w:tplc="08090001" w:tentative="1">
      <w:start w:val="1"/>
      <w:numFmt w:val="bullet"/>
      <w:lvlText w:val=""/>
      <w:lvlJc w:val="left"/>
      <w:pPr>
        <w:ind w:left="12428" w:hanging="360"/>
      </w:pPr>
      <w:rPr>
        <w:rFonts w:ascii="Symbol" w:hAnsi="Symbol" w:hint="default"/>
      </w:rPr>
    </w:lvl>
    <w:lvl w:ilvl="7" w:tplc="08090003" w:tentative="1">
      <w:start w:val="1"/>
      <w:numFmt w:val="bullet"/>
      <w:lvlText w:val="o"/>
      <w:lvlJc w:val="left"/>
      <w:pPr>
        <w:ind w:left="13148" w:hanging="360"/>
      </w:pPr>
      <w:rPr>
        <w:rFonts w:ascii="Courier New" w:hAnsi="Courier New" w:cs="Courier New" w:hint="default"/>
      </w:rPr>
    </w:lvl>
    <w:lvl w:ilvl="8" w:tplc="08090005" w:tentative="1">
      <w:start w:val="1"/>
      <w:numFmt w:val="bullet"/>
      <w:lvlText w:val=""/>
      <w:lvlJc w:val="left"/>
      <w:pPr>
        <w:ind w:left="13868" w:hanging="360"/>
      </w:pPr>
      <w:rPr>
        <w:rFonts w:ascii="Wingdings" w:hAnsi="Wingdings" w:hint="default"/>
      </w:rPr>
    </w:lvl>
  </w:abstractNum>
  <w:abstractNum w:abstractNumId="8" w15:restartNumberingAfterBreak="0">
    <w:nsid w:val="0E0878F6"/>
    <w:multiLevelType w:val="hybridMultilevel"/>
    <w:tmpl w:val="E398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35171"/>
    <w:multiLevelType w:val="multilevel"/>
    <w:tmpl w:val="B2CE1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F2181"/>
    <w:multiLevelType w:val="hybridMultilevel"/>
    <w:tmpl w:val="19E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A85"/>
    <w:multiLevelType w:val="hybridMultilevel"/>
    <w:tmpl w:val="6B0AD018"/>
    <w:lvl w:ilvl="0" w:tplc="85A22E4C">
      <w:start w:val="1"/>
      <w:numFmt w:val="decimal"/>
      <w:lvlText w:val="%1."/>
      <w:lvlJc w:val="left"/>
      <w:pPr>
        <w:ind w:left="720" w:hanging="360"/>
      </w:pPr>
      <w:rPr>
        <w:rFonts w:ascii="Calibri" w:eastAsia="Times New Roman" w:hAnsi="Calibri" w:cs="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D61C1"/>
    <w:multiLevelType w:val="hybridMultilevel"/>
    <w:tmpl w:val="CF5697C0"/>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923B4"/>
    <w:multiLevelType w:val="multilevel"/>
    <w:tmpl w:val="E7A2C3C4"/>
    <w:lvl w:ilvl="0">
      <w:start w:val="1"/>
      <w:numFmt w:val="decimal"/>
      <w:pStyle w:val="Heading1"/>
      <w:lvlText w:val="%1."/>
      <w:lvlJc w:val="left"/>
      <w:pPr>
        <w:ind w:left="720" w:hanging="360"/>
      </w:pPr>
      <w:rPr>
        <w:rFonts w:hint="default"/>
        <w:i w:val="0"/>
        <w:color w:val="2E74B5" w:themeColor="accent1" w:themeShade="BF"/>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5B2837"/>
    <w:multiLevelType w:val="hybridMultilevel"/>
    <w:tmpl w:val="F5E6FBF4"/>
    <w:lvl w:ilvl="0" w:tplc="64E2AE5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FE18BC"/>
    <w:multiLevelType w:val="hybridMultilevel"/>
    <w:tmpl w:val="43EAF836"/>
    <w:lvl w:ilvl="0" w:tplc="0C64C7CC">
      <w:start w:val="1"/>
      <w:numFmt w:val="bullet"/>
      <w:lvlText w:val="-"/>
      <w:lvlJc w:val="left"/>
      <w:pPr>
        <w:ind w:left="1170" w:hanging="360"/>
      </w:pPr>
      <w:rPr>
        <w:rFonts w:ascii="Calibri" w:hAnsi="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219057CA"/>
    <w:multiLevelType w:val="multilevel"/>
    <w:tmpl w:val="437A0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2EC5FF5"/>
    <w:multiLevelType w:val="hybridMultilevel"/>
    <w:tmpl w:val="F6C6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309AA"/>
    <w:multiLevelType w:val="hybridMultilevel"/>
    <w:tmpl w:val="47563192"/>
    <w:lvl w:ilvl="0" w:tplc="64E2AE5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B7142B1"/>
    <w:multiLevelType w:val="hybridMultilevel"/>
    <w:tmpl w:val="A4AE1B42"/>
    <w:lvl w:ilvl="0" w:tplc="815040B4">
      <w:start w:val="2018"/>
      <w:numFmt w:val="bullet"/>
      <w:lvlText w:val=""/>
      <w:lvlJc w:val="left"/>
      <w:pPr>
        <w:ind w:left="720" w:hanging="360"/>
      </w:pPr>
      <w:rPr>
        <w:rFonts w:ascii="Wingdings" w:eastAsia="Times New Roman" w:hAnsi="Wingdings" w:cs="Franklin Gothic Book"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B9E1159"/>
    <w:multiLevelType w:val="hybridMultilevel"/>
    <w:tmpl w:val="62DCFC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BC261CE"/>
    <w:multiLevelType w:val="hybridMultilevel"/>
    <w:tmpl w:val="E60E4966"/>
    <w:lvl w:ilvl="0" w:tplc="EE96B66A">
      <w:start w:val="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A0DCF"/>
    <w:multiLevelType w:val="hybridMultilevel"/>
    <w:tmpl w:val="E1AC1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602F66"/>
    <w:multiLevelType w:val="hybridMultilevel"/>
    <w:tmpl w:val="51EC3AC8"/>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2396A"/>
    <w:multiLevelType w:val="hybridMultilevel"/>
    <w:tmpl w:val="672A2B6A"/>
    <w:lvl w:ilvl="0" w:tplc="F698DCCA">
      <w:start w:val="1"/>
      <w:numFmt w:val="decimal"/>
      <w:lvlText w:val="%1."/>
      <w:lvlJc w:val="left"/>
      <w:pPr>
        <w:ind w:left="720" w:hanging="360"/>
      </w:pPr>
      <w:rPr>
        <w:rFonts w:ascii="Calibri" w:eastAsia="Arial"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5D4350"/>
    <w:multiLevelType w:val="multilevel"/>
    <w:tmpl w:val="0BD2C91C"/>
    <w:lvl w:ilvl="0">
      <w:start w:val="1"/>
      <w:numFmt w:val="decimal"/>
      <w:lvlText w:val="%1."/>
      <w:lvlJc w:val="left"/>
      <w:pPr>
        <w:ind w:left="720" w:hanging="360"/>
      </w:pPr>
      <w:rPr>
        <w:rFonts w:ascii="Calibri" w:eastAsia="Times New Roman" w:hAnsi="Calibri" w:cs="Franklin Gothic Book"/>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4E5007"/>
    <w:multiLevelType w:val="hybridMultilevel"/>
    <w:tmpl w:val="C84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A527C"/>
    <w:multiLevelType w:val="hybridMultilevel"/>
    <w:tmpl w:val="3524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B31E8"/>
    <w:multiLevelType w:val="hybridMultilevel"/>
    <w:tmpl w:val="969A0C40"/>
    <w:lvl w:ilvl="0" w:tplc="7A184DA4">
      <w:start w:val="1"/>
      <w:numFmt w:val="decimal"/>
      <w:lvlText w:val="%1."/>
      <w:lvlJc w:val="left"/>
      <w:pPr>
        <w:ind w:left="360" w:hanging="360"/>
      </w:pPr>
    </w:lvl>
    <w:lvl w:ilvl="1" w:tplc="E5F69D60">
      <w:start w:val="1"/>
      <w:numFmt w:val="lowerLetter"/>
      <w:lvlText w:val="%2."/>
      <w:lvlJc w:val="left"/>
      <w:pPr>
        <w:ind w:left="1080" w:hanging="360"/>
      </w:pPr>
    </w:lvl>
    <w:lvl w:ilvl="2" w:tplc="166EC676">
      <w:start w:val="1"/>
      <w:numFmt w:val="lowerRoman"/>
      <w:lvlText w:val="%3."/>
      <w:lvlJc w:val="right"/>
      <w:pPr>
        <w:ind w:left="1800" w:hanging="180"/>
      </w:pPr>
    </w:lvl>
    <w:lvl w:ilvl="3" w:tplc="401E1026">
      <w:start w:val="1"/>
      <w:numFmt w:val="decimal"/>
      <w:lvlText w:val="%4."/>
      <w:lvlJc w:val="left"/>
      <w:pPr>
        <w:ind w:left="2520" w:hanging="360"/>
      </w:pPr>
    </w:lvl>
    <w:lvl w:ilvl="4" w:tplc="FAC2992C">
      <w:start w:val="1"/>
      <w:numFmt w:val="lowerLetter"/>
      <w:lvlText w:val="%5."/>
      <w:lvlJc w:val="left"/>
      <w:pPr>
        <w:ind w:left="3240" w:hanging="360"/>
      </w:pPr>
    </w:lvl>
    <w:lvl w:ilvl="5" w:tplc="A9E6685E">
      <w:start w:val="1"/>
      <w:numFmt w:val="lowerRoman"/>
      <w:lvlText w:val="%6."/>
      <w:lvlJc w:val="right"/>
      <w:pPr>
        <w:ind w:left="3960" w:hanging="180"/>
      </w:pPr>
    </w:lvl>
    <w:lvl w:ilvl="6" w:tplc="7526C228">
      <w:start w:val="1"/>
      <w:numFmt w:val="decimal"/>
      <w:lvlText w:val="%7."/>
      <w:lvlJc w:val="left"/>
      <w:pPr>
        <w:ind w:left="4680" w:hanging="360"/>
      </w:pPr>
    </w:lvl>
    <w:lvl w:ilvl="7" w:tplc="EEB2E106">
      <w:start w:val="1"/>
      <w:numFmt w:val="lowerLetter"/>
      <w:lvlText w:val="%8."/>
      <w:lvlJc w:val="left"/>
      <w:pPr>
        <w:ind w:left="5400" w:hanging="360"/>
      </w:pPr>
    </w:lvl>
    <w:lvl w:ilvl="8" w:tplc="1D42ACA8">
      <w:start w:val="1"/>
      <w:numFmt w:val="lowerRoman"/>
      <w:lvlText w:val="%9."/>
      <w:lvlJc w:val="right"/>
      <w:pPr>
        <w:ind w:left="6120" w:hanging="180"/>
      </w:pPr>
    </w:lvl>
  </w:abstractNum>
  <w:abstractNum w:abstractNumId="29" w15:restartNumberingAfterBreak="0">
    <w:nsid w:val="410511B2"/>
    <w:multiLevelType w:val="hybridMultilevel"/>
    <w:tmpl w:val="21947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0F18EA"/>
    <w:multiLevelType w:val="hybridMultilevel"/>
    <w:tmpl w:val="8AA07DEA"/>
    <w:lvl w:ilvl="0" w:tplc="3D94B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B83D32"/>
    <w:multiLevelType w:val="hybridMultilevel"/>
    <w:tmpl w:val="58AAE3D8"/>
    <w:lvl w:ilvl="0" w:tplc="423411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A3D73"/>
    <w:multiLevelType w:val="hybridMultilevel"/>
    <w:tmpl w:val="3ED6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2A5E8B"/>
    <w:multiLevelType w:val="hybridMultilevel"/>
    <w:tmpl w:val="17D240D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EF73D4"/>
    <w:multiLevelType w:val="multilevel"/>
    <w:tmpl w:val="6BE4664C"/>
    <w:lvl w:ilvl="0">
      <w:start w:val="1"/>
      <w:numFmt w:val="decimal"/>
      <w:lvlText w:val="%1."/>
      <w:lvlJc w:val="left"/>
      <w:pPr>
        <w:ind w:left="360" w:hanging="360"/>
      </w:pPr>
      <w:rPr>
        <w:rFonts w:hint="default"/>
        <w:color w:val="auto"/>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4BDA21DB"/>
    <w:multiLevelType w:val="hybridMultilevel"/>
    <w:tmpl w:val="10C84E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EE1B24"/>
    <w:multiLevelType w:val="hybridMultilevel"/>
    <w:tmpl w:val="DB18A3E0"/>
    <w:lvl w:ilvl="0" w:tplc="350C9100">
      <w:start w:val="1"/>
      <w:numFmt w:val="decimal"/>
      <w:lvlText w:val="%1)"/>
      <w:lvlJc w:val="left"/>
      <w:pPr>
        <w:ind w:left="720" w:hanging="360"/>
      </w:pPr>
    </w:lvl>
    <w:lvl w:ilvl="1" w:tplc="4628EFCE">
      <w:start w:val="1"/>
      <w:numFmt w:val="lowerLetter"/>
      <w:lvlText w:val="%2."/>
      <w:lvlJc w:val="left"/>
      <w:pPr>
        <w:ind w:left="1440" w:hanging="360"/>
      </w:pPr>
    </w:lvl>
    <w:lvl w:ilvl="2" w:tplc="46769E20">
      <w:start w:val="1"/>
      <w:numFmt w:val="lowerRoman"/>
      <w:lvlText w:val="%3."/>
      <w:lvlJc w:val="right"/>
      <w:pPr>
        <w:ind w:left="2160" w:hanging="180"/>
      </w:pPr>
    </w:lvl>
    <w:lvl w:ilvl="3" w:tplc="BC80075A">
      <w:start w:val="1"/>
      <w:numFmt w:val="decimal"/>
      <w:lvlText w:val="%4."/>
      <w:lvlJc w:val="left"/>
      <w:pPr>
        <w:ind w:left="2880" w:hanging="360"/>
      </w:pPr>
    </w:lvl>
    <w:lvl w:ilvl="4" w:tplc="8B5EFE52">
      <w:start w:val="1"/>
      <w:numFmt w:val="lowerLetter"/>
      <w:lvlText w:val="%5."/>
      <w:lvlJc w:val="left"/>
      <w:pPr>
        <w:ind w:left="3600" w:hanging="360"/>
      </w:pPr>
    </w:lvl>
    <w:lvl w:ilvl="5" w:tplc="5A10704C">
      <w:start w:val="1"/>
      <w:numFmt w:val="lowerRoman"/>
      <w:lvlText w:val="%6."/>
      <w:lvlJc w:val="right"/>
      <w:pPr>
        <w:ind w:left="4320" w:hanging="180"/>
      </w:pPr>
    </w:lvl>
    <w:lvl w:ilvl="6" w:tplc="A8AAFAB4">
      <w:start w:val="1"/>
      <w:numFmt w:val="decimal"/>
      <w:lvlText w:val="%7."/>
      <w:lvlJc w:val="left"/>
      <w:pPr>
        <w:ind w:left="5040" w:hanging="360"/>
      </w:pPr>
    </w:lvl>
    <w:lvl w:ilvl="7" w:tplc="7392125C">
      <w:start w:val="1"/>
      <w:numFmt w:val="lowerLetter"/>
      <w:lvlText w:val="%8."/>
      <w:lvlJc w:val="left"/>
      <w:pPr>
        <w:ind w:left="5760" w:hanging="360"/>
      </w:pPr>
    </w:lvl>
    <w:lvl w:ilvl="8" w:tplc="A2CC14A2">
      <w:start w:val="1"/>
      <w:numFmt w:val="lowerRoman"/>
      <w:lvlText w:val="%9."/>
      <w:lvlJc w:val="right"/>
      <w:pPr>
        <w:ind w:left="6480" w:hanging="180"/>
      </w:pPr>
    </w:lvl>
  </w:abstractNum>
  <w:abstractNum w:abstractNumId="37" w15:restartNumberingAfterBreak="0">
    <w:nsid w:val="542548BA"/>
    <w:multiLevelType w:val="hybridMultilevel"/>
    <w:tmpl w:val="973ED3A2"/>
    <w:lvl w:ilvl="0" w:tplc="965CB8FC">
      <w:start w:val="1"/>
      <w:numFmt w:val="bullet"/>
      <w:lvlText w:val=""/>
      <w:lvlJc w:val="left"/>
      <w:pPr>
        <w:ind w:left="720" w:hanging="360"/>
      </w:pPr>
      <w:rPr>
        <w:rFonts w:ascii="Symbol" w:hAnsi="Symbol" w:hint="default"/>
      </w:rPr>
    </w:lvl>
    <w:lvl w:ilvl="1" w:tplc="2BC6AA14">
      <w:start w:val="1"/>
      <w:numFmt w:val="bullet"/>
      <w:lvlText w:val="o"/>
      <w:lvlJc w:val="left"/>
      <w:pPr>
        <w:ind w:left="1440" w:hanging="360"/>
      </w:pPr>
      <w:rPr>
        <w:rFonts w:ascii="Courier New" w:hAnsi="Courier New" w:hint="default"/>
      </w:rPr>
    </w:lvl>
    <w:lvl w:ilvl="2" w:tplc="2F90EE3C">
      <w:start w:val="1"/>
      <w:numFmt w:val="bullet"/>
      <w:lvlText w:val=""/>
      <w:lvlJc w:val="left"/>
      <w:pPr>
        <w:ind w:left="2160" w:hanging="360"/>
      </w:pPr>
      <w:rPr>
        <w:rFonts w:ascii="Wingdings" w:hAnsi="Wingdings" w:hint="default"/>
      </w:rPr>
    </w:lvl>
    <w:lvl w:ilvl="3" w:tplc="F88837C0">
      <w:start w:val="1"/>
      <w:numFmt w:val="bullet"/>
      <w:lvlText w:val=""/>
      <w:lvlJc w:val="left"/>
      <w:pPr>
        <w:ind w:left="2880" w:hanging="360"/>
      </w:pPr>
      <w:rPr>
        <w:rFonts w:ascii="Symbol" w:hAnsi="Symbol" w:hint="default"/>
      </w:rPr>
    </w:lvl>
    <w:lvl w:ilvl="4" w:tplc="45ECDAB0">
      <w:start w:val="1"/>
      <w:numFmt w:val="bullet"/>
      <w:lvlText w:val="o"/>
      <w:lvlJc w:val="left"/>
      <w:pPr>
        <w:ind w:left="3600" w:hanging="360"/>
      </w:pPr>
      <w:rPr>
        <w:rFonts w:ascii="Courier New" w:hAnsi="Courier New" w:hint="default"/>
      </w:rPr>
    </w:lvl>
    <w:lvl w:ilvl="5" w:tplc="42FE9B5E">
      <w:start w:val="1"/>
      <w:numFmt w:val="bullet"/>
      <w:lvlText w:val=""/>
      <w:lvlJc w:val="left"/>
      <w:pPr>
        <w:ind w:left="4320" w:hanging="360"/>
      </w:pPr>
      <w:rPr>
        <w:rFonts w:ascii="Wingdings" w:hAnsi="Wingdings" w:hint="default"/>
      </w:rPr>
    </w:lvl>
    <w:lvl w:ilvl="6" w:tplc="1624BA3C">
      <w:start w:val="1"/>
      <w:numFmt w:val="bullet"/>
      <w:lvlText w:val=""/>
      <w:lvlJc w:val="left"/>
      <w:pPr>
        <w:ind w:left="5040" w:hanging="360"/>
      </w:pPr>
      <w:rPr>
        <w:rFonts w:ascii="Symbol" w:hAnsi="Symbol" w:hint="default"/>
      </w:rPr>
    </w:lvl>
    <w:lvl w:ilvl="7" w:tplc="062E6DAE">
      <w:start w:val="1"/>
      <w:numFmt w:val="bullet"/>
      <w:lvlText w:val="o"/>
      <w:lvlJc w:val="left"/>
      <w:pPr>
        <w:ind w:left="5760" w:hanging="360"/>
      </w:pPr>
      <w:rPr>
        <w:rFonts w:ascii="Courier New" w:hAnsi="Courier New" w:hint="default"/>
      </w:rPr>
    </w:lvl>
    <w:lvl w:ilvl="8" w:tplc="28D0276C">
      <w:start w:val="1"/>
      <w:numFmt w:val="bullet"/>
      <w:lvlText w:val=""/>
      <w:lvlJc w:val="left"/>
      <w:pPr>
        <w:ind w:left="6480" w:hanging="360"/>
      </w:pPr>
      <w:rPr>
        <w:rFonts w:ascii="Wingdings" w:hAnsi="Wingdings" w:hint="default"/>
      </w:rPr>
    </w:lvl>
  </w:abstractNum>
  <w:abstractNum w:abstractNumId="38" w15:restartNumberingAfterBreak="0">
    <w:nsid w:val="54B141B6"/>
    <w:multiLevelType w:val="hybridMultilevel"/>
    <w:tmpl w:val="47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174C6"/>
    <w:multiLevelType w:val="hybridMultilevel"/>
    <w:tmpl w:val="F26E0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06DA6"/>
    <w:multiLevelType w:val="hybridMultilevel"/>
    <w:tmpl w:val="9D4CE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1B26C7"/>
    <w:multiLevelType w:val="hybridMultilevel"/>
    <w:tmpl w:val="B78E5B84"/>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63DDF"/>
    <w:multiLevelType w:val="hybridMultilevel"/>
    <w:tmpl w:val="AFE6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A45479"/>
    <w:multiLevelType w:val="hybridMultilevel"/>
    <w:tmpl w:val="D508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9817CF"/>
    <w:multiLevelType w:val="hybridMultilevel"/>
    <w:tmpl w:val="119858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C13C0D"/>
    <w:multiLevelType w:val="hybridMultilevel"/>
    <w:tmpl w:val="63D45500"/>
    <w:lvl w:ilvl="0" w:tplc="34B20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8A113B"/>
    <w:multiLevelType w:val="hybridMultilevel"/>
    <w:tmpl w:val="047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D52E11"/>
    <w:multiLevelType w:val="hybridMultilevel"/>
    <w:tmpl w:val="6E341FFC"/>
    <w:lvl w:ilvl="0" w:tplc="24B20E64">
      <w:start w:val="1"/>
      <w:numFmt w:val="bullet"/>
      <w:pStyle w:val="BulletpointLevel1"/>
      <w:lvlText w:val=""/>
      <w:lvlJc w:val="left"/>
      <w:pPr>
        <w:ind w:left="360" w:hanging="360"/>
      </w:pPr>
      <w:rPr>
        <w:rFonts w:ascii="Symbol" w:hAnsi="Symbol" w:cs="Symbol" w:hint="default"/>
        <w:color w:val="7AA052"/>
        <w:sz w:val="20"/>
        <w:u w:color="3333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2526D1"/>
    <w:multiLevelType w:val="hybridMultilevel"/>
    <w:tmpl w:val="D33AE5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84435B"/>
    <w:multiLevelType w:val="hybridMultilevel"/>
    <w:tmpl w:val="40C6512A"/>
    <w:lvl w:ilvl="0" w:tplc="20E43366">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1A10DAC"/>
    <w:multiLevelType w:val="hybridMultilevel"/>
    <w:tmpl w:val="CC7E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A5E2B4C"/>
    <w:multiLevelType w:val="hybridMultilevel"/>
    <w:tmpl w:val="161C71D0"/>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F23E7"/>
    <w:multiLevelType w:val="hybridMultilevel"/>
    <w:tmpl w:val="E864D2F2"/>
    <w:lvl w:ilvl="0" w:tplc="3C281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94068"/>
    <w:multiLevelType w:val="hybridMultilevel"/>
    <w:tmpl w:val="2656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6"/>
  </w:num>
  <w:num w:numId="4">
    <w:abstractNumId w:val="13"/>
  </w:num>
  <w:num w:numId="5">
    <w:abstractNumId w:val="28"/>
  </w:num>
  <w:num w:numId="6">
    <w:abstractNumId w:val="38"/>
  </w:num>
  <w:num w:numId="7">
    <w:abstractNumId w:val="44"/>
  </w:num>
  <w:num w:numId="8">
    <w:abstractNumId w:val="35"/>
  </w:num>
  <w:num w:numId="9">
    <w:abstractNumId w:val="23"/>
  </w:num>
  <w:num w:numId="10">
    <w:abstractNumId w:val="15"/>
  </w:num>
  <w:num w:numId="11">
    <w:abstractNumId w:val="31"/>
  </w:num>
  <w:num w:numId="12">
    <w:abstractNumId w:val="12"/>
  </w:num>
  <w:num w:numId="13">
    <w:abstractNumId w:val="51"/>
  </w:num>
  <w:num w:numId="14">
    <w:abstractNumId w:val="1"/>
  </w:num>
  <w:num w:numId="15">
    <w:abstractNumId w:val="41"/>
  </w:num>
  <w:num w:numId="16">
    <w:abstractNumId w:val="4"/>
  </w:num>
  <w:num w:numId="17">
    <w:abstractNumId w:val="9"/>
  </w:num>
  <w:num w:numId="18">
    <w:abstractNumId w:val="8"/>
  </w:num>
  <w:num w:numId="19">
    <w:abstractNumId w:val="30"/>
  </w:num>
  <w:num w:numId="20">
    <w:abstractNumId w:val="32"/>
  </w:num>
  <w:num w:numId="21">
    <w:abstractNumId w:val="24"/>
  </w:num>
  <w:num w:numId="22">
    <w:abstractNumId w:val="53"/>
  </w:num>
  <w:num w:numId="23">
    <w:abstractNumId w:val="7"/>
  </w:num>
  <w:num w:numId="24">
    <w:abstractNumId w:val="27"/>
  </w:num>
  <w:num w:numId="25">
    <w:abstractNumId w:val="26"/>
  </w:num>
  <w:num w:numId="26">
    <w:abstractNumId w:val="0"/>
  </w:num>
  <w:num w:numId="27">
    <w:abstractNumId w:val="17"/>
  </w:num>
  <w:num w:numId="28">
    <w:abstractNumId w:val="18"/>
  </w:num>
  <w:num w:numId="29">
    <w:abstractNumId w:val="19"/>
  </w:num>
  <w:num w:numId="30">
    <w:abstractNumId w:val="20"/>
  </w:num>
  <w:num w:numId="31">
    <w:abstractNumId w:val="47"/>
  </w:num>
  <w:num w:numId="32">
    <w:abstractNumId w:val="45"/>
  </w:num>
  <w:num w:numId="33">
    <w:abstractNumId w:val="3"/>
  </w:num>
  <w:num w:numId="34">
    <w:abstractNumId w:val="48"/>
  </w:num>
  <w:num w:numId="35">
    <w:abstractNumId w:val="52"/>
  </w:num>
  <w:num w:numId="36">
    <w:abstractNumId w:val="14"/>
  </w:num>
  <w:num w:numId="37">
    <w:abstractNumId w:val="10"/>
  </w:num>
  <w:num w:numId="38">
    <w:abstractNumId w:val="43"/>
  </w:num>
  <w:num w:numId="39">
    <w:abstractNumId w:val="5"/>
  </w:num>
  <w:num w:numId="40">
    <w:abstractNumId w:val="22"/>
  </w:num>
  <w:num w:numId="41">
    <w:abstractNumId w:val="11"/>
  </w:num>
  <w:num w:numId="42">
    <w:abstractNumId w:val="42"/>
  </w:num>
  <w:num w:numId="43">
    <w:abstractNumId w:val="2"/>
  </w:num>
  <w:num w:numId="44">
    <w:abstractNumId w:val="39"/>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1"/>
  </w:num>
  <w:num w:numId="48">
    <w:abstractNumId w:val="46"/>
  </w:num>
  <w:num w:numId="49">
    <w:abstractNumId w:val="49"/>
  </w:num>
  <w:num w:numId="50">
    <w:abstractNumId w:val="33"/>
  </w:num>
  <w:num w:numId="51">
    <w:abstractNumId w:val="29"/>
  </w:num>
  <w:num w:numId="52">
    <w:abstractNumId w:val="16"/>
  </w:num>
  <w:num w:numId="53">
    <w:abstractNumId w:val="25"/>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E0"/>
    <w:rsid w:val="000004E0"/>
    <w:rsid w:val="00002B19"/>
    <w:rsid w:val="00003FBF"/>
    <w:rsid w:val="00007AEC"/>
    <w:rsid w:val="0001224F"/>
    <w:rsid w:val="0002080F"/>
    <w:rsid w:val="00020A92"/>
    <w:rsid w:val="00020E75"/>
    <w:rsid w:val="0002177B"/>
    <w:rsid w:val="00022B84"/>
    <w:rsid w:val="00022D29"/>
    <w:rsid w:val="0003100C"/>
    <w:rsid w:val="000322A8"/>
    <w:rsid w:val="0003660C"/>
    <w:rsid w:val="00037511"/>
    <w:rsid w:val="0004032B"/>
    <w:rsid w:val="00043A7F"/>
    <w:rsid w:val="00045A60"/>
    <w:rsid w:val="00045C4F"/>
    <w:rsid w:val="00045FDD"/>
    <w:rsid w:val="00054B7B"/>
    <w:rsid w:val="00055AFE"/>
    <w:rsid w:val="00057C96"/>
    <w:rsid w:val="0006332F"/>
    <w:rsid w:val="00066A36"/>
    <w:rsid w:val="0007003C"/>
    <w:rsid w:val="00070CBD"/>
    <w:rsid w:val="000715C0"/>
    <w:rsid w:val="00072CA3"/>
    <w:rsid w:val="000769C3"/>
    <w:rsid w:val="000820D0"/>
    <w:rsid w:val="000821ED"/>
    <w:rsid w:val="00082314"/>
    <w:rsid w:val="0008397B"/>
    <w:rsid w:val="00083D15"/>
    <w:rsid w:val="000874BB"/>
    <w:rsid w:val="00087F13"/>
    <w:rsid w:val="000926EA"/>
    <w:rsid w:val="00092EAA"/>
    <w:rsid w:val="0009339D"/>
    <w:rsid w:val="00093580"/>
    <w:rsid w:val="0009603D"/>
    <w:rsid w:val="000978B3"/>
    <w:rsid w:val="000A0A73"/>
    <w:rsid w:val="000A6F5E"/>
    <w:rsid w:val="000B052E"/>
    <w:rsid w:val="000B066D"/>
    <w:rsid w:val="000B09FC"/>
    <w:rsid w:val="000B0B6F"/>
    <w:rsid w:val="000B28C6"/>
    <w:rsid w:val="000B3860"/>
    <w:rsid w:val="000B4440"/>
    <w:rsid w:val="000C1654"/>
    <w:rsid w:val="000C2038"/>
    <w:rsid w:val="000C20F3"/>
    <w:rsid w:val="000C4D59"/>
    <w:rsid w:val="000C6A37"/>
    <w:rsid w:val="000D5EE2"/>
    <w:rsid w:val="000D6324"/>
    <w:rsid w:val="000D6D30"/>
    <w:rsid w:val="000E3E01"/>
    <w:rsid w:val="000E4FED"/>
    <w:rsid w:val="000E52F1"/>
    <w:rsid w:val="000F1041"/>
    <w:rsid w:val="000F403E"/>
    <w:rsid w:val="000F4D9E"/>
    <w:rsid w:val="001033C2"/>
    <w:rsid w:val="001051C4"/>
    <w:rsid w:val="0011312E"/>
    <w:rsid w:val="0011368E"/>
    <w:rsid w:val="00117BB1"/>
    <w:rsid w:val="001215D2"/>
    <w:rsid w:val="00124CFC"/>
    <w:rsid w:val="001250AD"/>
    <w:rsid w:val="00125A17"/>
    <w:rsid w:val="001261C1"/>
    <w:rsid w:val="00126B43"/>
    <w:rsid w:val="00132C27"/>
    <w:rsid w:val="001345AE"/>
    <w:rsid w:val="00135D20"/>
    <w:rsid w:val="00137FBC"/>
    <w:rsid w:val="0014254C"/>
    <w:rsid w:val="0014271F"/>
    <w:rsid w:val="00142EA8"/>
    <w:rsid w:val="001432FE"/>
    <w:rsid w:val="00145499"/>
    <w:rsid w:val="00147F03"/>
    <w:rsid w:val="001501EA"/>
    <w:rsid w:val="001511DF"/>
    <w:rsid w:val="00151A27"/>
    <w:rsid w:val="00152292"/>
    <w:rsid w:val="00154097"/>
    <w:rsid w:val="00161D5F"/>
    <w:rsid w:val="001639A4"/>
    <w:rsid w:val="00163F2A"/>
    <w:rsid w:val="001647EA"/>
    <w:rsid w:val="00164C46"/>
    <w:rsid w:val="001650B4"/>
    <w:rsid w:val="00166B93"/>
    <w:rsid w:val="00170201"/>
    <w:rsid w:val="00170D85"/>
    <w:rsid w:val="001713B0"/>
    <w:rsid w:val="00171FBE"/>
    <w:rsid w:val="001726FE"/>
    <w:rsid w:val="00173DB5"/>
    <w:rsid w:val="00176AF8"/>
    <w:rsid w:val="001841D9"/>
    <w:rsid w:val="001850BA"/>
    <w:rsid w:val="001850E9"/>
    <w:rsid w:val="00192A6F"/>
    <w:rsid w:val="00194E2A"/>
    <w:rsid w:val="0019630B"/>
    <w:rsid w:val="001A0C82"/>
    <w:rsid w:val="001A1F73"/>
    <w:rsid w:val="001A3A86"/>
    <w:rsid w:val="001A4181"/>
    <w:rsid w:val="001A47A1"/>
    <w:rsid w:val="001A491F"/>
    <w:rsid w:val="001A5D74"/>
    <w:rsid w:val="001B088E"/>
    <w:rsid w:val="001B265C"/>
    <w:rsid w:val="001B43D3"/>
    <w:rsid w:val="001B4EFA"/>
    <w:rsid w:val="001B706D"/>
    <w:rsid w:val="001C090A"/>
    <w:rsid w:val="001C4023"/>
    <w:rsid w:val="001C684C"/>
    <w:rsid w:val="001D284C"/>
    <w:rsid w:val="001D2CB5"/>
    <w:rsid w:val="001D4B5A"/>
    <w:rsid w:val="001D5458"/>
    <w:rsid w:val="001D706E"/>
    <w:rsid w:val="001E1C84"/>
    <w:rsid w:val="001E3073"/>
    <w:rsid w:val="001E31C6"/>
    <w:rsid w:val="001E38C1"/>
    <w:rsid w:val="001E44D3"/>
    <w:rsid w:val="001E50EB"/>
    <w:rsid w:val="001E65E8"/>
    <w:rsid w:val="001E6EF8"/>
    <w:rsid w:val="001F1DE6"/>
    <w:rsid w:val="001F3D07"/>
    <w:rsid w:val="001FA56B"/>
    <w:rsid w:val="00200295"/>
    <w:rsid w:val="00200C64"/>
    <w:rsid w:val="0020245D"/>
    <w:rsid w:val="00204E50"/>
    <w:rsid w:val="00207A46"/>
    <w:rsid w:val="00213FE4"/>
    <w:rsid w:val="00215892"/>
    <w:rsid w:val="002171D4"/>
    <w:rsid w:val="0021EF0B"/>
    <w:rsid w:val="002203A5"/>
    <w:rsid w:val="002211B5"/>
    <w:rsid w:val="002261E6"/>
    <w:rsid w:val="00226E88"/>
    <w:rsid w:val="00230EAC"/>
    <w:rsid w:val="00232027"/>
    <w:rsid w:val="002328B2"/>
    <w:rsid w:val="002363D1"/>
    <w:rsid w:val="00237FFA"/>
    <w:rsid w:val="00240FA5"/>
    <w:rsid w:val="002434C1"/>
    <w:rsid w:val="0024492B"/>
    <w:rsid w:val="00252050"/>
    <w:rsid w:val="00253140"/>
    <w:rsid w:val="00254E03"/>
    <w:rsid w:val="00255FDE"/>
    <w:rsid w:val="00256C1E"/>
    <w:rsid w:val="002573E1"/>
    <w:rsid w:val="00260E4E"/>
    <w:rsid w:val="00261682"/>
    <w:rsid w:val="002623FD"/>
    <w:rsid w:val="00262FD6"/>
    <w:rsid w:val="0026411E"/>
    <w:rsid w:val="002647CF"/>
    <w:rsid w:val="0026562B"/>
    <w:rsid w:val="00266451"/>
    <w:rsid w:val="0026709C"/>
    <w:rsid w:val="00270F15"/>
    <w:rsid w:val="00273C48"/>
    <w:rsid w:val="00274633"/>
    <w:rsid w:val="002761EA"/>
    <w:rsid w:val="0027676C"/>
    <w:rsid w:val="00276974"/>
    <w:rsid w:val="00280015"/>
    <w:rsid w:val="00280982"/>
    <w:rsid w:val="00282F96"/>
    <w:rsid w:val="00284D37"/>
    <w:rsid w:val="00284ECC"/>
    <w:rsid w:val="00286011"/>
    <w:rsid w:val="0028768C"/>
    <w:rsid w:val="00290261"/>
    <w:rsid w:val="002923E4"/>
    <w:rsid w:val="002969D6"/>
    <w:rsid w:val="00297184"/>
    <w:rsid w:val="00297200"/>
    <w:rsid w:val="002A0DEF"/>
    <w:rsid w:val="002A1620"/>
    <w:rsid w:val="002A3587"/>
    <w:rsid w:val="002A504B"/>
    <w:rsid w:val="002A7590"/>
    <w:rsid w:val="002B156E"/>
    <w:rsid w:val="002B43D4"/>
    <w:rsid w:val="002B4D93"/>
    <w:rsid w:val="002B5D3D"/>
    <w:rsid w:val="002B6D1E"/>
    <w:rsid w:val="002C0DC1"/>
    <w:rsid w:val="002C53F0"/>
    <w:rsid w:val="002C64ED"/>
    <w:rsid w:val="002C6581"/>
    <w:rsid w:val="002D08A1"/>
    <w:rsid w:val="002D0E4A"/>
    <w:rsid w:val="002D1067"/>
    <w:rsid w:val="002D2076"/>
    <w:rsid w:val="002D52E4"/>
    <w:rsid w:val="002D5C3A"/>
    <w:rsid w:val="002F0726"/>
    <w:rsid w:val="002FB9B3"/>
    <w:rsid w:val="00300724"/>
    <w:rsid w:val="00300800"/>
    <w:rsid w:val="00302A8D"/>
    <w:rsid w:val="003047F4"/>
    <w:rsid w:val="00304C3A"/>
    <w:rsid w:val="0030770E"/>
    <w:rsid w:val="00310420"/>
    <w:rsid w:val="00310CFF"/>
    <w:rsid w:val="00313CF3"/>
    <w:rsid w:val="00317E7E"/>
    <w:rsid w:val="00321213"/>
    <w:rsid w:val="003213A2"/>
    <w:rsid w:val="0032267D"/>
    <w:rsid w:val="00325707"/>
    <w:rsid w:val="00335D0A"/>
    <w:rsid w:val="003365F1"/>
    <w:rsid w:val="0033712E"/>
    <w:rsid w:val="00344E92"/>
    <w:rsid w:val="003469FB"/>
    <w:rsid w:val="003514A3"/>
    <w:rsid w:val="003522A6"/>
    <w:rsid w:val="00354CFC"/>
    <w:rsid w:val="00355414"/>
    <w:rsid w:val="00356883"/>
    <w:rsid w:val="00356EF9"/>
    <w:rsid w:val="00360100"/>
    <w:rsid w:val="003638F0"/>
    <w:rsid w:val="0036618A"/>
    <w:rsid w:val="00380C68"/>
    <w:rsid w:val="003855E8"/>
    <w:rsid w:val="0038569C"/>
    <w:rsid w:val="0038635C"/>
    <w:rsid w:val="003876B5"/>
    <w:rsid w:val="00392952"/>
    <w:rsid w:val="0039734C"/>
    <w:rsid w:val="003A37CD"/>
    <w:rsid w:val="003A4634"/>
    <w:rsid w:val="003A500B"/>
    <w:rsid w:val="003A5F04"/>
    <w:rsid w:val="003A782F"/>
    <w:rsid w:val="003B0E26"/>
    <w:rsid w:val="003B25C5"/>
    <w:rsid w:val="003B511E"/>
    <w:rsid w:val="003C19D6"/>
    <w:rsid w:val="003C3EE9"/>
    <w:rsid w:val="003C5D74"/>
    <w:rsid w:val="003C7996"/>
    <w:rsid w:val="003C7E68"/>
    <w:rsid w:val="003D1AA5"/>
    <w:rsid w:val="003D395A"/>
    <w:rsid w:val="003E3ED0"/>
    <w:rsid w:val="003E7AF1"/>
    <w:rsid w:val="003F139C"/>
    <w:rsid w:val="003F7C26"/>
    <w:rsid w:val="0040061A"/>
    <w:rsid w:val="00402724"/>
    <w:rsid w:val="00402B0B"/>
    <w:rsid w:val="0041227D"/>
    <w:rsid w:val="00412D06"/>
    <w:rsid w:val="0042180B"/>
    <w:rsid w:val="00426559"/>
    <w:rsid w:val="004265A7"/>
    <w:rsid w:val="00427171"/>
    <w:rsid w:val="00430A5E"/>
    <w:rsid w:val="004310A9"/>
    <w:rsid w:val="004313E1"/>
    <w:rsid w:val="0043634A"/>
    <w:rsid w:val="0044258A"/>
    <w:rsid w:val="00446F28"/>
    <w:rsid w:val="00447C55"/>
    <w:rsid w:val="00451F12"/>
    <w:rsid w:val="00453E9C"/>
    <w:rsid w:val="00455E85"/>
    <w:rsid w:val="004604AF"/>
    <w:rsid w:val="00466CBF"/>
    <w:rsid w:val="004705EC"/>
    <w:rsid w:val="00472AB6"/>
    <w:rsid w:val="00475AE2"/>
    <w:rsid w:val="00475EBC"/>
    <w:rsid w:val="00476EAA"/>
    <w:rsid w:val="00477B08"/>
    <w:rsid w:val="00480689"/>
    <w:rsid w:val="00480FAD"/>
    <w:rsid w:val="004813B7"/>
    <w:rsid w:val="004860C7"/>
    <w:rsid w:val="004875B1"/>
    <w:rsid w:val="00490385"/>
    <w:rsid w:val="004927EF"/>
    <w:rsid w:val="00493E01"/>
    <w:rsid w:val="0049687E"/>
    <w:rsid w:val="0049732E"/>
    <w:rsid w:val="004A3AC4"/>
    <w:rsid w:val="004A418D"/>
    <w:rsid w:val="004A5290"/>
    <w:rsid w:val="004A6227"/>
    <w:rsid w:val="004B0477"/>
    <w:rsid w:val="004B0D03"/>
    <w:rsid w:val="004B3B94"/>
    <w:rsid w:val="004B4D80"/>
    <w:rsid w:val="004B4F91"/>
    <w:rsid w:val="004B6957"/>
    <w:rsid w:val="004B6C6C"/>
    <w:rsid w:val="004B72FC"/>
    <w:rsid w:val="004B743C"/>
    <w:rsid w:val="004C2AE0"/>
    <w:rsid w:val="004C3848"/>
    <w:rsid w:val="004C49B8"/>
    <w:rsid w:val="004C777A"/>
    <w:rsid w:val="004D0280"/>
    <w:rsid w:val="004D0FA3"/>
    <w:rsid w:val="004D3334"/>
    <w:rsid w:val="004D37D7"/>
    <w:rsid w:val="004D487C"/>
    <w:rsid w:val="004D68B1"/>
    <w:rsid w:val="004D7A04"/>
    <w:rsid w:val="004E3E37"/>
    <w:rsid w:val="004E3FF6"/>
    <w:rsid w:val="004E59BF"/>
    <w:rsid w:val="004E66BF"/>
    <w:rsid w:val="004E720A"/>
    <w:rsid w:val="004E7F8E"/>
    <w:rsid w:val="004F0710"/>
    <w:rsid w:val="004F0C4D"/>
    <w:rsid w:val="004F0FA7"/>
    <w:rsid w:val="004F74F2"/>
    <w:rsid w:val="00502D04"/>
    <w:rsid w:val="005032B8"/>
    <w:rsid w:val="00504149"/>
    <w:rsid w:val="00505C3D"/>
    <w:rsid w:val="005065D0"/>
    <w:rsid w:val="00510E3B"/>
    <w:rsid w:val="00511372"/>
    <w:rsid w:val="0051376B"/>
    <w:rsid w:val="00514834"/>
    <w:rsid w:val="00514C8D"/>
    <w:rsid w:val="00522B7B"/>
    <w:rsid w:val="00531462"/>
    <w:rsid w:val="005417F0"/>
    <w:rsid w:val="00541D89"/>
    <w:rsid w:val="00544913"/>
    <w:rsid w:val="00545ABD"/>
    <w:rsid w:val="0054626F"/>
    <w:rsid w:val="005466D2"/>
    <w:rsid w:val="005473C0"/>
    <w:rsid w:val="00551AE1"/>
    <w:rsid w:val="00553CA6"/>
    <w:rsid w:val="00556845"/>
    <w:rsid w:val="00556AEF"/>
    <w:rsid w:val="005574C3"/>
    <w:rsid w:val="00562455"/>
    <w:rsid w:val="00563500"/>
    <w:rsid w:val="00563947"/>
    <w:rsid w:val="00563EC4"/>
    <w:rsid w:val="00570F59"/>
    <w:rsid w:val="005733CE"/>
    <w:rsid w:val="00573EFA"/>
    <w:rsid w:val="005751BC"/>
    <w:rsid w:val="005757FC"/>
    <w:rsid w:val="00580600"/>
    <w:rsid w:val="005818CA"/>
    <w:rsid w:val="00582B31"/>
    <w:rsid w:val="00590A99"/>
    <w:rsid w:val="005948D6"/>
    <w:rsid w:val="0059494E"/>
    <w:rsid w:val="00595429"/>
    <w:rsid w:val="005A032A"/>
    <w:rsid w:val="005B0806"/>
    <w:rsid w:val="005B762F"/>
    <w:rsid w:val="005C02E0"/>
    <w:rsid w:val="005C27B0"/>
    <w:rsid w:val="005C2CA4"/>
    <w:rsid w:val="005C30B6"/>
    <w:rsid w:val="005C657D"/>
    <w:rsid w:val="005C69C6"/>
    <w:rsid w:val="005D5785"/>
    <w:rsid w:val="005D7C7F"/>
    <w:rsid w:val="005E0799"/>
    <w:rsid w:val="005E08C5"/>
    <w:rsid w:val="005E21E2"/>
    <w:rsid w:val="005E2815"/>
    <w:rsid w:val="005E556D"/>
    <w:rsid w:val="005E6B87"/>
    <w:rsid w:val="005E6CBF"/>
    <w:rsid w:val="005F0FDD"/>
    <w:rsid w:val="005F200C"/>
    <w:rsid w:val="005F3F3D"/>
    <w:rsid w:val="005F6362"/>
    <w:rsid w:val="005F6804"/>
    <w:rsid w:val="00607976"/>
    <w:rsid w:val="00611281"/>
    <w:rsid w:val="006116AB"/>
    <w:rsid w:val="006144D7"/>
    <w:rsid w:val="00614E2B"/>
    <w:rsid w:val="00617EF7"/>
    <w:rsid w:val="00621A19"/>
    <w:rsid w:val="00622DE1"/>
    <w:rsid w:val="00623B17"/>
    <w:rsid w:val="00624802"/>
    <w:rsid w:val="0062652A"/>
    <w:rsid w:val="0062721C"/>
    <w:rsid w:val="006320D6"/>
    <w:rsid w:val="00635130"/>
    <w:rsid w:val="00636290"/>
    <w:rsid w:val="0064029B"/>
    <w:rsid w:val="00643685"/>
    <w:rsid w:val="00644EE9"/>
    <w:rsid w:val="0064716F"/>
    <w:rsid w:val="00654FFB"/>
    <w:rsid w:val="006550E2"/>
    <w:rsid w:val="0065528B"/>
    <w:rsid w:val="0065572C"/>
    <w:rsid w:val="0066421B"/>
    <w:rsid w:val="0066719E"/>
    <w:rsid w:val="00667E64"/>
    <w:rsid w:val="00667F22"/>
    <w:rsid w:val="006705B4"/>
    <w:rsid w:val="00671AA1"/>
    <w:rsid w:val="00673DDA"/>
    <w:rsid w:val="00675886"/>
    <w:rsid w:val="006842B4"/>
    <w:rsid w:val="00690569"/>
    <w:rsid w:val="006939AC"/>
    <w:rsid w:val="0069516D"/>
    <w:rsid w:val="00695A56"/>
    <w:rsid w:val="00695C0F"/>
    <w:rsid w:val="006A128E"/>
    <w:rsid w:val="006A15F4"/>
    <w:rsid w:val="006A27CE"/>
    <w:rsid w:val="006A2A00"/>
    <w:rsid w:val="006A5849"/>
    <w:rsid w:val="006C02A3"/>
    <w:rsid w:val="006C0844"/>
    <w:rsid w:val="006C2432"/>
    <w:rsid w:val="006C2A19"/>
    <w:rsid w:val="006C473A"/>
    <w:rsid w:val="006C4EEA"/>
    <w:rsid w:val="006C52D9"/>
    <w:rsid w:val="006C63F0"/>
    <w:rsid w:val="006C6416"/>
    <w:rsid w:val="006C646C"/>
    <w:rsid w:val="006D011C"/>
    <w:rsid w:val="006D2272"/>
    <w:rsid w:val="006D7BD8"/>
    <w:rsid w:val="006D7DAE"/>
    <w:rsid w:val="006E1C8F"/>
    <w:rsid w:val="006E3215"/>
    <w:rsid w:val="006E5E58"/>
    <w:rsid w:val="006F1627"/>
    <w:rsid w:val="006F1BC1"/>
    <w:rsid w:val="006F3F8E"/>
    <w:rsid w:val="006F4FF6"/>
    <w:rsid w:val="006F5830"/>
    <w:rsid w:val="006F5D07"/>
    <w:rsid w:val="006F6778"/>
    <w:rsid w:val="00700341"/>
    <w:rsid w:val="00701438"/>
    <w:rsid w:val="00702553"/>
    <w:rsid w:val="0070308C"/>
    <w:rsid w:val="00703B04"/>
    <w:rsid w:val="007114A5"/>
    <w:rsid w:val="007118D1"/>
    <w:rsid w:val="0071356E"/>
    <w:rsid w:val="00714252"/>
    <w:rsid w:val="007163E2"/>
    <w:rsid w:val="007211A1"/>
    <w:rsid w:val="0072143B"/>
    <w:rsid w:val="007247F1"/>
    <w:rsid w:val="007262D9"/>
    <w:rsid w:val="007305B4"/>
    <w:rsid w:val="00736DE1"/>
    <w:rsid w:val="007376F5"/>
    <w:rsid w:val="007431F9"/>
    <w:rsid w:val="007448A0"/>
    <w:rsid w:val="007452DB"/>
    <w:rsid w:val="00752948"/>
    <w:rsid w:val="00753817"/>
    <w:rsid w:val="0076485B"/>
    <w:rsid w:val="00770B9E"/>
    <w:rsid w:val="00771CB1"/>
    <w:rsid w:val="00777DB4"/>
    <w:rsid w:val="00777F88"/>
    <w:rsid w:val="00780F0D"/>
    <w:rsid w:val="0078217D"/>
    <w:rsid w:val="00782979"/>
    <w:rsid w:val="007868BA"/>
    <w:rsid w:val="007870C3"/>
    <w:rsid w:val="00787424"/>
    <w:rsid w:val="00787A17"/>
    <w:rsid w:val="00790F4F"/>
    <w:rsid w:val="00791F50"/>
    <w:rsid w:val="007A1A6E"/>
    <w:rsid w:val="007A2172"/>
    <w:rsid w:val="007A4162"/>
    <w:rsid w:val="007A5D63"/>
    <w:rsid w:val="007A674F"/>
    <w:rsid w:val="007A697B"/>
    <w:rsid w:val="007A7A8B"/>
    <w:rsid w:val="007A7CFF"/>
    <w:rsid w:val="007B0A6A"/>
    <w:rsid w:val="007B1E33"/>
    <w:rsid w:val="007B40B4"/>
    <w:rsid w:val="007B4800"/>
    <w:rsid w:val="007B5F84"/>
    <w:rsid w:val="007C0D8B"/>
    <w:rsid w:val="007C2DF8"/>
    <w:rsid w:val="007C385B"/>
    <w:rsid w:val="007D1081"/>
    <w:rsid w:val="007D36D9"/>
    <w:rsid w:val="007D3D39"/>
    <w:rsid w:val="007D4B16"/>
    <w:rsid w:val="007E0591"/>
    <w:rsid w:val="007E1125"/>
    <w:rsid w:val="007E2468"/>
    <w:rsid w:val="007E2C91"/>
    <w:rsid w:val="007E721A"/>
    <w:rsid w:val="007E7AE3"/>
    <w:rsid w:val="007F1EB9"/>
    <w:rsid w:val="007F48FE"/>
    <w:rsid w:val="007F6214"/>
    <w:rsid w:val="00803E08"/>
    <w:rsid w:val="0080423A"/>
    <w:rsid w:val="0081003E"/>
    <w:rsid w:val="00811DE1"/>
    <w:rsid w:val="00813B91"/>
    <w:rsid w:val="00817992"/>
    <w:rsid w:val="00820AEC"/>
    <w:rsid w:val="00822BF4"/>
    <w:rsid w:val="00824A57"/>
    <w:rsid w:val="00825206"/>
    <w:rsid w:val="00830F5D"/>
    <w:rsid w:val="00832FAC"/>
    <w:rsid w:val="0083391D"/>
    <w:rsid w:val="00850372"/>
    <w:rsid w:val="008523AC"/>
    <w:rsid w:val="00853332"/>
    <w:rsid w:val="008539A6"/>
    <w:rsid w:val="00854434"/>
    <w:rsid w:val="0085485B"/>
    <w:rsid w:val="00854FD5"/>
    <w:rsid w:val="008565D3"/>
    <w:rsid w:val="00862564"/>
    <w:rsid w:val="008625ED"/>
    <w:rsid w:val="00862F6E"/>
    <w:rsid w:val="00864A81"/>
    <w:rsid w:val="008669C4"/>
    <w:rsid w:val="008709C5"/>
    <w:rsid w:val="00872C7E"/>
    <w:rsid w:val="00873BC0"/>
    <w:rsid w:val="00877290"/>
    <w:rsid w:val="00885BEC"/>
    <w:rsid w:val="008865BA"/>
    <w:rsid w:val="008902D4"/>
    <w:rsid w:val="00892AB2"/>
    <w:rsid w:val="00894911"/>
    <w:rsid w:val="00894EC4"/>
    <w:rsid w:val="008A364F"/>
    <w:rsid w:val="008B067E"/>
    <w:rsid w:val="008B18B5"/>
    <w:rsid w:val="008B4815"/>
    <w:rsid w:val="008B4B28"/>
    <w:rsid w:val="008B7832"/>
    <w:rsid w:val="008C2CF5"/>
    <w:rsid w:val="008C43F5"/>
    <w:rsid w:val="008C6C34"/>
    <w:rsid w:val="008D548D"/>
    <w:rsid w:val="008D7BBA"/>
    <w:rsid w:val="008E2050"/>
    <w:rsid w:val="008E4C40"/>
    <w:rsid w:val="008F0230"/>
    <w:rsid w:val="008F047F"/>
    <w:rsid w:val="008F4195"/>
    <w:rsid w:val="008F5744"/>
    <w:rsid w:val="008F6EF8"/>
    <w:rsid w:val="008F6FFE"/>
    <w:rsid w:val="00902BAF"/>
    <w:rsid w:val="00902F35"/>
    <w:rsid w:val="00903832"/>
    <w:rsid w:val="00903F1B"/>
    <w:rsid w:val="00905D1F"/>
    <w:rsid w:val="00911721"/>
    <w:rsid w:val="0091180D"/>
    <w:rsid w:val="00913467"/>
    <w:rsid w:val="00913AE7"/>
    <w:rsid w:val="00915A43"/>
    <w:rsid w:val="0092275B"/>
    <w:rsid w:val="009242A5"/>
    <w:rsid w:val="00924F00"/>
    <w:rsid w:val="0092569F"/>
    <w:rsid w:val="00927070"/>
    <w:rsid w:val="00927F53"/>
    <w:rsid w:val="00933876"/>
    <w:rsid w:val="00936B9D"/>
    <w:rsid w:val="0094030A"/>
    <w:rsid w:val="0094082A"/>
    <w:rsid w:val="00941F2F"/>
    <w:rsid w:val="009420AA"/>
    <w:rsid w:val="00942A9E"/>
    <w:rsid w:val="00943186"/>
    <w:rsid w:val="00944FEA"/>
    <w:rsid w:val="00947301"/>
    <w:rsid w:val="00947EBF"/>
    <w:rsid w:val="00950057"/>
    <w:rsid w:val="009540D8"/>
    <w:rsid w:val="00957A63"/>
    <w:rsid w:val="00958C1F"/>
    <w:rsid w:val="0096165E"/>
    <w:rsid w:val="00961F03"/>
    <w:rsid w:val="00961F10"/>
    <w:rsid w:val="009623BF"/>
    <w:rsid w:val="00962E64"/>
    <w:rsid w:val="009640E5"/>
    <w:rsid w:val="00964AA9"/>
    <w:rsid w:val="00965472"/>
    <w:rsid w:val="00965A50"/>
    <w:rsid w:val="00965FB2"/>
    <w:rsid w:val="00967A65"/>
    <w:rsid w:val="00971DC0"/>
    <w:rsid w:val="00972A5F"/>
    <w:rsid w:val="00973063"/>
    <w:rsid w:val="00974885"/>
    <w:rsid w:val="00983977"/>
    <w:rsid w:val="009869CC"/>
    <w:rsid w:val="00986AD8"/>
    <w:rsid w:val="00991316"/>
    <w:rsid w:val="009929A7"/>
    <w:rsid w:val="0099551B"/>
    <w:rsid w:val="009A07B2"/>
    <w:rsid w:val="009A1A80"/>
    <w:rsid w:val="009A2377"/>
    <w:rsid w:val="009A5EE7"/>
    <w:rsid w:val="009A66ED"/>
    <w:rsid w:val="009A7158"/>
    <w:rsid w:val="009A75DD"/>
    <w:rsid w:val="009A7A90"/>
    <w:rsid w:val="009B113B"/>
    <w:rsid w:val="009B2DEA"/>
    <w:rsid w:val="009B4C78"/>
    <w:rsid w:val="009B55C7"/>
    <w:rsid w:val="009C0299"/>
    <w:rsid w:val="009C126F"/>
    <w:rsid w:val="009C3B8D"/>
    <w:rsid w:val="009C6DE8"/>
    <w:rsid w:val="009C785E"/>
    <w:rsid w:val="009D212E"/>
    <w:rsid w:val="009D3450"/>
    <w:rsid w:val="009D7BBF"/>
    <w:rsid w:val="009E0656"/>
    <w:rsid w:val="009F1F02"/>
    <w:rsid w:val="009F3769"/>
    <w:rsid w:val="009F440B"/>
    <w:rsid w:val="009F4447"/>
    <w:rsid w:val="009F4AAF"/>
    <w:rsid w:val="00A0043B"/>
    <w:rsid w:val="00A02F30"/>
    <w:rsid w:val="00A04337"/>
    <w:rsid w:val="00A04BEF"/>
    <w:rsid w:val="00A05791"/>
    <w:rsid w:val="00A0775B"/>
    <w:rsid w:val="00A11C18"/>
    <w:rsid w:val="00A155A2"/>
    <w:rsid w:val="00A200DE"/>
    <w:rsid w:val="00A2045C"/>
    <w:rsid w:val="00A2306D"/>
    <w:rsid w:val="00A24300"/>
    <w:rsid w:val="00A25907"/>
    <w:rsid w:val="00A2671D"/>
    <w:rsid w:val="00A3178C"/>
    <w:rsid w:val="00A32733"/>
    <w:rsid w:val="00A33BE1"/>
    <w:rsid w:val="00A3431E"/>
    <w:rsid w:val="00A40A94"/>
    <w:rsid w:val="00A4289F"/>
    <w:rsid w:val="00A44903"/>
    <w:rsid w:val="00A47D2E"/>
    <w:rsid w:val="00A50496"/>
    <w:rsid w:val="00A50C83"/>
    <w:rsid w:val="00A517C2"/>
    <w:rsid w:val="00A559A6"/>
    <w:rsid w:val="00A56F7E"/>
    <w:rsid w:val="00A572BB"/>
    <w:rsid w:val="00A623AB"/>
    <w:rsid w:val="00A63A77"/>
    <w:rsid w:val="00A63DC7"/>
    <w:rsid w:val="00A65F00"/>
    <w:rsid w:val="00A70CB0"/>
    <w:rsid w:val="00A722A3"/>
    <w:rsid w:val="00A72908"/>
    <w:rsid w:val="00A7583E"/>
    <w:rsid w:val="00A842AC"/>
    <w:rsid w:val="00A84E9B"/>
    <w:rsid w:val="00A85189"/>
    <w:rsid w:val="00A8672D"/>
    <w:rsid w:val="00A86D7A"/>
    <w:rsid w:val="00A91840"/>
    <w:rsid w:val="00A91FF3"/>
    <w:rsid w:val="00AA3B2C"/>
    <w:rsid w:val="00AAF597"/>
    <w:rsid w:val="00AB7E3C"/>
    <w:rsid w:val="00AC4AB4"/>
    <w:rsid w:val="00AC4AED"/>
    <w:rsid w:val="00AC5346"/>
    <w:rsid w:val="00AD01FE"/>
    <w:rsid w:val="00AD0CB1"/>
    <w:rsid w:val="00AD0EC5"/>
    <w:rsid w:val="00AD6AA2"/>
    <w:rsid w:val="00AD725C"/>
    <w:rsid w:val="00AD7747"/>
    <w:rsid w:val="00AE09AA"/>
    <w:rsid w:val="00AE24C7"/>
    <w:rsid w:val="00AE4770"/>
    <w:rsid w:val="00AE48A6"/>
    <w:rsid w:val="00AE6ED5"/>
    <w:rsid w:val="00AF4786"/>
    <w:rsid w:val="00AF604D"/>
    <w:rsid w:val="00AF6A9F"/>
    <w:rsid w:val="00AF6AF7"/>
    <w:rsid w:val="00B024B0"/>
    <w:rsid w:val="00B029B4"/>
    <w:rsid w:val="00B0411E"/>
    <w:rsid w:val="00B04F99"/>
    <w:rsid w:val="00B103A4"/>
    <w:rsid w:val="00B1064E"/>
    <w:rsid w:val="00B11A9E"/>
    <w:rsid w:val="00B12532"/>
    <w:rsid w:val="00B1336D"/>
    <w:rsid w:val="00B150EC"/>
    <w:rsid w:val="00B16DA6"/>
    <w:rsid w:val="00B22F20"/>
    <w:rsid w:val="00B232E6"/>
    <w:rsid w:val="00B24119"/>
    <w:rsid w:val="00B24A9F"/>
    <w:rsid w:val="00B2516C"/>
    <w:rsid w:val="00B2775B"/>
    <w:rsid w:val="00B30B63"/>
    <w:rsid w:val="00B3369E"/>
    <w:rsid w:val="00B34F12"/>
    <w:rsid w:val="00B35276"/>
    <w:rsid w:val="00B357BD"/>
    <w:rsid w:val="00B35BFD"/>
    <w:rsid w:val="00B369C2"/>
    <w:rsid w:val="00B42F00"/>
    <w:rsid w:val="00B4362F"/>
    <w:rsid w:val="00B4591E"/>
    <w:rsid w:val="00B4685B"/>
    <w:rsid w:val="00B470FC"/>
    <w:rsid w:val="00B5520E"/>
    <w:rsid w:val="00B560AF"/>
    <w:rsid w:val="00B61D4F"/>
    <w:rsid w:val="00B62098"/>
    <w:rsid w:val="00B62B07"/>
    <w:rsid w:val="00B677FA"/>
    <w:rsid w:val="00B67A69"/>
    <w:rsid w:val="00B67C12"/>
    <w:rsid w:val="00B77115"/>
    <w:rsid w:val="00B77520"/>
    <w:rsid w:val="00B80085"/>
    <w:rsid w:val="00B814F2"/>
    <w:rsid w:val="00B85663"/>
    <w:rsid w:val="00B86738"/>
    <w:rsid w:val="00B867F2"/>
    <w:rsid w:val="00B900CC"/>
    <w:rsid w:val="00B92573"/>
    <w:rsid w:val="00B93AD0"/>
    <w:rsid w:val="00B94404"/>
    <w:rsid w:val="00B94CFE"/>
    <w:rsid w:val="00BA006E"/>
    <w:rsid w:val="00BA14D0"/>
    <w:rsid w:val="00BA57CE"/>
    <w:rsid w:val="00BA6A61"/>
    <w:rsid w:val="00BA6E97"/>
    <w:rsid w:val="00BA7237"/>
    <w:rsid w:val="00BB094C"/>
    <w:rsid w:val="00BB0EE0"/>
    <w:rsid w:val="00BB1EED"/>
    <w:rsid w:val="00BB26A1"/>
    <w:rsid w:val="00BB32A0"/>
    <w:rsid w:val="00BB5468"/>
    <w:rsid w:val="00BC1592"/>
    <w:rsid w:val="00BC3554"/>
    <w:rsid w:val="00BC646A"/>
    <w:rsid w:val="00BD1B8E"/>
    <w:rsid w:val="00BD1E29"/>
    <w:rsid w:val="00BD2BBE"/>
    <w:rsid w:val="00BE1413"/>
    <w:rsid w:val="00BE3342"/>
    <w:rsid w:val="00BE727D"/>
    <w:rsid w:val="00BE7F72"/>
    <w:rsid w:val="00BF0B44"/>
    <w:rsid w:val="00BF2DE0"/>
    <w:rsid w:val="00C01550"/>
    <w:rsid w:val="00C03647"/>
    <w:rsid w:val="00C040DB"/>
    <w:rsid w:val="00C04C5A"/>
    <w:rsid w:val="00C05C51"/>
    <w:rsid w:val="00C160CF"/>
    <w:rsid w:val="00C171A2"/>
    <w:rsid w:val="00C2084F"/>
    <w:rsid w:val="00C216F7"/>
    <w:rsid w:val="00C23E2E"/>
    <w:rsid w:val="00C245A5"/>
    <w:rsid w:val="00C24850"/>
    <w:rsid w:val="00C24F29"/>
    <w:rsid w:val="00C26907"/>
    <w:rsid w:val="00C26AC1"/>
    <w:rsid w:val="00C27B60"/>
    <w:rsid w:val="00C27DAB"/>
    <w:rsid w:val="00C316C6"/>
    <w:rsid w:val="00C33124"/>
    <w:rsid w:val="00C372D1"/>
    <w:rsid w:val="00C41C08"/>
    <w:rsid w:val="00C45763"/>
    <w:rsid w:val="00C4AAA7"/>
    <w:rsid w:val="00C51F17"/>
    <w:rsid w:val="00C52100"/>
    <w:rsid w:val="00C553DE"/>
    <w:rsid w:val="00C563FE"/>
    <w:rsid w:val="00C56E27"/>
    <w:rsid w:val="00C57BEF"/>
    <w:rsid w:val="00C65426"/>
    <w:rsid w:val="00C660C7"/>
    <w:rsid w:val="00C72271"/>
    <w:rsid w:val="00C72AD6"/>
    <w:rsid w:val="00C75B3D"/>
    <w:rsid w:val="00C80072"/>
    <w:rsid w:val="00C801C0"/>
    <w:rsid w:val="00C80350"/>
    <w:rsid w:val="00C8171C"/>
    <w:rsid w:val="00C858C4"/>
    <w:rsid w:val="00C865B2"/>
    <w:rsid w:val="00C86975"/>
    <w:rsid w:val="00C87A1F"/>
    <w:rsid w:val="00C915FC"/>
    <w:rsid w:val="00C91AAC"/>
    <w:rsid w:val="00C930AA"/>
    <w:rsid w:val="00C93702"/>
    <w:rsid w:val="00C97767"/>
    <w:rsid w:val="00CA2F3A"/>
    <w:rsid w:val="00CA386D"/>
    <w:rsid w:val="00CA3C84"/>
    <w:rsid w:val="00CA3D96"/>
    <w:rsid w:val="00CA4D2C"/>
    <w:rsid w:val="00CA6DFE"/>
    <w:rsid w:val="00CA762B"/>
    <w:rsid w:val="00CB29DD"/>
    <w:rsid w:val="00CB2C11"/>
    <w:rsid w:val="00CB57B4"/>
    <w:rsid w:val="00CB7080"/>
    <w:rsid w:val="00CC1D65"/>
    <w:rsid w:val="00CC381E"/>
    <w:rsid w:val="00CC3CDC"/>
    <w:rsid w:val="00CC4EEF"/>
    <w:rsid w:val="00CC5550"/>
    <w:rsid w:val="00CD188B"/>
    <w:rsid w:val="00CD1F69"/>
    <w:rsid w:val="00CD32DD"/>
    <w:rsid w:val="00CD3B86"/>
    <w:rsid w:val="00CD40AC"/>
    <w:rsid w:val="00CD412F"/>
    <w:rsid w:val="00CD70CC"/>
    <w:rsid w:val="00CE1101"/>
    <w:rsid w:val="00CE1CFF"/>
    <w:rsid w:val="00CE3099"/>
    <w:rsid w:val="00CE5208"/>
    <w:rsid w:val="00CE56A0"/>
    <w:rsid w:val="00CE7CA3"/>
    <w:rsid w:val="00CF0653"/>
    <w:rsid w:val="00CF0A44"/>
    <w:rsid w:val="00CF4014"/>
    <w:rsid w:val="00CF42A7"/>
    <w:rsid w:val="00CF461E"/>
    <w:rsid w:val="00D01584"/>
    <w:rsid w:val="00D019AC"/>
    <w:rsid w:val="00D028B5"/>
    <w:rsid w:val="00D02A7E"/>
    <w:rsid w:val="00D03AB8"/>
    <w:rsid w:val="00D03E01"/>
    <w:rsid w:val="00D05A59"/>
    <w:rsid w:val="00D07296"/>
    <w:rsid w:val="00D07A6E"/>
    <w:rsid w:val="00D07F29"/>
    <w:rsid w:val="00D11D33"/>
    <w:rsid w:val="00D17C9B"/>
    <w:rsid w:val="00D21810"/>
    <w:rsid w:val="00D218FA"/>
    <w:rsid w:val="00D233E7"/>
    <w:rsid w:val="00D239FE"/>
    <w:rsid w:val="00D26703"/>
    <w:rsid w:val="00D3180C"/>
    <w:rsid w:val="00D320C6"/>
    <w:rsid w:val="00D32FCF"/>
    <w:rsid w:val="00D368BE"/>
    <w:rsid w:val="00D37D65"/>
    <w:rsid w:val="00D402C0"/>
    <w:rsid w:val="00D43078"/>
    <w:rsid w:val="00D437E7"/>
    <w:rsid w:val="00D4481D"/>
    <w:rsid w:val="00D50F26"/>
    <w:rsid w:val="00D517F4"/>
    <w:rsid w:val="00D53A28"/>
    <w:rsid w:val="00D55411"/>
    <w:rsid w:val="00D5594A"/>
    <w:rsid w:val="00D56F57"/>
    <w:rsid w:val="00D57BB4"/>
    <w:rsid w:val="00D60ED4"/>
    <w:rsid w:val="00D622BA"/>
    <w:rsid w:val="00D63FF2"/>
    <w:rsid w:val="00D71432"/>
    <w:rsid w:val="00D733FB"/>
    <w:rsid w:val="00D8086C"/>
    <w:rsid w:val="00D834F0"/>
    <w:rsid w:val="00D877B4"/>
    <w:rsid w:val="00D906A9"/>
    <w:rsid w:val="00D9144F"/>
    <w:rsid w:val="00D91E33"/>
    <w:rsid w:val="00D930B3"/>
    <w:rsid w:val="00D93104"/>
    <w:rsid w:val="00D954F1"/>
    <w:rsid w:val="00D96B72"/>
    <w:rsid w:val="00DA3F07"/>
    <w:rsid w:val="00DA4241"/>
    <w:rsid w:val="00DA45BA"/>
    <w:rsid w:val="00DB4DBB"/>
    <w:rsid w:val="00DB4FC6"/>
    <w:rsid w:val="00DB50A9"/>
    <w:rsid w:val="00DC10F9"/>
    <w:rsid w:val="00DC298E"/>
    <w:rsid w:val="00DC4F2E"/>
    <w:rsid w:val="00DC600D"/>
    <w:rsid w:val="00DC7EDF"/>
    <w:rsid w:val="00DD0C6A"/>
    <w:rsid w:val="00DD1497"/>
    <w:rsid w:val="00DD14EA"/>
    <w:rsid w:val="00DD313F"/>
    <w:rsid w:val="00DD4C2A"/>
    <w:rsid w:val="00DD51F5"/>
    <w:rsid w:val="00DD704A"/>
    <w:rsid w:val="00DE0D62"/>
    <w:rsid w:val="00DE2780"/>
    <w:rsid w:val="00DF1AAA"/>
    <w:rsid w:val="00DF350D"/>
    <w:rsid w:val="00DF39CF"/>
    <w:rsid w:val="00DF5B11"/>
    <w:rsid w:val="00DFB4A7"/>
    <w:rsid w:val="00E00CF7"/>
    <w:rsid w:val="00E01D94"/>
    <w:rsid w:val="00E08757"/>
    <w:rsid w:val="00E12787"/>
    <w:rsid w:val="00E13548"/>
    <w:rsid w:val="00E1380C"/>
    <w:rsid w:val="00E13AFC"/>
    <w:rsid w:val="00E157AC"/>
    <w:rsid w:val="00E218D6"/>
    <w:rsid w:val="00E22C6D"/>
    <w:rsid w:val="00E23335"/>
    <w:rsid w:val="00E2366C"/>
    <w:rsid w:val="00E246ED"/>
    <w:rsid w:val="00E26230"/>
    <w:rsid w:val="00E26A31"/>
    <w:rsid w:val="00E27845"/>
    <w:rsid w:val="00E30723"/>
    <w:rsid w:val="00E316C9"/>
    <w:rsid w:val="00E32F74"/>
    <w:rsid w:val="00E338E3"/>
    <w:rsid w:val="00E34B20"/>
    <w:rsid w:val="00E3600A"/>
    <w:rsid w:val="00E360C3"/>
    <w:rsid w:val="00E3635D"/>
    <w:rsid w:val="00E42EB9"/>
    <w:rsid w:val="00E44274"/>
    <w:rsid w:val="00E447F7"/>
    <w:rsid w:val="00E47DAC"/>
    <w:rsid w:val="00E5053C"/>
    <w:rsid w:val="00E53A89"/>
    <w:rsid w:val="00E60710"/>
    <w:rsid w:val="00E60896"/>
    <w:rsid w:val="00E64471"/>
    <w:rsid w:val="00E646EB"/>
    <w:rsid w:val="00E648CB"/>
    <w:rsid w:val="00E64B5B"/>
    <w:rsid w:val="00E64D7D"/>
    <w:rsid w:val="00E65CA7"/>
    <w:rsid w:val="00E67B52"/>
    <w:rsid w:val="00E74188"/>
    <w:rsid w:val="00E822CC"/>
    <w:rsid w:val="00E8448D"/>
    <w:rsid w:val="00E85993"/>
    <w:rsid w:val="00E904AC"/>
    <w:rsid w:val="00E94A27"/>
    <w:rsid w:val="00E95968"/>
    <w:rsid w:val="00E95CF0"/>
    <w:rsid w:val="00E973EE"/>
    <w:rsid w:val="00EA182D"/>
    <w:rsid w:val="00EA3252"/>
    <w:rsid w:val="00EA51FE"/>
    <w:rsid w:val="00EA5256"/>
    <w:rsid w:val="00EA6B8A"/>
    <w:rsid w:val="00EA6D65"/>
    <w:rsid w:val="00EA79F2"/>
    <w:rsid w:val="00EB0D13"/>
    <w:rsid w:val="00EB1BC9"/>
    <w:rsid w:val="00EB27D1"/>
    <w:rsid w:val="00EC20A4"/>
    <w:rsid w:val="00EC76FA"/>
    <w:rsid w:val="00ED57E0"/>
    <w:rsid w:val="00ED620E"/>
    <w:rsid w:val="00ED649F"/>
    <w:rsid w:val="00ED7C61"/>
    <w:rsid w:val="00ED7F47"/>
    <w:rsid w:val="00EE1888"/>
    <w:rsid w:val="00EE2B1A"/>
    <w:rsid w:val="00EE4C1B"/>
    <w:rsid w:val="00EE5DD3"/>
    <w:rsid w:val="00EE6FCE"/>
    <w:rsid w:val="00EF034D"/>
    <w:rsid w:val="00EF7EF6"/>
    <w:rsid w:val="00F0310D"/>
    <w:rsid w:val="00F05466"/>
    <w:rsid w:val="00F057E8"/>
    <w:rsid w:val="00F07DF6"/>
    <w:rsid w:val="00F1205B"/>
    <w:rsid w:val="00F136A1"/>
    <w:rsid w:val="00F13C08"/>
    <w:rsid w:val="00F14376"/>
    <w:rsid w:val="00F14BD3"/>
    <w:rsid w:val="00F214FE"/>
    <w:rsid w:val="00F2322F"/>
    <w:rsid w:val="00F273DB"/>
    <w:rsid w:val="00F27CE8"/>
    <w:rsid w:val="00F32CE4"/>
    <w:rsid w:val="00F330B0"/>
    <w:rsid w:val="00F34527"/>
    <w:rsid w:val="00F4099E"/>
    <w:rsid w:val="00F4157F"/>
    <w:rsid w:val="00F416A5"/>
    <w:rsid w:val="00F47C47"/>
    <w:rsid w:val="00F50559"/>
    <w:rsid w:val="00F535A5"/>
    <w:rsid w:val="00F551E4"/>
    <w:rsid w:val="00F55DD8"/>
    <w:rsid w:val="00F6455F"/>
    <w:rsid w:val="00F65ADB"/>
    <w:rsid w:val="00F675E8"/>
    <w:rsid w:val="00F7082E"/>
    <w:rsid w:val="00F70FF9"/>
    <w:rsid w:val="00F76AA6"/>
    <w:rsid w:val="00F76D09"/>
    <w:rsid w:val="00F7739A"/>
    <w:rsid w:val="00F813C5"/>
    <w:rsid w:val="00F8172A"/>
    <w:rsid w:val="00F81832"/>
    <w:rsid w:val="00F860CF"/>
    <w:rsid w:val="00F91A0A"/>
    <w:rsid w:val="00F94ACF"/>
    <w:rsid w:val="00F95808"/>
    <w:rsid w:val="00F968A3"/>
    <w:rsid w:val="00FA2112"/>
    <w:rsid w:val="00FA2C03"/>
    <w:rsid w:val="00FA3A66"/>
    <w:rsid w:val="00FA62C1"/>
    <w:rsid w:val="00FA6669"/>
    <w:rsid w:val="00FB1563"/>
    <w:rsid w:val="00FB1FBE"/>
    <w:rsid w:val="00FB2AFE"/>
    <w:rsid w:val="00FB505F"/>
    <w:rsid w:val="00FB5AA8"/>
    <w:rsid w:val="00FB6FD6"/>
    <w:rsid w:val="00FB7B79"/>
    <w:rsid w:val="00FC1C9E"/>
    <w:rsid w:val="00FC1DD1"/>
    <w:rsid w:val="00FE0C33"/>
    <w:rsid w:val="00FE15BD"/>
    <w:rsid w:val="00FE1D6A"/>
    <w:rsid w:val="00FE297A"/>
    <w:rsid w:val="00FE4162"/>
    <w:rsid w:val="00FE4E00"/>
    <w:rsid w:val="00FE5BF7"/>
    <w:rsid w:val="00FE702C"/>
    <w:rsid w:val="00FF10A3"/>
    <w:rsid w:val="00FF6585"/>
    <w:rsid w:val="01766C73"/>
    <w:rsid w:val="0188EE24"/>
    <w:rsid w:val="01C04DE2"/>
    <w:rsid w:val="02128A14"/>
    <w:rsid w:val="02287A70"/>
    <w:rsid w:val="026C5999"/>
    <w:rsid w:val="027C57B8"/>
    <w:rsid w:val="02978E4F"/>
    <w:rsid w:val="02CEBFE4"/>
    <w:rsid w:val="02FB8DD8"/>
    <w:rsid w:val="030690A8"/>
    <w:rsid w:val="0310454C"/>
    <w:rsid w:val="031B4107"/>
    <w:rsid w:val="03F4ED14"/>
    <w:rsid w:val="04E77684"/>
    <w:rsid w:val="0512F3D2"/>
    <w:rsid w:val="05188FD4"/>
    <w:rsid w:val="0537B8EE"/>
    <w:rsid w:val="054A5FA1"/>
    <w:rsid w:val="058CFB94"/>
    <w:rsid w:val="05BFAB8B"/>
    <w:rsid w:val="065FA35A"/>
    <w:rsid w:val="06C24F17"/>
    <w:rsid w:val="0701604F"/>
    <w:rsid w:val="070352E1"/>
    <w:rsid w:val="070A4225"/>
    <w:rsid w:val="0714D0C1"/>
    <w:rsid w:val="072AADBC"/>
    <w:rsid w:val="0760D740"/>
    <w:rsid w:val="0803AE17"/>
    <w:rsid w:val="08441065"/>
    <w:rsid w:val="086CA91A"/>
    <w:rsid w:val="086E85F8"/>
    <w:rsid w:val="086F2BC2"/>
    <w:rsid w:val="086F5DE8"/>
    <w:rsid w:val="088EA8E0"/>
    <w:rsid w:val="089848A7"/>
    <w:rsid w:val="08A51F75"/>
    <w:rsid w:val="08DD8F5B"/>
    <w:rsid w:val="08F82F6A"/>
    <w:rsid w:val="091ED976"/>
    <w:rsid w:val="0972C493"/>
    <w:rsid w:val="098902E7"/>
    <w:rsid w:val="09F132F4"/>
    <w:rsid w:val="0A8A010E"/>
    <w:rsid w:val="0A8A9D54"/>
    <w:rsid w:val="0AA007F0"/>
    <w:rsid w:val="0AA55D01"/>
    <w:rsid w:val="0ADF7E2C"/>
    <w:rsid w:val="0AF23780"/>
    <w:rsid w:val="0B18887A"/>
    <w:rsid w:val="0B6BB676"/>
    <w:rsid w:val="0BBC4062"/>
    <w:rsid w:val="0C5E743F"/>
    <w:rsid w:val="0C6BEA3B"/>
    <w:rsid w:val="0CB89E1B"/>
    <w:rsid w:val="0CBC82CF"/>
    <w:rsid w:val="0CD334F2"/>
    <w:rsid w:val="0D5C8DE1"/>
    <w:rsid w:val="0D9B3B8D"/>
    <w:rsid w:val="0DC89372"/>
    <w:rsid w:val="0DD0169B"/>
    <w:rsid w:val="0DDB86AB"/>
    <w:rsid w:val="0E1C7DDA"/>
    <w:rsid w:val="0E6594F5"/>
    <w:rsid w:val="0E9C6DAF"/>
    <w:rsid w:val="0F61203F"/>
    <w:rsid w:val="0F6BB008"/>
    <w:rsid w:val="0FD2D140"/>
    <w:rsid w:val="0FE06E53"/>
    <w:rsid w:val="100C6A3F"/>
    <w:rsid w:val="10452D55"/>
    <w:rsid w:val="10EA9C3F"/>
    <w:rsid w:val="10ED3AC3"/>
    <w:rsid w:val="1154E4C9"/>
    <w:rsid w:val="11569EA5"/>
    <w:rsid w:val="11B59392"/>
    <w:rsid w:val="11C41270"/>
    <w:rsid w:val="11D52099"/>
    <w:rsid w:val="11DB3F5D"/>
    <w:rsid w:val="123CD640"/>
    <w:rsid w:val="123D8BF0"/>
    <w:rsid w:val="125871E2"/>
    <w:rsid w:val="12F0B52A"/>
    <w:rsid w:val="132992C0"/>
    <w:rsid w:val="13407EA8"/>
    <w:rsid w:val="135D9FFE"/>
    <w:rsid w:val="13A57A97"/>
    <w:rsid w:val="13E00F67"/>
    <w:rsid w:val="140D9AF2"/>
    <w:rsid w:val="142BFEA8"/>
    <w:rsid w:val="147FD2A8"/>
    <w:rsid w:val="1488A195"/>
    <w:rsid w:val="1495FF93"/>
    <w:rsid w:val="14FBD3B5"/>
    <w:rsid w:val="153EBFB8"/>
    <w:rsid w:val="15C5735E"/>
    <w:rsid w:val="1621D0D9"/>
    <w:rsid w:val="16AA4F31"/>
    <w:rsid w:val="16E147BE"/>
    <w:rsid w:val="1710E9CF"/>
    <w:rsid w:val="1765D0A4"/>
    <w:rsid w:val="1771A704"/>
    <w:rsid w:val="17876792"/>
    <w:rsid w:val="17B135CA"/>
    <w:rsid w:val="17F9F0AB"/>
    <w:rsid w:val="182F989B"/>
    <w:rsid w:val="18311121"/>
    <w:rsid w:val="1886B406"/>
    <w:rsid w:val="1887A511"/>
    <w:rsid w:val="18BF7BFF"/>
    <w:rsid w:val="1924D414"/>
    <w:rsid w:val="1947C2BC"/>
    <w:rsid w:val="19600F5E"/>
    <w:rsid w:val="1987FF1A"/>
    <w:rsid w:val="19889F50"/>
    <w:rsid w:val="19CA3BF0"/>
    <w:rsid w:val="1A10A57D"/>
    <w:rsid w:val="1A3DFE5D"/>
    <w:rsid w:val="1A5B4C60"/>
    <w:rsid w:val="1A6893A6"/>
    <w:rsid w:val="1A7B099A"/>
    <w:rsid w:val="1AD20FBF"/>
    <w:rsid w:val="1ADD96CE"/>
    <w:rsid w:val="1B291C13"/>
    <w:rsid w:val="1B3F2E15"/>
    <w:rsid w:val="1B72E3B1"/>
    <w:rsid w:val="1BC53D0F"/>
    <w:rsid w:val="1BF71CC1"/>
    <w:rsid w:val="1C2C4161"/>
    <w:rsid w:val="1C31D28F"/>
    <w:rsid w:val="1C57FF71"/>
    <w:rsid w:val="1C5BD89C"/>
    <w:rsid w:val="1C974FB2"/>
    <w:rsid w:val="1CC8D9EE"/>
    <w:rsid w:val="1CC9E06E"/>
    <w:rsid w:val="1CFCDB68"/>
    <w:rsid w:val="1D835D23"/>
    <w:rsid w:val="1DBE3294"/>
    <w:rsid w:val="1DE7C5C9"/>
    <w:rsid w:val="1E23590B"/>
    <w:rsid w:val="1E876860"/>
    <w:rsid w:val="1F02D357"/>
    <w:rsid w:val="1F2FA735"/>
    <w:rsid w:val="1FAC80F4"/>
    <w:rsid w:val="1FBEA5B3"/>
    <w:rsid w:val="1FD055B3"/>
    <w:rsid w:val="1FE6E9E1"/>
    <w:rsid w:val="20254AC4"/>
    <w:rsid w:val="204ACC97"/>
    <w:rsid w:val="2060C6EE"/>
    <w:rsid w:val="20ACBBC5"/>
    <w:rsid w:val="20CF7C72"/>
    <w:rsid w:val="213F313D"/>
    <w:rsid w:val="217EAA2D"/>
    <w:rsid w:val="217FECF1"/>
    <w:rsid w:val="21EF97BA"/>
    <w:rsid w:val="226E4BCB"/>
    <w:rsid w:val="22707700"/>
    <w:rsid w:val="22B25CD7"/>
    <w:rsid w:val="22FEFA9F"/>
    <w:rsid w:val="232AE19F"/>
    <w:rsid w:val="234D1988"/>
    <w:rsid w:val="23D7A7B7"/>
    <w:rsid w:val="24213A7B"/>
    <w:rsid w:val="246A8CDD"/>
    <w:rsid w:val="24AB4EBA"/>
    <w:rsid w:val="24B2049E"/>
    <w:rsid w:val="24FB418B"/>
    <w:rsid w:val="2518944D"/>
    <w:rsid w:val="251A61A5"/>
    <w:rsid w:val="2531144C"/>
    <w:rsid w:val="2563F7CC"/>
    <w:rsid w:val="25D92DE9"/>
    <w:rsid w:val="260D5C71"/>
    <w:rsid w:val="261E7A06"/>
    <w:rsid w:val="26228535"/>
    <w:rsid w:val="2647FFFC"/>
    <w:rsid w:val="266F7160"/>
    <w:rsid w:val="26AECBC2"/>
    <w:rsid w:val="26EC5BBA"/>
    <w:rsid w:val="2707F61E"/>
    <w:rsid w:val="27423721"/>
    <w:rsid w:val="279AA12F"/>
    <w:rsid w:val="280105C3"/>
    <w:rsid w:val="280A1550"/>
    <w:rsid w:val="2837F05F"/>
    <w:rsid w:val="2844A228"/>
    <w:rsid w:val="28653CD2"/>
    <w:rsid w:val="28FAA800"/>
    <w:rsid w:val="29379CF4"/>
    <w:rsid w:val="29477A91"/>
    <w:rsid w:val="29741B19"/>
    <w:rsid w:val="2979AAED"/>
    <w:rsid w:val="2A02092A"/>
    <w:rsid w:val="2A4700E6"/>
    <w:rsid w:val="2AA0C70F"/>
    <w:rsid w:val="2ABE6F5B"/>
    <w:rsid w:val="2AC42BA7"/>
    <w:rsid w:val="2ACADAE9"/>
    <w:rsid w:val="2B19D85F"/>
    <w:rsid w:val="2BFC552B"/>
    <w:rsid w:val="2C152E11"/>
    <w:rsid w:val="2C759570"/>
    <w:rsid w:val="2CA23A01"/>
    <w:rsid w:val="2CA2D6CC"/>
    <w:rsid w:val="2CB67453"/>
    <w:rsid w:val="2CCF6598"/>
    <w:rsid w:val="2DC1A915"/>
    <w:rsid w:val="2DC47224"/>
    <w:rsid w:val="2DCFF69D"/>
    <w:rsid w:val="2DD0A6BE"/>
    <w:rsid w:val="2E470A53"/>
    <w:rsid w:val="2E4A9390"/>
    <w:rsid w:val="2E5EB025"/>
    <w:rsid w:val="2EB745DE"/>
    <w:rsid w:val="2EC8FD39"/>
    <w:rsid w:val="2F0CE83F"/>
    <w:rsid w:val="2F43D41B"/>
    <w:rsid w:val="2F83A643"/>
    <w:rsid w:val="2FB8C584"/>
    <w:rsid w:val="2FC1435C"/>
    <w:rsid w:val="2FDCB8B8"/>
    <w:rsid w:val="2FE3EA77"/>
    <w:rsid w:val="2FF358E8"/>
    <w:rsid w:val="3004858E"/>
    <w:rsid w:val="302C616D"/>
    <w:rsid w:val="30383DAD"/>
    <w:rsid w:val="30425C1D"/>
    <w:rsid w:val="305A3456"/>
    <w:rsid w:val="30B2A34F"/>
    <w:rsid w:val="30D4BB3C"/>
    <w:rsid w:val="30E8143E"/>
    <w:rsid w:val="30E9E6A3"/>
    <w:rsid w:val="310713E7"/>
    <w:rsid w:val="313D11D6"/>
    <w:rsid w:val="313F1CEE"/>
    <w:rsid w:val="3295DEFC"/>
    <w:rsid w:val="329B93DE"/>
    <w:rsid w:val="32B0C783"/>
    <w:rsid w:val="32C8B1C7"/>
    <w:rsid w:val="32E1DA24"/>
    <w:rsid w:val="32FDAE3E"/>
    <w:rsid w:val="3301083D"/>
    <w:rsid w:val="3307149D"/>
    <w:rsid w:val="33228FA8"/>
    <w:rsid w:val="332837FA"/>
    <w:rsid w:val="336AB317"/>
    <w:rsid w:val="33783288"/>
    <w:rsid w:val="3390C6B5"/>
    <w:rsid w:val="33A2BC01"/>
    <w:rsid w:val="33C52DB5"/>
    <w:rsid w:val="343772C7"/>
    <w:rsid w:val="3460F409"/>
    <w:rsid w:val="3466F177"/>
    <w:rsid w:val="347703C4"/>
    <w:rsid w:val="3566385D"/>
    <w:rsid w:val="357CD95B"/>
    <w:rsid w:val="3582C747"/>
    <w:rsid w:val="358F83BF"/>
    <w:rsid w:val="359F43B5"/>
    <w:rsid w:val="35B71284"/>
    <w:rsid w:val="35DBB8A3"/>
    <w:rsid w:val="35EFA49B"/>
    <w:rsid w:val="3612D270"/>
    <w:rsid w:val="36191A9F"/>
    <w:rsid w:val="36281E50"/>
    <w:rsid w:val="3651B6FB"/>
    <w:rsid w:val="365ACEFD"/>
    <w:rsid w:val="369F0A96"/>
    <w:rsid w:val="36A7E5C4"/>
    <w:rsid w:val="36AFAE4E"/>
    <w:rsid w:val="36C7D117"/>
    <w:rsid w:val="36CA0DEA"/>
    <w:rsid w:val="36D13E1F"/>
    <w:rsid w:val="36DFBE30"/>
    <w:rsid w:val="36FB5DE3"/>
    <w:rsid w:val="3715E9E7"/>
    <w:rsid w:val="379BBDBA"/>
    <w:rsid w:val="386C42A0"/>
    <w:rsid w:val="38A8765D"/>
    <w:rsid w:val="38D2584D"/>
    <w:rsid w:val="38F5B2FF"/>
    <w:rsid w:val="3909DABB"/>
    <w:rsid w:val="390B256E"/>
    <w:rsid w:val="39719568"/>
    <w:rsid w:val="397842FF"/>
    <w:rsid w:val="398917FC"/>
    <w:rsid w:val="3A0286CF"/>
    <w:rsid w:val="3A6F9DE0"/>
    <w:rsid w:val="3A8A27CC"/>
    <w:rsid w:val="3AF7B93D"/>
    <w:rsid w:val="3B141360"/>
    <w:rsid w:val="3B70F11C"/>
    <w:rsid w:val="3BF5ACC6"/>
    <w:rsid w:val="3C0F9E33"/>
    <w:rsid w:val="3C2B2CDF"/>
    <w:rsid w:val="3C6D9A93"/>
    <w:rsid w:val="3C732074"/>
    <w:rsid w:val="3CC1AE2E"/>
    <w:rsid w:val="3CCE5943"/>
    <w:rsid w:val="3CD214BF"/>
    <w:rsid w:val="3CDB54CD"/>
    <w:rsid w:val="3D0B0424"/>
    <w:rsid w:val="3D15CE3F"/>
    <w:rsid w:val="3D2A3F65"/>
    <w:rsid w:val="3D65F234"/>
    <w:rsid w:val="3D8E771A"/>
    <w:rsid w:val="3D9F51BB"/>
    <w:rsid w:val="3DBE8D97"/>
    <w:rsid w:val="3E08B735"/>
    <w:rsid w:val="3E0BB645"/>
    <w:rsid w:val="3E31683B"/>
    <w:rsid w:val="3E8F7C21"/>
    <w:rsid w:val="3F0286E5"/>
    <w:rsid w:val="3F48B47F"/>
    <w:rsid w:val="3FBA6BC0"/>
    <w:rsid w:val="40100596"/>
    <w:rsid w:val="4010281F"/>
    <w:rsid w:val="40340002"/>
    <w:rsid w:val="40553835"/>
    <w:rsid w:val="40BFA28E"/>
    <w:rsid w:val="40C6D30B"/>
    <w:rsid w:val="4162CDF4"/>
    <w:rsid w:val="4190175D"/>
    <w:rsid w:val="41B98829"/>
    <w:rsid w:val="41E1FF35"/>
    <w:rsid w:val="41F905E0"/>
    <w:rsid w:val="4205A9F5"/>
    <w:rsid w:val="425F81EB"/>
    <w:rsid w:val="42649E60"/>
    <w:rsid w:val="428CD35B"/>
    <w:rsid w:val="43794BCA"/>
    <w:rsid w:val="43C2427A"/>
    <w:rsid w:val="43DF1B37"/>
    <w:rsid w:val="44B6B39E"/>
    <w:rsid w:val="44CBFA01"/>
    <w:rsid w:val="450DA0D9"/>
    <w:rsid w:val="452E1907"/>
    <w:rsid w:val="45DCDE6A"/>
    <w:rsid w:val="4610B472"/>
    <w:rsid w:val="461745C2"/>
    <w:rsid w:val="464D34BE"/>
    <w:rsid w:val="4674FD27"/>
    <w:rsid w:val="46861080"/>
    <w:rsid w:val="469DA047"/>
    <w:rsid w:val="46D5FADC"/>
    <w:rsid w:val="47B8FE46"/>
    <w:rsid w:val="47CBED25"/>
    <w:rsid w:val="47E55EA1"/>
    <w:rsid w:val="47E5A3D7"/>
    <w:rsid w:val="488B5906"/>
    <w:rsid w:val="48D4DC20"/>
    <w:rsid w:val="48EBC783"/>
    <w:rsid w:val="490068A9"/>
    <w:rsid w:val="497101D2"/>
    <w:rsid w:val="49768DC3"/>
    <w:rsid w:val="4A1C04E9"/>
    <w:rsid w:val="4A6BE3DD"/>
    <w:rsid w:val="4A7D9A6B"/>
    <w:rsid w:val="4A8189F7"/>
    <w:rsid w:val="4A9A87D0"/>
    <w:rsid w:val="4AF1D4FC"/>
    <w:rsid w:val="4AF25834"/>
    <w:rsid w:val="4B00EEA9"/>
    <w:rsid w:val="4B27AB87"/>
    <w:rsid w:val="4B4049F2"/>
    <w:rsid w:val="4B70360E"/>
    <w:rsid w:val="4B99705E"/>
    <w:rsid w:val="4B9AB1D9"/>
    <w:rsid w:val="4BAA4ADB"/>
    <w:rsid w:val="4BB807E4"/>
    <w:rsid w:val="4C280302"/>
    <w:rsid w:val="4C40E571"/>
    <w:rsid w:val="4C8D062E"/>
    <w:rsid w:val="4C8DA55D"/>
    <w:rsid w:val="4CC8553F"/>
    <w:rsid w:val="4D1DF7E1"/>
    <w:rsid w:val="4D551858"/>
    <w:rsid w:val="4DBABE4A"/>
    <w:rsid w:val="4DF68988"/>
    <w:rsid w:val="4E443398"/>
    <w:rsid w:val="4E59802F"/>
    <w:rsid w:val="4E59B3EA"/>
    <w:rsid w:val="4E8FCCEA"/>
    <w:rsid w:val="4ECA0AB5"/>
    <w:rsid w:val="4F4E8E37"/>
    <w:rsid w:val="4FA99E23"/>
    <w:rsid w:val="4FD4BC39"/>
    <w:rsid w:val="504C454B"/>
    <w:rsid w:val="505ECFB7"/>
    <w:rsid w:val="508E8E69"/>
    <w:rsid w:val="50B0A159"/>
    <w:rsid w:val="5113F86D"/>
    <w:rsid w:val="511D012A"/>
    <w:rsid w:val="514BFAA4"/>
    <w:rsid w:val="51561009"/>
    <w:rsid w:val="52247664"/>
    <w:rsid w:val="529F2D37"/>
    <w:rsid w:val="52BD0AE5"/>
    <w:rsid w:val="52BD5007"/>
    <w:rsid w:val="52C15544"/>
    <w:rsid w:val="52FAC5FE"/>
    <w:rsid w:val="5320DC72"/>
    <w:rsid w:val="5334484A"/>
    <w:rsid w:val="537EAA24"/>
    <w:rsid w:val="53B2E791"/>
    <w:rsid w:val="541E638C"/>
    <w:rsid w:val="54566C10"/>
    <w:rsid w:val="547028E8"/>
    <w:rsid w:val="54B48881"/>
    <w:rsid w:val="54CDF83D"/>
    <w:rsid w:val="54FEA96D"/>
    <w:rsid w:val="553EE450"/>
    <w:rsid w:val="5579DD9D"/>
    <w:rsid w:val="558D52F0"/>
    <w:rsid w:val="55BE1150"/>
    <w:rsid w:val="55F0A960"/>
    <w:rsid w:val="55F70612"/>
    <w:rsid w:val="560D814F"/>
    <w:rsid w:val="56662995"/>
    <w:rsid w:val="566E9CB2"/>
    <w:rsid w:val="56977DBB"/>
    <w:rsid w:val="569B8827"/>
    <w:rsid w:val="569ED5DC"/>
    <w:rsid w:val="56D3CDB3"/>
    <w:rsid w:val="56E1B463"/>
    <w:rsid w:val="56E9372B"/>
    <w:rsid w:val="58142003"/>
    <w:rsid w:val="581A7E0B"/>
    <w:rsid w:val="585ED169"/>
    <w:rsid w:val="58891B64"/>
    <w:rsid w:val="58CAB4B8"/>
    <w:rsid w:val="590A5DB1"/>
    <w:rsid w:val="5919D007"/>
    <w:rsid w:val="5954F8B8"/>
    <w:rsid w:val="595A53A6"/>
    <w:rsid w:val="595FDB91"/>
    <w:rsid w:val="5976B71E"/>
    <w:rsid w:val="59B471AA"/>
    <w:rsid w:val="59E9A179"/>
    <w:rsid w:val="59F1E5D2"/>
    <w:rsid w:val="59F9D500"/>
    <w:rsid w:val="5A3B19E6"/>
    <w:rsid w:val="5A66EEF7"/>
    <w:rsid w:val="5AAE9F82"/>
    <w:rsid w:val="5AD1B36E"/>
    <w:rsid w:val="5B6EDC1F"/>
    <w:rsid w:val="5BE21929"/>
    <w:rsid w:val="5BE66C83"/>
    <w:rsid w:val="5BE94940"/>
    <w:rsid w:val="5BF0EC1F"/>
    <w:rsid w:val="5C009F7B"/>
    <w:rsid w:val="5C0B31D3"/>
    <w:rsid w:val="5C350C85"/>
    <w:rsid w:val="5C3C779E"/>
    <w:rsid w:val="5C5E3C6B"/>
    <w:rsid w:val="5C6414FF"/>
    <w:rsid w:val="5C928BD8"/>
    <w:rsid w:val="5CBBE266"/>
    <w:rsid w:val="5CC29FFE"/>
    <w:rsid w:val="5CC697DE"/>
    <w:rsid w:val="5D20F92E"/>
    <w:rsid w:val="5E0CA436"/>
    <w:rsid w:val="5E16CC43"/>
    <w:rsid w:val="5E64289B"/>
    <w:rsid w:val="5EA663B9"/>
    <w:rsid w:val="5F0CC95C"/>
    <w:rsid w:val="5FB2876D"/>
    <w:rsid w:val="6013DD16"/>
    <w:rsid w:val="602DD552"/>
    <w:rsid w:val="606BED3D"/>
    <w:rsid w:val="6084DF17"/>
    <w:rsid w:val="611C8B18"/>
    <w:rsid w:val="6161B35F"/>
    <w:rsid w:val="6170A394"/>
    <w:rsid w:val="619098AD"/>
    <w:rsid w:val="61A1270B"/>
    <w:rsid w:val="61B35736"/>
    <w:rsid w:val="61C9A5B3"/>
    <w:rsid w:val="61EC3285"/>
    <w:rsid w:val="61F46A51"/>
    <w:rsid w:val="61FA1DE3"/>
    <w:rsid w:val="61FA87B4"/>
    <w:rsid w:val="6327BADF"/>
    <w:rsid w:val="636244CB"/>
    <w:rsid w:val="63AEA540"/>
    <w:rsid w:val="63FC48AB"/>
    <w:rsid w:val="641DE36D"/>
    <w:rsid w:val="64492A93"/>
    <w:rsid w:val="646A96B1"/>
    <w:rsid w:val="652AE4E3"/>
    <w:rsid w:val="65873458"/>
    <w:rsid w:val="65CEFF32"/>
    <w:rsid w:val="65D3482C"/>
    <w:rsid w:val="6604D264"/>
    <w:rsid w:val="66417726"/>
    <w:rsid w:val="66620AEB"/>
    <w:rsid w:val="666B79D0"/>
    <w:rsid w:val="678549C0"/>
    <w:rsid w:val="67FDC683"/>
    <w:rsid w:val="685FAD68"/>
    <w:rsid w:val="68745678"/>
    <w:rsid w:val="68BF45CA"/>
    <w:rsid w:val="68F877CD"/>
    <w:rsid w:val="69D1DCDA"/>
    <w:rsid w:val="69EAF254"/>
    <w:rsid w:val="6AD0BB24"/>
    <w:rsid w:val="6AF3B95C"/>
    <w:rsid w:val="6B160850"/>
    <w:rsid w:val="6B18AE08"/>
    <w:rsid w:val="6B1F77BA"/>
    <w:rsid w:val="6B4519A1"/>
    <w:rsid w:val="6B564B56"/>
    <w:rsid w:val="6BC4617F"/>
    <w:rsid w:val="6BEBDC8E"/>
    <w:rsid w:val="6BFEBCE2"/>
    <w:rsid w:val="6C054336"/>
    <w:rsid w:val="6C1F1954"/>
    <w:rsid w:val="6C777905"/>
    <w:rsid w:val="6CD29FEE"/>
    <w:rsid w:val="6D3F538B"/>
    <w:rsid w:val="6D71E047"/>
    <w:rsid w:val="6DB8B5DD"/>
    <w:rsid w:val="6DD600C6"/>
    <w:rsid w:val="6DDBF132"/>
    <w:rsid w:val="6EA7C021"/>
    <w:rsid w:val="6EE8D46B"/>
    <w:rsid w:val="6F2B5C0A"/>
    <w:rsid w:val="6F82C351"/>
    <w:rsid w:val="6F908DB3"/>
    <w:rsid w:val="6F9400CA"/>
    <w:rsid w:val="6FDE4BDE"/>
    <w:rsid w:val="6FFD9B3C"/>
    <w:rsid w:val="702D2150"/>
    <w:rsid w:val="71055EF2"/>
    <w:rsid w:val="71302E2E"/>
    <w:rsid w:val="713E4D54"/>
    <w:rsid w:val="71C00786"/>
    <w:rsid w:val="71E92DF2"/>
    <w:rsid w:val="722FB669"/>
    <w:rsid w:val="7302EC4D"/>
    <w:rsid w:val="733281FF"/>
    <w:rsid w:val="735BC52E"/>
    <w:rsid w:val="7389E6AF"/>
    <w:rsid w:val="73B127EF"/>
    <w:rsid w:val="73C9761B"/>
    <w:rsid w:val="7451AA3F"/>
    <w:rsid w:val="74F78BFE"/>
    <w:rsid w:val="75155D3C"/>
    <w:rsid w:val="75964CCB"/>
    <w:rsid w:val="763C71BF"/>
    <w:rsid w:val="764B2F5D"/>
    <w:rsid w:val="76559A1C"/>
    <w:rsid w:val="765F4CD7"/>
    <w:rsid w:val="769100F3"/>
    <w:rsid w:val="774C6343"/>
    <w:rsid w:val="77E59155"/>
    <w:rsid w:val="780BF4BE"/>
    <w:rsid w:val="78144A98"/>
    <w:rsid w:val="78373157"/>
    <w:rsid w:val="7843593F"/>
    <w:rsid w:val="785832C7"/>
    <w:rsid w:val="7872D15B"/>
    <w:rsid w:val="78777A95"/>
    <w:rsid w:val="789691C4"/>
    <w:rsid w:val="78C80B72"/>
    <w:rsid w:val="78DA3294"/>
    <w:rsid w:val="7916064F"/>
    <w:rsid w:val="79694C4E"/>
    <w:rsid w:val="796F24A7"/>
    <w:rsid w:val="798D3ADE"/>
    <w:rsid w:val="7A250CA8"/>
    <w:rsid w:val="7AD925D8"/>
    <w:rsid w:val="7B09DD26"/>
    <w:rsid w:val="7B0DDB50"/>
    <w:rsid w:val="7B506A32"/>
    <w:rsid w:val="7B760286"/>
    <w:rsid w:val="7B7FC427"/>
    <w:rsid w:val="7BB551CC"/>
    <w:rsid w:val="7BCB1BDE"/>
    <w:rsid w:val="7C47F67E"/>
    <w:rsid w:val="7C6F44A3"/>
    <w:rsid w:val="7C778FD0"/>
    <w:rsid w:val="7C83D32B"/>
    <w:rsid w:val="7CAD9B0D"/>
    <w:rsid w:val="7CAFCE75"/>
    <w:rsid w:val="7CDD0EF0"/>
    <w:rsid w:val="7D06051B"/>
    <w:rsid w:val="7D28059E"/>
    <w:rsid w:val="7D3C4EF8"/>
    <w:rsid w:val="7D5CD934"/>
    <w:rsid w:val="7D75CBA3"/>
    <w:rsid w:val="7D94EA2C"/>
    <w:rsid w:val="7D976E5C"/>
    <w:rsid w:val="7E24581A"/>
    <w:rsid w:val="7E44E520"/>
    <w:rsid w:val="7E5328A8"/>
    <w:rsid w:val="7E54B4D9"/>
    <w:rsid w:val="7E8E1AC4"/>
    <w:rsid w:val="7F05839D"/>
    <w:rsid w:val="7F19C581"/>
    <w:rsid w:val="7F4701A5"/>
    <w:rsid w:val="7F5754C3"/>
    <w:rsid w:val="7F83D906"/>
    <w:rsid w:val="7FB77074"/>
    <w:rsid w:val="7FD7F5EA"/>
    <w:rsid w:val="7FE0A4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AEB1"/>
  <w15:chartTrackingRefBased/>
  <w15:docId w15:val="{0676047A-76C9-4382-8375-1D48400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E0"/>
    <w:pPr>
      <w:spacing w:before="120" w:line="276" w:lineRule="auto"/>
      <w:jc w:val="both"/>
    </w:pPr>
    <w:rPr>
      <w:rFonts w:ascii="Calibri" w:eastAsia="Times New Roman" w:hAnsi="Calibri" w:cs="Franklin Gothic Book"/>
    </w:rPr>
  </w:style>
  <w:style w:type="paragraph" w:styleId="Heading1">
    <w:name w:val="heading 1"/>
    <w:basedOn w:val="Normal"/>
    <w:next w:val="Normal"/>
    <w:link w:val="Heading1Char"/>
    <w:qFormat/>
    <w:rsid w:val="00A04337"/>
    <w:pPr>
      <w:keepNext/>
      <w:keepLines/>
      <w:numPr>
        <w:numId w:val="4"/>
      </w:numPr>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autoRedefine/>
    <w:unhideWhenUsed/>
    <w:qFormat/>
    <w:rsid w:val="00DD4C2A"/>
    <w:pPr>
      <w:keepNext/>
      <w:keepLines/>
      <w:pBdr>
        <w:top w:val="single" w:sz="4" w:space="1" w:color="000000"/>
        <w:left w:val="single" w:sz="4" w:space="4" w:color="000000"/>
        <w:bottom w:val="single" w:sz="4" w:space="1" w:color="000000"/>
        <w:right w:val="single" w:sz="4" w:space="4" w:color="000000"/>
      </w:pBdr>
      <w:shd w:val="clear" w:color="auto" w:fill="DBE5F1"/>
      <w:spacing w:before="0"/>
      <w:jc w:val="center"/>
      <w:outlineLvl w:val="1"/>
    </w:pPr>
    <w:rPr>
      <w:rFonts w:eastAsiaTheme="majorEastAsia" w:cstheme="majorBidi"/>
      <w:b/>
    </w:rPr>
  </w:style>
  <w:style w:type="paragraph" w:styleId="Heading3">
    <w:name w:val="heading 3"/>
    <w:basedOn w:val="ListParagraph"/>
    <w:next w:val="Normal"/>
    <w:link w:val="Heading3Char"/>
    <w:unhideWhenUsed/>
    <w:qFormat/>
    <w:rsid w:val="00A04337"/>
    <w:pPr>
      <w:numPr>
        <w:ilvl w:val="2"/>
        <w:numId w:val="4"/>
      </w:numPr>
      <w:spacing w:after="0"/>
      <w:outlineLvl w:val="2"/>
    </w:pPr>
    <w:rPr>
      <w:rFonts w:asciiTheme="minorHAnsi" w:hAnsiTheme="minorHAnsi"/>
      <w:i/>
      <w:color w:val="2E74B5" w:themeColor="accent1" w:themeShade="BF"/>
    </w:rPr>
  </w:style>
  <w:style w:type="paragraph" w:styleId="Heading4">
    <w:name w:val="heading 4"/>
    <w:basedOn w:val="Normal1"/>
    <w:next w:val="Normal1"/>
    <w:link w:val="Heading4Char"/>
    <w:rsid w:val="000004E0"/>
    <w:pPr>
      <w:spacing w:before="240" w:after="60"/>
      <w:outlineLvl w:val="3"/>
    </w:pPr>
    <w:rPr>
      <w:b/>
    </w:rPr>
  </w:style>
  <w:style w:type="paragraph" w:styleId="Heading5">
    <w:name w:val="heading 5"/>
    <w:basedOn w:val="Normal1"/>
    <w:next w:val="Normal1"/>
    <w:link w:val="Heading5Char"/>
    <w:rsid w:val="000004E0"/>
    <w:pPr>
      <w:keepNext/>
      <w:keepLines/>
      <w:spacing w:before="220" w:after="40"/>
      <w:outlineLvl w:val="4"/>
    </w:pPr>
    <w:rPr>
      <w:b/>
      <w:sz w:val="22"/>
      <w:szCs w:val="22"/>
    </w:rPr>
  </w:style>
  <w:style w:type="paragraph" w:styleId="Heading6">
    <w:name w:val="heading 6"/>
    <w:basedOn w:val="Normal1"/>
    <w:next w:val="Normal1"/>
    <w:link w:val="Heading6Char"/>
    <w:rsid w:val="000004E0"/>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004E0"/>
    <w:pPr>
      <w:keepNext/>
      <w:keepLines/>
      <w:spacing w:before="40" w:after="240"/>
      <w:outlineLvl w:val="6"/>
    </w:pPr>
    <w:rPr>
      <w:rFonts w:asciiTheme="minorHAnsi" w:eastAsiaTheme="majorEastAsia" w:hAnsiTheme="minorHAnsi" w:cstheme="majorBidi"/>
      <w:b/>
      <w:iCs/>
    </w:rPr>
  </w:style>
  <w:style w:type="paragraph" w:styleId="Heading8">
    <w:name w:val="heading 8"/>
    <w:basedOn w:val="Normal"/>
    <w:next w:val="Normal"/>
    <w:link w:val="Heading8Char"/>
    <w:uiPriority w:val="9"/>
    <w:unhideWhenUsed/>
    <w:qFormat/>
    <w:rsid w:val="000004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F2A"/>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rsid w:val="00DD4C2A"/>
    <w:rPr>
      <w:rFonts w:ascii="Calibri" w:eastAsiaTheme="majorEastAsia" w:hAnsi="Calibri" w:cstheme="majorBidi"/>
      <w:b/>
      <w:shd w:val="clear" w:color="auto" w:fill="DBE5F1"/>
    </w:rPr>
  </w:style>
  <w:style w:type="paragraph" w:styleId="Title">
    <w:name w:val="Title"/>
    <w:basedOn w:val="Normal"/>
    <w:next w:val="Normal"/>
    <w:link w:val="TitleChar"/>
    <w:qFormat/>
    <w:rsid w:val="000D6324"/>
    <w:pPr>
      <w:spacing w:after="0" w:line="240" w:lineRule="auto"/>
      <w:contextualSpacing/>
      <w:jc w:val="center"/>
    </w:pPr>
    <w:rPr>
      <w:rFonts w:asciiTheme="majorHAnsi" w:eastAsiaTheme="majorEastAsia" w:hAnsiTheme="majorHAnsi" w:cstheme="majorBidi"/>
      <w:color w:val="2E74B5" w:themeColor="accent1" w:themeShade="BF"/>
      <w:spacing w:val="-10"/>
      <w:kern w:val="28"/>
      <w:sz w:val="48"/>
      <w:szCs w:val="56"/>
    </w:rPr>
  </w:style>
  <w:style w:type="character" w:customStyle="1" w:styleId="TitleChar">
    <w:name w:val="Title Char"/>
    <w:basedOn w:val="DefaultParagraphFont"/>
    <w:link w:val="Title"/>
    <w:uiPriority w:val="10"/>
    <w:rsid w:val="000D6324"/>
    <w:rPr>
      <w:rFonts w:asciiTheme="majorHAnsi" w:eastAsiaTheme="majorEastAsia" w:hAnsiTheme="majorHAnsi" w:cstheme="majorBidi"/>
      <w:color w:val="2E74B5" w:themeColor="accent1" w:themeShade="BF"/>
      <w:spacing w:val="-10"/>
      <w:kern w:val="28"/>
      <w:sz w:val="48"/>
      <w:szCs w:val="56"/>
    </w:rPr>
  </w:style>
  <w:style w:type="character" w:customStyle="1" w:styleId="Heading3Char">
    <w:name w:val="Heading 3 Char"/>
    <w:basedOn w:val="DefaultParagraphFont"/>
    <w:link w:val="Heading3"/>
    <w:rsid w:val="00B4685B"/>
    <w:rPr>
      <w:rFonts w:eastAsia="Times New Roman" w:cs="Franklin Gothic Book"/>
      <w:i/>
      <w:color w:val="2E74B5" w:themeColor="accent1" w:themeShade="BF"/>
    </w:rPr>
  </w:style>
  <w:style w:type="paragraph" w:styleId="ListParagraph">
    <w:name w:val="List Paragraph"/>
    <w:basedOn w:val="Normal"/>
    <w:uiPriority w:val="34"/>
    <w:qFormat/>
    <w:rsid w:val="00B4685B"/>
    <w:pPr>
      <w:ind w:left="720"/>
      <w:contextualSpacing/>
    </w:pPr>
  </w:style>
  <w:style w:type="character" w:customStyle="1" w:styleId="Heading4Char">
    <w:name w:val="Heading 4 Char"/>
    <w:basedOn w:val="DefaultParagraphFont"/>
    <w:link w:val="Heading4"/>
    <w:rsid w:val="000004E0"/>
    <w:rPr>
      <w:rFonts w:ascii="Arial" w:hAnsi="Arial" w:cs="Arial"/>
      <w:b/>
      <w:color w:val="000000"/>
      <w:sz w:val="24"/>
      <w:szCs w:val="24"/>
    </w:rPr>
  </w:style>
  <w:style w:type="character" w:customStyle="1" w:styleId="Heading5Char">
    <w:name w:val="Heading 5 Char"/>
    <w:basedOn w:val="DefaultParagraphFont"/>
    <w:link w:val="Heading5"/>
    <w:rsid w:val="000004E0"/>
    <w:rPr>
      <w:rFonts w:ascii="Arial" w:hAnsi="Arial" w:cs="Arial"/>
      <w:b/>
      <w:color w:val="000000"/>
    </w:rPr>
  </w:style>
  <w:style w:type="character" w:customStyle="1" w:styleId="Heading6Char">
    <w:name w:val="Heading 6 Char"/>
    <w:basedOn w:val="DefaultParagraphFont"/>
    <w:link w:val="Heading6"/>
    <w:rsid w:val="000004E0"/>
    <w:rPr>
      <w:rFonts w:ascii="Arial" w:hAnsi="Arial" w:cs="Arial"/>
      <w:b/>
      <w:color w:val="000000"/>
      <w:sz w:val="20"/>
      <w:szCs w:val="20"/>
    </w:rPr>
  </w:style>
  <w:style w:type="character" w:customStyle="1" w:styleId="Heading7Char">
    <w:name w:val="Heading 7 Char"/>
    <w:basedOn w:val="DefaultParagraphFont"/>
    <w:link w:val="Heading7"/>
    <w:uiPriority w:val="9"/>
    <w:rsid w:val="000004E0"/>
    <w:rPr>
      <w:rFonts w:eastAsiaTheme="majorEastAsia" w:cstheme="majorBidi"/>
      <w:b/>
      <w:iCs/>
    </w:rPr>
  </w:style>
  <w:style w:type="paragraph" w:customStyle="1" w:styleId="Normal1">
    <w:name w:val="Normal1"/>
    <w:rsid w:val="000004E0"/>
    <w:pPr>
      <w:pBdr>
        <w:top w:val="nil"/>
        <w:left w:val="nil"/>
        <w:bottom w:val="nil"/>
        <w:right w:val="nil"/>
        <w:between w:val="nil"/>
      </w:pBdr>
      <w:spacing w:after="0"/>
      <w:jc w:val="left"/>
    </w:pPr>
    <w:rPr>
      <w:rFonts w:ascii="Arial" w:hAnsi="Arial" w:cs="Arial"/>
      <w:color w:val="000000"/>
      <w:sz w:val="24"/>
      <w:szCs w:val="24"/>
    </w:rPr>
  </w:style>
  <w:style w:type="paragraph" w:styleId="Subtitle">
    <w:name w:val="Subtitle"/>
    <w:basedOn w:val="Normal1"/>
    <w:next w:val="Normal1"/>
    <w:link w:val="SubtitleChar"/>
    <w:rsid w:val="000004E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004E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0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4E0"/>
    <w:rPr>
      <w:rFonts w:ascii="Lucida Grande" w:eastAsia="Times New Roman" w:hAnsi="Lucida Grande" w:cs="Lucida Grande"/>
      <w:sz w:val="18"/>
      <w:szCs w:val="18"/>
    </w:rPr>
  </w:style>
  <w:style w:type="paragraph" w:styleId="Header">
    <w:name w:val="header"/>
    <w:basedOn w:val="Normal"/>
    <w:link w:val="HeaderChar"/>
    <w:uiPriority w:val="99"/>
    <w:unhideWhenUsed/>
    <w:rsid w:val="000004E0"/>
    <w:pPr>
      <w:tabs>
        <w:tab w:val="center" w:pos="4513"/>
        <w:tab w:val="right" w:pos="9026"/>
      </w:tabs>
    </w:pPr>
  </w:style>
  <w:style w:type="character" w:customStyle="1" w:styleId="HeaderChar">
    <w:name w:val="Header Char"/>
    <w:basedOn w:val="DefaultParagraphFont"/>
    <w:link w:val="Header"/>
    <w:uiPriority w:val="99"/>
    <w:rsid w:val="000004E0"/>
    <w:rPr>
      <w:rFonts w:ascii="Calibri" w:eastAsia="Times New Roman" w:hAnsi="Calibri" w:cs="Franklin Gothic Book"/>
    </w:rPr>
  </w:style>
  <w:style w:type="paragraph" w:styleId="Footer">
    <w:name w:val="footer"/>
    <w:basedOn w:val="Normal"/>
    <w:link w:val="FooterChar"/>
    <w:uiPriority w:val="99"/>
    <w:unhideWhenUsed/>
    <w:rsid w:val="000004E0"/>
    <w:pPr>
      <w:tabs>
        <w:tab w:val="center" w:pos="4513"/>
        <w:tab w:val="right" w:pos="9026"/>
      </w:tabs>
    </w:pPr>
  </w:style>
  <w:style w:type="character" w:customStyle="1" w:styleId="FooterChar">
    <w:name w:val="Footer Char"/>
    <w:basedOn w:val="DefaultParagraphFont"/>
    <w:link w:val="Footer"/>
    <w:uiPriority w:val="99"/>
    <w:rsid w:val="000004E0"/>
    <w:rPr>
      <w:rFonts w:ascii="Calibri" w:eastAsia="Times New Roman" w:hAnsi="Calibri" w:cs="Franklin Gothic Book"/>
    </w:rPr>
  </w:style>
  <w:style w:type="character" w:styleId="CommentReference">
    <w:name w:val="annotation reference"/>
    <w:basedOn w:val="DefaultParagraphFont"/>
    <w:uiPriority w:val="99"/>
    <w:semiHidden/>
    <w:unhideWhenUsed/>
    <w:rsid w:val="000004E0"/>
    <w:rPr>
      <w:sz w:val="16"/>
      <w:szCs w:val="16"/>
    </w:rPr>
  </w:style>
  <w:style w:type="paragraph" w:styleId="CommentText">
    <w:name w:val="annotation text"/>
    <w:basedOn w:val="Normal"/>
    <w:link w:val="CommentTextChar"/>
    <w:uiPriority w:val="99"/>
    <w:unhideWhenUsed/>
    <w:rsid w:val="000004E0"/>
    <w:rPr>
      <w:sz w:val="20"/>
      <w:szCs w:val="20"/>
    </w:rPr>
  </w:style>
  <w:style w:type="character" w:customStyle="1" w:styleId="CommentTextChar">
    <w:name w:val="Comment Text Char"/>
    <w:basedOn w:val="DefaultParagraphFont"/>
    <w:link w:val="CommentText"/>
    <w:uiPriority w:val="99"/>
    <w:rsid w:val="000004E0"/>
    <w:rPr>
      <w:rFonts w:ascii="Calibri" w:eastAsia="Times New Roman" w:hAnsi="Calibri" w:cs="Franklin Gothic Book"/>
      <w:sz w:val="20"/>
      <w:szCs w:val="20"/>
    </w:rPr>
  </w:style>
  <w:style w:type="paragraph" w:styleId="CommentSubject">
    <w:name w:val="annotation subject"/>
    <w:basedOn w:val="CommentText"/>
    <w:next w:val="CommentText"/>
    <w:link w:val="CommentSubjectChar"/>
    <w:uiPriority w:val="99"/>
    <w:semiHidden/>
    <w:unhideWhenUsed/>
    <w:rsid w:val="000004E0"/>
    <w:rPr>
      <w:b/>
      <w:bCs/>
    </w:rPr>
  </w:style>
  <w:style w:type="character" w:customStyle="1" w:styleId="CommentSubjectChar">
    <w:name w:val="Comment Subject Char"/>
    <w:basedOn w:val="CommentTextChar"/>
    <w:link w:val="CommentSubject"/>
    <w:uiPriority w:val="99"/>
    <w:semiHidden/>
    <w:rsid w:val="000004E0"/>
    <w:rPr>
      <w:rFonts w:ascii="Calibri" w:eastAsia="Times New Roman" w:hAnsi="Calibri" w:cs="Franklin Gothic Book"/>
      <w:b/>
      <w:bCs/>
      <w:sz w:val="20"/>
      <w:szCs w:val="20"/>
    </w:rPr>
  </w:style>
  <w:style w:type="paragraph" w:styleId="Revision">
    <w:name w:val="Revision"/>
    <w:hidden/>
    <w:uiPriority w:val="99"/>
    <w:semiHidden/>
    <w:rsid w:val="000004E0"/>
    <w:pPr>
      <w:spacing w:after="0"/>
      <w:jc w:val="left"/>
    </w:pPr>
    <w:rPr>
      <w:rFonts w:ascii="Arial" w:hAnsi="Arial" w:cs="Arial"/>
      <w:color w:val="000000"/>
      <w:sz w:val="24"/>
      <w:szCs w:val="24"/>
    </w:rPr>
  </w:style>
  <w:style w:type="paragraph" w:customStyle="1" w:styleId="Default">
    <w:name w:val="Default"/>
    <w:rsid w:val="000004E0"/>
    <w:pPr>
      <w:autoSpaceDE w:val="0"/>
      <w:autoSpaceDN w:val="0"/>
      <w:adjustRightInd w:val="0"/>
      <w:spacing w:after="0"/>
      <w:jc w:val="left"/>
    </w:pPr>
    <w:rPr>
      <w:rFonts w:ascii="Calibri" w:hAnsi="Calibri" w:cs="Calibri"/>
      <w:color w:val="000000"/>
      <w:sz w:val="24"/>
      <w:szCs w:val="24"/>
      <w:lang w:val="en-US"/>
    </w:rPr>
  </w:style>
  <w:style w:type="paragraph" w:styleId="Caption">
    <w:name w:val="caption"/>
    <w:basedOn w:val="Normal"/>
    <w:next w:val="Normal"/>
    <w:uiPriority w:val="99"/>
    <w:unhideWhenUsed/>
    <w:qFormat/>
    <w:rsid w:val="000004E0"/>
    <w:rPr>
      <w:rFonts w:eastAsiaTheme="minorHAnsi" w:cstheme="minorBidi"/>
      <w:sz w:val="18"/>
      <w:lang w:val="en-US"/>
    </w:rPr>
  </w:style>
  <w:style w:type="paragraph" w:styleId="BodyText">
    <w:name w:val="Body Text"/>
    <w:basedOn w:val="Normal"/>
    <w:link w:val="BodyTextChar"/>
    <w:qFormat/>
    <w:rsid w:val="000004E0"/>
    <w:rPr>
      <w:rFonts w:ascii="Franklin Gothic Book" w:hAnsi="Franklin Gothic Book"/>
      <w:sz w:val="20"/>
      <w:szCs w:val="20"/>
    </w:rPr>
  </w:style>
  <w:style w:type="character" w:customStyle="1" w:styleId="BodyTextChar">
    <w:name w:val="Body Text Char"/>
    <w:basedOn w:val="DefaultParagraphFont"/>
    <w:link w:val="BodyText"/>
    <w:rsid w:val="000004E0"/>
    <w:rPr>
      <w:rFonts w:ascii="Franklin Gothic Book" w:eastAsia="Times New Roman" w:hAnsi="Franklin Gothic Book" w:cs="Franklin Gothic Book"/>
      <w:sz w:val="20"/>
      <w:szCs w:val="20"/>
    </w:rPr>
  </w:style>
  <w:style w:type="table" w:styleId="TableGrid">
    <w:name w:val="Table Grid"/>
    <w:basedOn w:val="TableNormal"/>
    <w:rsid w:val="000004E0"/>
    <w:pPr>
      <w:spacing w:after="0"/>
      <w:jc w:val="left"/>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E0"/>
    <w:rPr>
      <w:color w:val="0563C1" w:themeColor="hyperlink"/>
      <w:u w:val="single"/>
    </w:rPr>
  </w:style>
  <w:style w:type="character" w:customStyle="1" w:styleId="UnresolvedMention1">
    <w:name w:val="Unresolved Mention1"/>
    <w:basedOn w:val="DefaultParagraphFont"/>
    <w:uiPriority w:val="99"/>
    <w:semiHidden/>
    <w:unhideWhenUsed/>
    <w:rsid w:val="000004E0"/>
    <w:rPr>
      <w:color w:val="808080"/>
      <w:shd w:val="clear" w:color="auto" w:fill="E6E6E6"/>
    </w:rPr>
  </w:style>
  <w:style w:type="character" w:styleId="FollowedHyperlink">
    <w:name w:val="FollowedHyperlink"/>
    <w:basedOn w:val="DefaultParagraphFont"/>
    <w:uiPriority w:val="99"/>
    <w:semiHidden/>
    <w:unhideWhenUsed/>
    <w:rsid w:val="000004E0"/>
    <w:rPr>
      <w:color w:val="954F72" w:themeColor="followedHyperlink"/>
      <w:u w:val="single"/>
    </w:rPr>
  </w:style>
  <w:style w:type="paragraph" w:styleId="NormalWeb">
    <w:name w:val="Normal (Web)"/>
    <w:basedOn w:val="Normal"/>
    <w:uiPriority w:val="99"/>
    <w:semiHidden/>
    <w:unhideWhenUsed/>
    <w:rsid w:val="000004E0"/>
    <w:rPr>
      <w:rFonts w:ascii="Times New Roman" w:hAnsi="Times New Roman" w:cs="Times New Roman"/>
      <w:sz w:val="24"/>
      <w:szCs w:val="24"/>
    </w:rPr>
  </w:style>
  <w:style w:type="character" w:styleId="Emphasis">
    <w:name w:val="Emphasis"/>
    <w:basedOn w:val="DefaultParagraphFont"/>
    <w:uiPriority w:val="20"/>
    <w:qFormat/>
    <w:rsid w:val="000004E0"/>
    <w:rPr>
      <w:b/>
    </w:rPr>
  </w:style>
  <w:style w:type="character" w:styleId="IntenseEmphasis">
    <w:name w:val="Intense Emphasis"/>
    <w:basedOn w:val="DefaultParagraphFont"/>
    <w:uiPriority w:val="21"/>
    <w:qFormat/>
    <w:rsid w:val="000004E0"/>
    <w:rPr>
      <w:i/>
      <w:iCs/>
      <w:color w:val="5B9BD5" w:themeColor="accent1"/>
    </w:rPr>
  </w:style>
  <w:style w:type="character" w:styleId="Strong">
    <w:name w:val="Strong"/>
    <w:basedOn w:val="DefaultParagraphFont"/>
    <w:uiPriority w:val="22"/>
    <w:qFormat/>
    <w:rsid w:val="000004E0"/>
    <w:rPr>
      <w:b/>
      <w:bCs/>
    </w:rPr>
  </w:style>
  <w:style w:type="character" w:customStyle="1" w:styleId="Heading8Char">
    <w:name w:val="Heading 8 Char"/>
    <w:basedOn w:val="DefaultParagraphFont"/>
    <w:link w:val="Heading8"/>
    <w:uiPriority w:val="9"/>
    <w:rsid w:val="000004E0"/>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0004E0"/>
    <w:pPr>
      <w:numPr>
        <w:numId w:val="0"/>
      </w:numPr>
      <w:spacing w:line="259" w:lineRule="auto"/>
      <w:jc w:val="left"/>
      <w:outlineLvl w:val="9"/>
    </w:pPr>
    <w:rPr>
      <w:b w:val="0"/>
      <w:sz w:val="32"/>
      <w:lang w:val="en-US"/>
    </w:rPr>
  </w:style>
  <w:style w:type="paragraph" w:styleId="TOC2">
    <w:name w:val="toc 2"/>
    <w:basedOn w:val="Normal"/>
    <w:next w:val="Normal"/>
    <w:autoRedefine/>
    <w:uiPriority w:val="39"/>
    <w:unhideWhenUsed/>
    <w:rsid w:val="000004E0"/>
    <w:pPr>
      <w:spacing w:after="100"/>
      <w:ind w:left="220"/>
    </w:pPr>
  </w:style>
  <w:style w:type="paragraph" w:styleId="FootnoteText">
    <w:name w:val="footnote text"/>
    <w:basedOn w:val="Normal"/>
    <w:link w:val="FootnoteTextChar"/>
    <w:uiPriority w:val="99"/>
    <w:semiHidden/>
    <w:unhideWhenUsed/>
    <w:rsid w:val="00273C4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73C48"/>
    <w:rPr>
      <w:rFonts w:ascii="Calibri" w:eastAsia="Times New Roman" w:hAnsi="Calibri" w:cs="Franklin Gothic Book"/>
      <w:sz w:val="20"/>
      <w:szCs w:val="20"/>
    </w:rPr>
  </w:style>
  <w:style w:type="character" w:styleId="FootnoteReference">
    <w:name w:val="footnote reference"/>
    <w:basedOn w:val="DefaultParagraphFont"/>
    <w:uiPriority w:val="99"/>
    <w:semiHidden/>
    <w:unhideWhenUsed/>
    <w:rsid w:val="00273C48"/>
    <w:rPr>
      <w:vertAlign w:val="superscript"/>
    </w:rPr>
  </w:style>
  <w:style w:type="paragraph" w:customStyle="1" w:styleId="BulletpointLevel1">
    <w:name w:val="Bulletpoint Level 1"/>
    <w:basedOn w:val="Normal"/>
    <w:link w:val="BulletpointLevel1Char"/>
    <w:qFormat/>
    <w:rsid w:val="009C6DE8"/>
    <w:pPr>
      <w:numPr>
        <w:numId w:val="31"/>
      </w:numPr>
      <w:spacing w:before="0" w:after="0"/>
      <w:jc w:val="left"/>
    </w:pPr>
    <w:rPr>
      <w:rFonts w:cstheme="minorBidi"/>
      <w:lang w:val="de-DE" w:eastAsia="de-DE"/>
    </w:rPr>
  </w:style>
  <w:style w:type="character" w:customStyle="1" w:styleId="BulletpointLevel1Char">
    <w:name w:val="Bulletpoint Level 1 Char"/>
    <w:basedOn w:val="DefaultParagraphFont"/>
    <w:link w:val="BulletpointLevel1"/>
    <w:rsid w:val="009C6DE8"/>
    <w:rPr>
      <w:rFonts w:ascii="Calibri" w:eastAsia="Times New Roman" w:hAnsi="Calibri"/>
      <w:lang w:val="de-DE" w:eastAsia="de-DE"/>
    </w:rPr>
  </w:style>
  <w:style w:type="paragraph" w:customStyle="1" w:styleId="paragraph">
    <w:name w:val="paragraph"/>
    <w:basedOn w:val="Normal"/>
    <w:rsid w:val="0038569C"/>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normaltextrun">
    <w:name w:val="normaltextrun"/>
    <w:basedOn w:val="DefaultParagraphFont"/>
    <w:rsid w:val="0038569C"/>
  </w:style>
  <w:style w:type="character" w:customStyle="1" w:styleId="eop">
    <w:name w:val="eop"/>
    <w:basedOn w:val="DefaultParagraphFont"/>
    <w:rsid w:val="0038569C"/>
  </w:style>
  <w:style w:type="character" w:styleId="UnresolvedMention">
    <w:name w:val="Unresolved Mention"/>
    <w:basedOn w:val="DefaultParagraphFont"/>
    <w:uiPriority w:val="99"/>
    <w:unhideWhenUsed/>
    <w:rsid w:val="001E6EF8"/>
    <w:rPr>
      <w:color w:val="605E5C"/>
      <w:shd w:val="clear" w:color="auto" w:fill="E1DFDD"/>
    </w:rPr>
  </w:style>
  <w:style w:type="paragraph" w:styleId="TOC1">
    <w:name w:val="toc 1"/>
    <w:basedOn w:val="Normal"/>
    <w:next w:val="Normal"/>
    <w:autoRedefine/>
    <w:uiPriority w:val="39"/>
    <w:unhideWhenUsed/>
    <w:rsid w:val="00B232E6"/>
    <w:pPr>
      <w:spacing w:after="100"/>
    </w:pPr>
  </w:style>
  <w:style w:type="paragraph" w:styleId="TOC3">
    <w:name w:val="toc 3"/>
    <w:basedOn w:val="Normal"/>
    <w:next w:val="Normal"/>
    <w:autoRedefine/>
    <w:uiPriority w:val="39"/>
    <w:unhideWhenUsed/>
    <w:rsid w:val="00E60710"/>
    <w:pPr>
      <w:spacing w:after="100"/>
      <w:ind w:left="44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792">
      <w:bodyDiv w:val="1"/>
      <w:marLeft w:val="0"/>
      <w:marRight w:val="0"/>
      <w:marTop w:val="0"/>
      <w:marBottom w:val="0"/>
      <w:divBdr>
        <w:top w:val="none" w:sz="0" w:space="0" w:color="auto"/>
        <w:left w:val="none" w:sz="0" w:space="0" w:color="auto"/>
        <w:bottom w:val="none" w:sz="0" w:space="0" w:color="auto"/>
        <w:right w:val="none" w:sz="0" w:space="0" w:color="auto"/>
      </w:divBdr>
    </w:div>
    <w:div w:id="288048068">
      <w:bodyDiv w:val="1"/>
      <w:marLeft w:val="0"/>
      <w:marRight w:val="0"/>
      <w:marTop w:val="0"/>
      <w:marBottom w:val="0"/>
      <w:divBdr>
        <w:top w:val="none" w:sz="0" w:space="0" w:color="auto"/>
        <w:left w:val="none" w:sz="0" w:space="0" w:color="auto"/>
        <w:bottom w:val="none" w:sz="0" w:space="0" w:color="auto"/>
        <w:right w:val="none" w:sz="0" w:space="0" w:color="auto"/>
      </w:divBdr>
    </w:div>
    <w:div w:id="644894309">
      <w:bodyDiv w:val="1"/>
      <w:marLeft w:val="0"/>
      <w:marRight w:val="0"/>
      <w:marTop w:val="0"/>
      <w:marBottom w:val="0"/>
      <w:divBdr>
        <w:top w:val="none" w:sz="0" w:space="0" w:color="auto"/>
        <w:left w:val="none" w:sz="0" w:space="0" w:color="auto"/>
        <w:bottom w:val="none" w:sz="0" w:space="0" w:color="auto"/>
        <w:right w:val="none" w:sz="0" w:space="0" w:color="auto"/>
      </w:divBdr>
    </w:div>
    <w:div w:id="708260135">
      <w:bodyDiv w:val="1"/>
      <w:marLeft w:val="0"/>
      <w:marRight w:val="0"/>
      <w:marTop w:val="0"/>
      <w:marBottom w:val="0"/>
      <w:divBdr>
        <w:top w:val="none" w:sz="0" w:space="0" w:color="auto"/>
        <w:left w:val="none" w:sz="0" w:space="0" w:color="auto"/>
        <w:bottom w:val="none" w:sz="0" w:space="0" w:color="auto"/>
        <w:right w:val="none" w:sz="0" w:space="0" w:color="auto"/>
      </w:divBdr>
    </w:div>
    <w:div w:id="715353921">
      <w:bodyDiv w:val="1"/>
      <w:marLeft w:val="0"/>
      <w:marRight w:val="0"/>
      <w:marTop w:val="0"/>
      <w:marBottom w:val="0"/>
      <w:divBdr>
        <w:top w:val="none" w:sz="0" w:space="0" w:color="auto"/>
        <w:left w:val="none" w:sz="0" w:space="0" w:color="auto"/>
        <w:bottom w:val="none" w:sz="0" w:space="0" w:color="auto"/>
        <w:right w:val="none" w:sz="0" w:space="0" w:color="auto"/>
      </w:divBdr>
    </w:div>
    <w:div w:id="966617365">
      <w:bodyDiv w:val="1"/>
      <w:marLeft w:val="0"/>
      <w:marRight w:val="0"/>
      <w:marTop w:val="0"/>
      <w:marBottom w:val="0"/>
      <w:divBdr>
        <w:top w:val="none" w:sz="0" w:space="0" w:color="auto"/>
        <w:left w:val="none" w:sz="0" w:space="0" w:color="auto"/>
        <w:bottom w:val="none" w:sz="0" w:space="0" w:color="auto"/>
        <w:right w:val="none" w:sz="0" w:space="0" w:color="auto"/>
      </w:divBdr>
    </w:div>
    <w:div w:id="1028875459">
      <w:bodyDiv w:val="1"/>
      <w:marLeft w:val="0"/>
      <w:marRight w:val="0"/>
      <w:marTop w:val="0"/>
      <w:marBottom w:val="0"/>
      <w:divBdr>
        <w:top w:val="none" w:sz="0" w:space="0" w:color="auto"/>
        <w:left w:val="none" w:sz="0" w:space="0" w:color="auto"/>
        <w:bottom w:val="none" w:sz="0" w:space="0" w:color="auto"/>
        <w:right w:val="none" w:sz="0" w:space="0" w:color="auto"/>
      </w:divBdr>
    </w:div>
    <w:div w:id="20539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business.fund/fileadmin/user_upload/impact/Theory_of_Change/EBF_Theory_of_change_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mpactprincipl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11</Value>
      <Value>10</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cd3c523b-aa8f-4804-a23e-31cb3efad401">
      <Terms xmlns="http://schemas.microsoft.com/office/infopath/2007/PartnerControls"/>
    </lcf76f155ced4ddcb4097134ff3c332f>
    <MediaLengthInSeconds xmlns="cd3c523b-aa8f-4804-a23e-31cb3efad40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0" ma:contentTypeDescription="Create a new document." ma:contentTypeScope="" ma:versionID="6bccc43fd84fcb2bc07a4d1b3b3e19eb">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b6bf59eafe58f12eb4bef7b239dea0b3"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A2293-BBC8-4F67-8216-49BF51A2B017}">
  <ds:schemaRefs>
    <ds:schemaRef ds:uri="http://schemas.microsoft.com/office/2006/metadata/properties"/>
    <ds:schemaRef ds:uri="http://schemas.microsoft.com/office/infopath/2007/PartnerControls"/>
    <ds:schemaRef ds:uri="f8107bcd-ca63-44d3-b746-0c7fa6d2c07a"/>
    <ds:schemaRef ds:uri="40fb5e5f-0581-4681-b87e-9c4bc73d06b0"/>
    <ds:schemaRef ds:uri="662745e8-e224-48e8-a2e3-254862b8c2f5"/>
    <ds:schemaRef ds:uri="0f50e317-d97a-4d4b-be23-be7479f90fa5"/>
    <ds:schemaRef ds:uri="cd3c523b-aa8f-4804-a23e-31cb3efad401"/>
    <ds:schemaRef ds:uri="http://schemas.microsoft.com/sharepoint/v3"/>
  </ds:schemaRefs>
</ds:datastoreItem>
</file>

<file path=customXml/itemProps2.xml><?xml version="1.0" encoding="utf-8"?>
<ds:datastoreItem xmlns:ds="http://schemas.openxmlformats.org/officeDocument/2006/customXml" ds:itemID="{04FC8238-3E88-46BE-A529-70A4E2E84398}">
  <ds:schemaRefs>
    <ds:schemaRef ds:uri="http://schemas.microsoft.com/sharepoint/v3/contenttype/forms"/>
  </ds:schemaRefs>
</ds:datastoreItem>
</file>

<file path=customXml/itemProps3.xml><?xml version="1.0" encoding="utf-8"?>
<ds:datastoreItem xmlns:ds="http://schemas.openxmlformats.org/officeDocument/2006/customXml" ds:itemID="{325DED25-A727-4BF5-A8C4-DB79AAA4D458}">
  <ds:schemaRefs>
    <ds:schemaRef ds:uri="Microsoft.SharePoint.Taxonomy.ContentTypeSync"/>
  </ds:schemaRefs>
</ds:datastoreItem>
</file>

<file path=customXml/itemProps4.xml><?xml version="1.0" encoding="utf-8"?>
<ds:datastoreItem xmlns:ds="http://schemas.openxmlformats.org/officeDocument/2006/customXml" ds:itemID="{6D006072-DD52-43B5-B331-8DEE595F15DB}">
  <ds:schemaRefs>
    <ds:schemaRef ds:uri="http://schemas.openxmlformats.org/officeDocument/2006/bibliography"/>
  </ds:schemaRefs>
</ds:datastoreItem>
</file>

<file path=customXml/itemProps5.xml><?xml version="1.0" encoding="utf-8"?>
<ds:datastoreItem xmlns:ds="http://schemas.openxmlformats.org/officeDocument/2006/customXml" ds:itemID="{63AB32E5-61B0-4245-98EA-00DC0890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Graham</dc:creator>
  <cp:keywords/>
  <dc:description/>
  <cp:lastModifiedBy>William Norman</cp:lastModifiedBy>
  <cp:revision>12</cp:revision>
  <cp:lastPrinted>2020-02-05T00:13:00Z</cp:lastPrinted>
  <dcterms:created xsi:type="dcterms:W3CDTF">2022-10-24T13:55:00Z</dcterms:created>
  <dcterms:modified xsi:type="dcterms:W3CDTF">2023-03-09T13:20:00Z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0x010100A5BF1C78D9F64B679A5EBDE1C6598EBC01007F88C51DAF897B458237A9C1200953D8</vt:lpwstr>
  </property>
  <property fmtid="{D5CDD505-2E9C-101B-9397-08002B2CF9AE}" pid="3" name="Directorate">
    <vt:lpwstr/>
  </property>
  <property fmtid="{D5CDD505-2E9C-101B-9397-08002B2CF9AE}" pid="4" name="SecurityClassification">
    <vt:lpwstr/>
  </property>
  <property fmtid="{D5CDD505-2E9C-101B-9397-08002B2CF9AE}" pid="5" name="lae2bfa7b6474897ab4a53f76ea236c7">
    <vt:lpwstr>Official|14c80daa-741b-422c-9722-f71693c9ede4</vt:lpwstr>
  </property>
  <property fmtid="{D5CDD505-2E9C-101B-9397-08002B2CF9AE}" pid="6" name="ddeb1fd0a9ad4436a96525d34737dc44">
    <vt:lpwstr>Internal Defra Group|0867f7b3-e76e-40ca-bb1f-5ba341a49230</vt:lpwstr>
  </property>
  <property fmtid="{D5CDD505-2E9C-101B-9397-08002B2CF9AE}" pid="7" name="fe59e9859d6a491389c5b03567f5dda5">
    <vt:lpwstr>Core Defra|026223dd-2e56-4615-868d-7c5bfd566810</vt:lpwstr>
  </property>
  <property fmtid="{D5CDD505-2E9C-101B-9397-08002B2CF9AE}" pid="8" name="n7493b4506bf40e28c373b1e51a33445">
    <vt:lpwstr>Team|ff0485df-0575-416f-802f-e999165821b7</vt:lpwstr>
  </property>
  <property fmtid="{D5CDD505-2E9C-101B-9397-08002B2CF9AE}" pid="9" name="cf401361b24e474cb011be6eb76c0e76">
    <vt:lpwstr>Crown|69589897-2828-4761-976e-717fd8e631c9</vt:lpwstr>
  </property>
  <property fmtid="{D5CDD505-2E9C-101B-9397-08002B2CF9AE}" pid="10" name="Distribution">
    <vt:lpwstr>11;#Internal Defra Group|0867f7b3-e76e-40ca-bb1f-5ba341a49230</vt:lpwstr>
  </property>
  <property fmtid="{D5CDD505-2E9C-101B-9397-08002B2CF9AE}" pid="11" name="HOCopyrightLevel">
    <vt:lpwstr>7;#Crown|69589897-2828-4761-976e-717fd8e631c9</vt:lpwstr>
  </property>
  <property fmtid="{D5CDD505-2E9C-101B-9397-08002B2CF9AE}" pid="12" name="HOGovernmentSecurityClassification">
    <vt:lpwstr>6;#Official|14c80daa-741b-422c-9722-f71693c9ede4</vt:lpwstr>
  </property>
  <property fmtid="{D5CDD505-2E9C-101B-9397-08002B2CF9AE}" pid="13" name="HOSiteType">
    <vt:lpwstr>10;#Team|ff0485df-0575-416f-802f-e999165821b7</vt:lpwstr>
  </property>
  <property fmtid="{D5CDD505-2E9C-101B-9397-08002B2CF9AE}" pid="14" name="OrganisationalUnit">
    <vt:lpwstr>8;#Core Defra|026223dd-2e56-4615-868d-7c5bfd566810</vt:lpwstr>
  </property>
  <property fmtid="{D5CDD505-2E9C-101B-9397-08002B2CF9AE}" pid="15" name="Cross Cutting">
    <vt:lpwstr/>
  </property>
  <property fmtid="{D5CDD505-2E9C-101B-9397-08002B2CF9AE}" pid="16" name="Organisation">
    <vt:lpwstr/>
  </property>
  <property fmtid="{D5CDD505-2E9C-101B-9397-08002B2CF9AE}" pid="17" name="Circulation">
    <vt:lpwstr/>
  </property>
  <property fmtid="{D5CDD505-2E9C-101B-9397-08002B2CF9AE}" pid="18" name="Document Type">
    <vt:lpwstr/>
  </property>
  <property fmtid="{D5CDD505-2E9C-101B-9397-08002B2CF9AE}" pid="19" name="Events">
    <vt:lpwstr/>
  </property>
  <property fmtid="{D5CDD505-2E9C-101B-9397-08002B2CF9AE}" pid="20" name="InformationType">
    <vt:lpwstr/>
  </property>
  <property fmtid="{D5CDD505-2E9C-101B-9397-08002B2CF9AE}" pid="21" name="k85d23755b3a46b5a51451cf336b2e9b">
    <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HOFrom">
    <vt:lpwstr/>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vti_imgdate">
    <vt:lpwstr/>
  </property>
  <property fmtid="{D5CDD505-2E9C-101B-9397-08002B2CF9AE}" pid="30" name="TriggerFlowInfo">
    <vt:lpwstr/>
  </property>
  <property fmtid="{D5CDD505-2E9C-101B-9397-08002B2CF9AE}" pid="31" name="HOTo">
    <vt:lpwstr/>
  </property>
  <property fmtid="{D5CDD505-2E9C-101B-9397-08002B2CF9AE}" pid="32" name="xd_Signature">
    <vt:bool>false</vt:bool>
  </property>
  <property fmtid="{D5CDD505-2E9C-101B-9397-08002B2CF9AE}" pid="33" name="HOSubject">
    <vt:lpwstr/>
  </property>
  <property fmtid="{D5CDD505-2E9C-101B-9397-08002B2CF9AE}" pid="34" name="wic_System_Copyright">
    <vt:lpwstr/>
  </property>
  <property fmtid="{D5CDD505-2E9C-101B-9397-08002B2CF9AE}" pid="35" name="HOCC">
    <vt:lpwstr/>
  </property>
</Properties>
</file>