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6DE4" w14:textId="5406E77D" w:rsidR="00226263" w:rsidRPr="00226263" w:rsidRDefault="00226263" w:rsidP="2E3F19C8">
      <w:pPr>
        <w:spacing w:before="0" w:after="0" w:line="240" w:lineRule="auto"/>
        <w:textAlignment w:val="baseline"/>
        <w:rPr>
          <w:rFonts w:ascii="Calibri" w:eastAsia="Times New Roman" w:hAnsi="Calibri" w:cs="Calibri"/>
          <w:sz w:val="22"/>
          <w:szCs w:val="22"/>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2400"/>
        <w:gridCol w:w="2655"/>
      </w:tblGrid>
      <w:tr w:rsidR="00226263" w:rsidRPr="00226263" w14:paraId="6C2EFA37" w14:textId="77777777" w:rsidTr="00226263">
        <w:trPr>
          <w:trHeight w:val="405"/>
        </w:trPr>
        <w:tc>
          <w:tcPr>
            <w:tcW w:w="9015" w:type="dxa"/>
            <w:gridSpan w:val="3"/>
            <w:tcBorders>
              <w:top w:val="single" w:sz="6" w:space="0" w:color="auto"/>
              <w:left w:val="single" w:sz="6" w:space="0" w:color="auto"/>
              <w:bottom w:val="dotted" w:sz="6" w:space="0" w:color="000000"/>
              <w:right w:val="single" w:sz="6" w:space="0" w:color="auto"/>
            </w:tcBorders>
            <w:shd w:val="clear" w:color="auto" w:fill="auto"/>
            <w:hideMark/>
          </w:tcPr>
          <w:p w14:paraId="716C8B75" w14:textId="77777777" w:rsidR="00226263" w:rsidRPr="00226263" w:rsidRDefault="00226263" w:rsidP="00C652DD">
            <w:pPr>
              <w:spacing w:before="0" w:after="0" w:line="240" w:lineRule="auto"/>
              <w:textAlignment w:val="baseline"/>
              <w:divId w:val="604074489"/>
              <w:rPr>
                <w:rFonts w:ascii="Times New Roman" w:eastAsia="Times New Roman" w:hAnsi="Times New Roman"/>
                <w:lang w:eastAsia="en-GB"/>
              </w:rPr>
            </w:pPr>
            <w:r w:rsidRPr="00226263">
              <w:rPr>
                <w:rFonts w:ascii="Calibri" w:eastAsia="Times New Roman" w:hAnsi="Calibri" w:cs="Calibri"/>
                <w:b/>
                <w:bCs/>
                <w:sz w:val="22"/>
                <w:szCs w:val="22"/>
                <w:lang w:eastAsia="en-GB"/>
              </w:rPr>
              <w:t>Title:  International Climate Finance (ICF) Research and Development Programme Annual Review </w:t>
            </w:r>
            <w:r w:rsidRPr="00226263">
              <w:rPr>
                <w:rFonts w:ascii="Calibri" w:eastAsia="Times New Roman" w:hAnsi="Calibri" w:cs="Calibri"/>
                <w:sz w:val="22"/>
                <w:szCs w:val="22"/>
                <w:lang w:eastAsia="en-GB"/>
              </w:rPr>
              <w:t> </w:t>
            </w:r>
          </w:p>
        </w:tc>
      </w:tr>
      <w:tr w:rsidR="00226263" w:rsidRPr="00226263" w14:paraId="23EDAF67" w14:textId="77777777" w:rsidTr="00226263">
        <w:trPr>
          <w:trHeight w:val="405"/>
        </w:trPr>
        <w:tc>
          <w:tcPr>
            <w:tcW w:w="6360" w:type="dxa"/>
            <w:gridSpan w:val="2"/>
            <w:tcBorders>
              <w:top w:val="dotted" w:sz="6" w:space="0" w:color="000000"/>
              <w:left w:val="single" w:sz="6" w:space="0" w:color="000000"/>
              <w:bottom w:val="dotted" w:sz="6" w:space="0" w:color="000000"/>
              <w:right w:val="dotted" w:sz="6" w:space="0" w:color="000000"/>
            </w:tcBorders>
            <w:shd w:val="clear" w:color="auto" w:fill="auto"/>
            <w:hideMark/>
          </w:tcPr>
          <w:p w14:paraId="614213C7" w14:textId="77777777" w:rsidR="00226263" w:rsidRPr="00226263" w:rsidRDefault="00226263" w:rsidP="000840B1">
            <w:pPr>
              <w:spacing w:before="0" w:after="0" w:line="240" w:lineRule="auto"/>
              <w:textAlignment w:val="baseline"/>
              <w:rPr>
                <w:rFonts w:ascii="Times New Roman" w:eastAsia="Times New Roman" w:hAnsi="Times New Roman"/>
                <w:lang w:eastAsia="en-GB"/>
              </w:rPr>
            </w:pPr>
            <w:r w:rsidRPr="00226263">
              <w:rPr>
                <w:rFonts w:ascii="Calibri" w:eastAsia="Times New Roman" w:hAnsi="Calibri" w:cs="Calibri"/>
                <w:b/>
                <w:bCs/>
                <w:sz w:val="22"/>
                <w:szCs w:val="22"/>
                <w:lang w:eastAsia="en-GB"/>
              </w:rPr>
              <w:t xml:space="preserve">Programme Value: </w:t>
            </w:r>
            <w:r w:rsidRPr="00226263">
              <w:rPr>
                <w:rFonts w:ascii="Calibri" w:eastAsia="Times New Roman" w:hAnsi="Calibri" w:cs="Calibri"/>
                <w:sz w:val="22"/>
                <w:szCs w:val="22"/>
                <w:lang w:eastAsia="en-GB"/>
              </w:rPr>
              <w:t>£9m </w:t>
            </w:r>
          </w:p>
        </w:tc>
        <w:tc>
          <w:tcPr>
            <w:tcW w:w="2640" w:type="dxa"/>
            <w:tcBorders>
              <w:top w:val="dotted" w:sz="6" w:space="0" w:color="000000"/>
              <w:left w:val="dotted" w:sz="6" w:space="0" w:color="000000"/>
              <w:bottom w:val="dotted" w:sz="6" w:space="0" w:color="000000"/>
              <w:right w:val="single" w:sz="6" w:space="0" w:color="000000"/>
            </w:tcBorders>
            <w:shd w:val="clear" w:color="auto" w:fill="auto"/>
            <w:hideMark/>
          </w:tcPr>
          <w:p w14:paraId="3EFDA69D" w14:textId="77777777" w:rsidR="00226263" w:rsidRPr="00226263" w:rsidRDefault="00226263" w:rsidP="00C652DD">
            <w:pPr>
              <w:spacing w:before="0" w:after="0" w:line="240" w:lineRule="auto"/>
              <w:textAlignment w:val="baseline"/>
              <w:rPr>
                <w:rFonts w:ascii="Times New Roman" w:eastAsia="Times New Roman" w:hAnsi="Times New Roman"/>
                <w:lang w:eastAsia="en-GB"/>
              </w:rPr>
            </w:pPr>
            <w:r w:rsidRPr="00226263">
              <w:rPr>
                <w:rFonts w:ascii="Calibri" w:eastAsia="Times New Roman" w:hAnsi="Calibri" w:cs="Calibri"/>
                <w:b/>
                <w:bCs/>
                <w:sz w:val="22"/>
                <w:szCs w:val="22"/>
                <w:lang w:eastAsia="en-GB"/>
              </w:rPr>
              <w:t>Review date: </w:t>
            </w:r>
            <w:r w:rsidRPr="00226263">
              <w:rPr>
                <w:rFonts w:ascii="Calibri" w:eastAsia="Times New Roman" w:hAnsi="Calibri" w:cs="Calibri"/>
                <w:sz w:val="22"/>
                <w:szCs w:val="22"/>
                <w:lang w:eastAsia="en-GB"/>
              </w:rPr>
              <w:t xml:space="preserve"> April 2020 to July 2021  </w:t>
            </w:r>
          </w:p>
        </w:tc>
      </w:tr>
      <w:tr w:rsidR="00226263" w:rsidRPr="00226263" w14:paraId="63DF2EDF" w14:textId="77777777" w:rsidTr="00226263">
        <w:trPr>
          <w:trHeight w:val="300"/>
        </w:trPr>
        <w:tc>
          <w:tcPr>
            <w:tcW w:w="3960" w:type="dxa"/>
            <w:tcBorders>
              <w:top w:val="dotted" w:sz="6" w:space="0" w:color="000000"/>
              <w:left w:val="single" w:sz="6" w:space="0" w:color="auto"/>
              <w:bottom w:val="single" w:sz="6" w:space="0" w:color="auto"/>
              <w:right w:val="dotted" w:sz="6" w:space="0" w:color="000000"/>
            </w:tcBorders>
            <w:shd w:val="clear" w:color="auto" w:fill="auto"/>
            <w:hideMark/>
          </w:tcPr>
          <w:p w14:paraId="706EB824" w14:textId="77777777" w:rsidR="00226263" w:rsidRPr="00226263" w:rsidRDefault="00226263" w:rsidP="000840B1">
            <w:pPr>
              <w:spacing w:before="0" w:after="0" w:line="240" w:lineRule="auto"/>
              <w:textAlignment w:val="baseline"/>
              <w:rPr>
                <w:rFonts w:ascii="Times New Roman" w:eastAsia="Times New Roman" w:hAnsi="Times New Roman"/>
                <w:lang w:eastAsia="en-GB"/>
              </w:rPr>
            </w:pPr>
            <w:r w:rsidRPr="00226263">
              <w:rPr>
                <w:rFonts w:ascii="Calibri" w:eastAsia="Times New Roman" w:hAnsi="Calibri" w:cs="Calibri"/>
                <w:b/>
                <w:bCs/>
                <w:sz w:val="22"/>
                <w:szCs w:val="22"/>
                <w:lang w:eastAsia="en-GB"/>
              </w:rPr>
              <w:t xml:space="preserve">Programme Code: </w:t>
            </w:r>
            <w:r w:rsidRPr="00226263">
              <w:rPr>
                <w:rFonts w:ascii="Calibri" w:eastAsia="Times New Roman" w:hAnsi="Calibri" w:cs="Calibri"/>
                <w:sz w:val="22"/>
                <w:szCs w:val="22"/>
                <w:lang w:eastAsia="en-GB"/>
              </w:rPr>
              <w:t>[ICF-PO011 R&amp;D] </w:t>
            </w:r>
          </w:p>
          <w:p w14:paraId="629B1FFB" w14:textId="77777777" w:rsidR="00226263" w:rsidRPr="00226263" w:rsidRDefault="00226263" w:rsidP="00C652DD">
            <w:pPr>
              <w:spacing w:before="0" w:after="0" w:line="240" w:lineRule="auto"/>
              <w:textAlignment w:val="baseline"/>
              <w:rPr>
                <w:rFonts w:ascii="Times New Roman" w:eastAsia="Times New Roman" w:hAnsi="Times New Roman"/>
                <w:lang w:eastAsia="en-GB"/>
              </w:rPr>
            </w:pPr>
            <w:r w:rsidRPr="00226263">
              <w:rPr>
                <w:rFonts w:ascii="Calibri" w:eastAsia="Times New Roman" w:hAnsi="Calibri" w:cs="Calibri"/>
                <w:sz w:val="22"/>
                <w:szCs w:val="22"/>
                <w:lang w:eastAsia="en-GB"/>
              </w:rPr>
              <w:t> </w:t>
            </w:r>
          </w:p>
        </w:tc>
        <w:tc>
          <w:tcPr>
            <w:tcW w:w="2400" w:type="dxa"/>
            <w:tcBorders>
              <w:top w:val="dotted" w:sz="6" w:space="0" w:color="000000"/>
              <w:left w:val="dotted" w:sz="6" w:space="0" w:color="000000"/>
              <w:bottom w:val="single" w:sz="6" w:space="0" w:color="000000"/>
              <w:right w:val="dotted" w:sz="6" w:space="0" w:color="000000"/>
            </w:tcBorders>
            <w:shd w:val="clear" w:color="auto" w:fill="auto"/>
            <w:hideMark/>
          </w:tcPr>
          <w:p w14:paraId="7426D764" w14:textId="77777777" w:rsidR="00226263" w:rsidRPr="00226263" w:rsidRDefault="00226263" w:rsidP="00C652DD">
            <w:pPr>
              <w:spacing w:before="0" w:after="0" w:line="240" w:lineRule="auto"/>
              <w:textAlignment w:val="baseline"/>
              <w:rPr>
                <w:rFonts w:ascii="Times New Roman" w:eastAsia="Times New Roman" w:hAnsi="Times New Roman"/>
                <w:lang w:eastAsia="en-GB"/>
              </w:rPr>
            </w:pPr>
            <w:r w:rsidRPr="00226263">
              <w:rPr>
                <w:rFonts w:ascii="Calibri" w:eastAsia="Times New Roman" w:hAnsi="Calibri" w:cs="Calibri"/>
                <w:b/>
                <w:bCs/>
                <w:sz w:val="22"/>
                <w:szCs w:val="22"/>
                <w:lang w:eastAsia="en-GB"/>
              </w:rPr>
              <w:t>Start date:</w:t>
            </w:r>
            <w:r w:rsidRPr="00226263">
              <w:rPr>
                <w:rFonts w:ascii="Calibri" w:eastAsia="Times New Roman" w:hAnsi="Calibri" w:cs="Calibri"/>
                <w:sz w:val="22"/>
                <w:szCs w:val="22"/>
                <w:lang w:eastAsia="en-GB"/>
              </w:rPr>
              <w:t xml:space="preserve"> Apr 2020 </w:t>
            </w:r>
          </w:p>
        </w:tc>
        <w:tc>
          <w:tcPr>
            <w:tcW w:w="2640" w:type="dxa"/>
            <w:tcBorders>
              <w:top w:val="dotted" w:sz="6" w:space="0" w:color="000000"/>
              <w:left w:val="dotted" w:sz="6" w:space="0" w:color="000000"/>
              <w:bottom w:val="single" w:sz="6" w:space="0" w:color="auto"/>
              <w:right w:val="single" w:sz="6" w:space="0" w:color="auto"/>
            </w:tcBorders>
            <w:shd w:val="clear" w:color="auto" w:fill="auto"/>
            <w:hideMark/>
          </w:tcPr>
          <w:p w14:paraId="11221729" w14:textId="77777777" w:rsidR="00226263" w:rsidRPr="00226263" w:rsidRDefault="00226263" w:rsidP="00FB5425">
            <w:pPr>
              <w:spacing w:before="0" w:after="0" w:line="240" w:lineRule="auto"/>
              <w:textAlignment w:val="baseline"/>
              <w:rPr>
                <w:rFonts w:ascii="Times New Roman" w:eastAsia="Times New Roman" w:hAnsi="Times New Roman"/>
                <w:lang w:eastAsia="en-GB"/>
              </w:rPr>
            </w:pPr>
            <w:r w:rsidRPr="00226263">
              <w:rPr>
                <w:rFonts w:ascii="Calibri" w:eastAsia="Times New Roman" w:hAnsi="Calibri" w:cs="Calibri"/>
                <w:b/>
                <w:bCs/>
                <w:sz w:val="22"/>
                <w:szCs w:val="22"/>
                <w:lang w:eastAsia="en-GB"/>
              </w:rPr>
              <w:t>End date:</w:t>
            </w:r>
            <w:r w:rsidRPr="00226263">
              <w:rPr>
                <w:rFonts w:ascii="Calibri" w:eastAsia="Times New Roman" w:hAnsi="Calibri" w:cs="Calibri"/>
                <w:sz w:val="22"/>
                <w:szCs w:val="22"/>
                <w:lang w:eastAsia="en-GB"/>
              </w:rPr>
              <w:t xml:space="preserve"> Mar 2025 </w:t>
            </w:r>
          </w:p>
        </w:tc>
      </w:tr>
    </w:tbl>
    <w:p w14:paraId="04161CF2" w14:textId="77777777" w:rsidR="00226263" w:rsidRPr="00226263" w:rsidRDefault="00226263" w:rsidP="000840B1">
      <w:pPr>
        <w:spacing w:before="0" w:after="0" w:line="240" w:lineRule="auto"/>
        <w:textAlignment w:val="baseline"/>
        <w:rPr>
          <w:rFonts w:ascii="Segoe UI" w:eastAsia="Times New Roman" w:hAnsi="Segoe UI" w:cs="Segoe UI"/>
          <w:color w:val="2F5496"/>
          <w:sz w:val="18"/>
          <w:szCs w:val="18"/>
          <w:lang w:eastAsia="en-GB"/>
        </w:rPr>
      </w:pPr>
      <w:r w:rsidRPr="00226263">
        <w:rPr>
          <w:rFonts w:ascii="Calibri Light" w:eastAsia="Times New Roman" w:hAnsi="Calibri Light" w:cs="Calibri Light"/>
          <w:color w:val="2F5496"/>
          <w:sz w:val="32"/>
          <w:szCs w:val="32"/>
          <w:lang w:eastAsia="en-GB"/>
        </w:rPr>
        <w:t>Summary of Programme Performance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1335"/>
        <w:gridCol w:w="810"/>
        <w:gridCol w:w="900"/>
        <w:gridCol w:w="765"/>
        <w:gridCol w:w="750"/>
      </w:tblGrid>
      <w:tr w:rsidR="00226263" w:rsidRPr="00226263" w14:paraId="14903316" w14:textId="77777777" w:rsidTr="69D41E75">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B4C6E7"/>
            <w:hideMark/>
          </w:tcPr>
          <w:p w14:paraId="5F613406" w14:textId="77777777" w:rsidR="00226263" w:rsidRPr="00226263" w:rsidRDefault="00226263" w:rsidP="00C652DD">
            <w:pPr>
              <w:spacing w:before="0" w:after="0" w:line="240" w:lineRule="auto"/>
              <w:textAlignment w:val="baseline"/>
              <w:rPr>
                <w:rFonts w:ascii="Times New Roman" w:eastAsia="Times New Roman" w:hAnsi="Times New Roman"/>
                <w:lang w:eastAsia="en-GB"/>
              </w:rPr>
            </w:pPr>
            <w:r w:rsidRPr="00226263">
              <w:rPr>
                <w:rFonts w:ascii="Calibri" w:eastAsia="Times New Roman" w:hAnsi="Calibri" w:cs="Calibri"/>
                <w:sz w:val="22"/>
                <w:szCs w:val="22"/>
                <w:lang w:eastAsia="en-GB"/>
              </w:rPr>
              <w:t>Year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2F15A84A" w14:textId="77777777" w:rsidR="00226263" w:rsidRPr="00226263" w:rsidRDefault="00226263" w:rsidP="00C652DD">
            <w:pPr>
              <w:spacing w:before="0" w:after="0" w:line="240" w:lineRule="auto"/>
              <w:textAlignment w:val="baseline"/>
              <w:rPr>
                <w:rFonts w:ascii="Times New Roman" w:eastAsia="Times New Roman" w:hAnsi="Times New Roman"/>
                <w:lang w:eastAsia="en-GB"/>
              </w:rPr>
            </w:pPr>
            <w:r w:rsidRPr="00226263">
              <w:rPr>
                <w:rFonts w:ascii="Calibri" w:eastAsia="Times New Roman" w:hAnsi="Calibri" w:cs="Calibri"/>
                <w:b/>
                <w:bCs/>
                <w:sz w:val="22"/>
                <w:szCs w:val="22"/>
                <w:lang w:eastAsia="en-GB"/>
              </w:rPr>
              <w:t>AR 1 </w:t>
            </w:r>
            <w:r w:rsidRPr="00226263">
              <w:rPr>
                <w:rFonts w:ascii="Calibri" w:eastAsia="Times New Roman" w:hAnsi="Calibri" w:cs="Calibri"/>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CE5FE1D" w14:textId="77777777" w:rsidR="00226263" w:rsidRPr="00226263" w:rsidRDefault="00226263" w:rsidP="00FB5425">
            <w:pPr>
              <w:spacing w:before="0" w:after="0" w:line="240" w:lineRule="auto"/>
              <w:textAlignment w:val="baseline"/>
              <w:rPr>
                <w:rFonts w:ascii="Times New Roman" w:eastAsia="Times New Roman" w:hAnsi="Times New Roman"/>
                <w:lang w:eastAsia="en-GB"/>
              </w:rPr>
            </w:pPr>
            <w:r w:rsidRPr="00226263">
              <w:rPr>
                <w:rFonts w:ascii="Calibri" w:eastAsia="Times New Roman" w:hAnsi="Calibri" w:cs="Calibri"/>
                <w:b/>
                <w:bCs/>
                <w:sz w:val="22"/>
                <w:szCs w:val="22"/>
                <w:lang w:eastAsia="en-GB"/>
              </w:rPr>
              <w:t>AR 2</w:t>
            </w:r>
            <w:r w:rsidRPr="00226263">
              <w:rPr>
                <w:rFonts w:ascii="Calibri" w:eastAsia="Times New Roman" w:hAnsi="Calibri" w:cs="Calibri"/>
                <w:sz w:val="22"/>
                <w:szCs w:val="22"/>
                <w:lang w:eastAsia="en-GB"/>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4E529991" w14:textId="77777777" w:rsidR="00226263" w:rsidRPr="00226263" w:rsidRDefault="00226263" w:rsidP="00FB5425">
            <w:pPr>
              <w:spacing w:before="0" w:after="0" w:line="240" w:lineRule="auto"/>
              <w:textAlignment w:val="baseline"/>
              <w:rPr>
                <w:rFonts w:ascii="Times New Roman" w:eastAsia="Times New Roman" w:hAnsi="Times New Roman"/>
                <w:lang w:eastAsia="en-GB"/>
              </w:rPr>
            </w:pPr>
            <w:r w:rsidRPr="00226263">
              <w:rPr>
                <w:rFonts w:ascii="Calibri" w:eastAsia="Times New Roman" w:hAnsi="Calibri" w:cs="Calibri"/>
                <w:b/>
                <w:bCs/>
                <w:sz w:val="22"/>
                <w:szCs w:val="22"/>
                <w:lang w:eastAsia="en-GB"/>
              </w:rPr>
              <w:t>AR 3</w:t>
            </w:r>
            <w:r w:rsidRPr="00226263">
              <w:rPr>
                <w:rFonts w:ascii="Calibri" w:eastAsia="Times New Roman" w:hAnsi="Calibri" w:cs="Calibri"/>
                <w:sz w:val="22"/>
                <w:szCs w:val="22"/>
                <w:lang w:eastAsia="en-GB"/>
              </w:rPr>
              <w:t> </w:t>
            </w:r>
          </w:p>
        </w:tc>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51DA3368" w14:textId="77777777" w:rsidR="00226263" w:rsidRPr="00226263" w:rsidRDefault="00226263" w:rsidP="00FB5425">
            <w:pPr>
              <w:spacing w:before="0" w:after="0" w:line="240" w:lineRule="auto"/>
              <w:textAlignment w:val="baseline"/>
              <w:rPr>
                <w:rFonts w:ascii="Times New Roman" w:eastAsia="Times New Roman" w:hAnsi="Times New Roman"/>
                <w:lang w:eastAsia="en-GB"/>
              </w:rPr>
            </w:pPr>
            <w:r w:rsidRPr="00226263">
              <w:rPr>
                <w:rFonts w:ascii="Calibri" w:eastAsia="Times New Roman" w:hAnsi="Calibri" w:cs="Calibri"/>
                <w:b/>
                <w:bCs/>
                <w:sz w:val="22"/>
                <w:szCs w:val="22"/>
                <w:lang w:eastAsia="en-GB"/>
              </w:rPr>
              <w:t>AR 4</w:t>
            </w:r>
            <w:r w:rsidRPr="00226263">
              <w:rPr>
                <w:rFonts w:ascii="Calibri" w:eastAsia="Times New Roman" w:hAnsi="Calibri" w:cs="Calibri"/>
                <w:sz w:val="22"/>
                <w:szCs w:val="22"/>
                <w:lang w:eastAsia="en-GB"/>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3AF2ED8E" w14:textId="77777777" w:rsidR="00226263" w:rsidRPr="00226263" w:rsidRDefault="00226263" w:rsidP="00FB5425">
            <w:pPr>
              <w:spacing w:before="0" w:after="0" w:line="240" w:lineRule="auto"/>
              <w:textAlignment w:val="baseline"/>
              <w:rPr>
                <w:rFonts w:ascii="Times New Roman" w:eastAsia="Times New Roman" w:hAnsi="Times New Roman"/>
                <w:lang w:eastAsia="en-GB"/>
              </w:rPr>
            </w:pPr>
            <w:r w:rsidRPr="00226263">
              <w:rPr>
                <w:rFonts w:ascii="Calibri" w:eastAsia="Times New Roman" w:hAnsi="Calibri" w:cs="Calibri"/>
                <w:b/>
                <w:bCs/>
                <w:sz w:val="22"/>
                <w:szCs w:val="22"/>
                <w:lang w:eastAsia="en-GB"/>
              </w:rPr>
              <w:t>AR 5</w:t>
            </w:r>
            <w:r w:rsidRPr="00226263">
              <w:rPr>
                <w:rFonts w:ascii="Calibri" w:eastAsia="Times New Roman" w:hAnsi="Calibri" w:cs="Calibri"/>
                <w:sz w:val="22"/>
                <w:szCs w:val="22"/>
                <w:lang w:eastAsia="en-GB"/>
              </w:rPr>
              <w:t> </w:t>
            </w:r>
          </w:p>
        </w:tc>
      </w:tr>
      <w:tr w:rsidR="00226263" w:rsidRPr="00226263" w14:paraId="737FFA7E" w14:textId="77777777" w:rsidTr="69D41E75">
        <w:tc>
          <w:tcPr>
            <w:tcW w:w="2400" w:type="dxa"/>
            <w:tcBorders>
              <w:top w:val="single" w:sz="6" w:space="0" w:color="auto"/>
              <w:left w:val="single" w:sz="6" w:space="0" w:color="auto"/>
              <w:bottom w:val="single" w:sz="6" w:space="0" w:color="auto"/>
              <w:right w:val="single" w:sz="6" w:space="0" w:color="auto"/>
            </w:tcBorders>
            <w:shd w:val="clear" w:color="auto" w:fill="B4C6E7"/>
            <w:hideMark/>
          </w:tcPr>
          <w:p w14:paraId="7B0485F1" w14:textId="77777777" w:rsidR="00226263" w:rsidRPr="00226263" w:rsidRDefault="00226263" w:rsidP="000840B1">
            <w:pPr>
              <w:spacing w:before="0" w:after="0" w:line="240" w:lineRule="auto"/>
              <w:textAlignment w:val="baseline"/>
              <w:rPr>
                <w:rFonts w:ascii="Times New Roman" w:eastAsia="Times New Roman" w:hAnsi="Times New Roman"/>
                <w:lang w:eastAsia="en-GB"/>
              </w:rPr>
            </w:pPr>
            <w:r w:rsidRPr="00226263">
              <w:rPr>
                <w:rFonts w:ascii="Calibri" w:eastAsia="Times New Roman" w:hAnsi="Calibri" w:cs="Calibri"/>
                <w:sz w:val="22"/>
                <w:szCs w:val="22"/>
                <w:lang w:eastAsia="en-GB"/>
              </w:rPr>
              <w:t>Overall Output Score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77935C2B" w14:textId="184998AB" w:rsidR="00226263" w:rsidRPr="00226263" w:rsidRDefault="55DE2883" w:rsidP="69D41E75">
            <w:pPr>
              <w:spacing w:before="0" w:after="0" w:line="240" w:lineRule="auto"/>
              <w:textAlignment w:val="baseline"/>
              <w:rPr>
                <w:rFonts w:ascii="Calibri" w:eastAsia="Times New Roman" w:hAnsi="Calibri" w:cs="Calibri"/>
                <w:b/>
                <w:bCs/>
                <w:color w:val="000000" w:themeColor="text1"/>
                <w:sz w:val="22"/>
                <w:szCs w:val="22"/>
                <w:lang w:eastAsia="en-GB"/>
              </w:rPr>
            </w:pPr>
            <w:r w:rsidRPr="69D41E75">
              <w:rPr>
                <w:rFonts w:ascii="Calibri" w:eastAsia="Times New Roman" w:hAnsi="Calibri" w:cs="Calibri"/>
                <w:b/>
                <w:bCs/>
                <w:color w:val="000000" w:themeColor="text1"/>
                <w:sz w:val="22"/>
                <w:szCs w:val="22"/>
                <w:lang w:eastAsia="en-GB"/>
              </w:rPr>
              <w:t>B</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B43D3EE" w14:textId="77777777" w:rsidR="00226263" w:rsidRPr="00226263" w:rsidRDefault="00226263" w:rsidP="00C652DD">
            <w:pPr>
              <w:spacing w:before="0" w:after="0" w:line="240" w:lineRule="auto"/>
              <w:textAlignment w:val="baseline"/>
              <w:rPr>
                <w:rFonts w:ascii="Times New Roman" w:eastAsia="Times New Roman" w:hAnsi="Times New Roman"/>
                <w:lang w:eastAsia="en-GB"/>
              </w:rPr>
            </w:pPr>
            <w:r w:rsidRPr="00226263">
              <w:rPr>
                <w:rFonts w:ascii="Calibri" w:eastAsia="Times New Roman" w:hAnsi="Calibri" w:cs="Calibri"/>
                <w:sz w:val="22"/>
                <w:szCs w:val="22"/>
                <w:lang w:eastAsia="en-GB"/>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24264A79" w14:textId="77777777" w:rsidR="00226263" w:rsidRPr="00226263" w:rsidRDefault="00226263" w:rsidP="00FB5425">
            <w:pPr>
              <w:spacing w:before="0" w:after="0" w:line="240" w:lineRule="auto"/>
              <w:textAlignment w:val="baseline"/>
              <w:rPr>
                <w:rFonts w:ascii="Times New Roman" w:eastAsia="Times New Roman" w:hAnsi="Times New Roman"/>
                <w:lang w:eastAsia="en-GB"/>
              </w:rPr>
            </w:pPr>
            <w:r w:rsidRPr="00226263">
              <w:rPr>
                <w:rFonts w:ascii="Calibri" w:eastAsia="Times New Roman" w:hAnsi="Calibri" w:cs="Calibri"/>
                <w:sz w:val="22"/>
                <w:szCs w:val="22"/>
                <w:lang w:eastAsia="en-GB"/>
              </w:rPr>
              <w:t> </w:t>
            </w:r>
          </w:p>
        </w:tc>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6C03C4EB" w14:textId="77777777" w:rsidR="00226263" w:rsidRPr="00226263" w:rsidRDefault="00226263" w:rsidP="00FB5425">
            <w:pPr>
              <w:spacing w:before="0" w:after="0" w:line="240" w:lineRule="auto"/>
              <w:textAlignment w:val="baseline"/>
              <w:rPr>
                <w:rFonts w:ascii="Times New Roman" w:eastAsia="Times New Roman" w:hAnsi="Times New Roman"/>
                <w:lang w:eastAsia="en-GB"/>
              </w:rPr>
            </w:pPr>
            <w:r w:rsidRPr="00226263">
              <w:rPr>
                <w:rFonts w:ascii="Calibri" w:eastAsia="Times New Roman" w:hAnsi="Calibri" w:cs="Calibri"/>
                <w:sz w:val="22"/>
                <w:szCs w:val="22"/>
                <w:lang w:eastAsia="en-GB"/>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67A657B7" w14:textId="77777777" w:rsidR="00226263" w:rsidRPr="00226263" w:rsidRDefault="00226263" w:rsidP="00FB5425">
            <w:pPr>
              <w:spacing w:before="0" w:after="0" w:line="240" w:lineRule="auto"/>
              <w:textAlignment w:val="baseline"/>
              <w:rPr>
                <w:rFonts w:ascii="Times New Roman" w:eastAsia="Times New Roman" w:hAnsi="Times New Roman"/>
                <w:lang w:eastAsia="en-GB"/>
              </w:rPr>
            </w:pPr>
            <w:r w:rsidRPr="00226263">
              <w:rPr>
                <w:rFonts w:ascii="Calibri" w:eastAsia="Times New Roman" w:hAnsi="Calibri" w:cs="Calibri"/>
                <w:sz w:val="22"/>
                <w:szCs w:val="22"/>
                <w:lang w:eastAsia="en-GB"/>
              </w:rPr>
              <w:t> </w:t>
            </w:r>
          </w:p>
        </w:tc>
      </w:tr>
      <w:tr w:rsidR="00226263" w:rsidRPr="00226263" w14:paraId="2A55731C" w14:textId="77777777" w:rsidTr="69D41E75">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B4C6E7"/>
            <w:hideMark/>
          </w:tcPr>
          <w:p w14:paraId="0FB9AD03" w14:textId="77777777" w:rsidR="00226263" w:rsidRPr="00226263" w:rsidRDefault="00226263" w:rsidP="000840B1">
            <w:pPr>
              <w:spacing w:before="0" w:after="0" w:line="240" w:lineRule="auto"/>
              <w:textAlignment w:val="baseline"/>
              <w:rPr>
                <w:rFonts w:ascii="Times New Roman" w:eastAsia="Times New Roman" w:hAnsi="Times New Roman"/>
                <w:lang w:eastAsia="en-GB"/>
              </w:rPr>
            </w:pPr>
            <w:r w:rsidRPr="00226263">
              <w:rPr>
                <w:rFonts w:ascii="Calibri" w:eastAsia="Times New Roman" w:hAnsi="Calibri" w:cs="Calibri"/>
                <w:sz w:val="22"/>
                <w:szCs w:val="22"/>
                <w:lang w:eastAsia="en-GB"/>
              </w:rPr>
              <w:t>Risk Rating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612EFBAB" w14:textId="77777777" w:rsidR="00226263" w:rsidRPr="00226263" w:rsidRDefault="00226263" w:rsidP="00C652DD">
            <w:pPr>
              <w:spacing w:before="0" w:after="0" w:line="240" w:lineRule="auto"/>
              <w:textAlignment w:val="baseline"/>
              <w:rPr>
                <w:rFonts w:ascii="Times New Roman" w:eastAsia="Times New Roman" w:hAnsi="Times New Roman"/>
                <w:lang w:eastAsia="en-GB"/>
              </w:rPr>
            </w:pPr>
            <w:r w:rsidRPr="00226263">
              <w:rPr>
                <w:rFonts w:ascii="Calibri" w:eastAsia="Times New Roman" w:hAnsi="Calibri" w:cs="Calibri"/>
                <w:b/>
                <w:bCs/>
                <w:color w:val="000000"/>
                <w:sz w:val="22"/>
                <w:szCs w:val="22"/>
                <w:lang w:eastAsia="en-GB"/>
              </w:rPr>
              <w:t>Moderate </w:t>
            </w:r>
            <w:r w:rsidRPr="00226263">
              <w:rPr>
                <w:rFonts w:ascii="Calibri" w:eastAsia="Times New Roman" w:hAnsi="Calibri" w:cs="Calibri"/>
                <w:color w:val="000000"/>
                <w:sz w:val="22"/>
                <w:szCs w:val="22"/>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279B612" w14:textId="77777777" w:rsidR="00226263" w:rsidRPr="00226263" w:rsidRDefault="00226263" w:rsidP="00C652DD">
            <w:pPr>
              <w:spacing w:before="0" w:after="0" w:line="240" w:lineRule="auto"/>
              <w:textAlignment w:val="baseline"/>
              <w:rPr>
                <w:rFonts w:ascii="Times New Roman" w:eastAsia="Times New Roman" w:hAnsi="Times New Roman"/>
                <w:lang w:eastAsia="en-GB"/>
              </w:rPr>
            </w:pPr>
            <w:r w:rsidRPr="00226263">
              <w:rPr>
                <w:rFonts w:ascii="Calibri" w:eastAsia="Times New Roman" w:hAnsi="Calibri" w:cs="Calibri"/>
                <w:sz w:val="22"/>
                <w:szCs w:val="22"/>
                <w:lang w:eastAsia="en-GB"/>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24AC067" w14:textId="77777777" w:rsidR="00226263" w:rsidRPr="00226263" w:rsidRDefault="00226263" w:rsidP="00FB5425">
            <w:pPr>
              <w:spacing w:before="0" w:after="0" w:line="240" w:lineRule="auto"/>
              <w:textAlignment w:val="baseline"/>
              <w:rPr>
                <w:rFonts w:ascii="Times New Roman" w:eastAsia="Times New Roman" w:hAnsi="Times New Roman"/>
                <w:lang w:eastAsia="en-GB"/>
              </w:rPr>
            </w:pPr>
            <w:r w:rsidRPr="00226263">
              <w:rPr>
                <w:rFonts w:ascii="Calibri" w:eastAsia="Times New Roman" w:hAnsi="Calibri" w:cs="Calibri"/>
                <w:sz w:val="22"/>
                <w:szCs w:val="22"/>
                <w:lang w:eastAsia="en-GB"/>
              </w:rPr>
              <w:t> </w:t>
            </w:r>
          </w:p>
        </w:tc>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38C436E4" w14:textId="77777777" w:rsidR="00226263" w:rsidRPr="00226263" w:rsidRDefault="00226263" w:rsidP="00FB5425">
            <w:pPr>
              <w:spacing w:before="0" w:after="0" w:line="240" w:lineRule="auto"/>
              <w:textAlignment w:val="baseline"/>
              <w:rPr>
                <w:rFonts w:ascii="Times New Roman" w:eastAsia="Times New Roman" w:hAnsi="Times New Roman"/>
                <w:lang w:eastAsia="en-GB"/>
              </w:rPr>
            </w:pPr>
            <w:r w:rsidRPr="00226263">
              <w:rPr>
                <w:rFonts w:ascii="Calibri" w:eastAsia="Times New Roman" w:hAnsi="Calibri" w:cs="Calibri"/>
                <w:sz w:val="22"/>
                <w:szCs w:val="22"/>
                <w:lang w:eastAsia="en-GB"/>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5A7A8BE3" w14:textId="77777777" w:rsidR="00226263" w:rsidRPr="00226263" w:rsidRDefault="00226263" w:rsidP="00FB5425">
            <w:pPr>
              <w:spacing w:before="0" w:after="0" w:line="240" w:lineRule="auto"/>
              <w:textAlignment w:val="baseline"/>
              <w:rPr>
                <w:rFonts w:ascii="Times New Roman" w:eastAsia="Times New Roman" w:hAnsi="Times New Roman"/>
                <w:lang w:eastAsia="en-GB"/>
              </w:rPr>
            </w:pPr>
            <w:r w:rsidRPr="00226263">
              <w:rPr>
                <w:rFonts w:ascii="Calibri" w:eastAsia="Times New Roman" w:hAnsi="Calibri" w:cs="Calibri"/>
                <w:sz w:val="22"/>
                <w:szCs w:val="22"/>
                <w:lang w:eastAsia="en-GB"/>
              </w:rPr>
              <w:t> </w:t>
            </w:r>
          </w:p>
        </w:tc>
      </w:tr>
    </w:tbl>
    <w:p w14:paraId="2B2DC560" w14:textId="77777777" w:rsidR="00226263" w:rsidRPr="00226263" w:rsidRDefault="00226263" w:rsidP="000840B1">
      <w:pPr>
        <w:spacing w:before="0" w:after="0" w:line="240" w:lineRule="auto"/>
        <w:textAlignment w:val="baseline"/>
        <w:rPr>
          <w:rFonts w:ascii="Segoe UI" w:eastAsia="Times New Roman" w:hAnsi="Segoe UI" w:cs="Segoe UI"/>
          <w:sz w:val="18"/>
          <w:szCs w:val="18"/>
          <w:lang w:eastAsia="en-GB"/>
        </w:rPr>
      </w:pPr>
      <w:r w:rsidRPr="00226263">
        <w:rPr>
          <w:rFonts w:ascii="Calibri" w:eastAsia="Times New Roman" w:hAnsi="Calibri" w:cs="Calibri"/>
          <w:sz w:val="22"/>
          <w:szCs w:val="22"/>
          <w:lang w:eastAsia="en-GB"/>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5040"/>
      </w:tblGrid>
      <w:tr w:rsidR="00226263" w:rsidRPr="00226263" w14:paraId="3224ADC2" w14:textId="77777777" w:rsidTr="217F4493">
        <w:trPr>
          <w:trHeight w:val="345"/>
        </w:trPr>
        <w:tc>
          <w:tcPr>
            <w:tcW w:w="3960" w:type="dxa"/>
            <w:tcBorders>
              <w:top w:val="single" w:sz="6" w:space="0" w:color="auto"/>
              <w:left w:val="single" w:sz="6" w:space="0" w:color="auto"/>
              <w:bottom w:val="single" w:sz="6" w:space="0" w:color="auto"/>
              <w:right w:val="single" w:sz="6" w:space="0" w:color="auto"/>
            </w:tcBorders>
            <w:shd w:val="clear" w:color="auto" w:fill="B4C6E7"/>
            <w:hideMark/>
          </w:tcPr>
          <w:p w14:paraId="15F9C34D" w14:textId="77777777" w:rsidR="00226263" w:rsidRPr="00226263" w:rsidRDefault="00226263" w:rsidP="00C652DD">
            <w:pPr>
              <w:spacing w:before="0" w:after="0" w:line="240" w:lineRule="auto"/>
              <w:textAlignment w:val="baseline"/>
              <w:rPr>
                <w:rFonts w:ascii="Times New Roman" w:eastAsia="Times New Roman" w:hAnsi="Times New Roman"/>
                <w:lang w:eastAsia="en-GB"/>
              </w:rPr>
            </w:pPr>
            <w:proofErr w:type="spellStart"/>
            <w:r w:rsidRPr="00226263">
              <w:rPr>
                <w:rFonts w:ascii="Calibri" w:eastAsia="Times New Roman" w:hAnsi="Calibri" w:cs="Calibri"/>
                <w:sz w:val="22"/>
                <w:szCs w:val="22"/>
                <w:lang w:eastAsia="en-GB"/>
              </w:rPr>
              <w:t>DevTracker</w:t>
            </w:r>
            <w:proofErr w:type="spellEnd"/>
            <w:r w:rsidRPr="00226263">
              <w:rPr>
                <w:rFonts w:ascii="Calibri" w:eastAsia="Times New Roman" w:hAnsi="Calibri" w:cs="Calibri"/>
                <w:sz w:val="22"/>
                <w:szCs w:val="22"/>
                <w:lang w:eastAsia="en-GB"/>
              </w:rPr>
              <w:t xml:space="preserve"> Link to Business Case:  </w:t>
            </w:r>
          </w:p>
        </w:tc>
        <w:tc>
          <w:tcPr>
            <w:tcW w:w="5040" w:type="dxa"/>
            <w:tcBorders>
              <w:top w:val="single" w:sz="6" w:space="0" w:color="auto"/>
              <w:left w:val="nil"/>
              <w:bottom w:val="single" w:sz="6" w:space="0" w:color="auto"/>
              <w:right w:val="single" w:sz="6" w:space="0" w:color="auto"/>
            </w:tcBorders>
            <w:shd w:val="clear" w:color="auto" w:fill="auto"/>
            <w:hideMark/>
          </w:tcPr>
          <w:p w14:paraId="29C62921" w14:textId="2A100565" w:rsidR="00226263" w:rsidRPr="00226263" w:rsidRDefault="00226263" w:rsidP="00C652DD">
            <w:pPr>
              <w:spacing w:before="0" w:after="0" w:line="240" w:lineRule="auto"/>
              <w:textAlignment w:val="baseline"/>
              <w:rPr>
                <w:rFonts w:ascii="Times New Roman" w:eastAsia="Times New Roman" w:hAnsi="Times New Roman"/>
                <w:lang w:eastAsia="en-GB"/>
              </w:rPr>
            </w:pPr>
            <w:r w:rsidRPr="217F4493">
              <w:rPr>
                <w:rFonts w:ascii="Calibri" w:eastAsia="Times New Roman" w:hAnsi="Calibri" w:cs="Calibri"/>
                <w:b/>
                <w:bCs/>
                <w:sz w:val="22"/>
                <w:szCs w:val="22"/>
                <w:lang w:eastAsia="en-GB"/>
              </w:rPr>
              <w:t xml:space="preserve">The Business Case is on </w:t>
            </w:r>
            <w:proofErr w:type="spellStart"/>
            <w:r w:rsidRPr="217F4493">
              <w:rPr>
                <w:rFonts w:ascii="Calibri" w:eastAsia="Times New Roman" w:hAnsi="Calibri" w:cs="Calibri"/>
                <w:b/>
                <w:bCs/>
                <w:sz w:val="22"/>
                <w:szCs w:val="22"/>
                <w:lang w:eastAsia="en-GB"/>
              </w:rPr>
              <w:t>DevTracker</w:t>
            </w:r>
            <w:proofErr w:type="spellEnd"/>
            <w:r w:rsidRPr="217F4493">
              <w:rPr>
                <w:rFonts w:ascii="Calibri" w:eastAsia="Times New Roman" w:hAnsi="Calibri" w:cs="Calibri"/>
                <w:b/>
                <w:bCs/>
                <w:sz w:val="22"/>
                <w:szCs w:val="22"/>
                <w:lang w:eastAsia="en-GB"/>
              </w:rPr>
              <w:t xml:space="preserve"> </w:t>
            </w:r>
            <w:hyperlink r:id="rId11">
              <w:r w:rsidRPr="217F4493">
                <w:rPr>
                  <w:rStyle w:val="Hyperlink"/>
                  <w:rFonts w:ascii="Calibri" w:eastAsia="Times New Roman" w:hAnsi="Calibri" w:cs="Calibri"/>
                  <w:b/>
                  <w:bCs/>
                  <w:sz w:val="22"/>
                  <w:szCs w:val="22"/>
                  <w:lang w:eastAsia="en-GB"/>
                </w:rPr>
                <w:t>here</w:t>
              </w:r>
            </w:hyperlink>
            <w:r w:rsidRPr="217F4493">
              <w:rPr>
                <w:rFonts w:ascii="Calibri" w:eastAsia="Times New Roman" w:hAnsi="Calibri" w:cs="Calibri"/>
                <w:b/>
                <w:bCs/>
                <w:sz w:val="22"/>
                <w:szCs w:val="22"/>
                <w:lang w:eastAsia="en-GB"/>
              </w:rPr>
              <w:t xml:space="preserve">. </w:t>
            </w:r>
          </w:p>
        </w:tc>
      </w:tr>
      <w:tr w:rsidR="00226263" w:rsidRPr="00226263" w14:paraId="2B240C1E" w14:textId="77777777" w:rsidTr="217F4493">
        <w:trPr>
          <w:trHeight w:val="390"/>
        </w:trPr>
        <w:tc>
          <w:tcPr>
            <w:tcW w:w="3960" w:type="dxa"/>
            <w:tcBorders>
              <w:top w:val="nil"/>
              <w:left w:val="single" w:sz="6" w:space="0" w:color="auto"/>
              <w:bottom w:val="single" w:sz="6" w:space="0" w:color="auto"/>
              <w:right w:val="single" w:sz="6" w:space="0" w:color="auto"/>
            </w:tcBorders>
            <w:shd w:val="clear" w:color="auto" w:fill="B4C6E7"/>
            <w:hideMark/>
          </w:tcPr>
          <w:p w14:paraId="442AABFD" w14:textId="77777777" w:rsidR="00226263" w:rsidRPr="00226263" w:rsidRDefault="00226263" w:rsidP="000840B1">
            <w:pPr>
              <w:spacing w:before="0" w:after="0" w:line="240" w:lineRule="auto"/>
              <w:textAlignment w:val="baseline"/>
              <w:rPr>
                <w:rFonts w:ascii="Times New Roman" w:eastAsia="Times New Roman" w:hAnsi="Times New Roman"/>
                <w:lang w:eastAsia="en-GB"/>
              </w:rPr>
            </w:pPr>
            <w:proofErr w:type="spellStart"/>
            <w:r w:rsidRPr="00226263">
              <w:rPr>
                <w:rFonts w:ascii="Calibri" w:eastAsia="Times New Roman" w:hAnsi="Calibri" w:cs="Calibri"/>
                <w:sz w:val="22"/>
                <w:szCs w:val="22"/>
                <w:lang w:eastAsia="en-GB"/>
              </w:rPr>
              <w:t>DevTracker</w:t>
            </w:r>
            <w:proofErr w:type="spellEnd"/>
            <w:r w:rsidRPr="00226263">
              <w:rPr>
                <w:rFonts w:ascii="Calibri" w:eastAsia="Times New Roman" w:hAnsi="Calibri" w:cs="Calibri"/>
                <w:sz w:val="22"/>
                <w:szCs w:val="22"/>
                <w:lang w:eastAsia="en-GB"/>
              </w:rPr>
              <w:t xml:space="preserve"> Link to results framework:  </w:t>
            </w:r>
          </w:p>
        </w:tc>
        <w:tc>
          <w:tcPr>
            <w:tcW w:w="5040" w:type="dxa"/>
            <w:tcBorders>
              <w:top w:val="nil"/>
              <w:left w:val="nil"/>
              <w:bottom w:val="single" w:sz="6" w:space="0" w:color="auto"/>
              <w:right w:val="single" w:sz="6" w:space="0" w:color="auto"/>
            </w:tcBorders>
            <w:shd w:val="clear" w:color="auto" w:fill="auto"/>
            <w:hideMark/>
          </w:tcPr>
          <w:p w14:paraId="220168F4" w14:textId="7B14C8C7" w:rsidR="00226263" w:rsidRPr="00226263" w:rsidRDefault="00226263" w:rsidP="69D41E75">
            <w:pPr>
              <w:spacing w:before="0" w:after="0" w:line="240" w:lineRule="auto"/>
              <w:textAlignment w:val="baseline"/>
              <w:rPr>
                <w:rFonts w:ascii="Times New Roman" w:eastAsia="Times New Roman" w:hAnsi="Times New Roman"/>
                <w:lang w:eastAsia="en-GB"/>
              </w:rPr>
            </w:pPr>
            <w:r w:rsidRPr="69D41E75">
              <w:rPr>
                <w:rFonts w:ascii="Calibri" w:eastAsia="Times New Roman" w:hAnsi="Calibri" w:cs="Calibri"/>
                <w:sz w:val="22"/>
                <w:szCs w:val="22"/>
                <w:lang w:eastAsia="en-GB"/>
              </w:rPr>
              <w:t> </w:t>
            </w:r>
            <w:proofErr w:type="spellStart"/>
            <w:r w:rsidRPr="69D41E75">
              <w:rPr>
                <w:rFonts w:ascii="Calibri" w:eastAsia="Times New Roman" w:hAnsi="Calibri" w:cs="Calibri"/>
                <w:sz w:val="22"/>
                <w:szCs w:val="22"/>
                <w:lang w:eastAsia="en-GB"/>
              </w:rPr>
              <w:t>LogFrames</w:t>
            </w:r>
            <w:proofErr w:type="spellEnd"/>
            <w:r w:rsidRPr="69D41E75">
              <w:rPr>
                <w:rFonts w:ascii="Calibri" w:eastAsia="Times New Roman" w:hAnsi="Calibri" w:cs="Calibri"/>
                <w:sz w:val="22"/>
                <w:szCs w:val="22"/>
                <w:lang w:eastAsia="en-GB"/>
              </w:rPr>
              <w:t xml:space="preserve"> for projects can be found on </w:t>
            </w:r>
            <w:hyperlink r:id="rId12">
              <w:proofErr w:type="spellStart"/>
              <w:r w:rsidRPr="69D41E75">
                <w:rPr>
                  <w:rStyle w:val="Hyperlink"/>
                  <w:rFonts w:ascii="Calibri" w:eastAsia="Times New Roman" w:hAnsi="Calibri" w:cs="Calibri"/>
                  <w:sz w:val="22"/>
                  <w:szCs w:val="22"/>
                  <w:lang w:eastAsia="en-GB"/>
                </w:rPr>
                <w:t>DevTracker</w:t>
              </w:r>
              <w:proofErr w:type="spellEnd"/>
            </w:hyperlink>
          </w:p>
        </w:tc>
      </w:tr>
    </w:tbl>
    <w:p w14:paraId="20F1AC93" w14:textId="77777777" w:rsidR="00226263" w:rsidRPr="00226263" w:rsidRDefault="00226263" w:rsidP="000840B1">
      <w:pPr>
        <w:spacing w:before="0" w:after="0" w:line="240" w:lineRule="auto"/>
        <w:textAlignment w:val="baseline"/>
        <w:rPr>
          <w:rFonts w:ascii="Segoe UI" w:eastAsia="Times New Roman" w:hAnsi="Segoe UI" w:cs="Segoe UI"/>
          <w:sz w:val="18"/>
          <w:szCs w:val="18"/>
          <w:lang w:eastAsia="en-GB"/>
        </w:rPr>
      </w:pPr>
      <w:r w:rsidRPr="00226263">
        <w:rPr>
          <w:rFonts w:ascii="Calibri" w:eastAsia="Times New Roman" w:hAnsi="Calibri" w:cs="Calibri"/>
          <w:sz w:val="22"/>
          <w:szCs w:val="22"/>
          <w:lang w:eastAsia="en-GB"/>
        </w:rPr>
        <w:t> </w:t>
      </w:r>
    </w:p>
    <w:p w14:paraId="1392B43E" w14:textId="77777777" w:rsidR="00BD54A3" w:rsidRDefault="00BD54A3" w:rsidP="00C652DD">
      <w:pPr>
        <w:spacing w:before="0" w:after="0" w:line="240" w:lineRule="auto"/>
        <w:jc w:val="both"/>
        <w:textAlignment w:val="baseline"/>
        <w:rPr>
          <w:rFonts w:ascii="Calibri" w:eastAsia="Times New Roman" w:hAnsi="Calibri" w:cs="Calibri"/>
          <w:sz w:val="22"/>
          <w:szCs w:val="22"/>
          <w:lang w:eastAsia="en-GB"/>
        </w:rPr>
      </w:pPr>
    </w:p>
    <w:p w14:paraId="7276366D" w14:textId="58984ABB" w:rsidR="00226263" w:rsidRPr="00226263" w:rsidRDefault="00226263" w:rsidP="00C652DD">
      <w:pPr>
        <w:spacing w:before="0" w:after="0" w:line="240" w:lineRule="auto"/>
        <w:jc w:val="both"/>
        <w:textAlignment w:val="baseline"/>
        <w:rPr>
          <w:rFonts w:ascii="Segoe UI" w:eastAsia="Times New Roman" w:hAnsi="Segoe UI" w:cs="Segoe UI"/>
          <w:sz w:val="18"/>
          <w:szCs w:val="18"/>
          <w:lang w:eastAsia="en-GB"/>
        </w:rPr>
      </w:pPr>
      <w:r w:rsidRPr="00226263">
        <w:rPr>
          <w:rFonts w:ascii="Calibri" w:eastAsia="Times New Roman" w:hAnsi="Calibri" w:cs="Calibri"/>
          <w:sz w:val="22"/>
          <w:szCs w:val="22"/>
          <w:lang w:eastAsia="en-GB"/>
        </w:rPr>
        <w:t>This annual review covers the period April 2020 to July 2021</w:t>
      </w:r>
      <w:r w:rsidR="00944EA1">
        <w:rPr>
          <w:rFonts w:ascii="Calibri" w:eastAsia="Times New Roman" w:hAnsi="Calibri" w:cs="Calibri"/>
          <w:color w:val="D13438"/>
          <w:sz w:val="22"/>
          <w:szCs w:val="22"/>
          <w:lang w:eastAsia="en-GB"/>
        </w:rPr>
        <w:t xml:space="preserve"> </w:t>
      </w:r>
      <w:r w:rsidRPr="00226263">
        <w:rPr>
          <w:rFonts w:ascii="Calibri" w:eastAsia="Times New Roman" w:hAnsi="Calibri" w:cs="Calibri"/>
          <w:sz w:val="22"/>
          <w:szCs w:val="22"/>
          <w:lang w:eastAsia="en-GB"/>
        </w:rPr>
        <w:t xml:space="preserve">(the extended period </w:t>
      </w:r>
      <w:proofErr w:type="gramStart"/>
      <w:r w:rsidRPr="00226263">
        <w:rPr>
          <w:rFonts w:ascii="Calibri" w:eastAsia="Times New Roman" w:hAnsi="Calibri" w:cs="Calibri"/>
          <w:sz w:val="22"/>
          <w:szCs w:val="22"/>
          <w:lang w:eastAsia="en-GB"/>
        </w:rPr>
        <w:t>due to the fact that</w:t>
      </w:r>
      <w:proofErr w:type="gramEnd"/>
      <w:r w:rsidRPr="00226263">
        <w:rPr>
          <w:rFonts w:ascii="Calibri" w:eastAsia="Times New Roman" w:hAnsi="Calibri" w:cs="Calibri"/>
          <w:strike/>
          <w:color w:val="D13438"/>
          <w:sz w:val="22"/>
          <w:szCs w:val="22"/>
          <w:lang w:eastAsia="en-GB"/>
        </w:rPr>
        <w:t xml:space="preserve"> </w:t>
      </w:r>
      <w:r w:rsidRPr="00226263">
        <w:rPr>
          <w:rFonts w:ascii="Calibri" w:eastAsia="Times New Roman" w:hAnsi="Calibri" w:cs="Calibri"/>
          <w:sz w:val="22"/>
          <w:szCs w:val="22"/>
          <w:lang w:eastAsia="en-GB"/>
        </w:rPr>
        <w:t>although some programme elements commenced in April the majority of the programme commenced in July 202</w:t>
      </w:r>
      <w:r w:rsidR="00944EA1">
        <w:rPr>
          <w:rFonts w:ascii="Calibri" w:eastAsia="Times New Roman" w:hAnsi="Calibri" w:cs="Calibri"/>
          <w:sz w:val="22"/>
          <w:szCs w:val="22"/>
          <w:lang w:eastAsia="en-GB"/>
        </w:rPr>
        <w:t>0)</w:t>
      </w:r>
      <w:r w:rsidRPr="00226263">
        <w:rPr>
          <w:rFonts w:ascii="Calibri" w:eastAsia="Times New Roman" w:hAnsi="Calibri" w:cs="Calibri"/>
          <w:sz w:val="22"/>
          <w:szCs w:val="22"/>
          <w:lang w:eastAsia="en-GB"/>
        </w:rPr>
        <w:t xml:space="preserve">.  Subsequent annual reviews will run August to July of each year. This annual review reflects on the overall performance and progress of the ICF R&amp;D programme in 2020/21 and part of </w:t>
      </w:r>
      <w:r w:rsidR="00944EA1">
        <w:rPr>
          <w:rFonts w:ascii="Calibri" w:eastAsia="Times New Roman" w:hAnsi="Calibri" w:cs="Calibri"/>
          <w:sz w:val="22"/>
          <w:szCs w:val="22"/>
          <w:lang w:eastAsia="en-GB"/>
        </w:rPr>
        <w:t>2021</w:t>
      </w:r>
      <w:r w:rsidRPr="00226263">
        <w:rPr>
          <w:rFonts w:ascii="Calibri" w:eastAsia="Times New Roman" w:hAnsi="Calibri" w:cs="Calibri"/>
          <w:sz w:val="22"/>
          <w:szCs w:val="22"/>
          <w:lang w:eastAsia="en-GB"/>
        </w:rPr>
        <w:t xml:space="preserve">/22 and identifies the challenges experienced and lessons learned throughout this period, and recommendations for the year ahead. The key message of this </w:t>
      </w:r>
      <w:r w:rsidR="00944EA1">
        <w:rPr>
          <w:rFonts w:ascii="Calibri" w:eastAsia="Times New Roman" w:hAnsi="Calibri" w:cs="Calibri"/>
          <w:sz w:val="22"/>
          <w:szCs w:val="22"/>
          <w:lang w:eastAsia="en-GB"/>
        </w:rPr>
        <w:t>an</w:t>
      </w:r>
      <w:r w:rsidRPr="00226263">
        <w:rPr>
          <w:rFonts w:ascii="Calibri" w:eastAsia="Times New Roman" w:hAnsi="Calibri" w:cs="Calibri"/>
          <w:sz w:val="22"/>
          <w:szCs w:val="22"/>
          <w:lang w:eastAsia="en-GB"/>
        </w:rPr>
        <w:t xml:space="preserve">nual </w:t>
      </w:r>
      <w:r w:rsidR="00944EA1">
        <w:rPr>
          <w:rFonts w:ascii="Calibri" w:eastAsia="Times New Roman" w:hAnsi="Calibri" w:cs="Calibri"/>
          <w:sz w:val="22"/>
          <w:szCs w:val="22"/>
          <w:lang w:eastAsia="en-GB"/>
        </w:rPr>
        <w:t>rev</w:t>
      </w:r>
      <w:r w:rsidRPr="00226263">
        <w:rPr>
          <w:rFonts w:ascii="Calibri" w:eastAsia="Times New Roman" w:hAnsi="Calibri" w:cs="Calibri"/>
          <w:sz w:val="22"/>
          <w:szCs w:val="22"/>
          <w:lang w:eastAsia="en-GB"/>
        </w:rPr>
        <w:t>iew is that</w:t>
      </w:r>
      <w:r w:rsidRPr="00226263">
        <w:rPr>
          <w:rFonts w:ascii="Calibri" w:eastAsia="Times New Roman" w:hAnsi="Calibri" w:cs="Calibri"/>
          <w:b/>
          <w:bCs/>
          <w:sz w:val="22"/>
          <w:szCs w:val="22"/>
          <w:lang w:eastAsia="en-GB"/>
        </w:rPr>
        <w:t xml:space="preserve"> the project </w:t>
      </w:r>
      <w:r w:rsidR="00944EA1">
        <w:rPr>
          <w:rFonts w:ascii="Calibri" w:eastAsia="Times New Roman" w:hAnsi="Calibri" w:cs="Calibri"/>
          <w:b/>
          <w:bCs/>
          <w:sz w:val="22"/>
          <w:szCs w:val="22"/>
          <w:lang w:eastAsia="en-GB"/>
        </w:rPr>
        <w:t>workstreams</w:t>
      </w:r>
      <w:r w:rsidRPr="00226263">
        <w:rPr>
          <w:rFonts w:ascii="Calibri" w:eastAsia="Times New Roman" w:hAnsi="Calibri" w:cs="Calibri"/>
          <w:b/>
          <w:bCs/>
          <w:sz w:val="22"/>
          <w:szCs w:val="22"/>
          <w:lang w:eastAsia="en-GB"/>
        </w:rPr>
        <w:t xml:space="preserve"> initiated within this 16-month period ar</w:t>
      </w:r>
      <w:r w:rsidR="00944EA1">
        <w:rPr>
          <w:rFonts w:ascii="Calibri" w:eastAsia="Times New Roman" w:hAnsi="Calibri" w:cs="Calibri"/>
          <w:b/>
          <w:bCs/>
          <w:sz w:val="22"/>
          <w:szCs w:val="22"/>
          <w:lang w:eastAsia="en-GB"/>
        </w:rPr>
        <w:t xml:space="preserve">e, overall, </w:t>
      </w:r>
      <w:r w:rsidRPr="00226263">
        <w:rPr>
          <w:rFonts w:ascii="Calibri" w:eastAsia="Times New Roman" w:hAnsi="Calibri" w:cs="Calibri"/>
          <w:b/>
          <w:bCs/>
          <w:sz w:val="22"/>
          <w:szCs w:val="22"/>
          <w:lang w:eastAsia="en-GB"/>
        </w:rPr>
        <w:t xml:space="preserve">meeting expectations </w:t>
      </w:r>
      <w:r w:rsidRPr="00226263">
        <w:rPr>
          <w:rFonts w:ascii="Calibri" w:eastAsia="Times New Roman" w:hAnsi="Calibri" w:cs="Calibri"/>
          <w:sz w:val="22"/>
          <w:szCs w:val="22"/>
          <w:lang w:eastAsia="en-GB"/>
        </w:rPr>
        <w:t>despite the challenging year of the COVID-19 pandemic. </w:t>
      </w:r>
    </w:p>
    <w:p w14:paraId="7B65F157" w14:textId="1ECF908B" w:rsidR="00D51B2C" w:rsidRDefault="00D51B2C" w:rsidP="69D41E75">
      <w:pPr>
        <w:tabs>
          <w:tab w:val="left" w:pos="720"/>
        </w:tabs>
        <w:spacing w:before="0" w:after="0" w:line="240" w:lineRule="auto"/>
        <w:rPr>
          <w:rFonts w:ascii="Calibri" w:hAnsi="Calibri" w:cs="Calibri"/>
          <w:sz w:val="22"/>
          <w:szCs w:val="22"/>
        </w:rPr>
      </w:pPr>
      <w:r w:rsidRPr="69D41E75">
        <w:rPr>
          <w:rFonts w:ascii="Calibri" w:hAnsi="Calibri" w:cs="Calibri"/>
          <w:sz w:val="22"/>
          <w:szCs w:val="22"/>
        </w:rPr>
        <w:br w:type="page"/>
      </w:r>
    </w:p>
    <w:p w14:paraId="10E89131" w14:textId="77777777" w:rsidR="00D51B2C" w:rsidRPr="00CE0979" w:rsidRDefault="00D51B2C" w:rsidP="00D51B2C">
      <w:pPr>
        <w:pBdr>
          <w:top w:val="single" w:sz="4" w:space="1" w:color="auto"/>
          <w:left w:val="single" w:sz="4" w:space="4" w:color="auto"/>
          <w:bottom w:val="single" w:sz="4" w:space="1" w:color="auto"/>
          <w:right w:val="single" w:sz="4" w:space="4" w:color="auto"/>
        </w:pBdr>
        <w:shd w:val="clear" w:color="auto" w:fill="DBE5F1" w:themeFill="accent1" w:themeFillTint="33"/>
      </w:pPr>
      <w:r w:rsidRPr="69D41E75">
        <w:rPr>
          <w:b/>
          <w:bCs/>
          <w:sz w:val="28"/>
          <w:szCs w:val="28"/>
        </w:rPr>
        <w:lastRenderedPageBreak/>
        <w:t>A. SUMMARY AND OVERVIEW</w:t>
      </w:r>
    </w:p>
    <w:p w14:paraId="2F96C234" w14:textId="214F7EB0" w:rsidR="00944EA1" w:rsidRPr="00BF56F9" w:rsidRDefault="00BF56F9" w:rsidP="69D41E75">
      <w:pPr>
        <w:tabs>
          <w:tab w:val="left" w:pos="720"/>
        </w:tabs>
        <w:spacing w:line="240" w:lineRule="auto"/>
        <w:rPr>
          <w:rFonts w:ascii="Calibri" w:hAnsi="Calibri" w:cs="Calibri"/>
          <w:b/>
          <w:bCs/>
        </w:rPr>
      </w:pPr>
      <w:r w:rsidRPr="69D41E75">
        <w:rPr>
          <w:rFonts w:ascii="Calibri" w:hAnsi="Calibri" w:cs="Calibri"/>
          <w:b/>
          <w:bCs/>
        </w:rPr>
        <w:t>Programme Description</w:t>
      </w:r>
    </w:p>
    <w:p w14:paraId="5D330C94" w14:textId="3939687A" w:rsidR="004B69EB" w:rsidRPr="004769BF" w:rsidRDefault="004B69EB" w:rsidP="69D41E75">
      <w:pPr>
        <w:spacing w:before="40" w:after="40" w:line="240" w:lineRule="auto"/>
        <w:jc w:val="both"/>
        <w:rPr>
          <w:rFonts w:asciiTheme="minorHAnsi" w:eastAsiaTheme="minorEastAsia" w:hAnsiTheme="minorHAnsi" w:cstheme="minorBidi"/>
          <w:color w:val="000000" w:themeColor="text1"/>
          <w:sz w:val="22"/>
          <w:szCs w:val="22"/>
        </w:rPr>
      </w:pPr>
      <w:r w:rsidRPr="69D41E75">
        <w:rPr>
          <w:rFonts w:asciiTheme="minorHAnsi" w:eastAsiaTheme="minorEastAsia" w:hAnsiTheme="minorHAnsi" w:cstheme="minorBidi"/>
          <w:color w:val="000000" w:themeColor="text1"/>
          <w:sz w:val="22"/>
          <w:szCs w:val="22"/>
        </w:rPr>
        <w:t xml:space="preserve">The ICF R&amp;D programme business case sets out the delivery of </w:t>
      </w:r>
      <w:r w:rsidRPr="69D41E75">
        <w:rPr>
          <w:rFonts w:asciiTheme="minorHAnsi" w:eastAsiaTheme="minorEastAsia" w:hAnsiTheme="minorHAnsi" w:cstheme="minorBidi"/>
          <w:b/>
          <w:bCs/>
          <w:color w:val="000000" w:themeColor="text1"/>
          <w:sz w:val="22"/>
          <w:szCs w:val="22"/>
        </w:rPr>
        <w:t>3 main components of the programme</w:t>
      </w:r>
      <w:r w:rsidRPr="69D41E75">
        <w:rPr>
          <w:rFonts w:asciiTheme="minorHAnsi" w:eastAsiaTheme="minorEastAsia" w:hAnsiTheme="minorHAnsi" w:cstheme="minorBidi"/>
          <w:color w:val="000000" w:themeColor="text1"/>
          <w:sz w:val="22"/>
          <w:szCs w:val="22"/>
        </w:rPr>
        <w:t xml:space="preserve"> and several associated </w:t>
      </w:r>
      <w:r w:rsidRPr="69D41E75">
        <w:rPr>
          <w:rFonts w:asciiTheme="minorHAnsi" w:eastAsiaTheme="minorEastAsia" w:hAnsiTheme="minorHAnsi" w:cstheme="minorBidi"/>
          <w:b/>
          <w:bCs/>
          <w:color w:val="000000" w:themeColor="text1"/>
          <w:sz w:val="22"/>
          <w:szCs w:val="22"/>
        </w:rPr>
        <w:t>projects</w:t>
      </w:r>
      <w:r w:rsidRPr="69D41E75">
        <w:rPr>
          <w:rFonts w:asciiTheme="minorHAnsi" w:eastAsiaTheme="minorEastAsia" w:hAnsiTheme="minorHAnsi" w:cstheme="minorBidi"/>
          <w:color w:val="000000" w:themeColor="text1"/>
          <w:sz w:val="22"/>
          <w:szCs w:val="22"/>
        </w:rPr>
        <w:t xml:space="preserve"> which are summarised below:</w:t>
      </w:r>
    </w:p>
    <w:p w14:paraId="0A7674D7" w14:textId="77777777" w:rsidR="004B69EB" w:rsidRPr="004769BF" w:rsidRDefault="004B69EB" w:rsidP="69D41E75">
      <w:pPr>
        <w:spacing w:before="40" w:after="40" w:line="240" w:lineRule="auto"/>
        <w:jc w:val="both"/>
        <w:rPr>
          <w:color w:val="000000" w:themeColor="text1"/>
        </w:rPr>
      </w:pPr>
    </w:p>
    <w:tbl>
      <w:tblPr>
        <w:tblStyle w:val="TableGrid"/>
        <w:tblW w:w="0" w:type="auto"/>
        <w:tblLayout w:type="fixed"/>
        <w:tblLook w:val="06A0" w:firstRow="1" w:lastRow="0" w:firstColumn="1" w:lastColumn="0" w:noHBand="1" w:noVBand="1"/>
      </w:tblPr>
      <w:tblGrid>
        <w:gridCol w:w="4508"/>
        <w:gridCol w:w="4508"/>
      </w:tblGrid>
      <w:tr w:rsidR="004B69EB" w14:paraId="5B9F5456" w14:textId="77777777" w:rsidTr="69D41E75">
        <w:tc>
          <w:tcPr>
            <w:tcW w:w="4508" w:type="dxa"/>
          </w:tcPr>
          <w:p w14:paraId="7D6D253B" w14:textId="77777777" w:rsidR="004B69EB" w:rsidRDefault="004B69EB" w:rsidP="69D41E75">
            <w:pPr>
              <w:spacing w:line="240" w:lineRule="auto"/>
              <w:rPr>
                <w:b/>
                <w:bCs/>
                <w:color w:val="000000" w:themeColor="text1"/>
              </w:rPr>
            </w:pPr>
            <w:r w:rsidRPr="69D41E75">
              <w:rPr>
                <w:b/>
                <w:bCs/>
                <w:color w:val="000000" w:themeColor="text1"/>
              </w:rPr>
              <w:t xml:space="preserve">Component </w:t>
            </w:r>
          </w:p>
        </w:tc>
        <w:tc>
          <w:tcPr>
            <w:tcW w:w="4508" w:type="dxa"/>
          </w:tcPr>
          <w:p w14:paraId="5F3A536D" w14:textId="75A98D2A" w:rsidR="004B69EB" w:rsidRDefault="004B69EB" w:rsidP="69D41E75">
            <w:pPr>
              <w:spacing w:line="240" w:lineRule="auto"/>
              <w:rPr>
                <w:b/>
                <w:bCs/>
                <w:color w:val="000000" w:themeColor="text1"/>
              </w:rPr>
            </w:pPr>
            <w:r w:rsidRPr="69D41E75">
              <w:rPr>
                <w:b/>
                <w:bCs/>
                <w:color w:val="000000" w:themeColor="text1"/>
              </w:rPr>
              <w:t>Project</w:t>
            </w:r>
          </w:p>
        </w:tc>
      </w:tr>
      <w:tr w:rsidR="004B69EB" w14:paraId="468874DC" w14:textId="77777777" w:rsidTr="69D41E75">
        <w:tc>
          <w:tcPr>
            <w:tcW w:w="4508" w:type="dxa"/>
          </w:tcPr>
          <w:p w14:paraId="0A735BFC" w14:textId="77777777" w:rsidR="004B69EB" w:rsidRDefault="004B69EB" w:rsidP="69D41E75">
            <w:pPr>
              <w:spacing w:before="40" w:after="40" w:line="240" w:lineRule="auto"/>
              <w:jc w:val="both"/>
              <w:rPr>
                <w:rFonts w:asciiTheme="minorHAnsi" w:eastAsiaTheme="minorEastAsia" w:hAnsiTheme="minorHAnsi" w:cstheme="minorBidi"/>
                <w:sz w:val="22"/>
                <w:szCs w:val="22"/>
              </w:rPr>
            </w:pPr>
            <w:r w:rsidRPr="69D41E75">
              <w:rPr>
                <w:rFonts w:asciiTheme="minorHAnsi" w:eastAsiaTheme="minorEastAsia" w:hAnsiTheme="minorHAnsi" w:cstheme="minorBidi"/>
                <w:sz w:val="22"/>
                <w:szCs w:val="22"/>
              </w:rPr>
              <w:t xml:space="preserve">Component 1: Evidence to inform policy and design of international climate finance: Evidence for policy and </w:t>
            </w:r>
            <w:proofErr w:type="gramStart"/>
            <w:r w:rsidRPr="69D41E75">
              <w:rPr>
                <w:rFonts w:asciiTheme="minorHAnsi" w:eastAsiaTheme="minorEastAsia" w:hAnsiTheme="minorHAnsi" w:cstheme="minorBidi"/>
                <w:sz w:val="22"/>
                <w:szCs w:val="22"/>
              </w:rPr>
              <w:t>programming</w:t>
            </w:r>
            <w:proofErr w:type="gramEnd"/>
          </w:p>
          <w:p w14:paraId="069C85E0" w14:textId="77777777" w:rsidR="004B69EB" w:rsidRDefault="004B69EB" w:rsidP="69D41E75">
            <w:pPr>
              <w:spacing w:line="240" w:lineRule="auto"/>
              <w:rPr>
                <w:color w:val="000000" w:themeColor="text1"/>
              </w:rPr>
            </w:pPr>
          </w:p>
        </w:tc>
        <w:tc>
          <w:tcPr>
            <w:tcW w:w="4508" w:type="dxa"/>
          </w:tcPr>
          <w:p w14:paraId="3DC8A61C" w14:textId="77777777" w:rsidR="004B69EB" w:rsidRDefault="004B69EB" w:rsidP="69D41E75">
            <w:pPr>
              <w:pStyle w:val="ListParagraph"/>
              <w:numPr>
                <w:ilvl w:val="0"/>
                <w:numId w:val="14"/>
              </w:numPr>
              <w:spacing w:before="40" w:after="40" w:line="240" w:lineRule="auto"/>
              <w:jc w:val="both"/>
              <w:rPr>
                <w:rFonts w:asciiTheme="minorHAnsi" w:eastAsiaTheme="minorEastAsia" w:hAnsiTheme="minorHAnsi" w:cstheme="minorBidi"/>
                <w:color w:val="000000" w:themeColor="text1"/>
                <w:sz w:val="22"/>
                <w:szCs w:val="22"/>
              </w:rPr>
            </w:pPr>
            <w:r w:rsidRPr="69D41E75">
              <w:rPr>
                <w:rFonts w:asciiTheme="minorHAnsi" w:eastAsiaTheme="minorEastAsia" w:hAnsiTheme="minorHAnsi" w:cstheme="minorBidi"/>
                <w:color w:val="000000" w:themeColor="text1"/>
                <w:sz w:val="22"/>
                <w:szCs w:val="22"/>
              </w:rPr>
              <w:t xml:space="preserve">Project 1a: Measuring the impact of aid on nature &amp; identifying ‘best </w:t>
            </w:r>
            <w:proofErr w:type="gramStart"/>
            <w:r w:rsidRPr="69D41E75">
              <w:rPr>
                <w:rFonts w:asciiTheme="minorHAnsi" w:eastAsiaTheme="minorEastAsia" w:hAnsiTheme="minorHAnsi" w:cstheme="minorBidi"/>
                <w:color w:val="000000" w:themeColor="text1"/>
                <w:sz w:val="22"/>
                <w:szCs w:val="22"/>
              </w:rPr>
              <w:t>buys’</w:t>
            </w:r>
            <w:proofErr w:type="gramEnd"/>
          </w:p>
          <w:p w14:paraId="7849E94F" w14:textId="22EF8C06" w:rsidR="004B69EB" w:rsidRPr="004B69EB" w:rsidRDefault="004B69EB" w:rsidP="69D41E75">
            <w:pPr>
              <w:pStyle w:val="ListParagraph"/>
              <w:numPr>
                <w:ilvl w:val="0"/>
                <w:numId w:val="14"/>
              </w:numPr>
              <w:spacing w:before="40" w:after="40" w:line="240" w:lineRule="auto"/>
              <w:jc w:val="both"/>
              <w:rPr>
                <w:rFonts w:asciiTheme="minorHAnsi" w:eastAsiaTheme="minorEastAsia" w:hAnsiTheme="minorHAnsi" w:cstheme="minorBidi"/>
                <w:color w:val="000000" w:themeColor="text1"/>
                <w:sz w:val="22"/>
                <w:szCs w:val="22"/>
              </w:rPr>
            </w:pPr>
            <w:r w:rsidRPr="69D41E75">
              <w:rPr>
                <w:rFonts w:asciiTheme="minorHAnsi" w:eastAsiaTheme="minorEastAsia" w:hAnsiTheme="minorHAnsi" w:cstheme="minorBidi"/>
                <w:color w:val="000000" w:themeColor="text1"/>
                <w:sz w:val="22"/>
                <w:szCs w:val="22"/>
              </w:rPr>
              <w:t>Project 1b: Scoping and intervention analysis for future ICF programming</w:t>
            </w:r>
          </w:p>
        </w:tc>
      </w:tr>
      <w:tr w:rsidR="004B69EB" w14:paraId="33CD73E6" w14:textId="77777777" w:rsidTr="69D41E75">
        <w:trPr>
          <w:trHeight w:val="1515"/>
        </w:trPr>
        <w:tc>
          <w:tcPr>
            <w:tcW w:w="4508" w:type="dxa"/>
          </w:tcPr>
          <w:p w14:paraId="70F85E64" w14:textId="33B27928" w:rsidR="004B69EB" w:rsidRPr="004B69EB" w:rsidRDefault="004B69EB" w:rsidP="69D41E75">
            <w:pPr>
              <w:spacing w:before="40" w:after="40" w:line="240" w:lineRule="auto"/>
              <w:jc w:val="both"/>
              <w:rPr>
                <w:rFonts w:asciiTheme="minorHAnsi" w:eastAsiaTheme="minorEastAsia" w:hAnsiTheme="minorHAnsi" w:cstheme="minorBidi"/>
                <w:sz w:val="22"/>
                <w:szCs w:val="22"/>
              </w:rPr>
            </w:pPr>
            <w:r w:rsidRPr="69D41E75">
              <w:rPr>
                <w:rFonts w:asciiTheme="minorHAnsi" w:eastAsiaTheme="minorEastAsia" w:hAnsiTheme="minorHAnsi" w:cstheme="minorBidi"/>
                <w:sz w:val="22"/>
                <w:szCs w:val="22"/>
              </w:rPr>
              <w:t xml:space="preserve">Component 2: Evidence to strengthen operational delivery of </w:t>
            </w:r>
            <w:proofErr w:type="spellStart"/>
            <w:r w:rsidRPr="69D41E75">
              <w:rPr>
                <w:rFonts w:asciiTheme="minorHAnsi" w:eastAsiaTheme="minorEastAsia" w:hAnsiTheme="minorHAnsi" w:cstheme="minorBidi"/>
                <w:sz w:val="22"/>
                <w:szCs w:val="22"/>
              </w:rPr>
              <w:t>NbS</w:t>
            </w:r>
            <w:proofErr w:type="spellEnd"/>
            <w:r w:rsidRPr="69D41E75">
              <w:rPr>
                <w:rFonts w:asciiTheme="minorHAnsi" w:eastAsiaTheme="minorEastAsia" w:hAnsiTheme="minorHAnsi" w:cstheme="minorBidi"/>
                <w:sz w:val="22"/>
                <w:szCs w:val="22"/>
              </w:rPr>
              <w:t xml:space="preserve"> (Nature Based Solutions) policies and programmes: Driving innovation in forest protection and enforcement monitoring</w:t>
            </w:r>
          </w:p>
        </w:tc>
        <w:tc>
          <w:tcPr>
            <w:tcW w:w="4508" w:type="dxa"/>
          </w:tcPr>
          <w:p w14:paraId="034A15F2" w14:textId="77777777" w:rsidR="004B69EB" w:rsidRDefault="004B69EB" w:rsidP="69D41E75">
            <w:pPr>
              <w:pStyle w:val="ListParagraph"/>
              <w:numPr>
                <w:ilvl w:val="0"/>
                <w:numId w:val="15"/>
              </w:numPr>
              <w:spacing w:before="40" w:after="40" w:line="240" w:lineRule="auto"/>
              <w:jc w:val="both"/>
              <w:rPr>
                <w:rFonts w:asciiTheme="minorHAnsi" w:eastAsiaTheme="minorEastAsia" w:hAnsiTheme="minorHAnsi" w:cstheme="minorBidi"/>
                <w:color w:val="000000" w:themeColor="text1"/>
                <w:sz w:val="22"/>
                <w:szCs w:val="22"/>
              </w:rPr>
            </w:pPr>
            <w:r w:rsidRPr="69D41E75">
              <w:rPr>
                <w:rFonts w:asciiTheme="minorHAnsi" w:eastAsiaTheme="minorEastAsia" w:hAnsiTheme="minorHAnsi" w:cstheme="minorBidi"/>
                <w:color w:val="000000" w:themeColor="text1"/>
                <w:sz w:val="22"/>
                <w:szCs w:val="22"/>
              </w:rPr>
              <w:t xml:space="preserve">Project 2a: Tackling illegal logging and </w:t>
            </w:r>
            <w:proofErr w:type="gramStart"/>
            <w:r w:rsidRPr="69D41E75">
              <w:rPr>
                <w:rFonts w:asciiTheme="minorHAnsi" w:eastAsiaTheme="minorEastAsia" w:hAnsiTheme="minorHAnsi" w:cstheme="minorBidi"/>
                <w:color w:val="000000" w:themeColor="text1"/>
                <w:sz w:val="22"/>
                <w:szCs w:val="22"/>
              </w:rPr>
              <w:t>deforestation</w:t>
            </w:r>
            <w:proofErr w:type="gramEnd"/>
          </w:p>
          <w:p w14:paraId="4C38A2E1" w14:textId="77777777" w:rsidR="004B69EB" w:rsidRDefault="004B69EB" w:rsidP="69D41E75">
            <w:pPr>
              <w:pStyle w:val="ListParagraph"/>
              <w:numPr>
                <w:ilvl w:val="0"/>
                <w:numId w:val="15"/>
              </w:numPr>
              <w:spacing w:before="40" w:after="40" w:line="240" w:lineRule="auto"/>
              <w:jc w:val="both"/>
              <w:rPr>
                <w:rFonts w:asciiTheme="minorHAnsi" w:eastAsiaTheme="minorEastAsia" w:hAnsiTheme="minorHAnsi" w:cstheme="minorBidi"/>
                <w:color w:val="000000" w:themeColor="text1"/>
                <w:sz w:val="22"/>
                <w:szCs w:val="22"/>
              </w:rPr>
            </w:pPr>
            <w:r w:rsidRPr="69D41E75">
              <w:rPr>
                <w:rFonts w:asciiTheme="minorHAnsi" w:eastAsiaTheme="minorEastAsia" w:hAnsiTheme="minorHAnsi" w:cstheme="minorBidi"/>
                <w:color w:val="000000" w:themeColor="text1"/>
                <w:sz w:val="22"/>
                <w:szCs w:val="22"/>
              </w:rPr>
              <w:t>Project 2b: Strengthening monitoring, reporting and verification</w:t>
            </w:r>
          </w:p>
        </w:tc>
      </w:tr>
      <w:tr w:rsidR="004B69EB" w14:paraId="1CBFB882" w14:textId="77777777" w:rsidTr="69D41E75">
        <w:trPr>
          <w:trHeight w:val="555"/>
        </w:trPr>
        <w:tc>
          <w:tcPr>
            <w:tcW w:w="4508" w:type="dxa"/>
          </w:tcPr>
          <w:p w14:paraId="6BE40715" w14:textId="77777777" w:rsidR="004B69EB" w:rsidRDefault="004B69EB" w:rsidP="69D41E75">
            <w:pPr>
              <w:spacing w:line="240" w:lineRule="auto"/>
              <w:rPr>
                <w:rFonts w:asciiTheme="minorHAnsi" w:eastAsiaTheme="minorEastAsia" w:hAnsiTheme="minorHAnsi" w:cstheme="minorBidi"/>
                <w:sz w:val="22"/>
                <w:szCs w:val="22"/>
              </w:rPr>
            </w:pPr>
            <w:r w:rsidRPr="69D41E75">
              <w:rPr>
                <w:rFonts w:asciiTheme="minorHAnsi" w:eastAsiaTheme="minorEastAsia" w:hAnsiTheme="minorHAnsi" w:cstheme="minorBidi"/>
                <w:sz w:val="22"/>
                <w:szCs w:val="22"/>
              </w:rPr>
              <w:t>Component 3: Build the long-term evidence base</w:t>
            </w:r>
          </w:p>
        </w:tc>
        <w:tc>
          <w:tcPr>
            <w:tcW w:w="4508" w:type="dxa"/>
          </w:tcPr>
          <w:p w14:paraId="25F0AA3D" w14:textId="77777777" w:rsidR="004B69EB" w:rsidRDefault="004B69EB" w:rsidP="000840B1">
            <w:pPr>
              <w:pStyle w:val="ListParagraph"/>
              <w:numPr>
                <w:ilvl w:val="0"/>
                <w:numId w:val="13"/>
              </w:numPr>
              <w:spacing w:before="0" w:after="240" w:line="240" w:lineRule="auto"/>
              <w:rPr>
                <w:rFonts w:asciiTheme="minorHAnsi" w:eastAsiaTheme="minorEastAsia" w:hAnsiTheme="minorHAnsi" w:cstheme="minorBidi"/>
                <w:color w:val="000000" w:themeColor="text1"/>
              </w:rPr>
            </w:pPr>
            <w:r w:rsidRPr="5809BBF5">
              <w:rPr>
                <w:rFonts w:asciiTheme="minorHAnsi" w:eastAsiaTheme="minorEastAsia" w:hAnsiTheme="minorHAnsi" w:cstheme="minorBidi"/>
                <w:sz w:val="22"/>
                <w:szCs w:val="22"/>
              </w:rPr>
              <w:t xml:space="preserve">Project 3: Establish a Global Centre of Excellence (GCOE) on </w:t>
            </w:r>
            <w:proofErr w:type="spellStart"/>
            <w:r w:rsidRPr="5809BBF5">
              <w:rPr>
                <w:rFonts w:asciiTheme="minorHAnsi" w:eastAsiaTheme="minorEastAsia" w:hAnsiTheme="minorHAnsi" w:cstheme="minorBidi"/>
                <w:sz w:val="22"/>
                <w:szCs w:val="22"/>
              </w:rPr>
              <w:t>NbS</w:t>
            </w:r>
            <w:proofErr w:type="spellEnd"/>
          </w:p>
        </w:tc>
      </w:tr>
    </w:tbl>
    <w:p w14:paraId="465A19D3" w14:textId="77777777" w:rsidR="004B69EB" w:rsidRDefault="004B69EB" w:rsidP="69D41E75">
      <w:pPr>
        <w:spacing w:before="40" w:after="40" w:line="240" w:lineRule="auto"/>
        <w:jc w:val="both"/>
        <w:rPr>
          <w:rFonts w:asciiTheme="minorHAnsi" w:eastAsiaTheme="minorEastAsia" w:hAnsiTheme="minorHAnsi" w:cstheme="minorBidi"/>
          <w:color w:val="000000" w:themeColor="text1"/>
          <w:sz w:val="22"/>
          <w:szCs w:val="22"/>
        </w:rPr>
      </w:pPr>
    </w:p>
    <w:p w14:paraId="1AF2C876" w14:textId="099D84A7" w:rsidR="00944EA1" w:rsidRPr="00944EA1" w:rsidRDefault="00944EA1" w:rsidP="69D41E75">
      <w:pPr>
        <w:spacing w:before="40" w:after="40" w:line="240" w:lineRule="auto"/>
        <w:jc w:val="both"/>
        <w:rPr>
          <w:rFonts w:asciiTheme="minorHAnsi" w:eastAsiaTheme="minorEastAsia" w:hAnsiTheme="minorHAnsi" w:cstheme="minorBidi"/>
          <w:color w:val="000000" w:themeColor="text1"/>
          <w:sz w:val="22"/>
          <w:szCs w:val="22"/>
        </w:rPr>
      </w:pPr>
      <w:r w:rsidRPr="69D41E75">
        <w:rPr>
          <w:rFonts w:asciiTheme="minorHAnsi" w:eastAsiaTheme="minorEastAsia" w:hAnsiTheme="minorHAnsi" w:cstheme="minorBidi"/>
          <w:color w:val="000000" w:themeColor="text1"/>
          <w:sz w:val="22"/>
          <w:szCs w:val="22"/>
        </w:rPr>
        <w:t xml:space="preserve">The ICF funded R&amp;D programme aims to deliver an </w:t>
      </w:r>
      <w:r w:rsidRPr="69D41E75">
        <w:rPr>
          <w:rFonts w:asciiTheme="minorHAnsi" w:eastAsiaTheme="minorEastAsia" w:hAnsiTheme="minorHAnsi" w:cstheme="minorBidi"/>
          <w:b/>
          <w:bCs/>
          <w:color w:val="000000" w:themeColor="text1"/>
          <w:sz w:val="22"/>
          <w:szCs w:val="22"/>
        </w:rPr>
        <w:t>integrated package of projects to strengthen global knowledge and understanding of the interrelationship between the climate and biodiversity challenges in a development context</w:t>
      </w:r>
      <w:r w:rsidRPr="69D41E75">
        <w:rPr>
          <w:rFonts w:asciiTheme="minorHAnsi" w:eastAsiaTheme="minorEastAsia" w:hAnsiTheme="minorHAnsi" w:cstheme="minorBidi"/>
          <w:color w:val="000000" w:themeColor="text1"/>
          <w:sz w:val="22"/>
          <w:szCs w:val="22"/>
        </w:rPr>
        <w:t xml:space="preserve">. Its aim is to inform the design, implementation and effectiveness of global policy and programming. It recognises that the scaling, and effectiveness of natural solutions to the triple challenge of climate change, </w:t>
      </w:r>
      <w:proofErr w:type="gramStart"/>
      <w:r w:rsidRPr="69D41E75">
        <w:rPr>
          <w:rFonts w:asciiTheme="minorHAnsi" w:eastAsiaTheme="minorEastAsia" w:hAnsiTheme="minorHAnsi" w:cstheme="minorBidi"/>
          <w:color w:val="000000" w:themeColor="text1"/>
          <w:sz w:val="22"/>
          <w:szCs w:val="22"/>
        </w:rPr>
        <w:t>poverty</w:t>
      </w:r>
      <w:proofErr w:type="gramEnd"/>
      <w:r w:rsidRPr="69D41E75">
        <w:rPr>
          <w:rFonts w:asciiTheme="minorHAnsi" w:eastAsiaTheme="minorEastAsia" w:hAnsiTheme="minorHAnsi" w:cstheme="minorBidi"/>
          <w:color w:val="000000" w:themeColor="text1"/>
          <w:sz w:val="22"/>
          <w:szCs w:val="22"/>
        </w:rPr>
        <w:t xml:space="preserve"> and biodiversity loss (hereafter referred to as ‘natural solutions’) requires an investment in the primary evidence base needed to inform effective decisions, and drive innovation in the future. The proposed package of work is designed to deliver this comprehensive approach of </w:t>
      </w:r>
      <w:r w:rsidRPr="69D41E75">
        <w:rPr>
          <w:rFonts w:asciiTheme="minorHAnsi" w:eastAsiaTheme="minorEastAsia" w:hAnsiTheme="minorHAnsi" w:cstheme="minorBidi"/>
          <w:b/>
          <w:bCs/>
          <w:color w:val="000000" w:themeColor="text1"/>
          <w:sz w:val="22"/>
          <w:szCs w:val="22"/>
        </w:rPr>
        <w:t>meeting both short and longer-term evidence needs</w:t>
      </w:r>
      <w:r w:rsidRPr="69D41E75">
        <w:rPr>
          <w:rFonts w:asciiTheme="minorHAnsi" w:eastAsiaTheme="minorEastAsia" w:hAnsiTheme="minorHAnsi" w:cstheme="minorBidi"/>
          <w:color w:val="000000" w:themeColor="text1"/>
          <w:sz w:val="22"/>
          <w:szCs w:val="22"/>
        </w:rPr>
        <w:t xml:space="preserve">, including to deliver a United Nations Framework Convention on Climate Change (UNFCCC) and Convention on Biological Diversity (CBD) legacy, focusing on ensuring strategic, policy-relevant results and a </w:t>
      </w:r>
      <w:r w:rsidRPr="69D41E75">
        <w:rPr>
          <w:rFonts w:asciiTheme="minorHAnsi" w:eastAsiaTheme="minorEastAsia" w:hAnsiTheme="minorHAnsi" w:cstheme="minorBidi"/>
          <w:b/>
          <w:bCs/>
          <w:color w:val="000000" w:themeColor="text1"/>
          <w:sz w:val="22"/>
          <w:szCs w:val="22"/>
        </w:rPr>
        <w:t>global network of knowledge exchange and learning.</w:t>
      </w:r>
    </w:p>
    <w:p w14:paraId="6F0128C3" w14:textId="77777777" w:rsidR="00944EA1" w:rsidRPr="00944EA1" w:rsidRDefault="00944EA1" w:rsidP="69D41E75">
      <w:pPr>
        <w:pStyle w:val="ListParagraph"/>
        <w:spacing w:before="40" w:after="40" w:line="240" w:lineRule="auto"/>
        <w:jc w:val="both"/>
        <w:rPr>
          <w:color w:val="000000" w:themeColor="text1"/>
        </w:rPr>
      </w:pPr>
    </w:p>
    <w:p w14:paraId="159C9394" w14:textId="1955EA23" w:rsidR="00944EA1" w:rsidRDefault="00944EA1" w:rsidP="69D41E75">
      <w:pPr>
        <w:spacing w:before="40" w:after="40" w:line="240" w:lineRule="auto"/>
        <w:jc w:val="both"/>
        <w:rPr>
          <w:rFonts w:asciiTheme="minorHAnsi" w:eastAsiaTheme="minorEastAsia" w:hAnsiTheme="minorHAnsi" w:cstheme="minorBidi"/>
          <w:color w:val="000000" w:themeColor="text1"/>
          <w:sz w:val="22"/>
          <w:szCs w:val="22"/>
        </w:rPr>
      </w:pPr>
      <w:r w:rsidRPr="2B62C876">
        <w:rPr>
          <w:rFonts w:asciiTheme="minorHAnsi" w:eastAsiaTheme="minorEastAsia" w:hAnsiTheme="minorHAnsi" w:cstheme="minorBidi"/>
          <w:color w:val="000000" w:themeColor="text1"/>
          <w:sz w:val="22"/>
          <w:szCs w:val="22"/>
        </w:rPr>
        <w:t>Overall, the delivery of the ICF R&amp;D programme was affected by two key issues: (</w:t>
      </w:r>
      <w:proofErr w:type="spellStart"/>
      <w:r w:rsidRPr="2B62C876">
        <w:rPr>
          <w:rFonts w:asciiTheme="minorHAnsi" w:eastAsiaTheme="minorEastAsia" w:hAnsiTheme="minorHAnsi" w:cstheme="minorBidi"/>
          <w:color w:val="000000" w:themeColor="text1"/>
          <w:sz w:val="22"/>
          <w:szCs w:val="22"/>
        </w:rPr>
        <w:t>i</w:t>
      </w:r>
      <w:proofErr w:type="spellEnd"/>
      <w:r w:rsidRPr="2B62C876">
        <w:rPr>
          <w:rFonts w:asciiTheme="minorHAnsi" w:eastAsiaTheme="minorEastAsia" w:hAnsiTheme="minorHAnsi" w:cstheme="minorBidi"/>
          <w:color w:val="000000" w:themeColor="text1"/>
          <w:sz w:val="22"/>
          <w:szCs w:val="22"/>
        </w:rPr>
        <w:t xml:space="preserve">) the COVID-19 pandemic and the associated travel restrictions and consequent delays in the delivery of materials and equipment, sickness absence and social distancing measures; and (ii) the cross-Government review of aid spending.  These both contributed to delays in project timelines with consequences for the 2020/21 budget.  For example, </w:t>
      </w:r>
      <w:r w:rsidR="00E94983" w:rsidRPr="2B62C876">
        <w:rPr>
          <w:rFonts w:asciiTheme="minorHAnsi" w:eastAsiaTheme="minorEastAsia" w:hAnsiTheme="minorHAnsi" w:cstheme="minorBidi"/>
          <w:color w:val="000000" w:themeColor="text1"/>
          <w:sz w:val="22"/>
          <w:szCs w:val="22"/>
        </w:rPr>
        <w:t xml:space="preserve">COVID-19-related </w:t>
      </w:r>
      <w:r w:rsidRPr="2B62C876">
        <w:rPr>
          <w:rFonts w:asciiTheme="minorHAnsi" w:eastAsiaTheme="minorEastAsia" w:hAnsiTheme="minorHAnsi" w:cstheme="minorBidi"/>
          <w:color w:val="000000" w:themeColor="text1"/>
          <w:sz w:val="22"/>
          <w:szCs w:val="22"/>
        </w:rPr>
        <w:t>delays in the transit and servicing of the ‘DART’ machine</w:t>
      </w:r>
      <w:r w:rsidRPr="2B62C876">
        <w:rPr>
          <w:rStyle w:val="FootnoteReference"/>
          <w:rFonts w:asciiTheme="minorHAnsi" w:eastAsiaTheme="minorEastAsia" w:hAnsiTheme="minorHAnsi" w:cstheme="minorBidi"/>
          <w:color w:val="000000" w:themeColor="text1"/>
          <w:sz w:val="22"/>
          <w:szCs w:val="22"/>
        </w:rPr>
        <w:footnoteReference w:id="2"/>
      </w:r>
      <w:r w:rsidRPr="2B62C876">
        <w:rPr>
          <w:rFonts w:asciiTheme="minorHAnsi" w:eastAsiaTheme="minorEastAsia" w:hAnsiTheme="minorHAnsi" w:cstheme="minorBidi"/>
          <w:color w:val="000000" w:themeColor="text1"/>
          <w:sz w:val="22"/>
          <w:szCs w:val="22"/>
        </w:rPr>
        <w:t xml:space="preserve"> used in the isotope analysis of timber samples by Royal Botanic Gardens (RBG) Kew under ‘Project 2a. Tackling Illegal Logging’ meant that spend could not be made as planned.  There were also delays to the commissioning of research projects under ‘Project 1(b). Scoping and intervention analysis for future ICF programming’ as our strategic priorities re-focused following the review of aid spending.</w:t>
      </w:r>
    </w:p>
    <w:p w14:paraId="03B410D6" w14:textId="7C84C7F9" w:rsidR="00BF56F9" w:rsidRPr="00BF56F9" w:rsidRDefault="00BF56F9" w:rsidP="69D41E75">
      <w:pPr>
        <w:tabs>
          <w:tab w:val="left" w:pos="720"/>
        </w:tabs>
        <w:spacing w:line="240" w:lineRule="auto"/>
        <w:rPr>
          <w:rFonts w:ascii="Calibri" w:hAnsi="Calibri" w:cs="Calibri"/>
          <w:b/>
          <w:bCs/>
          <w:sz w:val="22"/>
          <w:szCs w:val="22"/>
        </w:rPr>
      </w:pPr>
      <w:r w:rsidRPr="69D41E75">
        <w:rPr>
          <w:rFonts w:ascii="Calibri" w:hAnsi="Calibri" w:cs="Calibri"/>
          <w:b/>
          <w:bCs/>
          <w:sz w:val="22"/>
          <w:szCs w:val="22"/>
        </w:rPr>
        <w:t xml:space="preserve">Summary supporting narrative for the overall score in this </w:t>
      </w:r>
      <w:proofErr w:type="gramStart"/>
      <w:r w:rsidRPr="69D41E75">
        <w:rPr>
          <w:rFonts w:ascii="Calibri" w:hAnsi="Calibri" w:cs="Calibri"/>
          <w:b/>
          <w:bCs/>
          <w:sz w:val="22"/>
          <w:szCs w:val="22"/>
        </w:rPr>
        <w:t>review</w:t>
      </w:r>
      <w:proofErr w:type="gramEnd"/>
    </w:p>
    <w:p w14:paraId="6CEB0730" w14:textId="5A54FD08" w:rsidR="003D0910" w:rsidRDefault="00944EA1" w:rsidP="69D41E75">
      <w:pPr>
        <w:spacing w:before="40" w:after="40" w:line="240" w:lineRule="auto"/>
        <w:jc w:val="both"/>
        <w:rPr>
          <w:rFonts w:asciiTheme="minorHAnsi" w:eastAsiaTheme="minorEastAsia" w:hAnsiTheme="minorHAnsi" w:cstheme="minorBidi"/>
          <w:color w:val="000000" w:themeColor="text1"/>
          <w:sz w:val="22"/>
          <w:szCs w:val="22"/>
        </w:rPr>
      </w:pPr>
      <w:r w:rsidRPr="69D41E75">
        <w:rPr>
          <w:rFonts w:asciiTheme="minorHAnsi" w:eastAsiaTheme="minorEastAsia" w:hAnsiTheme="minorHAnsi" w:cstheme="minorBidi"/>
          <w:color w:val="000000" w:themeColor="text1"/>
          <w:sz w:val="22"/>
          <w:szCs w:val="22"/>
        </w:rPr>
        <w:t xml:space="preserve">Defra has been able to mitigate the longer-term effects of this to some extent – for example, we have been able to reprofile some elements of project spend allowing for the DART machine to be purchased </w:t>
      </w:r>
      <w:r w:rsidR="00E94983" w:rsidRPr="69D41E75">
        <w:rPr>
          <w:rFonts w:asciiTheme="minorHAnsi" w:eastAsiaTheme="minorEastAsia" w:hAnsiTheme="minorHAnsi" w:cstheme="minorBidi"/>
          <w:color w:val="000000" w:themeColor="text1"/>
          <w:sz w:val="22"/>
          <w:szCs w:val="22"/>
        </w:rPr>
        <w:t xml:space="preserve">early in </w:t>
      </w:r>
      <w:r w:rsidR="00E94983" w:rsidRPr="69D41E75">
        <w:rPr>
          <w:rFonts w:asciiTheme="minorHAnsi" w:eastAsiaTheme="minorEastAsia" w:hAnsiTheme="minorHAnsi" w:cstheme="minorBidi"/>
          <w:color w:val="000000" w:themeColor="text1"/>
          <w:sz w:val="22"/>
          <w:szCs w:val="22"/>
        </w:rPr>
        <w:lastRenderedPageBreak/>
        <w:t xml:space="preserve">the 2021/22 financial year </w:t>
      </w:r>
      <w:r w:rsidRPr="69D41E75">
        <w:rPr>
          <w:rFonts w:asciiTheme="minorHAnsi" w:eastAsiaTheme="minorEastAsia" w:hAnsiTheme="minorHAnsi" w:cstheme="minorBidi"/>
          <w:color w:val="000000" w:themeColor="text1"/>
          <w:sz w:val="22"/>
          <w:szCs w:val="22"/>
        </w:rPr>
        <w:t xml:space="preserve">which has ensured that activities fundamental to the longer-term success of the project can still take place.  So, although these external risks have had some effect on the </w:t>
      </w:r>
      <w:r w:rsidR="00BF56F9" w:rsidRPr="69D41E75">
        <w:rPr>
          <w:rFonts w:asciiTheme="minorHAnsi" w:eastAsiaTheme="minorEastAsia" w:hAnsiTheme="minorHAnsi" w:cstheme="minorBidi"/>
          <w:color w:val="000000" w:themeColor="text1"/>
          <w:sz w:val="22"/>
          <w:szCs w:val="22"/>
        </w:rPr>
        <w:t>indicator</w:t>
      </w:r>
      <w:r w:rsidRPr="69D41E75">
        <w:rPr>
          <w:rFonts w:asciiTheme="minorHAnsi" w:eastAsiaTheme="minorEastAsia" w:hAnsiTheme="minorHAnsi" w:cstheme="minorBidi"/>
          <w:color w:val="000000" w:themeColor="text1"/>
          <w:sz w:val="22"/>
          <w:szCs w:val="22"/>
        </w:rPr>
        <w:t xml:space="preserve"> targets for the projects, overall impact has still been achieved against the log frame outputs and the programme level Theory of Change (</w:t>
      </w:r>
      <w:proofErr w:type="spellStart"/>
      <w:r w:rsidRPr="69D41E75">
        <w:rPr>
          <w:rFonts w:asciiTheme="minorHAnsi" w:eastAsiaTheme="minorEastAsia" w:hAnsiTheme="minorHAnsi" w:cstheme="minorBidi"/>
          <w:color w:val="000000" w:themeColor="text1"/>
          <w:sz w:val="22"/>
          <w:szCs w:val="22"/>
        </w:rPr>
        <w:t>ToC</w:t>
      </w:r>
      <w:proofErr w:type="spellEnd"/>
      <w:r w:rsidRPr="69D41E75">
        <w:rPr>
          <w:rFonts w:asciiTheme="minorHAnsi" w:eastAsiaTheme="minorEastAsia" w:hAnsiTheme="minorHAnsi" w:cstheme="minorBidi"/>
          <w:color w:val="000000" w:themeColor="text1"/>
          <w:sz w:val="22"/>
          <w:szCs w:val="22"/>
        </w:rPr>
        <w:t xml:space="preserve">). </w:t>
      </w:r>
      <w:r w:rsidR="003D0910">
        <w:rPr>
          <w:rFonts w:asciiTheme="minorHAnsi" w:eastAsiaTheme="minorEastAsia" w:hAnsiTheme="minorHAnsi" w:cstheme="minorBidi"/>
          <w:color w:val="000000" w:themeColor="text1"/>
          <w:sz w:val="22"/>
          <w:szCs w:val="22"/>
        </w:rPr>
        <w:t xml:space="preserve">There </w:t>
      </w:r>
      <w:r w:rsidR="00A60355">
        <w:rPr>
          <w:rFonts w:asciiTheme="minorHAnsi" w:eastAsiaTheme="minorEastAsia" w:hAnsiTheme="minorHAnsi" w:cstheme="minorBidi"/>
          <w:color w:val="000000" w:themeColor="text1"/>
          <w:sz w:val="22"/>
          <w:szCs w:val="22"/>
        </w:rPr>
        <w:t xml:space="preserve">have </w:t>
      </w:r>
      <w:r w:rsidR="003D0910">
        <w:rPr>
          <w:rFonts w:asciiTheme="minorHAnsi" w:eastAsiaTheme="minorEastAsia" w:hAnsiTheme="minorHAnsi" w:cstheme="minorBidi"/>
          <w:color w:val="000000" w:themeColor="text1"/>
          <w:sz w:val="22"/>
          <w:szCs w:val="22"/>
        </w:rPr>
        <w:t xml:space="preserve">however been significant delays to delivery – not </w:t>
      </w:r>
      <w:proofErr w:type="gramStart"/>
      <w:r w:rsidR="003D0910">
        <w:rPr>
          <w:rFonts w:asciiTheme="minorHAnsi" w:eastAsiaTheme="minorEastAsia" w:hAnsiTheme="minorHAnsi" w:cstheme="minorBidi"/>
          <w:color w:val="000000" w:themeColor="text1"/>
          <w:sz w:val="22"/>
          <w:szCs w:val="22"/>
        </w:rPr>
        <w:t>as a result of</w:t>
      </w:r>
      <w:proofErr w:type="gramEnd"/>
      <w:r w:rsidR="003D0910">
        <w:rPr>
          <w:rFonts w:asciiTheme="minorHAnsi" w:eastAsiaTheme="minorEastAsia" w:hAnsiTheme="minorHAnsi" w:cstheme="minorBidi"/>
          <w:color w:val="000000" w:themeColor="text1"/>
          <w:sz w:val="22"/>
          <w:szCs w:val="22"/>
        </w:rPr>
        <w:t xml:space="preserve"> failure, but rather circumstances beyond control. The programme showed great resilience and responded positively. </w:t>
      </w:r>
    </w:p>
    <w:p w14:paraId="2DEB6593" w14:textId="77777777" w:rsidR="003D0910" w:rsidRDefault="003D0910" w:rsidP="69D41E75">
      <w:pPr>
        <w:spacing w:before="40" w:after="40" w:line="240" w:lineRule="auto"/>
        <w:jc w:val="both"/>
        <w:rPr>
          <w:rFonts w:asciiTheme="minorHAnsi" w:eastAsiaTheme="minorEastAsia" w:hAnsiTheme="minorHAnsi" w:cstheme="minorBidi"/>
          <w:color w:val="000000" w:themeColor="text1"/>
          <w:sz w:val="22"/>
          <w:szCs w:val="22"/>
        </w:rPr>
      </w:pPr>
    </w:p>
    <w:p w14:paraId="32D661A5" w14:textId="364C1445" w:rsidR="00944EA1" w:rsidRPr="00944EA1" w:rsidRDefault="32CDE97F" w:rsidP="4E824C56">
      <w:pPr>
        <w:spacing w:before="40" w:after="40" w:line="240" w:lineRule="auto"/>
        <w:jc w:val="both"/>
        <w:rPr>
          <w:rFonts w:asciiTheme="minorHAnsi" w:eastAsiaTheme="minorEastAsia" w:hAnsiTheme="minorHAnsi" w:cstheme="minorBidi"/>
          <w:color w:val="000000" w:themeColor="text1"/>
          <w:sz w:val="22"/>
          <w:szCs w:val="22"/>
        </w:rPr>
      </w:pPr>
      <w:r w:rsidRPr="301ABC4E">
        <w:rPr>
          <w:rFonts w:asciiTheme="minorHAnsi" w:eastAsiaTheme="minorEastAsia" w:hAnsiTheme="minorHAnsi" w:cstheme="minorBidi"/>
          <w:color w:val="000000" w:themeColor="text1"/>
          <w:sz w:val="22"/>
          <w:szCs w:val="22"/>
        </w:rPr>
        <w:t xml:space="preserve">Despite various individual projects that were initiated scoring an ‘A’, not all projects commenced as planned. </w:t>
      </w:r>
      <w:r w:rsidR="00944EA1" w:rsidRPr="301ABC4E">
        <w:rPr>
          <w:rFonts w:asciiTheme="minorHAnsi" w:eastAsiaTheme="minorEastAsia" w:hAnsiTheme="minorHAnsi" w:cstheme="minorBidi"/>
          <w:color w:val="000000" w:themeColor="text1"/>
          <w:sz w:val="22"/>
          <w:szCs w:val="22"/>
        </w:rPr>
        <w:t xml:space="preserve">As a result, </w:t>
      </w:r>
      <w:r w:rsidR="00944EA1" w:rsidRPr="301ABC4E">
        <w:rPr>
          <w:rFonts w:asciiTheme="minorHAnsi" w:eastAsiaTheme="minorEastAsia" w:hAnsiTheme="minorHAnsi" w:cstheme="minorBidi"/>
          <w:b/>
          <w:bCs/>
          <w:color w:val="000000" w:themeColor="text1"/>
          <w:sz w:val="22"/>
          <w:szCs w:val="22"/>
        </w:rPr>
        <w:t>the ICF R&amp;D programme scored an average of ‘</w:t>
      </w:r>
      <w:r w:rsidR="003D0910" w:rsidRPr="301ABC4E">
        <w:rPr>
          <w:rFonts w:asciiTheme="minorHAnsi" w:eastAsiaTheme="minorEastAsia" w:hAnsiTheme="minorHAnsi" w:cstheme="minorBidi"/>
          <w:b/>
          <w:bCs/>
          <w:color w:val="000000" w:themeColor="text1"/>
          <w:sz w:val="22"/>
          <w:szCs w:val="22"/>
        </w:rPr>
        <w:t>B</w:t>
      </w:r>
      <w:r w:rsidR="00944EA1" w:rsidRPr="301ABC4E">
        <w:rPr>
          <w:rFonts w:asciiTheme="minorHAnsi" w:eastAsiaTheme="minorEastAsia" w:hAnsiTheme="minorHAnsi" w:cstheme="minorBidi"/>
          <w:b/>
          <w:bCs/>
          <w:color w:val="000000" w:themeColor="text1"/>
          <w:sz w:val="22"/>
          <w:szCs w:val="22"/>
        </w:rPr>
        <w:t>’</w:t>
      </w:r>
      <w:r w:rsidR="00944EA1" w:rsidRPr="301ABC4E">
        <w:rPr>
          <w:rFonts w:asciiTheme="minorHAnsi" w:eastAsiaTheme="minorEastAsia" w:hAnsiTheme="minorHAnsi" w:cstheme="minorBidi"/>
          <w:color w:val="000000" w:themeColor="text1"/>
          <w:sz w:val="22"/>
          <w:szCs w:val="22"/>
        </w:rPr>
        <w:t xml:space="preserve"> for this Annual Review (“</w:t>
      </w:r>
      <w:r w:rsidR="00426DAF" w:rsidRPr="301ABC4E">
        <w:rPr>
          <w:rFonts w:asciiTheme="minorHAnsi" w:eastAsiaTheme="minorEastAsia" w:hAnsiTheme="minorHAnsi" w:cstheme="minorBidi"/>
          <w:sz w:val="22"/>
          <w:szCs w:val="22"/>
        </w:rPr>
        <w:t>Outputs moderately did not meet expectation</w:t>
      </w:r>
      <w:r w:rsidR="00944EA1" w:rsidRPr="301ABC4E">
        <w:rPr>
          <w:rFonts w:asciiTheme="minorHAnsi" w:eastAsiaTheme="minorEastAsia" w:hAnsiTheme="minorHAnsi" w:cstheme="minorBidi"/>
          <w:sz w:val="22"/>
          <w:szCs w:val="22"/>
        </w:rPr>
        <w:t>”</w:t>
      </w:r>
      <w:r w:rsidR="00944EA1" w:rsidRPr="301ABC4E">
        <w:rPr>
          <w:rFonts w:asciiTheme="minorHAnsi" w:eastAsiaTheme="minorEastAsia" w:hAnsiTheme="minorHAnsi" w:cstheme="minorBidi"/>
          <w:color w:val="000000" w:themeColor="text1"/>
          <w:sz w:val="22"/>
          <w:szCs w:val="22"/>
        </w:rPr>
        <w:t>) despite the challenges faced</w:t>
      </w:r>
      <w:r w:rsidR="00A60355" w:rsidRPr="301ABC4E">
        <w:rPr>
          <w:rFonts w:asciiTheme="minorHAnsi" w:eastAsiaTheme="minorEastAsia" w:hAnsiTheme="minorHAnsi" w:cstheme="minorBidi"/>
          <w:color w:val="000000" w:themeColor="text1"/>
          <w:sz w:val="22"/>
          <w:szCs w:val="22"/>
        </w:rPr>
        <w:t xml:space="preserve"> being outside the programme’s control</w:t>
      </w:r>
      <w:r w:rsidR="00944EA1" w:rsidRPr="301ABC4E">
        <w:rPr>
          <w:rFonts w:asciiTheme="minorHAnsi" w:eastAsiaTheme="minorEastAsia" w:hAnsiTheme="minorHAnsi" w:cstheme="minorBidi"/>
          <w:color w:val="000000" w:themeColor="text1"/>
          <w:sz w:val="22"/>
          <w:szCs w:val="22"/>
        </w:rPr>
        <w:t>.</w:t>
      </w:r>
    </w:p>
    <w:p w14:paraId="35212C97" w14:textId="01EC2D40" w:rsidR="0071201F" w:rsidRPr="00BF56F9" w:rsidRDefault="50C13F49" w:rsidP="69D41E75">
      <w:pPr>
        <w:tabs>
          <w:tab w:val="left" w:pos="720"/>
        </w:tabs>
        <w:spacing w:line="240" w:lineRule="auto"/>
        <w:rPr>
          <w:rFonts w:ascii="Calibri" w:hAnsi="Calibri" w:cs="Calibri"/>
          <w:b/>
          <w:bCs/>
          <w:sz w:val="22"/>
          <w:szCs w:val="22"/>
        </w:rPr>
      </w:pPr>
      <w:r w:rsidRPr="69D41E75">
        <w:rPr>
          <w:rFonts w:ascii="Calibri" w:hAnsi="Calibri" w:cs="Calibri"/>
          <w:b/>
          <w:bCs/>
          <w:sz w:val="22"/>
          <w:szCs w:val="22"/>
        </w:rPr>
        <w:t>Major lessons and recommendations for the year ahead</w:t>
      </w:r>
    </w:p>
    <w:p w14:paraId="3AB2732B" w14:textId="46E9848F" w:rsidR="004B69EB" w:rsidRPr="004B69EB" w:rsidRDefault="004B69EB" w:rsidP="69D41E75">
      <w:pPr>
        <w:spacing w:line="240" w:lineRule="auto"/>
        <w:rPr>
          <w:rFonts w:ascii="Calibri" w:hAnsi="Calibri" w:cs="Calibri"/>
          <w:sz w:val="22"/>
          <w:szCs w:val="22"/>
        </w:rPr>
      </w:pPr>
      <w:r w:rsidRPr="69D41E75">
        <w:rPr>
          <w:rFonts w:ascii="Calibri" w:hAnsi="Calibri" w:cs="Calibri"/>
          <w:sz w:val="22"/>
          <w:szCs w:val="22"/>
        </w:rPr>
        <w:t xml:space="preserve">Major lessons and recommendations for the year ahead focus on primary risks which may impact the continued, effective implementation of the programme.  </w:t>
      </w:r>
    </w:p>
    <w:p w14:paraId="3D2603C0" w14:textId="28FEA0B3" w:rsidR="004B69EB" w:rsidRPr="004B69EB" w:rsidRDefault="004B69EB" w:rsidP="69D41E75">
      <w:pPr>
        <w:spacing w:line="240" w:lineRule="auto"/>
        <w:rPr>
          <w:rFonts w:ascii="Calibri" w:hAnsi="Calibri" w:cs="Calibri"/>
          <w:sz w:val="22"/>
          <w:szCs w:val="22"/>
        </w:rPr>
      </w:pPr>
      <w:r w:rsidRPr="69D41E75">
        <w:rPr>
          <w:rFonts w:ascii="Calibri" w:hAnsi="Calibri" w:cs="Calibri"/>
          <w:sz w:val="22"/>
          <w:szCs w:val="22"/>
        </w:rPr>
        <w:t>Lessons Learnt:</w:t>
      </w:r>
    </w:p>
    <w:p w14:paraId="766AC173" w14:textId="2BBCA03F" w:rsidR="004B69EB" w:rsidRPr="004B69EB" w:rsidRDefault="004B69EB" w:rsidP="69D41E75">
      <w:pPr>
        <w:pStyle w:val="ListParagraph"/>
        <w:numPr>
          <w:ilvl w:val="0"/>
          <w:numId w:val="16"/>
        </w:numPr>
        <w:spacing w:line="240" w:lineRule="auto"/>
        <w:rPr>
          <w:rFonts w:ascii="Calibri" w:hAnsi="Calibri" w:cs="Calibri"/>
          <w:sz w:val="22"/>
          <w:szCs w:val="22"/>
        </w:rPr>
      </w:pPr>
      <w:r w:rsidRPr="69D41E75">
        <w:rPr>
          <w:rFonts w:ascii="Calibri" w:hAnsi="Calibri" w:cs="Calibri"/>
          <w:sz w:val="22"/>
          <w:szCs w:val="22"/>
        </w:rPr>
        <w:t xml:space="preserve">Responding to the COVID-19 pandemic. </w:t>
      </w:r>
      <w:r w:rsidR="000312EE" w:rsidRPr="69D41E75">
        <w:rPr>
          <w:rFonts w:ascii="Calibri" w:hAnsi="Calibri" w:cs="Calibri"/>
          <w:sz w:val="22"/>
          <w:szCs w:val="22"/>
        </w:rPr>
        <w:t xml:space="preserve"> Like many programmes, t</w:t>
      </w:r>
      <w:r w:rsidRPr="69D41E75">
        <w:rPr>
          <w:rFonts w:ascii="Calibri" w:hAnsi="Calibri" w:cs="Calibri"/>
          <w:sz w:val="22"/>
          <w:szCs w:val="22"/>
        </w:rPr>
        <w:t xml:space="preserve">he COVID-19 pandemic has had a major impact on activities and resulted in delays to equipment, materials and associated sickness absence resulted in delays to milestones. Despite this, </w:t>
      </w:r>
      <w:r w:rsidR="00E94983" w:rsidRPr="69D41E75">
        <w:rPr>
          <w:rFonts w:ascii="Calibri" w:hAnsi="Calibri" w:cs="Calibri"/>
          <w:sz w:val="22"/>
          <w:szCs w:val="22"/>
        </w:rPr>
        <w:t xml:space="preserve">the smaller-scale nature of the </w:t>
      </w:r>
      <w:r w:rsidRPr="69D41E75">
        <w:rPr>
          <w:rFonts w:ascii="Calibri" w:hAnsi="Calibri" w:cs="Calibri"/>
          <w:sz w:val="22"/>
          <w:szCs w:val="22"/>
        </w:rPr>
        <w:t xml:space="preserve">projects </w:t>
      </w:r>
      <w:r w:rsidR="00E94983" w:rsidRPr="69D41E75">
        <w:rPr>
          <w:rFonts w:ascii="Calibri" w:hAnsi="Calibri" w:cs="Calibri"/>
          <w:sz w:val="22"/>
          <w:szCs w:val="22"/>
        </w:rPr>
        <w:t xml:space="preserve">meant that </w:t>
      </w:r>
      <w:r w:rsidR="000312EE" w:rsidRPr="69D41E75">
        <w:rPr>
          <w:rFonts w:ascii="Calibri" w:hAnsi="Calibri" w:cs="Calibri"/>
          <w:sz w:val="22"/>
          <w:szCs w:val="22"/>
        </w:rPr>
        <w:t xml:space="preserve">each was individually </w:t>
      </w:r>
      <w:r w:rsidRPr="69D41E75">
        <w:rPr>
          <w:rFonts w:ascii="Calibri" w:hAnsi="Calibri" w:cs="Calibri"/>
          <w:sz w:val="22"/>
          <w:szCs w:val="22"/>
        </w:rPr>
        <w:t xml:space="preserve">able to flex and adapt to </w:t>
      </w:r>
      <w:r w:rsidR="00430AB5" w:rsidRPr="69D41E75">
        <w:rPr>
          <w:rFonts w:ascii="Calibri" w:hAnsi="Calibri" w:cs="Calibri"/>
          <w:sz w:val="22"/>
          <w:szCs w:val="22"/>
        </w:rPr>
        <w:t xml:space="preserve">best </w:t>
      </w:r>
      <w:r w:rsidRPr="69D41E75">
        <w:rPr>
          <w:rFonts w:ascii="Calibri" w:hAnsi="Calibri" w:cs="Calibri"/>
          <w:sz w:val="22"/>
          <w:szCs w:val="22"/>
        </w:rPr>
        <w:t>ensure output delivery</w:t>
      </w:r>
      <w:r w:rsidR="00E94983" w:rsidRPr="69D41E75">
        <w:rPr>
          <w:rFonts w:ascii="Calibri" w:hAnsi="Calibri" w:cs="Calibri"/>
          <w:sz w:val="22"/>
          <w:szCs w:val="22"/>
        </w:rPr>
        <w:t>,</w:t>
      </w:r>
      <w:r w:rsidRPr="69D41E75">
        <w:rPr>
          <w:rFonts w:ascii="Calibri" w:hAnsi="Calibri" w:cs="Calibri"/>
          <w:sz w:val="22"/>
          <w:szCs w:val="22"/>
        </w:rPr>
        <w:t xml:space="preserve"> but </w:t>
      </w:r>
      <w:r w:rsidR="000312EE" w:rsidRPr="69D41E75">
        <w:rPr>
          <w:rFonts w:ascii="Calibri" w:hAnsi="Calibri" w:cs="Calibri"/>
          <w:sz w:val="22"/>
          <w:szCs w:val="22"/>
        </w:rPr>
        <w:t xml:space="preserve">the programme </w:t>
      </w:r>
      <w:r w:rsidRPr="69D41E75">
        <w:rPr>
          <w:rFonts w:ascii="Calibri" w:hAnsi="Calibri" w:cs="Calibri"/>
          <w:sz w:val="22"/>
          <w:szCs w:val="22"/>
        </w:rPr>
        <w:t>will need to take account of possible increased delivery risks related to COVID-19</w:t>
      </w:r>
      <w:r w:rsidR="00E94983" w:rsidRPr="69D41E75">
        <w:rPr>
          <w:rFonts w:ascii="Calibri" w:hAnsi="Calibri" w:cs="Calibri"/>
          <w:sz w:val="22"/>
          <w:szCs w:val="22"/>
        </w:rPr>
        <w:t xml:space="preserve"> </w:t>
      </w:r>
      <w:r w:rsidR="000312EE" w:rsidRPr="69D41E75">
        <w:rPr>
          <w:rFonts w:ascii="Calibri" w:hAnsi="Calibri" w:cs="Calibri"/>
          <w:sz w:val="22"/>
          <w:szCs w:val="22"/>
        </w:rPr>
        <w:t>impact and response</w:t>
      </w:r>
      <w:r w:rsidRPr="69D41E75">
        <w:rPr>
          <w:rFonts w:ascii="Calibri" w:hAnsi="Calibri" w:cs="Calibri"/>
          <w:sz w:val="22"/>
          <w:szCs w:val="22"/>
        </w:rPr>
        <w:t xml:space="preserve">. </w:t>
      </w:r>
    </w:p>
    <w:p w14:paraId="1F37A7D5" w14:textId="75B4795B" w:rsidR="00AC00EF" w:rsidRDefault="00AC00EF" w:rsidP="000840B1">
      <w:pPr>
        <w:pStyle w:val="ListParagraph"/>
        <w:numPr>
          <w:ilvl w:val="0"/>
          <w:numId w:val="16"/>
        </w:numPr>
        <w:spacing w:line="240" w:lineRule="auto"/>
        <w:rPr>
          <w:rFonts w:ascii="Calibri" w:hAnsi="Calibri" w:cs="Calibri"/>
          <w:sz w:val="22"/>
          <w:szCs w:val="22"/>
        </w:rPr>
      </w:pPr>
      <w:r w:rsidRPr="69D41E75">
        <w:rPr>
          <w:rFonts w:ascii="Calibri" w:hAnsi="Calibri" w:cs="Calibri"/>
          <w:sz w:val="22"/>
          <w:szCs w:val="22"/>
        </w:rPr>
        <w:t xml:space="preserve">Building in more time to test ideas and learn from experience.  The design process for the </w:t>
      </w:r>
      <w:proofErr w:type="spellStart"/>
      <w:r w:rsidRPr="69D41E75">
        <w:rPr>
          <w:rFonts w:ascii="Calibri" w:hAnsi="Calibri" w:cs="Calibri"/>
          <w:sz w:val="22"/>
          <w:szCs w:val="22"/>
        </w:rPr>
        <w:t>GCoE</w:t>
      </w:r>
      <w:proofErr w:type="spellEnd"/>
      <w:r w:rsidRPr="69D41E75">
        <w:rPr>
          <w:rFonts w:ascii="Calibri" w:hAnsi="Calibri" w:cs="Calibri"/>
          <w:sz w:val="22"/>
          <w:szCs w:val="22"/>
        </w:rPr>
        <w:t xml:space="preserve"> has benefitted from taking the time to talk to the market and understand the research gaps that need to be addressed.  But this has resulted in consequential project delays; additional time for this process </w:t>
      </w:r>
      <w:r w:rsidR="00A60355">
        <w:rPr>
          <w:rFonts w:ascii="Calibri" w:hAnsi="Calibri" w:cs="Calibri"/>
          <w:sz w:val="22"/>
          <w:szCs w:val="22"/>
        </w:rPr>
        <w:t>sh</w:t>
      </w:r>
      <w:r w:rsidR="00A60355" w:rsidRPr="69D41E75">
        <w:rPr>
          <w:rFonts w:ascii="Calibri" w:hAnsi="Calibri" w:cs="Calibri"/>
          <w:sz w:val="22"/>
          <w:szCs w:val="22"/>
        </w:rPr>
        <w:t xml:space="preserve">ould </w:t>
      </w:r>
      <w:r w:rsidRPr="69D41E75">
        <w:rPr>
          <w:rFonts w:ascii="Calibri" w:hAnsi="Calibri" w:cs="Calibri"/>
          <w:sz w:val="22"/>
          <w:szCs w:val="22"/>
        </w:rPr>
        <w:t xml:space="preserve">be built into from the start where we are developing new </w:t>
      </w:r>
      <w:proofErr w:type="gramStart"/>
      <w:r w:rsidRPr="69D41E75">
        <w:rPr>
          <w:rFonts w:ascii="Calibri" w:hAnsi="Calibri" w:cs="Calibri"/>
          <w:sz w:val="22"/>
          <w:szCs w:val="22"/>
        </w:rPr>
        <w:t>ideas;</w:t>
      </w:r>
      <w:proofErr w:type="gramEnd"/>
    </w:p>
    <w:p w14:paraId="224941B1" w14:textId="08988D61" w:rsidR="004B69EB" w:rsidRPr="004B69EB" w:rsidRDefault="000312EE" w:rsidP="69D41E75">
      <w:pPr>
        <w:pStyle w:val="ListParagraph"/>
        <w:numPr>
          <w:ilvl w:val="0"/>
          <w:numId w:val="16"/>
        </w:numPr>
        <w:spacing w:line="240" w:lineRule="auto"/>
        <w:rPr>
          <w:rFonts w:ascii="Calibri" w:hAnsi="Calibri" w:cs="Calibri"/>
          <w:sz w:val="22"/>
          <w:szCs w:val="22"/>
        </w:rPr>
      </w:pPr>
      <w:r w:rsidRPr="69D41E75">
        <w:rPr>
          <w:rFonts w:ascii="Calibri" w:hAnsi="Calibri" w:cs="Calibri"/>
          <w:sz w:val="22"/>
          <w:szCs w:val="22"/>
        </w:rPr>
        <w:t xml:space="preserve">Managing </w:t>
      </w:r>
      <w:r w:rsidR="00417260" w:rsidRPr="69D41E75">
        <w:rPr>
          <w:rFonts w:ascii="Calibri" w:hAnsi="Calibri" w:cs="Calibri"/>
          <w:sz w:val="22"/>
          <w:szCs w:val="22"/>
        </w:rPr>
        <w:t xml:space="preserve">small-scale research projects.  </w:t>
      </w:r>
      <w:r w:rsidRPr="69D41E75">
        <w:rPr>
          <w:rFonts w:ascii="Calibri" w:hAnsi="Calibri" w:cs="Calibri"/>
          <w:sz w:val="22"/>
          <w:szCs w:val="22"/>
        </w:rPr>
        <w:t xml:space="preserve"> </w:t>
      </w:r>
      <w:r w:rsidR="00AB4DE3" w:rsidRPr="69D41E75">
        <w:rPr>
          <w:rFonts w:ascii="Calibri" w:hAnsi="Calibri" w:cs="Calibri"/>
          <w:sz w:val="22"/>
          <w:szCs w:val="22"/>
        </w:rPr>
        <w:t xml:space="preserve">The flexibility and responsiveness achieved through delivering small research projects needs to be balanced against the resource requirement and complexity inherent in managing multiple projects each with separate routes to market, delivery and financial requirements.  Finding a way to bring projects together around shared approaches </w:t>
      </w:r>
      <w:r w:rsidR="00430AB5" w:rsidRPr="69D41E75">
        <w:rPr>
          <w:rFonts w:ascii="Calibri" w:hAnsi="Calibri" w:cs="Calibri"/>
          <w:sz w:val="22"/>
          <w:szCs w:val="22"/>
        </w:rPr>
        <w:t xml:space="preserve">to delivery </w:t>
      </w:r>
      <w:r w:rsidR="00AB4DE3" w:rsidRPr="69D41E75">
        <w:rPr>
          <w:rFonts w:ascii="Calibri" w:hAnsi="Calibri" w:cs="Calibri"/>
          <w:sz w:val="22"/>
          <w:szCs w:val="22"/>
        </w:rPr>
        <w:t xml:space="preserve">could help reduce administrative burden and improve performance.   </w:t>
      </w:r>
    </w:p>
    <w:p w14:paraId="71AD5A5F" w14:textId="34000130" w:rsidR="004B69EB" w:rsidRPr="004B69EB" w:rsidRDefault="004B69EB" w:rsidP="69D41E75">
      <w:pPr>
        <w:spacing w:line="240" w:lineRule="auto"/>
        <w:rPr>
          <w:rFonts w:ascii="Calibri" w:hAnsi="Calibri" w:cs="Calibri"/>
          <w:sz w:val="22"/>
          <w:szCs w:val="22"/>
        </w:rPr>
      </w:pPr>
      <w:r w:rsidRPr="6407A8B7">
        <w:rPr>
          <w:rFonts w:ascii="Calibri" w:hAnsi="Calibri" w:cs="Calibri"/>
          <w:sz w:val="22"/>
          <w:szCs w:val="22"/>
        </w:rPr>
        <w:t xml:space="preserve">Recommendations: </w:t>
      </w:r>
    </w:p>
    <w:p w14:paraId="5C327F81" w14:textId="4D1B3AA1" w:rsidR="6C509D22" w:rsidRDefault="6C509D22" w:rsidP="69D41E75">
      <w:pPr>
        <w:pStyle w:val="ListParagraph"/>
        <w:numPr>
          <w:ilvl w:val="0"/>
          <w:numId w:val="17"/>
        </w:numPr>
        <w:spacing w:line="240" w:lineRule="auto"/>
        <w:rPr>
          <w:rFonts w:ascii="Calibri" w:hAnsi="Calibri" w:cs="Calibri"/>
          <w:sz w:val="22"/>
          <w:szCs w:val="22"/>
        </w:rPr>
      </w:pPr>
      <w:r w:rsidRPr="2B62C876">
        <w:rPr>
          <w:rFonts w:ascii="Calibri" w:hAnsi="Calibri" w:cs="Calibri"/>
          <w:sz w:val="22"/>
          <w:szCs w:val="22"/>
        </w:rPr>
        <w:t xml:space="preserve">The programme should establish a more senior-level programme management board to take oversight of our portfolio of projects including the expansion of the </w:t>
      </w:r>
      <w:proofErr w:type="spellStart"/>
      <w:r w:rsidRPr="2B62C876">
        <w:rPr>
          <w:rFonts w:ascii="Calibri" w:hAnsi="Calibri" w:cs="Calibri"/>
          <w:sz w:val="22"/>
          <w:szCs w:val="22"/>
        </w:rPr>
        <w:t>GCoE</w:t>
      </w:r>
      <w:proofErr w:type="spellEnd"/>
      <w:r w:rsidR="7EED0A08" w:rsidRPr="2B62C876">
        <w:rPr>
          <w:rFonts w:ascii="Calibri" w:hAnsi="Calibri" w:cs="Calibri"/>
          <w:sz w:val="22"/>
          <w:szCs w:val="22"/>
        </w:rPr>
        <w:t>.</w:t>
      </w:r>
    </w:p>
    <w:p w14:paraId="1017A4AB" w14:textId="6256CFA8" w:rsidR="004B69EB" w:rsidRDefault="4369E441" w:rsidP="69D41E75">
      <w:pPr>
        <w:pStyle w:val="ListParagraph"/>
        <w:numPr>
          <w:ilvl w:val="0"/>
          <w:numId w:val="17"/>
        </w:numPr>
        <w:spacing w:line="240" w:lineRule="auto"/>
        <w:rPr>
          <w:rFonts w:ascii="Calibri" w:hAnsi="Calibri" w:cs="Calibri"/>
          <w:sz w:val="22"/>
          <w:szCs w:val="22"/>
        </w:rPr>
      </w:pPr>
      <w:r w:rsidRPr="2B62C876">
        <w:rPr>
          <w:rFonts w:ascii="Calibri" w:hAnsi="Calibri" w:cs="Calibri"/>
          <w:sz w:val="22"/>
          <w:szCs w:val="22"/>
        </w:rPr>
        <w:t>Define p</w:t>
      </w:r>
      <w:r w:rsidR="0C710BE5" w:rsidRPr="2B62C876">
        <w:rPr>
          <w:rFonts w:ascii="Calibri" w:hAnsi="Calibri" w:cs="Calibri"/>
          <w:sz w:val="22"/>
          <w:szCs w:val="22"/>
        </w:rPr>
        <w:t>roject o</w:t>
      </w:r>
      <w:r w:rsidR="004B69EB" w:rsidRPr="2B62C876">
        <w:rPr>
          <w:rFonts w:ascii="Calibri" w:hAnsi="Calibri" w:cs="Calibri"/>
          <w:sz w:val="22"/>
          <w:szCs w:val="22"/>
        </w:rPr>
        <w:t>bjectives</w:t>
      </w:r>
      <w:r w:rsidR="148CA400" w:rsidRPr="2B62C876">
        <w:rPr>
          <w:rFonts w:ascii="Calibri" w:hAnsi="Calibri" w:cs="Calibri"/>
          <w:sz w:val="22"/>
          <w:szCs w:val="22"/>
        </w:rPr>
        <w:t xml:space="preserve"> more clearly</w:t>
      </w:r>
      <w:r w:rsidR="34CC4649" w:rsidRPr="2B62C876">
        <w:rPr>
          <w:rFonts w:ascii="Calibri" w:hAnsi="Calibri" w:cs="Calibri"/>
          <w:sz w:val="22"/>
          <w:szCs w:val="22"/>
        </w:rPr>
        <w:t xml:space="preserve"> in the early project design stages,</w:t>
      </w:r>
      <w:r w:rsidR="00EA27AD" w:rsidRPr="2B62C876">
        <w:rPr>
          <w:rFonts w:ascii="Calibri" w:hAnsi="Calibri" w:cs="Calibri"/>
          <w:sz w:val="22"/>
          <w:szCs w:val="22"/>
        </w:rPr>
        <w:t xml:space="preserve"> </w:t>
      </w:r>
      <w:r w:rsidR="366816AA" w:rsidRPr="2B62C876">
        <w:rPr>
          <w:rFonts w:ascii="Calibri" w:hAnsi="Calibri" w:cs="Calibri"/>
          <w:sz w:val="22"/>
          <w:szCs w:val="22"/>
        </w:rPr>
        <w:t xml:space="preserve">agree clear indicators at the outset of each piece of work, </w:t>
      </w:r>
      <w:r w:rsidR="00EA27AD" w:rsidRPr="2B62C876">
        <w:rPr>
          <w:rFonts w:ascii="Calibri" w:hAnsi="Calibri" w:cs="Calibri"/>
          <w:sz w:val="22"/>
          <w:szCs w:val="22"/>
        </w:rPr>
        <w:t xml:space="preserve">and </w:t>
      </w:r>
      <w:r w:rsidR="30998D81" w:rsidRPr="2B62C876">
        <w:rPr>
          <w:rFonts w:ascii="Calibri" w:hAnsi="Calibri" w:cs="Calibri"/>
          <w:sz w:val="22"/>
          <w:szCs w:val="22"/>
        </w:rPr>
        <w:t xml:space="preserve">disseminate </w:t>
      </w:r>
      <w:r w:rsidR="00EA27AD" w:rsidRPr="2B62C876">
        <w:rPr>
          <w:rFonts w:ascii="Calibri" w:hAnsi="Calibri" w:cs="Calibri"/>
          <w:sz w:val="22"/>
          <w:szCs w:val="22"/>
        </w:rPr>
        <w:t xml:space="preserve">learning more widely </w:t>
      </w:r>
      <w:r w:rsidR="65E11A3B" w:rsidRPr="2B62C876">
        <w:rPr>
          <w:rFonts w:ascii="Calibri" w:hAnsi="Calibri" w:cs="Calibri"/>
          <w:sz w:val="22"/>
          <w:szCs w:val="22"/>
        </w:rPr>
        <w:t>to avoid duplication</w:t>
      </w:r>
      <w:r w:rsidR="79260275" w:rsidRPr="2B62C876">
        <w:rPr>
          <w:rFonts w:ascii="Calibri" w:hAnsi="Calibri" w:cs="Calibri"/>
          <w:sz w:val="22"/>
          <w:szCs w:val="22"/>
        </w:rPr>
        <w:t xml:space="preserve"> of work</w:t>
      </w:r>
      <w:r w:rsidR="004B69EB" w:rsidRPr="2B62C876">
        <w:rPr>
          <w:rFonts w:ascii="Calibri" w:hAnsi="Calibri" w:cs="Calibri"/>
          <w:sz w:val="22"/>
          <w:szCs w:val="22"/>
        </w:rPr>
        <w:t xml:space="preserve">. </w:t>
      </w:r>
    </w:p>
    <w:p w14:paraId="3090FF41" w14:textId="011AEA1C" w:rsidR="004B69EB" w:rsidRDefault="58973AB5" w:rsidP="69D41E75">
      <w:pPr>
        <w:pStyle w:val="ListParagraph"/>
        <w:numPr>
          <w:ilvl w:val="0"/>
          <w:numId w:val="17"/>
        </w:numPr>
        <w:spacing w:line="240" w:lineRule="auto"/>
        <w:rPr>
          <w:rFonts w:ascii="Calibri" w:hAnsi="Calibri" w:cs="Calibri"/>
          <w:sz w:val="22"/>
          <w:szCs w:val="22"/>
        </w:rPr>
      </w:pPr>
      <w:r w:rsidRPr="2B62C876">
        <w:rPr>
          <w:rFonts w:ascii="Calibri" w:hAnsi="Calibri" w:cs="Calibri"/>
          <w:sz w:val="22"/>
          <w:szCs w:val="22"/>
        </w:rPr>
        <w:t>A t</w:t>
      </w:r>
      <w:r w:rsidR="7A79C1FC" w:rsidRPr="2B62C876">
        <w:rPr>
          <w:rFonts w:ascii="Calibri" w:hAnsi="Calibri" w:cs="Calibri"/>
          <w:sz w:val="22"/>
          <w:szCs w:val="22"/>
        </w:rPr>
        <w:t xml:space="preserve">horough </w:t>
      </w:r>
      <w:r w:rsidR="00EA27AD" w:rsidRPr="2B62C876">
        <w:rPr>
          <w:rFonts w:ascii="Calibri" w:hAnsi="Calibri" w:cs="Calibri"/>
          <w:sz w:val="22"/>
          <w:szCs w:val="22"/>
        </w:rPr>
        <w:t xml:space="preserve">Defra group Commercial </w:t>
      </w:r>
      <w:r w:rsidR="7A79C1FC" w:rsidRPr="2B62C876">
        <w:rPr>
          <w:rFonts w:ascii="Calibri" w:hAnsi="Calibri" w:cs="Calibri"/>
          <w:sz w:val="22"/>
          <w:szCs w:val="22"/>
        </w:rPr>
        <w:t xml:space="preserve">analysis </w:t>
      </w:r>
      <w:r w:rsidR="4C60C51B" w:rsidRPr="2B62C876">
        <w:rPr>
          <w:rFonts w:ascii="Calibri" w:hAnsi="Calibri" w:cs="Calibri"/>
          <w:sz w:val="22"/>
          <w:szCs w:val="22"/>
        </w:rPr>
        <w:t>to be conduct</w:t>
      </w:r>
      <w:r w:rsidR="7A79C1FC" w:rsidRPr="2B62C876">
        <w:rPr>
          <w:rFonts w:ascii="Calibri" w:hAnsi="Calibri" w:cs="Calibri"/>
          <w:sz w:val="22"/>
          <w:szCs w:val="22"/>
        </w:rPr>
        <w:t xml:space="preserve">ed when </w:t>
      </w:r>
      <w:r w:rsidR="0FD63A0D" w:rsidRPr="2B62C876">
        <w:rPr>
          <w:rFonts w:ascii="Calibri" w:hAnsi="Calibri" w:cs="Calibri"/>
          <w:sz w:val="22"/>
          <w:szCs w:val="22"/>
        </w:rPr>
        <w:t>doing direct</w:t>
      </w:r>
      <w:r w:rsidR="7A79C1FC" w:rsidRPr="2B62C876">
        <w:rPr>
          <w:rFonts w:ascii="Calibri" w:hAnsi="Calibri" w:cs="Calibri"/>
          <w:sz w:val="22"/>
          <w:szCs w:val="22"/>
        </w:rPr>
        <w:t xml:space="preserve"> award due diligence to </w:t>
      </w:r>
      <w:r w:rsidR="0EDE54BE" w:rsidRPr="2B62C876">
        <w:rPr>
          <w:rFonts w:ascii="Calibri" w:hAnsi="Calibri" w:cs="Calibri"/>
          <w:sz w:val="22"/>
          <w:szCs w:val="22"/>
        </w:rPr>
        <w:t>ensure suppliers</w:t>
      </w:r>
      <w:r w:rsidR="22E222C4" w:rsidRPr="2B62C876">
        <w:rPr>
          <w:rFonts w:ascii="Calibri" w:hAnsi="Calibri" w:cs="Calibri"/>
          <w:sz w:val="22"/>
          <w:szCs w:val="22"/>
        </w:rPr>
        <w:t>’</w:t>
      </w:r>
      <w:r w:rsidR="0EDE54BE" w:rsidRPr="2B62C876">
        <w:rPr>
          <w:rFonts w:ascii="Calibri" w:hAnsi="Calibri" w:cs="Calibri"/>
          <w:sz w:val="22"/>
          <w:szCs w:val="22"/>
        </w:rPr>
        <w:t xml:space="preserve"> capability in delivering services</w:t>
      </w:r>
      <w:r w:rsidR="455AC7A7" w:rsidRPr="2B62C876">
        <w:rPr>
          <w:rFonts w:ascii="Calibri" w:hAnsi="Calibri" w:cs="Calibri"/>
          <w:sz w:val="22"/>
          <w:szCs w:val="22"/>
        </w:rPr>
        <w:t xml:space="preserve"> and eligibility for funding</w:t>
      </w:r>
      <w:r w:rsidR="0EDE54BE" w:rsidRPr="2B62C876">
        <w:rPr>
          <w:rFonts w:ascii="Calibri" w:hAnsi="Calibri" w:cs="Calibri"/>
          <w:sz w:val="22"/>
          <w:szCs w:val="22"/>
        </w:rPr>
        <w:t>.</w:t>
      </w:r>
      <w:r w:rsidR="1118588D" w:rsidRPr="2B62C876">
        <w:rPr>
          <w:rFonts w:ascii="Calibri" w:hAnsi="Calibri" w:cs="Calibri"/>
          <w:sz w:val="22"/>
          <w:szCs w:val="22"/>
        </w:rPr>
        <w:t xml:space="preserve"> </w:t>
      </w:r>
    </w:p>
    <w:p w14:paraId="3395C2C9" w14:textId="062BE942" w:rsidR="004B69EB" w:rsidRDefault="004B69EB" w:rsidP="69D41E75">
      <w:pPr>
        <w:pStyle w:val="ListParagraph"/>
        <w:numPr>
          <w:ilvl w:val="0"/>
          <w:numId w:val="17"/>
        </w:numPr>
        <w:spacing w:line="240" w:lineRule="auto"/>
        <w:rPr>
          <w:rFonts w:ascii="Calibri" w:hAnsi="Calibri" w:cs="Calibri"/>
          <w:sz w:val="22"/>
          <w:szCs w:val="22"/>
        </w:rPr>
      </w:pPr>
      <w:r w:rsidRPr="2B62C876">
        <w:rPr>
          <w:rFonts w:ascii="Calibri" w:hAnsi="Calibri" w:cs="Calibri"/>
          <w:sz w:val="22"/>
          <w:szCs w:val="22"/>
        </w:rPr>
        <w:t xml:space="preserve">Improve </w:t>
      </w:r>
      <w:r w:rsidR="738EF976" w:rsidRPr="2B62C876">
        <w:rPr>
          <w:rFonts w:ascii="Calibri" w:hAnsi="Calibri" w:cs="Calibri"/>
          <w:sz w:val="22"/>
          <w:szCs w:val="22"/>
        </w:rPr>
        <w:t>scoping and earl</w:t>
      </w:r>
      <w:r w:rsidR="31CB8F20" w:rsidRPr="2B62C876">
        <w:rPr>
          <w:rFonts w:ascii="Calibri" w:hAnsi="Calibri" w:cs="Calibri"/>
          <w:sz w:val="22"/>
          <w:szCs w:val="22"/>
        </w:rPr>
        <w:t>y</w:t>
      </w:r>
      <w:r w:rsidR="738EF976" w:rsidRPr="2B62C876">
        <w:rPr>
          <w:rFonts w:ascii="Calibri" w:hAnsi="Calibri" w:cs="Calibri"/>
          <w:sz w:val="22"/>
          <w:szCs w:val="22"/>
        </w:rPr>
        <w:t xml:space="preserve"> market research when designing projects</w:t>
      </w:r>
      <w:r w:rsidRPr="2B62C876">
        <w:rPr>
          <w:rFonts w:ascii="Calibri" w:hAnsi="Calibri" w:cs="Calibri"/>
          <w:sz w:val="22"/>
          <w:szCs w:val="22"/>
        </w:rPr>
        <w:t xml:space="preserve"> </w:t>
      </w:r>
      <w:r w:rsidR="477DFE9B" w:rsidRPr="2B62C876">
        <w:rPr>
          <w:rFonts w:ascii="Calibri" w:hAnsi="Calibri" w:cs="Calibri"/>
          <w:sz w:val="22"/>
          <w:szCs w:val="22"/>
        </w:rPr>
        <w:t xml:space="preserve">to </w:t>
      </w:r>
      <w:r w:rsidRPr="2B62C876">
        <w:rPr>
          <w:rFonts w:ascii="Calibri" w:hAnsi="Calibri" w:cs="Calibri"/>
          <w:sz w:val="22"/>
          <w:szCs w:val="22"/>
        </w:rPr>
        <w:t xml:space="preserve">facilitate faster </w:t>
      </w:r>
      <w:r w:rsidR="5F0EDCEF" w:rsidRPr="2B62C876">
        <w:rPr>
          <w:rFonts w:ascii="Calibri" w:hAnsi="Calibri" w:cs="Calibri"/>
          <w:sz w:val="22"/>
          <w:szCs w:val="22"/>
        </w:rPr>
        <w:t xml:space="preserve">project </w:t>
      </w:r>
      <w:r w:rsidRPr="2B62C876">
        <w:rPr>
          <w:rFonts w:ascii="Calibri" w:hAnsi="Calibri" w:cs="Calibri"/>
          <w:sz w:val="22"/>
          <w:szCs w:val="22"/>
        </w:rPr>
        <w:t xml:space="preserve">initiation. </w:t>
      </w:r>
    </w:p>
    <w:p w14:paraId="29499505" w14:textId="3315D83E" w:rsidR="00AC00EF" w:rsidDel="005338D1" w:rsidRDefault="54911EFB" w:rsidP="2E3F19C8">
      <w:pPr>
        <w:pStyle w:val="ListParagraph"/>
        <w:numPr>
          <w:ilvl w:val="0"/>
          <w:numId w:val="17"/>
        </w:numPr>
        <w:spacing w:line="240" w:lineRule="auto"/>
        <w:rPr>
          <w:rFonts w:eastAsia="Arial" w:cs="Arial"/>
        </w:rPr>
        <w:sectPr w:rsidR="00AC00EF" w:rsidDel="005338D1" w:rsidSect="004E67ED">
          <w:footerReference w:type="default" r:id="rId13"/>
          <w:pgSz w:w="11906" w:h="16838"/>
          <w:pgMar w:top="1134" w:right="1134" w:bottom="1134" w:left="1134" w:header="709" w:footer="709" w:gutter="0"/>
          <w:cols w:space="708"/>
          <w:docGrid w:linePitch="360"/>
        </w:sectPr>
      </w:pPr>
      <w:r w:rsidRPr="2E3F19C8">
        <w:rPr>
          <w:rFonts w:ascii="Calibri" w:hAnsi="Calibri" w:cs="Calibri"/>
          <w:sz w:val="22"/>
          <w:szCs w:val="22"/>
        </w:rPr>
        <w:t>Create a financial tracker that accurately tracks budget, forecast and actual for each project, underspend and real-time tracking against business case allocation.</w:t>
      </w:r>
    </w:p>
    <w:p w14:paraId="05185D00" w14:textId="77777777" w:rsidR="00D51B2C" w:rsidRPr="00F70DBE" w:rsidRDefault="00D51B2C" w:rsidP="00D51B2C">
      <w:pPr>
        <w:pStyle w:val="Heading2"/>
        <w:pBdr>
          <w:top w:val="single" w:sz="4" w:space="1" w:color="auto"/>
          <w:left w:val="single" w:sz="4" w:space="4" w:color="auto"/>
          <w:bottom w:val="single" w:sz="4" w:space="1" w:color="auto"/>
          <w:right w:val="single" w:sz="4" w:space="4" w:color="auto"/>
        </w:pBdr>
        <w:shd w:val="clear" w:color="auto" w:fill="DBE5F1" w:themeFill="accent1" w:themeFillTint="33"/>
        <w:spacing w:before="0"/>
        <w:rPr>
          <w:b w:val="0"/>
          <w:i/>
          <w:sz w:val="20"/>
          <w:szCs w:val="20"/>
        </w:rPr>
      </w:pPr>
      <w:r w:rsidRPr="26866CB8">
        <w:lastRenderedPageBreak/>
        <w:t xml:space="preserve">B: THEORY OF CHANGE AND PROGRESS TOWARDS OUTCOMES </w:t>
      </w:r>
    </w:p>
    <w:p w14:paraId="06F49630" w14:textId="77777777" w:rsidR="00F45D83" w:rsidRDefault="00F45D83" w:rsidP="00C44333">
      <w:pPr>
        <w:tabs>
          <w:tab w:val="left" w:pos="0"/>
          <w:tab w:val="left" w:pos="720"/>
        </w:tabs>
        <w:spacing w:line="240" w:lineRule="auto"/>
        <w:rPr>
          <w:rFonts w:ascii="Calibri" w:hAnsi="Calibri" w:cs="Calibri"/>
          <w:sz w:val="22"/>
          <w:szCs w:val="22"/>
        </w:rPr>
      </w:pPr>
      <w:r>
        <w:rPr>
          <w:rFonts w:cs="Arial"/>
          <w:noProof/>
          <w:szCs w:val="22"/>
          <w:lang w:eastAsia="en-GB"/>
        </w:rPr>
        <w:drawing>
          <wp:inline distT="0" distB="0" distL="0" distR="0" wp14:anchorId="60F1C469" wp14:editId="3608D992">
            <wp:extent cx="5322627" cy="3008414"/>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8788" cy="3011896"/>
                    </a:xfrm>
                    <a:prstGeom prst="rect">
                      <a:avLst/>
                    </a:prstGeom>
                    <a:noFill/>
                  </pic:spPr>
                </pic:pic>
              </a:graphicData>
            </a:graphic>
          </wp:inline>
        </w:drawing>
      </w:r>
    </w:p>
    <w:p w14:paraId="77DD7E5D" w14:textId="521173E3" w:rsidR="00F45D83" w:rsidRPr="00F45D83" w:rsidRDefault="00F45D83" w:rsidP="00C44333">
      <w:pPr>
        <w:tabs>
          <w:tab w:val="left" w:pos="0"/>
          <w:tab w:val="left" w:pos="720"/>
        </w:tabs>
        <w:spacing w:before="0" w:line="240" w:lineRule="auto"/>
        <w:rPr>
          <w:rFonts w:ascii="Calibri" w:hAnsi="Calibri" w:cs="Calibri"/>
          <w:sz w:val="16"/>
          <w:szCs w:val="16"/>
        </w:rPr>
      </w:pPr>
      <w:r w:rsidRPr="00F45D83">
        <w:rPr>
          <w:rFonts w:ascii="Calibri" w:hAnsi="Calibri" w:cs="Calibri"/>
          <w:sz w:val="16"/>
          <w:szCs w:val="16"/>
        </w:rPr>
        <w:t>Figure 1:</w:t>
      </w:r>
      <w:r>
        <w:rPr>
          <w:rFonts w:ascii="Calibri" w:hAnsi="Calibri" w:cs="Calibri"/>
          <w:sz w:val="16"/>
          <w:szCs w:val="16"/>
        </w:rPr>
        <w:t xml:space="preserve"> Programme Level Theory of Change (</w:t>
      </w:r>
      <w:proofErr w:type="spellStart"/>
      <w:r>
        <w:rPr>
          <w:rFonts w:ascii="Calibri" w:hAnsi="Calibri" w:cs="Calibri"/>
          <w:sz w:val="16"/>
          <w:szCs w:val="16"/>
        </w:rPr>
        <w:t>ToC</w:t>
      </w:r>
      <w:proofErr w:type="spellEnd"/>
      <w:r>
        <w:rPr>
          <w:rFonts w:ascii="Calibri" w:hAnsi="Calibri" w:cs="Calibri"/>
          <w:sz w:val="16"/>
          <w:szCs w:val="16"/>
        </w:rPr>
        <w:t>)</w:t>
      </w:r>
    </w:p>
    <w:p w14:paraId="723812AB" w14:textId="0D2A3B8D" w:rsidR="00F45D83" w:rsidRPr="008254AF" w:rsidRDefault="00F45D83" w:rsidP="2B62C876">
      <w:pPr>
        <w:tabs>
          <w:tab w:val="left" w:pos="720"/>
        </w:tabs>
        <w:spacing w:line="240" w:lineRule="auto"/>
        <w:rPr>
          <w:rFonts w:ascii="Calibri" w:hAnsi="Calibri" w:cs="Calibri"/>
          <w:sz w:val="22"/>
          <w:szCs w:val="22"/>
        </w:rPr>
      </w:pPr>
      <w:r w:rsidRPr="2B62C876">
        <w:rPr>
          <w:rFonts w:ascii="Calibri" w:hAnsi="Calibri" w:cs="Calibri"/>
          <w:sz w:val="22"/>
          <w:szCs w:val="22"/>
        </w:rPr>
        <w:t>The</w:t>
      </w:r>
      <w:r w:rsidR="00EE6531" w:rsidRPr="2B62C876">
        <w:rPr>
          <w:rFonts w:ascii="Calibri" w:hAnsi="Calibri" w:cs="Calibri"/>
          <w:sz w:val="22"/>
          <w:szCs w:val="22"/>
        </w:rPr>
        <w:t xml:space="preserve"> </w:t>
      </w:r>
      <w:proofErr w:type="spellStart"/>
      <w:r w:rsidR="00EE6531" w:rsidRPr="2B62C876">
        <w:rPr>
          <w:rFonts w:ascii="Calibri" w:hAnsi="Calibri" w:cs="Calibri"/>
          <w:sz w:val="22"/>
          <w:szCs w:val="22"/>
        </w:rPr>
        <w:t>ToC</w:t>
      </w:r>
      <w:proofErr w:type="spellEnd"/>
      <w:r w:rsidR="00EE6531" w:rsidRPr="2B62C876">
        <w:rPr>
          <w:rFonts w:ascii="Calibri" w:hAnsi="Calibri" w:cs="Calibri"/>
          <w:sz w:val="22"/>
          <w:szCs w:val="22"/>
        </w:rPr>
        <w:t xml:space="preserve"> posits that by tackling some of the key evidence gaps</w:t>
      </w:r>
      <w:r w:rsidR="00AB4DE3" w:rsidRPr="2B62C876">
        <w:rPr>
          <w:rFonts w:ascii="Calibri" w:hAnsi="Calibri" w:cs="Calibri"/>
          <w:sz w:val="22"/>
          <w:szCs w:val="22"/>
        </w:rPr>
        <w:t xml:space="preserve"> and learning </w:t>
      </w:r>
      <w:r w:rsidR="00EE6531" w:rsidRPr="2B62C876">
        <w:rPr>
          <w:rFonts w:ascii="Calibri" w:hAnsi="Calibri" w:cs="Calibri"/>
          <w:sz w:val="22"/>
          <w:szCs w:val="22"/>
        </w:rPr>
        <w:t xml:space="preserve">around the application of nature-based solutions, for which there is a lesser body of evidence than in some other areas of international climate finance, we can unlock the potential to deliver more effective policy and programmes with stronger outcomes for people, </w:t>
      </w:r>
      <w:proofErr w:type="gramStart"/>
      <w:r w:rsidR="00EE6531" w:rsidRPr="2B62C876">
        <w:rPr>
          <w:rFonts w:ascii="Calibri" w:hAnsi="Calibri" w:cs="Calibri"/>
          <w:sz w:val="22"/>
          <w:szCs w:val="22"/>
        </w:rPr>
        <w:t>nature</w:t>
      </w:r>
      <w:proofErr w:type="gramEnd"/>
      <w:r w:rsidR="00EE6531" w:rsidRPr="2B62C876">
        <w:rPr>
          <w:rFonts w:ascii="Calibri" w:hAnsi="Calibri" w:cs="Calibri"/>
          <w:sz w:val="22"/>
          <w:szCs w:val="22"/>
        </w:rPr>
        <w:t xml:space="preserve"> and climate.  The</w:t>
      </w:r>
      <w:r w:rsidRPr="2B62C876">
        <w:rPr>
          <w:rFonts w:ascii="Calibri" w:hAnsi="Calibri" w:cs="Calibri"/>
          <w:sz w:val="22"/>
          <w:szCs w:val="22"/>
        </w:rPr>
        <w:t xml:space="preserve"> activities set out in the </w:t>
      </w:r>
      <w:proofErr w:type="spellStart"/>
      <w:r w:rsidRPr="2B62C876">
        <w:rPr>
          <w:rFonts w:ascii="Calibri" w:hAnsi="Calibri" w:cs="Calibri"/>
          <w:sz w:val="22"/>
          <w:szCs w:val="22"/>
        </w:rPr>
        <w:t>ToC</w:t>
      </w:r>
      <w:proofErr w:type="spellEnd"/>
      <w:r w:rsidRPr="2B62C876">
        <w:rPr>
          <w:rFonts w:ascii="Calibri" w:hAnsi="Calibri" w:cs="Calibri"/>
          <w:sz w:val="22"/>
          <w:szCs w:val="22"/>
        </w:rPr>
        <w:t xml:space="preserve"> are divided into 3 main component areas with subsequent sub-projects within them where relevant. These are P1: Laying the groundwork for ICF 3.0</w:t>
      </w:r>
      <w:r w:rsidR="00EE6531" w:rsidRPr="2B62C876">
        <w:rPr>
          <w:rFonts w:ascii="Calibri" w:hAnsi="Calibri" w:cs="Calibri"/>
          <w:sz w:val="22"/>
          <w:szCs w:val="22"/>
        </w:rPr>
        <w:t xml:space="preserve"> (between 2021/22 – 2025/26)</w:t>
      </w:r>
      <w:r w:rsidRPr="2B62C876">
        <w:rPr>
          <w:rFonts w:ascii="Calibri" w:hAnsi="Calibri" w:cs="Calibri"/>
          <w:sz w:val="22"/>
          <w:szCs w:val="22"/>
        </w:rPr>
        <w:t>, building the global evidence base</w:t>
      </w:r>
      <w:r w:rsidR="00AB4DE3" w:rsidRPr="2B62C876">
        <w:rPr>
          <w:rFonts w:ascii="Calibri" w:hAnsi="Calibri" w:cs="Calibri"/>
          <w:sz w:val="22"/>
          <w:szCs w:val="22"/>
        </w:rPr>
        <w:t xml:space="preserve"> to inform future design of UK ODA programming on nature</w:t>
      </w:r>
      <w:r w:rsidRPr="2B62C876">
        <w:rPr>
          <w:rFonts w:ascii="Calibri" w:hAnsi="Calibri" w:cs="Calibri"/>
          <w:sz w:val="22"/>
          <w:szCs w:val="22"/>
        </w:rPr>
        <w:t>; P2: Establish a global centre of expertise on N</w:t>
      </w:r>
      <w:r w:rsidR="098992C2" w:rsidRPr="2B62C876">
        <w:rPr>
          <w:rFonts w:ascii="Calibri" w:hAnsi="Calibri" w:cs="Calibri"/>
          <w:sz w:val="22"/>
          <w:szCs w:val="22"/>
        </w:rPr>
        <w:t xml:space="preserve">ature-based </w:t>
      </w:r>
      <w:r w:rsidRPr="2B62C876">
        <w:rPr>
          <w:rFonts w:ascii="Calibri" w:hAnsi="Calibri" w:cs="Calibri"/>
          <w:sz w:val="22"/>
          <w:szCs w:val="22"/>
        </w:rPr>
        <w:t>S</w:t>
      </w:r>
      <w:r w:rsidR="1D2144A3" w:rsidRPr="2B62C876">
        <w:rPr>
          <w:rFonts w:ascii="Calibri" w:hAnsi="Calibri" w:cs="Calibri"/>
          <w:sz w:val="22"/>
          <w:szCs w:val="22"/>
        </w:rPr>
        <w:t>olutions (</w:t>
      </w:r>
      <w:proofErr w:type="spellStart"/>
      <w:r w:rsidR="1D2144A3" w:rsidRPr="2B62C876">
        <w:rPr>
          <w:rFonts w:ascii="Calibri" w:hAnsi="Calibri" w:cs="Calibri"/>
          <w:sz w:val="22"/>
          <w:szCs w:val="22"/>
        </w:rPr>
        <w:t>NbS</w:t>
      </w:r>
      <w:proofErr w:type="spellEnd"/>
      <w:r w:rsidR="1D2144A3" w:rsidRPr="2B62C876">
        <w:rPr>
          <w:rFonts w:ascii="Calibri" w:hAnsi="Calibri" w:cs="Calibri"/>
          <w:sz w:val="22"/>
          <w:szCs w:val="22"/>
        </w:rPr>
        <w:t>)</w:t>
      </w:r>
      <w:r w:rsidR="00AB4DE3" w:rsidRPr="2B62C876">
        <w:rPr>
          <w:rFonts w:ascii="Calibri" w:hAnsi="Calibri" w:cs="Calibri"/>
          <w:sz w:val="22"/>
          <w:szCs w:val="22"/>
        </w:rPr>
        <w:t xml:space="preserve"> to address critical evidence gaps in the application of nature-based solutions</w:t>
      </w:r>
      <w:r w:rsidRPr="2B62C876">
        <w:rPr>
          <w:rFonts w:ascii="Calibri" w:hAnsi="Calibri" w:cs="Calibri"/>
          <w:sz w:val="22"/>
          <w:szCs w:val="22"/>
        </w:rPr>
        <w:t>; and P3: Driving innovation in forest protection and enforcement monitoring</w:t>
      </w:r>
      <w:r w:rsidR="00AB4DE3" w:rsidRPr="2B62C876">
        <w:rPr>
          <w:rFonts w:ascii="Calibri" w:hAnsi="Calibri" w:cs="Calibri"/>
          <w:sz w:val="22"/>
          <w:szCs w:val="22"/>
        </w:rPr>
        <w:t xml:space="preserve"> to unlock better quality data on nature to support policy and programme implementation</w:t>
      </w:r>
      <w:r w:rsidRPr="2B62C876">
        <w:rPr>
          <w:rFonts w:ascii="Calibri" w:hAnsi="Calibri" w:cs="Calibri"/>
          <w:sz w:val="22"/>
          <w:szCs w:val="22"/>
        </w:rPr>
        <w:t xml:space="preserve">.   </w:t>
      </w:r>
    </w:p>
    <w:p w14:paraId="1311D76E" w14:textId="66B455F2" w:rsidR="00F45D83" w:rsidRPr="00F45D83" w:rsidRDefault="00F45D83" w:rsidP="00C44333">
      <w:pPr>
        <w:spacing w:line="240" w:lineRule="auto"/>
        <w:jc w:val="both"/>
        <w:rPr>
          <w:rFonts w:asciiTheme="minorHAnsi" w:hAnsiTheme="minorHAnsi" w:cstheme="minorHAnsi"/>
          <w:sz w:val="22"/>
          <w:szCs w:val="22"/>
        </w:rPr>
      </w:pPr>
      <w:r>
        <w:rPr>
          <w:rFonts w:ascii="Calibri" w:hAnsi="Calibri" w:cs="Calibri"/>
          <w:sz w:val="22"/>
          <w:szCs w:val="22"/>
        </w:rPr>
        <w:t xml:space="preserve">The </w:t>
      </w:r>
      <w:r w:rsidRPr="00F45D83">
        <w:rPr>
          <w:rFonts w:ascii="Calibri" w:hAnsi="Calibri" w:cs="Calibri"/>
          <w:sz w:val="22"/>
          <w:szCs w:val="22"/>
        </w:rPr>
        <w:t xml:space="preserve">programme level </w:t>
      </w:r>
      <w:proofErr w:type="spellStart"/>
      <w:r w:rsidRPr="00F45D83">
        <w:rPr>
          <w:rFonts w:ascii="Calibri" w:hAnsi="Calibri" w:cs="Calibri"/>
          <w:sz w:val="22"/>
          <w:szCs w:val="22"/>
        </w:rPr>
        <w:t>ToC</w:t>
      </w:r>
      <w:proofErr w:type="spellEnd"/>
      <w:r w:rsidRPr="00F45D83">
        <w:rPr>
          <w:rFonts w:ascii="Calibri" w:hAnsi="Calibri" w:cs="Calibri"/>
          <w:sz w:val="22"/>
          <w:szCs w:val="22"/>
        </w:rPr>
        <w:t xml:space="preserve"> as set out in Figure 1 was developed </w:t>
      </w:r>
      <w:proofErr w:type="gramStart"/>
      <w:r w:rsidRPr="00F45D83">
        <w:rPr>
          <w:rFonts w:ascii="Calibri" w:hAnsi="Calibri" w:cs="Calibri"/>
          <w:sz w:val="22"/>
          <w:szCs w:val="22"/>
        </w:rPr>
        <w:t>on the basis of</w:t>
      </w:r>
      <w:proofErr w:type="gramEnd"/>
      <w:r w:rsidRPr="00F45D83">
        <w:rPr>
          <w:rFonts w:ascii="Calibri" w:hAnsi="Calibri" w:cs="Calibri"/>
          <w:sz w:val="22"/>
          <w:szCs w:val="22"/>
        </w:rPr>
        <w:t xml:space="preserve"> a number of assumption</w:t>
      </w:r>
      <w:r>
        <w:rPr>
          <w:rFonts w:ascii="Calibri" w:hAnsi="Calibri" w:cs="Calibri"/>
          <w:sz w:val="22"/>
          <w:szCs w:val="22"/>
        </w:rPr>
        <w:t xml:space="preserve">s.  </w:t>
      </w:r>
      <w:r w:rsidRPr="00647422">
        <w:rPr>
          <w:rFonts w:ascii="Calibri" w:hAnsi="Calibri" w:cs="Calibri"/>
          <w:sz w:val="22"/>
          <w:szCs w:val="22"/>
        </w:rPr>
        <w:t xml:space="preserve">These assumptions will be revised with the delivery partners for each component and used to shape the </w:t>
      </w:r>
      <w:proofErr w:type="spellStart"/>
      <w:r w:rsidRPr="00647422">
        <w:rPr>
          <w:rFonts w:ascii="Calibri" w:hAnsi="Calibri" w:cs="Calibri"/>
          <w:sz w:val="22"/>
          <w:szCs w:val="22"/>
        </w:rPr>
        <w:t>logframe</w:t>
      </w:r>
      <w:proofErr w:type="spellEnd"/>
      <w:r w:rsidRPr="00647422">
        <w:rPr>
          <w:rFonts w:ascii="Calibri" w:hAnsi="Calibri" w:cs="Calibri"/>
          <w:sz w:val="22"/>
          <w:szCs w:val="22"/>
        </w:rPr>
        <w:t xml:space="preserve">. The </w:t>
      </w:r>
      <w:proofErr w:type="spellStart"/>
      <w:r w:rsidRPr="00647422">
        <w:rPr>
          <w:rFonts w:ascii="Calibri" w:hAnsi="Calibri" w:cs="Calibri"/>
          <w:sz w:val="22"/>
          <w:szCs w:val="22"/>
        </w:rPr>
        <w:t>logframe</w:t>
      </w:r>
      <w:proofErr w:type="spellEnd"/>
      <w:r w:rsidRPr="00647422">
        <w:rPr>
          <w:rFonts w:ascii="Calibri" w:hAnsi="Calibri" w:cs="Calibri"/>
          <w:sz w:val="22"/>
          <w:szCs w:val="22"/>
        </w:rPr>
        <w:t xml:space="preserve"> and </w:t>
      </w:r>
      <w:proofErr w:type="spellStart"/>
      <w:r w:rsidRPr="00647422">
        <w:rPr>
          <w:rFonts w:ascii="Calibri" w:hAnsi="Calibri" w:cs="Calibri"/>
          <w:sz w:val="22"/>
          <w:szCs w:val="22"/>
        </w:rPr>
        <w:t>ToC</w:t>
      </w:r>
      <w:proofErr w:type="spellEnd"/>
      <w:r w:rsidRPr="00647422">
        <w:rPr>
          <w:rFonts w:ascii="Calibri" w:hAnsi="Calibri" w:cs="Calibri"/>
          <w:sz w:val="22"/>
          <w:szCs w:val="22"/>
        </w:rPr>
        <w:t xml:space="preserve"> will be revised and updated annually to reflect any changes to the programme and to test whether assumptions or pathways to impact are still valid</w:t>
      </w:r>
      <w:r w:rsidRPr="00F45D83">
        <w:rPr>
          <w:rFonts w:ascii="Calibri" w:hAnsi="Calibri" w:cs="Calibri"/>
          <w:sz w:val="22"/>
          <w:szCs w:val="22"/>
        </w:rPr>
        <w:t>:</w:t>
      </w:r>
      <w:r w:rsidRPr="00F45D83">
        <w:rPr>
          <w:rFonts w:asciiTheme="minorHAnsi" w:hAnsiTheme="minorHAnsi" w:cstheme="minorHAnsi"/>
          <w:sz w:val="22"/>
          <w:szCs w:val="22"/>
        </w:rPr>
        <w:t xml:space="preserve">  </w:t>
      </w:r>
    </w:p>
    <w:p w14:paraId="2E824006" w14:textId="77777777" w:rsidR="00F45D83" w:rsidRPr="00F45D83" w:rsidRDefault="00F45D83" w:rsidP="000840B1">
      <w:pPr>
        <w:pStyle w:val="ListParagraph"/>
        <w:numPr>
          <w:ilvl w:val="0"/>
          <w:numId w:val="35"/>
        </w:numPr>
        <w:spacing w:before="100" w:after="0" w:line="240" w:lineRule="auto"/>
        <w:jc w:val="both"/>
        <w:rPr>
          <w:rFonts w:asciiTheme="minorHAnsi" w:hAnsiTheme="minorHAnsi" w:cstheme="minorHAnsi"/>
          <w:sz w:val="22"/>
          <w:szCs w:val="22"/>
        </w:rPr>
      </w:pPr>
      <w:r w:rsidRPr="00F45D83">
        <w:rPr>
          <w:rFonts w:asciiTheme="minorHAnsi" w:hAnsiTheme="minorHAnsi" w:cstheme="minorHAnsi"/>
          <w:sz w:val="22"/>
          <w:szCs w:val="22"/>
        </w:rPr>
        <w:t>Data is available for systematic reviews.</w:t>
      </w:r>
    </w:p>
    <w:p w14:paraId="55DEEE56" w14:textId="77777777" w:rsidR="00F45D83" w:rsidRPr="00F45D83" w:rsidRDefault="00F45D83" w:rsidP="000840B1">
      <w:pPr>
        <w:pStyle w:val="ListParagraph"/>
        <w:numPr>
          <w:ilvl w:val="0"/>
          <w:numId w:val="35"/>
        </w:numPr>
        <w:spacing w:before="100" w:after="0" w:line="240" w:lineRule="auto"/>
        <w:jc w:val="both"/>
        <w:rPr>
          <w:rFonts w:asciiTheme="minorHAnsi" w:hAnsiTheme="minorHAnsi" w:cstheme="minorHAnsi"/>
          <w:sz w:val="22"/>
          <w:szCs w:val="22"/>
        </w:rPr>
      </w:pPr>
      <w:r w:rsidRPr="00F45D83">
        <w:rPr>
          <w:rFonts w:asciiTheme="minorHAnsi" w:hAnsiTheme="minorHAnsi" w:cstheme="minorHAnsi"/>
          <w:sz w:val="22"/>
          <w:szCs w:val="22"/>
        </w:rPr>
        <w:t>Where data is not currently available, methodology exists to collect reliable primary data.</w:t>
      </w:r>
    </w:p>
    <w:p w14:paraId="646A3002" w14:textId="589574DE" w:rsidR="00F45D83" w:rsidRPr="00F45D83" w:rsidRDefault="00F45D83" w:rsidP="00C652DD">
      <w:pPr>
        <w:pStyle w:val="ListParagraph"/>
        <w:numPr>
          <w:ilvl w:val="0"/>
          <w:numId w:val="35"/>
        </w:numPr>
        <w:spacing w:before="100" w:after="0" w:line="240" w:lineRule="auto"/>
        <w:jc w:val="both"/>
        <w:rPr>
          <w:rFonts w:asciiTheme="minorHAnsi" w:hAnsiTheme="minorHAnsi" w:cstheme="minorHAnsi"/>
          <w:sz w:val="22"/>
          <w:szCs w:val="22"/>
        </w:rPr>
      </w:pPr>
      <w:r w:rsidRPr="00F45D83">
        <w:rPr>
          <w:rFonts w:asciiTheme="minorHAnsi" w:hAnsiTheme="minorHAnsi" w:cstheme="minorHAnsi"/>
          <w:sz w:val="22"/>
          <w:szCs w:val="22"/>
        </w:rPr>
        <w:t>Decision-makers in low</w:t>
      </w:r>
      <w:r>
        <w:rPr>
          <w:rFonts w:asciiTheme="minorHAnsi" w:hAnsiTheme="minorHAnsi" w:cstheme="minorHAnsi"/>
          <w:sz w:val="22"/>
          <w:szCs w:val="22"/>
        </w:rPr>
        <w:t xml:space="preserve">- </w:t>
      </w:r>
      <w:r w:rsidRPr="00F45D83">
        <w:rPr>
          <w:rFonts w:asciiTheme="minorHAnsi" w:hAnsiTheme="minorHAnsi" w:cstheme="minorHAnsi"/>
          <w:sz w:val="22"/>
          <w:szCs w:val="22"/>
        </w:rPr>
        <w:t>and middle</w:t>
      </w:r>
      <w:r>
        <w:rPr>
          <w:rFonts w:asciiTheme="minorHAnsi" w:hAnsiTheme="minorHAnsi" w:cstheme="minorHAnsi"/>
          <w:sz w:val="22"/>
          <w:szCs w:val="22"/>
        </w:rPr>
        <w:t>-</w:t>
      </w:r>
      <w:r w:rsidRPr="00F45D83">
        <w:rPr>
          <w:rFonts w:asciiTheme="minorHAnsi" w:hAnsiTheme="minorHAnsi" w:cstheme="minorHAnsi"/>
          <w:sz w:val="22"/>
          <w:szCs w:val="22"/>
        </w:rPr>
        <w:t>income countries, including international partners, will be willing and able to use evidence to guide decision-making.</w:t>
      </w:r>
    </w:p>
    <w:p w14:paraId="58C0A39A" w14:textId="77777777" w:rsidR="00F45D83" w:rsidRPr="00F45D83" w:rsidRDefault="00F45D83" w:rsidP="00C652DD">
      <w:pPr>
        <w:pStyle w:val="ListParagraph"/>
        <w:numPr>
          <w:ilvl w:val="0"/>
          <w:numId w:val="35"/>
        </w:numPr>
        <w:spacing w:before="100" w:after="0" w:line="240" w:lineRule="auto"/>
        <w:jc w:val="both"/>
        <w:rPr>
          <w:rFonts w:asciiTheme="minorHAnsi" w:hAnsiTheme="minorHAnsi" w:cstheme="minorHAnsi"/>
          <w:sz w:val="22"/>
          <w:szCs w:val="22"/>
        </w:rPr>
      </w:pPr>
      <w:r w:rsidRPr="00F45D83">
        <w:rPr>
          <w:rFonts w:asciiTheme="minorHAnsi" w:hAnsiTheme="minorHAnsi" w:cstheme="minorHAnsi"/>
          <w:sz w:val="22"/>
          <w:szCs w:val="22"/>
        </w:rPr>
        <w:t>Countries will maintain and continue to use the data/valuations in their national planning after the programme has finished.</w:t>
      </w:r>
    </w:p>
    <w:p w14:paraId="715133D8" w14:textId="77777777" w:rsidR="00F45D83" w:rsidRPr="00F45D83" w:rsidRDefault="00F45D83" w:rsidP="00FB5425">
      <w:pPr>
        <w:pStyle w:val="ListParagraph"/>
        <w:numPr>
          <w:ilvl w:val="0"/>
          <w:numId w:val="35"/>
        </w:numPr>
        <w:spacing w:before="100" w:after="0" w:line="240" w:lineRule="auto"/>
        <w:jc w:val="both"/>
        <w:rPr>
          <w:rFonts w:asciiTheme="minorHAnsi" w:hAnsiTheme="minorHAnsi" w:cstheme="minorHAnsi"/>
          <w:sz w:val="22"/>
          <w:szCs w:val="22"/>
        </w:rPr>
      </w:pPr>
      <w:r w:rsidRPr="00F45D83">
        <w:rPr>
          <w:rFonts w:asciiTheme="minorHAnsi" w:hAnsiTheme="minorHAnsi" w:cstheme="minorHAnsi"/>
          <w:sz w:val="22"/>
          <w:szCs w:val="22"/>
        </w:rPr>
        <w:t>The evidence products produced are replicable and applicable to specific geographies and policies.</w:t>
      </w:r>
    </w:p>
    <w:p w14:paraId="533ECAB2" w14:textId="77777777" w:rsidR="00F45D83" w:rsidRPr="00F45D83" w:rsidRDefault="00F45D83" w:rsidP="00FB5425">
      <w:pPr>
        <w:pStyle w:val="ListParagraph"/>
        <w:numPr>
          <w:ilvl w:val="0"/>
          <w:numId w:val="35"/>
        </w:numPr>
        <w:spacing w:before="100" w:after="0" w:line="240" w:lineRule="auto"/>
        <w:jc w:val="both"/>
        <w:rPr>
          <w:rFonts w:asciiTheme="minorHAnsi" w:hAnsiTheme="minorHAnsi" w:cstheme="minorHAnsi"/>
          <w:sz w:val="22"/>
          <w:szCs w:val="22"/>
        </w:rPr>
      </w:pPr>
      <w:r w:rsidRPr="2B62C876">
        <w:rPr>
          <w:rFonts w:asciiTheme="minorHAnsi" w:hAnsiTheme="minorHAnsi" w:cstheme="minorBidi"/>
          <w:sz w:val="22"/>
          <w:szCs w:val="22"/>
        </w:rPr>
        <w:t xml:space="preserve">Momentum for </w:t>
      </w:r>
      <w:proofErr w:type="spellStart"/>
      <w:r w:rsidRPr="2B62C876">
        <w:rPr>
          <w:rFonts w:asciiTheme="minorHAnsi" w:hAnsiTheme="minorHAnsi" w:cstheme="minorBidi"/>
          <w:sz w:val="22"/>
          <w:szCs w:val="22"/>
        </w:rPr>
        <w:t>NbS</w:t>
      </w:r>
      <w:proofErr w:type="spellEnd"/>
      <w:r w:rsidRPr="2B62C876">
        <w:rPr>
          <w:rFonts w:asciiTheme="minorHAnsi" w:hAnsiTheme="minorHAnsi" w:cstheme="minorBidi"/>
          <w:sz w:val="22"/>
          <w:szCs w:val="22"/>
        </w:rPr>
        <w:t xml:space="preserve"> continues beyond 2020.</w:t>
      </w:r>
    </w:p>
    <w:p w14:paraId="39E1B553" w14:textId="0E33DFDF" w:rsidR="2B62C876" w:rsidRDefault="2B62C876" w:rsidP="2B62C876">
      <w:pPr>
        <w:tabs>
          <w:tab w:val="left" w:pos="720"/>
        </w:tabs>
        <w:spacing w:before="40" w:after="40" w:line="240" w:lineRule="auto"/>
        <w:rPr>
          <w:rFonts w:ascii="Calibri" w:hAnsi="Calibri" w:cs="Calibri"/>
          <w:b/>
          <w:bCs/>
          <w:sz w:val="22"/>
          <w:szCs w:val="22"/>
        </w:rPr>
      </w:pPr>
    </w:p>
    <w:p w14:paraId="2532F26C" w14:textId="443C9337" w:rsidR="00647422" w:rsidRDefault="50C13F49" w:rsidP="217F4493">
      <w:pPr>
        <w:tabs>
          <w:tab w:val="left" w:pos="720"/>
        </w:tabs>
        <w:spacing w:before="40" w:after="40" w:line="240" w:lineRule="auto"/>
        <w:rPr>
          <w:rFonts w:ascii="Calibri" w:hAnsi="Calibri" w:cs="Calibri"/>
          <w:color w:val="000000" w:themeColor="text1"/>
          <w:sz w:val="22"/>
          <w:szCs w:val="22"/>
        </w:rPr>
      </w:pPr>
      <w:r w:rsidRPr="217F4493">
        <w:rPr>
          <w:rFonts w:ascii="Calibri" w:hAnsi="Calibri" w:cs="Calibri"/>
          <w:b/>
          <w:bCs/>
          <w:sz w:val="22"/>
          <w:szCs w:val="22"/>
        </w:rPr>
        <w:t>Describe where the programme is on/off-track</w:t>
      </w:r>
      <w:r>
        <w:br/>
      </w:r>
    </w:p>
    <w:p w14:paraId="57A96147" w14:textId="224A84DF" w:rsidR="00647422" w:rsidRDefault="00647422" w:rsidP="4E824C56">
      <w:pPr>
        <w:pStyle w:val="ListParagraph"/>
        <w:numPr>
          <w:ilvl w:val="0"/>
          <w:numId w:val="23"/>
        </w:numPr>
        <w:spacing w:before="40" w:after="40" w:line="240" w:lineRule="auto"/>
        <w:rPr>
          <w:rFonts w:asciiTheme="minorHAnsi" w:eastAsiaTheme="minorEastAsia" w:hAnsiTheme="minorHAnsi" w:cstheme="minorBidi"/>
          <w:sz w:val="22"/>
          <w:szCs w:val="22"/>
        </w:rPr>
      </w:pPr>
      <w:r w:rsidRPr="4E824C56">
        <w:rPr>
          <w:rFonts w:ascii="Calibri" w:hAnsi="Calibri" w:cs="Calibri"/>
          <w:color w:val="000000" w:themeColor="text1"/>
          <w:sz w:val="22"/>
          <w:szCs w:val="22"/>
        </w:rPr>
        <w:t xml:space="preserve">Project 1a: ‘Measuring the impact of aid on nature and identifying “best-buys’’: </w:t>
      </w:r>
      <w:r w:rsidR="00630236" w:rsidRPr="4E824C56">
        <w:rPr>
          <w:rFonts w:ascii="Calibri" w:hAnsi="Calibri" w:cs="Calibri"/>
          <w:color w:val="000000" w:themeColor="text1"/>
          <w:sz w:val="22"/>
          <w:szCs w:val="22"/>
          <w:u w:val="single"/>
        </w:rPr>
        <w:t>on-track</w:t>
      </w:r>
      <w:r w:rsidR="00630236" w:rsidRPr="4E824C56">
        <w:rPr>
          <w:rFonts w:ascii="Calibri" w:hAnsi="Calibri" w:cs="Calibri"/>
          <w:color w:val="000000" w:themeColor="text1"/>
          <w:sz w:val="22"/>
          <w:szCs w:val="22"/>
        </w:rPr>
        <w:t>.  T</w:t>
      </w:r>
      <w:r w:rsidRPr="4E824C56">
        <w:rPr>
          <w:rFonts w:ascii="Calibri" w:hAnsi="Calibri" w:cs="Calibri"/>
          <w:color w:val="000000" w:themeColor="text1"/>
          <w:sz w:val="22"/>
          <w:szCs w:val="22"/>
        </w:rPr>
        <w:t>he Joint Nature Conservation Committee (JNCC) is preparing an interactive</w:t>
      </w:r>
      <w:r w:rsidRPr="4E824C56">
        <w:rPr>
          <w:rFonts w:ascii="Calibri" w:hAnsi="Calibri" w:cs="Calibri"/>
          <w:sz w:val="22"/>
          <w:szCs w:val="22"/>
        </w:rPr>
        <w:t xml:space="preserve"> ‘Nature-based Solutions (</w:t>
      </w:r>
      <w:proofErr w:type="spellStart"/>
      <w:r w:rsidRPr="4E824C56">
        <w:rPr>
          <w:rFonts w:ascii="Calibri" w:hAnsi="Calibri" w:cs="Calibri"/>
          <w:sz w:val="22"/>
          <w:szCs w:val="22"/>
        </w:rPr>
        <w:t>NbS</w:t>
      </w:r>
      <w:proofErr w:type="spellEnd"/>
      <w:r w:rsidRPr="4E824C56">
        <w:rPr>
          <w:rFonts w:ascii="Calibri" w:hAnsi="Calibri" w:cs="Calibri"/>
          <w:sz w:val="22"/>
          <w:szCs w:val="22"/>
        </w:rPr>
        <w:t xml:space="preserve">) Triple Win Toolkit’ to provide guidance on how best to enhance biodiversity, address climate change and tackle poverty through </w:t>
      </w:r>
      <w:proofErr w:type="spellStart"/>
      <w:r w:rsidRPr="4E824C56">
        <w:rPr>
          <w:rFonts w:ascii="Calibri" w:hAnsi="Calibri" w:cs="Calibri"/>
          <w:sz w:val="22"/>
          <w:szCs w:val="22"/>
        </w:rPr>
        <w:t>NbS</w:t>
      </w:r>
      <w:proofErr w:type="spellEnd"/>
      <w:r w:rsidRPr="4E824C56">
        <w:rPr>
          <w:rFonts w:ascii="Calibri" w:hAnsi="Calibri" w:cs="Calibri"/>
          <w:sz w:val="22"/>
          <w:szCs w:val="22"/>
        </w:rPr>
        <w:t xml:space="preserve">.  The final product and launch event is planned for early September 2021. </w:t>
      </w:r>
      <w:r w:rsidRPr="4E824C56">
        <w:rPr>
          <w:rFonts w:ascii="Calibri" w:hAnsi="Calibri" w:cs="Calibri"/>
          <w:sz w:val="22"/>
          <w:szCs w:val="22"/>
        </w:rPr>
        <w:lastRenderedPageBreak/>
        <w:t xml:space="preserve">This provides an exhaustive review of </w:t>
      </w:r>
      <w:proofErr w:type="spellStart"/>
      <w:r w:rsidRPr="4E824C56">
        <w:rPr>
          <w:rFonts w:ascii="Calibri" w:hAnsi="Calibri" w:cs="Calibri"/>
          <w:sz w:val="22"/>
          <w:szCs w:val="22"/>
        </w:rPr>
        <w:t>NbS</w:t>
      </w:r>
      <w:proofErr w:type="spellEnd"/>
      <w:r w:rsidRPr="4E824C56">
        <w:rPr>
          <w:rFonts w:ascii="Calibri" w:hAnsi="Calibri" w:cs="Calibri"/>
          <w:sz w:val="22"/>
          <w:szCs w:val="22"/>
        </w:rPr>
        <w:t xml:space="preserve"> in Development Assistance Committee (DAC) countries with ‘best-buy’ options analysis. </w:t>
      </w:r>
      <w:r w:rsidR="00430AB5" w:rsidRPr="4E824C56">
        <w:rPr>
          <w:rFonts w:ascii="Calibri" w:hAnsi="Calibri" w:cs="Calibri"/>
          <w:sz w:val="22"/>
          <w:szCs w:val="22"/>
        </w:rPr>
        <w:t xml:space="preserve"> </w:t>
      </w:r>
      <w:r w:rsidRPr="4E824C56">
        <w:rPr>
          <w:rFonts w:ascii="Calibri" w:hAnsi="Calibri" w:cs="Calibri"/>
          <w:sz w:val="22"/>
          <w:szCs w:val="22"/>
        </w:rPr>
        <w:t>A final phase of activity will involve b</w:t>
      </w:r>
      <w:r w:rsidRPr="4E824C56">
        <w:rPr>
          <w:rFonts w:asciiTheme="minorHAnsi" w:eastAsiaTheme="minorEastAsia" w:hAnsiTheme="minorHAnsi" w:cstheme="minorBidi"/>
          <w:sz w:val="22"/>
          <w:szCs w:val="22"/>
        </w:rPr>
        <w:t>uilding connections to in-country partners and practitioners, with a case study lead selected as a speaker for the UK Pavilion at COP26.</w:t>
      </w:r>
      <w:r>
        <w:br/>
      </w:r>
    </w:p>
    <w:p w14:paraId="704CE9BC" w14:textId="5BEC2640" w:rsidR="00A77D4F" w:rsidRPr="00A77D4F" w:rsidRDefault="00647422" w:rsidP="217F4493">
      <w:pPr>
        <w:pStyle w:val="ListParagraph"/>
        <w:numPr>
          <w:ilvl w:val="0"/>
          <w:numId w:val="23"/>
        </w:numPr>
        <w:spacing w:before="40" w:after="40" w:line="240" w:lineRule="auto"/>
        <w:rPr>
          <w:rFonts w:asciiTheme="minorHAnsi" w:eastAsiaTheme="minorEastAsia" w:hAnsiTheme="minorHAnsi" w:cstheme="minorBidi"/>
          <w:sz w:val="22"/>
          <w:szCs w:val="22"/>
        </w:rPr>
      </w:pPr>
      <w:r w:rsidRPr="217F4493">
        <w:rPr>
          <w:rFonts w:ascii="Calibri" w:hAnsi="Calibri" w:cs="Calibri"/>
          <w:color w:val="000000" w:themeColor="text1"/>
          <w:sz w:val="22"/>
          <w:szCs w:val="22"/>
        </w:rPr>
        <w:t xml:space="preserve">Project 1b: ‘Scoping and intervention analysis for future ICF programming’: </w:t>
      </w:r>
      <w:r w:rsidR="252CE601" w:rsidRPr="217F4493">
        <w:rPr>
          <w:rFonts w:ascii="Calibri" w:hAnsi="Calibri" w:cs="Calibri"/>
          <w:color w:val="000000" w:themeColor="text1"/>
          <w:sz w:val="22"/>
          <w:szCs w:val="22"/>
          <w:u w:val="single"/>
        </w:rPr>
        <w:t>on-track</w:t>
      </w:r>
      <w:r w:rsidR="252CE601" w:rsidRPr="217F4493">
        <w:rPr>
          <w:rFonts w:ascii="Calibri" w:hAnsi="Calibri" w:cs="Calibri"/>
          <w:color w:val="000000" w:themeColor="text1"/>
          <w:sz w:val="22"/>
          <w:szCs w:val="22"/>
        </w:rPr>
        <w:t>. T</w:t>
      </w:r>
      <w:r w:rsidRPr="217F4493">
        <w:rPr>
          <w:rFonts w:ascii="Calibri" w:hAnsi="Calibri" w:cs="Calibri"/>
          <w:color w:val="000000" w:themeColor="text1"/>
          <w:sz w:val="22"/>
          <w:szCs w:val="22"/>
        </w:rPr>
        <w:t>hrough this component two projects have been commissioned: (</w:t>
      </w:r>
      <w:proofErr w:type="spellStart"/>
      <w:r w:rsidRPr="217F4493">
        <w:rPr>
          <w:rFonts w:ascii="Calibri" w:hAnsi="Calibri" w:cs="Calibri"/>
          <w:color w:val="000000" w:themeColor="text1"/>
          <w:sz w:val="22"/>
          <w:szCs w:val="22"/>
        </w:rPr>
        <w:t>i</w:t>
      </w:r>
      <w:proofErr w:type="spellEnd"/>
      <w:r w:rsidRPr="217F4493">
        <w:rPr>
          <w:rFonts w:ascii="Calibri" w:hAnsi="Calibri" w:cs="Calibri"/>
          <w:color w:val="000000" w:themeColor="text1"/>
          <w:sz w:val="22"/>
          <w:szCs w:val="22"/>
        </w:rPr>
        <w:t xml:space="preserve">) Vivid has undertaken a ‘Scoping Study for Nature-based Solutions Accelerator’ which has provided evidence on the strategic opportunity for Defra to provide catalytic finance for </w:t>
      </w:r>
      <w:proofErr w:type="spellStart"/>
      <w:r w:rsidRPr="217F4493">
        <w:rPr>
          <w:rFonts w:ascii="Calibri" w:hAnsi="Calibri" w:cs="Calibri"/>
          <w:color w:val="000000" w:themeColor="text1"/>
          <w:sz w:val="22"/>
          <w:szCs w:val="22"/>
        </w:rPr>
        <w:t>NbS</w:t>
      </w:r>
      <w:proofErr w:type="spellEnd"/>
      <w:r w:rsidRPr="217F4493">
        <w:rPr>
          <w:rFonts w:ascii="Calibri" w:hAnsi="Calibri" w:cs="Calibri"/>
          <w:color w:val="000000" w:themeColor="text1"/>
          <w:sz w:val="22"/>
          <w:szCs w:val="22"/>
        </w:rPr>
        <w:t>.  The management for this project was then transferred to the FCDO following the review of aid spending in late 2020</w:t>
      </w:r>
      <w:r w:rsidR="00630236" w:rsidRPr="217F4493">
        <w:rPr>
          <w:rFonts w:ascii="Calibri" w:hAnsi="Calibri" w:cs="Calibri"/>
          <w:color w:val="000000" w:themeColor="text1"/>
          <w:sz w:val="22"/>
          <w:szCs w:val="22"/>
        </w:rPr>
        <w:t xml:space="preserve">; and (ii) </w:t>
      </w:r>
      <w:r w:rsidR="002E182C" w:rsidRPr="217F4493">
        <w:rPr>
          <w:rFonts w:ascii="Calibri" w:hAnsi="Calibri" w:cs="Calibri"/>
          <w:color w:val="000000" w:themeColor="text1"/>
          <w:sz w:val="22"/>
          <w:szCs w:val="22"/>
        </w:rPr>
        <w:t>a scoping project</w:t>
      </w:r>
      <w:r w:rsidRPr="217F4493">
        <w:rPr>
          <w:rFonts w:ascii="Calibri" w:hAnsi="Calibri" w:cs="Calibri"/>
          <w:color w:val="000000" w:themeColor="text1"/>
          <w:sz w:val="22"/>
          <w:szCs w:val="22"/>
        </w:rPr>
        <w:t xml:space="preserve"> to look at the strategic opportunities </w:t>
      </w:r>
      <w:r w:rsidR="002E182C" w:rsidRPr="217F4493">
        <w:rPr>
          <w:rFonts w:ascii="Calibri" w:hAnsi="Calibri" w:cs="Calibri"/>
          <w:color w:val="000000" w:themeColor="text1"/>
          <w:sz w:val="22"/>
          <w:szCs w:val="22"/>
        </w:rPr>
        <w:t xml:space="preserve">for engaging on nature </w:t>
      </w:r>
      <w:r w:rsidRPr="217F4493">
        <w:rPr>
          <w:rFonts w:ascii="Calibri" w:hAnsi="Calibri" w:cs="Calibri"/>
          <w:color w:val="000000" w:themeColor="text1"/>
          <w:sz w:val="22"/>
          <w:szCs w:val="22"/>
        </w:rPr>
        <w:t>in Brazil with work due to be contracted in the autumn; this work was subject to delay due to the review of aid spending.</w:t>
      </w:r>
      <w:r>
        <w:br/>
      </w:r>
    </w:p>
    <w:p w14:paraId="731667E3" w14:textId="42C2B6FD" w:rsidR="00A77D4F" w:rsidRPr="00A77D4F" w:rsidRDefault="00647422" w:rsidP="217F4493">
      <w:pPr>
        <w:pStyle w:val="ListParagraph"/>
        <w:numPr>
          <w:ilvl w:val="0"/>
          <w:numId w:val="23"/>
        </w:numPr>
        <w:spacing w:before="40" w:after="40" w:line="240" w:lineRule="auto"/>
        <w:rPr>
          <w:rFonts w:asciiTheme="minorHAnsi" w:eastAsiaTheme="minorEastAsia" w:hAnsiTheme="minorHAnsi" w:cstheme="minorBidi"/>
          <w:sz w:val="22"/>
          <w:szCs w:val="22"/>
        </w:rPr>
      </w:pPr>
      <w:r w:rsidRPr="217F4493">
        <w:rPr>
          <w:rFonts w:asciiTheme="minorHAnsi" w:eastAsiaTheme="minorEastAsia" w:hAnsiTheme="minorHAnsi" w:cstheme="minorBidi"/>
          <w:color w:val="000000" w:themeColor="text1"/>
          <w:sz w:val="22"/>
          <w:szCs w:val="22"/>
        </w:rPr>
        <w:t>Project 2a: Tackling illegal logging and deforestation:</w:t>
      </w:r>
      <w:r w:rsidR="750A2F4E" w:rsidRPr="217F4493">
        <w:rPr>
          <w:rFonts w:asciiTheme="minorHAnsi" w:eastAsiaTheme="minorEastAsia" w:hAnsiTheme="minorHAnsi" w:cstheme="minorBidi"/>
          <w:color w:val="000000" w:themeColor="text1"/>
          <w:sz w:val="22"/>
          <w:szCs w:val="22"/>
        </w:rPr>
        <w:t xml:space="preserve"> </w:t>
      </w:r>
      <w:r w:rsidR="750A2F4E" w:rsidRPr="001D7408">
        <w:rPr>
          <w:rFonts w:asciiTheme="minorHAnsi" w:eastAsiaTheme="minorEastAsia" w:hAnsiTheme="minorHAnsi" w:cstheme="minorBidi"/>
          <w:color w:val="000000" w:themeColor="text1"/>
          <w:sz w:val="22"/>
          <w:szCs w:val="22"/>
          <w:u w:val="single"/>
        </w:rPr>
        <w:t>off-track</w:t>
      </w:r>
      <w:r w:rsidR="750A2F4E" w:rsidRPr="217F4493">
        <w:rPr>
          <w:rFonts w:asciiTheme="minorHAnsi" w:eastAsiaTheme="minorEastAsia" w:hAnsiTheme="minorHAnsi" w:cstheme="minorBidi"/>
          <w:color w:val="000000" w:themeColor="text1"/>
          <w:sz w:val="22"/>
          <w:szCs w:val="22"/>
        </w:rPr>
        <w:t xml:space="preserve"> due to delays.</w:t>
      </w:r>
      <w:r w:rsidRPr="217F4493">
        <w:rPr>
          <w:rFonts w:asciiTheme="minorHAnsi" w:eastAsiaTheme="minorEastAsia" w:hAnsiTheme="minorHAnsi" w:cstheme="minorBidi"/>
          <w:color w:val="000000" w:themeColor="text1"/>
          <w:sz w:val="22"/>
          <w:szCs w:val="22"/>
        </w:rPr>
        <w:t xml:space="preserve"> </w:t>
      </w:r>
      <w:r w:rsidR="00A77D4F" w:rsidRPr="217F4493">
        <w:rPr>
          <w:rFonts w:asciiTheme="minorHAnsi" w:eastAsiaTheme="minorEastAsia" w:hAnsiTheme="minorHAnsi" w:cstheme="minorBidi"/>
          <w:color w:val="000000" w:themeColor="text1"/>
          <w:sz w:val="22"/>
          <w:szCs w:val="22"/>
        </w:rPr>
        <w:t xml:space="preserve">The Royal Botanic Gardens, </w:t>
      </w:r>
      <w:r w:rsidRPr="217F4493">
        <w:rPr>
          <w:rFonts w:asciiTheme="minorHAnsi" w:eastAsiaTheme="minorEastAsia" w:hAnsiTheme="minorHAnsi" w:cstheme="minorBidi"/>
          <w:color w:val="000000" w:themeColor="text1"/>
          <w:sz w:val="22"/>
          <w:szCs w:val="22"/>
        </w:rPr>
        <w:t>Kew, as delivery partner,</w:t>
      </w:r>
      <w:r w:rsidRPr="217F4493">
        <w:rPr>
          <w:rFonts w:ascii="Calibri" w:hAnsi="Calibri" w:cs="Calibri"/>
          <w:color w:val="000000" w:themeColor="text1"/>
          <w:sz w:val="22"/>
          <w:szCs w:val="22"/>
        </w:rPr>
        <w:t xml:space="preserve"> are analysing and cataloguing timber samples from DAC list countries to facilitate the creation of a timber reference library to allow for future enforcement activities related to timber imports to deter illegal logging and support more sustainable commodity supply chains.  325 timber samples have been received for analysis during this period and the</w:t>
      </w:r>
      <w:r w:rsidR="60A59C8D" w:rsidRPr="217F4493">
        <w:rPr>
          <w:rFonts w:ascii="Calibri" w:hAnsi="Calibri" w:cs="Calibri"/>
          <w:color w:val="000000" w:themeColor="text1"/>
          <w:sz w:val="22"/>
          <w:szCs w:val="22"/>
        </w:rPr>
        <w:t xml:space="preserve"> Direct Analysis in Real Time (Time of Flight) Mass </w:t>
      </w:r>
      <w:r w:rsidR="79381B1E" w:rsidRPr="217F4493">
        <w:rPr>
          <w:rFonts w:ascii="Calibri" w:hAnsi="Calibri" w:cs="Calibri"/>
          <w:color w:val="000000" w:themeColor="text1"/>
          <w:sz w:val="22"/>
          <w:szCs w:val="22"/>
        </w:rPr>
        <w:t>Spectrometry has</w:t>
      </w:r>
      <w:r w:rsidRPr="217F4493">
        <w:rPr>
          <w:rFonts w:ascii="Calibri" w:hAnsi="Calibri" w:cs="Calibri"/>
          <w:color w:val="000000" w:themeColor="text1"/>
          <w:sz w:val="22"/>
          <w:szCs w:val="22"/>
        </w:rPr>
        <w:t xml:space="preserve"> been procured although delays in shipping mean</w:t>
      </w:r>
      <w:r w:rsidR="00A77D4F" w:rsidRPr="217F4493">
        <w:rPr>
          <w:rFonts w:ascii="Calibri" w:hAnsi="Calibri" w:cs="Calibri"/>
          <w:color w:val="000000" w:themeColor="text1"/>
          <w:sz w:val="22"/>
          <w:szCs w:val="22"/>
        </w:rPr>
        <w:t>t</w:t>
      </w:r>
      <w:r w:rsidRPr="217F4493">
        <w:rPr>
          <w:rFonts w:ascii="Calibri" w:hAnsi="Calibri" w:cs="Calibri"/>
          <w:color w:val="000000" w:themeColor="text1"/>
          <w:sz w:val="22"/>
          <w:szCs w:val="22"/>
        </w:rPr>
        <w:t xml:space="preserve"> later delivery than expected.  Future potential for work on soy, cocoa and maize is being explored for Q3/4 2021/22.</w:t>
      </w:r>
      <w:r>
        <w:br/>
      </w:r>
    </w:p>
    <w:p w14:paraId="02E72242" w14:textId="78E12C75" w:rsidR="00A77D4F" w:rsidRPr="00A77D4F" w:rsidRDefault="00647422" w:rsidP="217F4493">
      <w:pPr>
        <w:pStyle w:val="ListParagraph"/>
        <w:numPr>
          <w:ilvl w:val="0"/>
          <w:numId w:val="23"/>
        </w:numPr>
        <w:spacing w:before="40" w:after="40" w:line="240" w:lineRule="auto"/>
        <w:rPr>
          <w:rFonts w:asciiTheme="minorHAnsi" w:eastAsiaTheme="minorEastAsia" w:hAnsiTheme="minorHAnsi" w:cstheme="minorBidi"/>
          <w:sz w:val="22"/>
          <w:szCs w:val="22"/>
        </w:rPr>
      </w:pPr>
      <w:r w:rsidRPr="2B62C876">
        <w:rPr>
          <w:rFonts w:ascii="Calibri" w:hAnsi="Calibri" w:cs="Calibri"/>
          <w:color w:val="000000" w:themeColor="text1"/>
          <w:sz w:val="22"/>
          <w:szCs w:val="22"/>
        </w:rPr>
        <w:t xml:space="preserve">Project 2b: </w:t>
      </w:r>
      <w:r w:rsidRPr="2B62C876">
        <w:rPr>
          <w:rFonts w:asciiTheme="minorHAnsi" w:eastAsiaTheme="minorEastAsia" w:hAnsiTheme="minorHAnsi" w:cstheme="minorBidi"/>
          <w:color w:val="000000" w:themeColor="text1"/>
          <w:sz w:val="22"/>
          <w:szCs w:val="22"/>
        </w:rPr>
        <w:t xml:space="preserve">Strengthening monitoring, reporting and verification: </w:t>
      </w:r>
      <w:r w:rsidR="7AEC9390" w:rsidRPr="001D7408">
        <w:rPr>
          <w:rFonts w:asciiTheme="minorHAnsi" w:eastAsiaTheme="minorEastAsia" w:hAnsiTheme="minorHAnsi" w:cstheme="minorBidi"/>
          <w:color w:val="000000" w:themeColor="text1"/>
          <w:sz w:val="22"/>
          <w:szCs w:val="22"/>
          <w:u w:val="single"/>
        </w:rPr>
        <w:t>off-track</w:t>
      </w:r>
      <w:r w:rsidR="7AEC9390" w:rsidRPr="2B62C876">
        <w:rPr>
          <w:rFonts w:asciiTheme="minorHAnsi" w:eastAsiaTheme="minorEastAsia" w:hAnsiTheme="minorHAnsi" w:cstheme="minorBidi"/>
          <w:color w:val="000000" w:themeColor="text1"/>
          <w:sz w:val="22"/>
          <w:szCs w:val="22"/>
        </w:rPr>
        <w:t>. F</w:t>
      </w:r>
      <w:r w:rsidR="00430AB5" w:rsidRPr="2B62C876">
        <w:rPr>
          <w:rFonts w:asciiTheme="minorHAnsi" w:eastAsiaTheme="minorEastAsia" w:hAnsiTheme="minorHAnsi" w:cstheme="minorBidi"/>
          <w:color w:val="000000" w:themeColor="text1"/>
          <w:sz w:val="22"/>
          <w:szCs w:val="22"/>
        </w:rPr>
        <w:t xml:space="preserve">ollowing initial conversations to explore potential routes to market, project options are now being reviewed </w:t>
      </w:r>
      <w:proofErr w:type="gramStart"/>
      <w:r w:rsidR="00430AB5" w:rsidRPr="2B62C876">
        <w:rPr>
          <w:rFonts w:asciiTheme="minorHAnsi" w:eastAsiaTheme="minorEastAsia" w:hAnsiTheme="minorHAnsi" w:cstheme="minorBidi"/>
          <w:color w:val="000000" w:themeColor="text1"/>
          <w:sz w:val="22"/>
          <w:szCs w:val="22"/>
        </w:rPr>
        <w:t>in light of</w:t>
      </w:r>
      <w:proofErr w:type="gramEnd"/>
      <w:r w:rsidR="00430AB5" w:rsidRPr="2B62C876">
        <w:rPr>
          <w:rFonts w:asciiTheme="minorHAnsi" w:eastAsiaTheme="minorEastAsia" w:hAnsiTheme="minorHAnsi" w:cstheme="minorBidi"/>
          <w:color w:val="000000" w:themeColor="text1"/>
          <w:sz w:val="22"/>
          <w:szCs w:val="22"/>
        </w:rPr>
        <w:t xml:space="preserve"> the ODA review and no procurement has </w:t>
      </w:r>
      <w:r w:rsidR="6C166D19" w:rsidRPr="2B62C876">
        <w:rPr>
          <w:rFonts w:asciiTheme="minorHAnsi" w:eastAsiaTheme="minorEastAsia" w:hAnsiTheme="minorHAnsi" w:cstheme="minorBidi"/>
          <w:color w:val="000000" w:themeColor="text1"/>
          <w:sz w:val="22"/>
          <w:szCs w:val="22"/>
        </w:rPr>
        <w:t xml:space="preserve">yet </w:t>
      </w:r>
      <w:r w:rsidR="00430AB5" w:rsidRPr="2B62C876">
        <w:rPr>
          <w:rFonts w:asciiTheme="minorHAnsi" w:eastAsiaTheme="minorEastAsia" w:hAnsiTheme="minorHAnsi" w:cstheme="minorBidi"/>
          <w:color w:val="000000" w:themeColor="text1"/>
          <w:sz w:val="22"/>
          <w:szCs w:val="22"/>
        </w:rPr>
        <w:t>been undertaken</w:t>
      </w:r>
      <w:r w:rsidR="008254AF" w:rsidRPr="2B62C876">
        <w:rPr>
          <w:rFonts w:asciiTheme="minorHAnsi" w:hAnsiTheme="minorHAnsi" w:cstheme="minorBidi"/>
          <w:color w:val="000000" w:themeColor="text1"/>
          <w:sz w:val="22"/>
          <w:szCs w:val="22"/>
        </w:rPr>
        <w:t xml:space="preserve">.  </w:t>
      </w:r>
      <w:r>
        <w:br/>
      </w:r>
    </w:p>
    <w:p w14:paraId="16D1A2DF" w14:textId="29281096" w:rsidR="009B3FE5" w:rsidRPr="008254AF" w:rsidRDefault="00647422" w:rsidP="217F4493">
      <w:pPr>
        <w:pStyle w:val="ListParagraph"/>
        <w:numPr>
          <w:ilvl w:val="0"/>
          <w:numId w:val="23"/>
        </w:numPr>
        <w:spacing w:before="40" w:after="40" w:line="240" w:lineRule="auto"/>
        <w:rPr>
          <w:rFonts w:asciiTheme="minorHAnsi" w:eastAsiaTheme="minorEastAsia" w:hAnsiTheme="minorHAnsi" w:cstheme="minorBidi"/>
          <w:sz w:val="22"/>
          <w:szCs w:val="22"/>
        </w:rPr>
      </w:pPr>
      <w:r w:rsidRPr="217F4493">
        <w:rPr>
          <w:rFonts w:ascii="Calibri" w:hAnsi="Calibri" w:cs="Calibri"/>
          <w:color w:val="000000" w:themeColor="text1"/>
          <w:sz w:val="22"/>
          <w:szCs w:val="22"/>
        </w:rPr>
        <w:t xml:space="preserve">Project 3: </w:t>
      </w:r>
      <w:r w:rsidRPr="217F4493">
        <w:rPr>
          <w:rFonts w:asciiTheme="minorHAnsi" w:eastAsiaTheme="minorEastAsia" w:hAnsiTheme="minorHAnsi" w:cstheme="minorBidi"/>
          <w:sz w:val="22"/>
          <w:szCs w:val="22"/>
        </w:rPr>
        <w:t>Establish a Global Centre of Excellence (</w:t>
      </w:r>
      <w:proofErr w:type="spellStart"/>
      <w:r w:rsidRPr="217F4493">
        <w:rPr>
          <w:rFonts w:asciiTheme="minorHAnsi" w:eastAsiaTheme="minorEastAsia" w:hAnsiTheme="minorHAnsi" w:cstheme="minorBidi"/>
          <w:sz w:val="22"/>
          <w:szCs w:val="22"/>
        </w:rPr>
        <w:t>GC</w:t>
      </w:r>
      <w:r w:rsidR="00A77D4F" w:rsidRPr="217F4493">
        <w:rPr>
          <w:rFonts w:asciiTheme="minorHAnsi" w:eastAsiaTheme="minorEastAsia" w:hAnsiTheme="minorHAnsi" w:cstheme="minorBidi"/>
          <w:sz w:val="22"/>
          <w:szCs w:val="22"/>
        </w:rPr>
        <w:t>o</w:t>
      </w:r>
      <w:r w:rsidRPr="217F4493">
        <w:rPr>
          <w:rFonts w:asciiTheme="minorHAnsi" w:eastAsiaTheme="minorEastAsia" w:hAnsiTheme="minorHAnsi" w:cstheme="minorBidi"/>
          <w:sz w:val="22"/>
          <w:szCs w:val="22"/>
        </w:rPr>
        <w:t>E</w:t>
      </w:r>
      <w:proofErr w:type="spellEnd"/>
      <w:r w:rsidRPr="217F4493">
        <w:rPr>
          <w:rFonts w:asciiTheme="minorHAnsi" w:eastAsiaTheme="minorEastAsia" w:hAnsiTheme="minorHAnsi" w:cstheme="minorBidi"/>
          <w:sz w:val="22"/>
          <w:szCs w:val="22"/>
        </w:rPr>
        <w:t xml:space="preserve">) on </w:t>
      </w:r>
      <w:proofErr w:type="spellStart"/>
      <w:r w:rsidRPr="217F4493">
        <w:rPr>
          <w:rFonts w:asciiTheme="minorHAnsi" w:eastAsiaTheme="minorEastAsia" w:hAnsiTheme="minorHAnsi" w:cstheme="minorBidi"/>
          <w:sz w:val="22"/>
          <w:szCs w:val="22"/>
        </w:rPr>
        <w:t>NbS</w:t>
      </w:r>
      <w:proofErr w:type="spellEnd"/>
      <w:r w:rsidRPr="217F4493">
        <w:rPr>
          <w:rFonts w:ascii="Calibri" w:hAnsi="Calibri" w:cs="Calibri"/>
          <w:color w:val="000000" w:themeColor="text1"/>
          <w:sz w:val="22"/>
          <w:szCs w:val="22"/>
        </w:rPr>
        <w:t xml:space="preserve">: </w:t>
      </w:r>
      <w:r w:rsidR="342C1644" w:rsidRPr="001D7408">
        <w:rPr>
          <w:rFonts w:ascii="Calibri" w:hAnsi="Calibri" w:cs="Calibri"/>
          <w:color w:val="000000" w:themeColor="text1"/>
          <w:sz w:val="22"/>
          <w:szCs w:val="22"/>
          <w:u w:val="single"/>
        </w:rPr>
        <w:t>off</w:t>
      </w:r>
      <w:r w:rsidR="342C1644" w:rsidRPr="217F4493">
        <w:rPr>
          <w:rFonts w:ascii="Calibri" w:hAnsi="Calibri" w:cs="Calibri"/>
          <w:color w:val="000000" w:themeColor="text1"/>
          <w:sz w:val="22"/>
          <w:szCs w:val="22"/>
          <w:u w:val="single"/>
        </w:rPr>
        <w:t>-</w:t>
      </w:r>
      <w:r w:rsidR="342C1644" w:rsidRPr="001D7408">
        <w:rPr>
          <w:rFonts w:ascii="Calibri" w:hAnsi="Calibri" w:cs="Calibri"/>
          <w:color w:val="000000" w:themeColor="text1"/>
          <w:sz w:val="22"/>
          <w:szCs w:val="22"/>
          <w:u w:val="single"/>
        </w:rPr>
        <w:t>track</w:t>
      </w:r>
      <w:r w:rsidR="342C1644" w:rsidRPr="217F4493">
        <w:rPr>
          <w:rFonts w:ascii="Calibri" w:hAnsi="Calibri" w:cs="Calibri"/>
          <w:color w:val="000000" w:themeColor="text1"/>
          <w:sz w:val="22"/>
          <w:szCs w:val="22"/>
        </w:rPr>
        <w:t>. T</w:t>
      </w:r>
      <w:r w:rsidRPr="217F4493">
        <w:rPr>
          <w:rFonts w:ascii="Calibri" w:hAnsi="Calibri" w:cs="Calibri"/>
          <w:color w:val="000000" w:themeColor="text1"/>
          <w:sz w:val="22"/>
          <w:szCs w:val="22"/>
        </w:rPr>
        <w:t xml:space="preserve">he proposed </w:t>
      </w:r>
      <w:proofErr w:type="spellStart"/>
      <w:r w:rsidRPr="217F4493">
        <w:rPr>
          <w:rFonts w:ascii="Calibri" w:hAnsi="Calibri" w:cs="Calibri"/>
          <w:color w:val="000000" w:themeColor="text1"/>
          <w:sz w:val="22"/>
          <w:szCs w:val="22"/>
        </w:rPr>
        <w:t>GC</w:t>
      </w:r>
      <w:r w:rsidR="00A77D4F" w:rsidRPr="217F4493">
        <w:rPr>
          <w:rFonts w:ascii="Calibri" w:hAnsi="Calibri" w:cs="Calibri"/>
          <w:color w:val="000000" w:themeColor="text1"/>
          <w:sz w:val="22"/>
          <w:szCs w:val="22"/>
        </w:rPr>
        <w:t>o</w:t>
      </w:r>
      <w:r w:rsidRPr="217F4493">
        <w:rPr>
          <w:rFonts w:ascii="Calibri" w:hAnsi="Calibri" w:cs="Calibri"/>
          <w:color w:val="000000" w:themeColor="text1"/>
          <w:sz w:val="22"/>
          <w:szCs w:val="22"/>
        </w:rPr>
        <w:t>E</w:t>
      </w:r>
      <w:proofErr w:type="spellEnd"/>
      <w:r w:rsidRPr="217F4493">
        <w:rPr>
          <w:rFonts w:ascii="Calibri" w:hAnsi="Calibri" w:cs="Calibri"/>
          <w:color w:val="000000" w:themeColor="text1"/>
          <w:sz w:val="22"/>
          <w:szCs w:val="22"/>
        </w:rPr>
        <w:t xml:space="preserve"> </w:t>
      </w:r>
      <w:r w:rsidR="00430AB5" w:rsidRPr="217F4493">
        <w:rPr>
          <w:rFonts w:ascii="Calibri" w:hAnsi="Calibri" w:cs="Calibri"/>
          <w:color w:val="000000" w:themeColor="text1"/>
          <w:sz w:val="22"/>
          <w:szCs w:val="22"/>
        </w:rPr>
        <w:t xml:space="preserve">concept </w:t>
      </w:r>
      <w:r w:rsidRPr="217F4493">
        <w:rPr>
          <w:rFonts w:ascii="Calibri" w:hAnsi="Calibri" w:cs="Calibri"/>
          <w:color w:val="000000" w:themeColor="text1"/>
          <w:sz w:val="22"/>
          <w:szCs w:val="22"/>
        </w:rPr>
        <w:t xml:space="preserve">was tested through early market </w:t>
      </w:r>
      <w:r w:rsidR="00A77D4F" w:rsidRPr="217F4493">
        <w:rPr>
          <w:rFonts w:ascii="Calibri" w:hAnsi="Calibri" w:cs="Calibri"/>
          <w:color w:val="000000" w:themeColor="text1"/>
          <w:sz w:val="22"/>
          <w:szCs w:val="22"/>
        </w:rPr>
        <w:t>engagement</w:t>
      </w:r>
      <w:r w:rsidR="00430AB5" w:rsidRPr="217F4493">
        <w:rPr>
          <w:rFonts w:ascii="Calibri" w:hAnsi="Calibri" w:cs="Calibri"/>
          <w:color w:val="000000" w:themeColor="text1"/>
          <w:sz w:val="22"/>
          <w:szCs w:val="22"/>
        </w:rPr>
        <w:t xml:space="preserve"> with stakeholders</w:t>
      </w:r>
      <w:r w:rsidR="00A77D4F" w:rsidRPr="217F4493">
        <w:rPr>
          <w:rFonts w:ascii="Calibri" w:hAnsi="Calibri" w:cs="Calibri"/>
          <w:color w:val="000000" w:themeColor="text1"/>
          <w:sz w:val="22"/>
          <w:szCs w:val="22"/>
        </w:rPr>
        <w:t xml:space="preserve"> and</w:t>
      </w:r>
      <w:r w:rsidRPr="217F4493">
        <w:rPr>
          <w:rFonts w:ascii="Calibri" w:hAnsi="Calibri" w:cs="Calibri"/>
          <w:sz w:val="22"/>
          <w:szCs w:val="22"/>
        </w:rPr>
        <w:t xml:space="preserve"> reviewing comparable programmes and gaps in existing research and development.  This elicited a clear demand for a multi-disciplinary research and development programme </w:t>
      </w:r>
      <w:r w:rsidR="00A77D4F" w:rsidRPr="217F4493">
        <w:rPr>
          <w:rFonts w:ascii="Calibri" w:hAnsi="Calibri" w:cs="Calibri"/>
          <w:sz w:val="22"/>
          <w:szCs w:val="22"/>
        </w:rPr>
        <w:t xml:space="preserve">that would </w:t>
      </w:r>
      <w:r w:rsidRPr="217F4493">
        <w:rPr>
          <w:rFonts w:ascii="Calibri" w:hAnsi="Calibri" w:cs="Calibri"/>
          <w:sz w:val="22"/>
          <w:szCs w:val="22"/>
        </w:rPr>
        <w:t xml:space="preserve">deliver more empirical evidence as well as testing of existing research, more emphasis on issues such as monitoring and knowledge transfer, and a stronger focus on international collaboration and engagement with local communities.   </w:t>
      </w:r>
    </w:p>
    <w:p w14:paraId="31FEE713" w14:textId="77777777" w:rsidR="00BD54A3" w:rsidRDefault="00BD54A3" w:rsidP="00C44333">
      <w:pPr>
        <w:tabs>
          <w:tab w:val="left" w:pos="0"/>
          <w:tab w:val="left" w:pos="720"/>
        </w:tabs>
        <w:spacing w:line="240" w:lineRule="auto"/>
        <w:rPr>
          <w:rFonts w:ascii="Calibri" w:hAnsi="Calibri" w:cs="Calibri"/>
          <w:b/>
          <w:bCs/>
          <w:sz w:val="22"/>
          <w:szCs w:val="22"/>
        </w:rPr>
      </w:pPr>
    </w:p>
    <w:p w14:paraId="74D9447B" w14:textId="5C3B7DBB" w:rsidR="0071201F" w:rsidRPr="009B3FE5" w:rsidRDefault="50C13F49" w:rsidP="00C44333">
      <w:pPr>
        <w:tabs>
          <w:tab w:val="left" w:pos="0"/>
          <w:tab w:val="left" w:pos="720"/>
        </w:tabs>
        <w:spacing w:line="240" w:lineRule="auto"/>
        <w:rPr>
          <w:rFonts w:ascii="Calibri" w:hAnsi="Calibri" w:cs="Calibri"/>
          <w:b/>
          <w:bCs/>
          <w:sz w:val="22"/>
          <w:szCs w:val="22"/>
        </w:rPr>
      </w:pPr>
      <w:r w:rsidRPr="009B3FE5">
        <w:rPr>
          <w:rFonts w:ascii="Calibri" w:hAnsi="Calibri" w:cs="Calibri"/>
          <w:b/>
          <w:bCs/>
          <w:sz w:val="22"/>
          <w:szCs w:val="22"/>
        </w:rPr>
        <w:t xml:space="preserve">Justify whether the programme should continue based on its own </w:t>
      </w:r>
      <w:proofErr w:type="gramStart"/>
      <w:r w:rsidRPr="009B3FE5">
        <w:rPr>
          <w:rFonts w:ascii="Calibri" w:hAnsi="Calibri" w:cs="Calibri"/>
          <w:b/>
          <w:bCs/>
          <w:sz w:val="22"/>
          <w:szCs w:val="22"/>
        </w:rPr>
        <w:t>merits</w:t>
      </w:r>
      <w:proofErr w:type="gramEnd"/>
    </w:p>
    <w:p w14:paraId="6A23F794" w14:textId="67F7D132" w:rsidR="00E162B9" w:rsidRDefault="00D43475" w:rsidP="00C44333">
      <w:pPr>
        <w:spacing w:line="240" w:lineRule="auto"/>
        <w:rPr>
          <w:rFonts w:ascii="Calibri" w:hAnsi="Calibri" w:cs="Calibri"/>
          <w:sz w:val="22"/>
          <w:szCs w:val="22"/>
        </w:rPr>
      </w:pPr>
      <w:r>
        <w:rPr>
          <w:rFonts w:ascii="Calibri" w:hAnsi="Calibri" w:cs="Calibri"/>
          <w:sz w:val="22"/>
          <w:szCs w:val="22"/>
        </w:rPr>
        <w:t>Projects that have been initiated under the</w:t>
      </w:r>
      <w:r w:rsidR="009B3FE5" w:rsidRPr="009B3FE5">
        <w:rPr>
          <w:rFonts w:ascii="Calibri" w:hAnsi="Calibri" w:cs="Calibri"/>
          <w:sz w:val="22"/>
          <w:szCs w:val="22"/>
        </w:rPr>
        <w:t xml:space="preserve"> ICF R&amp;D programme </w:t>
      </w:r>
      <w:r>
        <w:rPr>
          <w:rFonts w:ascii="Calibri" w:hAnsi="Calibri" w:cs="Calibri"/>
          <w:sz w:val="22"/>
          <w:szCs w:val="22"/>
        </w:rPr>
        <w:t>are proceeding strongly and there is confidence, given the priority being afforded to international nature and climate issues, that areas of work that have been paused due to the ODA review can be constructively developed</w:t>
      </w:r>
      <w:r w:rsidR="000840B1">
        <w:rPr>
          <w:rFonts w:ascii="Calibri" w:hAnsi="Calibri" w:cs="Calibri"/>
          <w:sz w:val="22"/>
          <w:szCs w:val="22"/>
        </w:rPr>
        <w:t xml:space="preserve"> to address need</w:t>
      </w:r>
      <w:r>
        <w:rPr>
          <w:rFonts w:ascii="Calibri" w:hAnsi="Calibri" w:cs="Calibri"/>
          <w:sz w:val="22"/>
          <w:szCs w:val="22"/>
        </w:rPr>
        <w:t xml:space="preserve">.  Following market engagement there are plans to further develop the </w:t>
      </w:r>
      <w:proofErr w:type="spellStart"/>
      <w:r>
        <w:rPr>
          <w:rFonts w:ascii="Calibri" w:hAnsi="Calibri" w:cs="Calibri"/>
          <w:sz w:val="22"/>
          <w:szCs w:val="22"/>
        </w:rPr>
        <w:t>GCoE</w:t>
      </w:r>
      <w:proofErr w:type="spellEnd"/>
      <w:r>
        <w:rPr>
          <w:rFonts w:ascii="Calibri" w:hAnsi="Calibri" w:cs="Calibri"/>
          <w:sz w:val="22"/>
          <w:szCs w:val="22"/>
        </w:rPr>
        <w:t xml:space="preserve"> concept </w:t>
      </w:r>
      <w:proofErr w:type="gramStart"/>
      <w:r>
        <w:rPr>
          <w:rFonts w:ascii="Calibri" w:hAnsi="Calibri" w:cs="Calibri"/>
          <w:sz w:val="22"/>
          <w:szCs w:val="22"/>
        </w:rPr>
        <w:t>in light of</w:t>
      </w:r>
      <w:proofErr w:type="gramEnd"/>
      <w:r>
        <w:rPr>
          <w:rFonts w:ascii="Calibri" w:hAnsi="Calibri" w:cs="Calibri"/>
          <w:sz w:val="22"/>
          <w:szCs w:val="22"/>
        </w:rPr>
        <w:t xml:space="preserve"> the market feedback.  The recommendation is that the programme remains viable, with potential to deliver transformative outcomes over the longer-term, and should therefore continue.</w:t>
      </w:r>
    </w:p>
    <w:p w14:paraId="05EF73FD" w14:textId="491FF5C2" w:rsidR="00E162B9" w:rsidRDefault="00E162B9" w:rsidP="00C44333">
      <w:pPr>
        <w:spacing w:line="240" w:lineRule="auto"/>
        <w:rPr>
          <w:rFonts w:ascii="Calibri" w:hAnsi="Calibri" w:cs="Calibri"/>
          <w:sz w:val="22"/>
          <w:szCs w:val="22"/>
        </w:rPr>
        <w:sectPr w:rsidR="00E162B9" w:rsidSect="004E67ED">
          <w:footerReference w:type="default" r:id="rId15"/>
          <w:pgSz w:w="11906" w:h="16838"/>
          <w:pgMar w:top="1134" w:right="1134" w:bottom="1134" w:left="1134" w:header="709" w:footer="709" w:gutter="0"/>
          <w:cols w:space="708"/>
          <w:docGrid w:linePitch="360"/>
        </w:sectPr>
      </w:pPr>
    </w:p>
    <w:p w14:paraId="50FBAC86" w14:textId="77777777" w:rsidR="00D51B2C" w:rsidRPr="00F70DBE" w:rsidRDefault="00D51B2C" w:rsidP="00D51B2C">
      <w:pPr>
        <w:pStyle w:val="Heading2"/>
        <w:pBdr>
          <w:top w:val="single" w:sz="4" w:space="1" w:color="auto"/>
          <w:left w:val="single" w:sz="4" w:space="6" w:color="auto"/>
          <w:bottom w:val="single" w:sz="4" w:space="1" w:color="auto"/>
          <w:right w:val="single" w:sz="4" w:space="4" w:color="auto"/>
        </w:pBdr>
        <w:shd w:val="clear" w:color="auto" w:fill="DBE5F1" w:themeFill="accent1" w:themeFillTint="33"/>
        <w:spacing w:before="0"/>
        <w:rPr>
          <w:b w:val="0"/>
          <w:i/>
          <w:sz w:val="20"/>
          <w:szCs w:val="20"/>
        </w:rPr>
      </w:pPr>
      <w:r>
        <w:lastRenderedPageBreak/>
        <w:t>C.</w:t>
      </w:r>
      <w:r w:rsidRPr="00F70DBE">
        <w:t xml:space="preserve"> DETAILED OUTPUT SCORING</w:t>
      </w:r>
    </w:p>
    <w:p w14:paraId="527F2053" w14:textId="49B40452" w:rsidR="00BD67E4" w:rsidRPr="00BD67E4" w:rsidRDefault="00BD67E4" w:rsidP="00C44333">
      <w:pPr>
        <w:tabs>
          <w:tab w:val="left" w:pos="0"/>
          <w:tab w:val="left" w:pos="720"/>
        </w:tabs>
        <w:spacing w:line="240" w:lineRule="auto"/>
        <w:rPr>
          <w:rFonts w:ascii="Calibri" w:hAnsi="Calibri" w:cs="Calibri"/>
          <w:b/>
          <w:bCs/>
          <w:sz w:val="22"/>
          <w:szCs w:val="22"/>
        </w:rPr>
      </w:pPr>
      <w:r>
        <w:rPr>
          <w:rFonts w:ascii="Calibri" w:hAnsi="Calibri" w:cs="Calibri"/>
          <w:b/>
          <w:bCs/>
          <w:sz w:val="22"/>
          <w:szCs w:val="22"/>
        </w:rPr>
        <w:t xml:space="preserve">Outputs, activities and supporting narrative for the AR </w:t>
      </w:r>
      <w:proofErr w:type="gramStart"/>
      <w:r>
        <w:rPr>
          <w:rFonts w:ascii="Calibri" w:hAnsi="Calibri" w:cs="Calibri"/>
          <w:b/>
          <w:bCs/>
          <w:sz w:val="22"/>
          <w:szCs w:val="22"/>
        </w:rPr>
        <w:t>score</w:t>
      </w:r>
      <w:proofErr w:type="gramEnd"/>
    </w:p>
    <w:p w14:paraId="0B93F0FF" w14:textId="2BE0B815" w:rsidR="008254AF" w:rsidRDefault="3D5CBA99" w:rsidP="639CC774">
      <w:pPr>
        <w:tabs>
          <w:tab w:val="left" w:pos="720"/>
        </w:tabs>
        <w:spacing w:line="240" w:lineRule="auto"/>
        <w:rPr>
          <w:rFonts w:ascii="Calibri" w:hAnsi="Calibri" w:cs="Calibri"/>
          <w:sz w:val="22"/>
          <w:szCs w:val="22"/>
        </w:rPr>
      </w:pPr>
      <w:r w:rsidRPr="217F4493">
        <w:rPr>
          <w:rFonts w:ascii="Calibri" w:hAnsi="Calibri" w:cs="Calibri"/>
          <w:sz w:val="22"/>
          <w:szCs w:val="22"/>
        </w:rPr>
        <w:t xml:space="preserve">The annual review was developed through data gathering </w:t>
      </w:r>
      <w:r w:rsidR="285E8317" w:rsidRPr="217F4493">
        <w:rPr>
          <w:rFonts w:ascii="Calibri" w:hAnsi="Calibri" w:cs="Calibri"/>
          <w:sz w:val="22"/>
          <w:szCs w:val="22"/>
        </w:rPr>
        <w:t xml:space="preserve">as set out in </w:t>
      </w:r>
      <w:r w:rsidRPr="217F4493">
        <w:rPr>
          <w:rFonts w:ascii="Calibri" w:hAnsi="Calibri" w:cs="Calibri"/>
          <w:sz w:val="22"/>
          <w:szCs w:val="22"/>
        </w:rPr>
        <w:t>the logical frameworks (log frames), alongside interviews and engagement with the delivery partners, Defra project teams and Defra ICF R&amp;D Programme staff.</w:t>
      </w:r>
      <w:r w:rsidR="02ECEC7C" w:rsidRPr="217F4493">
        <w:rPr>
          <w:rFonts w:ascii="Calibri" w:hAnsi="Calibri" w:cs="Calibri"/>
          <w:sz w:val="22"/>
          <w:szCs w:val="22"/>
        </w:rPr>
        <w:t xml:space="preserve"> Although the projects that commenced were all awarded an ‘A’, the overall programme delivery as part of this AR has been awarded a ‘B’ due to various delays in other projects commencing as planned. These were out of the control of the programme (Covid, ODA Review) but significant enough to </w:t>
      </w:r>
      <w:r w:rsidR="285E8317" w:rsidRPr="217F4493">
        <w:rPr>
          <w:rFonts w:ascii="Calibri" w:hAnsi="Calibri" w:cs="Calibri"/>
          <w:sz w:val="22"/>
          <w:szCs w:val="22"/>
        </w:rPr>
        <w:t xml:space="preserve">affect </w:t>
      </w:r>
      <w:r w:rsidR="02ECEC7C" w:rsidRPr="217F4493">
        <w:rPr>
          <w:rFonts w:ascii="Calibri" w:hAnsi="Calibri" w:cs="Calibri"/>
          <w:sz w:val="22"/>
          <w:szCs w:val="22"/>
        </w:rPr>
        <w:t xml:space="preserve">the overall score of this AR. </w:t>
      </w:r>
    </w:p>
    <w:p w14:paraId="6CECCB0C" w14:textId="511BE1BB" w:rsidR="009B0C69" w:rsidRDefault="009B0C69" w:rsidP="00C44333">
      <w:pPr>
        <w:tabs>
          <w:tab w:val="left" w:pos="0"/>
          <w:tab w:val="left" w:pos="720"/>
        </w:tabs>
        <w:spacing w:line="240" w:lineRule="auto"/>
        <w:rPr>
          <w:rFonts w:ascii="Calibri" w:hAnsi="Calibri" w:cs="Calibri"/>
          <w:sz w:val="22"/>
          <w:szCs w:val="22"/>
        </w:rPr>
      </w:pPr>
      <w:r>
        <w:rPr>
          <w:rFonts w:ascii="Calibri" w:hAnsi="Calibri" w:cs="Calibri"/>
          <w:sz w:val="22"/>
          <w:szCs w:val="22"/>
        </w:rPr>
        <w:t xml:space="preserve">Impact and outcomes: </w:t>
      </w:r>
    </w:p>
    <w:p w14:paraId="1DA86092" w14:textId="3FC0335B" w:rsidR="00BD67E4" w:rsidRPr="009B0C69" w:rsidRDefault="7161EF3D" w:rsidP="217F4493">
      <w:pPr>
        <w:spacing w:line="240" w:lineRule="auto"/>
        <w:rPr>
          <w:rFonts w:ascii="Calibri" w:hAnsi="Calibri" w:cs="Calibri"/>
          <w:sz w:val="22"/>
          <w:szCs w:val="22"/>
        </w:rPr>
      </w:pPr>
      <w:r w:rsidRPr="6407A8B7">
        <w:rPr>
          <w:rFonts w:asciiTheme="minorHAnsi" w:eastAsiaTheme="minorEastAsia" w:hAnsiTheme="minorHAnsi" w:cstheme="minorBidi"/>
          <w:sz w:val="22"/>
          <w:szCs w:val="22"/>
        </w:rPr>
        <w:t xml:space="preserve">Log Frame Impact indicator assessment is only possible for Component 2, project 2a (Kew) as </w:t>
      </w:r>
      <w:r w:rsidR="3358506E" w:rsidRPr="6407A8B7">
        <w:rPr>
          <w:rFonts w:asciiTheme="minorHAnsi" w:eastAsiaTheme="minorEastAsia" w:hAnsiTheme="minorHAnsi" w:cstheme="minorBidi"/>
          <w:sz w:val="22"/>
          <w:szCs w:val="22"/>
        </w:rPr>
        <w:t>indicators</w:t>
      </w:r>
      <w:r w:rsidRPr="6407A8B7">
        <w:rPr>
          <w:rFonts w:asciiTheme="minorHAnsi" w:eastAsiaTheme="minorEastAsia" w:hAnsiTheme="minorHAnsi" w:cstheme="minorBidi"/>
          <w:sz w:val="22"/>
          <w:szCs w:val="22"/>
        </w:rPr>
        <w:t xml:space="preserve"> for Component 1, project 1a </w:t>
      </w:r>
      <w:r w:rsidR="3358506E" w:rsidRPr="6407A8B7">
        <w:rPr>
          <w:rFonts w:asciiTheme="minorHAnsi" w:eastAsiaTheme="minorEastAsia" w:hAnsiTheme="minorHAnsi" w:cstheme="minorBidi"/>
          <w:sz w:val="22"/>
          <w:szCs w:val="22"/>
        </w:rPr>
        <w:t>were not agreed</w:t>
      </w:r>
      <w:r w:rsidRPr="6407A8B7">
        <w:rPr>
          <w:rFonts w:asciiTheme="minorHAnsi" w:eastAsiaTheme="minorEastAsia" w:hAnsiTheme="minorHAnsi" w:cstheme="minorBidi"/>
          <w:sz w:val="22"/>
          <w:szCs w:val="22"/>
        </w:rPr>
        <w:t xml:space="preserve"> with JNCC. </w:t>
      </w:r>
      <w:r w:rsidR="789DDA29" w:rsidRPr="6407A8B7">
        <w:rPr>
          <w:rFonts w:asciiTheme="minorHAnsi" w:eastAsiaTheme="minorEastAsia" w:hAnsiTheme="minorHAnsi" w:cstheme="minorBidi"/>
          <w:sz w:val="22"/>
          <w:szCs w:val="22"/>
        </w:rPr>
        <w:t>This is because t</w:t>
      </w:r>
      <w:r w:rsidR="789DDA29" w:rsidRPr="6407A8B7">
        <w:rPr>
          <w:rFonts w:ascii="Calibri" w:hAnsi="Calibri" w:cs="Calibri"/>
          <w:sz w:val="22"/>
          <w:szCs w:val="22"/>
        </w:rPr>
        <w:t>he Log Frame focuses on outcome and output indicators therefore impact indicators were not covered.</w:t>
      </w:r>
      <w:r w:rsidR="789DDA29" w:rsidRPr="6407A8B7">
        <w:rPr>
          <w:rFonts w:asciiTheme="minorHAnsi" w:eastAsiaTheme="minorEastAsia" w:hAnsiTheme="minorHAnsi" w:cstheme="minorBidi"/>
          <w:sz w:val="22"/>
          <w:szCs w:val="22"/>
        </w:rPr>
        <w:t xml:space="preserve"> </w:t>
      </w:r>
      <w:r w:rsidRPr="6407A8B7">
        <w:rPr>
          <w:rFonts w:asciiTheme="minorHAnsi" w:eastAsiaTheme="minorEastAsia" w:hAnsiTheme="minorHAnsi" w:cstheme="minorBidi"/>
          <w:sz w:val="22"/>
          <w:szCs w:val="22"/>
        </w:rPr>
        <w:t xml:space="preserve">A Log Frame for the Scoping study (Vivid Project) under project 1b was not deemed necessary for the purposes of a short scoping output. For project 2a (Kew) all impact indicators are on target. </w:t>
      </w:r>
      <w:r w:rsidRPr="6407A8B7">
        <w:rPr>
          <w:rFonts w:ascii="Calibri" w:hAnsi="Calibri" w:cs="Calibri"/>
          <w:sz w:val="22"/>
          <w:szCs w:val="22"/>
        </w:rPr>
        <w:t xml:space="preserve">For outcomes, projects 1a and 2a had either met the target or were on target within this AR period. </w:t>
      </w:r>
    </w:p>
    <w:p w14:paraId="6A6C89F8" w14:textId="3FB08CDF" w:rsidR="0071201F" w:rsidRDefault="009B0C69" w:rsidP="00C44333">
      <w:pPr>
        <w:tabs>
          <w:tab w:val="left" w:pos="0"/>
          <w:tab w:val="left" w:pos="720"/>
        </w:tabs>
        <w:spacing w:line="240" w:lineRule="auto"/>
        <w:rPr>
          <w:rFonts w:ascii="Calibri" w:hAnsi="Calibri" w:cs="Calibri"/>
          <w:sz w:val="22"/>
          <w:szCs w:val="22"/>
        </w:rPr>
      </w:pPr>
      <w:r>
        <w:rPr>
          <w:rFonts w:ascii="Calibri" w:hAnsi="Calibri" w:cs="Calibri"/>
          <w:sz w:val="22"/>
          <w:szCs w:val="22"/>
        </w:rPr>
        <w:t xml:space="preserve">Outputs: </w:t>
      </w:r>
    </w:p>
    <w:p w14:paraId="6C859223" w14:textId="23C57790" w:rsidR="00ED4CEC" w:rsidRDefault="002628C3" w:rsidP="002628C3">
      <w:pPr>
        <w:spacing w:before="120" w:line="240" w:lineRule="auto"/>
        <w:rPr>
          <w:rFonts w:ascii="Calibri" w:hAnsi="Calibri" w:cs="Calibri"/>
          <w:sz w:val="22"/>
          <w:szCs w:val="22"/>
        </w:rPr>
      </w:pPr>
      <w:r w:rsidRPr="2B62C876">
        <w:rPr>
          <w:rFonts w:ascii="Calibri" w:hAnsi="Calibri" w:cs="Calibri"/>
          <w:sz w:val="22"/>
          <w:szCs w:val="22"/>
        </w:rPr>
        <w:t xml:space="preserve">Outputs across the projects remained consistent with the agreed outputs within each </w:t>
      </w:r>
      <w:proofErr w:type="spellStart"/>
      <w:r w:rsidRPr="2B62C876">
        <w:rPr>
          <w:rFonts w:ascii="Calibri" w:hAnsi="Calibri" w:cs="Calibri"/>
          <w:sz w:val="22"/>
          <w:szCs w:val="22"/>
        </w:rPr>
        <w:t>logframe</w:t>
      </w:r>
      <w:proofErr w:type="spellEnd"/>
      <w:r w:rsidR="0C0FF113" w:rsidRPr="2B62C876">
        <w:rPr>
          <w:rFonts w:ascii="Calibri" w:hAnsi="Calibri" w:cs="Calibri"/>
          <w:sz w:val="22"/>
          <w:szCs w:val="22"/>
        </w:rPr>
        <w:t xml:space="preserve"> where output indicators were agreed</w:t>
      </w:r>
      <w:r w:rsidRPr="2B62C876">
        <w:rPr>
          <w:rFonts w:ascii="Calibri" w:hAnsi="Calibri" w:cs="Calibri"/>
          <w:sz w:val="22"/>
          <w:szCs w:val="22"/>
        </w:rPr>
        <w:t xml:space="preserve">. There were no planned changes.  </w:t>
      </w:r>
      <w:r w:rsidR="00ED4CEC" w:rsidRPr="2B62C876">
        <w:rPr>
          <w:rFonts w:ascii="Calibri" w:hAnsi="Calibri" w:cs="Calibri"/>
          <w:sz w:val="22"/>
          <w:szCs w:val="22"/>
        </w:rPr>
        <w:t xml:space="preserve">All projects recorded a score of ‘target met’ or ‘on target’ for the output performance. Further detail on the specific outputs for each project can be seen in the relevant </w:t>
      </w:r>
      <w:proofErr w:type="spellStart"/>
      <w:r w:rsidR="00ED4CEC" w:rsidRPr="2B62C876">
        <w:rPr>
          <w:rFonts w:ascii="Calibri" w:hAnsi="Calibri" w:cs="Calibri"/>
          <w:sz w:val="22"/>
          <w:szCs w:val="22"/>
        </w:rPr>
        <w:t>logframe</w:t>
      </w:r>
      <w:proofErr w:type="spellEnd"/>
      <w:r w:rsidR="00ED4CEC" w:rsidRPr="2B62C876">
        <w:rPr>
          <w:rFonts w:ascii="Calibri" w:hAnsi="Calibri" w:cs="Calibri"/>
          <w:sz w:val="22"/>
          <w:szCs w:val="22"/>
        </w:rPr>
        <w:t xml:space="preserve">. </w:t>
      </w:r>
    </w:p>
    <w:p w14:paraId="3FF2E3B8" w14:textId="6629D4DE" w:rsidR="009B0C69" w:rsidRDefault="009B0C69" w:rsidP="002628C3">
      <w:pPr>
        <w:spacing w:line="240" w:lineRule="auto"/>
        <w:rPr>
          <w:rFonts w:asciiTheme="minorHAnsi" w:hAnsiTheme="minorHAnsi" w:cstheme="minorHAnsi"/>
          <w:sz w:val="22"/>
          <w:szCs w:val="22"/>
          <w:u w:val="single"/>
        </w:rPr>
      </w:pPr>
      <w:r w:rsidRPr="004769BF">
        <w:rPr>
          <w:rFonts w:asciiTheme="minorHAnsi" w:hAnsiTheme="minorHAnsi" w:cstheme="minorHAnsi"/>
          <w:sz w:val="22"/>
          <w:szCs w:val="22"/>
          <w:u w:val="single"/>
        </w:rPr>
        <w:t xml:space="preserve">Table 3: Programme </w:t>
      </w:r>
      <w:proofErr w:type="spellStart"/>
      <w:r w:rsidRPr="004769BF">
        <w:rPr>
          <w:rFonts w:asciiTheme="minorHAnsi" w:hAnsiTheme="minorHAnsi" w:cstheme="minorHAnsi"/>
          <w:sz w:val="22"/>
          <w:szCs w:val="22"/>
          <w:u w:val="single"/>
        </w:rPr>
        <w:t>ToC</w:t>
      </w:r>
      <w:proofErr w:type="spellEnd"/>
      <w:r w:rsidRPr="004769BF">
        <w:rPr>
          <w:rFonts w:asciiTheme="minorHAnsi" w:hAnsiTheme="minorHAnsi" w:cstheme="minorHAnsi"/>
          <w:sz w:val="22"/>
          <w:szCs w:val="22"/>
          <w:u w:val="single"/>
        </w:rPr>
        <w:t xml:space="preserve"> Output Performance:</w:t>
      </w:r>
    </w:p>
    <w:p w14:paraId="4F611D40" w14:textId="279A1F0E" w:rsidR="002F7B6A" w:rsidRPr="002F7B6A" w:rsidRDefault="002F7B6A" w:rsidP="002628C3">
      <w:pPr>
        <w:spacing w:line="240" w:lineRule="auto"/>
        <w:rPr>
          <w:rFonts w:asciiTheme="minorHAnsi" w:hAnsiTheme="minorHAnsi" w:cstheme="minorHAnsi"/>
          <w:sz w:val="22"/>
          <w:szCs w:val="22"/>
        </w:rPr>
      </w:pPr>
      <w:r>
        <w:rPr>
          <w:rFonts w:asciiTheme="minorHAnsi" w:hAnsiTheme="minorHAnsi" w:cstheme="minorHAnsi"/>
          <w:sz w:val="22"/>
          <w:szCs w:val="22"/>
        </w:rPr>
        <w:t xml:space="preserve">The table below shows the projects that commenced during this AR cycle. Where projects were delayed no score has been given, and so despite the ‘live’ projects all receiving ‘A’, the overall score for this AR has been adjusted down to ‘B’ to allow for the projects that did not commence – and as such affected the delivery of the programme as set out in the business case. </w:t>
      </w:r>
    </w:p>
    <w:tbl>
      <w:tblPr>
        <w:tblStyle w:val="GridTable4-Accent5"/>
        <w:tblW w:w="9747" w:type="dxa"/>
        <w:tblLayout w:type="fixed"/>
        <w:tblLook w:val="04A0" w:firstRow="1" w:lastRow="0" w:firstColumn="1" w:lastColumn="0" w:noHBand="0" w:noVBand="1"/>
      </w:tblPr>
      <w:tblGrid>
        <w:gridCol w:w="8188"/>
        <w:gridCol w:w="1559"/>
      </w:tblGrid>
      <w:tr w:rsidR="009B0C69" w14:paraId="1E9BA28E" w14:textId="77777777" w:rsidTr="2B62C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single" w:sz="6" w:space="0" w:color="4BACC6" w:themeColor="accent5"/>
              <w:left w:val="single" w:sz="6" w:space="0" w:color="4BACC6" w:themeColor="accent5"/>
              <w:bottom w:val="single" w:sz="6" w:space="0" w:color="4BACC6" w:themeColor="accent5"/>
            </w:tcBorders>
          </w:tcPr>
          <w:p w14:paraId="6416DCA3" w14:textId="77777777" w:rsidR="009B0C69" w:rsidRDefault="009B0C69" w:rsidP="002628C3">
            <w:pPr>
              <w:spacing w:line="240" w:lineRule="auto"/>
              <w:rPr>
                <w:rFonts w:ascii="Calibri" w:hAnsi="Calibri"/>
                <w:sz w:val="22"/>
                <w:szCs w:val="22"/>
              </w:rPr>
            </w:pPr>
            <w:r w:rsidRPr="49C1C18B">
              <w:rPr>
                <w:rFonts w:ascii="Calibri" w:hAnsi="Calibri"/>
                <w:sz w:val="22"/>
                <w:szCs w:val="22"/>
              </w:rPr>
              <w:t>Output Number &amp; Description</w:t>
            </w:r>
          </w:p>
        </w:tc>
        <w:tc>
          <w:tcPr>
            <w:tcW w:w="1559" w:type="dxa"/>
            <w:tcBorders>
              <w:top w:val="single" w:sz="6" w:space="0" w:color="4BACC6" w:themeColor="accent5"/>
              <w:bottom w:val="single" w:sz="6" w:space="0" w:color="4BACC6" w:themeColor="accent5"/>
              <w:right w:val="single" w:sz="6" w:space="0" w:color="4BACC6" w:themeColor="accent5"/>
            </w:tcBorders>
          </w:tcPr>
          <w:p w14:paraId="5C1B4E67" w14:textId="77777777" w:rsidR="009B0C69" w:rsidRDefault="009B0C69" w:rsidP="002628C3">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sz w:val="22"/>
                <w:szCs w:val="22"/>
              </w:rPr>
            </w:pPr>
            <w:r w:rsidRPr="49C1C18B">
              <w:rPr>
                <w:rFonts w:ascii="Calibri" w:hAnsi="Calibri"/>
                <w:sz w:val="22"/>
                <w:szCs w:val="22"/>
              </w:rPr>
              <w:t>Score</w:t>
            </w:r>
          </w:p>
        </w:tc>
      </w:tr>
      <w:tr w:rsidR="009B0C69" w14:paraId="6ED25D10" w14:textId="77777777" w:rsidTr="2B62C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53B7F2F5" w14:textId="35B3C5B4" w:rsidR="009B0C69" w:rsidRPr="004769BF" w:rsidRDefault="009B0C69" w:rsidP="00C652DD">
            <w:pPr>
              <w:pStyle w:val="ListParagraph"/>
              <w:numPr>
                <w:ilvl w:val="0"/>
                <w:numId w:val="24"/>
              </w:numPr>
              <w:spacing w:before="0" w:after="240" w:line="240" w:lineRule="auto"/>
              <w:rPr>
                <w:rFonts w:asciiTheme="minorHAnsi" w:eastAsiaTheme="minorEastAsia" w:hAnsiTheme="minorHAnsi" w:cstheme="minorBidi"/>
                <w:b w:val="0"/>
                <w:bCs w:val="0"/>
                <w:color w:val="000000" w:themeColor="text1"/>
                <w:sz w:val="22"/>
                <w:szCs w:val="22"/>
              </w:rPr>
            </w:pPr>
            <w:r w:rsidRPr="4CB95048">
              <w:rPr>
                <w:rFonts w:asciiTheme="minorHAnsi" w:hAnsiTheme="minorHAnsi" w:cstheme="minorBidi"/>
                <w:b w:val="0"/>
                <w:bCs w:val="0"/>
                <w:color w:val="000000" w:themeColor="text1"/>
                <w:sz w:val="22"/>
                <w:szCs w:val="22"/>
              </w:rPr>
              <w:t xml:space="preserve">Continuous peer reviewed evidence products on </w:t>
            </w:r>
            <w:proofErr w:type="spellStart"/>
            <w:r w:rsidRPr="4CB95048">
              <w:rPr>
                <w:rFonts w:asciiTheme="minorHAnsi" w:hAnsiTheme="minorHAnsi" w:cstheme="minorBidi"/>
                <w:b w:val="0"/>
                <w:bCs w:val="0"/>
                <w:color w:val="000000" w:themeColor="text1"/>
                <w:sz w:val="22"/>
                <w:szCs w:val="22"/>
              </w:rPr>
              <w:t>NbS</w:t>
            </w:r>
            <w:proofErr w:type="spellEnd"/>
            <w:r w:rsidRPr="4CB95048">
              <w:rPr>
                <w:rFonts w:asciiTheme="minorHAnsi" w:hAnsiTheme="minorHAnsi" w:cstheme="minorBidi"/>
                <w:b w:val="0"/>
                <w:bCs w:val="0"/>
                <w:color w:val="000000" w:themeColor="text1"/>
                <w:sz w:val="22"/>
                <w:szCs w:val="22"/>
              </w:rPr>
              <w:t xml:space="preserve"> are produced which include detailed research into specific </w:t>
            </w:r>
            <w:proofErr w:type="spellStart"/>
            <w:r w:rsidRPr="4CB95048">
              <w:rPr>
                <w:rFonts w:asciiTheme="minorHAnsi" w:hAnsiTheme="minorHAnsi" w:cstheme="minorBidi"/>
                <w:b w:val="0"/>
                <w:bCs w:val="0"/>
                <w:color w:val="000000" w:themeColor="text1"/>
                <w:sz w:val="22"/>
                <w:szCs w:val="22"/>
              </w:rPr>
              <w:t>NbS</w:t>
            </w:r>
            <w:proofErr w:type="spellEnd"/>
            <w:r w:rsidRPr="4CB95048">
              <w:rPr>
                <w:rFonts w:asciiTheme="minorHAnsi" w:hAnsiTheme="minorHAnsi" w:cstheme="minorBidi"/>
                <w:b w:val="0"/>
                <w:bCs w:val="0"/>
                <w:color w:val="000000" w:themeColor="text1"/>
                <w:sz w:val="22"/>
                <w:szCs w:val="22"/>
              </w:rPr>
              <w:t xml:space="preserve"> interventions in specific geographies. (Component 3</w:t>
            </w:r>
            <w:r w:rsidR="00B61B77">
              <w:rPr>
                <w:rFonts w:asciiTheme="minorHAnsi" w:hAnsiTheme="minorHAnsi" w:cstheme="minorBidi"/>
                <w:b w:val="0"/>
                <w:bCs w:val="0"/>
                <w:color w:val="000000" w:themeColor="text1"/>
                <w:sz w:val="22"/>
                <w:szCs w:val="22"/>
              </w:rPr>
              <w:t xml:space="preserve"> – Building the Long-Term Evidence Base through a </w:t>
            </w:r>
            <w:proofErr w:type="spellStart"/>
            <w:r w:rsidR="00B61B77">
              <w:rPr>
                <w:rFonts w:asciiTheme="minorHAnsi" w:hAnsiTheme="minorHAnsi" w:cstheme="minorBidi"/>
                <w:b w:val="0"/>
                <w:bCs w:val="0"/>
                <w:color w:val="000000" w:themeColor="text1"/>
                <w:sz w:val="22"/>
                <w:szCs w:val="22"/>
              </w:rPr>
              <w:t>GCoE</w:t>
            </w:r>
            <w:proofErr w:type="spellEnd"/>
            <w:r w:rsidRPr="4CB95048">
              <w:rPr>
                <w:rFonts w:asciiTheme="minorHAnsi" w:hAnsiTheme="minorHAnsi" w:cstheme="minorBidi"/>
                <w:b w:val="0"/>
                <w:bCs w:val="0"/>
                <w:color w:val="000000" w:themeColor="text1"/>
                <w:sz w:val="22"/>
                <w:szCs w:val="22"/>
              </w:rPr>
              <w:t xml:space="preserve">) </w:t>
            </w:r>
          </w:p>
        </w:tc>
        <w:tc>
          <w:tcPr>
            <w:tcW w:w="1559" w:type="dxa"/>
          </w:tcPr>
          <w:p w14:paraId="1759E5D2" w14:textId="099C0AE2" w:rsidR="009B0C69" w:rsidRPr="004769BF" w:rsidRDefault="7A3F8538" w:rsidP="2171070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sidRPr="21710708">
              <w:rPr>
                <w:rFonts w:asciiTheme="minorHAnsi" w:hAnsiTheme="minorHAnsi" w:cstheme="minorBidi"/>
                <w:sz w:val="22"/>
                <w:szCs w:val="22"/>
              </w:rPr>
              <w:t>B</w:t>
            </w:r>
          </w:p>
        </w:tc>
      </w:tr>
      <w:tr w:rsidR="009B0C69" w14:paraId="65761F78" w14:textId="77777777" w:rsidTr="2B62C876">
        <w:tc>
          <w:tcPr>
            <w:cnfStyle w:val="001000000000" w:firstRow="0" w:lastRow="0" w:firstColumn="1" w:lastColumn="0" w:oddVBand="0" w:evenVBand="0" w:oddHBand="0" w:evenHBand="0" w:firstRowFirstColumn="0" w:firstRowLastColumn="0" w:lastRowFirstColumn="0" w:lastRowLastColumn="0"/>
            <w:tcW w:w="8188" w:type="dxa"/>
          </w:tcPr>
          <w:p w14:paraId="17491C5C" w14:textId="5CAACD8B" w:rsidR="009B0C69" w:rsidRPr="004769BF" w:rsidRDefault="009B0C69" w:rsidP="00C652DD">
            <w:pPr>
              <w:pStyle w:val="ListParagraph"/>
              <w:numPr>
                <w:ilvl w:val="0"/>
                <w:numId w:val="24"/>
              </w:numPr>
              <w:spacing w:before="0" w:after="240" w:line="240" w:lineRule="auto"/>
              <w:rPr>
                <w:rFonts w:asciiTheme="minorHAnsi" w:eastAsiaTheme="minorEastAsia" w:hAnsiTheme="minorHAnsi" w:cstheme="minorBidi"/>
                <w:b w:val="0"/>
                <w:bCs w:val="0"/>
                <w:color w:val="000000" w:themeColor="text1"/>
                <w:sz w:val="22"/>
                <w:szCs w:val="22"/>
              </w:rPr>
            </w:pPr>
            <w:r w:rsidRPr="4CB95048">
              <w:rPr>
                <w:rFonts w:asciiTheme="minorHAnsi" w:hAnsiTheme="minorHAnsi" w:cstheme="minorBidi"/>
                <w:b w:val="0"/>
                <w:bCs w:val="0"/>
                <w:color w:val="000000" w:themeColor="text1"/>
                <w:sz w:val="22"/>
                <w:szCs w:val="22"/>
              </w:rPr>
              <w:t>An extensive timber reference library is established; real-time satellite data provides innovative data on carbon sequestration by restoration activity; an online platform to allow verification of tree planting activities; a report summarising the analysis of what works, in what circumstances and how for forest restoration, carbon sequestration and biodiversity gains. (Component 2</w:t>
            </w:r>
            <w:r w:rsidR="00B61B77">
              <w:rPr>
                <w:rFonts w:asciiTheme="minorHAnsi" w:hAnsiTheme="minorHAnsi" w:cstheme="minorBidi"/>
                <w:b w:val="0"/>
                <w:bCs w:val="0"/>
                <w:color w:val="000000" w:themeColor="text1"/>
                <w:sz w:val="22"/>
                <w:szCs w:val="22"/>
              </w:rPr>
              <w:t xml:space="preserve"> – </w:t>
            </w:r>
            <w:r w:rsidR="00B61B77" w:rsidRPr="00B61B77">
              <w:rPr>
                <w:rFonts w:asciiTheme="minorHAnsi" w:eastAsiaTheme="minorEastAsia" w:hAnsiTheme="minorHAnsi" w:cstheme="minorBidi"/>
                <w:b w:val="0"/>
                <w:bCs w:val="0"/>
                <w:sz w:val="22"/>
                <w:szCs w:val="22"/>
              </w:rPr>
              <w:t xml:space="preserve">Evidence to strengthen operational delivery of </w:t>
            </w:r>
            <w:proofErr w:type="spellStart"/>
            <w:r w:rsidR="00B61B77" w:rsidRPr="00B61B77">
              <w:rPr>
                <w:rFonts w:asciiTheme="minorHAnsi" w:eastAsiaTheme="minorEastAsia" w:hAnsiTheme="minorHAnsi" w:cstheme="minorBidi"/>
                <w:b w:val="0"/>
                <w:bCs w:val="0"/>
                <w:sz w:val="22"/>
                <w:szCs w:val="22"/>
              </w:rPr>
              <w:t>NbS</w:t>
            </w:r>
            <w:proofErr w:type="spellEnd"/>
            <w:r w:rsidR="00B61B77" w:rsidRPr="00B61B77">
              <w:rPr>
                <w:rFonts w:asciiTheme="minorHAnsi" w:eastAsiaTheme="minorEastAsia" w:hAnsiTheme="minorHAnsi" w:cstheme="minorBidi"/>
                <w:b w:val="0"/>
                <w:bCs w:val="0"/>
                <w:sz w:val="22"/>
                <w:szCs w:val="22"/>
              </w:rPr>
              <w:t xml:space="preserve"> through policy and programmes</w:t>
            </w:r>
            <w:r w:rsidRPr="4CB95048">
              <w:rPr>
                <w:rFonts w:asciiTheme="minorHAnsi" w:hAnsiTheme="minorHAnsi" w:cstheme="minorBidi"/>
                <w:b w:val="0"/>
                <w:bCs w:val="0"/>
                <w:color w:val="000000" w:themeColor="text1"/>
                <w:sz w:val="22"/>
                <w:szCs w:val="22"/>
              </w:rPr>
              <w:t>)</w:t>
            </w:r>
          </w:p>
        </w:tc>
        <w:tc>
          <w:tcPr>
            <w:tcW w:w="1559" w:type="dxa"/>
          </w:tcPr>
          <w:p w14:paraId="6BAB323A" w14:textId="77777777" w:rsidR="009B0C69" w:rsidRDefault="009B0C69" w:rsidP="00C652DD">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szCs w:val="22"/>
              </w:rPr>
            </w:pPr>
          </w:p>
          <w:p w14:paraId="21B2DA87" w14:textId="77777777" w:rsidR="009B0C69" w:rsidRPr="004769BF" w:rsidRDefault="009B0C69" w:rsidP="00C652D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szCs w:val="22"/>
              </w:rPr>
            </w:pPr>
            <w:r w:rsidRPr="0017444A">
              <w:rPr>
                <w:rFonts w:asciiTheme="minorHAnsi" w:hAnsiTheme="minorHAnsi" w:cstheme="minorHAnsi"/>
                <w:sz w:val="22"/>
                <w:szCs w:val="22"/>
              </w:rPr>
              <w:t>A</w:t>
            </w:r>
          </w:p>
        </w:tc>
      </w:tr>
      <w:tr w:rsidR="009B0C69" w14:paraId="63AE7D7B" w14:textId="77777777" w:rsidTr="2B62C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7FA221CC" w14:textId="6918BE11" w:rsidR="009B0C69" w:rsidRPr="004769BF" w:rsidRDefault="00B61B77" w:rsidP="00C652DD">
            <w:pPr>
              <w:pStyle w:val="ListParagraph"/>
              <w:numPr>
                <w:ilvl w:val="0"/>
                <w:numId w:val="24"/>
              </w:numPr>
              <w:spacing w:before="0" w:after="240" w:line="240" w:lineRule="auto"/>
              <w:rPr>
                <w:rFonts w:asciiTheme="minorHAnsi" w:eastAsiaTheme="minorEastAsia" w:hAnsiTheme="minorHAnsi" w:cstheme="minorBidi"/>
                <w:b w:val="0"/>
                <w:bCs w:val="0"/>
                <w:color w:val="000000" w:themeColor="text1"/>
                <w:sz w:val="22"/>
                <w:szCs w:val="22"/>
              </w:rPr>
            </w:pPr>
            <w:r>
              <w:rPr>
                <w:rFonts w:asciiTheme="minorHAnsi" w:hAnsiTheme="minorHAnsi" w:cstheme="minorBidi"/>
                <w:b w:val="0"/>
                <w:bCs w:val="0"/>
                <w:color w:val="000000" w:themeColor="text1"/>
                <w:sz w:val="22"/>
                <w:szCs w:val="22"/>
              </w:rPr>
              <w:t>Development of</w:t>
            </w:r>
            <w:r w:rsidR="009B0C69" w:rsidRPr="4CB95048">
              <w:rPr>
                <w:rFonts w:asciiTheme="minorHAnsi" w:hAnsiTheme="minorHAnsi" w:cstheme="minorBidi"/>
                <w:b w:val="0"/>
                <w:bCs w:val="0"/>
                <w:color w:val="000000" w:themeColor="text1"/>
                <w:sz w:val="22"/>
                <w:szCs w:val="22"/>
              </w:rPr>
              <w:t xml:space="preserve"> options for the UK to implement a commitment to ‘nature-proof’ the UK’s ODA portfolio and a document of scoped options for investment (Component 1b</w:t>
            </w:r>
            <w:r>
              <w:rPr>
                <w:rFonts w:asciiTheme="minorHAnsi" w:hAnsiTheme="minorHAnsi" w:cstheme="minorBidi"/>
                <w:b w:val="0"/>
                <w:bCs w:val="0"/>
                <w:color w:val="000000" w:themeColor="text1"/>
                <w:sz w:val="22"/>
                <w:szCs w:val="22"/>
              </w:rPr>
              <w:t xml:space="preserve"> - </w:t>
            </w:r>
            <w:r w:rsidRPr="00B61B77">
              <w:rPr>
                <w:rFonts w:asciiTheme="minorHAnsi" w:eastAsiaTheme="minorEastAsia" w:hAnsiTheme="minorHAnsi" w:cstheme="minorBidi"/>
                <w:b w:val="0"/>
                <w:bCs w:val="0"/>
                <w:color w:val="000000" w:themeColor="text1"/>
                <w:sz w:val="22"/>
                <w:szCs w:val="22"/>
              </w:rPr>
              <w:t>Scoping and intervention analysis for future ICF programming</w:t>
            </w:r>
            <w:r w:rsidR="009B0C69" w:rsidRPr="4CB95048">
              <w:rPr>
                <w:rFonts w:asciiTheme="minorHAnsi" w:hAnsiTheme="minorHAnsi" w:cstheme="minorBidi"/>
                <w:b w:val="0"/>
                <w:bCs w:val="0"/>
                <w:color w:val="000000" w:themeColor="text1"/>
                <w:sz w:val="22"/>
                <w:szCs w:val="22"/>
              </w:rPr>
              <w:t>)</w:t>
            </w:r>
          </w:p>
        </w:tc>
        <w:tc>
          <w:tcPr>
            <w:tcW w:w="1559" w:type="dxa"/>
          </w:tcPr>
          <w:p w14:paraId="6B3176FB" w14:textId="77777777" w:rsidR="009B0C69" w:rsidRPr="004769BF" w:rsidRDefault="009B0C69" w:rsidP="00C652D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szCs w:val="22"/>
              </w:rPr>
            </w:pPr>
            <w:r w:rsidRPr="0017444A">
              <w:rPr>
                <w:rFonts w:asciiTheme="minorHAnsi" w:hAnsiTheme="minorHAnsi" w:cstheme="minorHAnsi"/>
                <w:sz w:val="22"/>
                <w:szCs w:val="22"/>
              </w:rPr>
              <w:t>A</w:t>
            </w:r>
          </w:p>
        </w:tc>
      </w:tr>
      <w:tr w:rsidR="009B0C69" w14:paraId="3A9DEC47" w14:textId="77777777" w:rsidTr="2B62C876">
        <w:tc>
          <w:tcPr>
            <w:cnfStyle w:val="001000000000" w:firstRow="0" w:lastRow="0" w:firstColumn="1" w:lastColumn="0" w:oddVBand="0" w:evenVBand="0" w:oddHBand="0" w:evenHBand="0" w:firstRowFirstColumn="0" w:firstRowLastColumn="0" w:lastRowFirstColumn="0" w:lastRowLastColumn="0"/>
            <w:tcW w:w="8188" w:type="dxa"/>
          </w:tcPr>
          <w:p w14:paraId="3810D317" w14:textId="1818C367" w:rsidR="009B0C69" w:rsidRPr="004769BF" w:rsidRDefault="009B0C69" w:rsidP="00C652DD">
            <w:pPr>
              <w:pStyle w:val="ListParagraph"/>
              <w:numPr>
                <w:ilvl w:val="0"/>
                <w:numId w:val="24"/>
              </w:numPr>
              <w:spacing w:before="0" w:after="240" w:line="240" w:lineRule="auto"/>
              <w:rPr>
                <w:rFonts w:asciiTheme="minorHAnsi" w:eastAsiaTheme="minorEastAsia" w:hAnsiTheme="minorHAnsi" w:cstheme="minorBidi"/>
                <w:b w:val="0"/>
                <w:bCs w:val="0"/>
                <w:color w:val="000000" w:themeColor="text1"/>
                <w:sz w:val="22"/>
                <w:szCs w:val="22"/>
              </w:rPr>
            </w:pPr>
            <w:r w:rsidRPr="4CB95048">
              <w:rPr>
                <w:rFonts w:asciiTheme="minorHAnsi" w:hAnsiTheme="minorHAnsi" w:cstheme="minorBidi"/>
                <w:b w:val="0"/>
                <w:bCs w:val="0"/>
                <w:color w:val="000000" w:themeColor="text1"/>
                <w:sz w:val="22"/>
                <w:szCs w:val="22"/>
              </w:rPr>
              <w:t xml:space="preserve">Exhaustive and quality assured case studies of </w:t>
            </w:r>
            <w:proofErr w:type="spellStart"/>
            <w:r w:rsidRPr="4CB95048">
              <w:rPr>
                <w:rFonts w:asciiTheme="minorHAnsi" w:hAnsiTheme="minorHAnsi" w:cstheme="minorBidi"/>
                <w:b w:val="0"/>
                <w:bCs w:val="0"/>
                <w:color w:val="000000" w:themeColor="text1"/>
                <w:sz w:val="22"/>
                <w:szCs w:val="22"/>
              </w:rPr>
              <w:t>NbS</w:t>
            </w:r>
            <w:proofErr w:type="spellEnd"/>
            <w:r w:rsidRPr="4CB95048">
              <w:rPr>
                <w:rFonts w:asciiTheme="minorHAnsi" w:hAnsiTheme="minorHAnsi" w:cstheme="minorBidi"/>
                <w:b w:val="0"/>
                <w:bCs w:val="0"/>
                <w:color w:val="000000" w:themeColor="text1"/>
                <w:sz w:val="22"/>
                <w:szCs w:val="22"/>
              </w:rPr>
              <w:t xml:space="preserve"> and ‘best buys’ for programming are produced and robust and applicable biodiversity indicators are </w:t>
            </w:r>
            <w:r w:rsidRPr="4CB95048">
              <w:rPr>
                <w:rFonts w:asciiTheme="minorHAnsi" w:hAnsiTheme="minorHAnsi" w:cstheme="minorBidi"/>
                <w:b w:val="0"/>
                <w:bCs w:val="0"/>
                <w:color w:val="000000" w:themeColor="text1"/>
                <w:sz w:val="22"/>
                <w:szCs w:val="22"/>
              </w:rPr>
              <w:lastRenderedPageBreak/>
              <w:t>produced (Component 1</w:t>
            </w:r>
            <w:r w:rsidR="00B61B77">
              <w:rPr>
                <w:rFonts w:asciiTheme="minorHAnsi" w:hAnsiTheme="minorHAnsi" w:cstheme="minorBidi"/>
                <w:b w:val="0"/>
                <w:bCs w:val="0"/>
                <w:color w:val="000000" w:themeColor="text1"/>
                <w:sz w:val="22"/>
                <w:szCs w:val="22"/>
              </w:rPr>
              <w:t>a -</w:t>
            </w:r>
            <w:r w:rsidR="00B61B77" w:rsidRPr="00B61B77">
              <w:rPr>
                <w:rFonts w:asciiTheme="minorHAnsi" w:eastAsiaTheme="minorEastAsia" w:hAnsiTheme="minorHAnsi" w:cstheme="minorBidi"/>
                <w:b w:val="0"/>
                <w:bCs w:val="0"/>
                <w:color w:val="000000" w:themeColor="text1"/>
                <w:sz w:val="22"/>
                <w:szCs w:val="22"/>
              </w:rPr>
              <w:t xml:space="preserve"> Measuring the impact of aid on nature &amp; identifying ‘best buys’</w:t>
            </w:r>
            <w:r w:rsidRPr="4CB95048">
              <w:rPr>
                <w:rFonts w:asciiTheme="minorHAnsi" w:hAnsiTheme="minorHAnsi" w:cstheme="minorBidi"/>
                <w:b w:val="0"/>
                <w:bCs w:val="0"/>
                <w:color w:val="000000" w:themeColor="text1"/>
                <w:sz w:val="22"/>
                <w:szCs w:val="22"/>
              </w:rPr>
              <w:t xml:space="preserve">) </w:t>
            </w:r>
          </w:p>
        </w:tc>
        <w:tc>
          <w:tcPr>
            <w:tcW w:w="1559" w:type="dxa"/>
          </w:tcPr>
          <w:p w14:paraId="582FBE21" w14:textId="2886E2EE" w:rsidR="009B0C69" w:rsidRPr="004769BF" w:rsidRDefault="009B0C69" w:rsidP="00C652DD">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szCs w:val="22"/>
              </w:rPr>
            </w:pPr>
            <w:r w:rsidRPr="0017444A">
              <w:rPr>
                <w:rFonts w:asciiTheme="minorHAnsi" w:hAnsiTheme="minorHAnsi" w:cstheme="minorHAnsi"/>
                <w:sz w:val="22"/>
                <w:szCs w:val="22"/>
              </w:rPr>
              <w:lastRenderedPageBreak/>
              <w:t>A</w:t>
            </w:r>
          </w:p>
        </w:tc>
      </w:tr>
      <w:tr w:rsidR="009B0C69" w14:paraId="35268C51" w14:textId="77777777" w:rsidTr="2B62C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14:paraId="577E3609" w14:textId="77777777" w:rsidR="009B0C69" w:rsidRPr="004769BF" w:rsidRDefault="009B0C69" w:rsidP="00C652DD">
            <w:pPr>
              <w:spacing w:line="240" w:lineRule="auto"/>
              <w:rPr>
                <w:rFonts w:asciiTheme="minorHAnsi" w:hAnsiTheme="minorHAnsi" w:cstheme="minorHAnsi"/>
                <w:b w:val="0"/>
                <w:color w:val="000000" w:themeColor="text1"/>
              </w:rPr>
            </w:pPr>
          </w:p>
        </w:tc>
        <w:tc>
          <w:tcPr>
            <w:tcW w:w="1559" w:type="dxa"/>
          </w:tcPr>
          <w:p w14:paraId="1FEBD3BC" w14:textId="77777777" w:rsidR="009B0C69" w:rsidRPr="00CF2D03" w:rsidRDefault="009B0C69" w:rsidP="00C652DD">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rPr>
            </w:pPr>
            <w:r w:rsidRPr="00CF2D03">
              <w:rPr>
                <w:rFonts w:asciiTheme="minorHAnsi" w:hAnsiTheme="minorHAnsi" w:cstheme="minorHAnsi"/>
                <w:b/>
                <w:bCs/>
              </w:rPr>
              <w:t>Average: A</w:t>
            </w:r>
          </w:p>
        </w:tc>
      </w:tr>
    </w:tbl>
    <w:p w14:paraId="25792B20" w14:textId="7A96EEB0" w:rsidR="00ED4CEC" w:rsidRPr="00C44333" w:rsidRDefault="00ED4CEC" w:rsidP="00B61B77">
      <w:pPr>
        <w:spacing w:line="240" w:lineRule="auto"/>
        <w:rPr>
          <w:rFonts w:asciiTheme="minorHAnsi" w:hAnsiTheme="minorHAnsi" w:cstheme="minorBidi"/>
          <w:sz w:val="22"/>
          <w:szCs w:val="22"/>
          <w:u w:val="single"/>
        </w:rPr>
      </w:pPr>
      <w:r w:rsidRPr="00C44333">
        <w:rPr>
          <w:rFonts w:asciiTheme="minorHAnsi" w:hAnsiTheme="minorHAnsi" w:cstheme="minorBidi"/>
          <w:sz w:val="22"/>
          <w:szCs w:val="22"/>
          <w:u w:val="single"/>
        </w:rPr>
        <w:t xml:space="preserve">Programme Output 1 </w:t>
      </w:r>
      <w:r w:rsidR="00C44333" w:rsidRPr="00C44333">
        <w:rPr>
          <w:rFonts w:asciiTheme="minorHAnsi" w:hAnsiTheme="minorHAnsi" w:cstheme="minorBidi"/>
          <w:color w:val="000000" w:themeColor="text1"/>
          <w:sz w:val="22"/>
          <w:szCs w:val="22"/>
          <w:u w:val="single"/>
        </w:rPr>
        <w:t xml:space="preserve">(Building the Long-Term Evidence Base through a </w:t>
      </w:r>
      <w:proofErr w:type="spellStart"/>
      <w:r w:rsidR="00C44333" w:rsidRPr="00C44333">
        <w:rPr>
          <w:rFonts w:asciiTheme="minorHAnsi" w:hAnsiTheme="minorHAnsi" w:cstheme="minorBidi"/>
          <w:color w:val="000000" w:themeColor="text1"/>
          <w:sz w:val="22"/>
          <w:szCs w:val="22"/>
          <w:u w:val="single"/>
        </w:rPr>
        <w:t>GCoE</w:t>
      </w:r>
      <w:proofErr w:type="spellEnd"/>
      <w:r w:rsidR="00C44333" w:rsidRPr="00C44333">
        <w:rPr>
          <w:rFonts w:asciiTheme="minorHAnsi" w:hAnsiTheme="minorHAnsi" w:cstheme="minorBidi"/>
          <w:color w:val="000000" w:themeColor="text1"/>
          <w:sz w:val="22"/>
          <w:szCs w:val="22"/>
          <w:u w:val="single"/>
        </w:rPr>
        <w:t>)</w:t>
      </w:r>
      <w:r w:rsidR="00C44333" w:rsidRPr="00C44333">
        <w:rPr>
          <w:rFonts w:asciiTheme="minorHAnsi" w:hAnsiTheme="minorHAnsi" w:cstheme="minorBidi"/>
          <w:sz w:val="22"/>
          <w:szCs w:val="22"/>
          <w:u w:val="single"/>
        </w:rPr>
        <w:t>:</w:t>
      </w:r>
    </w:p>
    <w:p w14:paraId="3F02B7DB" w14:textId="0317C46D" w:rsidR="00C8496F" w:rsidRDefault="00C8496F" w:rsidP="000840B1">
      <w:pPr>
        <w:spacing w:line="240" w:lineRule="auto"/>
        <w:rPr>
          <w:rFonts w:asciiTheme="minorHAnsi" w:hAnsiTheme="minorHAnsi" w:cstheme="minorBidi"/>
          <w:sz w:val="22"/>
          <w:szCs w:val="22"/>
        </w:rPr>
      </w:pPr>
      <w:r>
        <w:rPr>
          <w:rFonts w:asciiTheme="minorHAnsi" w:hAnsiTheme="minorHAnsi" w:cstheme="minorBidi"/>
          <w:sz w:val="22"/>
          <w:szCs w:val="22"/>
        </w:rPr>
        <w:t>T</w:t>
      </w:r>
      <w:r w:rsidR="00ED4CEC" w:rsidRPr="7EFB296E">
        <w:rPr>
          <w:rFonts w:asciiTheme="minorHAnsi" w:hAnsiTheme="minorHAnsi" w:cstheme="minorBidi"/>
          <w:sz w:val="22"/>
          <w:szCs w:val="22"/>
        </w:rPr>
        <w:t xml:space="preserve">he proposal for the </w:t>
      </w:r>
      <w:proofErr w:type="spellStart"/>
      <w:r w:rsidR="00ED4CEC" w:rsidRPr="7EFB296E">
        <w:rPr>
          <w:rFonts w:asciiTheme="minorHAnsi" w:hAnsiTheme="minorHAnsi" w:cstheme="minorBidi"/>
          <w:sz w:val="22"/>
          <w:szCs w:val="22"/>
        </w:rPr>
        <w:t>GCoE</w:t>
      </w:r>
      <w:proofErr w:type="spellEnd"/>
      <w:r w:rsidR="00ED4CEC" w:rsidRPr="7EFB296E">
        <w:rPr>
          <w:rFonts w:asciiTheme="minorHAnsi" w:hAnsiTheme="minorHAnsi" w:cstheme="minorBidi"/>
          <w:sz w:val="22"/>
          <w:szCs w:val="22"/>
        </w:rPr>
        <w:t xml:space="preserve"> has been </w:t>
      </w:r>
      <w:r w:rsidR="008A0B82">
        <w:rPr>
          <w:rFonts w:asciiTheme="minorHAnsi" w:hAnsiTheme="minorHAnsi" w:cstheme="minorBidi"/>
          <w:sz w:val="22"/>
          <w:szCs w:val="22"/>
        </w:rPr>
        <w:t xml:space="preserve">developed and </w:t>
      </w:r>
      <w:r w:rsidR="00ED4CEC" w:rsidRPr="7EFB296E">
        <w:rPr>
          <w:rFonts w:asciiTheme="minorHAnsi" w:hAnsiTheme="minorHAnsi" w:cstheme="minorBidi"/>
          <w:sz w:val="22"/>
          <w:szCs w:val="22"/>
        </w:rPr>
        <w:t>tested through scoping work, early market engagement, sharing experience with colleagues across HMG, and reviewing comparable programmes</w:t>
      </w:r>
      <w:r>
        <w:rPr>
          <w:rFonts w:asciiTheme="minorHAnsi" w:hAnsiTheme="minorHAnsi" w:cstheme="minorBidi"/>
          <w:sz w:val="22"/>
          <w:szCs w:val="22"/>
        </w:rPr>
        <w:t xml:space="preserve">.  </w:t>
      </w:r>
      <w:r w:rsidR="00ED4CEC" w:rsidRPr="7EFB296E">
        <w:rPr>
          <w:rFonts w:asciiTheme="minorHAnsi" w:hAnsiTheme="minorHAnsi" w:cstheme="minorBidi"/>
          <w:sz w:val="22"/>
          <w:szCs w:val="22"/>
        </w:rPr>
        <w:t xml:space="preserve">This has provided considerable additional information to help shape </w:t>
      </w:r>
      <w:r w:rsidR="008A0B82">
        <w:rPr>
          <w:rFonts w:asciiTheme="minorHAnsi" w:hAnsiTheme="minorHAnsi" w:cstheme="minorBidi"/>
          <w:sz w:val="22"/>
          <w:szCs w:val="22"/>
        </w:rPr>
        <w:t>a</w:t>
      </w:r>
      <w:r w:rsidR="00ED4CEC" w:rsidRPr="7EFB296E">
        <w:rPr>
          <w:rFonts w:asciiTheme="minorHAnsi" w:hAnsiTheme="minorHAnsi" w:cstheme="minorBidi"/>
          <w:sz w:val="22"/>
          <w:szCs w:val="22"/>
        </w:rPr>
        <w:t xml:space="preserve"> proposal</w:t>
      </w:r>
      <w:r w:rsidR="008A0B82">
        <w:rPr>
          <w:rFonts w:asciiTheme="minorHAnsi" w:hAnsiTheme="minorHAnsi" w:cstheme="minorBidi"/>
          <w:sz w:val="22"/>
          <w:szCs w:val="22"/>
        </w:rPr>
        <w:t xml:space="preserve"> that better delivers critical research needs in relation to the conservation and sustainable use of biodiversity and a proposition that is commercially viable for the market to deliver.  Among the key learning from this process has been </w:t>
      </w:r>
      <w:r w:rsidR="008A0B82" w:rsidRPr="7EFB296E">
        <w:rPr>
          <w:rFonts w:asciiTheme="minorHAnsi" w:hAnsiTheme="minorHAnsi" w:cstheme="minorBidi"/>
          <w:sz w:val="22"/>
          <w:szCs w:val="22"/>
        </w:rPr>
        <w:t xml:space="preserve">a clear sense that the </w:t>
      </w:r>
      <w:proofErr w:type="spellStart"/>
      <w:r w:rsidR="008A0B82" w:rsidRPr="7EFB296E">
        <w:rPr>
          <w:rFonts w:asciiTheme="minorHAnsi" w:hAnsiTheme="minorHAnsi" w:cstheme="minorBidi"/>
          <w:sz w:val="22"/>
          <w:szCs w:val="22"/>
        </w:rPr>
        <w:t>GCoE</w:t>
      </w:r>
      <w:proofErr w:type="spellEnd"/>
      <w:r w:rsidR="008A0B82" w:rsidRPr="7EFB296E">
        <w:rPr>
          <w:rFonts w:asciiTheme="minorHAnsi" w:hAnsiTheme="minorHAnsi" w:cstheme="minorBidi"/>
          <w:sz w:val="22"/>
          <w:szCs w:val="22"/>
        </w:rPr>
        <w:t xml:space="preserve"> should be multi-disciplinary in focus to address </w:t>
      </w:r>
      <w:proofErr w:type="gramStart"/>
      <w:r w:rsidR="008A0B82" w:rsidRPr="7EFB296E">
        <w:rPr>
          <w:rFonts w:asciiTheme="minorHAnsi" w:hAnsiTheme="minorHAnsi" w:cstheme="minorBidi"/>
          <w:sz w:val="22"/>
          <w:szCs w:val="22"/>
        </w:rPr>
        <w:t>a number of</w:t>
      </w:r>
      <w:proofErr w:type="gramEnd"/>
      <w:r w:rsidR="008A0B82" w:rsidRPr="7EFB296E">
        <w:rPr>
          <w:rFonts w:asciiTheme="minorHAnsi" w:hAnsiTheme="minorHAnsi" w:cstheme="minorBidi"/>
          <w:sz w:val="22"/>
          <w:szCs w:val="22"/>
        </w:rPr>
        <w:t xml:space="preserve"> interlinked challenges, that there was a need for more empirical evidence as well as testing of existing research, more emphasis on issues such as monitoring and knowledge transfer, a stronger focus on international collaboration and engagement with local communities</w:t>
      </w:r>
      <w:r w:rsidR="008A0B82">
        <w:rPr>
          <w:rFonts w:asciiTheme="minorHAnsi" w:hAnsiTheme="minorHAnsi" w:cstheme="minorBidi"/>
          <w:sz w:val="22"/>
          <w:szCs w:val="22"/>
        </w:rPr>
        <w:t>, and the breadth of research opportunity</w:t>
      </w:r>
      <w:r w:rsidR="008A0B82" w:rsidRPr="7EFB296E">
        <w:rPr>
          <w:rFonts w:asciiTheme="minorHAnsi" w:hAnsiTheme="minorHAnsi" w:cstheme="minorBidi"/>
          <w:sz w:val="22"/>
          <w:szCs w:val="22"/>
        </w:rPr>
        <w:t>.</w:t>
      </w:r>
      <w:r w:rsidR="008A0B82">
        <w:rPr>
          <w:rFonts w:asciiTheme="minorHAnsi" w:hAnsiTheme="minorHAnsi" w:cstheme="minorBidi"/>
          <w:sz w:val="22"/>
          <w:szCs w:val="22"/>
        </w:rPr>
        <w:t xml:space="preserve">  Re</w:t>
      </w:r>
      <w:r>
        <w:rPr>
          <w:rFonts w:asciiTheme="minorHAnsi" w:hAnsiTheme="minorHAnsi" w:cstheme="minorBidi"/>
          <w:sz w:val="22"/>
          <w:szCs w:val="22"/>
        </w:rPr>
        <w:t xml:space="preserve">alising this </w:t>
      </w:r>
      <w:r w:rsidR="008A0B82">
        <w:rPr>
          <w:rFonts w:asciiTheme="minorHAnsi" w:hAnsiTheme="minorHAnsi" w:cstheme="minorBidi"/>
          <w:sz w:val="22"/>
          <w:szCs w:val="22"/>
        </w:rPr>
        <w:t>vision</w:t>
      </w:r>
      <w:r>
        <w:rPr>
          <w:rFonts w:asciiTheme="minorHAnsi" w:hAnsiTheme="minorHAnsi" w:cstheme="minorBidi"/>
          <w:sz w:val="22"/>
          <w:szCs w:val="22"/>
        </w:rPr>
        <w:t xml:space="preserve"> will entail further </w:t>
      </w:r>
      <w:r w:rsidR="008A0B82">
        <w:rPr>
          <w:rFonts w:asciiTheme="minorHAnsi" w:hAnsiTheme="minorHAnsi" w:cstheme="minorBidi"/>
          <w:sz w:val="22"/>
          <w:szCs w:val="22"/>
        </w:rPr>
        <w:t xml:space="preserve">project design </w:t>
      </w:r>
      <w:r>
        <w:rPr>
          <w:rFonts w:asciiTheme="minorHAnsi" w:hAnsiTheme="minorHAnsi" w:cstheme="minorBidi"/>
          <w:sz w:val="22"/>
          <w:szCs w:val="22"/>
        </w:rPr>
        <w:t xml:space="preserve">work </w:t>
      </w:r>
      <w:r w:rsidR="008A0B82">
        <w:rPr>
          <w:rFonts w:asciiTheme="minorHAnsi" w:hAnsiTheme="minorHAnsi" w:cstheme="minorBidi"/>
          <w:sz w:val="22"/>
          <w:szCs w:val="22"/>
        </w:rPr>
        <w:t>and potentially bids for additional funding</w:t>
      </w:r>
      <w:r w:rsidR="00ED4CEC" w:rsidRPr="7EFB296E">
        <w:rPr>
          <w:rFonts w:asciiTheme="minorHAnsi" w:hAnsiTheme="minorHAnsi" w:cstheme="minorBidi"/>
          <w:sz w:val="22"/>
          <w:szCs w:val="22"/>
        </w:rPr>
        <w:t xml:space="preserve">.  </w:t>
      </w:r>
    </w:p>
    <w:p w14:paraId="22E1E209" w14:textId="766934F1" w:rsidR="009B0C69" w:rsidRPr="00C44333" w:rsidRDefault="00ED4CEC" w:rsidP="00FB5425">
      <w:pPr>
        <w:spacing w:line="240" w:lineRule="auto"/>
        <w:rPr>
          <w:rFonts w:asciiTheme="minorHAnsi" w:hAnsiTheme="minorHAnsi" w:cstheme="minorHAnsi"/>
          <w:sz w:val="22"/>
          <w:szCs w:val="22"/>
          <w:u w:val="single"/>
        </w:rPr>
      </w:pPr>
      <w:r w:rsidRPr="00C44333">
        <w:rPr>
          <w:rFonts w:asciiTheme="minorHAnsi" w:hAnsiTheme="minorHAnsi" w:cstheme="minorHAnsi"/>
          <w:sz w:val="22"/>
          <w:szCs w:val="22"/>
          <w:u w:val="single"/>
        </w:rPr>
        <w:t>Programme Output 2 (</w:t>
      </w:r>
      <w:r w:rsidR="008A0B82" w:rsidRPr="00C44333">
        <w:rPr>
          <w:rFonts w:asciiTheme="minorHAnsi" w:hAnsiTheme="minorHAnsi" w:cstheme="minorHAnsi"/>
          <w:sz w:val="22"/>
          <w:szCs w:val="22"/>
          <w:u w:val="single"/>
        </w:rPr>
        <w:t>Evidence</w:t>
      </w:r>
      <w:r w:rsidR="008A0B82" w:rsidRPr="00C44333">
        <w:rPr>
          <w:rFonts w:asciiTheme="minorHAnsi" w:eastAsiaTheme="minorEastAsia" w:hAnsiTheme="minorHAnsi" w:cstheme="minorBidi"/>
          <w:sz w:val="22"/>
          <w:szCs w:val="22"/>
          <w:u w:val="single"/>
        </w:rPr>
        <w:t xml:space="preserve"> to strengthen operational delivery of </w:t>
      </w:r>
      <w:proofErr w:type="spellStart"/>
      <w:r w:rsidR="008A0B82" w:rsidRPr="00C44333">
        <w:rPr>
          <w:rFonts w:asciiTheme="minorHAnsi" w:eastAsiaTheme="minorEastAsia" w:hAnsiTheme="minorHAnsi" w:cstheme="minorBidi"/>
          <w:sz w:val="22"/>
          <w:szCs w:val="22"/>
          <w:u w:val="single"/>
        </w:rPr>
        <w:t>NbS</w:t>
      </w:r>
      <w:proofErr w:type="spellEnd"/>
      <w:r w:rsidRPr="00C44333">
        <w:rPr>
          <w:rFonts w:asciiTheme="minorHAnsi" w:hAnsiTheme="minorHAnsi" w:cstheme="minorHAnsi"/>
          <w:sz w:val="22"/>
          <w:szCs w:val="22"/>
          <w:u w:val="single"/>
        </w:rPr>
        <w:t xml:space="preserve">): </w:t>
      </w:r>
    </w:p>
    <w:p w14:paraId="5CBBF1EC" w14:textId="05E0FCA9" w:rsidR="00ED4CEC" w:rsidRPr="00FB5425" w:rsidRDefault="008A0B82" w:rsidP="4E824C56">
      <w:pPr>
        <w:pStyle w:val="ListParagraph"/>
        <w:numPr>
          <w:ilvl w:val="0"/>
          <w:numId w:val="36"/>
        </w:numPr>
        <w:spacing w:line="240" w:lineRule="auto"/>
        <w:rPr>
          <w:rFonts w:asciiTheme="minorHAnsi" w:hAnsiTheme="minorHAnsi" w:cstheme="minorBidi"/>
          <w:sz w:val="22"/>
          <w:szCs w:val="22"/>
        </w:rPr>
      </w:pPr>
      <w:r w:rsidRPr="6407A8B7">
        <w:rPr>
          <w:rFonts w:asciiTheme="minorHAnsi" w:eastAsiaTheme="minorEastAsia" w:hAnsiTheme="minorHAnsi" w:cstheme="minorBidi"/>
          <w:color w:val="000000" w:themeColor="text1"/>
          <w:sz w:val="22"/>
          <w:szCs w:val="22"/>
        </w:rPr>
        <w:t>Project 2a: Tackling illegal logging and deforestation</w:t>
      </w:r>
      <w:r w:rsidRPr="6407A8B7">
        <w:rPr>
          <w:rFonts w:asciiTheme="minorHAnsi" w:hAnsiTheme="minorHAnsi" w:cstheme="minorBidi"/>
          <w:sz w:val="22"/>
          <w:szCs w:val="22"/>
        </w:rPr>
        <w:t xml:space="preserve">: </w:t>
      </w:r>
      <w:r w:rsidR="00ED4CEC" w:rsidRPr="6407A8B7">
        <w:rPr>
          <w:rFonts w:asciiTheme="minorHAnsi" w:hAnsiTheme="minorHAnsi" w:cstheme="minorBidi"/>
          <w:sz w:val="22"/>
          <w:szCs w:val="22"/>
        </w:rPr>
        <w:t xml:space="preserve">Kew are making good progress against the </w:t>
      </w:r>
      <w:proofErr w:type="spellStart"/>
      <w:r w:rsidR="00ED4CEC" w:rsidRPr="6407A8B7">
        <w:rPr>
          <w:rFonts w:asciiTheme="minorHAnsi" w:hAnsiTheme="minorHAnsi" w:cstheme="minorBidi"/>
          <w:sz w:val="22"/>
          <w:szCs w:val="22"/>
        </w:rPr>
        <w:t>LogFrame</w:t>
      </w:r>
      <w:proofErr w:type="spellEnd"/>
      <w:r w:rsidR="00ED4CEC" w:rsidRPr="6407A8B7">
        <w:rPr>
          <w:rFonts w:asciiTheme="minorHAnsi" w:hAnsiTheme="minorHAnsi" w:cstheme="minorBidi"/>
          <w:sz w:val="22"/>
          <w:szCs w:val="22"/>
        </w:rPr>
        <w:t xml:space="preserve"> output indicators despite delays due to Covid-19 and the DART machine delays. </w:t>
      </w:r>
      <w:r w:rsidRPr="6407A8B7">
        <w:rPr>
          <w:rFonts w:asciiTheme="minorHAnsi" w:hAnsiTheme="minorHAnsi" w:cstheme="minorBidi"/>
          <w:sz w:val="22"/>
          <w:szCs w:val="22"/>
        </w:rPr>
        <w:t xml:space="preserve"> </w:t>
      </w:r>
      <w:r w:rsidR="00ED4CEC" w:rsidRPr="6407A8B7">
        <w:rPr>
          <w:rFonts w:asciiTheme="minorHAnsi" w:hAnsiTheme="minorHAnsi" w:cstheme="minorBidi"/>
          <w:sz w:val="22"/>
          <w:szCs w:val="22"/>
        </w:rPr>
        <w:t xml:space="preserve">All signs at this stage </w:t>
      </w:r>
      <w:r w:rsidRPr="6407A8B7">
        <w:rPr>
          <w:rFonts w:asciiTheme="minorHAnsi" w:hAnsiTheme="minorHAnsi" w:cstheme="minorBidi"/>
          <w:sz w:val="22"/>
          <w:szCs w:val="22"/>
        </w:rPr>
        <w:t>are</w:t>
      </w:r>
      <w:r w:rsidR="00ED4CEC" w:rsidRPr="6407A8B7">
        <w:rPr>
          <w:rFonts w:asciiTheme="minorHAnsi" w:hAnsiTheme="minorHAnsi" w:cstheme="minorBidi"/>
          <w:sz w:val="22"/>
          <w:szCs w:val="22"/>
        </w:rPr>
        <w:t xml:space="preserve"> that all output indicators are on target despite slower than estimated start. This will </w:t>
      </w:r>
      <w:r w:rsidRPr="6407A8B7">
        <w:rPr>
          <w:rFonts w:asciiTheme="minorHAnsi" w:hAnsiTheme="minorHAnsi" w:cstheme="minorBidi"/>
          <w:sz w:val="22"/>
          <w:szCs w:val="22"/>
        </w:rPr>
        <w:t xml:space="preserve">continue to </w:t>
      </w:r>
      <w:r w:rsidR="00ED4CEC" w:rsidRPr="6407A8B7">
        <w:rPr>
          <w:rFonts w:asciiTheme="minorHAnsi" w:hAnsiTheme="minorHAnsi" w:cstheme="minorBidi"/>
          <w:sz w:val="22"/>
          <w:szCs w:val="22"/>
        </w:rPr>
        <w:t xml:space="preserve">be monitored </w:t>
      </w:r>
      <w:r w:rsidRPr="6407A8B7">
        <w:rPr>
          <w:rFonts w:asciiTheme="minorHAnsi" w:hAnsiTheme="minorHAnsi" w:cstheme="minorBidi"/>
          <w:sz w:val="22"/>
          <w:szCs w:val="22"/>
        </w:rPr>
        <w:t xml:space="preserve">including </w:t>
      </w:r>
      <w:r w:rsidR="00ED4CEC" w:rsidRPr="6407A8B7">
        <w:rPr>
          <w:rFonts w:asciiTheme="minorHAnsi" w:hAnsiTheme="minorHAnsi" w:cstheme="minorBidi"/>
          <w:sz w:val="22"/>
          <w:szCs w:val="22"/>
        </w:rPr>
        <w:t xml:space="preserve">via the interim </w:t>
      </w:r>
      <w:r w:rsidRPr="6407A8B7">
        <w:rPr>
          <w:rFonts w:asciiTheme="minorHAnsi" w:hAnsiTheme="minorHAnsi" w:cstheme="minorBidi"/>
          <w:sz w:val="22"/>
          <w:szCs w:val="22"/>
        </w:rPr>
        <w:t xml:space="preserve">project delivery </w:t>
      </w:r>
      <w:r w:rsidR="00ED4CEC" w:rsidRPr="6407A8B7">
        <w:rPr>
          <w:rFonts w:asciiTheme="minorHAnsi" w:hAnsiTheme="minorHAnsi" w:cstheme="minorBidi"/>
          <w:sz w:val="22"/>
          <w:szCs w:val="22"/>
        </w:rPr>
        <w:t xml:space="preserve">report due in October. </w:t>
      </w:r>
    </w:p>
    <w:p w14:paraId="7D7DA753" w14:textId="77777777" w:rsidR="00FB5425" w:rsidRPr="00FB5425" w:rsidRDefault="00FB5425" w:rsidP="00FB5425">
      <w:pPr>
        <w:pStyle w:val="ListParagraph"/>
        <w:spacing w:line="240" w:lineRule="auto"/>
        <w:ind w:left="360"/>
        <w:rPr>
          <w:rFonts w:asciiTheme="minorHAnsi" w:hAnsiTheme="minorHAnsi" w:cstheme="minorHAnsi"/>
          <w:sz w:val="22"/>
          <w:szCs w:val="22"/>
        </w:rPr>
      </w:pPr>
    </w:p>
    <w:p w14:paraId="5824F79B" w14:textId="1B334987" w:rsidR="00ED4CEC" w:rsidRPr="00FB5425" w:rsidRDefault="759B0966" w:rsidP="2B62C876">
      <w:pPr>
        <w:pStyle w:val="ListParagraph"/>
        <w:numPr>
          <w:ilvl w:val="0"/>
          <w:numId w:val="36"/>
        </w:numPr>
        <w:spacing w:line="240" w:lineRule="auto"/>
        <w:rPr>
          <w:rFonts w:asciiTheme="minorHAnsi" w:hAnsiTheme="minorHAnsi" w:cstheme="minorBidi"/>
          <w:sz w:val="22"/>
          <w:szCs w:val="22"/>
        </w:rPr>
      </w:pPr>
      <w:r w:rsidRPr="2B62C876">
        <w:rPr>
          <w:rFonts w:asciiTheme="minorHAnsi" w:eastAsiaTheme="minorEastAsia" w:hAnsiTheme="minorHAnsi" w:cstheme="minorBidi"/>
          <w:color w:val="000000" w:themeColor="text1"/>
          <w:sz w:val="22"/>
          <w:szCs w:val="22"/>
        </w:rPr>
        <w:t>Project 2b: Strengthening monitoring, reporting and verification:</w:t>
      </w:r>
      <w:r w:rsidRPr="2B62C876">
        <w:rPr>
          <w:rFonts w:asciiTheme="minorHAnsi" w:hAnsiTheme="minorHAnsi" w:cstheme="minorBidi"/>
          <w:sz w:val="22"/>
          <w:szCs w:val="22"/>
          <w:u w:val="single"/>
        </w:rPr>
        <w:t xml:space="preserve"> </w:t>
      </w:r>
      <w:r w:rsidR="02686804" w:rsidRPr="2B62C876">
        <w:rPr>
          <w:rFonts w:asciiTheme="minorHAnsi" w:hAnsiTheme="minorHAnsi" w:cstheme="minorBidi"/>
          <w:sz w:val="22"/>
          <w:szCs w:val="22"/>
        </w:rPr>
        <w:t xml:space="preserve">The Strengthening Monitoring, Reporting and Verification (SMRV) project with Ecosia failed to initiate due to issues with awarding Ecosia a direct award. Specifically, this </w:t>
      </w:r>
      <w:r w:rsidR="13DC77C9" w:rsidRPr="2B62C876">
        <w:rPr>
          <w:rFonts w:asciiTheme="minorHAnsi" w:hAnsiTheme="minorHAnsi" w:cstheme="minorBidi"/>
          <w:sz w:val="22"/>
          <w:szCs w:val="22"/>
        </w:rPr>
        <w:t>was because</w:t>
      </w:r>
      <w:r w:rsidR="02686804" w:rsidRPr="2B62C876">
        <w:rPr>
          <w:rFonts w:asciiTheme="minorHAnsi" w:hAnsiTheme="minorHAnsi" w:cstheme="minorBidi"/>
          <w:sz w:val="22"/>
          <w:szCs w:val="22"/>
        </w:rPr>
        <w:t xml:space="preserve"> they were unable to provide evidence as to why they were the only supplier capable of delivering the outcomes/outputs and thus failed the conditions for a direct award. As a result, there was no spend against the SMRV component of the business case in the first year. </w:t>
      </w:r>
      <w:r w:rsidR="450350C0" w:rsidRPr="2B62C876">
        <w:rPr>
          <w:rFonts w:asciiTheme="minorHAnsi" w:hAnsiTheme="minorHAnsi" w:cstheme="minorBidi"/>
          <w:sz w:val="22"/>
          <w:szCs w:val="22"/>
        </w:rPr>
        <w:t>The funds</w:t>
      </w:r>
      <w:r w:rsidR="02686804" w:rsidRPr="2B62C876">
        <w:rPr>
          <w:rFonts w:asciiTheme="minorHAnsi" w:hAnsiTheme="minorHAnsi" w:cstheme="minorBidi"/>
          <w:sz w:val="22"/>
          <w:szCs w:val="22"/>
        </w:rPr>
        <w:t xml:space="preserve"> </w:t>
      </w:r>
      <w:r w:rsidR="13DC77C9" w:rsidRPr="2B62C876">
        <w:rPr>
          <w:rFonts w:asciiTheme="minorHAnsi" w:hAnsiTheme="minorHAnsi" w:cstheme="minorBidi"/>
          <w:sz w:val="22"/>
          <w:szCs w:val="22"/>
        </w:rPr>
        <w:t xml:space="preserve">earmarked for </w:t>
      </w:r>
      <w:r w:rsidR="02686804" w:rsidRPr="2B62C876">
        <w:rPr>
          <w:rFonts w:asciiTheme="minorHAnsi" w:hAnsiTheme="minorHAnsi" w:cstheme="minorBidi"/>
          <w:sz w:val="22"/>
          <w:szCs w:val="22"/>
        </w:rPr>
        <w:t xml:space="preserve">this component will be used for </w:t>
      </w:r>
      <w:r w:rsidR="61529CDE" w:rsidRPr="2B62C876">
        <w:rPr>
          <w:rFonts w:asciiTheme="minorHAnsi" w:hAnsiTheme="minorHAnsi" w:cstheme="minorBidi"/>
          <w:sz w:val="22"/>
          <w:szCs w:val="22"/>
        </w:rPr>
        <w:t>other</w:t>
      </w:r>
      <w:r w:rsidR="02686804" w:rsidRPr="2B62C876">
        <w:rPr>
          <w:rFonts w:asciiTheme="minorHAnsi" w:hAnsiTheme="minorHAnsi" w:cstheme="minorBidi"/>
          <w:sz w:val="22"/>
          <w:szCs w:val="22"/>
        </w:rPr>
        <w:t xml:space="preserve"> relevant projects in </w:t>
      </w:r>
      <w:r w:rsidR="6E596486" w:rsidRPr="2B62C876">
        <w:rPr>
          <w:rFonts w:asciiTheme="minorHAnsi" w:hAnsiTheme="minorHAnsi" w:cstheme="minorBidi"/>
          <w:sz w:val="22"/>
          <w:szCs w:val="22"/>
        </w:rPr>
        <w:t xml:space="preserve">relation to </w:t>
      </w:r>
      <w:r w:rsidR="02686804" w:rsidRPr="2B62C876">
        <w:rPr>
          <w:rFonts w:asciiTheme="minorHAnsi" w:hAnsiTheme="minorHAnsi" w:cstheme="minorBidi"/>
          <w:sz w:val="22"/>
          <w:szCs w:val="22"/>
        </w:rPr>
        <w:t>I</w:t>
      </w:r>
      <w:r w:rsidR="0B62D8F7" w:rsidRPr="2B62C876">
        <w:rPr>
          <w:rFonts w:asciiTheme="minorHAnsi" w:hAnsiTheme="minorHAnsi" w:cstheme="minorBidi"/>
          <w:sz w:val="22"/>
          <w:szCs w:val="22"/>
        </w:rPr>
        <w:t xml:space="preserve">nternational </w:t>
      </w:r>
      <w:r w:rsidR="02686804" w:rsidRPr="2B62C876">
        <w:rPr>
          <w:rFonts w:asciiTheme="minorHAnsi" w:hAnsiTheme="minorHAnsi" w:cstheme="minorBidi"/>
          <w:sz w:val="22"/>
          <w:szCs w:val="22"/>
        </w:rPr>
        <w:t>C</w:t>
      </w:r>
      <w:r w:rsidR="5F7BFD67" w:rsidRPr="2B62C876">
        <w:rPr>
          <w:rFonts w:asciiTheme="minorHAnsi" w:hAnsiTheme="minorHAnsi" w:cstheme="minorBidi"/>
          <w:sz w:val="22"/>
          <w:szCs w:val="22"/>
        </w:rPr>
        <w:t xml:space="preserve">limate </w:t>
      </w:r>
      <w:r w:rsidR="02686804" w:rsidRPr="2B62C876">
        <w:rPr>
          <w:rFonts w:asciiTheme="minorHAnsi" w:hAnsiTheme="minorHAnsi" w:cstheme="minorBidi"/>
          <w:sz w:val="22"/>
          <w:szCs w:val="22"/>
        </w:rPr>
        <w:t>F</w:t>
      </w:r>
      <w:r w:rsidR="345C14D1" w:rsidRPr="2B62C876">
        <w:rPr>
          <w:rFonts w:asciiTheme="minorHAnsi" w:hAnsiTheme="minorHAnsi" w:cstheme="minorBidi"/>
          <w:sz w:val="22"/>
          <w:szCs w:val="22"/>
        </w:rPr>
        <w:t>inance</w:t>
      </w:r>
      <w:r w:rsidR="02686804" w:rsidRPr="2B62C876">
        <w:rPr>
          <w:rFonts w:asciiTheme="minorHAnsi" w:hAnsiTheme="minorHAnsi" w:cstheme="minorBidi"/>
          <w:sz w:val="22"/>
          <w:szCs w:val="22"/>
        </w:rPr>
        <w:t xml:space="preserve"> such as the IIF Biodiversity project and the 30x30 </w:t>
      </w:r>
      <w:r w:rsidR="5B46ADCD" w:rsidRPr="2B62C876">
        <w:rPr>
          <w:rFonts w:asciiTheme="minorHAnsi" w:hAnsiTheme="minorHAnsi" w:cstheme="minorBidi"/>
          <w:sz w:val="22"/>
          <w:szCs w:val="22"/>
        </w:rPr>
        <w:t xml:space="preserve">protected areas </w:t>
      </w:r>
      <w:r w:rsidR="02686804" w:rsidRPr="2B62C876">
        <w:rPr>
          <w:rFonts w:asciiTheme="minorHAnsi" w:hAnsiTheme="minorHAnsi" w:cstheme="minorBidi"/>
          <w:sz w:val="22"/>
          <w:szCs w:val="22"/>
        </w:rPr>
        <w:t xml:space="preserve">scoping study which will be evaluated in the next annual review (due October 2022). </w:t>
      </w:r>
    </w:p>
    <w:p w14:paraId="698B728C" w14:textId="63341A95" w:rsidR="00ED4CEC" w:rsidRPr="00C44333" w:rsidRDefault="00ED4CEC" w:rsidP="00FB5425">
      <w:pPr>
        <w:spacing w:line="240" w:lineRule="auto"/>
        <w:rPr>
          <w:rFonts w:asciiTheme="minorHAnsi" w:hAnsiTheme="minorHAnsi" w:cstheme="minorBidi"/>
          <w:sz w:val="22"/>
          <w:szCs w:val="22"/>
          <w:u w:val="single"/>
        </w:rPr>
      </w:pPr>
      <w:r w:rsidRPr="00C44333">
        <w:rPr>
          <w:rFonts w:asciiTheme="minorHAnsi" w:hAnsiTheme="minorHAnsi" w:cstheme="minorBidi"/>
          <w:sz w:val="22"/>
          <w:szCs w:val="22"/>
          <w:u w:val="single"/>
        </w:rPr>
        <w:t>Programme Output 3 (</w:t>
      </w:r>
      <w:r w:rsidR="008A0B82" w:rsidRPr="00C44333">
        <w:rPr>
          <w:rFonts w:asciiTheme="minorHAnsi" w:eastAsiaTheme="minorEastAsia" w:hAnsiTheme="minorHAnsi" w:cstheme="minorBidi"/>
          <w:sz w:val="22"/>
          <w:szCs w:val="22"/>
          <w:u w:val="single"/>
        </w:rPr>
        <w:t>Evidence to inform policy and design of international climate finance</w:t>
      </w:r>
      <w:r w:rsidRPr="00C44333">
        <w:rPr>
          <w:rFonts w:asciiTheme="minorHAnsi" w:hAnsiTheme="minorHAnsi" w:cstheme="minorBidi"/>
          <w:sz w:val="22"/>
          <w:szCs w:val="22"/>
          <w:u w:val="single"/>
        </w:rPr>
        <w:t>):</w:t>
      </w:r>
    </w:p>
    <w:p w14:paraId="17284521" w14:textId="00229BF2" w:rsidR="00ED4CEC" w:rsidRPr="00ED4CEC" w:rsidRDefault="759B0966" w:rsidP="2B62C876">
      <w:pPr>
        <w:spacing w:line="240" w:lineRule="auto"/>
        <w:rPr>
          <w:rFonts w:asciiTheme="minorHAnsi" w:hAnsiTheme="minorHAnsi" w:cstheme="minorBidi"/>
          <w:sz w:val="22"/>
          <w:szCs w:val="22"/>
        </w:rPr>
      </w:pPr>
      <w:r w:rsidRPr="2B62C876">
        <w:rPr>
          <w:rFonts w:asciiTheme="minorHAnsi" w:hAnsiTheme="minorHAnsi" w:cstheme="minorBidi"/>
          <w:sz w:val="22"/>
          <w:szCs w:val="22"/>
        </w:rPr>
        <w:t xml:space="preserve">Project 1b: </w:t>
      </w:r>
      <w:r w:rsidRPr="2B62C876">
        <w:rPr>
          <w:rFonts w:asciiTheme="minorHAnsi" w:eastAsiaTheme="minorEastAsia" w:hAnsiTheme="minorHAnsi" w:cstheme="minorBidi"/>
          <w:color w:val="000000" w:themeColor="text1"/>
          <w:sz w:val="22"/>
          <w:szCs w:val="22"/>
        </w:rPr>
        <w:t>Scoping and intervention analysis for future ICF programming</w:t>
      </w:r>
      <w:r w:rsidRPr="2B62C876">
        <w:rPr>
          <w:rFonts w:asciiTheme="minorHAnsi" w:hAnsiTheme="minorHAnsi" w:cstheme="minorBidi"/>
          <w:sz w:val="22"/>
          <w:szCs w:val="22"/>
        </w:rPr>
        <w:t xml:space="preserve">.  </w:t>
      </w:r>
      <w:r w:rsidR="25DB9F58" w:rsidRPr="2B62C876">
        <w:rPr>
          <w:rFonts w:asciiTheme="minorHAnsi" w:hAnsiTheme="minorHAnsi" w:cstheme="minorBidi"/>
          <w:sz w:val="22"/>
          <w:szCs w:val="22"/>
        </w:rPr>
        <w:t xml:space="preserve">This project has been delivered to date and specification; </w:t>
      </w:r>
      <w:r w:rsidR="13DC77C9" w:rsidRPr="2B62C876">
        <w:rPr>
          <w:rFonts w:asciiTheme="minorHAnsi" w:hAnsiTheme="minorHAnsi" w:cstheme="minorBidi"/>
          <w:sz w:val="22"/>
          <w:szCs w:val="22"/>
        </w:rPr>
        <w:t xml:space="preserve">the sole </w:t>
      </w:r>
      <w:r w:rsidR="02686804" w:rsidRPr="2B62C876">
        <w:rPr>
          <w:rFonts w:asciiTheme="minorHAnsi" w:hAnsiTheme="minorHAnsi" w:cstheme="minorBidi"/>
          <w:sz w:val="22"/>
          <w:szCs w:val="22"/>
        </w:rPr>
        <w:t>indicator</w:t>
      </w:r>
      <w:r w:rsidR="13DC77C9" w:rsidRPr="2B62C876">
        <w:rPr>
          <w:rFonts w:asciiTheme="minorHAnsi" w:hAnsiTheme="minorHAnsi" w:cstheme="minorBidi"/>
          <w:sz w:val="22"/>
          <w:szCs w:val="22"/>
        </w:rPr>
        <w:t xml:space="preserve"> was the timely delivery of the</w:t>
      </w:r>
      <w:r w:rsidR="25DB9F58" w:rsidRPr="2B62C876">
        <w:rPr>
          <w:rFonts w:asciiTheme="minorHAnsi" w:hAnsiTheme="minorHAnsi" w:cstheme="minorBidi"/>
          <w:sz w:val="22"/>
          <w:szCs w:val="22"/>
        </w:rPr>
        <w:t xml:space="preserve"> scoping </w:t>
      </w:r>
      <w:r w:rsidR="02686804" w:rsidRPr="2B62C876">
        <w:rPr>
          <w:rFonts w:asciiTheme="minorHAnsi" w:hAnsiTheme="minorHAnsi" w:cstheme="minorBidi"/>
          <w:sz w:val="22"/>
          <w:szCs w:val="22"/>
        </w:rPr>
        <w:t>report</w:t>
      </w:r>
      <w:r w:rsidR="25DB9F58" w:rsidRPr="2B62C876">
        <w:rPr>
          <w:rFonts w:asciiTheme="minorHAnsi" w:hAnsiTheme="minorHAnsi" w:cstheme="minorBidi"/>
          <w:sz w:val="22"/>
          <w:szCs w:val="22"/>
        </w:rPr>
        <w:t xml:space="preserve"> </w:t>
      </w:r>
      <w:r w:rsidR="13DC77C9" w:rsidRPr="2B62C876">
        <w:rPr>
          <w:rFonts w:asciiTheme="minorHAnsi" w:hAnsiTheme="minorHAnsi" w:cstheme="minorBidi"/>
          <w:sz w:val="22"/>
          <w:szCs w:val="22"/>
        </w:rPr>
        <w:t>to specification</w:t>
      </w:r>
      <w:r w:rsidR="02686804" w:rsidRPr="2B62C876">
        <w:rPr>
          <w:rFonts w:asciiTheme="minorHAnsi" w:hAnsiTheme="minorHAnsi" w:cstheme="minorBidi"/>
          <w:sz w:val="22"/>
          <w:szCs w:val="22"/>
        </w:rPr>
        <w:t xml:space="preserve">. </w:t>
      </w:r>
    </w:p>
    <w:p w14:paraId="3B207F98" w14:textId="1107647C" w:rsidR="00ED4CEC" w:rsidRPr="004769BF" w:rsidRDefault="00ED4CEC" w:rsidP="00FB5425">
      <w:pPr>
        <w:spacing w:line="240" w:lineRule="auto"/>
        <w:rPr>
          <w:rFonts w:asciiTheme="minorHAnsi" w:hAnsiTheme="minorHAnsi" w:cstheme="minorBidi"/>
          <w:sz w:val="22"/>
          <w:szCs w:val="22"/>
          <w:u w:val="single"/>
        </w:rPr>
      </w:pPr>
      <w:r w:rsidRPr="4CB95048">
        <w:rPr>
          <w:rFonts w:asciiTheme="minorHAnsi" w:hAnsiTheme="minorHAnsi" w:cstheme="minorBidi"/>
          <w:sz w:val="22"/>
          <w:szCs w:val="22"/>
          <w:u w:val="single"/>
        </w:rPr>
        <w:t>Programme Output 4 (</w:t>
      </w:r>
      <w:r w:rsidR="008A0B82" w:rsidRPr="5809BBF5">
        <w:rPr>
          <w:rFonts w:asciiTheme="minorHAnsi" w:eastAsiaTheme="minorEastAsia" w:hAnsiTheme="minorHAnsi" w:cstheme="minorBidi"/>
          <w:sz w:val="22"/>
          <w:szCs w:val="22"/>
        </w:rPr>
        <w:t xml:space="preserve">Evidence to inform policy and design of international climate </w:t>
      </w:r>
      <w:proofErr w:type="gramStart"/>
      <w:r w:rsidR="008A0B82" w:rsidRPr="5809BBF5">
        <w:rPr>
          <w:rFonts w:asciiTheme="minorHAnsi" w:eastAsiaTheme="minorEastAsia" w:hAnsiTheme="minorHAnsi" w:cstheme="minorBidi"/>
          <w:sz w:val="22"/>
          <w:szCs w:val="22"/>
        </w:rPr>
        <w:t>finance</w:t>
      </w:r>
      <w:r w:rsidR="008A0B82" w:rsidRPr="4CB95048">
        <w:rPr>
          <w:rFonts w:asciiTheme="minorHAnsi" w:hAnsiTheme="minorHAnsi" w:cstheme="minorBidi"/>
          <w:sz w:val="22"/>
          <w:szCs w:val="22"/>
          <w:u w:val="single"/>
        </w:rPr>
        <w:t xml:space="preserve"> </w:t>
      </w:r>
      <w:r w:rsidRPr="4CB95048">
        <w:rPr>
          <w:rFonts w:asciiTheme="minorHAnsi" w:hAnsiTheme="minorHAnsi" w:cstheme="minorBidi"/>
          <w:sz w:val="22"/>
          <w:szCs w:val="22"/>
          <w:u w:val="single"/>
        </w:rPr>
        <w:t>)</w:t>
      </w:r>
      <w:proofErr w:type="gramEnd"/>
      <w:r w:rsidRPr="4CB95048">
        <w:rPr>
          <w:rFonts w:asciiTheme="minorHAnsi" w:hAnsiTheme="minorHAnsi" w:cstheme="minorBidi"/>
          <w:sz w:val="22"/>
          <w:szCs w:val="22"/>
          <w:u w:val="single"/>
        </w:rPr>
        <w:t xml:space="preserve">: </w:t>
      </w:r>
    </w:p>
    <w:p w14:paraId="32473E34" w14:textId="727CDE5E" w:rsidR="00ED4CEC" w:rsidRPr="00ED4CEC" w:rsidRDefault="00ED4CEC" w:rsidP="4E824C56">
      <w:pPr>
        <w:pStyle w:val="NoSpacing"/>
        <w:rPr>
          <w:rFonts w:asciiTheme="minorHAnsi" w:hAnsiTheme="minorHAnsi" w:cstheme="minorBidi"/>
          <w:sz w:val="22"/>
        </w:rPr>
      </w:pPr>
      <w:r w:rsidRPr="6407A8B7">
        <w:rPr>
          <w:rFonts w:asciiTheme="minorHAnsi" w:hAnsiTheme="minorHAnsi" w:cstheme="minorBidi"/>
          <w:sz w:val="22"/>
        </w:rPr>
        <w:t>Project 1a</w:t>
      </w:r>
      <w:r w:rsidR="00FB5425" w:rsidRPr="6407A8B7">
        <w:rPr>
          <w:rFonts w:asciiTheme="minorHAnsi" w:hAnsiTheme="minorHAnsi" w:cstheme="minorBidi"/>
          <w:sz w:val="22"/>
        </w:rPr>
        <w:t xml:space="preserve">: </w:t>
      </w:r>
      <w:r w:rsidR="00FB5425" w:rsidRPr="6407A8B7">
        <w:rPr>
          <w:rFonts w:asciiTheme="minorHAnsi" w:eastAsiaTheme="minorEastAsia" w:hAnsiTheme="minorHAnsi" w:cstheme="minorBidi"/>
          <w:color w:val="000000" w:themeColor="text1"/>
          <w:sz w:val="22"/>
        </w:rPr>
        <w:t xml:space="preserve">Measuring the impact of aid on nature &amp; identifying ‘best </w:t>
      </w:r>
      <w:proofErr w:type="gramStart"/>
      <w:r w:rsidR="00FB5425" w:rsidRPr="6407A8B7">
        <w:rPr>
          <w:rFonts w:asciiTheme="minorHAnsi" w:eastAsiaTheme="minorEastAsia" w:hAnsiTheme="minorHAnsi" w:cstheme="minorBidi"/>
          <w:color w:val="000000" w:themeColor="text1"/>
          <w:sz w:val="22"/>
        </w:rPr>
        <w:t>buys’</w:t>
      </w:r>
      <w:proofErr w:type="gramEnd"/>
      <w:r w:rsidR="00FB5425" w:rsidRPr="6407A8B7">
        <w:rPr>
          <w:rFonts w:asciiTheme="minorHAnsi" w:eastAsiaTheme="minorEastAsia" w:hAnsiTheme="minorHAnsi" w:cstheme="minorBidi"/>
          <w:color w:val="000000" w:themeColor="text1"/>
          <w:sz w:val="22"/>
        </w:rPr>
        <w:t xml:space="preserve">.  This project </w:t>
      </w:r>
      <w:r w:rsidRPr="6407A8B7">
        <w:rPr>
          <w:rFonts w:asciiTheme="minorHAnsi" w:hAnsiTheme="minorHAnsi" w:cstheme="minorBidi"/>
          <w:sz w:val="22"/>
        </w:rPr>
        <w:t>is now completed and has successfully delivered the agreed work packages</w:t>
      </w:r>
      <w:r w:rsidR="00FB5425" w:rsidRPr="6407A8B7">
        <w:rPr>
          <w:rFonts w:asciiTheme="minorHAnsi" w:hAnsiTheme="minorHAnsi" w:cstheme="minorBidi"/>
          <w:sz w:val="22"/>
        </w:rPr>
        <w:t xml:space="preserve"> (</w:t>
      </w:r>
      <w:r w:rsidRPr="6407A8B7">
        <w:rPr>
          <w:rFonts w:asciiTheme="minorHAnsi" w:hAnsiTheme="minorHAnsi" w:cstheme="minorBidi"/>
          <w:sz w:val="22"/>
        </w:rPr>
        <w:t xml:space="preserve">Work Package 1 - Biodiversity Indicators and Work Package 2 – Principles of </w:t>
      </w:r>
      <w:proofErr w:type="spellStart"/>
      <w:r w:rsidRPr="6407A8B7">
        <w:rPr>
          <w:rFonts w:asciiTheme="minorHAnsi" w:hAnsiTheme="minorHAnsi" w:cstheme="minorBidi"/>
          <w:sz w:val="22"/>
        </w:rPr>
        <w:t>NbS</w:t>
      </w:r>
      <w:proofErr w:type="spellEnd"/>
      <w:r w:rsidRPr="6407A8B7">
        <w:rPr>
          <w:rFonts w:asciiTheme="minorHAnsi" w:hAnsiTheme="minorHAnsi" w:cstheme="minorBidi"/>
          <w:sz w:val="22"/>
        </w:rPr>
        <w:t xml:space="preserve">. </w:t>
      </w:r>
      <w:r w:rsidR="00FB5425" w:rsidRPr="6407A8B7">
        <w:rPr>
          <w:rFonts w:asciiTheme="minorHAnsi" w:hAnsiTheme="minorHAnsi" w:cstheme="minorBidi"/>
          <w:sz w:val="22"/>
        </w:rPr>
        <w:t xml:space="preserve"> </w:t>
      </w:r>
      <w:r w:rsidRPr="6407A8B7">
        <w:rPr>
          <w:rFonts w:asciiTheme="minorHAnsi" w:hAnsiTheme="minorHAnsi" w:cstheme="minorBidi"/>
          <w:sz w:val="22"/>
        </w:rPr>
        <w:t xml:space="preserve">Policy makers now have access to the Triple Win Toolkit to address the question ‘Can </w:t>
      </w:r>
      <w:proofErr w:type="spellStart"/>
      <w:r w:rsidRPr="6407A8B7">
        <w:rPr>
          <w:rFonts w:asciiTheme="minorHAnsi" w:hAnsiTheme="minorHAnsi" w:cstheme="minorBidi"/>
          <w:sz w:val="22"/>
        </w:rPr>
        <w:t>NbS</w:t>
      </w:r>
      <w:proofErr w:type="spellEnd"/>
      <w:r w:rsidRPr="6407A8B7">
        <w:rPr>
          <w:rFonts w:asciiTheme="minorHAnsi" w:hAnsiTheme="minorHAnsi" w:cstheme="minorBidi"/>
          <w:sz w:val="22"/>
        </w:rPr>
        <w:t xml:space="preserve"> effectively and efficiently contribute to simultaneously achieving HMG’s biodiversity, climate and poverty alleviation policies?’</w:t>
      </w:r>
      <w:r w:rsidR="00FB5425" w:rsidRPr="6407A8B7">
        <w:rPr>
          <w:rFonts w:asciiTheme="minorHAnsi" w:hAnsiTheme="minorHAnsi" w:cstheme="minorBidi"/>
          <w:sz w:val="22"/>
        </w:rPr>
        <w:t xml:space="preserve"> and </w:t>
      </w:r>
      <w:r w:rsidRPr="6407A8B7">
        <w:rPr>
          <w:rFonts w:asciiTheme="minorHAnsi" w:hAnsiTheme="minorHAnsi" w:cstheme="minorBidi"/>
          <w:sz w:val="22"/>
        </w:rPr>
        <w:t xml:space="preserve">analysis of ‘what </w:t>
      </w:r>
      <w:proofErr w:type="gramStart"/>
      <w:r w:rsidRPr="6407A8B7">
        <w:rPr>
          <w:rFonts w:asciiTheme="minorHAnsi" w:hAnsiTheme="minorHAnsi" w:cstheme="minorBidi"/>
          <w:sz w:val="22"/>
        </w:rPr>
        <w:t>works’</w:t>
      </w:r>
      <w:proofErr w:type="gramEnd"/>
      <w:r w:rsidRPr="6407A8B7">
        <w:rPr>
          <w:rFonts w:asciiTheme="minorHAnsi" w:hAnsiTheme="minorHAnsi" w:cstheme="minorBidi"/>
          <w:sz w:val="22"/>
        </w:rPr>
        <w:t>.</w:t>
      </w:r>
      <w:r w:rsidR="00FB5425" w:rsidRPr="6407A8B7">
        <w:rPr>
          <w:rFonts w:asciiTheme="minorHAnsi" w:hAnsiTheme="minorHAnsi" w:cstheme="minorBidi"/>
          <w:sz w:val="22"/>
        </w:rPr>
        <w:t xml:space="preserve">  Plans for outreach activities are underway.</w:t>
      </w:r>
    </w:p>
    <w:p w14:paraId="1F7988AF" w14:textId="79AE98EE" w:rsidR="005379A1" w:rsidRPr="00ED4CEC" w:rsidRDefault="00ED4CEC" w:rsidP="2B62C876">
      <w:pPr>
        <w:pStyle w:val="NoSpacing"/>
        <w:rPr>
          <w:rFonts w:asciiTheme="minorHAnsi" w:hAnsiTheme="minorHAnsi" w:cstheme="minorBidi"/>
          <w:sz w:val="22"/>
        </w:rPr>
      </w:pPr>
      <w:r w:rsidRPr="2B62C876">
        <w:rPr>
          <w:rFonts w:asciiTheme="minorHAnsi" w:hAnsiTheme="minorHAnsi" w:cstheme="minorBidi"/>
          <w:sz w:val="22"/>
        </w:rPr>
        <w:t xml:space="preserve"> </w:t>
      </w:r>
    </w:p>
    <w:p w14:paraId="4299BE11" w14:textId="3E4F5605" w:rsidR="2B62C876" w:rsidRDefault="2B62C876" w:rsidP="2B62C876">
      <w:pPr>
        <w:pStyle w:val="NoSpacing"/>
        <w:rPr>
          <w:rFonts w:asciiTheme="minorHAnsi" w:hAnsiTheme="minorHAnsi" w:cstheme="minorBidi"/>
          <w:sz w:val="22"/>
        </w:rPr>
      </w:pPr>
    </w:p>
    <w:p w14:paraId="191CE1AB" w14:textId="77777777" w:rsidR="001A08A3" w:rsidRDefault="001A08A3" w:rsidP="2B62C876">
      <w:pPr>
        <w:pStyle w:val="NoSpacing"/>
        <w:rPr>
          <w:rFonts w:asciiTheme="minorHAnsi" w:hAnsiTheme="minorHAnsi" w:cstheme="minorBidi"/>
          <w:sz w:val="22"/>
        </w:rPr>
      </w:pPr>
    </w:p>
    <w:p w14:paraId="1236E33B" w14:textId="77777777" w:rsidR="001A08A3" w:rsidRDefault="001A08A3" w:rsidP="2B62C876">
      <w:pPr>
        <w:pStyle w:val="NoSpacing"/>
        <w:rPr>
          <w:rFonts w:asciiTheme="minorHAnsi" w:hAnsiTheme="minorHAnsi" w:cstheme="minorBidi"/>
          <w:sz w:val="22"/>
        </w:rPr>
      </w:pPr>
    </w:p>
    <w:p w14:paraId="542B3972" w14:textId="77777777" w:rsidR="001A08A3" w:rsidRDefault="001A08A3" w:rsidP="2B62C876">
      <w:pPr>
        <w:pStyle w:val="NoSpacing"/>
        <w:rPr>
          <w:rFonts w:asciiTheme="minorHAnsi" w:hAnsiTheme="minorHAnsi" w:cstheme="minorBidi"/>
          <w:sz w:val="22"/>
        </w:rPr>
      </w:pPr>
    </w:p>
    <w:p w14:paraId="0BA0A6BD" w14:textId="77777777" w:rsidR="009C0DA2" w:rsidRPr="00F70DBE" w:rsidRDefault="009C0DA2" w:rsidP="009C0DA2">
      <w:pPr>
        <w:pBdr>
          <w:top w:val="single" w:sz="4" w:space="1" w:color="auto"/>
          <w:left w:val="single" w:sz="4" w:space="4" w:color="auto"/>
          <w:bottom w:val="single" w:sz="4" w:space="1" w:color="auto"/>
          <w:right w:val="single" w:sz="4" w:space="4" w:color="auto"/>
        </w:pBdr>
        <w:shd w:val="clear" w:color="auto" w:fill="DBE5F1" w:themeFill="accent1" w:themeFillTint="33"/>
        <w:rPr>
          <w:rFonts w:cs="Arial"/>
          <w:bCs/>
          <w:sz w:val="20"/>
          <w:szCs w:val="20"/>
        </w:rPr>
      </w:pPr>
      <w:r>
        <w:rPr>
          <w:rFonts w:cs="Arial"/>
          <w:b/>
          <w:bCs/>
          <w:sz w:val="28"/>
          <w:szCs w:val="22"/>
        </w:rPr>
        <w:lastRenderedPageBreak/>
        <w:t>D</w:t>
      </w:r>
      <w:r w:rsidRPr="00F70DBE">
        <w:rPr>
          <w:rFonts w:cs="Arial"/>
          <w:b/>
          <w:bCs/>
          <w:sz w:val="28"/>
          <w:szCs w:val="22"/>
        </w:rPr>
        <w:t xml:space="preserve">: RISK </w:t>
      </w:r>
    </w:p>
    <w:p w14:paraId="602CDEA2" w14:textId="1A01C999" w:rsidR="005379A1" w:rsidRDefault="005379A1" w:rsidP="00FB5425">
      <w:pPr>
        <w:spacing w:line="240"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risk matrix below provides a summary of the risk for each project within the ICF R&amp;D Programme AR cycle: </w:t>
      </w:r>
    </w:p>
    <w:tbl>
      <w:tblPr>
        <w:tblW w:w="6680" w:type="dxa"/>
        <w:tblInd w:w="118" w:type="dxa"/>
        <w:tblLook w:val="04A0" w:firstRow="1" w:lastRow="0" w:firstColumn="1" w:lastColumn="0" w:noHBand="0" w:noVBand="1"/>
      </w:tblPr>
      <w:tblGrid>
        <w:gridCol w:w="4351"/>
        <w:gridCol w:w="2107"/>
        <w:gridCol w:w="222"/>
      </w:tblGrid>
      <w:tr w:rsidR="005379A1" w:rsidRPr="005379A1" w14:paraId="1837A98E" w14:textId="77777777" w:rsidTr="005379A1">
        <w:trPr>
          <w:gridAfter w:val="1"/>
          <w:wAfter w:w="36" w:type="dxa"/>
          <w:trHeight w:val="615"/>
        </w:trPr>
        <w:tc>
          <w:tcPr>
            <w:tcW w:w="45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E69E2D" w14:textId="77777777" w:rsidR="005379A1" w:rsidRPr="005379A1" w:rsidRDefault="005379A1" w:rsidP="005379A1">
            <w:pPr>
              <w:spacing w:before="0" w:after="0" w:line="240" w:lineRule="auto"/>
              <w:rPr>
                <w:rFonts w:ascii="Calibri" w:eastAsia="Times New Roman" w:hAnsi="Calibri" w:cs="Calibri"/>
                <w:b/>
                <w:bCs/>
                <w:color w:val="000000"/>
                <w:sz w:val="22"/>
                <w:szCs w:val="22"/>
                <w:lang w:eastAsia="en-GB"/>
              </w:rPr>
            </w:pPr>
            <w:r w:rsidRPr="005379A1">
              <w:rPr>
                <w:rFonts w:ascii="Calibri" w:eastAsia="Times New Roman" w:hAnsi="Calibri" w:cs="Calibri"/>
                <w:b/>
                <w:bCs/>
                <w:color w:val="000000"/>
                <w:sz w:val="22"/>
                <w:szCs w:val="22"/>
                <w:lang w:eastAsia="en-GB"/>
              </w:rPr>
              <w:t xml:space="preserve">Project </w:t>
            </w:r>
          </w:p>
        </w:tc>
        <w:tc>
          <w:tcPr>
            <w:tcW w:w="2134" w:type="dxa"/>
            <w:tcBorders>
              <w:top w:val="single" w:sz="8" w:space="0" w:color="auto"/>
              <w:left w:val="nil"/>
              <w:bottom w:val="single" w:sz="8" w:space="0" w:color="auto"/>
              <w:right w:val="single" w:sz="8" w:space="0" w:color="auto"/>
            </w:tcBorders>
            <w:shd w:val="clear" w:color="auto" w:fill="auto"/>
            <w:vAlign w:val="center"/>
            <w:hideMark/>
          </w:tcPr>
          <w:p w14:paraId="744F1077" w14:textId="77777777" w:rsidR="005379A1" w:rsidRPr="005379A1" w:rsidRDefault="005379A1" w:rsidP="005379A1">
            <w:pPr>
              <w:spacing w:before="0" w:after="0" w:line="240" w:lineRule="auto"/>
              <w:rPr>
                <w:rFonts w:ascii="Calibri" w:eastAsia="Times New Roman" w:hAnsi="Calibri" w:cs="Calibri"/>
                <w:b/>
                <w:bCs/>
                <w:color w:val="000000"/>
                <w:sz w:val="22"/>
                <w:szCs w:val="22"/>
                <w:lang w:eastAsia="en-GB"/>
              </w:rPr>
            </w:pPr>
            <w:r w:rsidRPr="005379A1">
              <w:rPr>
                <w:rFonts w:ascii="Calibri" w:eastAsia="Times New Roman" w:hAnsi="Calibri" w:cs="Calibri"/>
                <w:b/>
                <w:bCs/>
                <w:color w:val="000000"/>
                <w:sz w:val="22"/>
                <w:szCs w:val="22"/>
                <w:lang w:eastAsia="en-GB"/>
              </w:rPr>
              <w:t xml:space="preserve">Risk rating </w:t>
            </w:r>
          </w:p>
        </w:tc>
      </w:tr>
      <w:tr w:rsidR="005379A1" w:rsidRPr="005379A1" w14:paraId="68F13DB3" w14:textId="77777777" w:rsidTr="005379A1">
        <w:trPr>
          <w:gridAfter w:val="1"/>
          <w:wAfter w:w="36" w:type="dxa"/>
          <w:trHeight w:val="1050"/>
        </w:trPr>
        <w:tc>
          <w:tcPr>
            <w:tcW w:w="4510" w:type="dxa"/>
            <w:vMerge w:val="restart"/>
            <w:tcBorders>
              <w:top w:val="nil"/>
              <w:left w:val="single" w:sz="8" w:space="0" w:color="auto"/>
              <w:bottom w:val="single" w:sz="8" w:space="0" w:color="000000"/>
              <w:right w:val="single" w:sz="8" w:space="0" w:color="auto"/>
            </w:tcBorders>
            <w:shd w:val="clear" w:color="auto" w:fill="auto"/>
            <w:vAlign w:val="center"/>
            <w:hideMark/>
          </w:tcPr>
          <w:p w14:paraId="2A707E09" w14:textId="77777777" w:rsidR="005379A1" w:rsidRPr="005379A1" w:rsidRDefault="005379A1" w:rsidP="005379A1">
            <w:pPr>
              <w:spacing w:before="0" w:after="0" w:line="240" w:lineRule="auto"/>
              <w:jc w:val="both"/>
              <w:rPr>
                <w:rFonts w:ascii="Calibri" w:eastAsia="Times New Roman" w:hAnsi="Calibri" w:cs="Calibri"/>
                <w:color w:val="000000"/>
                <w:sz w:val="22"/>
                <w:szCs w:val="22"/>
                <w:lang w:eastAsia="en-GB"/>
              </w:rPr>
            </w:pPr>
            <w:r w:rsidRPr="005379A1">
              <w:rPr>
                <w:rFonts w:ascii="Calibri" w:eastAsia="Times New Roman" w:hAnsi="Calibri" w:cs="Calibri"/>
                <w:color w:val="000000"/>
                <w:sz w:val="22"/>
                <w:szCs w:val="22"/>
                <w:lang w:eastAsia="en-GB"/>
              </w:rPr>
              <w:t>Project 1a: Measuring the impact of aid on nature &amp; identifying ‘best buys’</w:t>
            </w:r>
          </w:p>
        </w:tc>
        <w:tc>
          <w:tcPr>
            <w:tcW w:w="2134" w:type="dxa"/>
            <w:vMerge w:val="restart"/>
            <w:tcBorders>
              <w:top w:val="nil"/>
              <w:left w:val="single" w:sz="8" w:space="0" w:color="auto"/>
              <w:bottom w:val="single" w:sz="8" w:space="0" w:color="000000"/>
              <w:right w:val="single" w:sz="8" w:space="0" w:color="auto"/>
            </w:tcBorders>
            <w:shd w:val="clear" w:color="000000" w:fill="00B050"/>
            <w:vAlign w:val="center"/>
            <w:hideMark/>
          </w:tcPr>
          <w:p w14:paraId="389FE3C1" w14:textId="77777777" w:rsidR="005379A1" w:rsidRPr="005379A1" w:rsidRDefault="005379A1" w:rsidP="005379A1">
            <w:pPr>
              <w:spacing w:before="0" w:after="0" w:line="240" w:lineRule="auto"/>
              <w:jc w:val="center"/>
              <w:rPr>
                <w:rFonts w:ascii="Calibri" w:eastAsia="Times New Roman" w:hAnsi="Calibri" w:cs="Calibri"/>
                <w:b/>
                <w:bCs/>
                <w:color w:val="000000"/>
                <w:sz w:val="22"/>
                <w:szCs w:val="22"/>
                <w:lang w:eastAsia="en-GB"/>
              </w:rPr>
            </w:pPr>
            <w:r w:rsidRPr="005379A1">
              <w:rPr>
                <w:rFonts w:ascii="Calibri" w:eastAsia="Times New Roman" w:hAnsi="Calibri" w:cs="Calibri"/>
                <w:b/>
                <w:bCs/>
                <w:color w:val="000000"/>
                <w:sz w:val="22"/>
                <w:szCs w:val="22"/>
                <w:lang w:eastAsia="en-GB"/>
              </w:rPr>
              <w:t xml:space="preserve">LOW </w:t>
            </w:r>
          </w:p>
        </w:tc>
      </w:tr>
      <w:tr w:rsidR="005379A1" w:rsidRPr="005379A1" w14:paraId="1795A798" w14:textId="77777777" w:rsidTr="005379A1">
        <w:trPr>
          <w:trHeight w:val="180"/>
        </w:trPr>
        <w:tc>
          <w:tcPr>
            <w:tcW w:w="4510" w:type="dxa"/>
            <w:vMerge/>
            <w:tcBorders>
              <w:top w:val="nil"/>
              <w:left w:val="single" w:sz="8" w:space="0" w:color="auto"/>
              <w:bottom w:val="single" w:sz="8" w:space="0" w:color="000000"/>
              <w:right w:val="single" w:sz="8" w:space="0" w:color="auto"/>
            </w:tcBorders>
            <w:vAlign w:val="center"/>
            <w:hideMark/>
          </w:tcPr>
          <w:p w14:paraId="09D8ED06" w14:textId="77777777" w:rsidR="005379A1" w:rsidRPr="005379A1" w:rsidRDefault="005379A1" w:rsidP="005379A1">
            <w:pPr>
              <w:spacing w:before="0" w:after="0" w:line="240" w:lineRule="auto"/>
              <w:rPr>
                <w:rFonts w:ascii="Calibri" w:eastAsia="Times New Roman" w:hAnsi="Calibri" w:cs="Calibri"/>
                <w:color w:val="000000"/>
                <w:sz w:val="22"/>
                <w:szCs w:val="22"/>
                <w:lang w:eastAsia="en-GB"/>
              </w:rPr>
            </w:pPr>
          </w:p>
        </w:tc>
        <w:tc>
          <w:tcPr>
            <w:tcW w:w="2134" w:type="dxa"/>
            <w:vMerge/>
            <w:tcBorders>
              <w:top w:val="nil"/>
              <w:left w:val="single" w:sz="8" w:space="0" w:color="auto"/>
              <w:bottom w:val="single" w:sz="8" w:space="0" w:color="000000"/>
              <w:right w:val="single" w:sz="8" w:space="0" w:color="auto"/>
            </w:tcBorders>
            <w:vAlign w:val="center"/>
            <w:hideMark/>
          </w:tcPr>
          <w:p w14:paraId="6209AF5B" w14:textId="77777777" w:rsidR="005379A1" w:rsidRPr="005379A1" w:rsidRDefault="005379A1" w:rsidP="005379A1">
            <w:pPr>
              <w:spacing w:before="0" w:after="0" w:line="240" w:lineRule="auto"/>
              <w:rPr>
                <w:rFonts w:ascii="Calibri" w:eastAsia="Times New Roman" w:hAnsi="Calibri" w:cs="Calibri"/>
                <w:b/>
                <w:bCs/>
                <w:color w:val="000000"/>
                <w:sz w:val="22"/>
                <w:szCs w:val="22"/>
                <w:lang w:eastAsia="en-GB"/>
              </w:rPr>
            </w:pPr>
          </w:p>
        </w:tc>
        <w:tc>
          <w:tcPr>
            <w:tcW w:w="36" w:type="dxa"/>
            <w:tcBorders>
              <w:top w:val="nil"/>
              <w:left w:val="nil"/>
              <w:bottom w:val="nil"/>
              <w:right w:val="nil"/>
            </w:tcBorders>
            <w:shd w:val="clear" w:color="auto" w:fill="auto"/>
            <w:noWrap/>
            <w:vAlign w:val="bottom"/>
            <w:hideMark/>
          </w:tcPr>
          <w:p w14:paraId="28992E65" w14:textId="77777777" w:rsidR="005379A1" w:rsidRPr="005379A1" w:rsidRDefault="005379A1" w:rsidP="005379A1">
            <w:pPr>
              <w:spacing w:before="0" w:after="0" w:line="240" w:lineRule="auto"/>
              <w:jc w:val="center"/>
              <w:rPr>
                <w:rFonts w:ascii="Calibri" w:eastAsia="Times New Roman" w:hAnsi="Calibri" w:cs="Calibri"/>
                <w:b/>
                <w:bCs/>
                <w:color w:val="000000"/>
                <w:sz w:val="22"/>
                <w:szCs w:val="22"/>
                <w:lang w:eastAsia="en-GB"/>
              </w:rPr>
            </w:pPr>
          </w:p>
        </w:tc>
      </w:tr>
      <w:tr w:rsidR="005379A1" w:rsidRPr="005379A1" w14:paraId="29A4F3DB" w14:textId="77777777" w:rsidTr="005379A1">
        <w:trPr>
          <w:trHeight w:val="1095"/>
        </w:trPr>
        <w:tc>
          <w:tcPr>
            <w:tcW w:w="4510" w:type="dxa"/>
            <w:tcBorders>
              <w:top w:val="nil"/>
              <w:left w:val="single" w:sz="8" w:space="0" w:color="auto"/>
              <w:bottom w:val="single" w:sz="8" w:space="0" w:color="auto"/>
              <w:right w:val="single" w:sz="8" w:space="0" w:color="auto"/>
            </w:tcBorders>
            <w:shd w:val="clear" w:color="auto" w:fill="auto"/>
            <w:vAlign w:val="center"/>
            <w:hideMark/>
          </w:tcPr>
          <w:p w14:paraId="634B2FF5" w14:textId="77777777" w:rsidR="005379A1" w:rsidRPr="005379A1" w:rsidRDefault="005379A1" w:rsidP="005379A1">
            <w:pPr>
              <w:spacing w:before="0" w:after="0" w:line="240" w:lineRule="auto"/>
              <w:jc w:val="both"/>
              <w:rPr>
                <w:rFonts w:ascii="Calibri" w:eastAsia="Times New Roman" w:hAnsi="Calibri" w:cs="Calibri"/>
                <w:color w:val="000000"/>
                <w:sz w:val="22"/>
                <w:szCs w:val="22"/>
                <w:lang w:eastAsia="en-GB"/>
              </w:rPr>
            </w:pPr>
            <w:r w:rsidRPr="005379A1">
              <w:rPr>
                <w:rFonts w:ascii="Calibri" w:eastAsia="Times New Roman" w:hAnsi="Calibri" w:cs="Calibri"/>
                <w:color w:val="000000"/>
                <w:sz w:val="22"/>
                <w:szCs w:val="22"/>
                <w:lang w:eastAsia="en-GB"/>
              </w:rPr>
              <w:t>Project 1b: Scoping and intervention analysis for future ICF programming</w:t>
            </w:r>
          </w:p>
        </w:tc>
        <w:tc>
          <w:tcPr>
            <w:tcW w:w="2134" w:type="dxa"/>
            <w:tcBorders>
              <w:top w:val="nil"/>
              <w:left w:val="nil"/>
              <w:bottom w:val="single" w:sz="8" w:space="0" w:color="auto"/>
              <w:right w:val="single" w:sz="8" w:space="0" w:color="auto"/>
            </w:tcBorders>
            <w:shd w:val="clear" w:color="000000" w:fill="FFFF00"/>
            <w:vAlign w:val="center"/>
            <w:hideMark/>
          </w:tcPr>
          <w:p w14:paraId="567BBD9E" w14:textId="77777777" w:rsidR="005379A1" w:rsidRPr="005379A1" w:rsidRDefault="005379A1" w:rsidP="005379A1">
            <w:pPr>
              <w:spacing w:before="0" w:after="0" w:line="240" w:lineRule="auto"/>
              <w:jc w:val="center"/>
              <w:rPr>
                <w:rFonts w:ascii="Calibri" w:eastAsia="Times New Roman" w:hAnsi="Calibri" w:cs="Calibri"/>
                <w:b/>
                <w:bCs/>
                <w:color w:val="000000"/>
                <w:sz w:val="22"/>
                <w:szCs w:val="22"/>
                <w:lang w:eastAsia="en-GB"/>
              </w:rPr>
            </w:pPr>
            <w:r w:rsidRPr="005379A1">
              <w:rPr>
                <w:rFonts w:ascii="Calibri" w:eastAsia="Times New Roman" w:hAnsi="Calibri" w:cs="Calibri"/>
                <w:b/>
                <w:bCs/>
                <w:color w:val="000000"/>
                <w:sz w:val="22"/>
                <w:szCs w:val="22"/>
                <w:lang w:eastAsia="en-GB"/>
              </w:rPr>
              <w:t>MODERATE</w:t>
            </w:r>
          </w:p>
        </w:tc>
        <w:tc>
          <w:tcPr>
            <w:tcW w:w="36" w:type="dxa"/>
            <w:vAlign w:val="center"/>
            <w:hideMark/>
          </w:tcPr>
          <w:p w14:paraId="64263AA7" w14:textId="77777777" w:rsidR="005379A1" w:rsidRPr="005379A1" w:rsidRDefault="005379A1" w:rsidP="005379A1">
            <w:pPr>
              <w:spacing w:before="0" w:after="0" w:line="240" w:lineRule="auto"/>
              <w:rPr>
                <w:rFonts w:ascii="Times New Roman" w:eastAsia="Times New Roman" w:hAnsi="Times New Roman"/>
                <w:sz w:val="20"/>
                <w:szCs w:val="20"/>
                <w:lang w:eastAsia="en-GB"/>
              </w:rPr>
            </w:pPr>
          </w:p>
        </w:tc>
      </w:tr>
      <w:tr w:rsidR="005379A1" w:rsidRPr="005379A1" w14:paraId="361FBD79" w14:textId="77777777" w:rsidTr="005379A1">
        <w:trPr>
          <w:trHeight w:val="1005"/>
        </w:trPr>
        <w:tc>
          <w:tcPr>
            <w:tcW w:w="4510" w:type="dxa"/>
            <w:vMerge w:val="restart"/>
            <w:tcBorders>
              <w:top w:val="nil"/>
              <w:left w:val="single" w:sz="8" w:space="0" w:color="auto"/>
              <w:bottom w:val="single" w:sz="8" w:space="0" w:color="000000"/>
              <w:right w:val="single" w:sz="8" w:space="0" w:color="auto"/>
            </w:tcBorders>
            <w:shd w:val="clear" w:color="auto" w:fill="auto"/>
            <w:vAlign w:val="center"/>
            <w:hideMark/>
          </w:tcPr>
          <w:p w14:paraId="382BF492" w14:textId="77777777" w:rsidR="005379A1" w:rsidRPr="005379A1" w:rsidRDefault="005379A1" w:rsidP="005379A1">
            <w:pPr>
              <w:spacing w:before="0" w:after="0" w:line="240" w:lineRule="auto"/>
              <w:jc w:val="both"/>
              <w:rPr>
                <w:rFonts w:ascii="Calibri" w:eastAsia="Times New Roman" w:hAnsi="Calibri" w:cs="Calibri"/>
                <w:color w:val="000000"/>
                <w:sz w:val="22"/>
                <w:szCs w:val="22"/>
                <w:lang w:eastAsia="en-GB"/>
              </w:rPr>
            </w:pPr>
            <w:r w:rsidRPr="005379A1">
              <w:rPr>
                <w:rFonts w:ascii="Calibri" w:eastAsia="Times New Roman" w:hAnsi="Calibri" w:cs="Calibri"/>
                <w:color w:val="000000"/>
                <w:sz w:val="22"/>
                <w:szCs w:val="22"/>
                <w:lang w:eastAsia="en-GB"/>
              </w:rPr>
              <w:t>Project 2a: Tackling illegal logging and deforestation</w:t>
            </w:r>
          </w:p>
        </w:tc>
        <w:tc>
          <w:tcPr>
            <w:tcW w:w="2134"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095260FB" w14:textId="77777777" w:rsidR="005379A1" w:rsidRPr="005379A1" w:rsidRDefault="005379A1" w:rsidP="005379A1">
            <w:pPr>
              <w:spacing w:before="0" w:after="0" w:line="240" w:lineRule="auto"/>
              <w:jc w:val="center"/>
              <w:rPr>
                <w:rFonts w:ascii="Calibri" w:eastAsia="Times New Roman" w:hAnsi="Calibri" w:cs="Calibri"/>
                <w:b/>
                <w:bCs/>
                <w:color w:val="000000"/>
                <w:sz w:val="22"/>
                <w:szCs w:val="22"/>
                <w:lang w:eastAsia="en-GB"/>
              </w:rPr>
            </w:pPr>
            <w:r w:rsidRPr="005379A1">
              <w:rPr>
                <w:rFonts w:ascii="Calibri" w:eastAsia="Times New Roman" w:hAnsi="Calibri" w:cs="Calibri"/>
                <w:b/>
                <w:bCs/>
                <w:color w:val="000000"/>
                <w:sz w:val="22"/>
                <w:szCs w:val="22"/>
                <w:lang w:eastAsia="en-GB"/>
              </w:rPr>
              <w:t>MODERATE</w:t>
            </w:r>
          </w:p>
        </w:tc>
        <w:tc>
          <w:tcPr>
            <w:tcW w:w="36" w:type="dxa"/>
            <w:vAlign w:val="center"/>
            <w:hideMark/>
          </w:tcPr>
          <w:p w14:paraId="385F2BCA" w14:textId="77777777" w:rsidR="005379A1" w:rsidRPr="005379A1" w:rsidRDefault="005379A1" w:rsidP="005379A1">
            <w:pPr>
              <w:spacing w:before="0" w:after="0" w:line="240" w:lineRule="auto"/>
              <w:rPr>
                <w:rFonts w:ascii="Times New Roman" w:eastAsia="Times New Roman" w:hAnsi="Times New Roman"/>
                <w:sz w:val="20"/>
                <w:szCs w:val="20"/>
                <w:lang w:eastAsia="en-GB"/>
              </w:rPr>
            </w:pPr>
          </w:p>
        </w:tc>
      </w:tr>
      <w:tr w:rsidR="005379A1" w:rsidRPr="005379A1" w14:paraId="0F22007E" w14:textId="77777777" w:rsidTr="005379A1">
        <w:trPr>
          <w:trHeight w:val="315"/>
        </w:trPr>
        <w:tc>
          <w:tcPr>
            <w:tcW w:w="4510" w:type="dxa"/>
            <w:vMerge/>
            <w:tcBorders>
              <w:top w:val="nil"/>
              <w:left w:val="single" w:sz="8" w:space="0" w:color="auto"/>
              <w:bottom w:val="single" w:sz="8" w:space="0" w:color="000000"/>
              <w:right w:val="single" w:sz="8" w:space="0" w:color="auto"/>
            </w:tcBorders>
            <w:vAlign w:val="center"/>
            <w:hideMark/>
          </w:tcPr>
          <w:p w14:paraId="7AB4A3AB" w14:textId="77777777" w:rsidR="005379A1" w:rsidRPr="005379A1" w:rsidRDefault="005379A1" w:rsidP="005379A1">
            <w:pPr>
              <w:spacing w:before="0" w:after="0" w:line="240" w:lineRule="auto"/>
              <w:rPr>
                <w:rFonts w:ascii="Calibri" w:eastAsia="Times New Roman" w:hAnsi="Calibri" w:cs="Calibri"/>
                <w:color w:val="000000"/>
                <w:sz w:val="22"/>
                <w:szCs w:val="22"/>
                <w:lang w:eastAsia="en-GB"/>
              </w:rPr>
            </w:pPr>
          </w:p>
        </w:tc>
        <w:tc>
          <w:tcPr>
            <w:tcW w:w="2134" w:type="dxa"/>
            <w:vMerge/>
            <w:tcBorders>
              <w:top w:val="nil"/>
              <w:left w:val="single" w:sz="8" w:space="0" w:color="auto"/>
              <w:bottom w:val="single" w:sz="8" w:space="0" w:color="000000"/>
              <w:right w:val="single" w:sz="8" w:space="0" w:color="auto"/>
            </w:tcBorders>
            <w:vAlign w:val="center"/>
            <w:hideMark/>
          </w:tcPr>
          <w:p w14:paraId="7EF7D9B8" w14:textId="77777777" w:rsidR="005379A1" w:rsidRPr="005379A1" w:rsidRDefault="005379A1" w:rsidP="005379A1">
            <w:pPr>
              <w:spacing w:before="0" w:after="0" w:line="240" w:lineRule="auto"/>
              <w:rPr>
                <w:rFonts w:ascii="Calibri" w:eastAsia="Times New Roman" w:hAnsi="Calibri" w:cs="Calibri"/>
                <w:b/>
                <w:bCs/>
                <w:color w:val="000000"/>
                <w:sz w:val="22"/>
                <w:szCs w:val="22"/>
                <w:lang w:eastAsia="en-GB"/>
              </w:rPr>
            </w:pPr>
          </w:p>
        </w:tc>
        <w:tc>
          <w:tcPr>
            <w:tcW w:w="36" w:type="dxa"/>
            <w:tcBorders>
              <w:top w:val="nil"/>
              <w:left w:val="nil"/>
              <w:bottom w:val="nil"/>
              <w:right w:val="nil"/>
            </w:tcBorders>
            <w:shd w:val="clear" w:color="auto" w:fill="auto"/>
            <w:noWrap/>
            <w:vAlign w:val="bottom"/>
            <w:hideMark/>
          </w:tcPr>
          <w:p w14:paraId="056858C4" w14:textId="77777777" w:rsidR="005379A1" w:rsidRPr="005379A1" w:rsidRDefault="005379A1" w:rsidP="005379A1">
            <w:pPr>
              <w:spacing w:before="0" w:after="0" w:line="240" w:lineRule="auto"/>
              <w:jc w:val="center"/>
              <w:rPr>
                <w:rFonts w:ascii="Calibri" w:eastAsia="Times New Roman" w:hAnsi="Calibri" w:cs="Calibri"/>
                <w:b/>
                <w:bCs/>
                <w:color w:val="000000"/>
                <w:sz w:val="22"/>
                <w:szCs w:val="22"/>
                <w:lang w:eastAsia="en-GB"/>
              </w:rPr>
            </w:pPr>
          </w:p>
        </w:tc>
      </w:tr>
      <w:tr w:rsidR="005379A1" w:rsidRPr="005379A1" w14:paraId="24B89E92" w14:textId="77777777" w:rsidTr="005379A1">
        <w:trPr>
          <w:trHeight w:val="1335"/>
        </w:trPr>
        <w:tc>
          <w:tcPr>
            <w:tcW w:w="4510" w:type="dxa"/>
            <w:tcBorders>
              <w:top w:val="nil"/>
              <w:left w:val="single" w:sz="8" w:space="0" w:color="auto"/>
              <w:bottom w:val="single" w:sz="8" w:space="0" w:color="auto"/>
              <w:right w:val="single" w:sz="8" w:space="0" w:color="auto"/>
            </w:tcBorders>
            <w:shd w:val="clear" w:color="auto" w:fill="auto"/>
            <w:vAlign w:val="center"/>
            <w:hideMark/>
          </w:tcPr>
          <w:p w14:paraId="26799879" w14:textId="77777777" w:rsidR="005379A1" w:rsidRPr="005379A1" w:rsidRDefault="005379A1" w:rsidP="005379A1">
            <w:pPr>
              <w:spacing w:before="0" w:after="0" w:line="240" w:lineRule="auto"/>
              <w:rPr>
                <w:rFonts w:ascii="Calibri" w:eastAsia="Times New Roman" w:hAnsi="Calibri" w:cs="Calibri"/>
                <w:color w:val="000000"/>
                <w:sz w:val="22"/>
                <w:szCs w:val="22"/>
                <w:lang w:eastAsia="en-GB"/>
              </w:rPr>
            </w:pPr>
            <w:r w:rsidRPr="005379A1">
              <w:rPr>
                <w:rFonts w:ascii="Calibri" w:eastAsia="Times New Roman" w:hAnsi="Calibri" w:cs="Calibri"/>
                <w:color w:val="000000"/>
                <w:sz w:val="22"/>
                <w:szCs w:val="22"/>
                <w:lang w:eastAsia="en-GB"/>
              </w:rPr>
              <w:t>Project 2b: Strengthening monitoring, reporting and verification</w:t>
            </w:r>
          </w:p>
        </w:tc>
        <w:tc>
          <w:tcPr>
            <w:tcW w:w="2134" w:type="dxa"/>
            <w:tcBorders>
              <w:top w:val="nil"/>
              <w:left w:val="nil"/>
              <w:bottom w:val="single" w:sz="8" w:space="0" w:color="auto"/>
              <w:right w:val="single" w:sz="8" w:space="0" w:color="auto"/>
            </w:tcBorders>
            <w:shd w:val="clear" w:color="000000" w:fill="FFC000"/>
            <w:vAlign w:val="center"/>
            <w:hideMark/>
          </w:tcPr>
          <w:p w14:paraId="21DB245D" w14:textId="77777777" w:rsidR="005379A1" w:rsidRPr="005379A1" w:rsidRDefault="005379A1" w:rsidP="005379A1">
            <w:pPr>
              <w:spacing w:before="0" w:after="0" w:line="240" w:lineRule="auto"/>
              <w:jc w:val="center"/>
              <w:rPr>
                <w:rFonts w:ascii="Calibri" w:eastAsia="Times New Roman" w:hAnsi="Calibri" w:cs="Calibri"/>
                <w:b/>
                <w:bCs/>
                <w:color w:val="000000"/>
                <w:sz w:val="22"/>
                <w:szCs w:val="22"/>
                <w:lang w:eastAsia="en-GB"/>
              </w:rPr>
            </w:pPr>
            <w:r w:rsidRPr="005379A1">
              <w:rPr>
                <w:rFonts w:ascii="Calibri" w:eastAsia="Times New Roman" w:hAnsi="Calibri" w:cs="Calibri"/>
                <w:b/>
                <w:bCs/>
                <w:color w:val="000000"/>
                <w:sz w:val="22"/>
                <w:szCs w:val="22"/>
                <w:lang w:eastAsia="en-GB"/>
              </w:rPr>
              <w:t>MEDIUM/HIGH</w:t>
            </w:r>
          </w:p>
        </w:tc>
        <w:tc>
          <w:tcPr>
            <w:tcW w:w="36" w:type="dxa"/>
            <w:vAlign w:val="center"/>
            <w:hideMark/>
          </w:tcPr>
          <w:p w14:paraId="6F0EC56B" w14:textId="77777777" w:rsidR="005379A1" w:rsidRPr="005379A1" w:rsidRDefault="005379A1" w:rsidP="005379A1">
            <w:pPr>
              <w:spacing w:before="0" w:after="0" w:line="240" w:lineRule="auto"/>
              <w:rPr>
                <w:rFonts w:ascii="Times New Roman" w:eastAsia="Times New Roman" w:hAnsi="Times New Roman"/>
                <w:sz w:val="20"/>
                <w:szCs w:val="20"/>
                <w:lang w:eastAsia="en-GB"/>
              </w:rPr>
            </w:pPr>
          </w:p>
        </w:tc>
      </w:tr>
      <w:tr w:rsidR="005379A1" w:rsidRPr="005379A1" w14:paraId="05E6878E" w14:textId="77777777" w:rsidTr="005379A1">
        <w:trPr>
          <w:trHeight w:val="1035"/>
        </w:trPr>
        <w:tc>
          <w:tcPr>
            <w:tcW w:w="4510" w:type="dxa"/>
            <w:tcBorders>
              <w:top w:val="nil"/>
              <w:left w:val="single" w:sz="8" w:space="0" w:color="auto"/>
              <w:bottom w:val="single" w:sz="8" w:space="0" w:color="auto"/>
              <w:right w:val="single" w:sz="8" w:space="0" w:color="auto"/>
            </w:tcBorders>
            <w:shd w:val="clear" w:color="auto" w:fill="auto"/>
            <w:vAlign w:val="center"/>
            <w:hideMark/>
          </w:tcPr>
          <w:p w14:paraId="59A814E3" w14:textId="77777777" w:rsidR="005379A1" w:rsidRPr="005379A1" w:rsidRDefault="005379A1" w:rsidP="005379A1">
            <w:pPr>
              <w:spacing w:before="0" w:after="0" w:line="240" w:lineRule="auto"/>
              <w:rPr>
                <w:rFonts w:ascii="Calibri" w:eastAsia="Times New Roman" w:hAnsi="Calibri" w:cs="Calibri"/>
                <w:color w:val="000000"/>
                <w:sz w:val="22"/>
                <w:szCs w:val="22"/>
                <w:lang w:eastAsia="en-GB"/>
              </w:rPr>
            </w:pPr>
            <w:r w:rsidRPr="005379A1">
              <w:rPr>
                <w:rFonts w:ascii="Calibri" w:eastAsia="Times New Roman" w:hAnsi="Calibri" w:cs="Calibri"/>
                <w:color w:val="000000"/>
                <w:sz w:val="22"/>
                <w:szCs w:val="22"/>
                <w:lang w:eastAsia="en-GB"/>
              </w:rPr>
              <w:t xml:space="preserve">Project 3: Establish a Global Centre of Excellence (GCOE) on </w:t>
            </w:r>
            <w:proofErr w:type="spellStart"/>
            <w:r w:rsidRPr="005379A1">
              <w:rPr>
                <w:rFonts w:ascii="Calibri" w:eastAsia="Times New Roman" w:hAnsi="Calibri" w:cs="Calibri"/>
                <w:color w:val="000000"/>
                <w:sz w:val="22"/>
                <w:szCs w:val="22"/>
                <w:lang w:eastAsia="en-GB"/>
              </w:rPr>
              <w:t>NbS</w:t>
            </w:r>
            <w:proofErr w:type="spellEnd"/>
          </w:p>
        </w:tc>
        <w:tc>
          <w:tcPr>
            <w:tcW w:w="2134" w:type="dxa"/>
            <w:tcBorders>
              <w:top w:val="nil"/>
              <w:left w:val="nil"/>
              <w:bottom w:val="single" w:sz="8" w:space="0" w:color="auto"/>
              <w:right w:val="single" w:sz="8" w:space="0" w:color="auto"/>
            </w:tcBorders>
            <w:shd w:val="clear" w:color="000000" w:fill="FF0000"/>
            <w:vAlign w:val="center"/>
            <w:hideMark/>
          </w:tcPr>
          <w:p w14:paraId="20363E1B" w14:textId="77777777" w:rsidR="005379A1" w:rsidRPr="005379A1" w:rsidRDefault="005379A1" w:rsidP="005379A1">
            <w:pPr>
              <w:spacing w:before="0" w:after="0" w:line="240" w:lineRule="auto"/>
              <w:jc w:val="center"/>
              <w:rPr>
                <w:rFonts w:ascii="Calibri" w:eastAsia="Times New Roman" w:hAnsi="Calibri" w:cs="Calibri"/>
                <w:b/>
                <w:bCs/>
                <w:color w:val="000000"/>
                <w:sz w:val="22"/>
                <w:szCs w:val="22"/>
                <w:lang w:eastAsia="en-GB"/>
              </w:rPr>
            </w:pPr>
            <w:r w:rsidRPr="005379A1">
              <w:rPr>
                <w:rFonts w:ascii="Calibri" w:eastAsia="Times New Roman" w:hAnsi="Calibri" w:cs="Calibri"/>
                <w:b/>
                <w:bCs/>
                <w:color w:val="000000"/>
                <w:sz w:val="22"/>
                <w:szCs w:val="22"/>
                <w:lang w:eastAsia="en-GB"/>
              </w:rPr>
              <w:t>HIGH</w:t>
            </w:r>
          </w:p>
        </w:tc>
        <w:tc>
          <w:tcPr>
            <w:tcW w:w="36" w:type="dxa"/>
            <w:vAlign w:val="center"/>
            <w:hideMark/>
          </w:tcPr>
          <w:p w14:paraId="5BF94C07" w14:textId="77777777" w:rsidR="005379A1" w:rsidRPr="005379A1" w:rsidRDefault="005379A1" w:rsidP="005379A1">
            <w:pPr>
              <w:spacing w:before="0" w:after="0" w:line="240" w:lineRule="auto"/>
              <w:rPr>
                <w:rFonts w:ascii="Times New Roman" w:eastAsia="Times New Roman" w:hAnsi="Times New Roman"/>
                <w:sz w:val="20"/>
                <w:szCs w:val="20"/>
                <w:lang w:eastAsia="en-GB"/>
              </w:rPr>
            </w:pPr>
          </w:p>
        </w:tc>
      </w:tr>
    </w:tbl>
    <w:p w14:paraId="45282B45" w14:textId="3465E99C" w:rsidR="001E2A71" w:rsidRPr="001E2A71" w:rsidRDefault="001E2A71" w:rsidP="00FB5425">
      <w:pPr>
        <w:spacing w:line="240" w:lineRule="auto"/>
        <w:rPr>
          <w:rFonts w:asciiTheme="minorHAnsi" w:eastAsiaTheme="minorEastAsia" w:hAnsiTheme="minorHAnsi" w:cstheme="minorBidi"/>
          <w:sz w:val="22"/>
          <w:szCs w:val="22"/>
        </w:rPr>
      </w:pPr>
      <w:r w:rsidRPr="001E2A71">
        <w:rPr>
          <w:rFonts w:asciiTheme="minorHAnsi" w:eastAsiaTheme="minorEastAsia" w:hAnsiTheme="minorHAnsi" w:cstheme="minorBidi"/>
          <w:sz w:val="22"/>
          <w:szCs w:val="22"/>
        </w:rPr>
        <w:t xml:space="preserve">The ICF R&amp;D programme has had a varied risk rating across its projects in the first year which will be explored in more detail below. The average risk of the programme is </w:t>
      </w:r>
      <w:r w:rsidRPr="001E2A71">
        <w:rPr>
          <w:rFonts w:asciiTheme="minorHAnsi" w:eastAsiaTheme="minorEastAsia" w:hAnsiTheme="minorHAnsi" w:cstheme="minorBidi"/>
          <w:b/>
          <w:bCs/>
          <w:sz w:val="22"/>
          <w:szCs w:val="22"/>
        </w:rPr>
        <w:t xml:space="preserve">moderate </w:t>
      </w:r>
      <w:r w:rsidRPr="001E2A71">
        <w:rPr>
          <w:rFonts w:asciiTheme="minorHAnsi" w:eastAsiaTheme="minorEastAsia" w:hAnsiTheme="minorHAnsi" w:cstheme="minorBidi"/>
          <w:sz w:val="22"/>
          <w:szCs w:val="22"/>
        </w:rPr>
        <w:t xml:space="preserve">which considers a range of </w:t>
      </w:r>
      <w:r w:rsidR="00B61B77">
        <w:rPr>
          <w:rFonts w:asciiTheme="minorHAnsi" w:eastAsiaTheme="minorEastAsia" w:hAnsiTheme="minorHAnsi" w:cstheme="minorBidi"/>
          <w:sz w:val="22"/>
          <w:szCs w:val="22"/>
        </w:rPr>
        <w:t xml:space="preserve">project-level </w:t>
      </w:r>
      <w:r w:rsidRPr="001E2A71">
        <w:rPr>
          <w:rFonts w:asciiTheme="minorHAnsi" w:eastAsiaTheme="minorEastAsia" w:hAnsiTheme="minorHAnsi" w:cstheme="minorBidi"/>
          <w:sz w:val="22"/>
          <w:szCs w:val="22"/>
        </w:rPr>
        <w:t xml:space="preserve">risks from minor to major. The </w:t>
      </w:r>
      <w:r w:rsidR="00B61B77">
        <w:rPr>
          <w:rFonts w:asciiTheme="minorHAnsi" w:eastAsiaTheme="minorEastAsia" w:hAnsiTheme="minorHAnsi" w:cstheme="minorBidi"/>
          <w:sz w:val="22"/>
          <w:szCs w:val="22"/>
        </w:rPr>
        <w:t>m</w:t>
      </w:r>
      <w:r w:rsidRPr="001E2A71">
        <w:rPr>
          <w:rFonts w:asciiTheme="minorHAnsi" w:eastAsiaTheme="minorEastAsia" w:hAnsiTheme="minorHAnsi" w:cstheme="minorBidi"/>
          <w:sz w:val="22"/>
          <w:szCs w:val="22"/>
        </w:rPr>
        <w:t>ajor risk rating comes from the fact that project 3 (GCOE -which accounts for nearly 50% of the total programme) has not commenced as planned</w:t>
      </w:r>
      <w:r w:rsidR="00B61B77">
        <w:rPr>
          <w:rFonts w:asciiTheme="minorHAnsi" w:eastAsiaTheme="minorEastAsia" w:hAnsiTheme="minorHAnsi" w:cstheme="minorBidi"/>
          <w:sz w:val="22"/>
          <w:szCs w:val="22"/>
        </w:rPr>
        <w:t xml:space="preserve">; although we are confident of its future trajectory </w:t>
      </w:r>
      <w:r w:rsidRPr="001E2A71">
        <w:rPr>
          <w:rFonts w:asciiTheme="minorHAnsi" w:eastAsiaTheme="minorEastAsia" w:hAnsiTheme="minorHAnsi" w:cstheme="minorBidi"/>
          <w:sz w:val="22"/>
          <w:szCs w:val="22"/>
        </w:rPr>
        <w:t xml:space="preserve">this represents </w:t>
      </w:r>
      <w:r w:rsidR="00B61B77">
        <w:rPr>
          <w:rFonts w:asciiTheme="minorHAnsi" w:eastAsiaTheme="minorEastAsia" w:hAnsiTheme="minorHAnsi" w:cstheme="minorBidi"/>
          <w:sz w:val="22"/>
          <w:szCs w:val="22"/>
        </w:rPr>
        <w:t xml:space="preserve">a </w:t>
      </w:r>
      <w:r w:rsidRPr="001E2A71">
        <w:rPr>
          <w:rFonts w:asciiTheme="minorHAnsi" w:eastAsiaTheme="minorEastAsia" w:hAnsiTheme="minorHAnsi" w:cstheme="minorBidi"/>
          <w:sz w:val="22"/>
          <w:szCs w:val="22"/>
        </w:rPr>
        <w:t xml:space="preserve">risk to achieving </w:t>
      </w:r>
      <w:r w:rsidR="00B61B77">
        <w:rPr>
          <w:rFonts w:asciiTheme="minorHAnsi" w:eastAsiaTheme="minorEastAsia" w:hAnsiTheme="minorHAnsi" w:cstheme="minorBidi"/>
          <w:sz w:val="22"/>
          <w:szCs w:val="22"/>
        </w:rPr>
        <w:t xml:space="preserve">the overall </w:t>
      </w:r>
      <w:r w:rsidRPr="001E2A71">
        <w:rPr>
          <w:rFonts w:asciiTheme="minorHAnsi" w:eastAsiaTheme="minorEastAsia" w:hAnsiTheme="minorHAnsi" w:cstheme="minorBidi"/>
          <w:sz w:val="22"/>
          <w:szCs w:val="22"/>
        </w:rPr>
        <w:t xml:space="preserve">objectives of the programme. </w:t>
      </w:r>
    </w:p>
    <w:p w14:paraId="527E069C" w14:textId="6D49235F" w:rsidR="001E2A71" w:rsidRDefault="001E2A71" w:rsidP="00FB5425">
      <w:pPr>
        <w:spacing w:line="240" w:lineRule="auto"/>
        <w:rPr>
          <w:rFonts w:asciiTheme="minorHAnsi" w:eastAsiaTheme="minorEastAsia" w:hAnsiTheme="minorHAnsi" w:cstheme="minorBidi"/>
          <w:sz w:val="22"/>
          <w:szCs w:val="22"/>
        </w:rPr>
      </w:pPr>
      <w:r w:rsidRPr="001E2A71">
        <w:rPr>
          <w:rFonts w:asciiTheme="minorHAnsi" w:eastAsiaTheme="minorEastAsia" w:hAnsiTheme="minorHAnsi" w:cstheme="minorBidi"/>
          <w:sz w:val="22"/>
          <w:szCs w:val="22"/>
        </w:rPr>
        <w:t xml:space="preserve">The moderate risk for project 2a should </w:t>
      </w:r>
      <w:r w:rsidR="0024694D">
        <w:rPr>
          <w:rFonts w:asciiTheme="minorHAnsi" w:eastAsiaTheme="minorEastAsia" w:hAnsiTheme="minorHAnsi" w:cstheme="minorBidi"/>
          <w:sz w:val="22"/>
          <w:szCs w:val="22"/>
        </w:rPr>
        <w:t>reduce</w:t>
      </w:r>
      <w:r w:rsidRPr="001E2A71">
        <w:rPr>
          <w:rFonts w:asciiTheme="minorHAnsi" w:eastAsiaTheme="minorEastAsia" w:hAnsiTheme="minorHAnsi" w:cstheme="minorBidi"/>
          <w:sz w:val="22"/>
          <w:szCs w:val="22"/>
        </w:rPr>
        <w:t xml:space="preserve"> in Q4 of 21/22 as</w:t>
      </w:r>
      <w:r w:rsidR="0024694D">
        <w:rPr>
          <w:rFonts w:asciiTheme="minorHAnsi" w:eastAsiaTheme="minorEastAsia" w:hAnsiTheme="minorHAnsi" w:cstheme="minorBidi"/>
          <w:sz w:val="22"/>
          <w:szCs w:val="22"/>
        </w:rPr>
        <w:t xml:space="preserve"> the analysis of timber</w:t>
      </w:r>
      <w:r w:rsidRPr="001E2A71">
        <w:rPr>
          <w:rFonts w:asciiTheme="minorHAnsi" w:eastAsiaTheme="minorEastAsia" w:hAnsiTheme="minorHAnsi" w:cstheme="minorBidi"/>
          <w:sz w:val="22"/>
          <w:szCs w:val="22"/>
        </w:rPr>
        <w:t xml:space="preserve"> sample</w:t>
      </w:r>
      <w:r w:rsidR="0024694D">
        <w:rPr>
          <w:rFonts w:asciiTheme="minorHAnsi" w:eastAsiaTheme="minorEastAsia" w:hAnsiTheme="minorHAnsi" w:cstheme="minorBidi"/>
          <w:sz w:val="22"/>
          <w:szCs w:val="22"/>
        </w:rPr>
        <w:t>s gathers pace</w:t>
      </w:r>
      <w:r w:rsidRPr="001E2A71">
        <w:rPr>
          <w:rFonts w:asciiTheme="minorHAnsi" w:eastAsiaTheme="minorEastAsia" w:hAnsiTheme="minorHAnsi" w:cstheme="minorBidi"/>
          <w:sz w:val="22"/>
          <w:szCs w:val="22"/>
        </w:rPr>
        <w:t xml:space="preserve"> at Kew</w:t>
      </w:r>
      <w:r w:rsidR="0024694D">
        <w:rPr>
          <w:rFonts w:asciiTheme="minorHAnsi" w:eastAsiaTheme="minorEastAsia" w:hAnsiTheme="minorHAnsi" w:cstheme="minorBidi"/>
          <w:sz w:val="22"/>
          <w:szCs w:val="22"/>
        </w:rPr>
        <w:t xml:space="preserve"> following the delayed delivery and installation of the DART machine due to COVID-19 related shipping issues (</w:t>
      </w:r>
      <w:r w:rsidRPr="001E2A71">
        <w:rPr>
          <w:rFonts w:asciiTheme="minorHAnsi" w:eastAsiaTheme="minorEastAsia" w:hAnsiTheme="minorHAnsi" w:cstheme="minorBidi"/>
          <w:sz w:val="22"/>
          <w:szCs w:val="22"/>
        </w:rPr>
        <w:t>install</w:t>
      </w:r>
      <w:r w:rsidR="0024694D">
        <w:rPr>
          <w:rFonts w:asciiTheme="minorHAnsi" w:eastAsiaTheme="minorEastAsia" w:hAnsiTheme="minorHAnsi" w:cstheme="minorBidi"/>
          <w:sz w:val="22"/>
          <w:szCs w:val="22"/>
        </w:rPr>
        <w:t>ation is expected to be complete</w:t>
      </w:r>
      <w:r w:rsidRPr="001E2A71">
        <w:rPr>
          <w:rFonts w:asciiTheme="minorHAnsi" w:eastAsiaTheme="minorEastAsia" w:hAnsiTheme="minorHAnsi" w:cstheme="minorBidi"/>
          <w:sz w:val="22"/>
          <w:szCs w:val="22"/>
        </w:rPr>
        <w:t xml:space="preserve"> in mid-November</w:t>
      </w:r>
      <w:r w:rsidR="0024694D">
        <w:rPr>
          <w:rFonts w:asciiTheme="minorHAnsi" w:eastAsiaTheme="minorEastAsia" w:hAnsiTheme="minorHAnsi" w:cstheme="minorBidi"/>
          <w:sz w:val="22"/>
          <w:szCs w:val="22"/>
        </w:rPr>
        <w:t>)</w:t>
      </w:r>
      <w:r w:rsidRPr="001E2A71">
        <w:rPr>
          <w:rFonts w:asciiTheme="minorHAnsi" w:eastAsiaTheme="minorEastAsia" w:hAnsiTheme="minorHAnsi" w:cstheme="minorBidi"/>
          <w:sz w:val="22"/>
          <w:szCs w:val="22"/>
        </w:rPr>
        <w:t>.</w:t>
      </w:r>
    </w:p>
    <w:p w14:paraId="0601E8DE" w14:textId="77777777" w:rsidR="0024694D" w:rsidRPr="001E2A71" w:rsidRDefault="0024694D" w:rsidP="0024694D">
      <w:pPr>
        <w:spacing w:line="240" w:lineRule="auto"/>
        <w:rPr>
          <w:rFonts w:asciiTheme="minorHAnsi" w:eastAsiaTheme="minorEastAsia" w:hAnsiTheme="minorHAnsi" w:cstheme="minorBidi"/>
          <w:sz w:val="22"/>
          <w:szCs w:val="22"/>
        </w:rPr>
      </w:pPr>
      <w:r w:rsidRPr="001E2A71">
        <w:rPr>
          <w:rFonts w:asciiTheme="minorHAnsi" w:eastAsiaTheme="minorEastAsia" w:hAnsiTheme="minorHAnsi" w:cstheme="minorBidi"/>
          <w:sz w:val="22"/>
          <w:szCs w:val="22"/>
        </w:rPr>
        <w:t xml:space="preserve">The programme presents a few very minor risks which are being managed appropriately. The nature of the programme is research and development; therefore, risks are of an academic or programme development nature rather than presenting any severe risks to life, </w:t>
      </w:r>
      <w:proofErr w:type="gramStart"/>
      <w:r w:rsidRPr="001E2A71">
        <w:rPr>
          <w:rFonts w:asciiTheme="minorHAnsi" w:eastAsiaTheme="minorEastAsia" w:hAnsiTheme="minorHAnsi" w:cstheme="minorBidi"/>
          <w:sz w:val="22"/>
          <w:szCs w:val="22"/>
        </w:rPr>
        <w:t>infrastructure</w:t>
      </w:r>
      <w:proofErr w:type="gramEnd"/>
      <w:r w:rsidRPr="001E2A71">
        <w:rPr>
          <w:rFonts w:asciiTheme="minorHAnsi" w:eastAsiaTheme="minorEastAsia" w:hAnsiTheme="minorHAnsi" w:cstheme="minorBidi"/>
          <w:sz w:val="22"/>
          <w:szCs w:val="22"/>
        </w:rPr>
        <w:t xml:space="preserve"> or investment. </w:t>
      </w:r>
    </w:p>
    <w:p w14:paraId="5D1257FA" w14:textId="16CDC88F" w:rsidR="0024694D" w:rsidRPr="005379A1" w:rsidRDefault="0024694D" w:rsidP="009C0DA2">
      <w:pPr>
        <w:spacing w:line="240" w:lineRule="auto"/>
        <w:rPr>
          <w:rFonts w:asciiTheme="minorHAnsi" w:eastAsiaTheme="minorEastAsia" w:hAnsiTheme="minorHAnsi" w:cstheme="minorHAnsi"/>
          <w:sz w:val="22"/>
          <w:szCs w:val="22"/>
        </w:rPr>
      </w:pPr>
      <w:r>
        <w:rPr>
          <w:rFonts w:asciiTheme="minorHAnsi" w:eastAsiaTheme="minorEastAsia" w:hAnsiTheme="minorHAnsi" w:cstheme="minorBidi"/>
          <w:sz w:val="22"/>
          <w:szCs w:val="22"/>
        </w:rPr>
        <w:t>As new projects start additional r</w:t>
      </w:r>
      <w:r w:rsidRPr="001E2A71">
        <w:rPr>
          <w:rFonts w:asciiTheme="minorHAnsi" w:eastAsiaTheme="minorEastAsia" w:hAnsiTheme="minorHAnsi" w:cstheme="minorBidi"/>
          <w:sz w:val="22"/>
          <w:szCs w:val="22"/>
        </w:rPr>
        <w:t>isks</w:t>
      </w:r>
      <w:r>
        <w:rPr>
          <w:rFonts w:asciiTheme="minorHAnsi" w:eastAsiaTheme="minorEastAsia" w:hAnsiTheme="minorHAnsi" w:cstheme="minorBidi"/>
          <w:sz w:val="22"/>
          <w:szCs w:val="22"/>
        </w:rPr>
        <w:t xml:space="preserve"> will be tracked through a programme risk register.  Overall, </w:t>
      </w:r>
      <w:r w:rsidRPr="005379A1">
        <w:rPr>
          <w:rFonts w:asciiTheme="minorHAnsi" w:eastAsiaTheme="minorEastAsia" w:hAnsiTheme="minorHAnsi" w:cstheme="minorHAnsi"/>
          <w:sz w:val="22"/>
          <w:szCs w:val="22"/>
        </w:rPr>
        <w:t xml:space="preserve">the programme has </w:t>
      </w:r>
      <w:r>
        <w:rPr>
          <w:rFonts w:asciiTheme="minorHAnsi" w:eastAsiaTheme="minorEastAsia" w:hAnsiTheme="minorHAnsi" w:cstheme="minorHAnsi"/>
          <w:sz w:val="22"/>
          <w:szCs w:val="22"/>
        </w:rPr>
        <w:t>successfully navigated a difficult period of uncertainty and change and has demonstrated a good level of robustness and resilience</w:t>
      </w:r>
      <w:r w:rsidRPr="005379A1">
        <w:rPr>
          <w:rFonts w:asciiTheme="minorHAnsi" w:eastAsiaTheme="minorEastAsia" w:hAnsiTheme="minorHAnsi" w:cstheme="minorHAnsi"/>
          <w:sz w:val="22"/>
          <w:szCs w:val="22"/>
        </w:rPr>
        <w:t xml:space="preserve">. </w:t>
      </w:r>
    </w:p>
    <w:p w14:paraId="350AB9B3" w14:textId="77777777" w:rsidR="005C2DD2" w:rsidRPr="005C2DD2" w:rsidRDefault="005C2DD2" w:rsidP="00FB5425">
      <w:pPr>
        <w:spacing w:line="240" w:lineRule="auto"/>
        <w:rPr>
          <w:rFonts w:asciiTheme="minorHAnsi" w:eastAsiaTheme="minorEastAsia" w:hAnsiTheme="minorHAnsi"/>
          <w:sz w:val="22"/>
          <w:szCs w:val="22"/>
          <w:u w:val="single"/>
        </w:rPr>
      </w:pPr>
      <w:r w:rsidRPr="005C2DD2">
        <w:rPr>
          <w:rFonts w:asciiTheme="minorHAnsi" w:eastAsiaTheme="minorEastAsia" w:hAnsiTheme="minorHAnsi"/>
          <w:sz w:val="22"/>
          <w:szCs w:val="22"/>
          <w:u w:val="single"/>
        </w:rPr>
        <w:t xml:space="preserve">Future risk management: </w:t>
      </w:r>
    </w:p>
    <w:p w14:paraId="24AFD8B5" w14:textId="1F902695" w:rsidR="005C2DD2" w:rsidRDefault="005C2DD2" w:rsidP="00FB5425">
      <w:pPr>
        <w:spacing w:line="240" w:lineRule="auto"/>
        <w:rPr>
          <w:rFonts w:asciiTheme="minorHAnsi" w:eastAsiaTheme="minorEastAsia" w:hAnsiTheme="minorHAnsi"/>
          <w:sz w:val="22"/>
          <w:szCs w:val="22"/>
        </w:rPr>
      </w:pPr>
      <w:r>
        <w:rPr>
          <w:rFonts w:asciiTheme="minorHAnsi" w:eastAsiaTheme="minorEastAsia" w:hAnsiTheme="minorHAnsi"/>
          <w:sz w:val="22"/>
          <w:szCs w:val="22"/>
        </w:rPr>
        <w:t xml:space="preserve">With regards to risk management and recommendations and lessons learnt for future years, the programme must: </w:t>
      </w:r>
    </w:p>
    <w:p w14:paraId="09196229" w14:textId="77777777" w:rsidR="005C2DD2" w:rsidRDefault="005C2DD2" w:rsidP="000840B1">
      <w:pPr>
        <w:pStyle w:val="ListParagraph"/>
        <w:numPr>
          <w:ilvl w:val="0"/>
          <w:numId w:val="33"/>
        </w:numPr>
        <w:spacing w:before="0" w:after="240" w:line="240" w:lineRule="auto"/>
        <w:rPr>
          <w:rFonts w:asciiTheme="minorHAnsi" w:eastAsiaTheme="minorEastAsia" w:hAnsiTheme="minorHAnsi"/>
          <w:sz w:val="22"/>
          <w:szCs w:val="22"/>
        </w:rPr>
      </w:pPr>
      <w:r>
        <w:rPr>
          <w:rFonts w:asciiTheme="minorHAnsi" w:eastAsiaTheme="minorEastAsia" w:hAnsiTheme="minorHAnsi"/>
          <w:sz w:val="22"/>
          <w:szCs w:val="22"/>
        </w:rPr>
        <w:lastRenderedPageBreak/>
        <w:t xml:space="preserve">Continue to keep project level risk registers active in real time for all live </w:t>
      </w:r>
      <w:proofErr w:type="gramStart"/>
      <w:r>
        <w:rPr>
          <w:rFonts w:asciiTheme="minorHAnsi" w:eastAsiaTheme="minorEastAsia" w:hAnsiTheme="minorHAnsi"/>
          <w:sz w:val="22"/>
          <w:szCs w:val="22"/>
        </w:rPr>
        <w:t>projects</w:t>
      </w:r>
      <w:proofErr w:type="gramEnd"/>
      <w:r>
        <w:rPr>
          <w:rFonts w:asciiTheme="minorHAnsi" w:eastAsiaTheme="minorEastAsia" w:hAnsiTheme="minorHAnsi"/>
          <w:sz w:val="22"/>
          <w:szCs w:val="22"/>
        </w:rPr>
        <w:t xml:space="preserve"> </w:t>
      </w:r>
    </w:p>
    <w:p w14:paraId="2DD78088" w14:textId="77777777" w:rsidR="005C2DD2" w:rsidRDefault="005C2DD2" w:rsidP="00C652DD">
      <w:pPr>
        <w:pStyle w:val="ListParagraph"/>
        <w:numPr>
          <w:ilvl w:val="0"/>
          <w:numId w:val="33"/>
        </w:numPr>
        <w:spacing w:before="0" w:after="240" w:line="240" w:lineRule="auto"/>
        <w:rPr>
          <w:rFonts w:asciiTheme="minorHAnsi" w:eastAsiaTheme="minorEastAsia" w:hAnsiTheme="minorHAnsi"/>
          <w:sz w:val="22"/>
          <w:szCs w:val="22"/>
        </w:rPr>
      </w:pPr>
      <w:r>
        <w:rPr>
          <w:rFonts w:asciiTheme="minorHAnsi" w:eastAsiaTheme="minorEastAsia" w:hAnsiTheme="minorHAnsi"/>
          <w:sz w:val="22"/>
          <w:szCs w:val="22"/>
        </w:rPr>
        <w:t xml:space="preserve">Create a programme risk register which sets out ICF R&amp;D project </w:t>
      </w:r>
      <w:proofErr w:type="gramStart"/>
      <w:r>
        <w:rPr>
          <w:rFonts w:asciiTheme="minorHAnsi" w:eastAsiaTheme="minorEastAsia" w:hAnsiTheme="minorHAnsi"/>
          <w:sz w:val="22"/>
          <w:szCs w:val="22"/>
        </w:rPr>
        <w:t>risks</w:t>
      </w:r>
      <w:proofErr w:type="gramEnd"/>
      <w:r>
        <w:rPr>
          <w:rFonts w:asciiTheme="minorHAnsi" w:eastAsiaTheme="minorEastAsia" w:hAnsiTheme="minorHAnsi"/>
          <w:sz w:val="22"/>
          <w:szCs w:val="22"/>
        </w:rPr>
        <w:t xml:space="preserve"> </w:t>
      </w:r>
    </w:p>
    <w:p w14:paraId="3F6ABFBE" w14:textId="77777777" w:rsidR="005C2DD2" w:rsidRPr="00BA3D49" w:rsidRDefault="005C2DD2" w:rsidP="00C652DD">
      <w:pPr>
        <w:pStyle w:val="ListParagraph"/>
        <w:numPr>
          <w:ilvl w:val="0"/>
          <w:numId w:val="33"/>
        </w:numPr>
        <w:spacing w:before="0" w:after="240" w:line="240" w:lineRule="auto"/>
        <w:rPr>
          <w:rFonts w:asciiTheme="minorHAnsi" w:eastAsiaTheme="minorEastAsia" w:hAnsiTheme="minorHAnsi"/>
          <w:sz w:val="22"/>
          <w:szCs w:val="22"/>
        </w:rPr>
      </w:pPr>
      <w:r>
        <w:rPr>
          <w:rFonts w:asciiTheme="minorHAnsi" w:eastAsiaTheme="minorEastAsia" w:hAnsiTheme="minorHAnsi"/>
          <w:sz w:val="22"/>
          <w:szCs w:val="22"/>
        </w:rPr>
        <w:t xml:space="preserve">Provide better risk analysis with regards to closing risks on register(s) as well as providing better mitigation options than the first </w:t>
      </w:r>
      <w:proofErr w:type="gramStart"/>
      <w:r>
        <w:rPr>
          <w:rFonts w:asciiTheme="minorHAnsi" w:eastAsiaTheme="minorEastAsia" w:hAnsiTheme="minorHAnsi"/>
          <w:sz w:val="22"/>
          <w:szCs w:val="22"/>
        </w:rPr>
        <w:t>year</w:t>
      </w:r>
      <w:proofErr w:type="gramEnd"/>
    </w:p>
    <w:p w14:paraId="26817463" w14:textId="57C379C9" w:rsidR="001E2A71" w:rsidRDefault="005C2DD2" w:rsidP="009C0DA2">
      <w:pPr>
        <w:spacing w:line="240" w:lineRule="auto"/>
        <w:rPr>
          <w:rFonts w:asciiTheme="minorHAnsi" w:eastAsiaTheme="minorEastAsia" w:hAnsiTheme="minorHAnsi" w:cstheme="minorBidi"/>
          <w:sz w:val="22"/>
          <w:szCs w:val="22"/>
          <w:u w:val="single"/>
        </w:rPr>
      </w:pPr>
      <w:r>
        <w:rPr>
          <w:rFonts w:asciiTheme="minorHAnsi" w:eastAsiaTheme="minorEastAsia" w:hAnsiTheme="minorHAnsi" w:cstheme="minorBidi"/>
          <w:sz w:val="22"/>
          <w:szCs w:val="22"/>
          <w:u w:val="single"/>
        </w:rPr>
        <w:t xml:space="preserve">Safeguarding: </w:t>
      </w:r>
    </w:p>
    <w:p w14:paraId="5D965DFE" w14:textId="77777777" w:rsidR="005C2DD2" w:rsidRPr="001D7618" w:rsidRDefault="005C2DD2" w:rsidP="009C0DA2">
      <w:pPr>
        <w:spacing w:line="240" w:lineRule="auto"/>
        <w:jc w:val="both"/>
        <w:textAlignment w:val="baseline"/>
        <w:rPr>
          <w:rFonts w:ascii="Calibri" w:hAnsi="Calibri" w:cs="Calibri"/>
          <w:sz w:val="26"/>
          <w:szCs w:val="26"/>
          <w:lang w:eastAsia="en-GB"/>
        </w:rPr>
      </w:pPr>
      <w:r>
        <w:rPr>
          <w:rFonts w:ascii="Calibri" w:hAnsi="Calibri" w:cs="Calibri"/>
          <w:sz w:val="22"/>
          <w:szCs w:val="22"/>
          <w:lang w:eastAsia="en-GB"/>
        </w:rPr>
        <w:t>The ICF R&amp;D</w:t>
      </w:r>
      <w:r w:rsidRPr="00DE117C">
        <w:rPr>
          <w:rFonts w:ascii="Calibri" w:hAnsi="Calibri" w:cs="Calibri"/>
          <w:sz w:val="22"/>
          <w:szCs w:val="22"/>
          <w:lang w:eastAsia="en-GB"/>
        </w:rPr>
        <w:t xml:space="preserve"> programme has not experienced any safeguarding concerns in Year </w:t>
      </w:r>
      <w:r>
        <w:rPr>
          <w:rFonts w:ascii="Calibri" w:hAnsi="Calibri" w:cs="Calibri"/>
          <w:sz w:val="22"/>
          <w:szCs w:val="22"/>
          <w:lang w:eastAsia="en-GB"/>
        </w:rPr>
        <w:t>1</w:t>
      </w:r>
      <w:r w:rsidRPr="00DE117C">
        <w:rPr>
          <w:rFonts w:ascii="Calibri" w:hAnsi="Calibri" w:cs="Calibri"/>
          <w:sz w:val="22"/>
          <w:szCs w:val="22"/>
          <w:lang w:eastAsia="en-GB"/>
        </w:rPr>
        <w:t xml:space="preserve"> at </w:t>
      </w:r>
      <w:r>
        <w:rPr>
          <w:rFonts w:ascii="Calibri" w:hAnsi="Calibri" w:cs="Calibri"/>
          <w:sz w:val="22"/>
          <w:szCs w:val="22"/>
          <w:lang w:eastAsia="en-GB"/>
        </w:rPr>
        <w:t xml:space="preserve">project </w:t>
      </w:r>
      <w:r w:rsidRPr="00DE117C">
        <w:rPr>
          <w:rFonts w:ascii="Calibri" w:hAnsi="Calibri" w:cs="Calibri"/>
          <w:sz w:val="22"/>
          <w:szCs w:val="22"/>
          <w:lang w:eastAsia="en-GB"/>
        </w:rPr>
        <w:t>sites funded by Defra’s ICF.  </w:t>
      </w:r>
    </w:p>
    <w:p w14:paraId="7F1F49CB" w14:textId="77777777" w:rsidR="009C0DA2" w:rsidRPr="00F70DBE" w:rsidRDefault="009C0DA2" w:rsidP="009C0DA2">
      <w:pPr>
        <w:pBdr>
          <w:top w:val="single" w:sz="4" w:space="1" w:color="auto"/>
          <w:left w:val="single" w:sz="4" w:space="4" w:color="auto"/>
          <w:bottom w:val="single" w:sz="4" w:space="1" w:color="auto"/>
          <w:right w:val="single" w:sz="4" w:space="4" w:color="auto"/>
        </w:pBdr>
        <w:shd w:val="clear" w:color="auto" w:fill="DBE5F1" w:themeFill="accent1" w:themeFillTint="33"/>
        <w:rPr>
          <w:rFonts w:cs="Arial"/>
          <w:sz w:val="20"/>
          <w:szCs w:val="20"/>
        </w:rPr>
      </w:pPr>
      <w:r>
        <w:rPr>
          <w:b/>
          <w:sz w:val="28"/>
          <w:szCs w:val="22"/>
        </w:rPr>
        <w:t>E</w:t>
      </w:r>
      <w:r w:rsidRPr="00F70DBE">
        <w:rPr>
          <w:b/>
          <w:sz w:val="28"/>
          <w:szCs w:val="22"/>
        </w:rPr>
        <w:t xml:space="preserve">: </w:t>
      </w:r>
      <w:r>
        <w:rPr>
          <w:b/>
          <w:sz w:val="28"/>
          <w:szCs w:val="22"/>
        </w:rPr>
        <w:t xml:space="preserve">PROGRAMME MANAGEMENT: </w:t>
      </w:r>
      <w:bookmarkStart w:id="0" w:name="_Hlk21353049"/>
      <w:r>
        <w:rPr>
          <w:b/>
          <w:sz w:val="28"/>
          <w:szCs w:val="22"/>
        </w:rPr>
        <w:t xml:space="preserve">DELIVERY, COMMERCIAL &amp; FINANCIAL PERFORMANCE </w:t>
      </w:r>
      <w:bookmarkEnd w:id="0"/>
    </w:p>
    <w:p w14:paraId="147A4B3C" w14:textId="73EF4BC2" w:rsidR="00265061" w:rsidRPr="00265061" w:rsidRDefault="00265061" w:rsidP="000840B1">
      <w:pPr>
        <w:spacing w:before="0" w:after="0" w:line="240" w:lineRule="auto"/>
        <w:rPr>
          <w:rFonts w:ascii="Calibri" w:eastAsia="Yu Mincho" w:hAnsi="Calibri"/>
          <w:sz w:val="22"/>
          <w:szCs w:val="22"/>
          <w:u w:val="single"/>
        </w:rPr>
      </w:pPr>
      <w:r>
        <w:rPr>
          <w:rFonts w:ascii="Calibri" w:eastAsia="Yu Mincho" w:hAnsi="Calibri"/>
          <w:sz w:val="22"/>
          <w:szCs w:val="22"/>
          <w:u w:val="single"/>
        </w:rPr>
        <w:t xml:space="preserve">Delivery/Commercial: </w:t>
      </w:r>
    </w:p>
    <w:p w14:paraId="7BCDC8AB" w14:textId="77777777" w:rsidR="00265061" w:rsidRDefault="00265061" w:rsidP="00C652DD">
      <w:pPr>
        <w:spacing w:before="0" w:after="0" w:line="240" w:lineRule="auto"/>
        <w:rPr>
          <w:rFonts w:ascii="Calibri" w:eastAsia="Yu Mincho" w:hAnsi="Calibri"/>
          <w:sz w:val="22"/>
          <w:szCs w:val="22"/>
        </w:rPr>
      </w:pPr>
    </w:p>
    <w:p w14:paraId="4EB4AAD1" w14:textId="190B7D80" w:rsidR="008B0A1D" w:rsidRDefault="00265061" w:rsidP="00C652DD">
      <w:pPr>
        <w:spacing w:before="0" w:after="0" w:line="240" w:lineRule="auto"/>
        <w:rPr>
          <w:rFonts w:ascii="Calibri" w:eastAsia="Yu Mincho" w:hAnsi="Calibri"/>
          <w:sz w:val="22"/>
          <w:szCs w:val="22"/>
        </w:rPr>
      </w:pPr>
      <w:r w:rsidRPr="00265061">
        <w:rPr>
          <w:rFonts w:ascii="Calibri" w:eastAsia="Yu Mincho" w:hAnsi="Calibri"/>
          <w:sz w:val="22"/>
          <w:szCs w:val="22"/>
        </w:rPr>
        <w:t xml:space="preserve">The R&amp;D programme has experienced a range of challenges throughout the review period relating to keeping pace against expected timeframes detailed in the programme </w:t>
      </w:r>
      <w:proofErr w:type="spellStart"/>
      <w:r w:rsidRPr="00265061">
        <w:rPr>
          <w:rFonts w:ascii="Calibri" w:eastAsia="Yu Mincho" w:hAnsi="Calibri"/>
          <w:sz w:val="22"/>
          <w:szCs w:val="22"/>
        </w:rPr>
        <w:t>ToC</w:t>
      </w:r>
      <w:proofErr w:type="spellEnd"/>
      <w:r w:rsidRPr="00265061">
        <w:rPr>
          <w:rFonts w:ascii="Calibri" w:eastAsia="Yu Mincho" w:hAnsi="Calibri"/>
          <w:sz w:val="22"/>
          <w:szCs w:val="22"/>
        </w:rPr>
        <w:t xml:space="preserve"> and business plan. </w:t>
      </w:r>
      <w:r w:rsidR="008F2033">
        <w:rPr>
          <w:rFonts w:ascii="Calibri" w:eastAsia="Yu Mincho" w:hAnsi="Calibri"/>
          <w:sz w:val="22"/>
          <w:szCs w:val="22"/>
        </w:rPr>
        <w:t xml:space="preserve"> These are manifest in two </w:t>
      </w:r>
      <w:proofErr w:type="gramStart"/>
      <w:r w:rsidR="008F2033">
        <w:rPr>
          <w:rFonts w:ascii="Calibri" w:eastAsia="Yu Mincho" w:hAnsi="Calibri"/>
          <w:sz w:val="22"/>
          <w:szCs w:val="22"/>
        </w:rPr>
        <w:t>key ways</w:t>
      </w:r>
      <w:proofErr w:type="gramEnd"/>
      <w:r w:rsidRPr="00265061">
        <w:rPr>
          <w:rFonts w:ascii="Calibri" w:eastAsia="Yu Mincho" w:hAnsi="Calibri"/>
          <w:sz w:val="22"/>
          <w:szCs w:val="22"/>
        </w:rPr>
        <w:t>:</w:t>
      </w:r>
    </w:p>
    <w:p w14:paraId="4DEB5CCF" w14:textId="59544FFB" w:rsidR="008B0A1D" w:rsidRDefault="008B0A1D" w:rsidP="00C652DD">
      <w:pPr>
        <w:spacing w:before="0" w:after="0" w:line="240" w:lineRule="auto"/>
        <w:rPr>
          <w:rFonts w:ascii="Calibri" w:eastAsia="Yu Mincho" w:hAnsi="Calibri"/>
          <w:sz w:val="22"/>
          <w:szCs w:val="22"/>
        </w:rPr>
      </w:pPr>
    </w:p>
    <w:p w14:paraId="528E3280" w14:textId="7E33861D" w:rsidR="008B0A1D" w:rsidRPr="008B0A1D" w:rsidRDefault="008B0A1D" w:rsidP="00710238">
      <w:pPr>
        <w:numPr>
          <w:ilvl w:val="0"/>
          <w:numId w:val="34"/>
        </w:numPr>
        <w:spacing w:before="0" w:after="0" w:line="240" w:lineRule="auto"/>
        <w:rPr>
          <w:rFonts w:ascii="Calibri" w:eastAsia="Yu Mincho" w:hAnsi="Calibri"/>
          <w:sz w:val="22"/>
          <w:szCs w:val="22"/>
        </w:rPr>
      </w:pPr>
      <w:r w:rsidRPr="008B0A1D">
        <w:rPr>
          <w:rFonts w:ascii="Calibri" w:eastAsia="Yu Mincho" w:hAnsi="Calibri"/>
          <w:b/>
          <w:bCs/>
          <w:sz w:val="22"/>
          <w:szCs w:val="22"/>
        </w:rPr>
        <w:t>Delays in carrying out activities due to the COVID-19 pandemic</w:t>
      </w:r>
      <w:r w:rsidR="00710238">
        <w:rPr>
          <w:rFonts w:ascii="Calibri" w:eastAsia="Yu Mincho" w:hAnsi="Calibri"/>
          <w:b/>
          <w:bCs/>
          <w:sz w:val="22"/>
          <w:szCs w:val="22"/>
        </w:rPr>
        <w:t xml:space="preserve"> and associated cross-HMG review of aid spending</w:t>
      </w:r>
      <w:r w:rsidRPr="008B0A1D">
        <w:rPr>
          <w:rFonts w:ascii="Calibri" w:eastAsia="Yu Mincho" w:hAnsi="Calibri"/>
          <w:b/>
          <w:bCs/>
          <w:sz w:val="22"/>
          <w:szCs w:val="22"/>
        </w:rPr>
        <w:t>.</w:t>
      </w:r>
      <w:r w:rsidRPr="008B0A1D">
        <w:rPr>
          <w:rFonts w:ascii="Calibri" w:eastAsia="Yu Mincho" w:hAnsi="Calibri"/>
          <w:sz w:val="22"/>
          <w:szCs w:val="22"/>
        </w:rPr>
        <w:t xml:space="preserve"> Travel and meeting restrictions prevented some activities from taking place while some national and international markets shut down, preventing progress. Particularly effects were felt in relation to staff and supplier sickness, challenges with recruitment and delays to equipment delivery and engineer setup of machinery. </w:t>
      </w:r>
      <w:r w:rsidR="00710238">
        <w:rPr>
          <w:rFonts w:ascii="Calibri" w:eastAsia="Yu Mincho" w:hAnsi="Calibri"/>
          <w:sz w:val="22"/>
          <w:szCs w:val="22"/>
        </w:rPr>
        <w:t xml:space="preserve"> </w:t>
      </w:r>
      <w:r w:rsidR="008F2033">
        <w:rPr>
          <w:rFonts w:ascii="Calibri" w:eastAsia="Yu Mincho" w:hAnsi="Calibri"/>
          <w:sz w:val="22"/>
          <w:szCs w:val="22"/>
        </w:rPr>
        <w:t>While some programme elements are now gathering pace following these delays, others are being re-shaped following t</w:t>
      </w:r>
      <w:r w:rsidR="00710238">
        <w:rPr>
          <w:rFonts w:ascii="Calibri" w:eastAsia="Yu Mincho" w:hAnsi="Calibri"/>
          <w:sz w:val="22"/>
          <w:szCs w:val="22"/>
        </w:rPr>
        <w:t>he associated cross-HMG review of aid spending</w:t>
      </w:r>
      <w:r w:rsidR="008F2033">
        <w:rPr>
          <w:rFonts w:ascii="Calibri" w:eastAsia="Yu Mincho" w:hAnsi="Calibri"/>
          <w:sz w:val="22"/>
          <w:szCs w:val="22"/>
        </w:rPr>
        <w:t xml:space="preserve">. </w:t>
      </w:r>
    </w:p>
    <w:p w14:paraId="34344CDD" w14:textId="39BF9E83" w:rsidR="008B0A1D" w:rsidRDefault="008F2033" w:rsidP="00C8496F">
      <w:pPr>
        <w:numPr>
          <w:ilvl w:val="0"/>
          <w:numId w:val="34"/>
        </w:numPr>
        <w:spacing w:before="0" w:after="0" w:line="240" w:lineRule="auto"/>
        <w:rPr>
          <w:rFonts w:ascii="Calibri" w:eastAsia="Yu Mincho" w:hAnsi="Calibri"/>
          <w:sz w:val="22"/>
          <w:szCs w:val="22"/>
        </w:rPr>
      </w:pPr>
      <w:r>
        <w:rPr>
          <w:rFonts w:ascii="Calibri" w:eastAsia="Yu Mincho" w:hAnsi="Calibri"/>
          <w:b/>
          <w:bCs/>
          <w:sz w:val="22"/>
          <w:szCs w:val="22"/>
        </w:rPr>
        <w:t xml:space="preserve">Testing, </w:t>
      </w:r>
      <w:proofErr w:type="gramStart"/>
      <w:r>
        <w:rPr>
          <w:rFonts w:ascii="Calibri" w:eastAsia="Yu Mincho" w:hAnsi="Calibri"/>
          <w:b/>
          <w:bCs/>
          <w:sz w:val="22"/>
          <w:szCs w:val="22"/>
        </w:rPr>
        <w:t>learning</w:t>
      </w:r>
      <w:proofErr w:type="gramEnd"/>
      <w:r>
        <w:rPr>
          <w:rFonts w:ascii="Calibri" w:eastAsia="Yu Mincho" w:hAnsi="Calibri"/>
          <w:b/>
          <w:bCs/>
          <w:sz w:val="22"/>
          <w:szCs w:val="22"/>
        </w:rPr>
        <w:t xml:space="preserve"> and refining.</w:t>
      </w:r>
      <w:r w:rsidR="008B0A1D" w:rsidRPr="008B0A1D">
        <w:rPr>
          <w:rFonts w:ascii="Calibri" w:eastAsia="Yu Mincho" w:hAnsi="Calibri"/>
          <w:sz w:val="22"/>
          <w:szCs w:val="22"/>
        </w:rPr>
        <w:t xml:space="preserve"> </w:t>
      </w:r>
      <w:r>
        <w:rPr>
          <w:rFonts w:ascii="Calibri" w:eastAsia="Yu Mincho" w:hAnsi="Calibri"/>
          <w:sz w:val="22"/>
          <w:szCs w:val="22"/>
        </w:rPr>
        <w:t xml:space="preserve"> Our proposal for the </w:t>
      </w:r>
      <w:proofErr w:type="spellStart"/>
      <w:r>
        <w:rPr>
          <w:rFonts w:ascii="Calibri" w:eastAsia="Yu Mincho" w:hAnsi="Calibri"/>
          <w:sz w:val="22"/>
          <w:szCs w:val="22"/>
        </w:rPr>
        <w:t>GCoE</w:t>
      </w:r>
      <w:proofErr w:type="spellEnd"/>
      <w:r>
        <w:rPr>
          <w:rFonts w:ascii="Calibri" w:eastAsia="Yu Mincho" w:hAnsi="Calibri"/>
          <w:sz w:val="22"/>
          <w:szCs w:val="22"/>
        </w:rPr>
        <w:t xml:space="preserve"> has benefitted from a significant period of market engagement and testing of our proposed approach to project delivery.  We under-estimated the time required for this, but doing so will help increase the project’s </w:t>
      </w:r>
      <w:r w:rsidR="008B0A1D" w:rsidRPr="008B0A1D">
        <w:rPr>
          <w:rFonts w:ascii="Calibri" w:eastAsia="Yu Mincho" w:hAnsi="Calibri"/>
          <w:sz w:val="22"/>
          <w:szCs w:val="22"/>
        </w:rPr>
        <w:t>effective</w:t>
      </w:r>
      <w:r>
        <w:rPr>
          <w:rFonts w:ascii="Calibri" w:eastAsia="Yu Mincho" w:hAnsi="Calibri"/>
          <w:sz w:val="22"/>
          <w:szCs w:val="22"/>
        </w:rPr>
        <w:t xml:space="preserve">ness in meeting </w:t>
      </w:r>
      <w:r w:rsidR="008B0A1D" w:rsidRPr="008B0A1D">
        <w:rPr>
          <w:rFonts w:ascii="Calibri" w:eastAsia="Yu Mincho" w:hAnsi="Calibri"/>
          <w:sz w:val="22"/>
          <w:szCs w:val="22"/>
        </w:rPr>
        <w:t>output/outcome targets</w:t>
      </w:r>
      <w:r>
        <w:rPr>
          <w:rFonts w:ascii="Calibri" w:eastAsia="Yu Mincho" w:hAnsi="Calibri"/>
          <w:sz w:val="22"/>
          <w:szCs w:val="22"/>
        </w:rPr>
        <w:t xml:space="preserve"> including long-term transformational change</w:t>
      </w:r>
      <w:r w:rsidR="008B0A1D" w:rsidRPr="008B0A1D">
        <w:rPr>
          <w:rFonts w:ascii="Calibri" w:eastAsia="Yu Mincho" w:hAnsi="Calibri"/>
          <w:sz w:val="22"/>
          <w:szCs w:val="22"/>
        </w:rPr>
        <w:t xml:space="preserve">. </w:t>
      </w:r>
    </w:p>
    <w:p w14:paraId="0730DC6A" w14:textId="7884734B" w:rsidR="002318EC" w:rsidRDefault="002318EC" w:rsidP="002318EC">
      <w:pPr>
        <w:spacing w:before="0" w:after="0" w:line="240" w:lineRule="auto"/>
        <w:rPr>
          <w:rFonts w:ascii="Calibri" w:eastAsia="Yu Mincho" w:hAnsi="Calibri"/>
          <w:sz w:val="22"/>
          <w:szCs w:val="22"/>
        </w:rPr>
      </w:pPr>
    </w:p>
    <w:p w14:paraId="0C480B92" w14:textId="5FC7FA11" w:rsidR="002318EC" w:rsidRDefault="002318EC" w:rsidP="002318EC">
      <w:pPr>
        <w:spacing w:before="0" w:after="0" w:line="240" w:lineRule="auto"/>
        <w:rPr>
          <w:rFonts w:ascii="Calibri" w:eastAsia="Yu Mincho" w:hAnsi="Calibri"/>
          <w:sz w:val="22"/>
          <w:szCs w:val="22"/>
          <w:u w:val="single"/>
        </w:rPr>
      </w:pPr>
      <w:r w:rsidRPr="002318EC">
        <w:rPr>
          <w:rFonts w:ascii="Calibri" w:eastAsia="Yu Mincho" w:hAnsi="Calibri"/>
          <w:sz w:val="22"/>
          <w:szCs w:val="22"/>
          <w:u w:val="single"/>
        </w:rPr>
        <w:t>Reporting and monitoring</w:t>
      </w:r>
      <w:r>
        <w:rPr>
          <w:rFonts w:ascii="Calibri" w:eastAsia="Yu Mincho" w:hAnsi="Calibri"/>
          <w:sz w:val="22"/>
          <w:szCs w:val="22"/>
          <w:u w:val="single"/>
        </w:rPr>
        <w:t>:</w:t>
      </w:r>
    </w:p>
    <w:p w14:paraId="15D1577D" w14:textId="1B160CD0" w:rsidR="002318EC" w:rsidRDefault="002318EC" w:rsidP="002318EC">
      <w:pPr>
        <w:spacing w:before="0" w:after="0" w:line="240" w:lineRule="auto"/>
        <w:rPr>
          <w:rFonts w:ascii="Calibri" w:eastAsia="Yu Mincho" w:hAnsi="Calibri"/>
          <w:sz w:val="22"/>
          <w:szCs w:val="22"/>
          <w:u w:val="single"/>
        </w:rPr>
      </w:pPr>
    </w:p>
    <w:p w14:paraId="37F63618" w14:textId="3D614478" w:rsidR="002318EC" w:rsidRPr="002318EC" w:rsidRDefault="002318EC" w:rsidP="002318EC">
      <w:pPr>
        <w:spacing w:before="0" w:after="0" w:line="240" w:lineRule="auto"/>
        <w:rPr>
          <w:rFonts w:ascii="Calibri" w:eastAsia="Yu Mincho" w:hAnsi="Calibri"/>
          <w:sz w:val="22"/>
          <w:szCs w:val="22"/>
        </w:rPr>
      </w:pPr>
      <w:r w:rsidRPr="217F4493">
        <w:rPr>
          <w:rFonts w:ascii="Calibri" w:eastAsia="Yu Mincho" w:hAnsi="Calibri"/>
          <w:sz w:val="22"/>
          <w:szCs w:val="22"/>
        </w:rPr>
        <w:t xml:space="preserve">Projects that commenced during this AR period reported at least quarterly into the Programme Manager and monitoring of </w:t>
      </w:r>
      <w:proofErr w:type="spellStart"/>
      <w:r w:rsidRPr="217F4493">
        <w:rPr>
          <w:rFonts w:ascii="Calibri" w:eastAsia="Yu Mincho" w:hAnsi="Calibri"/>
          <w:sz w:val="22"/>
          <w:szCs w:val="22"/>
        </w:rPr>
        <w:t>logframe</w:t>
      </w:r>
      <w:proofErr w:type="spellEnd"/>
      <w:r w:rsidRPr="217F4493">
        <w:rPr>
          <w:rFonts w:ascii="Calibri" w:eastAsia="Yu Mincho" w:hAnsi="Calibri"/>
          <w:sz w:val="22"/>
          <w:szCs w:val="22"/>
        </w:rPr>
        <w:t xml:space="preserve"> adherence was also done through regular project meetings with suppliers. A more rigorous approach is planned for subsequent years as more projects go live and therefore the need for analysis across different workstreams becomes necessary. </w:t>
      </w:r>
    </w:p>
    <w:p w14:paraId="00A14A39" w14:textId="46A90BE1" w:rsidR="008B0A1D" w:rsidRDefault="008B0A1D" w:rsidP="00FB5425">
      <w:pPr>
        <w:spacing w:before="0" w:after="0" w:line="240" w:lineRule="auto"/>
        <w:rPr>
          <w:rFonts w:ascii="Calibri" w:eastAsia="Yu Mincho" w:hAnsi="Calibri"/>
          <w:sz w:val="22"/>
          <w:szCs w:val="22"/>
        </w:rPr>
      </w:pPr>
    </w:p>
    <w:p w14:paraId="5E397FCB" w14:textId="65D04C41" w:rsidR="008B0A1D" w:rsidRPr="008B0A1D" w:rsidRDefault="008B0A1D" w:rsidP="00FB5425">
      <w:pPr>
        <w:spacing w:before="0" w:after="0" w:line="240" w:lineRule="auto"/>
        <w:rPr>
          <w:rFonts w:ascii="Calibri" w:eastAsia="Yu Mincho" w:hAnsi="Calibri"/>
          <w:sz w:val="22"/>
          <w:szCs w:val="22"/>
          <w:u w:val="single"/>
        </w:rPr>
      </w:pPr>
      <w:r>
        <w:rPr>
          <w:rFonts w:ascii="Calibri" w:eastAsia="Yu Mincho" w:hAnsi="Calibri"/>
          <w:sz w:val="22"/>
          <w:szCs w:val="22"/>
          <w:u w:val="single"/>
        </w:rPr>
        <w:t xml:space="preserve">Financial: </w:t>
      </w:r>
    </w:p>
    <w:p w14:paraId="0F268505" w14:textId="77777777" w:rsidR="008B0A1D" w:rsidRDefault="008B0A1D" w:rsidP="00FB5425">
      <w:pPr>
        <w:spacing w:before="0" w:after="0" w:line="240" w:lineRule="auto"/>
        <w:rPr>
          <w:rFonts w:ascii="Calibri" w:eastAsia="Yu Mincho" w:hAnsi="Calibri"/>
          <w:sz w:val="22"/>
          <w:szCs w:val="22"/>
        </w:rPr>
      </w:pPr>
    </w:p>
    <w:p w14:paraId="5F684248" w14:textId="144BDEC4" w:rsidR="00E162B9" w:rsidRPr="00E162B9" w:rsidRDefault="00FA04A0" w:rsidP="00C652DD">
      <w:pPr>
        <w:spacing w:before="0" w:after="0" w:line="240" w:lineRule="auto"/>
        <w:rPr>
          <w:rFonts w:ascii="Calibri" w:eastAsia="Yu Mincho" w:hAnsi="Calibri"/>
          <w:sz w:val="22"/>
          <w:szCs w:val="22"/>
        </w:rPr>
      </w:pPr>
      <w:r>
        <w:rPr>
          <w:rFonts w:ascii="Calibri" w:eastAsia="Yu Mincho" w:hAnsi="Calibri"/>
          <w:sz w:val="22"/>
          <w:szCs w:val="22"/>
        </w:rPr>
        <w:t xml:space="preserve">The project delays described above contributed to an overall underspend of £358,123.  </w:t>
      </w:r>
      <w:r w:rsidR="008F2033">
        <w:rPr>
          <w:rFonts w:ascii="Calibri" w:eastAsia="Yu Mincho" w:hAnsi="Calibri"/>
          <w:sz w:val="22"/>
          <w:szCs w:val="22"/>
        </w:rPr>
        <w:t xml:space="preserve">As the programme </w:t>
      </w:r>
      <w:proofErr w:type="gramStart"/>
      <w:r w:rsidR="008F2033">
        <w:rPr>
          <w:rFonts w:ascii="Calibri" w:eastAsia="Yu Mincho" w:hAnsi="Calibri"/>
          <w:sz w:val="22"/>
          <w:szCs w:val="22"/>
        </w:rPr>
        <w:t>matures</w:t>
      </w:r>
      <w:proofErr w:type="gramEnd"/>
      <w:r w:rsidR="008F2033">
        <w:rPr>
          <w:rFonts w:ascii="Calibri" w:eastAsia="Yu Mincho" w:hAnsi="Calibri"/>
          <w:sz w:val="22"/>
          <w:szCs w:val="22"/>
        </w:rPr>
        <w:t xml:space="preserve"> we are planning to invest additional resource in programme-level financial management to bring together existing project-level activity and</w:t>
      </w:r>
      <w:r>
        <w:rPr>
          <w:rFonts w:ascii="Calibri" w:eastAsia="Yu Mincho" w:hAnsi="Calibri"/>
          <w:sz w:val="22"/>
          <w:szCs w:val="22"/>
        </w:rPr>
        <w:t xml:space="preserve"> </w:t>
      </w:r>
      <w:r w:rsidR="008F2033">
        <w:rPr>
          <w:rFonts w:ascii="Calibri" w:eastAsia="Yu Mincho" w:hAnsi="Calibri"/>
          <w:sz w:val="22"/>
          <w:szCs w:val="22"/>
        </w:rPr>
        <w:t xml:space="preserve">provide a stronger overview of the financial position of the programme.  This will be particularly important should additional funds be sourced for the </w:t>
      </w:r>
      <w:proofErr w:type="spellStart"/>
      <w:r w:rsidR="008F2033">
        <w:rPr>
          <w:rFonts w:ascii="Calibri" w:eastAsia="Yu Mincho" w:hAnsi="Calibri"/>
          <w:sz w:val="22"/>
          <w:szCs w:val="22"/>
        </w:rPr>
        <w:t>GCoE</w:t>
      </w:r>
      <w:proofErr w:type="spellEnd"/>
      <w:r w:rsidR="008F2033">
        <w:rPr>
          <w:rFonts w:ascii="Calibri" w:eastAsia="Yu Mincho" w:hAnsi="Calibri"/>
          <w:sz w:val="22"/>
          <w:szCs w:val="22"/>
        </w:rPr>
        <w:t>.  A more senior level programme management board wi</w:t>
      </w:r>
      <w:r>
        <w:rPr>
          <w:rFonts w:ascii="Calibri" w:eastAsia="Yu Mincho" w:hAnsi="Calibri"/>
          <w:sz w:val="22"/>
          <w:szCs w:val="22"/>
        </w:rPr>
        <w:t>l</w:t>
      </w:r>
      <w:r w:rsidR="008F2033">
        <w:rPr>
          <w:rFonts w:ascii="Calibri" w:eastAsia="Yu Mincho" w:hAnsi="Calibri"/>
          <w:sz w:val="22"/>
          <w:szCs w:val="22"/>
        </w:rPr>
        <w:t xml:space="preserve">l be considered.  </w:t>
      </w:r>
      <w:r>
        <w:rPr>
          <w:rFonts w:ascii="Calibri" w:eastAsia="Yu Mincho" w:hAnsi="Calibri"/>
          <w:sz w:val="22"/>
          <w:szCs w:val="22"/>
        </w:rPr>
        <w:t>To date, however</w:t>
      </w:r>
      <w:r w:rsidR="00E162B9" w:rsidRPr="00E162B9">
        <w:rPr>
          <w:rFonts w:ascii="Calibri" w:eastAsia="Yu Mincho" w:hAnsi="Calibri"/>
          <w:sz w:val="22"/>
          <w:szCs w:val="22"/>
        </w:rPr>
        <w:t xml:space="preserve">, all project reports have been submitted on time with financial updates provided as part of </w:t>
      </w:r>
      <w:r>
        <w:rPr>
          <w:rFonts w:ascii="Calibri" w:eastAsia="Yu Mincho" w:hAnsi="Calibri"/>
          <w:sz w:val="22"/>
          <w:szCs w:val="22"/>
        </w:rPr>
        <w:t xml:space="preserve">existing </w:t>
      </w:r>
      <w:r w:rsidR="00E162B9" w:rsidRPr="00E162B9">
        <w:rPr>
          <w:rFonts w:ascii="Calibri" w:eastAsia="Yu Mincho" w:hAnsi="Calibri"/>
          <w:sz w:val="22"/>
          <w:szCs w:val="22"/>
        </w:rPr>
        <w:t xml:space="preserve">Steering Group meetings.  Regular finance meetings are also held where partners must provide regular financial reports as part of their contractual requirements.   </w:t>
      </w:r>
    </w:p>
    <w:p w14:paraId="4DDF218F" w14:textId="028596B7" w:rsidR="008A61F1" w:rsidRDefault="008A61F1" w:rsidP="000840B1">
      <w:pPr>
        <w:spacing w:before="0" w:after="0" w:line="240" w:lineRule="auto"/>
        <w:rPr>
          <w:rFonts w:ascii="Calibri" w:eastAsia="Yu Mincho" w:hAnsi="Calibri" w:cs="Calibri"/>
        </w:rPr>
      </w:pPr>
    </w:p>
    <w:p w14:paraId="0C9BAEDB" w14:textId="77777777" w:rsidR="00BD54A3" w:rsidRDefault="00BD54A3" w:rsidP="000840B1">
      <w:pPr>
        <w:spacing w:before="0" w:after="0" w:line="240" w:lineRule="auto"/>
        <w:rPr>
          <w:rFonts w:ascii="Calibri" w:eastAsia="Yu Mincho" w:hAnsi="Calibri" w:cs="Calibri"/>
        </w:rPr>
      </w:pPr>
    </w:p>
    <w:p w14:paraId="49FDA38D" w14:textId="77777777" w:rsidR="00BD54A3" w:rsidRDefault="00BD54A3" w:rsidP="000840B1">
      <w:pPr>
        <w:spacing w:before="0" w:after="0" w:line="240" w:lineRule="auto"/>
        <w:rPr>
          <w:rFonts w:ascii="Calibri" w:eastAsia="Yu Mincho" w:hAnsi="Calibri" w:cs="Calibri"/>
        </w:rPr>
      </w:pPr>
    </w:p>
    <w:p w14:paraId="77BDE623" w14:textId="77777777" w:rsidR="00BD54A3" w:rsidRDefault="00BD54A3" w:rsidP="000840B1">
      <w:pPr>
        <w:spacing w:before="0" w:after="0" w:line="240" w:lineRule="auto"/>
        <w:rPr>
          <w:rFonts w:ascii="Calibri" w:eastAsia="Yu Mincho" w:hAnsi="Calibri" w:cs="Calibri"/>
        </w:rPr>
      </w:pPr>
    </w:p>
    <w:p w14:paraId="746D31BF" w14:textId="77777777" w:rsidR="00AB5702" w:rsidRDefault="00AB5702" w:rsidP="008A61F1">
      <w:pPr>
        <w:spacing w:before="120" w:line="240" w:lineRule="auto"/>
        <w:rPr>
          <w:rFonts w:ascii="Calibri" w:hAnsi="Calibri" w:cs="Calibri"/>
          <w:sz w:val="22"/>
          <w:szCs w:val="22"/>
          <w:u w:val="single"/>
        </w:rPr>
      </w:pPr>
      <w:r>
        <w:rPr>
          <w:rFonts w:ascii="Calibri" w:hAnsi="Calibri" w:cs="Calibri"/>
          <w:sz w:val="22"/>
          <w:szCs w:val="22"/>
          <w:u w:val="single"/>
        </w:rPr>
        <w:lastRenderedPageBreak/>
        <w:t xml:space="preserve">Value for money: </w:t>
      </w:r>
    </w:p>
    <w:p w14:paraId="4382E75C" w14:textId="3E313705" w:rsidR="008A61F1" w:rsidRPr="00912E19" w:rsidRDefault="008A61F1" w:rsidP="2B62C876">
      <w:pPr>
        <w:tabs>
          <w:tab w:val="left" w:pos="720"/>
        </w:tabs>
        <w:spacing w:before="120" w:line="240" w:lineRule="auto"/>
        <w:rPr>
          <w:rFonts w:asciiTheme="minorHAnsi" w:eastAsiaTheme="minorEastAsia" w:hAnsiTheme="minorHAnsi"/>
          <w:sz w:val="22"/>
          <w:szCs w:val="22"/>
        </w:rPr>
      </w:pPr>
      <w:r w:rsidRPr="2B62C876">
        <w:rPr>
          <w:rFonts w:asciiTheme="minorHAnsi" w:eastAsiaTheme="minorEastAsia" w:hAnsiTheme="minorHAnsi"/>
          <w:sz w:val="22"/>
          <w:szCs w:val="22"/>
        </w:rPr>
        <w:t xml:space="preserve">It is too early in the programme to have meaningful evidence or analysis of </w:t>
      </w:r>
      <w:proofErr w:type="spellStart"/>
      <w:r w:rsidRPr="2B62C876">
        <w:rPr>
          <w:rFonts w:asciiTheme="minorHAnsi" w:eastAsiaTheme="minorEastAsia" w:hAnsiTheme="minorHAnsi"/>
          <w:sz w:val="22"/>
          <w:szCs w:val="22"/>
        </w:rPr>
        <w:t>VfM</w:t>
      </w:r>
      <w:proofErr w:type="spellEnd"/>
      <w:r w:rsidRPr="2B62C876">
        <w:rPr>
          <w:rFonts w:asciiTheme="minorHAnsi" w:eastAsiaTheme="minorEastAsia" w:hAnsiTheme="minorHAnsi"/>
          <w:sz w:val="22"/>
          <w:szCs w:val="22"/>
        </w:rPr>
        <w:t xml:space="preserve">.   Delays due to the COVID-19 pandemic and cross-HMG review of aid spending have limited the expected outputs and value for money from Year 1; as a </w:t>
      </w:r>
      <w:proofErr w:type="gramStart"/>
      <w:r w:rsidRPr="2B62C876">
        <w:rPr>
          <w:rFonts w:asciiTheme="minorHAnsi" w:eastAsiaTheme="minorEastAsia" w:hAnsiTheme="minorHAnsi"/>
          <w:sz w:val="22"/>
          <w:szCs w:val="22"/>
        </w:rPr>
        <w:t>result</w:t>
      </w:r>
      <w:proofErr w:type="gramEnd"/>
      <w:r w:rsidRPr="2B62C876">
        <w:rPr>
          <w:rFonts w:asciiTheme="minorHAnsi" w:eastAsiaTheme="minorEastAsia" w:hAnsiTheme="minorHAnsi"/>
          <w:sz w:val="22"/>
          <w:szCs w:val="22"/>
        </w:rPr>
        <w:t xml:space="preserve"> the programme is not as far advanced as anticipated with Components 3 (</w:t>
      </w:r>
      <w:proofErr w:type="spellStart"/>
      <w:r w:rsidRPr="2B62C876">
        <w:rPr>
          <w:rFonts w:asciiTheme="minorHAnsi" w:eastAsiaTheme="minorEastAsia" w:hAnsiTheme="minorHAnsi"/>
          <w:sz w:val="22"/>
          <w:szCs w:val="22"/>
        </w:rPr>
        <w:t>GCoE</w:t>
      </w:r>
      <w:proofErr w:type="spellEnd"/>
      <w:r w:rsidRPr="2B62C876">
        <w:rPr>
          <w:rFonts w:asciiTheme="minorHAnsi" w:eastAsiaTheme="minorEastAsia" w:hAnsiTheme="minorHAnsi"/>
          <w:sz w:val="22"/>
          <w:szCs w:val="22"/>
        </w:rPr>
        <w:t>) and 2b: SMRV.  However, further work is underway to re-design/scope these elements of the programme and the projects are still on track to perform across the five-year programme</w:t>
      </w:r>
      <w:r w:rsidR="7EACE1D8" w:rsidRPr="2B62C876">
        <w:rPr>
          <w:rFonts w:asciiTheme="minorHAnsi" w:eastAsiaTheme="minorEastAsia" w:hAnsiTheme="minorHAnsi"/>
          <w:sz w:val="22"/>
          <w:szCs w:val="22"/>
        </w:rPr>
        <w:t>.  Although the content of some of the components has changed since the original business case,</w:t>
      </w:r>
      <w:r w:rsidR="43B85D6E" w:rsidRPr="2B62C876">
        <w:rPr>
          <w:rFonts w:asciiTheme="minorHAnsi" w:eastAsiaTheme="minorEastAsia" w:hAnsiTheme="minorHAnsi"/>
          <w:sz w:val="22"/>
          <w:szCs w:val="22"/>
        </w:rPr>
        <w:t xml:space="preserve"> </w:t>
      </w:r>
      <w:r w:rsidR="3434FB09" w:rsidRPr="2B62C876">
        <w:rPr>
          <w:rFonts w:asciiTheme="minorHAnsi" w:eastAsiaTheme="minorEastAsia" w:hAnsiTheme="minorHAnsi"/>
          <w:sz w:val="22"/>
          <w:szCs w:val="22"/>
        </w:rPr>
        <w:t>and progress on some projects (</w:t>
      </w:r>
      <w:proofErr w:type="gramStart"/>
      <w:r w:rsidR="3434FB09" w:rsidRPr="2B62C876">
        <w:rPr>
          <w:rFonts w:asciiTheme="minorHAnsi" w:eastAsiaTheme="minorEastAsia" w:hAnsiTheme="minorHAnsi"/>
          <w:sz w:val="22"/>
          <w:szCs w:val="22"/>
        </w:rPr>
        <w:t>e.g.</w:t>
      </w:r>
      <w:proofErr w:type="gramEnd"/>
      <w:r w:rsidR="3434FB09" w:rsidRPr="2B62C876">
        <w:rPr>
          <w:rFonts w:asciiTheme="minorHAnsi" w:eastAsiaTheme="minorEastAsia" w:hAnsiTheme="minorHAnsi"/>
          <w:sz w:val="22"/>
          <w:szCs w:val="22"/>
        </w:rPr>
        <w:t xml:space="preserve"> the </w:t>
      </w:r>
      <w:proofErr w:type="spellStart"/>
      <w:r w:rsidR="3434FB09" w:rsidRPr="2B62C876">
        <w:rPr>
          <w:rFonts w:asciiTheme="minorHAnsi" w:eastAsiaTheme="minorEastAsia" w:hAnsiTheme="minorHAnsi"/>
          <w:sz w:val="22"/>
          <w:szCs w:val="22"/>
        </w:rPr>
        <w:t>GCoE</w:t>
      </w:r>
      <w:proofErr w:type="spellEnd"/>
      <w:r w:rsidR="3434FB09" w:rsidRPr="2B62C876">
        <w:rPr>
          <w:rFonts w:asciiTheme="minorHAnsi" w:eastAsiaTheme="minorEastAsia" w:hAnsiTheme="minorHAnsi"/>
          <w:sz w:val="22"/>
          <w:szCs w:val="22"/>
        </w:rPr>
        <w:t xml:space="preserve"> and SMRV) has been delayed, </w:t>
      </w:r>
      <w:r w:rsidR="43B85D6E" w:rsidRPr="2B62C876">
        <w:rPr>
          <w:rFonts w:asciiTheme="minorHAnsi" w:eastAsiaTheme="minorEastAsia" w:hAnsiTheme="minorHAnsi"/>
          <w:sz w:val="22"/>
          <w:szCs w:val="22"/>
        </w:rPr>
        <w:t>a number of projects are now delivering while</w:t>
      </w:r>
      <w:r w:rsidR="7EACE1D8" w:rsidRPr="2B62C876">
        <w:rPr>
          <w:rFonts w:asciiTheme="minorHAnsi" w:eastAsiaTheme="minorEastAsia" w:hAnsiTheme="minorHAnsi"/>
          <w:sz w:val="22"/>
          <w:szCs w:val="22"/>
        </w:rPr>
        <w:t xml:space="preserve"> the multi-component concept and focus on policy-relevant knowledge generation remains</w:t>
      </w:r>
      <w:r w:rsidR="1BB65D98" w:rsidRPr="2B62C876">
        <w:rPr>
          <w:rFonts w:asciiTheme="minorHAnsi" w:eastAsiaTheme="minorEastAsia" w:hAnsiTheme="minorHAnsi"/>
          <w:sz w:val="22"/>
          <w:szCs w:val="22"/>
        </w:rPr>
        <w:t xml:space="preserve">.  </w:t>
      </w:r>
      <w:r w:rsidR="22099C21" w:rsidRPr="2B62C876">
        <w:rPr>
          <w:rFonts w:asciiTheme="minorHAnsi" w:eastAsiaTheme="minorEastAsia" w:hAnsiTheme="minorHAnsi"/>
          <w:sz w:val="22"/>
          <w:szCs w:val="22"/>
        </w:rPr>
        <w:t>Th</w:t>
      </w:r>
      <w:r w:rsidR="22099C21" w:rsidRPr="2B62C876">
        <w:rPr>
          <w:rFonts w:ascii="Calibri" w:hAnsi="Calibri" w:cs="Calibri"/>
          <w:sz w:val="22"/>
          <w:szCs w:val="22"/>
        </w:rPr>
        <w:t xml:space="preserve">e </w:t>
      </w:r>
      <w:proofErr w:type="spellStart"/>
      <w:r w:rsidR="22099C21" w:rsidRPr="2B62C876">
        <w:rPr>
          <w:rFonts w:ascii="Calibri" w:hAnsi="Calibri" w:cs="Calibri"/>
          <w:sz w:val="22"/>
          <w:szCs w:val="22"/>
        </w:rPr>
        <w:t>GCoE</w:t>
      </w:r>
      <w:proofErr w:type="spellEnd"/>
      <w:r w:rsidR="22099C21" w:rsidRPr="2B62C876">
        <w:rPr>
          <w:rFonts w:ascii="Calibri" w:hAnsi="Calibri" w:cs="Calibri"/>
          <w:sz w:val="22"/>
          <w:szCs w:val="22"/>
        </w:rPr>
        <w:t xml:space="preserve"> still intends to deliver the desired outputs and outcomes against the </w:t>
      </w:r>
      <w:proofErr w:type="spellStart"/>
      <w:r w:rsidR="22099C21" w:rsidRPr="2B62C876">
        <w:rPr>
          <w:rFonts w:ascii="Calibri" w:hAnsi="Calibri" w:cs="Calibri"/>
          <w:sz w:val="22"/>
          <w:szCs w:val="22"/>
        </w:rPr>
        <w:t>ToC</w:t>
      </w:r>
      <w:proofErr w:type="spellEnd"/>
      <w:r w:rsidR="22099C21" w:rsidRPr="2B62C876">
        <w:rPr>
          <w:rFonts w:ascii="Calibri" w:hAnsi="Calibri" w:cs="Calibri"/>
          <w:sz w:val="22"/>
          <w:szCs w:val="22"/>
        </w:rPr>
        <w:t xml:space="preserve"> and the SMRV budget has been reallocated to other projects which meet the business case and </w:t>
      </w:r>
      <w:proofErr w:type="spellStart"/>
      <w:r w:rsidR="22099C21" w:rsidRPr="2B62C876">
        <w:rPr>
          <w:rFonts w:ascii="Calibri" w:hAnsi="Calibri" w:cs="Calibri"/>
          <w:sz w:val="22"/>
          <w:szCs w:val="22"/>
        </w:rPr>
        <w:t>ToC</w:t>
      </w:r>
      <w:proofErr w:type="spellEnd"/>
      <w:r w:rsidR="22099C21" w:rsidRPr="2B62C876">
        <w:rPr>
          <w:rFonts w:ascii="Calibri" w:hAnsi="Calibri" w:cs="Calibri"/>
          <w:sz w:val="22"/>
          <w:szCs w:val="22"/>
        </w:rPr>
        <w:t xml:space="preserve"> requirements in subsequent years (which will be reviewed in the next annual review).</w:t>
      </w:r>
      <w:r w:rsidR="22099C21" w:rsidRPr="2B62C876">
        <w:rPr>
          <w:rFonts w:asciiTheme="minorHAnsi" w:eastAsiaTheme="minorEastAsia" w:hAnsiTheme="minorHAnsi"/>
          <w:sz w:val="22"/>
          <w:szCs w:val="22"/>
        </w:rPr>
        <w:t xml:space="preserve"> </w:t>
      </w:r>
      <w:r w:rsidR="61D0FD53" w:rsidRPr="2B62C876">
        <w:rPr>
          <w:rFonts w:asciiTheme="minorHAnsi" w:eastAsiaTheme="minorEastAsia" w:hAnsiTheme="minorHAnsi"/>
          <w:sz w:val="22"/>
          <w:szCs w:val="22"/>
        </w:rPr>
        <w:t xml:space="preserve"> </w:t>
      </w:r>
      <w:r w:rsidR="1BB65D98" w:rsidRPr="2B62C876">
        <w:rPr>
          <w:rFonts w:asciiTheme="minorHAnsi" w:eastAsiaTheme="minorEastAsia" w:hAnsiTheme="minorHAnsi"/>
          <w:sz w:val="22"/>
          <w:szCs w:val="22"/>
        </w:rPr>
        <w:t>W</w:t>
      </w:r>
      <w:r w:rsidR="51B659CB" w:rsidRPr="2B62C876">
        <w:rPr>
          <w:rFonts w:asciiTheme="minorHAnsi" w:eastAsiaTheme="minorEastAsia" w:hAnsiTheme="minorHAnsi"/>
          <w:sz w:val="22"/>
          <w:szCs w:val="22"/>
        </w:rPr>
        <w:t>e</w:t>
      </w:r>
      <w:r w:rsidR="16C1D561" w:rsidRPr="2B62C876">
        <w:rPr>
          <w:rFonts w:asciiTheme="minorHAnsi" w:eastAsiaTheme="minorEastAsia" w:hAnsiTheme="minorHAnsi"/>
          <w:sz w:val="22"/>
          <w:szCs w:val="22"/>
        </w:rPr>
        <w:t xml:space="preserve"> therefore</w:t>
      </w:r>
      <w:r w:rsidR="51B659CB" w:rsidRPr="2B62C876">
        <w:rPr>
          <w:rFonts w:asciiTheme="minorHAnsi" w:eastAsiaTheme="minorEastAsia" w:hAnsiTheme="minorHAnsi"/>
          <w:sz w:val="22"/>
          <w:szCs w:val="22"/>
        </w:rPr>
        <w:t xml:space="preserve"> believe </w:t>
      </w:r>
      <w:r w:rsidRPr="2B62C876">
        <w:rPr>
          <w:rFonts w:asciiTheme="minorHAnsi" w:eastAsiaTheme="minorEastAsia" w:hAnsiTheme="minorHAnsi"/>
          <w:sz w:val="22"/>
          <w:szCs w:val="22"/>
        </w:rPr>
        <w:t>there remains a strong case for the good value for money of the programme and its ability to deliver long-term transformational change.</w:t>
      </w:r>
      <w:r w:rsidR="58A207ED" w:rsidRPr="2B62C876">
        <w:rPr>
          <w:rFonts w:asciiTheme="minorHAnsi" w:eastAsiaTheme="minorEastAsia" w:hAnsiTheme="minorHAnsi"/>
          <w:sz w:val="22"/>
          <w:szCs w:val="22"/>
        </w:rPr>
        <w:t xml:space="preserve">  We will be reviewing value for money in detail later this year as we amend the business case and review the </w:t>
      </w:r>
      <w:proofErr w:type="spellStart"/>
      <w:r w:rsidR="58A207ED" w:rsidRPr="2B62C876">
        <w:rPr>
          <w:rFonts w:asciiTheme="minorHAnsi" w:eastAsiaTheme="minorEastAsia" w:hAnsiTheme="minorHAnsi"/>
          <w:sz w:val="22"/>
          <w:szCs w:val="22"/>
        </w:rPr>
        <w:t>GCoE</w:t>
      </w:r>
      <w:proofErr w:type="spellEnd"/>
      <w:r w:rsidR="58A207ED" w:rsidRPr="2B62C876">
        <w:rPr>
          <w:rFonts w:asciiTheme="minorHAnsi" w:eastAsiaTheme="minorEastAsia" w:hAnsiTheme="minorHAnsi"/>
          <w:sz w:val="22"/>
          <w:szCs w:val="22"/>
        </w:rPr>
        <w:t xml:space="preserve"> concept.</w:t>
      </w:r>
    </w:p>
    <w:p w14:paraId="68F1DEDF" w14:textId="77777777" w:rsidR="008A61F1" w:rsidRPr="00BF363E" w:rsidRDefault="008A61F1" w:rsidP="008A61F1">
      <w:pPr>
        <w:tabs>
          <w:tab w:val="left" w:pos="0"/>
          <w:tab w:val="left" w:pos="720"/>
        </w:tabs>
        <w:spacing w:line="240" w:lineRule="auto"/>
        <w:rPr>
          <w:rFonts w:ascii="Calibri" w:hAnsi="Calibri" w:cs="Calibri"/>
          <w:sz w:val="22"/>
          <w:szCs w:val="22"/>
          <w:u w:val="single"/>
        </w:rPr>
      </w:pPr>
      <w:r w:rsidRPr="00BF363E">
        <w:rPr>
          <w:rFonts w:ascii="Calibri" w:hAnsi="Calibri" w:cs="Calibri"/>
          <w:sz w:val="22"/>
          <w:szCs w:val="22"/>
          <w:u w:val="single"/>
        </w:rPr>
        <w:t>Economy</w:t>
      </w:r>
      <w:r>
        <w:rPr>
          <w:rFonts w:ascii="Calibri" w:hAnsi="Calibri" w:cs="Calibri"/>
          <w:sz w:val="22"/>
          <w:szCs w:val="22"/>
          <w:u w:val="single"/>
        </w:rPr>
        <w:t>:</w:t>
      </w:r>
    </w:p>
    <w:p w14:paraId="21FFEE4D" w14:textId="6FBDC6CB" w:rsidR="008A61F1" w:rsidRPr="008A61F1" w:rsidRDefault="008A61F1" w:rsidP="008A61F1">
      <w:pPr>
        <w:tabs>
          <w:tab w:val="left" w:pos="0"/>
          <w:tab w:val="left" w:pos="720"/>
        </w:tabs>
        <w:spacing w:line="240" w:lineRule="auto"/>
        <w:rPr>
          <w:rFonts w:ascii="Calibri" w:hAnsi="Calibri" w:cs="Calibri"/>
          <w:sz w:val="22"/>
          <w:szCs w:val="22"/>
        </w:rPr>
      </w:pPr>
      <w:r w:rsidRPr="00BF363E">
        <w:rPr>
          <w:rFonts w:ascii="Calibri" w:hAnsi="Calibri" w:cs="Calibri"/>
          <w:b/>
          <w:bCs/>
          <w:sz w:val="22"/>
          <w:szCs w:val="22"/>
        </w:rPr>
        <w:t xml:space="preserve">Economy refers to buying inputs of the appropriate quality at the right price. </w:t>
      </w:r>
      <w:r>
        <w:rPr>
          <w:rFonts w:ascii="Calibri" w:hAnsi="Calibri" w:cs="Calibri"/>
          <w:sz w:val="22"/>
          <w:szCs w:val="22"/>
        </w:rPr>
        <w:t>Delivery partners were chosen due to their ability to deliver the best product at the best price. Defra’s commercial processes were adhered to when selecting suppliers to ensure good use of ODA funds</w:t>
      </w:r>
      <w:r w:rsidR="000050A2">
        <w:rPr>
          <w:rFonts w:ascii="Calibri" w:hAnsi="Calibri" w:cs="Calibri"/>
          <w:sz w:val="22"/>
          <w:szCs w:val="22"/>
        </w:rPr>
        <w:t xml:space="preserve"> and a project was halted when there was insufficient evidence that the delivery partner was best placed to deliver</w:t>
      </w:r>
      <w:r>
        <w:rPr>
          <w:rFonts w:ascii="Calibri" w:hAnsi="Calibri" w:cs="Calibri"/>
          <w:sz w:val="22"/>
          <w:szCs w:val="22"/>
        </w:rPr>
        <w:t xml:space="preserve">. </w:t>
      </w:r>
    </w:p>
    <w:p w14:paraId="7265B8EA" w14:textId="77777777" w:rsidR="008A61F1" w:rsidRPr="00BF363E" w:rsidRDefault="008A61F1" w:rsidP="008A61F1">
      <w:pPr>
        <w:tabs>
          <w:tab w:val="left" w:pos="0"/>
          <w:tab w:val="left" w:pos="720"/>
        </w:tabs>
        <w:spacing w:line="240" w:lineRule="auto"/>
        <w:rPr>
          <w:rFonts w:ascii="Calibri" w:hAnsi="Calibri" w:cs="Calibri"/>
          <w:sz w:val="22"/>
          <w:szCs w:val="22"/>
          <w:u w:val="single"/>
        </w:rPr>
      </w:pPr>
      <w:r w:rsidRPr="00BF363E">
        <w:rPr>
          <w:rFonts w:ascii="Calibri" w:hAnsi="Calibri" w:cs="Calibri"/>
          <w:sz w:val="22"/>
          <w:szCs w:val="22"/>
          <w:u w:val="single"/>
        </w:rPr>
        <w:t>Efficiency:</w:t>
      </w:r>
    </w:p>
    <w:p w14:paraId="4373EB02" w14:textId="15451AF5" w:rsidR="008A61F1" w:rsidRPr="00C44333" w:rsidRDefault="008A61F1" w:rsidP="008A61F1">
      <w:pPr>
        <w:tabs>
          <w:tab w:val="left" w:pos="0"/>
          <w:tab w:val="left" w:pos="720"/>
        </w:tabs>
        <w:spacing w:line="240" w:lineRule="auto"/>
        <w:rPr>
          <w:rFonts w:ascii="Calibri" w:hAnsi="Calibri" w:cs="Calibri"/>
          <w:sz w:val="22"/>
          <w:szCs w:val="22"/>
        </w:rPr>
      </w:pPr>
      <w:r w:rsidRPr="00BF363E">
        <w:rPr>
          <w:rFonts w:ascii="Calibri" w:hAnsi="Calibri" w:cs="Calibri"/>
          <w:b/>
          <w:bCs/>
          <w:sz w:val="22"/>
          <w:szCs w:val="22"/>
        </w:rPr>
        <w:t xml:space="preserve">Efficiency relates to how well inputs are converted into outputs </w:t>
      </w:r>
      <w:proofErr w:type="gramStart"/>
      <w:r w:rsidRPr="00BF363E">
        <w:rPr>
          <w:rFonts w:ascii="Calibri" w:hAnsi="Calibri" w:cs="Calibri"/>
          <w:b/>
          <w:bCs/>
          <w:sz w:val="22"/>
          <w:szCs w:val="22"/>
        </w:rPr>
        <w:t>i.e.</w:t>
      </w:r>
      <w:proofErr w:type="gramEnd"/>
      <w:r w:rsidRPr="00BF363E">
        <w:rPr>
          <w:rFonts w:ascii="Calibri" w:hAnsi="Calibri" w:cs="Calibri"/>
          <w:b/>
          <w:bCs/>
          <w:sz w:val="22"/>
          <w:szCs w:val="22"/>
        </w:rPr>
        <w:t xml:space="preserve"> ‘spending well’</w:t>
      </w:r>
      <w:r>
        <w:rPr>
          <w:rFonts w:ascii="Calibri" w:hAnsi="Calibri" w:cs="Calibri"/>
          <w:b/>
          <w:bCs/>
          <w:sz w:val="22"/>
          <w:szCs w:val="22"/>
        </w:rPr>
        <w:t xml:space="preserve">.  </w:t>
      </w:r>
      <w:r>
        <w:rPr>
          <w:rFonts w:ascii="Calibri" w:hAnsi="Calibri" w:cs="Calibri"/>
          <w:sz w:val="22"/>
          <w:szCs w:val="22"/>
        </w:rPr>
        <w:t xml:space="preserve">For projects that commenced during this AR period, outputs were delivered to high standards providing R&amp;D evidence for use across policy and programmes. </w:t>
      </w:r>
    </w:p>
    <w:p w14:paraId="510B8B42" w14:textId="77777777" w:rsidR="008A61F1" w:rsidRPr="00BF363E" w:rsidRDefault="008A61F1" w:rsidP="008A61F1">
      <w:pPr>
        <w:tabs>
          <w:tab w:val="left" w:pos="0"/>
          <w:tab w:val="left" w:pos="720"/>
        </w:tabs>
        <w:spacing w:line="240" w:lineRule="auto"/>
        <w:rPr>
          <w:rFonts w:ascii="Calibri" w:hAnsi="Calibri" w:cs="Calibri"/>
          <w:sz w:val="22"/>
          <w:szCs w:val="22"/>
          <w:u w:val="single"/>
        </w:rPr>
      </w:pPr>
      <w:r w:rsidRPr="00BF363E">
        <w:rPr>
          <w:rFonts w:ascii="Calibri" w:hAnsi="Calibri" w:cs="Calibri"/>
          <w:sz w:val="22"/>
          <w:szCs w:val="22"/>
          <w:u w:val="single"/>
        </w:rPr>
        <w:t>Effectiveness</w:t>
      </w:r>
      <w:r>
        <w:rPr>
          <w:rFonts w:ascii="Calibri" w:hAnsi="Calibri" w:cs="Calibri"/>
          <w:sz w:val="22"/>
          <w:szCs w:val="22"/>
          <w:u w:val="single"/>
        </w:rPr>
        <w:t>:</w:t>
      </w:r>
    </w:p>
    <w:p w14:paraId="42EA5385" w14:textId="77777777" w:rsidR="008A61F1" w:rsidRPr="00314B76" w:rsidRDefault="008A61F1" w:rsidP="008A61F1">
      <w:pPr>
        <w:tabs>
          <w:tab w:val="left" w:pos="0"/>
          <w:tab w:val="left" w:pos="720"/>
        </w:tabs>
        <w:spacing w:line="240" w:lineRule="auto"/>
        <w:rPr>
          <w:rFonts w:asciiTheme="minorHAnsi" w:hAnsiTheme="minorHAnsi" w:cstheme="minorHAnsi"/>
          <w:sz w:val="22"/>
          <w:szCs w:val="22"/>
        </w:rPr>
      </w:pPr>
      <w:r w:rsidRPr="00BF363E">
        <w:rPr>
          <w:rFonts w:ascii="Calibri" w:hAnsi="Calibri" w:cs="Calibri"/>
          <w:b/>
          <w:bCs/>
          <w:sz w:val="22"/>
          <w:szCs w:val="22"/>
        </w:rPr>
        <w:t xml:space="preserve">Effectiveness relates to whether the outputs produced by the intervention are having the intended effect </w:t>
      </w:r>
      <w:proofErr w:type="gramStart"/>
      <w:r w:rsidRPr="00BF363E">
        <w:rPr>
          <w:rFonts w:ascii="Calibri" w:hAnsi="Calibri" w:cs="Calibri"/>
          <w:b/>
          <w:bCs/>
          <w:sz w:val="22"/>
          <w:szCs w:val="22"/>
        </w:rPr>
        <w:t>i.e.</w:t>
      </w:r>
      <w:proofErr w:type="gramEnd"/>
      <w:r w:rsidRPr="00BF363E">
        <w:rPr>
          <w:rFonts w:ascii="Calibri" w:hAnsi="Calibri" w:cs="Calibri"/>
          <w:b/>
          <w:bCs/>
          <w:sz w:val="22"/>
          <w:szCs w:val="22"/>
        </w:rPr>
        <w:t xml:space="preserve"> ‘spending wisely’</w:t>
      </w:r>
      <w:r>
        <w:rPr>
          <w:rFonts w:ascii="Calibri" w:hAnsi="Calibri" w:cs="Calibri"/>
          <w:b/>
          <w:bCs/>
          <w:sz w:val="22"/>
          <w:szCs w:val="22"/>
        </w:rPr>
        <w:t xml:space="preserve">.  </w:t>
      </w:r>
      <w:r w:rsidRPr="00314B76">
        <w:rPr>
          <w:rFonts w:ascii="Calibri" w:hAnsi="Calibri" w:cs="Calibri"/>
          <w:sz w:val="22"/>
          <w:szCs w:val="22"/>
        </w:rPr>
        <w:t xml:space="preserve">With regards to KPI 15 we are unable to carry out an assessment at this stage as it is too early in the programme to complete a meaningful analysis. </w:t>
      </w:r>
      <w:r>
        <w:rPr>
          <w:rFonts w:ascii="Calibri" w:hAnsi="Calibri" w:cs="Calibri"/>
          <w:sz w:val="22"/>
          <w:szCs w:val="22"/>
        </w:rPr>
        <w:t xml:space="preserve">It is also too early to assess the effectiveness of the programme due to time lags between outputs being generated and outcomes being achieved.  </w:t>
      </w:r>
      <w:r w:rsidRPr="00314B76">
        <w:rPr>
          <w:rFonts w:ascii="Calibri" w:hAnsi="Calibri" w:cs="Calibri"/>
          <w:sz w:val="22"/>
          <w:szCs w:val="22"/>
        </w:rPr>
        <w:t xml:space="preserve">As projects develop, we will have more evidence to support our analysis in subsequent annual reviews. </w:t>
      </w:r>
      <w:r w:rsidRPr="00314B76">
        <w:rPr>
          <w:rFonts w:asciiTheme="minorHAnsi" w:hAnsiTheme="minorHAnsi" w:cstheme="minorHAnsi"/>
          <w:sz w:val="22"/>
          <w:szCs w:val="22"/>
        </w:rPr>
        <w:t xml:space="preserve"> </w:t>
      </w:r>
    </w:p>
    <w:p w14:paraId="3292E86A" w14:textId="77777777" w:rsidR="008A61F1" w:rsidRPr="00C44333" w:rsidRDefault="008A61F1" w:rsidP="008A61F1">
      <w:pPr>
        <w:tabs>
          <w:tab w:val="left" w:pos="0"/>
          <w:tab w:val="left" w:pos="720"/>
        </w:tabs>
        <w:spacing w:line="240" w:lineRule="auto"/>
        <w:rPr>
          <w:rFonts w:asciiTheme="minorHAnsi" w:hAnsiTheme="minorHAnsi" w:cstheme="minorHAnsi"/>
          <w:sz w:val="22"/>
          <w:szCs w:val="22"/>
          <w:u w:val="single"/>
        </w:rPr>
      </w:pPr>
      <w:r w:rsidRPr="00C44333">
        <w:rPr>
          <w:rFonts w:asciiTheme="minorHAnsi" w:hAnsiTheme="minorHAnsi" w:cstheme="minorHAnsi"/>
          <w:sz w:val="22"/>
          <w:szCs w:val="22"/>
          <w:u w:val="single"/>
        </w:rPr>
        <w:t>Equity:</w:t>
      </w:r>
    </w:p>
    <w:p w14:paraId="48EAEED8" w14:textId="77777777" w:rsidR="008A61F1" w:rsidRPr="00C44333" w:rsidRDefault="008A61F1" w:rsidP="008A61F1">
      <w:pPr>
        <w:spacing w:line="240" w:lineRule="auto"/>
        <w:rPr>
          <w:rFonts w:asciiTheme="minorHAnsi" w:hAnsiTheme="minorHAnsi" w:cstheme="minorHAnsi"/>
          <w:sz w:val="22"/>
          <w:szCs w:val="22"/>
        </w:rPr>
      </w:pPr>
      <w:r w:rsidRPr="00BF363E">
        <w:rPr>
          <w:rFonts w:ascii="Calibri" w:hAnsi="Calibri" w:cs="Calibri"/>
          <w:b/>
          <w:bCs/>
          <w:sz w:val="22"/>
          <w:szCs w:val="22"/>
        </w:rPr>
        <w:t xml:space="preserve">Equity refers to how fairly the benefits are distributed </w:t>
      </w:r>
      <w:proofErr w:type="gramStart"/>
      <w:r w:rsidRPr="00BF363E">
        <w:rPr>
          <w:rFonts w:ascii="Calibri" w:hAnsi="Calibri" w:cs="Calibri"/>
          <w:b/>
          <w:bCs/>
          <w:sz w:val="22"/>
          <w:szCs w:val="22"/>
        </w:rPr>
        <w:t>i.e.</w:t>
      </w:r>
      <w:proofErr w:type="gramEnd"/>
      <w:r w:rsidRPr="00BF363E">
        <w:rPr>
          <w:rFonts w:ascii="Calibri" w:hAnsi="Calibri" w:cs="Calibri"/>
          <w:b/>
          <w:bCs/>
          <w:sz w:val="22"/>
          <w:szCs w:val="22"/>
        </w:rPr>
        <w:t xml:space="preserve"> ‘</w:t>
      </w:r>
      <w:r w:rsidRPr="00314B76">
        <w:rPr>
          <w:rFonts w:asciiTheme="minorHAnsi" w:hAnsiTheme="minorHAnsi" w:cstheme="minorHAnsi"/>
          <w:b/>
          <w:bCs/>
          <w:sz w:val="22"/>
          <w:szCs w:val="22"/>
        </w:rPr>
        <w:t>spending fairly’:</w:t>
      </w:r>
      <w:r>
        <w:rPr>
          <w:rFonts w:asciiTheme="minorHAnsi" w:hAnsiTheme="minorHAnsi" w:cstheme="minorHAnsi"/>
          <w:b/>
          <w:bCs/>
          <w:sz w:val="22"/>
          <w:szCs w:val="22"/>
        </w:rPr>
        <w:t xml:space="preserve"> </w:t>
      </w:r>
      <w:r w:rsidRPr="00C44333">
        <w:rPr>
          <w:rFonts w:asciiTheme="minorHAnsi" w:hAnsiTheme="minorHAnsi" w:cstheme="minorHAnsi"/>
          <w:sz w:val="22"/>
          <w:szCs w:val="22"/>
        </w:rPr>
        <w:t>The</w:t>
      </w:r>
      <w:r w:rsidRPr="00C44333">
        <w:rPr>
          <w:rFonts w:asciiTheme="minorHAnsi" w:hAnsiTheme="minorHAnsi" w:cstheme="minorHAnsi"/>
          <w:b/>
          <w:bCs/>
          <w:sz w:val="22"/>
          <w:szCs w:val="22"/>
        </w:rPr>
        <w:t xml:space="preserve"> </w:t>
      </w:r>
      <w:r w:rsidRPr="00C44333">
        <w:rPr>
          <w:rFonts w:asciiTheme="minorHAnsi" w:hAnsiTheme="minorHAnsi" w:cstheme="minorHAnsi"/>
          <w:sz w:val="22"/>
          <w:szCs w:val="22"/>
        </w:rPr>
        <w:t xml:space="preserve">projects that did initiate within this reporting period </w:t>
      </w:r>
      <w:r>
        <w:rPr>
          <w:rFonts w:asciiTheme="minorHAnsi" w:hAnsiTheme="minorHAnsi" w:cstheme="minorHAnsi"/>
          <w:sz w:val="22"/>
          <w:szCs w:val="22"/>
        </w:rPr>
        <w:t xml:space="preserve">had a </w:t>
      </w:r>
      <w:r w:rsidRPr="00C44333">
        <w:rPr>
          <w:rFonts w:asciiTheme="minorHAnsi" w:hAnsiTheme="minorHAnsi" w:cstheme="minorHAnsi"/>
          <w:sz w:val="22"/>
          <w:szCs w:val="22"/>
        </w:rPr>
        <w:t xml:space="preserve">gender split with an overall outcome being that more women have worked across the projects than men have. Positives on the JNCC project are that there were 3 G7 women </w:t>
      </w:r>
      <w:r>
        <w:rPr>
          <w:rFonts w:asciiTheme="minorHAnsi" w:hAnsiTheme="minorHAnsi" w:cstheme="minorHAnsi"/>
          <w:sz w:val="22"/>
          <w:szCs w:val="22"/>
        </w:rPr>
        <w:t xml:space="preserve">are </w:t>
      </w:r>
      <w:r w:rsidRPr="00C44333">
        <w:rPr>
          <w:rFonts w:asciiTheme="minorHAnsi" w:hAnsiTheme="minorHAnsi" w:cstheme="minorHAnsi"/>
          <w:sz w:val="22"/>
          <w:szCs w:val="22"/>
        </w:rPr>
        <w:t>in post. For the rest of the projects the split is either even or in favour of women.</w:t>
      </w:r>
      <w:r w:rsidRPr="00C44333">
        <w:rPr>
          <w:rFonts w:asciiTheme="minorHAnsi" w:hAnsiTheme="minorHAnsi" w:cstheme="minorHAnsi"/>
          <w:b/>
          <w:bCs/>
          <w:sz w:val="22"/>
          <w:szCs w:val="22"/>
        </w:rPr>
        <w:t xml:space="preserve"> </w:t>
      </w:r>
    </w:p>
    <w:p w14:paraId="59F394F7" w14:textId="77777777" w:rsidR="008A61F1" w:rsidRPr="00E162B9" w:rsidRDefault="008A61F1" w:rsidP="000840B1">
      <w:pPr>
        <w:spacing w:before="0" w:after="0" w:line="240" w:lineRule="auto"/>
        <w:rPr>
          <w:rFonts w:ascii="Calibri" w:eastAsia="Yu Mincho" w:hAnsi="Calibri" w:cs="Calibri"/>
        </w:rPr>
      </w:pPr>
    </w:p>
    <w:p w14:paraId="29DCEF86" w14:textId="77777777" w:rsidR="00265061" w:rsidRDefault="00265061" w:rsidP="00AB5702">
      <w:pPr>
        <w:spacing w:line="240" w:lineRule="auto"/>
        <w:sectPr w:rsidR="00265061" w:rsidSect="004E67ED">
          <w:footerReference w:type="default" r:id="rId16"/>
          <w:pgSz w:w="11906" w:h="16838"/>
          <w:pgMar w:top="1134" w:right="1134" w:bottom="1134" w:left="1134" w:header="709" w:footer="709" w:gutter="0"/>
          <w:cols w:space="708"/>
          <w:docGrid w:linePitch="360"/>
        </w:sectPr>
      </w:pPr>
    </w:p>
    <w:p w14:paraId="380A2AC3" w14:textId="3F747194" w:rsidR="00265061" w:rsidRPr="00265061" w:rsidRDefault="00265061" w:rsidP="00AB5702">
      <w:pPr>
        <w:spacing w:line="240" w:lineRule="auto"/>
        <w:rPr>
          <w:rFonts w:asciiTheme="minorHAnsi" w:hAnsiTheme="minorHAnsi" w:cstheme="minorHAnsi"/>
          <w:b/>
          <w:bCs/>
          <w:sz w:val="22"/>
          <w:szCs w:val="22"/>
        </w:rPr>
      </w:pPr>
      <w:r w:rsidRPr="00265061">
        <w:rPr>
          <w:rFonts w:asciiTheme="minorHAnsi" w:hAnsiTheme="minorHAnsi" w:cstheme="minorHAnsi"/>
          <w:b/>
          <w:bCs/>
          <w:sz w:val="22"/>
          <w:szCs w:val="22"/>
        </w:rPr>
        <w:lastRenderedPageBreak/>
        <w:t>Annex A: How the ICF R&amp;D Programme Contributes to KPI 15: Transformational Change</w:t>
      </w:r>
    </w:p>
    <w:p w14:paraId="0E0A350B" w14:textId="69D8F39A" w:rsidR="00265061" w:rsidRPr="00265061" w:rsidRDefault="00265061" w:rsidP="00AB5702">
      <w:pPr>
        <w:spacing w:line="240" w:lineRule="auto"/>
        <w:rPr>
          <w:rFonts w:asciiTheme="minorHAnsi" w:hAnsiTheme="minorHAnsi" w:cstheme="minorHAnsi"/>
          <w:sz w:val="22"/>
          <w:szCs w:val="22"/>
        </w:rPr>
      </w:pPr>
      <w:r w:rsidRPr="00265061">
        <w:rPr>
          <w:rFonts w:asciiTheme="minorHAnsi" w:hAnsiTheme="minorHAnsi" w:cstheme="minorHAnsi"/>
          <w:sz w:val="22"/>
          <w:szCs w:val="22"/>
        </w:rPr>
        <w:t>Transformational change is of critical importance to ICF’s strategy. The </w:t>
      </w:r>
      <w:hyperlink r:id="rId17" w:tgtFrame="_blank" w:history="1">
        <w:r w:rsidRPr="00265061">
          <w:rPr>
            <w:rStyle w:val="Hyperlink"/>
            <w:rFonts w:asciiTheme="minorHAnsi" w:hAnsiTheme="minorHAnsi" w:cstheme="minorHAnsi"/>
            <w:sz w:val="22"/>
            <w:szCs w:val="22"/>
          </w:rPr>
          <w:t>2020 HM Government Support for Policy Change report</w:t>
        </w:r>
      </w:hyperlink>
      <w:r w:rsidRPr="00265061">
        <w:rPr>
          <w:rFonts w:asciiTheme="minorHAnsi" w:hAnsiTheme="minorHAnsi" w:cstheme="minorHAnsi"/>
          <w:sz w:val="22"/>
          <w:szCs w:val="22"/>
        </w:rPr>
        <w:t>, conducted in collaboration with Climate Change Compass, recommends that ICF programmes should seek to motivate, generate evidence, and build capacity to deliver political change. Strategic interventions enable ICF to provide integrated support to developing countries to commit to more ambitious and effective national and subnational climate change policies and practices (including regional and local).  </w:t>
      </w:r>
    </w:p>
    <w:p w14:paraId="2B2E5FF1" w14:textId="667A922F" w:rsidR="00265061" w:rsidRPr="00265061" w:rsidRDefault="00265061" w:rsidP="00AB5702">
      <w:pPr>
        <w:spacing w:line="240" w:lineRule="auto"/>
        <w:rPr>
          <w:rFonts w:asciiTheme="minorHAnsi" w:hAnsiTheme="minorHAnsi" w:cstheme="minorHAnsi"/>
          <w:sz w:val="22"/>
          <w:szCs w:val="22"/>
        </w:rPr>
      </w:pPr>
      <w:r w:rsidRPr="00265061">
        <w:rPr>
          <w:rFonts w:asciiTheme="minorHAnsi" w:hAnsiTheme="minorHAnsi" w:cstheme="minorHAnsi"/>
          <w:sz w:val="22"/>
          <w:szCs w:val="22"/>
        </w:rPr>
        <w:t xml:space="preserve">Specific outputs and outcomes will be determined jointly between Defra and the delivery partner in the log frame development process. Progress on the outcomes and the overall transformational change will be monitored and evaluated throughout the programme through the ICF’s results collection and annual review process, which will show whether the programme is on track and achieving the outcomes and impacts that are expected in the theory of change. This will be used to continually assess </w:t>
      </w:r>
      <w:proofErr w:type="spellStart"/>
      <w:r w:rsidRPr="00265061">
        <w:rPr>
          <w:rFonts w:asciiTheme="minorHAnsi" w:hAnsiTheme="minorHAnsi" w:cstheme="minorHAnsi"/>
          <w:sz w:val="22"/>
          <w:szCs w:val="22"/>
        </w:rPr>
        <w:t>VfM</w:t>
      </w:r>
      <w:proofErr w:type="spellEnd"/>
      <w:r w:rsidRPr="00265061">
        <w:rPr>
          <w:rFonts w:asciiTheme="minorHAnsi" w:hAnsiTheme="minorHAnsi" w:cstheme="minorHAnsi"/>
          <w:sz w:val="22"/>
          <w:szCs w:val="22"/>
        </w:rPr>
        <w:t xml:space="preserve"> throughout the programme lifecycle. Data collected during monitoring and evaluation will be crucial to ensure </w:t>
      </w:r>
      <w:proofErr w:type="spellStart"/>
      <w:r w:rsidRPr="00265061">
        <w:rPr>
          <w:rFonts w:asciiTheme="minorHAnsi" w:hAnsiTheme="minorHAnsi" w:cstheme="minorHAnsi"/>
          <w:sz w:val="22"/>
          <w:szCs w:val="22"/>
        </w:rPr>
        <w:t>VfM</w:t>
      </w:r>
      <w:proofErr w:type="spellEnd"/>
      <w:r w:rsidRPr="00265061">
        <w:rPr>
          <w:rFonts w:asciiTheme="minorHAnsi" w:hAnsiTheme="minorHAnsi" w:cstheme="minorHAnsi"/>
          <w:sz w:val="22"/>
          <w:szCs w:val="22"/>
        </w:rPr>
        <w:t xml:space="preserve"> given that a quantitative assessment at this stage is not possible, along with the robust governance structures. Currently there are steering groups for </w:t>
      </w:r>
      <w:proofErr w:type="gramStart"/>
      <w:r w:rsidRPr="00265061">
        <w:rPr>
          <w:rFonts w:asciiTheme="minorHAnsi" w:hAnsiTheme="minorHAnsi" w:cstheme="minorHAnsi"/>
          <w:sz w:val="22"/>
          <w:szCs w:val="22"/>
        </w:rPr>
        <w:t>projects</w:t>
      </w:r>
      <w:proofErr w:type="gramEnd"/>
      <w:r w:rsidRPr="00265061">
        <w:rPr>
          <w:rFonts w:asciiTheme="minorHAnsi" w:hAnsiTheme="minorHAnsi" w:cstheme="minorHAnsi"/>
          <w:sz w:val="22"/>
          <w:szCs w:val="22"/>
        </w:rPr>
        <w:t xml:space="preserve"> but the aim is to develop a full governance board structure for the ICF R&amp;D programme. </w:t>
      </w:r>
    </w:p>
    <w:p w14:paraId="40DC90E3" w14:textId="7A42AE05" w:rsidR="00265061" w:rsidRPr="00265061" w:rsidRDefault="00265061" w:rsidP="00AB5702">
      <w:pPr>
        <w:spacing w:line="240" w:lineRule="auto"/>
        <w:rPr>
          <w:rFonts w:asciiTheme="minorHAnsi" w:hAnsiTheme="minorHAnsi" w:cstheme="minorHAnsi"/>
          <w:sz w:val="22"/>
          <w:szCs w:val="22"/>
        </w:rPr>
      </w:pPr>
      <w:r w:rsidRPr="00265061">
        <w:rPr>
          <w:rFonts w:asciiTheme="minorHAnsi" w:hAnsiTheme="minorHAnsi" w:cstheme="minorHAnsi"/>
          <w:sz w:val="22"/>
          <w:szCs w:val="22"/>
        </w:rPr>
        <w:t xml:space="preserve">The programme is expected to contribute to transformational change within 5 years by providing the evidential foundation required to influence decision makers in developing countries, the private </w:t>
      </w:r>
      <w:proofErr w:type="gramStart"/>
      <w:r w:rsidRPr="00265061">
        <w:rPr>
          <w:rFonts w:asciiTheme="minorHAnsi" w:hAnsiTheme="minorHAnsi" w:cstheme="minorHAnsi"/>
          <w:sz w:val="22"/>
          <w:szCs w:val="22"/>
        </w:rPr>
        <w:t>sector</w:t>
      </w:r>
      <w:proofErr w:type="gramEnd"/>
      <w:r w:rsidRPr="00265061">
        <w:rPr>
          <w:rFonts w:asciiTheme="minorHAnsi" w:hAnsiTheme="minorHAnsi" w:cstheme="minorHAnsi"/>
          <w:sz w:val="22"/>
          <w:szCs w:val="22"/>
        </w:rPr>
        <w:t xml:space="preserve"> and donors (including the UK).  As such the programme is focused on meeting Key Performance Indicator (KPI) 15: the extent to which the ICF intervention is likely to have a transformational impact</w:t>
      </w:r>
      <w:r w:rsidRPr="00265061">
        <w:rPr>
          <w:rFonts w:asciiTheme="minorHAnsi" w:hAnsiTheme="minorHAnsi" w:cstheme="minorHAnsi"/>
          <w:sz w:val="22"/>
          <w:szCs w:val="22"/>
          <w:vertAlign w:val="superscript"/>
        </w:rPr>
        <w:footnoteReference w:id="3"/>
      </w:r>
      <w:r w:rsidRPr="00265061">
        <w:rPr>
          <w:rFonts w:asciiTheme="minorHAnsi" w:hAnsiTheme="minorHAnsi" w:cstheme="minorHAnsi"/>
          <w:sz w:val="22"/>
          <w:szCs w:val="22"/>
        </w:rPr>
        <w:t xml:space="preserve">.  </w:t>
      </w:r>
    </w:p>
    <w:p w14:paraId="213A52E9" w14:textId="73AC7B02" w:rsidR="00265061" w:rsidRPr="00265061" w:rsidRDefault="00265061" w:rsidP="00AB5702">
      <w:pPr>
        <w:spacing w:line="240" w:lineRule="auto"/>
        <w:rPr>
          <w:rFonts w:asciiTheme="minorHAnsi" w:hAnsiTheme="minorHAnsi" w:cstheme="minorHAnsi"/>
          <w:sz w:val="22"/>
          <w:szCs w:val="22"/>
        </w:rPr>
      </w:pPr>
      <w:r w:rsidRPr="00265061">
        <w:rPr>
          <w:rFonts w:asciiTheme="minorHAnsi" w:hAnsiTheme="minorHAnsi" w:cstheme="minorHAnsi"/>
          <w:sz w:val="22"/>
          <w:szCs w:val="22"/>
        </w:rPr>
        <w:t>To assess the programme against KPI 15, progress at the output and outcome levels will be assessed. While the Component specific outputs and outcomes will be developed further with the chosen delivery partner, the table below highlights expected outputs, outcomes and impact this programme of work is expected to achieve. The table builds on the Theory of Change (</w:t>
      </w:r>
      <w:proofErr w:type="spellStart"/>
      <w:r w:rsidRPr="00265061">
        <w:rPr>
          <w:rFonts w:asciiTheme="minorHAnsi" w:hAnsiTheme="minorHAnsi" w:cstheme="minorHAnsi"/>
          <w:sz w:val="22"/>
          <w:szCs w:val="22"/>
        </w:rPr>
        <w:t>ToC</w:t>
      </w:r>
      <w:proofErr w:type="spellEnd"/>
      <w:r w:rsidRPr="00265061">
        <w:rPr>
          <w:rFonts w:asciiTheme="minorHAnsi" w:hAnsiTheme="minorHAnsi" w:cstheme="minorHAnsi"/>
          <w:sz w:val="22"/>
          <w:szCs w:val="22"/>
        </w:rPr>
        <w:t xml:space="preserve">) and will be developed further into both a programme log frame and project log frame along with the selected delivery partners.  </w:t>
      </w:r>
    </w:p>
    <w:p w14:paraId="558B74DB" w14:textId="77777777" w:rsidR="00265061" w:rsidRPr="00265061" w:rsidRDefault="00265061" w:rsidP="00AB5702">
      <w:pPr>
        <w:spacing w:line="240" w:lineRule="auto"/>
        <w:rPr>
          <w:rFonts w:asciiTheme="minorHAnsi" w:hAnsiTheme="minorHAnsi" w:cstheme="minorHAnsi"/>
          <w:sz w:val="22"/>
          <w:szCs w:val="22"/>
        </w:rPr>
      </w:pPr>
      <w:r w:rsidRPr="00265061">
        <w:rPr>
          <w:rFonts w:asciiTheme="minorHAnsi" w:hAnsiTheme="minorHAnsi" w:cstheme="minorHAnsi"/>
          <w:sz w:val="22"/>
          <w:szCs w:val="22"/>
        </w:rPr>
        <w:t xml:space="preserve">Overall, the programme will drive transformational shifts through the effective incorporation of the outputs outlined above to strengthen the evidence base for </w:t>
      </w:r>
      <w:proofErr w:type="spellStart"/>
      <w:r w:rsidRPr="00265061">
        <w:rPr>
          <w:rFonts w:asciiTheme="minorHAnsi" w:hAnsiTheme="minorHAnsi" w:cstheme="minorHAnsi"/>
          <w:sz w:val="22"/>
          <w:szCs w:val="22"/>
        </w:rPr>
        <w:t>NbS</w:t>
      </w:r>
      <w:proofErr w:type="spellEnd"/>
      <w:r w:rsidRPr="00265061">
        <w:rPr>
          <w:rFonts w:asciiTheme="minorHAnsi" w:hAnsiTheme="minorHAnsi" w:cstheme="minorHAnsi"/>
          <w:sz w:val="22"/>
          <w:szCs w:val="22"/>
        </w:rPr>
        <w:t xml:space="preserve"> to tackle climate change, biodiversity loss and poverty reduction propels and catalyses the prioritisation of nature and biodiversity in effective policy making, private sector investment and scalable, effective programming. The uptake of this research will translate evidence into knowledge and action.  </w:t>
      </w:r>
    </w:p>
    <w:p w14:paraId="672A6659" w14:textId="759D2D3A" w:rsidR="0071201F" w:rsidRPr="00265061" w:rsidRDefault="0071201F" w:rsidP="00AB5702">
      <w:pPr>
        <w:spacing w:line="240" w:lineRule="auto"/>
        <w:rPr>
          <w:rFonts w:asciiTheme="minorHAnsi" w:hAnsiTheme="minorHAnsi" w:cstheme="minorHAnsi"/>
          <w:sz w:val="22"/>
          <w:szCs w:val="22"/>
        </w:rPr>
      </w:pPr>
    </w:p>
    <w:sectPr w:rsidR="0071201F" w:rsidRPr="00265061" w:rsidSect="004E67ED">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62418" w14:textId="77777777" w:rsidR="00507646" w:rsidRDefault="00507646" w:rsidP="00343E7A">
      <w:pPr>
        <w:spacing w:before="0" w:after="0" w:line="240" w:lineRule="auto"/>
      </w:pPr>
      <w:r>
        <w:separator/>
      </w:r>
    </w:p>
  </w:endnote>
  <w:endnote w:type="continuationSeparator" w:id="0">
    <w:p w14:paraId="0CE1098F" w14:textId="77777777" w:rsidR="00507646" w:rsidRDefault="00507646" w:rsidP="00343E7A">
      <w:pPr>
        <w:spacing w:before="0" w:after="0" w:line="240" w:lineRule="auto"/>
      </w:pPr>
      <w:r>
        <w:continuationSeparator/>
      </w:r>
    </w:p>
  </w:endnote>
  <w:endnote w:type="continuationNotice" w:id="1">
    <w:p w14:paraId="7FD7E898" w14:textId="77777777" w:rsidR="00507646" w:rsidRDefault="0050764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407A8B7" w14:paraId="00984D62" w14:textId="77777777" w:rsidTr="6407A8B7">
      <w:trPr>
        <w:trHeight w:val="300"/>
      </w:trPr>
      <w:tc>
        <w:tcPr>
          <w:tcW w:w="3210" w:type="dxa"/>
        </w:tcPr>
        <w:p w14:paraId="5ABC127A" w14:textId="617FB776" w:rsidR="6407A8B7" w:rsidRDefault="6407A8B7" w:rsidP="6407A8B7">
          <w:pPr>
            <w:pStyle w:val="Header"/>
            <w:ind w:left="-115"/>
          </w:pPr>
        </w:p>
      </w:tc>
      <w:tc>
        <w:tcPr>
          <w:tcW w:w="3210" w:type="dxa"/>
        </w:tcPr>
        <w:p w14:paraId="73961B65" w14:textId="68F70D76" w:rsidR="6407A8B7" w:rsidRDefault="6407A8B7" w:rsidP="6407A8B7">
          <w:pPr>
            <w:pStyle w:val="Header"/>
            <w:jc w:val="center"/>
          </w:pPr>
        </w:p>
      </w:tc>
      <w:tc>
        <w:tcPr>
          <w:tcW w:w="3210" w:type="dxa"/>
        </w:tcPr>
        <w:p w14:paraId="153E3DD3" w14:textId="48A38F92" w:rsidR="6407A8B7" w:rsidRDefault="6407A8B7" w:rsidP="6407A8B7">
          <w:pPr>
            <w:pStyle w:val="Header"/>
            <w:ind w:right="-115"/>
            <w:jc w:val="right"/>
          </w:pPr>
        </w:p>
      </w:tc>
    </w:tr>
  </w:tbl>
  <w:p w14:paraId="2A623304" w14:textId="5BA54426" w:rsidR="6407A8B7" w:rsidRDefault="6407A8B7" w:rsidP="6407A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407A8B7" w14:paraId="2AF82344" w14:textId="77777777" w:rsidTr="6407A8B7">
      <w:trPr>
        <w:trHeight w:val="300"/>
      </w:trPr>
      <w:tc>
        <w:tcPr>
          <w:tcW w:w="3210" w:type="dxa"/>
        </w:tcPr>
        <w:p w14:paraId="7278DE10" w14:textId="15136B9B" w:rsidR="6407A8B7" w:rsidRDefault="6407A8B7" w:rsidP="6407A8B7">
          <w:pPr>
            <w:pStyle w:val="Header"/>
            <w:ind w:left="-115"/>
          </w:pPr>
        </w:p>
      </w:tc>
      <w:tc>
        <w:tcPr>
          <w:tcW w:w="3210" w:type="dxa"/>
        </w:tcPr>
        <w:p w14:paraId="3521D59E" w14:textId="3DC46ECC" w:rsidR="6407A8B7" w:rsidRDefault="6407A8B7" w:rsidP="6407A8B7">
          <w:pPr>
            <w:pStyle w:val="Header"/>
            <w:jc w:val="center"/>
          </w:pPr>
        </w:p>
      </w:tc>
      <w:tc>
        <w:tcPr>
          <w:tcW w:w="3210" w:type="dxa"/>
        </w:tcPr>
        <w:p w14:paraId="395049B6" w14:textId="60B8700F" w:rsidR="6407A8B7" w:rsidRDefault="6407A8B7" w:rsidP="6407A8B7">
          <w:pPr>
            <w:pStyle w:val="Header"/>
            <w:ind w:right="-115"/>
            <w:jc w:val="right"/>
          </w:pPr>
        </w:p>
      </w:tc>
    </w:tr>
  </w:tbl>
  <w:p w14:paraId="7C8931FB" w14:textId="1F22B905" w:rsidR="6407A8B7" w:rsidRDefault="6407A8B7" w:rsidP="6407A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407A8B7" w14:paraId="6274176D" w14:textId="77777777" w:rsidTr="6407A8B7">
      <w:trPr>
        <w:trHeight w:val="300"/>
      </w:trPr>
      <w:tc>
        <w:tcPr>
          <w:tcW w:w="3210" w:type="dxa"/>
        </w:tcPr>
        <w:p w14:paraId="03C3DD56" w14:textId="6443A30C" w:rsidR="6407A8B7" w:rsidRDefault="6407A8B7" w:rsidP="6407A8B7">
          <w:pPr>
            <w:pStyle w:val="Header"/>
            <w:ind w:left="-115"/>
          </w:pPr>
        </w:p>
      </w:tc>
      <w:tc>
        <w:tcPr>
          <w:tcW w:w="3210" w:type="dxa"/>
        </w:tcPr>
        <w:p w14:paraId="0F654631" w14:textId="5502AE52" w:rsidR="6407A8B7" w:rsidRDefault="6407A8B7" w:rsidP="6407A8B7">
          <w:pPr>
            <w:pStyle w:val="Header"/>
            <w:jc w:val="center"/>
          </w:pPr>
        </w:p>
      </w:tc>
      <w:tc>
        <w:tcPr>
          <w:tcW w:w="3210" w:type="dxa"/>
        </w:tcPr>
        <w:p w14:paraId="165A1662" w14:textId="0F4E42D6" w:rsidR="6407A8B7" w:rsidRDefault="6407A8B7" w:rsidP="6407A8B7">
          <w:pPr>
            <w:pStyle w:val="Header"/>
            <w:ind w:right="-115"/>
            <w:jc w:val="right"/>
          </w:pPr>
        </w:p>
      </w:tc>
    </w:tr>
  </w:tbl>
  <w:p w14:paraId="03A10D28" w14:textId="1A5A350E" w:rsidR="6407A8B7" w:rsidRDefault="6407A8B7" w:rsidP="6407A8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407A8B7" w14:paraId="2D4295CC" w14:textId="77777777" w:rsidTr="6407A8B7">
      <w:trPr>
        <w:trHeight w:val="300"/>
      </w:trPr>
      <w:tc>
        <w:tcPr>
          <w:tcW w:w="3210" w:type="dxa"/>
        </w:tcPr>
        <w:p w14:paraId="08ACC0EA" w14:textId="64276583" w:rsidR="6407A8B7" w:rsidRDefault="6407A8B7" w:rsidP="6407A8B7">
          <w:pPr>
            <w:pStyle w:val="Header"/>
            <w:ind w:left="-115"/>
          </w:pPr>
        </w:p>
      </w:tc>
      <w:tc>
        <w:tcPr>
          <w:tcW w:w="3210" w:type="dxa"/>
        </w:tcPr>
        <w:p w14:paraId="1ADAC7CD" w14:textId="38DA9D75" w:rsidR="6407A8B7" w:rsidRDefault="6407A8B7" w:rsidP="6407A8B7">
          <w:pPr>
            <w:pStyle w:val="Header"/>
            <w:jc w:val="center"/>
          </w:pPr>
        </w:p>
      </w:tc>
      <w:tc>
        <w:tcPr>
          <w:tcW w:w="3210" w:type="dxa"/>
        </w:tcPr>
        <w:p w14:paraId="14385577" w14:textId="67F221C8" w:rsidR="6407A8B7" w:rsidRDefault="6407A8B7" w:rsidP="6407A8B7">
          <w:pPr>
            <w:pStyle w:val="Header"/>
            <w:ind w:right="-115"/>
            <w:jc w:val="right"/>
          </w:pPr>
        </w:p>
      </w:tc>
    </w:tr>
  </w:tbl>
  <w:p w14:paraId="5F38BB84" w14:textId="1FAD3474" w:rsidR="6407A8B7" w:rsidRDefault="6407A8B7" w:rsidP="6407A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9A99" w14:textId="77777777" w:rsidR="00507646" w:rsidRDefault="00507646" w:rsidP="00343E7A">
      <w:pPr>
        <w:spacing w:before="0" w:after="0" w:line="240" w:lineRule="auto"/>
      </w:pPr>
      <w:r>
        <w:separator/>
      </w:r>
    </w:p>
  </w:footnote>
  <w:footnote w:type="continuationSeparator" w:id="0">
    <w:p w14:paraId="5F0E19EA" w14:textId="77777777" w:rsidR="00507646" w:rsidRDefault="00507646" w:rsidP="00343E7A">
      <w:pPr>
        <w:spacing w:before="0" w:after="0" w:line="240" w:lineRule="auto"/>
      </w:pPr>
      <w:r>
        <w:continuationSeparator/>
      </w:r>
    </w:p>
  </w:footnote>
  <w:footnote w:type="continuationNotice" w:id="1">
    <w:p w14:paraId="4BAF644B" w14:textId="77777777" w:rsidR="00507646" w:rsidRDefault="00507646">
      <w:pPr>
        <w:spacing w:before="0" w:after="0" w:line="240" w:lineRule="auto"/>
      </w:pPr>
    </w:p>
  </w:footnote>
  <w:footnote w:id="2">
    <w:p w14:paraId="16136D68" w14:textId="77777777" w:rsidR="00944EA1" w:rsidRDefault="00944EA1" w:rsidP="00944EA1">
      <w:pPr>
        <w:pStyle w:val="FootnoteText"/>
      </w:pPr>
      <w:r>
        <w:rPr>
          <w:rStyle w:val="FootnoteReference"/>
        </w:rPr>
        <w:footnoteRef/>
      </w:r>
      <w:r>
        <w:t xml:space="preserve"> </w:t>
      </w:r>
      <w:r w:rsidRPr="003A4DEA">
        <w:rPr>
          <w:rFonts w:asciiTheme="minorHAnsi" w:eastAsiaTheme="minorEastAsia" w:hAnsiTheme="minorHAnsi" w:cstheme="minorBidi"/>
          <w:sz w:val="22"/>
          <w:szCs w:val="22"/>
        </w:rPr>
        <w:t xml:space="preserve">Direct Analysis in Real Time – Time </w:t>
      </w:r>
      <w:proofErr w:type="gramStart"/>
      <w:r w:rsidRPr="003A4DEA">
        <w:rPr>
          <w:rFonts w:asciiTheme="minorHAnsi" w:eastAsiaTheme="minorEastAsia" w:hAnsiTheme="minorHAnsi" w:cstheme="minorBidi"/>
          <w:sz w:val="22"/>
          <w:szCs w:val="22"/>
        </w:rPr>
        <w:t>Of</w:t>
      </w:r>
      <w:proofErr w:type="gramEnd"/>
      <w:r w:rsidRPr="003A4DEA">
        <w:rPr>
          <w:rFonts w:asciiTheme="minorHAnsi" w:eastAsiaTheme="minorEastAsia" w:hAnsiTheme="minorHAnsi" w:cstheme="minorBidi"/>
          <w:sz w:val="22"/>
          <w:szCs w:val="22"/>
        </w:rPr>
        <w:t xml:space="preserve"> Flight Mass Spectrometer</w:t>
      </w:r>
      <w:r>
        <w:rPr>
          <w:rFonts w:asciiTheme="minorHAnsi" w:eastAsiaTheme="minorEastAsia" w:hAnsiTheme="minorHAnsi" w:cstheme="minorBidi"/>
          <w:sz w:val="22"/>
          <w:szCs w:val="22"/>
        </w:rPr>
        <w:t xml:space="preserve"> (DART – TOFMS)</w:t>
      </w:r>
    </w:p>
  </w:footnote>
  <w:footnote w:id="3">
    <w:p w14:paraId="620EE8F2" w14:textId="77777777" w:rsidR="00265061" w:rsidRDefault="00265061" w:rsidP="0026506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E2D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AE8A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088B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E24C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FEB5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AE14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4D6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42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E032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105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E0586"/>
    <w:multiLevelType w:val="hybridMultilevel"/>
    <w:tmpl w:val="276E0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21DC80"/>
    <w:multiLevelType w:val="hybridMultilevel"/>
    <w:tmpl w:val="A9B61C72"/>
    <w:lvl w:ilvl="0" w:tplc="C2C48DD8">
      <w:start w:val="1"/>
      <w:numFmt w:val="upperLetter"/>
      <w:lvlText w:val="%1."/>
      <w:lvlJc w:val="left"/>
      <w:pPr>
        <w:ind w:left="720" w:hanging="360"/>
      </w:pPr>
    </w:lvl>
    <w:lvl w:ilvl="1" w:tplc="224AF488">
      <w:start w:val="1"/>
      <w:numFmt w:val="lowerLetter"/>
      <w:lvlText w:val="%2."/>
      <w:lvlJc w:val="left"/>
      <w:pPr>
        <w:ind w:left="1440" w:hanging="360"/>
      </w:pPr>
    </w:lvl>
    <w:lvl w:ilvl="2" w:tplc="8C12F070">
      <w:start w:val="1"/>
      <w:numFmt w:val="lowerRoman"/>
      <w:lvlText w:val="%3."/>
      <w:lvlJc w:val="right"/>
      <w:pPr>
        <w:ind w:left="2160" w:hanging="180"/>
      </w:pPr>
    </w:lvl>
    <w:lvl w:ilvl="3" w:tplc="B810C7EA">
      <w:start w:val="1"/>
      <w:numFmt w:val="decimal"/>
      <w:lvlText w:val="%4."/>
      <w:lvlJc w:val="left"/>
      <w:pPr>
        <w:ind w:left="2880" w:hanging="360"/>
      </w:pPr>
    </w:lvl>
    <w:lvl w:ilvl="4" w:tplc="FC5CF0DC">
      <w:start w:val="1"/>
      <w:numFmt w:val="lowerLetter"/>
      <w:lvlText w:val="%5."/>
      <w:lvlJc w:val="left"/>
      <w:pPr>
        <w:ind w:left="3600" w:hanging="360"/>
      </w:pPr>
    </w:lvl>
    <w:lvl w:ilvl="5" w:tplc="CB1A291C">
      <w:start w:val="1"/>
      <w:numFmt w:val="lowerRoman"/>
      <w:lvlText w:val="%6."/>
      <w:lvlJc w:val="right"/>
      <w:pPr>
        <w:ind w:left="4320" w:hanging="180"/>
      </w:pPr>
    </w:lvl>
    <w:lvl w:ilvl="6" w:tplc="86BECD36">
      <w:start w:val="1"/>
      <w:numFmt w:val="decimal"/>
      <w:lvlText w:val="%7."/>
      <w:lvlJc w:val="left"/>
      <w:pPr>
        <w:ind w:left="5040" w:hanging="360"/>
      </w:pPr>
    </w:lvl>
    <w:lvl w:ilvl="7" w:tplc="16E0E85E">
      <w:start w:val="1"/>
      <w:numFmt w:val="lowerLetter"/>
      <w:lvlText w:val="%8."/>
      <w:lvlJc w:val="left"/>
      <w:pPr>
        <w:ind w:left="5760" w:hanging="360"/>
      </w:pPr>
    </w:lvl>
    <w:lvl w:ilvl="8" w:tplc="F372FFEC">
      <w:start w:val="1"/>
      <w:numFmt w:val="lowerRoman"/>
      <w:lvlText w:val="%9."/>
      <w:lvlJc w:val="right"/>
      <w:pPr>
        <w:ind w:left="6480" w:hanging="180"/>
      </w:pPr>
    </w:lvl>
  </w:abstractNum>
  <w:abstractNum w:abstractNumId="12" w15:restartNumberingAfterBreak="0">
    <w:nsid w:val="09E70F63"/>
    <w:multiLevelType w:val="hybridMultilevel"/>
    <w:tmpl w:val="10968E0E"/>
    <w:lvl w:ilvl="0" w:tplc="CB3E8C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6D0B14"/>
    <w:multiLevelType w:val="hybridMultilevel"/>
    <w:tmpl w:val="67A6D7EA"/>
    <w:lvl w:ilvl="0" w:tplc="FFFFFFFF">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8F023B"/>
    <w:multiLevelType w:val="hybridMultilevel"/>
    <w:tmpl w:val="9142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027FE5"/>
    <w:multiLevelType w:val="hybridMultilevel"/>
    <w:tmpl w:val="818C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53DBE"/>
    <w:multiLevelType w:val="hybridMultilevel"/>
    <w:tmpl w:val="CC987CF0"/>
    <w:lvl w:ilvl="0" w:tplc="78108344">
      <w:start w:val="1"/>
      <w:numFmt w:val="bullet"/>
      <w:lvlText w:val=""/>
      <w:lvlJc w:val="left"/>
      <w:pPr>
        <w:ind w:left="720" w:hanging="360"/>
      </w:pPr>
      <w:rPr>
        <w:rFonts w:ascii="Symbol" w:hAnsi="Symbol" w:hint="default"/>
      </w:rPr>
    </w:lvl>
    <w:lvl w:ilvl="1" w:tplc="50B0D14C">
      <w:start w:val="1"/>
      <w:numFmt w:val="bullet"/>
      <w:lvlText w:val="o"/>
      <w:lvlJc w:val="left"/>
      <w:pPr>
        <w:ind w:left="1440" w:hanging="360"/>
      </w:pPr>
      <w:rPr>
        <w:rFonts w:ascii="Courier New" w:hAnsi="Courier New" w:hint="default"/>
      </w:rPr>
    </w:lvl>
    <w:lvl w:ilvl="2" w:tplc="CE148B94">
      <w:start w:val="1"/>
      <w:numFmt w:val="bullet"/>
      <w:lvlText w:val=""/>
      <w:lvlJc w:val="left"/>
      <w:pPr>
        <w:ind w:left="2160" w:hanging="360"/>
      </w:pPr>
      <w:rPr>
        <w:rFonts w:ascii="Wingdings" w:hAnsi="Wingdings" w:hint="default"/>
      </w:rPr>
    </w:lvl>
    <w:lvl w:ilvl="3" w:tplc="26DE974E">
      <w:start w:val="1"/>
      <w:numFmt w:val="bullet"/>
      <w:lvlText w:val=""/>
      <w:lvlJc w:val="left"/>
      <w:pPr>
        <w:ind w:left="2880" w:hanging="360"/>
      </w:pPr>
      <w:rPr>
        <w:rFonts w:ascii="Symbol" w:hAnsi="Symbol" w:hint="default"/>
      </w:rPr>
    </w:lvl>
    <w:lvl w:ilvl="4" w:tplc="F3DE3C24">
      <w:start w:val="1"/>
      <w:numFmt w:val="bullet"/>
      <w:lvlText w:val="o"/>
      <w:lvlJc w:val="left"/>
      <w:pPr>
        <w:ind w:left="3600" w:hanging="360"/>
      </w:pPr>
      <w:rPr>
        <w:rFonts w:ascii="Courier New" w:hAnsi="Courier New" w:hint="default"/>
      </w:rPr>
    </w:lvl>
    <w:lvl w:ilvl="5" w:tplc="C212A5D4">
      <w:start w:val="1"/>
      <w:numFmt w:val="bullet"/>
      <w:lvlText w:val=""/>
      <w:lvlJc w:val="left"/>
      <w:pPr>
        <w:ind w:left="4320" w:hanging="360"/>
      </w:pPr>
      <w:rPr>
        <w:rFonts w:ascii="Wingdings" w:hAnsi="Wingdings" w:hint="default"/>
      </w:rPr>
    </w:lvl>
    <w:lvl w:ilvl="6" w:tplc="422E60EA">
      <w:start w:val="1"/>
      <w:numFmt w:val="bullet"/>
      <w:lvlText w:val=""/>
      <w:lvlJc w:val="left"/>
      <w:pPr>
        <w:ind w:left="5040" w:hanging="360"/>
      </w:pPr>
      <w:rPr>
        <w:rFonts w:ascii="Symbol" w:hAnsi="Symbol" w:hint="default"/>
      </w:rPr>
    </w:lvl>
    <w:lvl w:ilvl="7" w:tplc="8DA20386">
      <w:start w:val="1"/>
      <w:numFmt w:val="bullet"/>
      <w:lvlText w:val="o"/>
      <w:lvlJc w:val="left"/>
      <w:pPr>
        <w:ind w:left="5760" w:hanging="360"/>
      </w:pPr>
      <w:rPr>
        <w:rFonts w:ascii="Courier New" w:hAnsi="Courier New" w:hint="default"/>
      </w:rPr>
    </w:lvl>
    <w:lvl w:ilvl="8" w:tplc="7F08D2C2">
      <w:start w:val="1"/>
      <w:numFmt w:val="bullet"/>
      <w:lvlText w:val=""/>
      <w:lvlJc w:val="left"/>
      <w:pPr>
        <w:ind w:left="6480" w:hanging="360"/>
      </w:pPr>
      <w:rPr>
        <w:rFonts w:ascii="Wingdings" w:hAnsi="Wingdings" w:hint="default"/>
      </w:rPr>
    </w:lvl>
  </w:abstractNum>
  <w:abstractNum w:abstractNumId="17" w15:restartNumberingAfterBreak="0">
    <w:nsid w:val="1CB918A3"/>
    <w:multiLevelType w:val="hybridMultilevel"/>
    <w:tmpl w:val="314A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3129D1"/>
    <w:multiLevelType w:val="hybridMultilevel"/>
    <w:tmpl w:val="067A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037EE0"/>
    <w:multiLevelType w:val="hybridMultilevel"/>
    <w:tmpl w:val="81E4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8A1FD0"/>
    <w:multiLevelType w:val="hybridMultilevel"/>
    <w:tmpl w:val="2F2E5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064CBC"/>
    <w:multiLevelType w:val="hybridMultilevel"/>
    <w:tmpl w:val="01347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B1ACF"/>
    <w:multiLevelType w:val="hybridMultilevel"/>
    <w:tmpl w:val="59488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787980"/>
    <w:multiLevelType w:val="hybridMultilevel"/>
    <w:tmpl w:val="40A0B1B4"/>
    <w:lvl w:ilvl="0" w:tplc="4BA461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3E1A8A"/>
    <w:multiLevelType w:val="hybridMultilevel"/>
    <w:tmpl w:val="E0F6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5C599D"/>
    <w:multiLevelType w:val="hybridMultilevel"/>
    <w:tmpl w:val="3A9865BA"/>
    <w:lvl w:ilvl="0" w:tplc="25407FB6">
      <w:start w:val="1"/>
      <w:numFmt w:val="decimal"/>
      <w:lvlText w:val="%1."/>
      <w:lvlJc w:val="left"/>
      <w:pPr>
        <w:ind w:left="720" w:hanging="360"/>
      </w:pPr>
    </w:lvl>
    <w:lvl w:ilvl="1" w:tplc="FE966332">
      <w:start w:val="1"/>
      <w:numFmt w:val="lowerLetter"/>
      <w:lvlText w:val="%2."/>
      <w:lvlJc w:val="left"/>
      <w:pPr>
        <w:ind w:left="1440" w:hanging="360"/>
      </w:pPr>
    </w:lvl>
    <w:lvl w:ilvl="2" w:tplc="E092FBAE">
      <w:start w:val="1"/>
      <w:numFmt w:val="lowerRoman"/>
      <w:lvlText w:val="%3."/>
      <w:lvlJc w:val="right"/>
      <w:pPr>
        <w:ind w:left="2160" w:hanging="180"/>
      </w:pPr>
    </w:lvl>
    <w:lvl w:ilvl="3" w:tplc="F80ECF12">
      <w:start w:val="1"/>
      <w:numFmt w:val="decimal"/>
      <w:lvlText w:val="%4."/>
      <w:lvlJc w:val="left"/>
      <w:pPr>
        <w:ind w:left="2880" w:hanging="360"/>
      </w:pPr>
    </w:lvl>
    <w:lvl w:ilvl="4" w:tplc="90C42BC6">
      <w:start w:val="1"/>
      <w:numFmt w:val="lowerLetter"/>
      <w:lvlText w:val="%5."/>
      <w:lvlJc w:val="left"/>
      <w:pPr>
        <w:ind w:left="3600" w:hanging="360"/>
      </w:pPr>
    </w:lvl>
    <w:lvl w:ilvl="5" w:tplc="C68447E2">
      <w:start w:val="1"/>
      <w:numFmt w:val="lowerRoman"/>
      <w:lvlText w:val="%6."/>
      <w:lvlJc w:val="right"/>
      <w:pPr>
        <w:ind w:left="4320" w:hanging="180"/>
      </w:pPr>
    </w:lvl>
    <w:lvl w:ilvl="6" w:tplc="F5D0B95E">
      <w:start w:val="1"/>
      <w:numFmt w:val="decimal"/>
      <w:lvlText w:val="%7."/>
      <w:lvlJc w:val="left"/>
      <w:pPr>
        <w:ind w:left="5040" w:hanging="360"/>
      </w:pPr>
    </w:lvl>
    <w:lvl w:ilvl="7" w:tplc="D8142EF2">
      <w:start w:val="1"/>
      <w:numFmt w:val="lowerLetter"/>
      <w:lvlText w:val="%8."/>
      <w:lvlJc w:val="left"/>
      <w:pPr>
        <w:ind w:left="5760" w:hanging="360"/>
      </w:pPr>
    </w:lvl>
    <w:lvl w:ilvl="8" w:tplc="7BA61FD4">
      <w:start w:val="1"/>
      <w:numFmt w:val="lowerRoman"/>
      <w:lvlText w:val="%9."/>
      <w:lvlJc w:val="right"/>
      <w:pPr>
        <w:ind w:left="6480" w:hanging="180"/>
      </w:pPr>
    </w:lvl>
  </w:abstractNum>
  <w:abstractNum w:abstractNumId="26" w15:restartNumberingAfterBreak="0">
    <w:nsid w:val="53BB76BE"/>
    <w:multiLevelType w:val="hybridMultilevel"/>
    <w:tmpl w:val="7808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8333EB"/>
    <w:multiLevelType w:val="hybridMultilevel"/>
    <w:tmpl w:val="16620B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5CE167D6"/>
    <w:multiLevelType w:val="hybridMultilevel"/>
    <w:tmpl w:val="8AA66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03E79"/>
    <w:multiLevelType w:val="hybridMultilevel"/>
    <w:tmpl w:val="E7D44DBC"/>
    <w:lvl w:ilvl="0" w:tplc="CE28778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87454D"/>
    <w:multiLevelType w:val="hybridMultilevel"/>
    <w:tmpl w:val="D882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7F6179"/>
    <w:multiLevelType w:val="hybridMultilevel"/>
    <w:tmpl w:val="642A1ED6"/>
    <w:lvl w:ilvl="0" w:tplc="550289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1B184C"/>
    <w:multiLevelType w:val="hybridMultilevel"/>
    <w:tmpl w:val="09D6D36A"/>
    <w:lvl w:ilvl="0" w:tplc="2C9A9266">
      <w:start w:val="1"/>
      <w:numFmt w:val="bullet"/>
      <w:lvlText w:val=""/>
      <w:lvlJc w:val="left"/>
      <w:pPr>
        <w:ind w:left="720" w:hanging="360"/>
      </w:pPr>
      <w:rPr>
        <w:rFonts w:ascii="Symbol" w:hAnsi="Symbol" w:hint="default"/>
      </w:rPr>
    </w:lvl>
    <w:lvl w:ilvl="1" w:tplc="CEEE2146">
      <w:start w:val="1"/>
      <w:numFmt w:val="bullet"/>
      <w:lvlText w:val="o"/>
      <w:lvlJc w:val="left"/>
      <w:pPr>
        <w:ind w:left="1440" w:hanging="360"/>
      </w:pPr>
      <w:rPr>
        <w:rFonts w:ascii="Courier New" w:hAnsi="Courier New" w:hint="default"/>
      </w:rPr>
    </w:lvl>
    <w:lvl w:ilvl="2" w:tplc="D4D23300">
      <w:start w:val="1"/>
      <w:numFmt w:val="bullet"/>
      <w:lvlText w:val=""/>
      <w:lvlJc w:val="left"/>
      <w:pPr>
        <w:ind w:left="2160" w:hanging="360"/>
      </w:pPr>
      <w:rPr>
        <w:rFonts w:ascii="Wingdings" w:hAnsi="Wingdings" w:hint="default"/>
      </w:rPr>
    </w:lvl>
    <w:lvl w:ilvl="3" w:tplc="D7AC987A">
      <w:start w:val="1"/>
      <w:numFmt w:val="bullet"/>
      <w:lvlText w:val=""/>
      <w:lvlJc w:val="left"/>
      <w:pPr>
        <w:ind w:left="2880" w:hanging="360"/>
      </w:pPr>
      <w:rPr>
        <w:rFonts w:ascii="Symbol" w:hAnsi="Symbol" w:hint="default"/>
      </w:rPr>
    </w:lvl>
    <w:lvl w:ilvl="4" w:tplc="14A695AE">
      <w:start w:val="1"/>
      <w:numFmt w:val="bullet"/>
      <w:lvlText w:val="o"/>
      <w:lvlJc w:val="left"/>
      <w:pPr>
        <w:ind w:left="3600" w:hanging="360"/>
      </w:pPr>
      <w:rPr>
        <w:rFonts w:ascii="Courier New" w:hAnsi="Courier New" w:hint="default"/>
      </w:rPr>
    </w:lvl>
    <w:lvl w:ilvl="5" w:tplc="CE0894C8">
      <w:start w:val="1"/>
      <w:numFmt w:val="bullet"/>
      <w:lvlText w:val=""/>
      <w:lvlJc w:val="left"/>
      <w:pPr>
        <w:ind w:left="4320" w:hanging="360"/>
      </w:pPr>
      <w:rPr>
        <w:rFonts w:ascii="Wingdings" w:hAnsi="Wingdings" w:hint="default"/>
      </w:rPr>
    </w:lvl>
    <w:lvl w:ilvl="6" w:tplc="458A28DE">
      <w:start w:val="1"/>
      <w:numFmt w:val="bullet"/>
      <w:lvlText w:val=""/>
      <w:lvlJc w:val="left"/>
      <w:pPr>
        <w:ind w:left="5040" w:hanging="360"/>
      </w:pPr>
      <w:rPr>
        <w:rFonts w:ascii="Symbol" w:hAnsi="Symbol" w:hint="default"/>
      </w:rPr>
    </w:lvl>
    <w:lvl w:ilvl="7" w:tplc="2D522004">
      <w:start w:val="1"/>
      <w:numFmt w:val="bullet"/>
      <w:lvlText w:val="o"/>
      <w:lvlJc w:val="left"/>
      <w:pPr>
        <w:ind w:left="5760" w:hanging="360"/>
      </w:pPr>
      <w:rPr>
        <w:rFonts w:ascii="Courier New" w:hAnsi="Courier New" w:hint="default"/>
      </w:rPr>
    </w:lvl>
    <w:lvl w:ilvl="8" w:tplc="9AD8EA7E">
      <w:start w:val="1"/>
      <w:numFmt w:val="bullet"/>
      <w:lvlText w:val=""/>
      <w:lvlJc w:val="left"/>
      <w:pPr>
        <w:ind w:left="6480" w:hanging="360"/>
      </w:pPr>
      <w:rPr>
        <w:rFonts w:ascii="Wingdings" w:hAnsi="Wingdings" w:hint="default"/>
      </w:rPr>
    </w:lvl>
  </w:abstractNum>
  <w:abstractNum w:abstractNumId="33" w15:restartNumberingAfterBreak="0">
    <w:nsid w:val="75C029E3"/>
    <w:multiLevelType w:val="multilevel"/>
    <w:tmpl w:val="32E27C66"/>
    <w:lvl w:ilvl="0">
      <w:start w:val="1"/>
      <w:numFmt w:val="decimal"/>
      <w:lvlText w:val="%1."/>
      <w:lvlJc w:val="left"/>
      <w:pPr>
        <w:ind w:left="720" w:hanging="360"/>
      </w:pPr>
      <w:rPr>
        <w:rFonts w:hint="default"/>
      </w:rPr>
    </w:lvl>
    <w:lvl w:ilvl="1">
      <w:start w:val="3"/>
      <w:numFmt w:val="decimal"/>
      <w:lvlText w:val="%1.%2"/>
      <w:lvlJc w:val="left"/>
      <w:pPr>
        <w:ind w:left="870" w:hanging="510"/>
      </w:p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82B676B"/>
    <w:multiLevelType w:val="hybridMultilevel"/>
    <w:tmpl w:val="920A1948"/>
    <w:lvl w:ilvl="0" w:tplc="927288E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533B6A"/>
    <w:multiLevelType w:val="hybridMultilevel"/>
    <w:tmpl w:val="3AC8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C94564"/>
    <w:multiLevelType w:val="hybridMultilevel"/>
    <w:tmpl w:val="AFF617E6"/>
    <w:lvl w:ilvl="0" w:tplc="08090001">
      <w:start w:val="1"/>
      <w:numFmt w:val="bullet"/>
      <w:lvlText w:val=""/>
      <w:lvlJc w:val="left"/>
      <w:pPr>
        <w:ind w:left="717" w:hanging="360"/>
      </w:pPr>
      <w:rPr>
        <w:rFonts w:ascii="Symbol" w:hAnsi="Symbol" w:hint="default"/>
      </w:rPr>
    </w:lvl>
    <w:lvl w:ilvl="1" w:tplc="87CAEE2A">
      <w:start w:val="1"/>
      <w:numFmt w:val="bullet"/>
      <w:lvlText w:val="o"/>
      <w:lvlJc w:val="left"/>
      <w:pPr>
        <w:ind w:left="1437" w:hanging="360"/>
      </w:pPr>
      <w:rPr>
        <w:rFonts w:ascii="Courier New" w:hAnsi="Courier New" w:hint="default"/>
      </w:rPr>
    </w:lvl>
    <w:lvl w:ilvl="2" w:tplc="54B29CCC">
      <w:start w:val="1"/>
      <w:numFmt w:val="bullet"/>
      <w:lvlText w:val=""/>
      <w:lvlJc w:val="left"/>
      <w:pPr>
        <w:ind w:left="2157" w:hanging="360"/>
      </w:pPr>
      <w:rPr>
        <w:rFonts w:ascii="Wingdings" w:hAnsi="Wingdings" w:hint="default"/>
      </w:rPr>
    </w:lvl>
    <w:lvl w:ilvl="3" w:tplc="BBAC6052">
      <w:start w:val="1"/>
      <w:numFmt w:val="bullet"/>
      <w:lvlText w:val=""/>
      <w:lvlJc w:val="left"/>
      <w:pPr>
        <w:ind w:left="2877" w:hanging="360"/>
      </w:pPr>
      <w:rPr>
        <w:rFonts w:ascii="Symbol" w:hAnsi="Symbol" w:hint="default"/>
      </w:rPr>
    </w:lvl>
    <w:lvl w:ilvl="4" w:tplc="811475A6">
      <w:start w:val="1"/>
      <w:numFmt w:val="bullet"/>
      <w:lvlText w:val="o"/>
      <w:lvlJc w:val="left"/>
      <w:pPr>
        <w:ind w:left="3597" w:hanging="360"/>
      </w:pPr>
      <w:rPr>
        <w:rFonts w:ascii="Courier New" w:hAnsi="Courier New" w:hint="default"/>
      </w:rPr>
    </w:lvl>
    <w:lvl w:ilvl="5" w:tplc="F57AF62E">
      <w:start w:val="1"/>
      <w:numFmt w:val="bullet"/>
      <w:lvlText w:val=""/>
      <w:lvlJc w:val="left"/>
      <w:pPr>
        <w:ind w:left="4317" w:hanging="360"/>
      </w:pPr>
      <w:rPr>
        <w:rFonts w:ascii="Wingdings" w:hAnsi="Wingdings" w:hint="default"/>
      </w:rPr>
    </w:lvl>
    <w:lvl w:ilvl="6" w:tplc="07406FAE">
      <w:start w:val="1"/>
      <w:numFmt w:val="bullet"/>
      <w:lvlText w:val=""/>
      <w:lvlJc w:val="left"/>
      <w:pPr>
        <w:ind w:left="5037" w:hanging="360"/>
      </w:pPr>
      <w:rPr>
        <w:rFonts w:ascii="Symbol" w:hAnsi="Symbol" w:hint="default"/>
      </w:rPr>
    </w:lvl>
    <w:lvl w:ilvl="7" w:tplc="E862BA0E">
      <w:start w:val="1"/>
      <w:numFmt w:val="bullet"/>
      <w:lvlText w:val="o"/>
      <w:lvlJc w:val="left"/>
      <w:pPr>
        <w:ind w:left="5757" w:hanging="360"/>
      </w:pPr>
      <w:rPr>
        <w:rFonts w:ascii="Courier New" w:hAnsi="Courier New" w:hint="default"/>
      </w:rPr>
    </w:lvl>
    <w:lvl w:ilvl="8" w:tplc="1FA668EA">
      <w:start w:val="1"/>
      <w:numFmt w:val="bullet"/>
      <w:lvlText w:val=""/>
      <w:lvlJc w:val="left"/>
      <w:pPr>
        <w:ind w:left="6477" w:hanging="360"/>
      </w:pPr>
      <w:rPr>
        <w:rFonts w:ascii="Wingdings" w:hAnsi="Wingdings" w:hint="default"/>
      </w:rPr>
    </w:lvl>
  </w:abstractNum>
  <w:num w:numId="1" w16cid:durableId="358703502">
    <w:abstractNumId w:val="32"/>
  </w:num>
  <w:num w:numId="2" w16cid:durableId="35662249">
    <w:abstractNumId w:val="11"/>
  </w:num>
  <w:num w:numId="3" w16cid:durableId="1832938548">
    <w:abstractNumId w:val="9"/>
  </w:num>
  <w:num w:numId="4" w16cid:durableId="544293855">
    <w:abstractNumId w:val="7"/>
  </w:num>
  <w:num w:numId="5" w16cid:durableId="467280324">
    <w:abstractNumId w:val="6"/>
  </w:num>
  <w:num w:numId="6" w16cid:durableId="1375151221">
    <w:abstractNumId w:val="5"/>
  </w:num>
  <w:num w:numId="7" w16cid:durableId="1403063759">
    <w:abstractNumId w:val="4"/>
  </w:num>
  <w:num w:numId="8" w16cid:durableId="625551231">
    <w:abstractNumId w:val="8"/>
  </w:num>
  <w:num w:numId="9" w16cid:durableId="868490934">
    <w:abstractNumId w:val="3"/>
  </w:num>
  <w:num w:numId="10" w16cid:durableId="1240556690">
    <w:abstractNumId w:val="2"/>
  </w:num>
  <w:num w:numId="11" w16cid:durableId="617834587">
    <w:abstractNumId w:val="1"/>
  </w:num>
  <w:num w:numId="12" w16cid:durableId="1764448934">
    <w:abstractNumId w:val="0"/>
  </w:num>
  <w:num w:numId="13" w16cid:durableId="143083836">
    <w:abstractNumId w:val="16"/>
  </w:num>
  <w:num w:numId="14" w16cid:durableId="946547265">
    <w:abstractNumId w:val="13"/>
  </w:num>
  <w:num w:numId="15" w16cid:durableId="2018727890">
    <w:abstractNumId w:val="17"/>
  </w:num>
  <w:num w:numId="16" w16cid:durableId="533808752">
    <w:abstractNumId w:val="12"/>
  </w:num>
  <w:num w:numId="17" w16cid:durableId="1041906202">
    <w:abstractNumId w:val="31"/>
  </w:num>
  <w:num w:numId="18" w16cid:durableId="1251888896">
    <w:abstractNumId w:val="22"/>
  </w:num>
  <w:num w:numId="19" w16cid:durableId="1388453505">
    <w:abstractNumId w:val="36"/>
  </w:num>
  <w:num w:numId="20" w16cid:durableId="962273905">
    <w:abstractNumId w:val="24"/>
  </w:num>
  <w:num w:numId="21" w16cid:durableId="1587417896">
    <w:abstractNumId w:val="21"/>
  </w:num>
  <w:num w:numId="22" w16cid:durableId="918759058">
    <w:abstractNumId w:val="28"/>
  </w:num>
  <w:num w:numId="23" w16cid:durableId="828836190">
    <w:abstractNumId w:val="20"/>
  </w:num>
  <w:num w:numId="24" w16cid:durableId="1277979992">
    <w:abstractNumId w:val="25"/>
  </w:num>
  <w:num w:numId="25" w16cid:durableId="1642035246">
    <w:abstractNumId w:val="18"/>
  </w:num>
  <w:num w:numId="26" w16cid:durableId="927618939">
    <w:abstractNumId w:val="15"/>
  </w:num>
  <w:num w:numId="27" w16cid:durableId="838157290">
    <w:abstractNumId w:val="35"/>
  </w:num>
  <w:num w:numId="28" w16cid:durableId="993490468">
    <w:abstractNumId w:val="26"/>
  </w:num>
  <w:num w:numId="29" w16cid:durableId="1096901986">
    <w:abstractNumId w:val="29"/>
  </w:num>
  <w:num w:numId="30" w16cid:durableId="1283682832">
    <w:abstractNumId w:val="14"/>
  </w:num>
  <w:num w:numId="31" w16cid:durableId="1109087076">
    <w:abstractNumId w:val="30"/>
  </w:num>
  <w:num w:numId="32" w16cid:durableId="313218982">
    <w:abstractNumId w:val="27"/>
  </w:num>
  <w:num w:numId="33" w16cid:durableId="590091030">
    <w:abstractNumId w:val="19"/>
  </w:num>
  <w:num w:numId="34" w16cid:durableId="991520537">
    <w:abstractNumId w:val="34"/>
  </w:num>
  <w:num w:numId="35" w16cid:durableId="1536456966">
    <w:abstractNumId w:val="33"/>
  </w:num>
  <w:num w:numId="36" w16cid:durableId="729378416">
    <w:abstractNumId w:val="10"/>
  </w:num>
  <w:num w:numId="37" w16cid:durableId="12930938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C42"/>
    <w:rsid w:val="00000B42"/>
    <w:rsid w:val="000050A2"/>
    <w:rsid w:val="000312EE"/>
    <w:rsid w:val="000840B1"/>
    <w:rsid w:val="000B533C"/>
    <w:rsid w:val="00191956"/>
    <w:rsid w:val="001A08A3"/>
    <w:rsid w:val="001A3FE4"/>
    <w:rsid w:val="001C538A"/>
    <w:rsid w:val="001C5D20"/>
    <w:rsid w:val="001D45E1"/>
    <w:rsid w:val="001D7408"/>
    <w:rsid w:val="001E2A71"/>
    <w:rsid w:val="001E699E"/>
    <w:rsid w:val="00202CD1"/>
    <w:rsid w:val="00226263"/>
    <w:rsid w:val="002318EC"/>
    <w:rsid w:val="0024694D"/>
    <w:rsid w:val="00261570"/>
    <w:rsid w:val="002628C3"/>
    <w:rsid w:val="00265061"/>
    <w:rsid w:val="002E182C"/>
    <w:rsid w:val="002F7B6A"/>
    <w:rsid w:val="00302216"/>
    <w:rsid w:val="00307EC7"/>
    <w:rsid w:val="00314B76"/>
    <w:rsid w:val="00343E7A"/>
    <w:rsid w:val="003450AC"/>
    <w:rsid w:val="003A3BB7"/>
    <w:rsid w:val="003C5BA9"/>
    <w:rsid w:val="003D0910"/>
    <w:rsid w:val="003F224A"/>
    <w:rsid w:val="00417260"/>
    <w:rsid w:val="00426DAF"/>
    <w:rsid w:val="00430AB5"/>
    <w:rsid w:val="00473B05"/>
    <w:rsid w:val="004B69EB"/>
    <w:rsid w:val="004E67ED"/>
    <w:rsid w:val="00507646"/>
    <w:rsid w:val="005119BA"/>
    <w:rsid w:val="00530000"/>
    <w:rsid w:val="005338D1"/>
    <w:rsid w:val="005379A1"/>
    <w:rsid w:val="0054768A"/>
    <w:rsid w:val="0059754A"/>
    <w:rsid w:val="005A28A6"/>
    <w:rsid w:val="005B5A97"/>
    <w:rsid w:val="005C2DD2"/>
    <w:rsid w:val="00630236"/>
    <w:rsid w:val="006315C8"/>
    <w:rsid w:val="00647422"/>
    <w:rsid w:val="00647E59"/>
    <w:rsid w:val="006655A0"/>
    <w:rsid w:val="006C7955"/>
    <w:rsid w:val="00710238"/>
    <w:rsid w:val="0071201F"/>
    <w:rsid w:val="00754B8B"/>
    <w:rsid w:val="0077601D"/>
    <w:rsid w:val="007B2F78"/>
    <w:rsid w:val="00824876"/>
    <w:rsid w:val="008254AF"/>
    <w:rsid w:val="00831EAF"/>
    <w:rsid w:val="008A0B82"/>
    <w:rsid w:val="008A61F1"/>
    <w:rsid w:val="008B0A1D"/>
    <w:rsid w:val="008C3C42"/>
    <w:rsid w:val="008F2033"/>
    <w:rsid w:val="008F4B7E"/>
    <w:rsid w:val="00905C5A"/>
    <w:rsid w:val="00912E19"/>
    <w:rsid w:val="00944EA1"/>
    <w:rsid w:val="00955D3F"/>
    <w:rsid w:val="00990DCC"/>
    <w:rsid w:val="009B0C69"/>
    <w:rsid w:val="009B3FE5"/>
    <w:rsid w:val="009C0C43"/>
    <w:rsid w:val="009C0DA2"/>
    <w:rsid w:val="00A10F92"/>
    <w:rsid w:val="00A13958"/>
    <w:rsid w:val="00A559F1"/>
    <w:rsid w:val="00A60355"/>
    <w:rsid w:val="00A66573"/>
    <w:rsid w:val="00A77D4F"/>
    <w:rsid w:val="00AA4A09"/>
    <w:rsid w:val="00AB4DE3"/>
    <w:rsid w:val="00AB5702"/>
    <w:rsid w:val="00AC00EF"/>
    <w:rsid w:val="00AD1754"/>
    <w:rsid w:val="00AE0C0B"/>
    <w:rsid w:val="00B14E1E"/>
    <w:rsid w:val="00B61B77"/>
    <w:rsid w:val="00B83E79"/>
    <w:rsid w:val="00BC2913"/>
    <w:rsid w:val="00BD2DF7"/>
    <w:rsid w:val="00BD54A3"/>
    <w:rsid w:val="00BD67E4"/>
    <w:rsid w:val="00BE127F"/>
    <w:rsid w:val="00BF363E"/>
    <w:rsid w:val="00BF56F9"/>
    <w:rsid w:val="00C13E7B"/>
    <w:rsid w:val="00C44333"/>
    <w:rsid w:val="00C5094C"/>
    <w:rsid w:val="00C541E0"/>
    <w:rsid w:val="00C56359"/>
    <w:rsid w:val="00C652DD"/>
    <w:rsid w:val="00C8469A"/>
    <w:rsid w:val="00C8496F"/>
    <w:rsid w:val="00CA4A7A"/>
    <w:rsid w:val="00CA5AFA"/>
    <w:rsid w:val="00CA6398"/>
    <w:rsid w:val="00CE687E"/>
    <w:rsid w:val="00D43475"/>
    <w:rsid w:val="00D51B2C"/>
    <w:rsid w:val="00DB216F"/>
    <w:rsid w:val="00DE1701"/>
    <w:rsid w:val="00E162B9"/>
    <w:rsid w:val="00E20359"/>
    <w:rsid w:val="00E34859"/>
    <w:rsid w:val="00E567B0"/>
    <w:rsid w:val="00E94983"/>
    <w:rsid w:val="00EA27AD"/>
    <w:rsid w:val="00EC2D3A"/>
    <w:rsid w:val="00ED4CEC"/>
    <w:rsid w:val="00EE4B2E"/>
    <w:rsid w:val="00EE6531"/>
    <w:rsid w:val="00F45D83"/>
    <w:rsid w:val="00FA04A0"/>
    <w:rsid w:val="00FB5425"/>
    <w:rsid w:val="00FC6DC7"/>
    <w:rsid w:val="0113D3BB"/>
    <w:rsid w:val="01292086"/>
    <w:rsid w:val="0159AC89"/>
    <w:rsid w:val="018C699F"/>
    <w:rsid w:val="01D0B4FE"/>
    <w:rsid w:val="02686804"/>
    <w:rsid w:val="02ECEC7C"/>
    <w:rsid w:val="039DC610"/>
    <w:rsid w:val="05399671"/>
    <w:rsid w:val="0610A8D1"/>
    <w:rsid w:val="074098A9"/>
    <w:rsid w:val="08068792"/>
    <w:rsid w:val="084AE806"/>
    <w:rsid w:val="08949386"/>
    <w:rsid w:val="08D7B44E"/>
    <w:rsid w:val="098992C2"/>
    <w:rsid w:val="09F2A0CA"/>
    <w:rsid w:val="09FA01E2"/>
    <w:rsid w:val="0B62D8F7"/>
    <w:rsid w:val="0C0FF113"/>
    <w:rsid w:val="0C710BE5"/>
    <w:rsid w:val="0EDE54BE"/>
    <w:rsid w:val="0F77BC18"/>
    <w:rsid w:val="0FD63A0D"/>
    <w:rsid w:val="0FEE49CC"/>
    <w:rsid w:val="1118588D"/>
    <w:rsid w:val="13563235"/>
    <w:rsid w:val="13DC77C9"/>
    <w:rsid w:val="13DD5A8C"/>
    <w:rsid w:val="148CA400"/>
    <w:rsid w:val="150F76C5"/>
    <w:rsid w:val="163F3869"/>
    <w:rsid w:val="16B280C3"/>
    <w:rsid w:val="16B979E1"/>
    <w:rsid w:val="16C1D561"/>
    <w:rsid w:val="17174E96"/>
    <w:rsid w:val="17CEEF1E"/>
    <w:rsid w:val="184B1497"/>
    <w:rsid w:val="19B9299D"/>
    <w:rsid w:val="1ABC097D"/>
    <w:rsid w:val="1BB65D98"/>
    <w:rsid w:val="1C698493"/>
    <w:rsid w:val="1CE3EC1E"/>
    <w:rsid w:val="1D1A4740"/>
    <w:rsid w:val="1D2144A3"/>
    <w:rsid w:val="1EF348A7"/>
    <w:rsid w:val="1EFF8F47"/>
    <w:rsid w:val="1F0DF7B8"/>
    <w:rsid w:val="1FDEDA86"/>
    <w:rsid w:val="20A941F7"/>
    <w:rsid w:val="21710708"/>
    <w:rsid w:val="217F4493"/>
    <w:rsid w:val="218B2708"/>
    <w:rsid w:val="22099C21"/>
    <w:rsid w:val="22E222C4"/>
    <w:rsid w:val="248EEBF0"/>
    <w:rsid w:val="252CE601"/>
    <w:rsid w:val="25DB9F58"/>
    <w:rsid w:val="26EC2ECA"/>
    <w:rsid w:val="27CECED0"/>
    <w:rsid w:val="27EE2610"/>
    <w:rsid w:val="285E8317"/>
    <w:rsid w:val="291C9D11"/>
    <w:rsid w:val="29D40207"/>
    <w:rsid w:val="2A39F138"/>
    <w:rsid w:val="2B62C876"/>
    <w:rsid w:val="2B730B4E"/>
    <w:rsid w:val="2CC44B7C"/>
    <w:rsid w:val="2E3F19C8"/>
    <w:rsid w:val="2F0A6D03"/>
    <w:rsid w:val="2FAF9167"/>
    <w:rsid w:val="301ABC4E"/>
    <w:rsid w:val="30399E30"/>
    <w:rsid w:val="30998D81"/>
    <w:rsid w:val="30A107CD"/>
    <w:rsid w:val="30B641B3"/>
    <w:rsid w:val="313E75BE"/>
    <w:rsid w:val="31A93858"/>
    <w:rsid w:val="31CB8F20"/>
    <w:rsid w:val="31F267C4"/>
    <w:rsid w:val="32CDE97F"/>
    <w:rsid w:val="3350002B"/>
    <w:rsid w:val="3358506E"/>
    <w:rsid w:val="342C1644"/>
    <w:rsid w:val="3434FB09"/>
    <w:rsid w:val="345C14D1"/>
    <w:rsid w:val="34CC4649"/>
    <w:rsid w:val="34FA0C0F"/>
    <w:rsid w:val="357555F6"/>
    <w:rsid w:val="366816AA"/>
    <w:rsid w:val="377A1E66"/>
    <w:rsid w:val="38E52807"/>
    <w:rsid w:val="3A43FB9C"/>
    <w:rsid w:val="3A5B41BF"/>
    <w:rsid w:val="3C499475"/>
    <w:rsid w:val="3C52BA48"/>
    <w:rsid w:val="3CDDBA14"/>
    <w:rsid w:val="3D5CBA99"/>
    <w:rsid w:val="3ECC7F7E"/>
    <w:rsid w:val="3F813537"/>
    <w:rsid w:val="3FFE20BB"/>
    <w:rsid w:val="4007A3DD"/>
    <w:rsid w:val="41D6265F"/>
    <w:rsid w:val="4369E441"/>
    <w:rsid w:val="43B85D6E"/>
    <w:rsid w:val="44D6D983"/>
    <w:rsid w:val="450350C0"/>
    <w:rsid w:val="45112065"/>
    <w:rsid w:val="455AC7A7"/>
    <w:rsid w:val="45959B89"/>
    <w:rsid w:val="460AABF4"/>
    <w:rsid w:val="460D1843"/>
    <w:rsid w:val="477DFE9B"/>
    <w:rsid w:val="47999E14"/>
    <w:rsid w:val="480932A0"/>
    <w:rsid w:val="48226CC6"/>
    <w:rsid w:val="48533E63"/>
    <w:rsid w:val="48E58906"/>
    <w:rsid w:val="4AAE5D0E"/>
    <w:rsid w:val="4B15CE1E"/>
    <w:rsid w:val="4BC7E21C"/>
    <w:rsid w:val="4BFDDD4D"/>
    <w:rsid w:val="4C04DD0D"/>
    <w:rsid w:val="4C60C51B"/>
    <w:rsid w:val="4E0F6B5D"/>
    <w:rsid w:val="4E824C56"/>
    <w:rsid w:val="4F469537"/>
    <w:rsid w:val="4F67FD9F"/>
    <w:rsid w:val="4FAC3BFD"/>
    <w:rsid w:val="50B80391"/>
    <w:rsid w:val="50C13F49"/>
    <w:rsid w:val="51A3FB80"/>
    <w:rsid w:val="51B659CB"/>
    <w:rsid w:val="5253D3F2"/>
    <w:rsid w:val="525D1A82"/>
    <w:rsid w:val="526D1ED1"/>
    <w:rsid w:val="530BE232"/>
    <w:rsid w:val="536A05D2"/>
    <w:rsid w:val="546BD700"/>
    <w:rsid w:val="54911EFB"/>
    <w:rsid w:val="55DE2883"/>
    <w:rsid w:val="562CEF5C"/>
    <w:rsid w:val="56DB7E37"/>
    <w:rsid w:val="579D2546"/>
    <w:rsid w:val="57DA6180"/>
    <w:rsid w:val="5851A629"/>
    <w:rsid w:val="58973AB5"/>
    <w:rsid w:val="58A207ED"/>
    <w:rsid w:val="5A41E1E8"/>
    <w:rsid w:val="5A4E258C"/>
    <w:rsid w:val="5A70DEC8"/>
    <w:rsid w:val="5A95C161"/>
    <w:rsid w:val="5B46ADCD"/>
    <w:rsid w:val="5B4C9BDE"/>
    <w:rsid w:val="5BE9F5ED"/>
    <w:rsid w:val="5F0EDCEF"/>
    <w:rsid w:val="5F7BFD67"/>
    <w:rsid w:val="603CF55E"/>
    <w:rsid w:val="606526B2"/>
    <w:rsid w:val="60A59C8D"/>
    <w:rsid w:val="60D007F5"/>
    <w:rsid w:val="61529CDE"/>
    <w:rsid w:val="61D0FD53"/>
    <w:rsid w:val="624AF0F7"/>
    <w:rsid w:val="62F63158"/>
    <w:rsid w:val="635DDD31"/>
    <w:rsid w:val="639CC774"/>
    <w:rsid w:val="6407A8B7"/>
    <w:rsid w:val="648D0F1F"/>
    <w:rsid w:val="64EC9E9B"/>
    <w:rsid w:val="653CA943"/>
    <w:rsid w:val="65AD6EC4"/>
    <w:rsid w:val="65E11A3B"/>
    <w:rsid w:val="66D879A4"/>
    <w:rsid w:val="67002076"/>
    <w:rsid w:val="69D41E75"/>
    <w:rsid w:val="6B90F1B3"/>
    <w:rsid w:val="6BC37E7D"/>
    <w:rsid w:val="6C166D19"/>
    <w:rsid w:val="6C509D22"/>
    <w:rsid w:val="6D1C216C"/>
    <w:rsid w:val="6DC1C8AA"/>
    <w:rsid w:val="6E596486"/>
    <w:rsid w:val="6E76FEE4"/>
    <w:rsid w:val="6EC1BEAC"/>
    <w:rsid w:val="7161EF3D"/>
    <w:rsid w:val="725E9A9A"/>
    <w:rsid w:val="738EF976"/>
    <w:rsid w:val="743DCA48"/>
    <w:rsid w:val="750A2F4E"/>
    <w:rsid w:val="755ABA93"/>
    <w:rsid w:val="759B0966"/>
    <w:rsid w:val="761E7DC1"/>
    <w:rsid w:val="77C93804"/>
    <w:rsid w:val="789DDA29"/>
    <w:rsid w:val="79260275"/>
    <w:rsid w:val="79381B1E"/>
    <w:rsid w:val="797F2CE1"/>
    <w:rsid w:val="7A3F8538"/>
    <w:rsid w:val="7A79C1FC"/>
    <w:rsid w:val="7ABDDD15"/>
    <w:rsid w:val="7AEC9390"/>
    <w:rsid w:val="7B8E0026"/>
    <w:rsid w:val="7BE9E834"/>
    <w:rsid w:val="7C5946CA"/>
    <w:rsid w:val="7EACE1D8"/>
    <w:rsid w:val="7EED0A08"/>
    <w:rsid w:val="7F843F41"/>
    <w:rsid w:val="7FCD7D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48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Calibri"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58"/>
    <w:pPr>
      <w:spacing w:before="240" w:after="120" w:line="276" w:lineRule="auto"/>
    </w:pPr>
    <w:rPr>
      <w:rFonts w:ascii="Arial" w:hAnsi="Arial"/>
      <w:sz w:val="24"/>
      <w:szCs w:val="24"/>
      <w:lang w:eastAsia="en-US"/>
    </w:rPr>
  </w:style>
  <w:style w:type="paragraph" w:styleId="Heading1">
    <w:name w:val="heading 1"/>
    <w:basedOn w:val="Normal"/>
    <w:next w:val="Normal"/>
    <w:link w:val="Heading1Char"/>
    <w:uiPriority w:val="9"/>
    <w:qFormat/>
    <w:rsid w:val="00CA5AFA"/>
    <w:pPr>
      <w:keepNext/>
      <w:keepLines/>
      <w:widowControl w:val="0"/>
      <w:spacing w:before="360" w:line="240" w:lineRule="auto"/>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CA5AFA"/>
    <w:pPr>
      <w:keepNext/>
      <w:keepLines/>
      <w:widowControl w:val="0"/>
      <w:spacing w:before="200" w:line="240" w:lineRule="auto"/>
      <w:outlineLvl w:val="1"/>
    </w:pPr>
    <w:rPr>
      <w:rFonts w:eastAsia="Times New Roman"/>
      <w:b/>
      <w:bCs/>
      <w:color w:val="000000"/>
      <w:sz w:val="28"/>
      <w:szCs w:val="26"/>
    </w:rPr>
  </w:style>
  <w:style w:type="paragraph" w:styleId="Heading3">
    <w:name w:val="heading 3"/>
    <w:basedOn w:val="Normal"/>
    <w:next w:val="Normal"/>
    <w:link w:val="Heading3Char"/>
    <w:uiPriority w:val="9"/>
    <w:unhideWhenUsed/>
    <w:qFormat/>
    <w:rsid w:val="005B5A97"/>
    <w:pPr>
      <w:keepNext/>
      <w:keepLines/>
      <w:widowControl w:val="0"/>
      <w:spacing w:before="0" w:line="240" w:lineRule="auto"/>
      <w:outlineLvl w:val="2"/>
    </w:pPr>
    <w:rPr>
      <w:rFonts w:eastAsia="Times New Roman"/>
      <w:b/>
      <w:bCs/>
      <w:color w:val="000000"/>
    </w:rPr>
  </w:style>
  <w:style w:type="paragraph" w:styleId="Heading4">
    <w:name w:val="heading 4"/>
    <w:basedOn w:val="Normal"/>
    <w:next w:val="Normal"/>
    <w:link w:val="Heading4Char"/>
    <w:uiPriority w:val="9"/>
    <w:unhideWhenUsed/>
    <w:rsid w:val="00CE687E"/>
    <w:pPr>
      <w:keepNext/>
      <w:keepLines/>
      <w:spacing w:before="200" w:after="0"/>
      <w:outlineLvl w:val="3"/>
    </w:pPr>
    <w:rPr>
      <w:rFonts w:eastAsia="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5AFA"/>
    <w:rPr>
      <w:rFonts w:eastAsia="Times New Roman" w:cs="Times New Roman"/>
      <w:b/>
      <w:bCs/>
      <w:color w:val="000000"/>
      <w:sz w:val="32"/>
      <w:szCs w:val="28"/>
      <w:lang w:eastAsia="en-GB"/>
    </w:rPr>
  </w:style>
  <w:style w:type="character" w:customStyle="1" w:styleId="Heading2Char">
    <w:name w:val="Heading 2 Char"/>
    <w:link w:val="Heading2"/>
    <w:uiPriority w:val="9"/>
    <w:rsid w:val="00CA5AFA"/>
    <w:rPr>
      <w:rFonts w:eastAsia="Times New Roman" w:cs="Times New Roman"/>
      <w:b/>
      <w:bCs/>
      <w:color w:val="000000"/>
      <w:sz w:val="28"/>
      <w:szCs w:val="26"/>
      <w:lang w:eastAsia="en-GB"/>
    </w:rPr>
  </w:style>
  <w:style w:type="paragraph" w:styleId="Title">
    <w:name w:val="Title"/>
    <w:basedOn w:val="Normal"/>
    <w:next w:val="Normal"/>
    <w:link w:val="TitleChar"/>
    <w:uiPriority w:val="10"/>
    <w:qFormat/>
    <w:rsid w:val="003450AC"/>
    <w:pPr>
      <w:widowControl w:val="0"/>
      <w:spacing w:before="0" w:line="240" w:lineRule="auto"/>
    </w:pPr>
    <w:rPr>
      <w:rFonts w:eastAsia="Times New Roman"/>
      <w:kern w:val="28"/>
      <w:sz w:val="40"/>
      <w:szCs w:val="52"/>
    </w:rPr>
  </w:style>
  <w:style w:type="character" w:customStyle="1" w:styleId="TitleChar">
    <w:name w:val="Title Char"/>
    <w:link w:val="Title"/>
    <w:uiPriority w:val="10"/>
    <w:rsid w:val="003450AC"/>
    <w:rPr>
      <w:rFonts w:eastAsia="Times New Roman" w:cs="Times New Roman"/>
      <w:kern w:val="28"/>
      <w:sz w:val="40"/>
      <w:szCs w:val="52"/>
      <w:lang w:eastAsia="en-GB"/>
    </w:rPr>
  </w:style>
  <w:style w:type="table" w:styleId="TableGrid">
    <w:name w:val="Table Grid"/>
    <w:basedOn w:val="TableNormal"/>
    <w:uiPriority w:val="59"/>
    <w:rsid w:val="008F4B7E"/>
    <w:pPr>
      <w:spacing w:before="60" w:after="80"/>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3A3B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w:eastAsia="Times New Roman" w:hAnsi="Bahnschrift Semi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uiPriority w:val="1"/>
    <w:qFormat/>
    <w:rsid w:val="009C0C43"/>
    <w:rPr>
      <w:rFonts w:eastAsia="Times New Roman"/>
      <w:sz w:val="24"/>
      <w:szCs w:val="22"/>
    </w:rPr>
  </w:style>
  <w:style w:type="character" w:customStyle="1" w:styleId="Heading3Char">
    <w:name w:val="Heading 3 Char"/>
    <w:link w:val="Heading3"/>
    <w:uiPriority w:val="9"/>
    <w:rsid w:val="005B5A97"/>
    <w:rPr>
      <w:rFonts w:eastAsia="Times New Roman" w:cs="Times New Roman"/>
      <w:b/>
      <w:bCs/>
      <w:color w:val="000000"/>
      <w:szCs w:val="22"/>
      <w:lang w:eastAsia="en-GB"/>
    </w:rPr>
  </w:style>
  <w:style w:type="character" w:customStyle="1" w:styleId="Heading4Char">
    <w:name w:val="Heading 4 Char"/>
    <w:link w:val="Heading4"/>
    <w:uiPriority w:val="9"/>
    <w:rsid w:val="00CE687E"/>
    <w:rPr>
      <w:rFonts w:eastAsia="Times New Roman" w:cs="Times New Roman"/>
      <w:b/>
      <w:bCs/>
      <w:i/>
      <w:iCs/>
      <w:color w:val="000000"/>
      <w:szCs w:val="22"/>
      <w:lang w:eastAsia="en-GB"/>
    </w:rPr>
  </w:style>
  <w:style w:type="paragraph" w:styleId="Header">
    <w:name w:val="header"/>
    <w:basedOn w:val="Normal"/>
    <w:link w:val="HeaderChar"/>
    <w:uiPriority w:val="99"/>
    <w:unhideWhenUsed/>
    <w:rsid w:val="00343E7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43E7A"/>
    <w:rPr>
      <w:rFonts w:ascii="Arial" w:hAnsi="Arial"/>
      <w:sz w:val="24"/>
      <w:szCs w:val="24"/>
      <w:lang w:eastAsia="en-US"/>
    </w:rPr>
  </w:style>
  <w:style w:type="paragraph" w:styleId="Footer">
    <w:name w:val="footer"/>
    <w:basedOn w:val="Normal"/>
    <w:link w:val="FooterChar"/>
    <w:uiPriority w:val="99"/>
    <w:unhideWhenUsed/>
    <w:rsid w:val="00343E7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43E7A"/>
    <w:rPr>
      <w:rFonts w:ascii="Arial" w:hAnsi="Arial"/>
      <w:sz w:val="24"/>
      <w:szCs w:val="24"/>
      <w:lang w:eastAsia="en-US"/>
    </w:rPr>
  </w:style>
  <w:style w:type="paragraph" w:styleId="ListParagraph">
    <w:name w:val="List Paragraph"/>
    <w:aliases w:val="Recommendatio,Párrafo de lista,Recommendation,OBC Bullet,Dot pt,F5 List Paragraph,List Paragraph1,No Spacing1,List Paragraph Char Char Char,Indicator Text,Colorful List - Accent 11,Numbered Para 1,Bullet 1,Bullet Points,List Paragraph2,L"/>
    <w:basedOn w:val="Normal"/>
    <w:link w:val="ListParagraphChar"/>
    <w:uiPriority w:val="34"/>
    <w:qFormat/>
    <w:pPr>
      <w:ind w:left="720"/>
      <w:contextualSpacing/>
    </w:pPr>
  </w:style>
  <w:style w:type="paragraph" w:customStyle="1" w:styleId="paragraph">
    <w:name w:val="paragraph"/>
    <w:basedOn w:val="Normal"/>
    <w:rsid w:val="00226263"/>
    <w:pPr>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226263"/>
  </w:style>
  <w:style w:type="character" w:customStyle="1" w:styleId="scxw51304182">
    <w:name w:val="scxw51304182"/>
    <w:basedOn w:val="DefaultParagraphFont"/>
    <w:rsid w:val="00226263"/>
  </w:style>
  <w:style w:type="character" w:customStyle="1" w:styleId="eop">
    <w:name w:val="eop"/>
    <w:basedOn w:val="DefaultParagraphFont"/>
    <w:rsid w:val="00226263"/>
  </w:style>
  <w:style w:type="character" w:styleId="CommentReference">
    <w:name w:val="annotation reference"/>
    <w:basedOn w:val="DefaultParagraphFont"/>
    <w:uiPriority w:val="99"/>
    <w:unhideWhenUsed/>
    <w:rsid w:val="00226263"/>
    <w:rPr>
      <w:sz w:val="16"/>
      <w:szCs w:val="16"/>
    </w:rPr>
  </w:style>
  <w:style w:type="paragraph" w:styleId="CommentText">
    <w:name w:val="annotation text"/>
    <w:basedOn w:val="Normal"/>
    <w:link w:val="CommentTextChar"/>
    <w:uiPriority w:val="99"/>
    <w:unhideWhenUsed/>
    <w:rsid w:val="00226263"/>
    <w:pPr>
      <w:spacing w:line="240" w:lineRule="auto"/>
    </w:pPr>
    <w:rPr>
      <w:sz w:val="20"/>
      <w:szCs w:val="20"/>
    </w:rPr>
  </w:style>
  <w:style w:type="character" w:customStyle="1" w:styleId="CommentTextChar">
    <w:name w:val="Comment Text Char"/>
    <w:basedOn w:val="DefaultParagraphFont"/>
    <w:link w:val="CommentText"/>
    <w:uiPriority w:val="99"/>
    <w:rsid w:val="0022626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26263"/>
    <w:rPr>
      <w:b/>
      <w:bCs/>
    </w:rPr>
  </w:style>
  <w:style w:type="character" w:customStyle="1" w:styleId="CommentSubjectChar">
    <w:name w:val="Comment Subject Char"/>
    <w:basedOn w:val="CommentTextChar"/>
    <w:link w:val="CommentSubject"/>
    <w:uiPriority w:val="99"/>
    <w:semiHidden/>
    <w:rsid w:val="00226263"/>
    <w:rPr>
      <w:rFonts w:ascii="Arial" w:hAnsi="Arial"/>
      <w:b/>
      <w:bCs/>
      <w:lang w:eastAsia="en-US"/>
    </w:rPr>
  </w:style>
  <w:style w:type="character" w:styleId="Hyperlink">
    <w:name w:val="Hyperlink"/>
    <w:basedOn w:val="DefaultParagraphFont"/>
    <w:uiPriority w:val="99"/>
    <w:unhideWhenUsed/>
    <w:rsid w:val="00226263"/>
    <w:rPr>
      <w:color w:val="0000FF" w:themeColor="hyperlink"/>
      <w:u w:val="single"/>
    </w:rPr>
  </w:style>
  <w:style w:type="character" w:styleId="UnresolvedMention">
    <w:name w:val="Unresolved Mention"/>
    <w:basedOn w:val="DefaultParagraphFont"/>
    <w:uiPriority w:val="99"/>
    <w:semiHidden/>
    <w:unhideWhenUsed/>
    <w:rsid w:val="00226263"/>
    <w:rPr>
      <w:color w:val="605E5C"/>
      <w:shd w:val="clear" w:color="auto" w:fill="E1DFDD"/>
    </w:rPr>
  </w:style>
  <w:style w:type="paragraph" w:styleId="FootnoteText">
    <w:name w:val="footnote text"/>
    <w:basedOn w:val="Normal"/>
    <w:link w:val="FootnoteTextChar"/>
    <w:uiPriority w:val="99"/>
    <w:semiHidden/>
    <w:unhideWhenUsed/>
    <w:rsid w:val="00944EA1"/>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944EA1"/>
    <w:rPr>
      <w:rFonts w:ascii="Arial" w:eastAsia="Times New Roman" w:hAnsi="Arial"/>
      <w:lang w:eastAsia="en-US"/>
    </w:rPr>
  </w:style>
  <w:style w:type="character" w:styleId="FootnoteReference">
    <w:name w:val="footnote reference"/>
    <w:basedOn w:val="DefaultParagraphFont"/>
    <w:uiPriority w:val="99"/>
    <w:semiHidden/>
    <w:unhideWhenUsed/>
    <w:rsid w:val="00944EA1"/>
    <w:rPr>
      <w:vertAlign w:val="superscript"/>
    </w:rPr>
  </w:style>
  <w:style w:type="character" w:customStyle="1" w:styleId="ListParagraphChar">
    <w:name w:val="List Paragraph Char"/>
    <w:aliases w:val="Recommendatio Char,Párrafo de lista Char,Recommendation Char,OBC Bullet Char,Dot pt Char,F5 List Paragraph Char,List Paragraph1 Char,No Spacing1 Char,List Paragraph Char Char Char Char,Indicator Text Char,Numbered Para 1 Char,L Char"/>
    <w:basedOn w:val="DefaultParagraphFont"/>
    <w:link w:val="ListParagraph"/>
    <w:uiPriority w:val="34"/>
    <w:qFormat/>
    <w:locked/>
    <w:rsid w:val="004B69EB"/>
    <w:rPr>
      <w:rFonts w:ascii="Arial" w:hAnsi="Arial"/>
      <w:sz w:val="24"/>
      <w:szCs w:val="24"/>
      <w:lang w:eastAsia="en-US"/>
    </w:rPr>
  </w:style>
  <w:style w:type="table" w:styleId="GridTable4-Accent5">
    <w:name w:val="Grid Table 4 Accent 5"/>
    <w:basedOn w:val="TableNormal"/>
    <w:uiPriority w:val="49"/>
    <w:rsid w:val="009B0C69"/>
    <w:rPr>
      <w:rFonts w:ascii="Calibri" w:hAnsi="Calibri" w:cs="Calibr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Revision">
    <w:name w:val="Revision"/>
    <w:hidden/>
    <w:uiPriority w:val="99"/>
    <w:semiHidden/>
    <w:rsid w:val="00FB542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4097">
      <w:bodyDiv w:val="1"/>
      <w:marLeft w:val="0"/>
      <w:marRight w:val="0"/>
      <w:marTop w:val="0"/>
      <w:marBottom w:val="0"/>
      <w:divBdr>
        <w:top w:val="none" w:sz="0" w:space="0" w:color="auto"/>
        <w:left w:val="none" w:sz="0" w:space="0" w:color="auto"/>
        <w:bottom w:val="none" w:sz="0" w:space="0" w:color="auto"/>
        <w:right w:val="none" w:sz="0" w:space="0" w:color="auto"/>
      </w:divBdr>
    </w:div>
    <w:div w:id="785659711">
      <w:bodyDiv w:val="1"/>
      <w:marLeft w:val="0"/>
      <w:marRight w:val="0"/>
      <w:marTop w:val="0"/>
      <w:marBottom w:val="0"/>
      <w:divBdr>
        <w:top w:val="none" w:sz="0" w:space="0" w:color="auto"/>
        <w:left w:val="none" w:sz="0" w:space="0" w:color="auto"/>
        <w:bottom w:val="none" w:sz="0" w:space="0" w:color="auto"/>
        <w:right w:val="none" w:sz="0" w:space="0" w:color="auto"/>
      </w:divBdr>
    </w:div>
    <w:div w:id="1261793532">
      <w:bodyDiv w:val="1"/>
      <w:marLeft w:val="0"/>
      <w:marRight w:val="0"/>
      <w:marTop w:val="0"/>
      <w:marBottom w:val="0"/>
      <w:divBdr>
        <w:top w:val="none" w:sz="0" w:space="0" w:color="auto"/>
        <w:left w:val="none" w:sz="0" w:space="0" w:color="auto"/>
        <w:bottom w:val="none" w:sz="0" w:space="0" w:color="auto"/>
        <w:right w:val="none" w:sz="0" w:space="0" w:color="auto"/>
      </w:divBdr>
      <w:divsChild>
        <w:div w:id="75788374">
          <w:marLeft w:val="0"/>
          <w:marRight w:val="0"/>
          <w:marTop w:val="0"/>
          <w:marBottom w:val="0"/>
          <w:divBdr>
            <w:top w:val="none" w:sz="0" w:space="0" w:color="auto"/>
            <w:left w:val="none" w:sz="0" w:space="0" w:color="auto"/>
            <w:bottom w:val="none" w:sz="0" w:space="0" w:color="auto"/>
            <w:right w:val="none" w:sz="0" w:space="0" w:color="auto"/>
          </w:divBdr>
        </w:div>
        <w:div w:id="76294980">
          <w:marLeft w:val="0"/>
          <w:marRight w:val="0"/>
          <w:marTop w:val="0"/>
          <w:marBottom w:val="0"/>
          <w:divBdr>
            <w:top w:val="none" w:sz="0" w:space="0" w:color="auto"/>
            <w:left w:val="none" w:sz="0" w:space="0" w:color="auto"/>
            <w:bottom w:val="none" w:sz="0" w:space="0" w:color="auto"/>
            <w:right w:val="none" w:sz="0" w:space="0" w:color="auto"/>
          </w:divBdr>
          <w:divsChild>
            <w:div w:id="779105707">
              <w:marLeft w:val="-75"/>
              <w:marRight w:val="0"/>
              <w:marTop w:val="30"/>
              <w:marBottom w:val="30"/>
              <w:divBdr>
                <w:top w:val="none" w:sz="0" w:space="0" w:color="auto"/>
                <w:left w:val="none" w:sz="0" w:space="0" w:color="auto"/>
                <w:bottom w:val="none" w:sz="0" w:space="0" w:color="auto"/>
                <w:right w:val="none" w:sz="0" w:space="0" w:color="auto"/>
              </w:divBdr>
              <w:divsChild>
                <w:div w:id="465270945">
                  <w:marLeft w:val="0"/>
                  <w:marRight w:val="0"/>
                  <w:marTop w:val="0"/>
                  <w:marBottom w:val="0"/>
                  <w:divBdr>
                    <w:top w:val="none" w:sz="0" w:space="0" w:color="auto"/>
                    <w:left w:val="none" w:sz="0" w:space="0" w:color="auto"/>
                    <w:bottom w:val="none" w:sz="0" w:space="0" w:color="auto"/>
                    <w:right w:val="none" w:sz="0" w:space="0" w:color="auto"/>
                  </w:divBdr>
                  <w:divsChild>
                    <w:div w:id="1095901093">
                      <w:marLeft w:val="0"/>
                      <w:marRight w:val="0"/>
                      <w:marTop w:val="0"/>
                      <w:marBottom w:val="0"/>
                      <w:divBdr>
                        <w:top w:val="none" w:sz="0" w:space="0" w:color="auto"/>
                        <w:left w:val="none" w:sz="0" w:space="0" w:color="auto"/>
                        <w:bottom w:val="none" w:sz="0" w:space="0" w:color="auto"/>
                        <w:right w:val="none" w:sz="0" w:space="0" w:color="auto"/>
                      </w:divBdr>
                    </w:div>
                  </w:divsChild>
                </w:div>
                <w:div w:id="715275174">
                  <w:marLeft w:val="0"/>
                  <w:marRight w:val="0"/>
                  <w:marTop w:val="0"/>
                  <w:marBottom w:val="0"/>
                  <w:divBdr>
                    <w:top w:val="none" w:sz="0" w:space="0" w:color="auto"/>
                    <w:left w:val="none" w:sz="0" w:space="0" w:color="auto"/>
                    <w:bottom w:val="none" w:sz="0" w:space="0" w:color="auto"/>
                    <w:right w:val="none" w:sz="0" w:space="0" w:color="auto"/>
                  </w:divBdr>
                  <w:divsChild>
                    <w:div w:id="1849639311">
                      <w:marLeft w:val="0"/>
                      <w:marRight w:val="0"/>
                      <w:marTop w:val="0"/>
                      <w:marBottom w:val="0"/>
                      <w:divBdr>
                        <w:top w:val="none" w:sz="0" w:space="0" w:color="auto"/>
                        <w:left w:val="none" w:sz="0" w:space="0" w:color="auto"/>
                        <w:bottom w:val="none" w:sz="0" w:space="0" w:color="auto"/>
                        <w:right w:val="none" w:sz="0" w:space="0" w:color="auto"/>
                      </w:divBdr>
                    </w:div>
                  </w:divsChild>
                </w:div>
                <w:div w:id="1812332747">
                  <w:marLeft w:val="0"/>
                  <w:marRight w:val="0"/>
                  <w:marTop w:val="0"/>
                  <w:marBottom w:val="0"/>
                  <w:divBdr>
                    <w:top w:val="none" w:sz="0" w:space="0" w:color="auto"/>
                    <w:left w:val="none" w:sz="0" w:space="0" w:color="auto"/>
                    <w:bottom w:val="none" w:sz="0" w:space="0" w:color="auto"/>
                    <w:right w:val="none" w:sz="0" w:space="0" w:color="auto"/>
                  </w:divBdr>
                  <w:divsChild>
                    <w:div w:id="41485877">
                      <w:marLeft w:val="0"/>
                      <w:marRight w:val="0"/>
                      <w:marTop w:val="0"/>
                      <w:marBottom w:val="0"/>
                      <w:divBdr>
                        <w:top w:val="none" w:sz="0" w:space="0" w:color="auto"/>
                        <w:left w:val="none" w:sz="0" w:space="0" w:color="auto"/>
                        <w:bottom w:val="none" w:sz="0" w:space="0" w:color="auto"/>
                        <w:right w:val="none" w:sz="0" w:space="0" w:color="auto"/>
                      </w:divBdr>
                    </w:div>
                    <w:div w:id="199755235">
                      <w:marLeft w:val="0"/>
                      <w:marRight w:val="0"/>
                      <w:marTop w:val="0"/>
                      <w:marBottom w:val="0"/>
                      <w:divBdr>
                        <w:top w:val="none" w:sz="0" w:space="0" w:color="auto"/>
                        <w:left w:val="none" w:sz="0" w:space="0" w:color="auto"/>
                        <w:bottom w:val="none" w:sz="0" w:space="0" w:color="auto"/>
                        <w:right w:val="none" w:sz="0" w:space="0" w:color="auto"/>
                      </w:divBdr>
                    </w:div>
                    <w:div w:id="347761265">
                      <w:marLeft w:val="0"/>
                      <w:marRight w:val="0"/>
                      <w:marTop w:val="0"/>
                      <w:marBottom w:val="0"/>
                      <w:divBdr>
                        <w:top w:val="none" w:sz="0" w:space="0" w:color="auto"/>
                        <w:left w:val="none" w:sz="0" w:space="0" w:color="auto"/>
                        <w:bottom w:val="none" w:sz="0" w:space="0" w:color="auto"/>
                        <w:right w:val="none" w:sz="0" w:space="0" w:color="auto"/>
                      </w:divBdr>
                    </w:div>
                    <w:div w:id="683827909">
                      <w:marLeft w:val="0"/>
                      <w:marRight w:val="0"/>
                      <w:marTop w:val="0"/>
                      <w:marBottom w:val="0"/>
                      <w:divBdr>
                        <w:top w:val="none" w:sz="0" w:space="0" w:color="auto"/>
                        <w:left w:val="none" w:sz="0" w:space="0" w:color="auto"/>
                        <w:bottom w:val="none" w:sz="0" w:space="0" w:color="auto"/>
                        <w:right w:val="none" w:sz="0" w:space="0" w:color="auto"/>
                      </w:divBdr>
                    </w:div>
                    <w:div w:id="1361929109">
                      <w:marLeft w:val="0"/>
                      <w:marRight w:val="0"/>
                      <w:marTop w:val="0"/>
                      <w:marBottom w:val="0"/>
                      <w:divBdr>
                        <w:top w:val="none" w:sz="0" w:space="0" w:color="auto"/>
                        <w:left w:val="none" w:sz="0" w:space="0" w:color="auto"/>
                        <w:bottom w:val="none" w:sz="0" w:space="0" w:color="auto"/>
                        <w:right w:val="none" w:sz="0" w:space="0" w:color="auto"/>
                      </w:divBdr>
                    </w:div>
                    <w:div w:id="1868373415">
                      <w:marLeft w:val="0"/>
                      <w:marRight w:val="0"/>
                      <w:marTop w:val="0"/>
                      <w:marBottom w:val="0"/>
                      <w:divBdr>
                        <w:top w:val="none" w:sz="0" w:space="0" w:color="auto"/>
                        <w:left w:val="none" w:sz="0" w:space="0" w:color="auto"/>
                        <w:bottom w:val="none" w:sz="0" w:space="0" w:color="auto"/>
                        <w:right w:val="none" w:sz="0" w:space="0" w:color="auto"/>
                      </w:divBdr>
                    </w:div>
                  </w:divsChild>
                </w:div>
                <w:div w:id="1964654373">
                  <w:marLeft w:val="0"/>
                  <w:marRight w:val="0"/>
                  <w:marTop w:val="0"/>
                  <w:marBottom w:val="0"/>
                  <w:divBdr>
                    <w:top w:val="none" w:sz="0" w:space="0" w:color="auto"/>
                    <w:left w:val="none" w:sz="0" w:space="0" w:color="auto"/>
                    <w:bottom w:val="none" w:sz="0" w:space="0" w:color="auto"/>
                    <w:right w:val="none" w:sz="0" w:space="0" w:color="auto"/>
                  </w:divBdr>
                  <w:divsChild>
                    <w:div w:id="14716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10915">
          <w:marLeft w:val="0"/>
          <w:marRight w:val="0"/>
          <w:marTop w:val="0"/>
          <w:marBottom w:val="0"/>
          <w:divBdr>
            <w:top w:val="none" w:sz="0" w:space="0" w:color="auto"/>
            <w:left w:val="none" w:sz="0" w:space="0" w:color="auto"/>
            <w:bottom w:val="none" w:sz="0" w:space="0" w:color="auto"/>
            <w:right w:val="none" w:sz="0" w:space="0" w:color="auto"/>
          </w:divBdr>
        </w:div>
        <w:div w:id="750932245">
          <w:marLeft w:val="0"/>
          <w:marRight w:val="0"/>
          <w:marTop w:val="0"/>
          <w:marBottom w:val="0"/>
          <w:divBdr>
            <w:top w:val="none" w:sz="0" w:space="0" w:color="auto"/>
            <w:left w:val="none" w:sz="0" w:space="0" w:color="auto"/>
            <w:bottom w:val="none" w:sz="0" w:space="0" w:color="auto"/>
            <w:right w:val="none" w:sz="0" w:space="0" w:color="auto"/>
          </w:divBdr>
        </w:div>
        <w:div w:id="1023048699">
          <w:marLeft w:val="0"/>
          <w:marRight w:val="0"/>
          <w:marTop w:val="0"/>
          <w:marBottom w:val="0"/>
          <w:divBdr>
            <w:top w:val="none" w:sz="0" w:space="0" w:color="auto"/>
            <w:left w:val="none" w:sz="0" w:space="0" w:color="auto"/>
            <w:bottom w:val="none" w:sz="0" w:space="0" w:color="auto"/>
            <w:right w:val="none" w:sz="0" w:space="0" w:color="auto"/>
          </w:divBdr>
          <w:divsChild>
            <w:div w:id="1452239067">
              <w:marLeft w:val="-75"/>
              <w:marRight w:val="0"/>
              <w:marTop w:val="30"/>
              <w:marBottom w:val="30"/>
              <w:divBdr>
                <w:top w:val="none" w:sz="0" w:space="0" w:color="auto"/>
                <w:left w:val="none" w:sz="0" w:space="0" w:color="auto"/>
                <w:bottom w:val="none" w:sz="0" w:space="0" w:color="auto"/>
                <w:right w:val="none" w:sz="0" w:space="0" w:color="auto"/>
              </w:divBdr>
              <w:divsChild>
                <w:div w:id="21790439">
                  <w:marLeft w:val="0"/>
                  <w:marRight w:val="0"/>
                  <w:marTop w:val="0"/>
                  <w:marBottom w:val="0"/>
                  <w:divBdr>
                    <w:top w:val="none" w:sz="0" w:space="0" w:color="auto"/>
                    <w:left w:val="none" w:sz="0" w:space="0" w:color="auto"/>
                    <w:bottom w:val="none" w:sz="0" w:space="0" w:color="auto"/>
                    <w:right w:val="none" w:sz="0" w:space="0" w:color="auto"/>
                  </w:divBdr>
                  <w:divsChild>
                    <w:div w:id="1707482367">
                      <w:marLeft w:val="0"/>
                      <w:marRight w:val="0"/>
                      <w:marTop w:val="0"/>
                      <w:marBottom w:val="0"/>
                      <w:divBdr>
                        <w:top w:val="none" w:sz="0" w:space="0" w:color="auto"/>
                        <w:left w:val="none" w:sz="0" w:space="0" w:color="auto"/>
                        <w:bottom w:val="none" w:sz="0" w:space="0" w:color="auto"/>
                        <w:right w:val="none" w:sz="0" w:space="0" w:color="auto"/>
                      </w:divBdr>
                    </w:div>
                  </w:divsChild>
                </w:div>
                <w:div w:id="314652099">
                  <w:marLeft w:val="0"/>
                  <w:marRight w:val="0"/>
                  <w:marTop w:val="0"/>
                  <w:marBottom w:val="0"/>
                  <w:divBdr>
                    <w:top w:val="none" w:sz="0" w:space="0" w:color="auto"/>
                    <w:left w:val="none" w:sz="0" w:space="0" w:color="auto"/>
                    <w:bottom w:val="none" w:sz="0" w:space="0" w:color="auto"/>
                    <w:right w:val="none" w:sz="0" w:space="0" w:color="auto"/>
                  </w:divBdr>
                  <w:divsChild>
                    <w:div w:id="915632647">
                      <w:marLeft w:val="0"/>
                      <w:marRight w:val="0"/>
                      <w:marTop w:val="0"/>
                      <w:marBottom w:val="0"/>
                      <w:divBdr>
                        <w:top w:val="none" w:sz="0" w:space="0" w:color="auto"/>
                        <w:left w:val="none" w:sz="0" w:space="0" w:color="auto"/>
                        <w:bottom w:val="none" w:sz="0" w:space="0" w:color="auto"/>
                        <w:right w:val="none" w:sz="0" w:space="0" w:color="auto"/>
                      </w:divBdr>
                    </w:div>
                  </w:divsChild>
                </w:div>
                <w:div w:id="418792201">
                  <w:marLeft w:val="0"/>
                  <w:marRight w:val="0"/>
                  <w:marTop w:val="0"/>
                  <w:marBottom w:val="0"/>
                  <w:divBdr>
                    <w:top w:val="none" w:sz="0" w:space="0" w:color="auto"/>
                    <w:left w:val="none" w:sz="0" w:space="0" w:color="auto"/>
                    <w:bottom w:val="none" w:sz="0" w:space="0" w:color="auto"/>
                    <w:right w:val="none" w:sz="0" w:space="0" w:color="auto"/>
                  </w:divBdr>
                  <w:divsChild>
                    <w:div w:id="122385023">
                      <w:marLeft w:val="0"/>
                      <w:marRight w:val="0"/>
                      <w:marTop w:val="0"/>
                      <w:marBottom w:val="0"/>
                      <w:divBdr>
                        <w:top w:val="none" w:sz="0" w:space="0" w:color="auto"/>
                        <w:left w:val="none" w:sz="0" w:space="0" w:color="auto"/>
                        <w:bottom w:val="none" w:sz="0" w:space="0" w:color="auto"/>
                        <w:right w:val="none" w:sz="0" w:space="0" w:color="auto"/>
                      </w:divBdr>
                    </w:div>
                  </w:divsChild>
                </w:div>
                <w:div w:id="568031052">
                  <w:marLeft w:val="0"/>
                  <w:marRight w:val="0"/>
                  <w:marTop w:val="0"/>
                  <w:marBottom w:val="0"/>
                  <w:divBdr>
                    <w:top w:val="none" w:sz="0" w:space="0" w:color="auto"/>
                    <w:left w:val="none" w:sz="0" w:space="0" w:color="auto"/>
                    <w:bottom w:val="none" w:sz="0" w:space="0" w:color="auto"/>
                    <w:right w:val="none" w:sz="0" w:space="0" w:color="auto"/>
                  </w:divBdr>
                  <w:divsChild>
                    <w:div w:id="332026730">
                      <w:marLeft w:val="0"/>
                      <w:marRight w:val="0"/>
                      <w:marTop w:val="0"/>
                      <w:marBottom w:val="0"/>
                      <w:divBdr>
                        <w:top w:val="none" w:sz="0" w:space="0" w:color="auto"/>
                        <w:left w:val="none" w:sz="0" w:space="0" w:color="auto"/>
                        <w:bottom w:val="none" w:sz="0" w:space="0" w:color="auto"/>
                        <w:right w:val="none" w:sz="0" w:space="0" w:color="auto"/>
                      </w:divBdr>
                    </w:div>
                  </w:divsChild>
                </w:div>
                <w:div w:id="574903217">
                  <w:marLeft w:val="0"/>
                  <w:marRight w:val="0"/>
                  <w:marTop w:val="0"/>
                  <w:marBottom w:val="0"/>
                  <w:divBdr>
                    <w:top w:val="none" w:sz="0" w:space="0" w:color="auto"/>
                    <w:left w:val="none" w:sz="0" w:space="0" w:color="auto"/>
                    <w:bottom w:val="none" w:sz="0" w:space="0" w:color="auto"/>
                    <w:right w:val="none" w:sz="0" w:space="0" w:color="auto"/>
                  </w:divBdr>
                  <w:divsChild>
                    <w:div w:id="441724041">
                      <w:marLeft w:val="0"/>
                      <w:marRight w:val="0"/>
                      <w:marTop w:val="0"/>
                      <w:marBottom w:val="0"/>
                      <w:divBdr>
                        <w:top w:val="none" w:sz="0" w:space="0" w:color="auto"/>
                        <w:left w:val="none" w:sz="0" w:space="0" w:color="auto"/>
                        <w:bottom w:val="none" w:sz="0" w:space="0" w:color="auto"/>
                        <w:right w:val="none" w:sz="0" w:space="0" w:color="auto"/>
                      </w:divBdr>
                    </w:div>
                  </w:divsChild>
                </w:div>
                <w:div w:id="737900407">
                  <w:marLeft w:val="0"/>
                  <w:marRight w:val="0"/>
                  <w:marTop w:val="0"/>
                  <w:marBottom w:val="0"/>
                  <w:divBdr>
                    <w:top w:val="none" w:sz="0" w:space="0" w:color="auto"/>
                    <w:left w:val="none" w:sz="0" w:space="0" w:color="auto"/>
                    <w:bottom w:val="none" w:sz="0" w:space="0" w:color="auto"/>
                    <w:right w:val="none" w:sz="0" w:space="0" w:color="auto"/>
                  </w:divBdr>
                  <w:divsChild>
                    <w:div w:id="663969196">
                      <w:marLeft w:val="0"/>
                      <w:marRight w:val="0"/>
                      <w:marTop w:val="0"/>
                      <w:marBottom w:val="0"/>
                      <w:divBdr>
                        <w:top w:val="none" w:sz="0" w:space="0" w:color="auto"/>
                        <w:left w:val="none" w:sz="0" w:space="0" w:color="auto"/>
                        <w:bottom w:val="none" w:sz="0" w:space="0" w:color="auto"/>
                        <w:right w:val="none" w:sz="0" w:space="0" w:color="auto"/>
                      </w:divBdr>
                    </w:div>
                  </w:divsChild>
                </w:div>
                <w:div w:id="1011100945">
                  <w:marLeft w:val="0"/>
                  <w:marRight w:val="0"/>
                  <w:marTop w:val="0"/>
                  <w:marBottom w:val="0"/>
                  <w:divBdr>
                    <w:top w:val="none" w:sz="0" w:space="0" w:color="auto"/>
                    <w:left w:val="none" w:sz="0" w:space="0" w:color="auto"/>
                    <w:bottom w:val="none" w:sz="0" w:space="0" w:color="auto"/>
                    <w:right w:val="none" w:sz="0" w:space="0" w:color="auto"/>
                  </w:divBdr>
                  <w:divsChild>
                    <w:div w:id="295532948">
                      <w:marLeft w:val="0"/>
                      <w:marRight w:val="0"/>
                      <w:marTop w:val="0"/>
                      <w:marBottom w:val="0"/>
                      <w:divBdr>
                        <w:top w:val="none" w:sz="0" w:space="0" w:color="auto"/>
                        <w:left w:val="none" w:sz="0" w:space="0" w:color="auto"/>
                        <w:bottom w:val="none" w:sz="0" w:space="0" w:color="auto"/>
                        <w:right w:val="none" w:sz="0" w:space="0" w:color="auto"/>
                      </w:divBdr>
                    </w:div>
                  </w:divsChild>
                </w:div>
                <w:div w:id="1089932266">
                  <w:marLeft w:val="0"/>
                  <w:marRight w:val="0"/>
                  <w:marTop w:val="0"/>
                  <w:marBottom w:val="0"/>
                  <w:divBdr>
                    <w:top w:val="none" w:sz="0" w:space="0" w:color="auto"/>
                    <w:left w:val="none" w:sz="0" w:space="0" w:color="auto"/>
                    <w:bottom w:val="none" w:sz="0" w:space="0" w:color="auto"/>
                    <w:right w:val="none" w:sz="0" w:space="0" w:color="auto"/>
                  </w:divBdr>
                  <w:divsChild>
                    <w:div w:id="1585609675">
                      <w:marLeft w:val="0"/>
                      <w:marRight w:val="0"/>
                      <w:marTop w:val="0"/>
                      <w:marBottom w:val="0"/>
                      <w:divBdr>
                        <w:top w:val="none" w:sz="0" w:space="0" w:color="auto"/>
                        <w:left w:val="none" w:sz="0" w:space="0" w:color="auto"/>
                        <w:bottom w:val="none" w:sz="0" w:space="0" w:color="auto"/>
                        <w:right w:val="none" w:sz="0" w:space="0" w:color="auto"/>
                      </w:divBdr>
                    </w:div>
                  </w:divsChild>
                </w:div>
                <w:div w:id="1256983611">
                  <w:marLeft w:val="0"/>
                  <w:marRight w:val="0"/>
                  <w:marTop w:val="0"/>
                  <w:marBottom w:val="0"/>
                  <w:divBdr>
                    <w:top w:val="none" w:sz="0" w:space="0" w:color="auto"/>
                    <w:left w:val="none" w:sz="0" w:space="0" w:color="auto"/>
                    <w:bottom w:val="none" w:sz="0" w:space="0" w:color="auto"/>
                    <w:right w:val="none" w:sz="0" w:space="0" w:color="auto"/>
                  </w:divBdr>
                  <w:divsChild>
                    <w:div w:id="472020815">
                      <w:marLeft w:val="0"/>
                      <w:marRight w:val="0"/>
                      <w:marTop w:val="0"/>
                      <w:marBottom w:val="0"/>
                      <w:divBdr>
                        <w:top w:val="none" w:sz="0" w:space="0" w:color="auto"/>
                        <w:left w:val="none" w:sz="0" w:space="0" w:color="auto"/>
                        <w:bottom w:val="none" w:sz="0" w:space="0" w:color="auto"/>
                        <w:right w:val="none" w:sz="0" w:space="0" w:color="auto"/>
                      </w:divBdr>
                    </w:div>
                  </w:divsChild>
                </w:div>
                <w:div w:id="1480538936">
                  <w:marLeft w:val="0"/>
                  <w:marRight w:val="0"/>
                  <w:marTop w:val="0"/>
                  <w:marBottom w:val="0"/>
                  <w:divBdr>
                    <w:top w:val="none" w:sz="0" w:space="0" w:color="auto"/>
                    <w:left w:val="none" w:sz="0" w:space="0" w:color="auto"/>
                    <w:bottom w:val="none" w:sz="0" w:space="0" w:color="auto"/>
                    <w:right w:val="none" w:sz="0" w:space="0" w:color="auto"/>
                  </w:divBdr>
                  <w:divsChild>
                    <w:div w:id="1349336844">
                      <w:marLeft w:val="0"/>
                      <w:marRight w:val="0"/>
                      <w:marTop w:val="0"/>
                      <w:marBottom w:val="0"/>
                      <w:divBdr>
                        <w:top w:val="none" w:sz="0" w:space="0" w:color="auto"/>
                        <w:left w:val="none" w:sz="0" w:space="0" w:color="auto"/>
                        <w:bottom w:val="none" w:sz="0" w:space="0" w:color="auto"/>
                        <w:right w:val="none" w:sz="0" w:space="0" w:color="auto"/>
                      </w:divBdr>
                    </w:div>
                  </w:divsChild>
                </w:div>
                <w:div w:id="1510755043">
                  <w:marLeft w:val="0"/>
                  <w:marRight w:val="0"/>
                  <w:marTop w:val="0"/>
                  <w:marBottom w:val="0"/>
                  <w:divBdr>
                    <w:top w:val="none" w:sz="0" w:space="0" w:color="auto"/>
                    <w:left w:val="none" w:sz="0" w:space="0" w:color="auto"/>
                    <w:bottom w:val="none" w:sz="0" w:space="0" w:color="auto"/>
                    <w:right w:val="none" w:sz="0" w:space="0" w:color="auto"/>
                  </w:divBdr>
                  <w:divsChild>
                    <w:div w:id="1416591361">
                      <w:marLeft w:val="0"/>
                      <w:marRight w:val="0"/>
                      <w:marTop w:val="0"/>
                      <w:marBottom w:val="0"/>
                      <w:divBdr>
                        <w:top w:val="none" w:sz="0" w:space="0" w:color="auto"/>
                        <w:left w:val="none" w:sz="0" w:space="0" w:color="auto"/>
                        <w:bottom w:val="none" w:sz="0" w:space="0" w:color="auto"/>
                        <w:right w:val="none" w:sz="0" w:space="0" w:color="auto"/>
                      </w:divBdr>
                    </w:div>
                  </w:divsChild>
                </w:div>
                <w:div w:id="1694844674">
                  <w:marLeft w:val="0"/>
                  <w:marRight w:val="0"/>
                  <w:marTop w:val="0"/>
                  <w:marBottom w:val="0"/>
                  <w:divBdr>
                    <w:top w:val="none" w:sz="0" w:space="0" w:color="auto"/>
                    <w:left w:val="none" w:sz="0" w:space="0" w:color="auto"/>
                    <w:bottom w:val="none" w:sz="0" w:space="0" w:color="auto"/>
                    <w:right w:val="none" w:sz="0" w:space="0" w:color="auto"/>
                  </w:divBdr>
                  <w:divsChild>
                    <w:div w:id="1193347932">
                      <w:marLeft w:val="0"/>
                      <w:marRight w:val="0"/>
                      <w:marTop w:val="0"/>
                      <w:marBottom w:val="0"/>
                      <w:divBdr>
                        <w:top w:val="none" w:sz="0" w:space="0" w:color="auto"/>
                        <w:left w:val="none" w:sz="0" w:space="0" w:color="auto"/>
                        <w:bottom w:val="none" w:sz="0" w:space="0" w:color="auto"/>
                        <w:right w:val="none" w:sz="0" w:space="0" w:color="auto"/>
                      </w:divBdr>
                    </w:div>
                  </w:divsChild>
                </w:div>
                <w:div w:id="1699425466">
                  <w:marLeft w:val="0"/>
                  <w:marRight w:val="0"/>
                  <w:marTop w:val="0"/>
                  <w:marBottom w:val="0"/>
                  <w:divBdr>
                    <w:top w:val="none" w:sz="0" w:space="0" w:color="auto"/>
                    <w:left w:val="none" w:sz="0" w:space="0" w:color="auto"/>
                    <w:bottom w:val="none" w:sz="0" w:space="0" w:color="auto"/>
                    <w:right w:val="none" w:sz="0" w:space="0" w:color="auto"/>
                  </w:divBdr>
                  <w:divsChild>
                    <w:div w:id="50930987">
                      <w:marLeft w:val="0"/>
                      <w:marRight w:val="0"/>
                      <w:marTop w:val="0"/>
                      <w:marBottom w:val="0"/>
                      <w:divBdr>
                        <w:top w:val="none" w:sz="0" w:space="0" w:color="auto"/>
                        <w:left w:val="none" w:sz="0" w:space="0" w:color="auto"/>
                        <w:bottom w:val="none" w:sz="0" w:space="0" w:color="auto"/>
                        <w:right w:val="none" w:sz="0" w:space="0" w:color="auto"/>
                      </w:divBdr>
                    </w:div>
                  </w:divsChild>
                </w:div>
                <w:div w:id="1762602416">
                  <w:marLeft w:val="0"/>
                  <w:marRight w:val="0"/>
                  <w:marTop w:val="0"/>
                  <w:marBottom w:val="0"/>
                  <w:divBdr>
                    <w:top w:val="none" w:sz="0" w:space="0" w:color="auto"/>
                    <w:left w:val="none" w:sz="0" w:space="0" w:color="auto"/>
                    <w:bottom w:val="none" w:sz="0" w:space="0" w:color="auto"/>
                    <w:right w:val="none" w:sz="0" w:space="0" w:color="auto"/>
                  </w:divBdr>
                  <w:divsChild>
                    <w:div w:id="518473008">
                      <w:marLeft w:val="0"/>
                      <w:marRight w:val="0"/>
                      <w:marTop w:val="0"/>
                      <w:marBottom w:val="0"/>
                      <w:divBdr>
                        <w:top w:val="none" w:sz="0" w:space="0" w:color="auto"/>
                        <w:left w:val="none" w:sz="0" w:space="0" w:color="auto"/>
                        <w:bottom w:val="none" w:sz="0" w:space="0" w:color="auto"/>
                        <w:right w:val="none" w:sz="0" w:space="0" w:color="auto"/>
                      </w:divBdr>
                    </w:div>
                  </w:divsChild>
                </w:div>
                <w:div w:id="1893803310">
                  <w:marLeft w:val="0"/>
                  <w:marRight w:val="0"/>
                  <w:marTop w:val="0"/>
                  <w:marBottom w:val="0"/>
                  <w:divBdr>
                    <w:top w:val="none" w:sz="0" w:space="0" w:color="auto"/>
                    <w:left w:val="none" w:sz="0" w:space="0" w:color="auto"/>
                    <w:bottom w:val="none" w:sz="0" w:space="0" w:color="auto"/>
                    <w:right w:val="none" w:sz="0" w:space="0" w:color="auto"/>
                  </w:divBdr>
                  <w:divsChild>
                    <w:div w:id="1262761884">
                      <w:marLeft w:val="0"/>
                      <w:marRight w:val="0"/>
                      <w:marTop w:val="0"/>
                      <w:marBottom w:val="0"/>
                      <w:divBdr>
                        <w:top w:val="none" w:sz="0" w:space="0" w:color="auto"/>
                        <w:left w:val="none" w:sz="0" w:space="0" w:color="auto"/>
                        <w:bottom w:val="none" w:sz="0" w:space="0" w:color="auto"/>
                        <w:right w:val="none" w:sz="0" w:space="0" w:color="auto"/>
                      </w:divBdr>
                    </w:div>
                  </w:divsChild>
                </w:div>
                <w:div w:id="1928080111">
                  <w:marLeft w:val="0"/>
                  <w:marRight w:val="0"/>
                  <w:marTop w:val="0"/>
                  <w:marBottom w:val="0"/>
                  <w:divBdr>
                    <w:top w:val="none" w:sz="0" w:space="0" w:color="auto"/>
                    <w:left w:val="none" w:sz="0" w:space="0" w:color="auto"/>
                    <w:bottom w:val="none" w:sz="0" w:space="0" w:color="auto"/>
                    <w:right w:val="none" w:sz="0" w:space="0" w:color="auto"/>
                  </w:divBdr>
                  <w:divsChild>
                    <w:div w:id="1989817330">
                      <w:marLeft w:val="0"/>
                      <w:marRight w:val="0"/>
                      <w:marTop w:val="0"/>
                      <w:marBottom w:val="0"/>
                      <w:divBdr>
                        <w:top w:val="none" w:sz="0" w:space="0" w:color="auto"/>
                        <w:left w:val="none" w:sz="0" w:space="0" w:color="auto"/>
                        <w:bottom w:val="none" w:sz="0" w:space="0" w:color="auto"/>
                        <w:right w:val="none" w:sz="0" w:space="0" w:color="auto"/>
                      </w:divBdr>
                    </w:div>
                  </w:divsChild>
                </w:div>
                <w:div w:id="1968853779">
                  <w:marLeft w:val="0"/>
                  <w:marRight w:val="0"/>
                  <w:marTop w:val="0"/>
                  <w:marBottom w:val="0"/>
                  <w:divBdr>
                    <w:top w:val="none" w:sz="0" w:space="0" w:color="auto"/>
                    <w:left w:val="none" w:sz="0" w:space="0" w:color="auto"/>
                    <w:bottom w:val="none" w:sz="0" w:space="0" w:color="auto"/>
                    <w:right w:val="none" w:sz="0" w:space="0" w:color="auto"/>
                  </w:divBdr>
                  <w:divsChild>
                    <w:div w:id="1830366281">
                      <w:marLeft w:val="0"/>
                      <w:marRight w:val="0"/>
                      <w:marTop w:val="0"/>
                      <w:marBottom w:val="0"/>
                      <w:divBdr>
                        <w:top w:val="none" w:sz="0" w:space="0" w:color="auto"/>
                        <w:left w:val="none" w:sz="0" w:space="0" w:color="auto"/>
                        <w:bottom w:val="none" w:sz="0" w:space="0" w:color="auto"/>
                        <w:right w:val="none" w:sz="0" w:space="0" w:color="auto"/>
                      </w:divBdr>
                    </w:div>
                  </w:divsChild>
                </w:div>
                <w:div w:id="2073848115">
                  <w:marLeft w:val="0"/>
                  <w:marRight w:val="0"/>
                  <w:marTop w:val="0"/>
                  <w:marBottom w:val="0"/>
                  <w:divBdr>
                    <w:top w:val="none" w:sz="0" w:space="0" w:color="auto"/>
                    <w:left w:val="none" w:sz="0" w:space="0" w:color="auto"/>
                    <w:bottom w:val="none" w:sz="0" w:space="0" w:color="auto"/>
                    <w:right w:val="none" w:sz="0" w:space="0" w:color="auto"/>
                  </w:divBdr>
                  <w:divsChild>
                    <w:div w:id="11351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27181">
          <w:marLeft w:val="0"/>
          <w:marRight w:val="0"/>
          <w:marTop w:val="0"/>
          <w:marBottom w:val="0"/>
          <w:divBdr>
            <w:top w:val="none" w:sz="0" w:space="0" w:color="auto"/>
            <w:left w:val="none" w:sz="0" w:space="0" w:color="auto"/>
            <w:bottom w:val="none" w:sz="0" w:space="0" w:color="auto"/>
            <w:right w:val="none" w:sz="0" w:space="0" w:color="auto"/>
          </w:divBdr>
          <w:divsChild>
            <w:div w:id="558978342">
              <w:marLeft w:val="-75"/>
              <w:marRight w:val="0"/>
              <w:marTop w:val="30"/>
              <w:marBottom w:val="30"/>
              <w:divBdr>
                <w:top w:val="none" w:sz="0" w:space="0" w:color="auto"/>
                <w:left w:val="none" w:sz="0" w:space="0" w:color="auto"/>
                <w:bottom w:val="none" w:sz="0" w:space="0" w:color="auto"/>
                <w:right w:val="none" w:sz="0" w:space="0" w:color="auto"/>
              </w:divBdr>
              <w:divsChild>
                <w:div w:id="84885788">
                  <w:marLeft w:val="0"/>
                  <w:marRight w:val="0"/>
                  <w:marTop w:val="0"/>
                  <w:marBottom w:val="0"/>
                  <w:divBdr>
                    <w:top w:val="none" w:sz="0" w:space="0" w:color="auto"/>
                    <w:left w:val="none" w:sz="0" w:space="0" w:color="auto"/>
                    <w:bottom w:val="none" w:sz="0" w:space="0" w:color="auto"/>
                    <w:right w:val="none" w:sz="0" w:space="0" w:color="auto"/>
                  </w:divBdr>
                  <w:divsChild>
                    <w:div w:id="2124575759">
                      <w:marLeft w:val="0"/>
                      <w:marRight w:val="0"/>
                      <w:marTop w:val="0"/>
                      <w:marBottom w:val="0"/>
                      <w:divBdr>
                        <w:top w:val="none" w:sz="0" w:space="0" w:color="auto"/>
                        <w:left w:val="none" w:sz="0" w:space="0" w:color="auto"/>
                        <w:bottom w:val="none" w:sz="0" w:space="0" w:color="auto"/>
                        <w:right w:val="none" w:sz="0" w:space="0" w:color="auto"/>
                      </w:divBdr>
                    </w:div>
                  </w:divsChild>
                </w:div>
                <w:div w:id="433130263">
                  <w:marLeft w:val="0"/>
                  <w:marRight w:val="0"/>
                  <w:marTop w:val="0"/>
                  <w:marBottom w:val="0"/>
                  <w:divBdr>
                    <w:top w:val="none" w:sz="0" w:space="0" w:color="auto"/>
                    <w:left w:val="none" w:sz="0" w:space="0" w:color="auto"/>
                    <w:bottom w:val="none" w:sz="0" w:space="0" w:color="auto"/>
                    <w:right w:val="none" w:sz="0" w:space="0" w:color="auto"/>
                  </w:divBdr>
                  <w:divsChild>
                    <w:div w:id="604074489">
                      <w:marLeft w:val="0"/>
                      <w:marRight w:val="0"/>
                      <w:marTop w:val="0"/>
                      <w:marBottom w:val="0"/>
                      <w:divBdr>
                        <w:top w:val="none" w:sz="0" w:space="0" w:color="auto"/>
                        <w:left w:val="none" w:sz="0" w:space="0" w:color="auto"/>
                        <w:bottom w:val="none" w:sz="0" w:space="0" w:color="auto"/>
                        <w:right w:val="none" w:sz="0" w:space="0" w:color="auto"/>
                      </w:divBdr>
                    </w:div>
                  </w:divsChild>
                </w:div>
                <w:div w:id="877744357">
                  <w:marLeft w:val="0"/>
                  <w:marRight w:val="0"/>
                  <w:marTop w:val="0"/>
                  <w:marBottom w:val="0"/>
                  <w:divBdr>
                    <w:top w:val="none" w:sz="0" w:space="0" w:color="auto"/>
                    <w:left w:val="none" w:sz="0" w:space="0" w:color="auto"/>
                    <w:bottom w:val="none" w:sz="0" w:space="0" w:color="auto"/>
                    <w:right w:val="none" w:sz="0" w:space="0" w:color="auto"/>
                  </w:divBdr>
                  <w:divsChild>
                    <w:div w:id="1146387896">
                      <w:marLeft w:val="0"/>
                      <w:marRight w:val="0"/>
                      <w:marTop w:val="0"/>
                      <w:marBottom w:val="0"/>
                      <w:divBdr>
                        <w:top w:val="none" w:sz="0" w:space="0" w:color="auto"/>
                        <w:left w:val="none" w:sz="0" w:space="0" w:color="auto"/>
                        <w:bottom w:val="none" w:sz="0" w:space="0" w:color="auto"/>
                        <w:right w:val="none" w:sz="0" w:space="0" w:color="auto"/>
                      </w:divBdr>
                    </w:div>
                  </w:divsChild>
                </w:div>
                <w:div w:id="965356355">
                  <w:marLeft w:val="0"/>
                  <w:marRight w:val="0"/>
                  <w:marTop w:val="0"/>
                  <w:marBottom w:val="0"/>
                  <w:divBdr>
                    <w:top w:val="none" w:sz="0" w:space="0" w:color="auto"/>
                    <w:left w:val="none" w:sz="0" w:space="0" w:color="auto"/>
                    <w:bottom w:val="none" w:sz="0" w:space="0" w:color="auto"/>
                    <w:right w:val="none" w:sz="0" w:space="0" w:color="auto"/>
                  </w:divBdr>
                  <w:divsChild>
                    <w:div w:id="766537250">
                      <w:marLeft w:val="0"/>
                      <w:marRight w:val="0"/>
                      <w:marTop w:val="0"/>
                      <w:marBottom w:val="0"/>
                      <w:divBdr>
                        <w:top w:val="none" w:sz="0" w:space="0" w:color="auto"/>
                        <w:left w:val="none" w:sz="0" w:space="0" w:color="auto"/>
                        <w:bottom w:val="none" w:sz="0" w:space="0" w:color="auto"/>
                        <w:right w:val="none" w:sz="0" w:space="0" w:color="auto"/>
                      </w:divBdr>
                    </w:div>
                    <w:div w:id="930042940">
                      <w:marLeft w:val="0"/>
                      <w:marRight w:val="0"/>
                      <w:marTop w:val="0"/>
                      <w:marBottom w:val="0"/>
                      <w:divBdr>
                        <w:top w:val="none" w:sz="0" w:space="0" w:color="auto"/>
                        <w:left w:val="none" w:sz="0" w:space="0" w:color="auto"/>
                        <w:bottom w:val="none" w:sz="0" w:space="0" w:color="auto"/>
                        <w:right w:val="none" w:sz="0" w:space="0" w:color="auto"/>
                      </w:divBdr>
                    </w:div>
                  </w:divsChild>
                </w:div>
                <w:div w:id="1021663610">
                  <w:marLeft w:val="0"/>
                  <w:marRight w:val="0"/>
                  <w:marTop w:val="0"/>
                  <w:marBottom w:val="0"/>
                  <w:divBdr>
                    <w:top w:val="none" w:sz="0" w:space="0" w:color="auto"/>
                    <w:left w:val="none" w:sz="0" w:space="0" w:color="auto"/>
                    <w:bottom w:val="none" w:sz="0" w:space="0" w:color="auto"/>
                    <w:right w:val="none" w:sz="0" w:space="0" w:color="auto"/>
                  </w:divBdr>
                  <w:divsChild>
                    <w:div w:id="1893079827">
                      <w:marLeft w:val="0"/>
                      <w:marRight w:val="0"/>
                      <w:marTop w:val="0"/>
                      <w:marBottom w:val="0"/>
                      <w:divBdr>
                        <w:top w:val="none" w:sz="0" w:space="0" w:color="auto"/>
                        <w:left w:val="none" w:sz="0" w:space="0" w:color="auto"/>
                        <w:bottom w:val="none" w:sz="0" w:space="0" w:color="auto"/>
                        <w:right w:val="none" w:sz="0" w:space="0" w:color="auto"/>
                      </w:divBdr>
                    </w:div>
                  </w:divsChild>
                </w:div>
                <w:div w:id="1893614014">
                  <w:marLeft w:val="0"/>
                  <w:marRight w:val="0"/>
                  <w:marTop w:val="0"/>
                  <w:marBottom w:val="0"/>
                  <w:divBdr>
                    <w:top w:val="none" w:sz="0" w:space="0" w:color="auto"/>
                    <w:left w:val="none" w:sz="0" w:space="0" w:color="auto"/>
                    <w:bottom w:val="none" w:sz="0" w:space="0" w:color="auto"/>
                    <w:right w:val="none" w:sz="0" w:space="0" w:color="auto"/>
                  </w:divBdr>
                  <w:divsChild>
                    <w:div w:id="20682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1632">
          <w:marLeft w:val="0"/>
          <w:marRight w:val="0"/>
          <w:marTop w:val="0"/>
          <w:marBottom w:val="0"/>
          <w:divBdr>
            <w:top w:val="none" w:sz="0" w:space="0" w:color="auto"/>
            <w:left w:val="none" w:sz="0" w:space="0" w:color="auto"/>
            <w:bottom w:val="none" w:sz="0" w:space="0" w:color="auto"/>
            <w:right w:val="none" w:sz="0" w:space="0" w:color="auto"/>
          </w:divBdr>
        </w:div>
        <w:div w:id="1600020080">
          <w:marLeft w:val="0"/>
          <w:marRight w:val="0"/>
          <w:marTop w:val="0"/>
          <w:marBottom w:val="0"/>
          <w:divBdr>
            <w:top w:val="none" w:sz="0" w:space="0" w:color="auto"/>
            <w:left w:val="none" w:sz="0" w:space="0" w:color="auto"/>
            <w:bottom w:val="none" w:sz="0" w:space="0" w:color="auto"/>
            <w:right w:val="none" w:sz="0" w:space="0" w:color="auto"/>
          </w:divBdr>
        </w:div>
        <w:div w:id="2086680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vtracker.fcdo.gov.uk/projects/GB-GOV-7-ICF-P0011-RD/documents" TargetMode="External"/><Relationship Id="rId17" Type="http://schemas.openxmlformats.org/officeDocument/2006/relationships/hyperlink" Target="https://iati.fcdo.gov.uk/iati_documents/56814448.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tracker.fcdo.gov.uk/projects/GB-GOV-7-ICF-P0011-RD/docum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11</Value>
      <Value>10</Value>
      <Value>8</Value>
      <Value>7</Value>
    </TaxCatchAll>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axCatchAllLabel xmlns="662745e8-e224-48e8-a2e3-254862b8c2f5" xsi:nil="true"/>
    <Topic xmlns="662745e8-e224-48e8-a2e3-254862b8c2f5">ICF</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International</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_ip_UnifiedCompliancePolicyUIAction xmlns="http://schemas.microsoft.com/sharepoint/v3" xsi:nil="true"/>
    <_ip_UnifiedCompliancePolicyProperties xmlns="http://schemas.microsoft.com/sharepoint/v3" xsi:nil="true"/>
    <lcf76f155ced4ddcb4097134ff3c332f xmlns="cd3c523b-aa8f-4804-a23e-31cb3efad401">
      <Terms xmlns="http://schemas.microsoft.com/office/infopath/2007/PartnerControls"/>
    </lcf76f155ced4ddcb4097134ff3c332f>
    <SharedWithUsers xmlns="c2a29bdd-637a-4f4b-b2b1-1338f72c8a40">
      <UserInfo>
        <DisplayName>Robinson, Emily</DisplayName>
        <AccountId>588</AccountId>
        <AccountType/>
      </UserInfo>
      <UserInfo>
        <DisplayName>Lin, Bingbing</DisplayName>
        <AccountId>765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7F88C51DAF897B458237A9C1200953D8" ma:contentTypeVersion="22" ma:contentTypeDescription="Create a new document." ma:contentTypeScope="" ma:versionID="1d37bf41f7732295bfe5db5bc905f08b">
  <xsd:schema xmlns:xsd="http://www.w3.org/2001/XMLSchema" xmlns:xs="http://www.w3.org/2001/XMLSchema" xmlns:p="http://schemas.microsoft.com/office/2006/metadata/properties" xmlns:ns1="http://schemas.microsoft.com/sharepoint/v3" xmlns:ns2="662745e8-e224-48e8-a2e3-254862b8c2f5" xmlns:ns3="cd3c523b-aa8f-4804-a23e-31cb3efad401" xmlns:ns4="c2a29bdd-637a-4f4b-b2b1-1338f72c8a40" targetNamespace="http://schemas.microsoft.com/office/2006/metadata/properties" ma:root="true" ma:fieldsID="b58351a638dda7fb039cd4cb497d4678" ns1:_="" ns2:_="" ns3:_="" ns4:_="">
    <xsd:import namespace="http://schemas.microsoft.com/sharepoint/v3"/>
    <xsd:import namespace="662745e8-e224-48e8-a2e3-254862b8c2f5"/>
    <xsd:import namespace="cd3c523b-aa8f-4804-a23e-31cb3efad401"/>
    <xsd:import namespace="c2a29bdd-637a-4f4b-b2b1-1338f72c8a40"/>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1:_ip_UnifiedCompliancePolicyProperties" minOccurs="0"/>
                <xsd:element ref="ns1:_ip_UnifiedCompliancePolicyUIAction"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4dc0afb-fb50-45c9-b93d-3cf984feeaef}" ma:internalName="TaxCatchAll" ma:showField="CatchAllData" ma:web="c2a29bdd-637a-4f4b-b2b1-1338f72c8a4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dc0afb-fb50-45c9-b93d-3cf984feeaef}" ma:internalName="TaxCatchAllLabel" ma:readOnly="true" ma:showField="CatchAllDataLabel" ma:web="c2a29bdd-637a-4f4b-b2b1-1338f72c8a40">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International Nature Climate and Development Division INCD" ma:internalName="Team">
      <xsd:simpleType>
        <xsd:restriction base="dms:Text"/>
      </xsd:simpleType>
    </xsd:element>
    <xsd:element name="Topic" ma:index="20" nillable="true" ma:displayName="Topic" ma:default="Integrating Nature Document Library"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3c523b-aa8f-4804-a23e-31cb3efad401"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ObjectDetectorVersions" ma:index="40" nillable="true" ma:displayName="MediaServiceObjectDetectorVersions" ma:description="" ma:hidden="true" ma:indexed="true" ma:internalName="MediaServiceObjectDetectorVersions" ma:readOnly="true">
      <xsd:simpleType>
        <xsd:restriction base="dms:Text"/>
      </xsd:simpleType>
    </xsd:element>
    <xsd:element name="MediaServiceLocation" ma:index="4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a29bdd-637a-4f4b-b2b1-1338f72c8a40"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4926626C-1E14-4ABF-993B-8BD9D66D4114}">
  <ds:schemaRefs>
    <ds:schemaRef ds:uri="http://schemas.microsoft.com/sharepoint/v3/contenttype/forms"/>
  </ds:schemaRefs>
</ds:datastoreItem>
</file>

<file path=customXml/itemProps2.xml><?xml version="1.0" encoding="utf-8"?>
<ds:datastoreItem xmlns:ds="http://schemas.openxmlformats.org/officeDocument/2006/customXml" ds:itemID="{9A5AB0F4-7FD5-4688-814D-8428DD3F0602}">
  <ds:schemaRefs>
    <ds:schemaRef ds:uri="c2a29bdd-637a-4f4b-b2b1-1338f72c8a40"/>
    <ds:schemaRef ds:uri="http://purl.org/dc/dcmitype/"/>
    <ds:schemaRef ds:uri="http://purl.org/dc/elements/1.1/"/>
    <ds:schemaRef ds:uri="http://purl.org/dc/terms/"/>
    <ds:schemaRef ds:uri="http://schemas.microsoft.com/sharepoint/v3"/>
    <ds:schemaRef ds:uri="662745e8-e224-48e8-a2e3-254862b8c2f5"/>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cd3c523b-aa8f-4804-a23e-31cb3efad401"/>
  </ds:schemaRefs>
</ds:datastoreItem>
</file>

<file path=customXml/itemProps3.xml><?xml version="1.0" encoding="utf-8"?>
<ds:datastoreItem xmlns:ds="http://schemas.openxmlformats.org/officeDocument/2006/customXml" ds:itemID="{207B8E48-FDB5-418C-A86D-FDDE13089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cd3c523b-aa8f-4804-a23e-31cb3efad401"/>
    <ds:schemaRef ds:uri="c2a29bdd-637a-4f4b-b2b1-1338f72c8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2C7670-61E4-4B40-91EC-BB782282ED6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4599</Words>
  <Characters>26217</Characters>
  <Application>Microsoft Office Word</Application>
  <DocSecurity>0</DocSecurity>
  <Lines>218</Lines>
  <Paragraphs>61</Paragraphs>
  <ScaleCrop>false</ScaleCrop>
  <Manager/>
  <Company/>
  <LinksUpToDate>false</LinksUpToDate>
  <CharactersWithSpaces>30755</CharactersWithSpaces>
  <SharedDoc>false</SharedDoc>
  <HLinks>
    <vt:vector size="18" baseType="variant">
      <vt:variant>
        <vt:i4>6553612</vt:i4>
      </vt:variant>
      <vt:variant>
        <vt:i4>6</vt:i4>
      </vt:variant>
      <vt:variant>
        <vt:i4>0</vt:i4>
      </vt:variant>
      <vt:variant>
        <vt:i4>5</vt:i4>
      </vt:variant>
      <vt:variant>
        <vt:lpwstr>https://iati.fcdo.gov.uk/iati_documents/56814448.pdf</vt:lpwstr>
      </vt:variant>
      <vt:variant>
        <vt:lpwstr/>
      </vt:variant>
      <vt:variant>
        <vt:i4>3342432</vt:i4>
      </vt:variant>
      <vt:variant>
        <vt:i4>3</vt:i4>
      </vt:variant>
      <vt:variant>
        <vt:i4>0</vt:i4>
      </vt:variant>
      <vt:variant>
        <vt:i4>5</vt:i4>
      </vt:variant>
      <vt:variant>
        <vt:lpwstr>https://devtracker.fcdo.gov.uk/projects/GB-GOV-7-ICF-P0011-RD/documents</vt:lpwstr>
      </vt:variant>
      <vt:variant>
        <vt:lpwstr/>
      </vt:variant>
      <vt:variant>
        <vt:i4>3342432</vt:i4>
      </vt:variant>
      <vt:variant>
        <vt:i4>0</vt:i4>
      </vt:variant>
      <vt:variant>
        <vt:i4>0</vt:i4>
      </vt:variant>
      <vt:variant>
        <vt:i4>5</vt:i4>
      </vt:variant>
      <vt:variant>
        <vt:lpwstr>https://devtracker.fcdo.gov.uk/projects/GB-GOV-7-ICF-P0011-RD/documents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2023-08-30T16:07:00Z</dcterms:created>
  <dcterms:modified xsi:type="dcterms:W3CDTF">2023-08-30T16:07:00Z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0x010100A5BF1C78D9F64B679A5EBDE1C6598EBC01007F88C51DAF897B458237A9C1200953D8</vt:lpwstr>
  </property>
  <property fmtid="{D5CDD505-2E9C-101B-9397-08002B2CF9AE}" pid="3" name="InformationType">
    <vt:lpwstr/>
  </property>
  <property fmtid="{D5CDD505-2E9C-101B-9397-08002B2CF9AE}" pid="4" name="Distribution">
    <vt:lpwstr>11;#Internal Defra Group|0867f7b3-e76e-40ca-bb1f-5ba341a49230</vt:lpwstr>
  </property>
  <property fmtid="{D5CDD505-2E9C-101B-9397-08002B2CF9AE}" pid="5" name="OrganisationalUnit">
    <vt:lpwstr>8;#Core Defra|026223dd-2e56-4615-868d-7c5bfd566810</vt:lpwstr>
  </property>
  <property fmtid="{D5CDD505-2E9C-101B-9397-08002B2CF9AE}" pid="6" name="Directorate">
    <vt:lpwstr/>
  </property>
  <property fmtid="{D5CDD505-2E9C-101B-9397-08002B2CF9AE}" pid="7" name="HOCopyrightLevel">
    <vt:lpwstr>7;#Crown|69589897-2828-4761-976e-717fd8e631c9</vt:lpwstr>
  </property>
  <property fmtid="{D5CDD505-2E9C-101B-9397-08002B2CF9AE}" pid="8" name="SecurityClassification">
    <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MediaServiceImageTags">
    <vt:lpwstr/>
  </property>
  <property fmtid="{D5CDD505-2E9C-101B-9397-08002B2CF9AE}" pid="12" name="lcf76f155ced4ddcb4097134ff3c332f">
    <vt:lpwstr/>
  </property>
</Properties>
</file>