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9F6D" w14:textId="77777777" w:rsidR="00A96387" w:rsidRPr="00242B95" w:rsidRDefault="00A96387" w:rsidP="00242B95">
      <w:pPr>
        <w:pStyle w:val="Covertitle"/>
      </w:pPr>
    </w:p>
    <w:p w14:paraId="263B9F51" w14:textId="25196CF5" w:rsidR="008D431D" w:rsidRPr="00A96387" w:rsidRDefault="002A37DE" w:rsidP="00CF771C">
      <w:pPr>
        <w:pStyle w:val="Reporttitle"/>
      </w:pPr>
      <w:r>
        <w:t xml:space="preserve">Fleming Fund Annual Review: January to December 2020 </w:t>
      </w:r>
      <w:r w:rsidR="00936529" w:rsidRPr="00242B95">
        <w:rPr>
          <w:noProof/>
        </w:rPr>
        <mc:AlternateContent>
          <mc:Choice Requires="wps">
            <w:drawing>
              <wp:anchor distT="45720" distB="45720" distL="114300" distR="114300" simplePos="0" relativeHeight="251658240" behindDoc="0" locked="0" layoutInCell="1" allowOverlap="1" wp14:anchorId="25AF6CD0" wp14:editId="6C4C395E">
                <wp:simplePos x="0" y="0"/>
                <wp:positionH relativeFrom="margin">
                  <wp:posOffset>-120015</wp:posOffset>
                </wp:positionH>
                <wp:positionV relativeFrom="page">
                  <wp:posOffset>4324350</wp:posOffset>
                </wp:positionV>
                <wp:extent cx="2476500" cy="285750"/>
                <wp:effectExtent l="0" t="0" r="0" b="0"/>
                <wp:wrapSquare wrapText="bothSides"/>
                <wp:docPr id="217" name="Text Box 2" descr="Publishing date" title="Publishing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noFill/>
                        <a:ln w="9525">
                          <a:noFill/>
                          <a:miter lim="800000"/>
                          <a:headEnd/>
                          <a:tailEnd/>
                        </a:ln>
                      </wps:spPr>
                      <wps:txbx>
                        <w:txbxContent>
                          <w:p w14:paraId="316A8043" w14:textId="77777777" w:rsidR="00CE282B" w:rsidRDefault="00CE282B">
                            <w:r>
                              <w:t>Published [DD Month Year]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AF6CD0" id="_x0000_t202" coordsize="21600,21600" o:spt="202" path="m,l,21600r21600,l21600,xe">
                <v:stroke joinstyle="miter"/>
                <v:path gradientshapeok="t" o:connecttype="rect"/>
              </v:shapetype>
              <v:shape id="Text Box 2" o:spid="_x0000_s1026" type="#_x0000_t202" alt="Title: Publishing date - Description: Publishing date" style="position:absolute;margin-left:-9.45pt;margin-top:340.5pt;width:195pt;height:22.5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" filled="f" stroked="f">
                <v:textbox>
                  <w:txbxContent>
                    <w:p w14:paraId="316A8043" w14:textId="77777777" w:rsidR="00CE282B" w:rsidRDefault="00CE282B">
                      <w:r>
                        <w:t>Published [DD Month Year]</w:t>
                      </w:r>
                    </w:p>
                  </w:txbxContent>
                </v:textbox>
                <w10:wrap type="square" anchorx="margin" anchory="page"/>
              </v:shape>
            </w:pict>
          </mc:Fallback>
        </mc:AlternateContent>
      </w:r>
    </w:p>
    <w:p w14:paraId="585BB88C" w14:textId="77777777" w:rsidR="00FF0170" w:rsidRDefault="00FF0170" w:rsidP="00731C07">
      <w:pPr>
        <w:pStyle w:val="ParagraphText-unnumbered"/>
      </w:pPr>
    </w:p>
    <w:p w14:paraId="51C3AFB2" w14:textId="77777777" w:rsidR="00771AD1" w:rsidRDefault="00771AD1" w:rsidP="00731C07">
      <w:pPr>
        <w:pStyle w:val="ParagraphText-unnumbered"/>
      </w:pPr>
    </w:p>
    <w:p w14:paraId="5B381B86" w14:textId="77777777" w:rsidR="00771AD1" w:rsidRDefault="00771AD1" w:rsidP="00FF0170">
      <w:pPr>
        <w:pStyle w:val="Heading-contents"/>
        <w:sectPr w:rsidR="00771AD1" w:rsidSect="00771AD1">
          <w:headerReference w:type="default" r:id="rId11"/>
          <w:footerReference w:type="even" r:id="rId12"/>
          <w:footerReference w:type="default" r:id="rId13"/>
          <w:headerReference w:type="first" r:id="rId14"/>
          <w:pgSz w:w="11906" w:h="16838" w:code="9"/>
          <w:pgMar w:top="1644" w:right="1134" w:bottom="1134" w:left="1134" w:header="567" w:footer="567" w:gutter="0"/>
          <w:pgNumType w:start="1"/>
          <w:cols w:space="720"/>
          <w:titlePg/>
        </w:sectPr>
      </w:pPr>
    </w:p>
    <w:p w14:paraId="1284D80C" w14:textId="77777777" w:rsidR="00AB15F8" w:rsidRDefault="00AB15F8" w:rsidP="00FA5A28"/>
    <w:p w14:paraId="3619D4B9" w14:textId="3DA964BD" w:rsidR="001C1FA8" w:rsidRDefault="001C1FA8" w:rsidP="00FA5A28">
      <w:pPr>
        <w:rPr>
          <w:sz w:val="48"/>
        </w:rPr>
      </w:pPr>
      <w:r>
        <w:br w:type="page"/>
      </w:r>
    </w:p>
    <w:p w14:paraId="268A6CB8" w14:textId="77777777" w:rsidR="00771AD1" w:rsidRDefault="00771AD1" w:rsidP="00FC75BF">
      <w:pPr>
        <w:pStyle w:val="Heading-contents"/>
        <w:sectPr w:rsidR="00771AD1" w:rsidSect="00771AD1">
          <w:type w:val="continuous"/>
          <w:pgSz w:w="11906" w:h="16838" w:code="9"/>
          <w:pgMar w:top="1644" w:right="1134" w:bottom="1134" w:left="1134" w:header="567" w:footer="567" w:gutter="0"/>
          <w:pgNumType w:start="1"/>
          <w:cols w:space="720"/>
        </w:sectPr>
      </w:pPr>
    </w:p>
    <w:p w14:paraId="54F2B91E" w14:textId="77777777" w:rsidR="00C23EAF" w:rsidRDefault="00C23EAF" w:rsidP="00870C7B">
      <w:pPr>
        <w:pStyle w:val="Heading2"/>
      </w:pPr>
      <w:r>
        <w:lastRenderedPageBreak/>
        <w:t>Abbreviations List</w:t>
      </w:r>
    </w:p>
    <w:tbl>
      <w:tblPr>
        <w:tblStyle w:val="TableGrid"/>
        <w:tblW w:w="5000" w:type="pct"/>
        <w:tblLook w:val="04A0" w:firstRow="1" w:lastRow="0" w:firstColumn="1" w:lastColumn="0" w:noHBand="0" w:noVBand="1"/>
      </w:tblPr>
      <w:tblGrid>
        <w:gridCol w:w="4814"/>
        <w:gridCol w:w="4814"/>
      </w:tblGrid>
      <w:tr w:rsidR="00C23EAF" w14:paraId="6A59B032" w14:textId="77777777" w:rsidTr="00D46652">
        <w:tc>
          <w:tcPr>
            <w:tcW w:w="2500" w:type="pct"/>
          </w:tcPr>
          <w:p w14:paraId="263BAEC4" w14:textId="6017F75C" w:rsidR="00C23EAF" w:rsidRDefault="00C23EAF" w:rsidP="004347A0">
            <w:pPr>
              <w:pStyle w:val="ParagraphText-unnumbered"/>
            </w:pPr>
            <w:r>
              <w:t>AMC</w:t>
            </w:r>
          </w:p>
        </w:tc>
        <w:tc>
          <w:tcPr>
            <w:tcW w:w="2500" w:type="pct"/>
          </w:tcPr>
          <w:p w14:paraId="5AAC63BA" w14:textId="4458BC8B" w:rsidR="00C23EAF" w:rsidRDefault="008D1884" w:rsidP="004347A0">
            <w:pPr>
              <w:pStyle w:val="ParagraphText-unnumbered"/>
            </w:pPr>
            <w:r>
              <w:t>Antimicrobial consumption</w:t>
            </w:r>
          </w:p>
        </w:tc>
      </w:tr>
      <w:tr w:rsidR="00C23EAF" w14:paraId="0335627D" w14:textId="77777777" w:rsidTr="00D46652">
        <w:tc>
          <w:tcPr>
            <w:tcW w:w="2500" w:type="pct"/>
          </w:tcPr>
          <w:p w14:paraId="0DC95AF7" w14:textId="65FC4E06" w:rsidR="00C23EAF" w:rsidRPr="00C23EAF" w:rsidRDefault="00C23EAF" w:rsidP="004347A0">
            <w:pPr>
              <w:pStyle w:val="ParagraphText-unnumbered"/>
            </w:pPr>
            <w:r>
              <w:t>AMR</w:t>
            </w:r>
          </w:p>
        </w:tc>
        <w:tc>
          <w:tcPr>
            <w:tcW w:w="2500" w:type="pct"/>
          </w:tcPr>
          <w:p w14:paraId="00B35F52" w14:textId="32D78D23" w:rsidR="00C23EAF" w:rsidRDefault="00E13AF8" w:rsidP="004347A0">
            <w:pPr>
              <w:pStyle w:val="ParagraphText-unnumbered"/>
            </w:pPr>
            <w:r>
              <w:t>Antimicrobial resistance</w:t>
            </w:r>
          </w:p>
        </w:tc>
      </w:tr>
      <w:tr w:rsidR="00C23EAF" w14:paraId="7BB7E152" w14:textId="77777777" w:rsidTr="00D46652">
        <w:tc>
          <w:tcPr>
            <w:tcW w:w="2500" w:type="pct"/>
          </w:tcPr>
          <w:p w14:paraId="32100538" w14:textId="1B4A2F1F" w:rsidR="00C23EAF" w:rsidRPr="00C23EAF" w:rsidRDefault="00C23EAF" w:rsidP="004347A0">
            <w:pPr>
              <w:pStyle w:val="ParagraphText-unnumbered"/>
            </w:pPr>
            <w:r>
              <w:t>AMS</w:t>
            </w:r>
          </w:p>
        </w:tc>
        <w:tc>
          <w:tcPr>
            <w:tcW w:w="2500" w:type="pct"/>
          </w:tcPr>
          <w:p w14:paraId="2BA4FB79" w14:textId="5819847A" w:rsidR="00C23EAF" w:rsidRDefault="00E13AF8" w:rsidP="004347A0">
            <w:pPr>
              <w:pStyle w:val="ParagraphText-unnumbered"/>
            </w:pPr>
            <w:r>
              <w:t>Antimicrobial stewardship</w:t>
            </w:r>
          </w:p>
        </w:tc>
      </w:tr>
      <w:tr w:rsidR="00C23EAF" w14:paraId="15958585" w14:textId="77777777" w:rsidTr="00D46652">
        <w:tc>
          <w:tcPr>
            <w:tcW w:w="2500" w:type="pct"/>
          </w:tcPr>
          <w:p w14:paraId="584BFE86" w14:textId="07FE842B" w:rsidR="00C23EAF" w:rsidRPr="00C23EAF" w:rsidRDefault="00C23EAF" w:rsidP="004347A0">
            <w:pPr>
              <w:pStyle w:val="ParagraphText-unnumbered"/>
            </w:pPr>
            <w:r>
              <w:t>AMU</w:t>
            </w:r>
          </w:p>
        </w:tc>
        <w:tc>
          <w:tcPr>
            <w:tcW w:w="2500" w:type="pct"/>
          </w:tcPr>
          <w:p w14:paraId="76703EB5" w14:textId="1A737064" w:rsidR="00C23EAF" w:rsidRDefault="00E13AF8" w:rsidP="004347A0">
            <w:pPr>
              <w:pStyle w:val="ParagraphText-unnumbered"/>
            </w:pPr>
            <w:r>
              <w:t>Antimicrobial use</w:t>
            </w:r>
          </w:p>
        </w:tc>
      </w:tr>
      <w:tr w:rsidR="00CA6CA5" w14:paraId="1ED6F581" w14:textId="77777777" w:rsidTr="00D46652">
        <w:tc>
          <w:tcPr>
            <w:tcW w:w="2500" w:type="pct"/>
          </w:tcPr>
          <w:p w14:paraId="4A721DB0" w14:textId="31DA0A9E" w:rsidR="00CA6CA5" w:rsidRDefault="00CA6CA5" w:rsidP="004347A0">
            <w:pPr>
              <w:pStyle w:val="ParagraphText-unnumbered"/>
            </w:pPr>
            <w:r>
              <w:t>ATLASS</w:t>
            </w:r>
          </w:p>
        </w:tc>
        <w:tc>
          <w:tcPr>
            <w:tcW w:w="2500" w:type="pct"/>
          </w:tcPr>
          <w:p w14:paraId="16E9B524" w14:textId="5C002FC4" w:rsidR="00CA6CA5" w:rsidRDefault="00CA6CA5" w:rsidP="004347A0">
            <w:pPr>
              <w:pStyle w:val="ParagraphText-unnumbered"/>
            </w:pPr>
            <w:r>
              <w:t>FAO Assessment Tool for Laboratories and AMR Surveillance Systems</w:t>
            </w:r>
          </w:p>
        </w:tc>
      </w:tr>
      <w:tr w:rsidR="00C23EAF" w14:paraId="5BAC98E2" w14:textId="77777777" w:rsidTr="00D46652">
        <w:tc>
          <w:tcPr>
            <w:tcW w:w="2500" w:type="pct"/>
          </w:tcPr>
          <w:p w14:paraId="242FF03F" w14:textId="67E7DD30" w:rsidR="00C23EAF" w:rsidRDefault="00C23EAF" w:rsidP="004347A0">
            <w:pPr>
              <w:pStyle w:val="ParagraphText-unnumbered"/>
            </w:pPr>
            <w:proofErr w:type="spellStart"/>
            <w:r>
              <w:t>CwPAMS</w:t>
            </w:r>
            <w:proofErr w:type="spellEnd"/>
          </w:p>
        </w:tc>
        <w:tc>
          <w:tcPr>
            <w:tcW w:w="2500" w:type="pct"/>
          </w:tcPr>
          <w:p w14:paraId="5E206BD0" w14:textId="37640377" w:rsidR="00C23EAF" w:rsidRDefault="00E13AF8" w:rsidP="004347A0">
            <w:pPr>
              <w:pStyle w:val="ParagraphText-unnumbered"/>
            </w:pPr>
            <w:r>
              <w:t>Commonwealth Partnerships for Antimicrobial Stewardship</w:t>
            </w:r>
          </w:p>
        </w:tc>
      </w:tr>
      <w:tr w:rsidR="00C23EAF" w14:paraId="487841A2" w14:textId="77777777" w:rsidTr="00D46652">
        <w:tc>
          <w:tcPr>
            <w:tcW w:w="2500" w:type="pct"/>
          </w:tcPr>
          <w:p w14:paraId="0771EC1F" w14:textId="2F60D884" w:rsidR="00C23EAF" w:rsidRDefault="00C23EAF" w:rsidP="004347A0">
            <w:pPr>
              <w:pStyle w:val="ParagraphText-unnumbered"/>
            </w:pPr>
            <w:r>
              <w:t>DHSC</w:t>
            </w:r>
          </w:p>
        </w:tc>
        <w:tc>
          <w:tcPr>
            <w:tcW w:w="2500" w:type="pct"/>
          </w:tcPr>
          <w:p w14:paraId="387C28D2" w14:textId="4AA7AED2" w:rsidR="00C23EAF" w:rsidRDefault="00E13AF8" w:rsidP="004347A0">
            <w:pPr>
              <w:pStyle w:val="ParagraphText-unnumbered"/>
            </w:pPr>
            <w:r>
              <w:t>Department of Health and Social Care</w:t>
            </w:r>
          </w:p>
        </w:tc>
      </w:tr>
      <w:tr w:rsidR="00E13AF8" w14:paraId="5F0CB727" w14:textId="77777777" w:rsidTr="00D46652">
        <w:tc>
          <w:tcPr>
            <w:tcW w:w="2500" w:type="pct"/>
          </w:tcPr>
          <w:p w14:paraId="20901540" w14:textId="05DB32B5" w:rsidR="00E13AF8" w:rsidRDefault="00E13AF8" w:rsidP="004347A0">
            <w:pPr>
              <w:pStyle w:val="ParagraphText-unnumbered"/>
            </w:pPr>
            <w:r w:rsidRPr="00E13AF8">
              <w:t>ESBL</w:t>
            </w:r>
          </w:p>
        </w:tc>
        <w:tc>
          <w:tcPr>
            <w:tcW w:w="2500" w:type="pct"/>
          </w:tcPr>
          <w:p w14:paraId="528BFA43" w14:textId="74B332C8" w:rsidR="00E13AF8" w:rsidRDefault="00E13AF8" w:rsidP="004347A0">
            <w:pPr>
              <w:pStyle w:val="ParagraphText-unnumbered"/>
            </w:pPr>
            <w:r w:rsidRPr="00E13AF8">
              <w:t>Extended Spectrum Beta-Lactamase</w:t>
            </w:r>
          </w:p>
        </w:tc>
      </w:tr>
      <w:tr w:rsidR="00C23EAF" w14:paraId="3F88D91B" w14:textId="77777777" w:rsidTr="00D46652">
        <w:tc>
          <w:tcPr>
            <w:tcW w:w="2500" w:type="pct"/>
          </w:tcPr>
          <w:p w14:paraId="487ABEE4" w14:textId="01701E5A" w:rsidR="00C23EAF" w:rsidRDefault="00C23EAF" w:rsidP="004347A0">
            <w:pPr>
              <w:pStyle w:val="ParagraphText-unnumbered"/>
            </w:pPr>
            <w:r>
              <w:t>EQA</w:t>
            </w:r>
          </w:p>
        </w:tc>
        <w:tc>
          <w:tcPr>
            <w:tcW w:w="2500" w:type="pct"/>
          </w:tcPr>
          <w:p w14:paraId="27F9FEE8" w14:textId="0C6AFEA7" w:rsidR="00C23EAF" w:rsidRDefault="00E13AF8" w:rsidP="004347A0">
            <w:pPr>
              <w:pStyle w:val="ParagraphText-unnumbered"/>
            </w:pPr>
            <w:r>
              <w:t>External Quality Assurance</w:t>
            </w:r>
          </w:p>
        </w:tc>
      </w:tr>
      <w:tr w:rsidR="00C23EAF" w14:paraId="67F37F02" w14:textId="77777777" w:rsidTr="00D46652">
        <w:tc>
          <w:tcPr>
            <w:tcW w:w="2500" w:type="pct"/>
          </w:tcPr>
          <w:p w14:paraId="7FFDBC71" w14:textId="5D38E965" w:rsidR="00C23EAF" w:rsidRDefault="00C23EAF" w:rsidP="004347A0">
            <w:pPr>
              <w:pStyle w:val="ParagraphText-unnumbered"/>
            </w:pPr>
            <w:r>
              <w:t>FAO</w:t>
            </w:r>
          </w:p>
        </w:tc>
        <w:tc>
          <w:tcPr>
            <w:tcW w:w="2500" w:type="pct"/>
          </w:tcPr>
          <w:p w14:paraId="443340DF" w14:textId="03A1328A" w:rsidR="00C23EAF" w:rsidRDefault="00E13AF8" w:rsidP="004347A0">
            <w:pPr>
              <w:pStyle w:val="ParagraphText-unnumbered"/>
            </w:pPr>
            <w:r>
              <w:t>Food and Agriculture Organization</w:t>
            </w:r>
          </w:p>
        </w:tc>
      </w:tr>
      <w:tr w:rsidR="00E13AF8" w14:paraId="73541C93" w14:textId="77777777" w:rsidTr="00D46652">
        <w:tc>
          <w:tcPr>
            <w:tcW w:w="2500" w:type="pct"/>
          </w:tcPr>
          <w:p w14:paraId="2570C959" w14:textId="69841EB6" w:rsidR="00E13AF8" w:rsidRDefault="00E13AF8" w:rsidP="004347A0">
            <w:pPr>
              <w:pStyle w:val="ParagraphText-unnumbered"/>
            </w:pPr>
            <w:r>
              <w:t>FIND</w:t>
            </w:r>
          </w:p>
        </w:tc>
        <w:tc>
          <w:tcPr>
            <w:tcW w:w="2500" w:type="pct"/>
          </w:tcPr>
          <w:p w14:paraId="72E9183F" w14:textId="403A3AAA" w:rsidR="00E13AF8" w:rsidRDefault="00E13AF8" w:rsidP="004347A0">
            <w:pPr>
              <w:pStyle w:val="ParagraphText-unnumbered"/>
            </w:pPr>
            <w:r>
              <w:t>Foundation for Innovative New Diagnostics</w:t>
            </w:r>
          </w:p>
        </w:tc>
      </w:tr>
      <w:tr w:rsidR="00C23EAF" w14:paraId="241A8E80" w14:textId="77777777" w:rsidTr="00D46652">
        <w:tc>
          <w:tcPr>
            <w:tcW w:w="2500" w:type="pct"/>
          </w:tcPr>
          <w:p w14:paraId="652B025C" w14:textId="47CA2DB9" w:rsidR="00C23EAF" w:rsidRDefault="00C23EAF" w:rsidP="004347A0">
            <w:pPr>
              <w:pStyle w:val="ParagraphText-unnumbered"/>
            </w:pPr>
            <w:r>
              <w:t>GHS</w:t>
            </w:r>
          </w:p>
        </w:tc>
        <w:tc>
          <w:tcPr>
            <w:tcW w:w="2500" w:type="pct"/>
          </w:tcPr>
          <w:p w14:paraId="3E067816" w14:textId="103325BF" w:rsidR="00C23EAF" w:rsidRDefault="00E13AF8" w:rsidP="004347A0">
            <w:pPr>
              <w:pStyle w:val="ParagraphText-unnumbered"/>
            </w:pPr>
            <w:r>
              <w:t>Global Health Security</w:t>
            </w:r>
          </w:p>
        </w:tc>
      </w:tr>
      <w:tr w:rsidR="00C23EAF" w14:paraId="37EDD525" w14:textId="77777777" w:rsidTr="00D46652">
        <w:tc>
          <w:tcPr>
            <w:tcW w:w="2500" w:type="pct"/>
          </w:tcPr>
          <w:p w14:paraId="69F04F2E" w14:textId="1C52471D" w:rsidR="00C23EAF" w:rsidRDefault="00C23EAF" w:rsidP="004347A0">
            <w:pPr>
              <w:pStyle w:val="ParagraphText-unnumbered"/>
            </w:pPr>
            <w:r>
              <w:t>GLASS</w:t>
            </w:r>
          </w:p>
        </w:tc>
        <w:tc>
          <w:tcPr>
            <w:tcW w:w="2500" w:type="pct"/>
          </w:tcPr>
          <w:p w14:paraId="431A9896" w14:textId="4311C3DC" w:rsidR="00C23EAF" w:rsidRDefault="00E13AF8" w:rsidP="004347A0">
            <w:pPr>
              <w:pStyle w:val="ParagraphText-unnumbered"/>
            </w:pPr>
            <w:r>
              <w:t>Global Antimicrobial Resistance Surveillance System</w:t>
            </w:r>
          </w:p>
        </w:tc>
      </w:tr>
      <w:tr w:rsidR="00CA6CA5" w14:paraId="1A225607" w14:textId="77777777" w:rsidTr="00D46652">
        <w:tc>
          <w:tcPr>
            <w:tcW w:w="2500" w:type="pct"/>
          </w:tcPr>
          <w:p w14:paraId="16AAC034" w14:textId="7A32D0D0" w:rsidR="00CA6CA5" w:rsidRDefault="00CA6CA5" w:rsidP="004347A0">
            <w:pPr>
              <w:pStyle w:val="ParagraphText-unnumbered"/>
            </w:pPr>
            <w:r>
              <w:t>GRAM</w:t>
            </w:r>
          </w:p>
        </w:tc>
        <w:tc>
          <w:tcPr>
            <w:tcW w:w="2500" w:type="pct"/>
          </w:tcPr>
          <w:p w14:paraId="2F9C4C28" w14:textId="2D82B738" w:rsidR="00CA6CA5" w:rsidRDefault="00CA6CA5" w:rsidP="004347A0">
            <w:pPr>
              <w:pStyle w:val="ParagraphText-unnumbered"/>
            </w:pPr>
            <w:r>
              <w:t>Global Research on Antimicrobial Resistance</w:t>
            </w:r>
          </w:p>
        </w:tc>
      </w:tr>
      <w:tr w:rsidR="00C23EAF" w14:paraId="2925642A" w14:textId="77777777" w:rsidTr="00D46652">
        <w:tc>
          <w:tcPr>
            <w:tcW w:w="2500" w:type="pct"/>
          </w:tcPr>
          <w:p w14:paraId="2AFD2FF4" w14:textId="5F46DB52" w:rsidR="00C23EAF" w:rsidRDefault="00C23EAF" w:rsidP="004347A0">
            <w:pPr>
              <w:pStyle w:val="ParagraphText-unnumbered"/>
            </w:pPr>
            <w:r w:rsidRPr="00C23EAF">
              <w:t>IDC</w:t>
            </w:r>
          </w:p>
        </w:tc>
        <w:tc>
          <w:tcPr>
            <w:tcW w:w="2500" w:type="pct"/>
          </w:tcPr>
          <w:p w14:paraId="4E257C6E" w14:textId="3AA0DB55" w:rsidR="00C23EAF" w:rsidRDefault="00E13AF8" w:rsidP="004347A0">
            <w:pPr>
              <w:pStyle w:val="ParagraphText-unnumbered"/>
            </w:pPr>
            <w:r>
              <w:t>Indirect Costs</w:t>
            </w:r>
          </w:p>
        </w:tc>
      </w:tr>
      <w:tr w:rsidR="00C23EAF" w14:paraId="7BA3F4AD" w14:textId="77777777" w:rsidTr="00D46652">
        <w:tc>
          <w:tcPr>
            <w:tcW w:w="2500" w:type="pct"/>
          </w:tcPr>
          <w:p w14:paraId="0DDF3D40" w14:textId="3E80D1C3" w:rsidR="00C23EAF" w:rsidRDefault="00C23EAF" w:rsidP="004347A0">
            <w:pPr>
              <w:pStyle w:val="ParagraphText-unnumbered"/>
            </w:pPr>
            <w:r w:rsidRPr="00C23EAF">
              <w:t>LMIC</w:t>
            </w:r>
          </w:p>
        </w:tc>
        <w:tc>
          <w:tcPr>
            <w:tcW w:w="2500" w:type="pct"/>
          </w:tcPr>
          <w:p w14:paraId="483D8855" w14:textId="698AE85E" w:rsidR="00C23EAF" w:rsidRDefault="00E13AF8" w:rsidP="004347A0">
            <w:pPr>
              <w:pStyle w:val="ParagraphText-unnumbered"/>
            </w:pPr>
            <w:r>
              <w:t>Low- and middle-income country</w:t>
            </w:r>
          </w:p>
        </w:tc>
      </w:tr>
      <w:tr w:rsidR="00C23EAF" w14:paraId="207751A4" w14:textId="77777777" w:rsidTr="00D46652">
        <w:tc>
          <w:tcPr>
            <w:tcW w:w="2500" w:type="pct"/>
          </w:tcPr>
          <w:p w14:paraId="652CE59C" w14:textId="3EB4F1B7" w:rsidR="00C23EAF" w:rsidRDefault="00C23EAF" w:rsidP="004347A0">
            <w:pPr>
              <w:pStyle w:val="ParagraphText-unnumbered"/>
            </w:pPr>
            <w:r>
              <w:t>LSHTM</w:t>
            </w:r>
          </w:p>
        </w:tc>
        <w:tc>
          <w:tcPr>
            <w:tcW w:w="2500" w:type="pct"/>
          </w:tcPr>
          <w:p w14:paraId="06717315" w14:textId="6295EA4F" w:rsidR="00C23EAF" w:rsidRDefault="00E13AF8" w:rsidP="004347A0">
            <w:pPr>
              <w:pStyle w:val="ParagraphText-unnumbered"/>
            </w:pPr>
            <w:r>
              <w:t>London School of Hygiene and Tropical Medicine</w:t>
            </w:r>
          </w:p>
        </w:tc>
      </w:tr>
      <w:tr w:rsidR="00C23EAF" w14:paraId="36C6DFE3" w14:textId="77777777" w:rsidTr="00D46652">
        <w:tc>
          <w:tcPr>
            <w:tcW w:w="2500" w:type="pct"/>
          </w:tcPr>
          <w:p w14:paraId="3716FA06" w14:textId="24BB70D5" w:rsidR="00C23EAF" w:rsidRDefault="00C23EAF" w:rsidP="004347A0">
            <w:pPr>
              <w:pStyle w:val="ParagraphText-unnumbered"/>
            </w:pPr>
            <w:r w:rsidRPr="00C23EAF">
              <w:t>MEL</w:t>
            </w:r>
          </w:p>
        </w:tc>
        <w:tc>
          <w:tcPr>
            <w:tcW w:w="2500" w:type="pct"/>
          </w:tcPr>
          <w:p w14:paraId="07828F7A" w14:textId="07DD9730" w:rsidR="00C23EAF" w:rsidRDefault="00E13AF8" w:rsidP="004347A0">
            <w:pPr>
              <w:pStyle w:val="ParagraphText-unnumbered"/>
            </w:pPr>
            <w:r>
              <w:t>Monitoring, evaluation and learning</w:t>
            </w:r>
          </w:p>
        </w:tc>
      </w:tr>
      <w:tr w:rsidR="004B508F" w14:paraId="725BA159" w14:textId="77777777" w:rsidTr="00D46652">
        <w:tc>
          <w:tcPr>
            <w:tcW w:w="2500" w:type="pct"/>
          </w:tcPr>
          <w:p w14:paraId="0B0F1FB9" w14:textId="1CE54228" w:rsidR="004B508F" w:rsidRPr="00C23EAF" w:rsidRDefault="004B508F" w:rsidP="004347A0">
            <w:pPr>
              <w:pStyle w:val="ParagraphText-unnumbered"/>
            </w:pPr>
            <w:r>
              <w:lastRenderedPageBreak/>
              <w:t>MPTF</w:t>
            </w:r>
          </w:p>
        </w:tc>
        <w:tc>
          <w:tcPr>
            <w:tcW w:w="2500" w:type="pct"/>
          </w:tcPr>
          <w:p w14:paraId="5E40ADE2" w14:textId="47397EA2" w:rsidR="004B508F" w:rsidRDefault="004B508F" w:rsidP="004347A0">
            <w:pPr>
              <w:pStyle w:val="ParagraphText-unnumbered"/>
            </w:pPr>
            <w:r>
              <w:t>Multi-Partner Trust Fund</w:t>
            </w:r>
          </w:p>
        </w:tc>
      </w:tr>
      <w:tr w:rsidR="00C23EAF" w14:paraId="2470ED3C" w14:textId="77777777" w:rsidTr="00D46652">
        <w:tc>
          <w:tcPr>
            <w:tcW w:w="2500" w:type="pct"/>
          </w:tcPr>
          <w:p w14:paraId="0687D385" w14:textId="1D62F97E" w:rsidR="00C23EAF" w:rsidRDefault="00C23EAF" w:rsidP="004347A0">
            <w:pPr>
              <w:pStyle w:val="ParagraphText-unnumbered"/>
            </w:pPr>
            <w:r>
              <w:t>M&amp;OH</w:t>
            </w:r>
          </w:p>
        </w:tc>
        <w:tc>
          <w:tcPr>
            <w:tcW w:w="2500" w:type="pct"/>
          </w:tcPr>
          <w:p w14:paraId="23CA56CE" w14:textId="2D4EB9E3" w:rsidR="00C23EAF" w:rsidRDefault="00E13AF8" w:rsidP="004347A0">
            <w:pPr>
              <w:pStyle w:val="ParagraphText-unnumbered"/>
            </w:pPr>
            <w:r>
              <w:t>Management and overhead</w:t>
            </w:r>
          </w:p>
        </w:tc>
      </w:tr>
      <w:tr w:rsidR="00C23EAF" w14:paraId="1A20BB6F" w14:textId="77777777" w:rsidTr="00D46652">
        <w:tc>
          <w:tcPr>
            <w:tcW w:w="2500" w:type="pct"/>
          </w:tcPr>
          <w:p w14:paraId="1B49ECD1" w14:textId="54CC590B" w:rsidR="00C23EAF" w:rsidRDefault="00C23EAF" w:rsidP="004347A0">
            <w:pPr>
              <w:pStyle w:val="ParagraphText-unnumbered"/>
            </w:pPr>
            <w:r>
              <w:t>NAP</w:t>
            </w:r>
          </w:p>
        </w:tc>
        <w:tc>
          <w:tcPr>
            <w:tcW w:w="2500" w:type="pct"/>
          </w:tcPr>
          <w:p w14:paraId="7E0ED57B" w14:textId="2A2EDF57" w:rsidR="00C23EAF" w:rsidRDefault="00E13AF8" w:rsidP="004347A0">
            <w:pPr>
              <w:pStyle w:val="ParagraphText-unnumbered"/>
            </w:pPr>
            <w:r>
              <w:t>National Action Plan</w:t>
            </w:r>
          </w:p>
        </w:tc>
      </w:tr>
      <w:tr w:rsidR="00C23EAF" w14:paraId="4F7EEF9C" w14:textId="77777777" w:rsidTr="00D46652">
        <w:tc>
          <w:tcPr>
            <w:tcW w:w="2500" w:type="pct"/>
          </w:tcPr>
          <w:p w14:paraId="74C34C97" w14:textId="2221BB78" w:rsidR="00C23EAF" w:rsidRDefault="00C23EAF" w:rsidP="004347A0">
            <w:pPr>
              <w:pStyle w:val="ParagraphText-unnumbered"/>
            </w:pPr>
            <w:r>
              <w:t>NHL</w:t>
            </w:r>
          </w:p>
        </w:tc>
        <w:tc>
          <w:tcPr>
            <w:tcW w:w="2500" w:type="pct"/>
          </w:tcPr>
          <w:p w14:paraId="035E30B3" w14:textId="4079A8FD" w:rsidR="00C23EAF" w:rsidRDefault="00E13AF8" w:rsidP="004347A0">
            <w:pPr>
              <w:pStyle w:val="ParagraphText-unnumbered"/>
            </w:pPr>
            <w:r>
              <w:t>National Health Laboratory</w:t>
            </w:r>
          </w:p>
        </w:tc>
      </w:tr>
      <w:tr w:rsidR="004B508F" w14:paraId="02A6191B" w14:textId="77777777" w:rsidTr="00D46652">
        <w:tc>
          <w:tcPr>
            <w:tcW w:w="2500" w:type="pct"/>
          </w:tcPr>
          <w:p w14:paraId="420A4016" w14:textId="31218560" w:rsidR="004B508F" w:rsidRDefault="004B508F" w:rsidP="004347A0">
            <w:pPr>
              <w:pStyle w:val="ParagraphText-unnumbered"/>
            </w:pPr>
            <w:r>
              <w:t>ODA</w:t>
            </w:r>
          </w:p>
        </w:tc>
        <w:tc>
          <w:tcPr>
            <w:tcW w:w="2500" w:type="pct"/>
          </w:tcPr>
          <w:p w14:paraId="1E4971F9" w14:textId="64B77CBA" w:rsidR="004B508F" w:rsidRDefault="004B508F" w:rsidP="004347A0">
            <w:pPr>
              <w:pStyle w:val="ParagraphText-unnumbered"/>
            </w:pPr>
            <w:r>
              <w:t>Overseas Development Assistance</w:t>
            </w:r>
          </w:p>
        </w:tc>
      </w:tr>
      <w:tr w:rsidR="00C23EAF" w14:paraId="1D230178" w14:textId="77777777" w:rsidTr="00D46652">
        <w:tc>
          <w:tcPr>
            <w:tcW w:w="2500" w:type="pct"/>
          </w:tcPr>
          <w:p w14:paraId="53BB106F" w14:textId="4FDCA59B" w:rsidR="00C23EAF" w:rsidRDefault="00C23EAF" w:rsidP="004347A0">
            <w:pPr>
              <w:pStyle w:val="ParagraphText-unnumbered"/>
            </w:pPr>
            <w:r>
              <w:t>ODI</w:t>
            </w:r>
          </w:p>
        </w:tc>
        <w:tc>
          <w:tcPr>
            <w:tcW w:w="2500" w:type="pct"/>
          </w:tcPr>
          <w:p w14:paraId="4A724738" w14:textId="363ACE56" w:rsidR="00C23EAF" w:rsidRDefault="00E13AF8" w:rsidP="004347A0">
            <w:pPr>
              <w:pStyle w:val="ParagraphText-unnumbered"/>
            </w:pPr>
            <w:r>
              <w:t>Overseas Development Institute</w:t>
            </w:r>
          </w:p>
        </w:tc>
      </w:tr>
      <w:tr w:rsidR="00C23EAF" w14:paraId="3911DCA2" w14:textId="77777777" w:rsidTr="00D46652">
        <w:tc>
          <w:tcPr>
            <w:tcW w:w="2500" w:type="pct"/>
          </w:tcPr>
          <w:p w14:paraId="62FC0F11" w14:textId="0ED6C765" w:rsidR="00C23EAF" w:rsidRDefault="00C23EAF" w:rsidP="004347A0">
            <w:pPr>
              <w:pStyle w:val="ParagraphText-unnumbered"/>
            </w:pPr>
            <w:r>
              <w:t>OIE</w:t>
            </w:r>
          </w:p>
        </w:tc>
        <w:tc>
          <w:tcPr>
            <w:tcW w:w="2500" w:type="pct"/>
          </w:tcPr>
          <w:p w14:paraId="7ADADB09" w14:textId="3DA378C1" w:rsidR="00C23EAF" w:rsidRDefault="00E13AF8" w:rsidP="004347A0">
            <w:pPr>
              <w:pStyle w:val="ParagraphText-unnumbered"/>
            </w:pPr>
            <w:r>
              <w:t>World Organization or Animal Health</w:t>
            </w:r>
          </w:p>
        </w:tc>
      </w:tr>
      <w:tr w:rsidR="00C23EAF" w14:paraId="1E0D37D2" w14:textId="77777777" w:rsidTr="00D46652">
        <w:tc>
          <w:tcPr>
            <w:tcW w:w="2500" w:type="pct"/>
          </w:tcPr>
          <w:p w14:paraId="7D4A1022" w14:textId="3C53475D" w:rsidR="00C23EAF" w:rsidRDefault="00C23EAF" w:rsidP="004347A0">
            <w:pPr>
              <w:pStyle w:val="ParagraphText-unnumbered"/>
            </w:pPr>
            <w:r>
              <w:t>RFP</w:t>
            </w:r>
          </w:p>
        </w:tc>
        <w:tc>
          <w:tcPr>
            <w:tcW w:w="2500" w:type="pct"/>
          </w:tcPr>
          <w:p w14:paraId="1D59EE07" w14:textId="08B74FF6" w:rsidR="00C23EAF" w:rsidRDefault="00E13AF8" w:rsidP="004347A0">
            <w:pPr>
              <w:pStyle w:val="ParagraphText-unnumbered"/>
            </w:pPr>
            <w:r>
              <w:t>Request for Proposals</w:t>
            </w:r>
          </w:p>
        </w:tc>
      </w:tr>
      <w:tr w:rsidR="00C23EAF" w14:paraId="4FE9B6A3" w14:textId="77777777" w:rsidTr="00D46652">
        <w:tc>
          <w:tcPr>
            <w:tcW w:w="2500" w:type="pct"/>
          </w:tcPr>
          <w:p w14:paraId="7C232C62" w14:textId="75EA2618" w:rsidR="00C23EAF" w:rsidRDefault="008D1884" w:rsidP="004347A0">
            <w:pPr>
              <w:pStyle w:val="ParagraphText-unnumbered"/>
            </w:pPr>
            <w:r>
              <w:t>SA/CSA</w:t>
            </w:r>
          </w:p>
        </w:tc>
        <w:tc>
          <w:tcPr>
            <w:tcW w:w="2500" w:type="pct"/>
          </w:tcPr>
          <w:p w14:paraId="6C6A952C" w14:textId="084EA079" w:rsidR="00C23EAF" w:rsidRDefault="00E13AF8" w:rsidP="004347A0">
            <w:pPr>
              <w:pStyle w:val="ParagraphText-unnumbered"/>
            </w:pPr>
            <w:r>
              <w:t>Sustainability Analysis/Comprehensive Stakeholder Analysis</w:t>
            </w:r>
          </w:p>
        </w:tc>
      </w:tr>
      <w:tr w:rsidR="00CA6CA5" w14:paraId="50B3262D" w14:textId="77777777" w:rsidTr="00D46652">
        <w:tc>
          <w:tcPr>
            <w:tcW w:w="2500" w:type="pct"/>
          </w:tcPr>
          <w:p w14:paraId="6193BFEB" w14:textId="53F1CBAD" w:rsidR="00CA6CA5" w:rsidRDefault="00CA6CA5" w:rsidP="004347A0">
            <w:pPr>
              <w:pStyle w:val="ParagraphText-unnumbered"/>
            </w:pPr>
            <w:r>
              <w:t>SF</w:t>
            </w:r>
          </w:p>
        </w:tc>
        <w:tc>
          <w:tcPr>
            <w:tcW w:w="2500" w:type="pct"/>
          </w:tcPr>
          <w:p w14:paraId="7C367854" w14:textId="3BD3A7D0" w:rsidR="00CA6CA5" w:rsidRDefault="00CA6CA5" w:rsidP="004347A0">
            <w:pPr>
              <w:pStyle w:val="ParagraphText-unnumbered"/>
            </w:pPr>
            <w:r>
              <w:t>Substandard and Falsified</w:t>
            </w:r>
          </w:p>
        </w:tc>
      </w:tr>
      <w:tr w:rsidR="00C23EAF" w14:paraId="5F1F1C88" w14:textId="77777777" w:rsidTr="00D46652">
        <w:tc>
          <w:tcPr>
            <w:tcW w:w="2500" w:type="pct"/>
          </w:tcPr>
          <w:p w14:paraId="54107C95" w14:textId="55A25923" w:rsidR="00C23EAF" w:rsidRDefault="008D1884" w:rsidP="004347A0">
            <w:pPr>
              <w:pStyle w:val="ParagraphText-unnumbered"/>
            </w:pPr>
            <w:r>
              <w:t>TAG</w:t>
            </w:r>
          </w:p>
        </w:tc>
        <w:tc>
          <w:tcPr>
            <w:tcW w:w="2500" w:type="pct"/>
          </w:tcPr>
          <w:p w14:paraId="17883327" w14:textId="70B599A8" w:rsidR="00C23EAF" w:rsidRDefault="00E13AF8" w:rsidP="004347A0">
            <w:pPr>
              <w:pStyle w:val="ParagraphText-unnumbered"/>
            </w:pPr>
            <w:r>
              <w:t>Technical Advisory Group</w:t>
            </w:r>
          </w:p>
        </w:tc>
      </w:tr>
      <w:tr w:rsidR="00C23EAF" w14:paraId="45B1DB97" w14:textId="77777777" w:rsidTr="00D46652">
        <w:tc>
          <w:tcPr>
            <w:tcW w:w="2500" w:type="pct"/>
          </w:tcPr>
          <w:p w14:paraId="4796848B" w14:textId="1AF72887" w:rsidR="00C23EAF" w:rsidRDefault="008D1884" w:rsidP="004347A0">
            <w:pPr>
              <w:pStyle w:val="ParagraphText-unnumbered"/>
            </w:pPr>
            <w:proofErr w:type="spellStart"/>
            <w:r>
              <w:t>ToC</w:t>
            </w:r>
            <w:proofErr w:type="spellEnd"/>
          </w:p>
        </w:tc>
        <w:tc>
          <w:tcPr>
            <w:tcW w:w="2500" w:type="pct"/>
          </w:tcPr>
          <w:p w14:paraId="74679AFD" w14:textId="05D6B1E6" w:rsidR="00C23EAF" w:rsidRDefault="00E13AF8" w:rsidP="004347A0">
            <w:pPr>
              <w:pStyle w:val="ParagraphText-unnumbered"/>
            </w:pPr>
            <w:r>
              <w:t>Theory of Change</w:t>
            </w:r>
          </w:p>
        </w:tc>
      </w:tr>
      <w:tr w:rsidR="00C23EAF" w14:paraId="576DFEBF" w14:textId="77777777" w:rsidTr="00D46652">
        <w:tc>
          <w:tcPr>
            <w:tcW w:w="2500" w:type="pct"/>
          </w:tcPr>
          <w:p w14:paraId="5341F71D" w14:textId="55B9C138" w:rsidR="00C23EAF" w:rsidRDefault="008D1884" w:rsidP="004347A0">
            <w:pPr>
              <w:pStyle w:val="ParagraphText-unnumbered"/>
            </w:pPr>
            <w:r>
              <w:t>UN</w:t>
            </w:r>
          </w:p>
        </w:tc>
        <w:tc>
          <w:tcPr>
            <w:tcW w:w="2500" w:type="pct"/>
          </w:tcPr>
          <w:p w14:paraId="24B1E369" w14:textId="5E03E3CE" w:rsidR="00C23EAF" w:rsidRDefault="00E13AF8" w:rsidP="004347A0">
            <w:pPr>
              <w:pStyle w:val="ParagraphText-unnumbered"/>
            </w:pPr>
            <w:r>
              <w:t>United Nations</w:t>
            </w:r>
          </w:p>
        </w:tc>
      </w:tr>
      <w:tr w:rsidR="00C23EAF" w14:paraId="1688D600" w14:textId="77777777" w:rsidTr="00D46652">
        <w:tc>
          <w:tcPr>
            <w:tcW w:w="2500" w:type="pct"/>
          </w:tcPr>
          <w:p w14:paraId="31D2C9CB" w14:textId="13C98C0F" w:rsidR="00C23EAF" w:rsidRDefault="008D1884" w:rsidP="004347A0">
            <w:pPr>
              <w:pStyle w:val="ParagraphText-unnumbered"/>
            </w:pPr>
            <w:r>
              <w:t>VDL</w:t>
            </w:r>
          </w:p>
        </w:tc>
        <w:tc>
          <w:tcPr>
            <w:tcW w:w="2500" w:type="pct"/>
          </w:tcPr>
          <w:p w14:paraId="7E943381" w14:textId="57DA2968" w:rsidR="00C23EAF" w:rsidRDefault="00E13AF8" w:rsidP="004347A0">
            <w:pPr>
              <w:pStyle w:val="ParagraphText-unnumbered"/>
            </w:pPr>
            <w:r>
              <w:t>Veterinary Diagnostic Laboratory</w:t>
            </w:r>
          </w:p>
        </w:tc>
      </w:tr>
      <w:tr w:rsidR="00C23EAF" w14:paraId="3231434A" w14:textId="77777777" w:rsidTr="00D46652">
        <w:tc>
          <w:tcPr>
            <w:tcW w:w="2500" w:type="pct"/>
          </w:tcPr>
          <w:p w14:paraId="1A86747A" w14:textId="5F670E3D" w:rsidR="00C23EAF" w:rsidRDefault="008D1884" w:rsidP="004347A0">
            <w:pPr>
              <w:pStyle w:val="ParagraphText-unnumbered"/>
            </w:pPr>
            <w:proofErr w:type="spellStart"/>
            <w:r>
              <w:t>VfM</w:t>
            </w:r>
            <w:proofErr w:type="spellEnd"/>
          </w:p>
        </w:tc>
        <w:tc>
          <w:tcPr>
            <w:tcW w:w="2500" w:type="pct"/>
          </w:tcPr>
          <w:p w14:paraId="332F21D2" w14:textId="3A2DFDFF" w:rsidR="00C23EAF" w:rsidRDefault="00E13AF8" w:rsidP="004347A0">
            <w:pPr>
              <w:pStyle w:val="ParagraphText-unnumbered"/>
            </w:pPr>
            <w:r>
              <w:t>Value for Money</w:t>
            </w:r>
          </w:p>
        </w:tc>
      </w:tr>
      <w:tr w:rsidR="008D1884" w14:paraId="4538189A" w14:textId="77777777" w:rsidTr="00D46652">
        <w:tc>
          <w:tcPr>
            <w:tcW w:w="2500" w:type="pct"/>
          </w:tcPr>
          <w:p w14:paraId="26F8DF20" w14:textId="32B35720" w:rsidR="008D1884" w:rsidRDefault="008D1884" w:rsidP="004347A0">
            <w:pPr>
              <w:pStyle w:val="ParagraphText-unnumbered"/>
            </w:pPr>
            <w:r>
              <w:t>WGS</w:t>
            </w:r>
          </w:p>
        </w:tc>
        <w:tc>
          <w:tcPr>
            <w:tcW w:w="2500" w:type="pct"/>
          </w:tcPr>
          <w:p w14:paraId="3494A2D8" w14:textId="6EE8CC25" w:rsidR="008D1884" w:rsidRDefault="00E13AF8" w:rsidP="004347A0">
            <w:pPr>
              <w:pStyle w:val="ParagraphText-unnumbered"/>
            </w:pPr>
            <w:r>
              <w:t>Whole Genome Sequencing</w:t>
            </w:r>
          </w:p>
        </w:tc>
      </w:tr>
      <w:tr w:rsidR="008D1884" w14:paraId="61F6E048" w14:textId="77777777" w:rsidTr="00D46652">
        <w:tc>
          <w:tcPr>
            <w:tcW w:w="2500" w:type="pct"/>
          </w:tcPr>
          <w:p w14:paraId="5EBAA02D" w14:textId="566E146B" w:rsidR="008D1884" w:rsidRDefault="008D1884" w:rsidP="004347A0">
            <w:pPr>
              <w:pStyle w:val="ParagraphText-unnumbered"/>
            </w:pPr>
            <w:r>
              <w:t>WHO</w:t>
            </w:r>
          </w:p>
        </w:tc>
        <w:tc>
          <w:tcPr>
            <w:tcW w:w="2500" w:type="pct"/>
          </w:tcPr>
          <w:p w14:paraId="389FB531" w14:textId="2DA3DF1D" w:rsidR="008D1884" w:rsidRDefault="00E13AF8" w:rsidP="004347A0">
            <w:pPr>
              <w:pStyle w:val="ParagraphText-unnumbered"/>
            </w:pPr>
            <w:r>
              <w:t>World Health Organization</w:t>
            </w:r>
          </w:p>
        </w:tc>
      </w:tr>
    </w:tbl>
    <w:p w14:paraId="0B00A7CF" w14:textId="77777777" w:rsidR="00C23EAF" w:rsidRPr="00E13AF8" w:rsidRDefault="00C23EAF" w:rsidP="00D46652">
      <w:pPr>
        <w:pStyle w:val="ParagraphText-unnumbered"/>
      </w:pPr>
    </w:p>
    <w:p w14:paraId="180291BB" w14:textId="023561B9" w:rsidR="00ED2730" w:rsidRPr="005F3743" w:rsidRDefault="00BA7E51" w:rsidP="00870C7B">
      <w:pPr>
        <w:pStyle w:val="Heading2"/>
      </w:pPr>
      <w:r>
        <w:t xml:space="preserve">Summary and overview </w:t>
      </w:r>
    </w:p>
    <w:p w14:paraId="359D6237" w14:textId="0E70FD70" w:rsidR="00B91F9A" w:rsidRPr="00BA7E51" w:rsidRDefault="00BA7E51" w:rsidP="00BA7E51">
      <w:pPr>
        <w:pStyle w:val="ParagraphText-unnumbered"/>
        <w:rPr>
          <w:rStyle w:val="Bold"/>
        </w:rPr>
      </w:pPr>
      <w:r w:rsidRPr="00BA7E51">
        <w:rPr>
          <w:rStyle w:val="Bold"/>
        </w:rPr>
        <w:t>Project Title:</w:t>
      </w:r>
      <w:r w:rsidR="00B8015C">
        <w:rPr>
          <w:rStyle w:val="Bold"/>
        </w:rPr>
        <w:t xml:space="preserve"> Fleming Fund Annual Review </w:t>
      </w:r>
    </w:p>
    <w:p w14:paraId="71CDA30E" w14:textId="663C1AF6" w:rsidR="00BA7E51" w:rsidRDefault="00BA7E51" w:rsidP="00BA7E51">
      <w:pPr>
        <w:pStyle w:val="ParagraphText-unnumbered"/>
      </w:pPr>
      <w:r w:rsidRPr="00BA7E51">
        <w:rPr>
          <w:rStyle w:val="Bold"/>
        </w:rPr>
        <w:t>Project Value</w:t>
      </w:r>
      <w:r>
        <w:t xml:space="preserve"> (full life): £</w:t>
      </w:r>
      <w:r w:rsidR="00B8015C">
        <w:t>265m</w:t>
      </w:r>
    </w:p>
    <w:p w14:paraId="78F5506F" w14:textId="373306D0" w:rsidR="00BA7E51" w:rsidRPr="00BA7E51" w:rsidRDefault="00BA7E51" w:rsidP="00BA7E51">
      <w:pPr>
        <w:pStyle w:val="ParagraphText-unnumbered"/>
        <w:rPr>
          <w:rStyle w:val="Bold"/>
        </w:rPr>
      </w:pPr>
      <w:r w:rsidRPr="00BA7E51">
        <w:rPr>
          <w:rStyle w:val="Bold"/>
        </w:rPr>
        <w:t>Review period:</w:t>
      </w:r>
      <w:r w:rsidR="00B8015C">
        <w:rPr>
          <w:rStyle w:val="Bold"/>
        </w:rPr>
        <w:t xml:space="preserve"> January 2020 to December 2020</w:t>
      </w:r>
    </w:p>
    <w:p w14:paraId="761BB85E" w14:textId="40F4E6C0" w:rsidR="00BA7E51" w:rsidRPr="00BA7E51" w:rsidRDefault="00BA7E51" w:rsidP="00BA7E51">
      <w:pPr>
        <w:pStyle w:val="ParagraphText-unnumbered"/>
        <w:rPr>
          <w:rStyle w:val="Bold"/>
        </w:rPr>
      </w:pPr>
      <w:r w:rsidRPr="00BA7E51">
        <w:rPr>
          <w:rStyle w:val="Bold"/>
        </w:rPr>
        <w:lastRenderedPageBreak/>
        <w:t>Project's Start Date</w:t>
      </w:r>
      <w:r w:rsidR="00B8015C">
        <w:rPr>
          <w:rStyle w:val="Bold"/>
        </w:rPr>
        <w:t>: 201</w:t>
      </w:r>
      <w:r w:rsidR="00871E4A">
        <w:rPr>
          <w:rStyle w:val="Bold"/>
        </w:rPr>
        <w:t>6</w:t>
      </w:r>
    </w:p>
    <w:p w14:paraId="207CECB4" w14:textId="07F9603B" w:rsidR="00BA7E51" w:rsidRDefault="00BA7E51" w:rsidP="00BA7E51">
      <w:pPr>
        <w:pStyle w:val="ParagraphText-unnumbered"/>
        <w:rPr>
          <w:rStyle w:val="Bold"/>
        </w:rPr>
      </w:pPr>
      <w:r w:rsidRPr="00BA7E51">
        <w:rPr>
          <w:rStyle w:val="Bold"/>
        </w:rPr>
        <w:t>Projec</w:t>
      </w:r>
      <w:r>
        <w:rPr>
          <w:rStyle w:val="Bold"/>
        </w:rPr>
        <w:t>t</w:t>
      </w:r>
      <w:r w:rsidRPr="00BA7E51">
        <w:rPr>
          <w:rStyle w:val="Bold"/>
        </w:rPr>
        <w:t xml:space="preserve">'s End Date: </w:t>
      </w:r>
      <w:r w:rsidR="00B8015C">
        <w:rPr>
          <w:rStyle w:val="Bold"/>
        </w:rPr>
        <w:t>2022</w:t>
      </w:r>
    </w:p>
    <w:p w14:paraId="73918749" w14:textId="21FC707D" w:rsidR="00BA7E51" w:rsidRDefault="00BA7E51" w:rsidP="00BA7E51">
      <w:pPr>
        <w:pStyle w:val="ParagraphText-unnumbered"/>
        <w:rPr>
          <w:rStyle w:val="Bold"/>
        </w:rPr>
      </w:pPr>
      <w:r>
        <w:rPr>
          <w:rStyle w:val="Bold"/>
        </w:rPr>
        <w:t>Summary of Programme Performance</w:t>
      </w:r>
    </w:p>
    <w:tbl>
      <w:tblPr>
        <w:tblStyle w:val="DHSCtable"/>
        <w:tblW w:w="5000" w:type="pct"/>
        <w:tblLook w:val="04A0" w:firstRow="1" w:lastRow="0" w:firstColumn="1" w:lastColumn="0" w:noHBand="0" w:noVBand="1"/>
      </w:tblPr>
      <w:tblGrid>
        <w:gridCol w:w="2642"/>
        <w:gridCol w:w="2398"/>
        <w:gridCol w:w="2398"/>
        <w:gridCol w:w="2200"/>
      </w:tblGrid>
      <w:tr w:rsidR="00BA7E51" w:rsidRPr="000A3EAD" w14:paraId="1B0F2E8C" w14:textId="77777777" w:rsidTr="00BA7E51">
        <w:trPr>
          <w:cnfStyle w:val="100000000000" w:firstRow="1" w:lastRow="0" w:firstColumn="0" w:lastColumn="0" w:oddVBand="0" w:evenVBand="0" w:oddHBand="0" w:evenHBand="0" w:firstRowFirstColumn="0" w:firstRowLastColumn="0" w:lastRowFirstColumn="0" w:lastRowLastColumn="0"/>
          <w:trHeight w:val="113"/>
        </w:trPr>
        <w:tc>
          <w:tcPr>
            <w:tcW w:w="2642" w:type="dxa"/>
          </w:tcPr>
          <w:p w14:paraId="30FFE9D1" w14:textId="77777777" w:rsidR="00BA7E51" w:rsidRPr="00BA7E51" w:rsidRDefault="00BA7E51" w:rsidP="00BA7E51">
            <w:pPr>
              <w:pStyle w:val="Table-headertext"/>
            </w:pPr>
            <w:r>
              <w:t>Year</w:t>
            </w:r>
          </w:p>
        </w:tc>
        <w:tc>
          <w:tcPr>
            <w:tcW w:w="2398" w:type="dxa"/>
          </w:tcPr>
          <w:p w14:paraId="64B9B8C9" w14:textId="220BCB40" w:rsidR="00BA7E51" w:rsidRPr="00BA7E51" w:rsidRDefault="00BA7E51" w:rsidP="00BA7E51">
            <w:pPr>
              <w:pStyle w:val="ParagraphText-unnumbered"/>
            </w:pPr>
            <w:r>
              <w:t>20</w:t>
            </w:r>
            <w:r w:rsidR="002A37DE">
              <w:t>1</w:t>
            </w:r>
            <w:r w:rsidR="00B8015C">
              <w:t>8</w:t>
            </w:r>
          </w:p>
        </w:tc>
        <w:tc>
          <w:tcPr>
            <w:tcW w:w="2398" w:type="dxa"/>
          </w:tcPr>
          <w:p w14:paraId="43F2EA42" w14:textId="5316E811" w:rsidR="00BA7E51" w:rsidRPr="00BA7E51" w:rsidRDefault="00BA7E51" w:rsidP="00BA7E51">
            <w:pPr>
              <w:pStyle w:val="ParagraphText-unnumbered"/>
            </w:pPr>
            <w:r>
              <w:t>20</w:t>
            </w:r>
            <w:r w:rsidR="00B8015C">
              <w:t>19</w:t>
            </w:r>
          </w:p>
        </w:tc>
        <w:tc>
          <w:tcPr>
            <w:tcW w:w="2200" w:type="dxa"/>
          </w:tcPr>
          <w:p w14:paraId="5911CDC0" w14:textId="336D00FB" w:rsidR="00BA7E51" w:rsidRDefault="002A37DE" w:rsidP="00BA7E51">
            <w:pPr>
              <w:pStyle w:val="ParagraphText-unnumbered"/>
            </w:pPr>
            <w:r>
              <w:t>20</w:t>
            </w:r>
            <w:r w:rsidR="00B8015C">
              <w:t>20</w:t>
            </w:r>
          </w:p>
        </w:tc>
      </w:tr>
      <w:tr w:rsidR="00BA7E51" w:rsidRPr="00A96387" w14:paraId="6B113062" w14:textId="77777777" w:rsidTr="00BA7E51">
        <w:trPr>
          <w:trHeight w:val="113"/>
        </w:trPr>
        <w:tc>
          <w:tcPr>
            <w:tcW w:w="2642" w:type="dxa"/>
          </w:tcPr>
          <w:p w14:paraId="307964A3" w14:textId="77777777" w:rsidR="00BA7E51" w:rsidRPr="00BA7E51" w:rsidRDefault="00BA7E51" w:rsidP="00BA7E51">
            <w:pPr>
              <w:pStyle w:val="Table-headertext"/>
              <w:rPr>
                <w:rStyle w:val="Bold"/>
              </w:rPr>
            </w:pPr>
            <w:r w:rsidRPr="00BA7E51">
              <w:rPr>
                <w:rStyle w:val="Bold"/>
              </w:rPr>
              <w:t>Programme Score</w:t>
            </w:r>
          </w:p>
        </w:tc>
        <w:tc>
          <w:tcPr>
            <w:tcW w:w="2398" w:type="dxa"/>
          </w:tcPr>
          <w:p w14:paraId="3C168866" w14:textId="21881A5D" w:rsidR="00BA7E51" w:rsidRPr="00BA7E51" w:rsidRDefault="00B8015C" w:rsidP="00BA7E51">
            <w:pPr>
              <w:pStyle w:val="Table-headertext"/>
            </w:pPr>
            <w:r>
              <w:t>A/G</w:t>
            </w:r>
            <w:r w:rsidR="007D5358">
              <w:t xml:space="preserve"> </w:t>
            </w:r>
          </w:p>
        </w:tc>
        <w:tc>
          <w:tcPr>
            <w:tcW w:w="2398" w:type="dxa"/>
          </w:tcPr>
          <w:p w14:paraId="477B79F6" w14:textId="738C2EB3" w:rsidR="00BA7E51" w:rsidRPr="00BA7E51" w:rsidRDefault="00B8015C" w:rsidP="00BA7E51">
            <w:pPr>
              <w:pStyle w:val="Table-headertext"/>
            </w:pPr>
            <w:r>
              <w:t>A</w:t>
            </w:r>
          </w:p>
        </w:tc>
        <w:tc>
          <w:tcPr>
            <w:tcW w:w="2200" w:type="dxa"/>
          </w:tcPr>
          <w:p w14:paraId="6702A217" w14:textId="0BB8CCD9" w:rsidR="00BA7E51" w:rsidRPr="00AB15F8" w:rsidRDefault="00452F76" w:rsidP="00BA7E51">
            <w:pPr>
              <w:pStyle w:val="Table-headertext"/>
            </w:pPr>
            <w:r>
              <w:t>A</w:t>
            </w:r>
            <w:r w:rsidR="007D5358">
              <w:t xml:space="preserve"> (against FCDO scale)</w:t>
            </w:r>
          </w:p>
        </w:tc>
      </w:tr>
    </w:tbl>
    <w:p w14:paraId="2FCA26E0" w14:textId="77777777" w:rsidR="00BA7E51" w:rsidRPr="00BA7E51" w:rsidRDefault="00BA7E51" w:rsidP="00BA7E51">
      <w:pPr>
        <w:pStyle w:val="ParagraphText-unnumbered"/>
        <w:rPr>
          <w:rStyle w:val="Bold"/>
        </w:rPr>
      </w:pPr>
    </w:p>
    <w:p w14:paraId="794220DC" w14:textId="77777777" w:rsidR="00534654" w:rsidRDefault="00BA7E51" w:rsidP="00870C7B">
      <w:pPr>
        <w:pStyle w:val="Heading3"/>
      </w:pPr>
      <w:r>
        <w:t xml:space="preserve">Outline of project </w:t>
      </w:r>
    </w:p>
    <w:p w14:paraId="63E18548" w14:textId="491822D0" w:rsidR="00DD3057" w:rsidRPr="001E3A4C" w:rsidRDefault="001E3A4C" w:rsidP="00D46652">
      <w:pPr>
        <w:pStyle w:val="ParagraphText-unnumbered"/>
      </w:pPr>
      <w:r w:rsidRPr="001E3A4C">
        <w:t>By 2022, the Fleming Fund will have helped up to 24</w:t>
      </w:r>
      <w:r w:rsidR="003B31E7">
        <w:t xml:space="preserve"> </w:t>
      </w:r>
      <w:r w:rsidR="0069137D">
        <w:t>low- and middle-income</w:t>
      </w:r>
      <w:r w:rsidR="003B31E7">
        <w:t xml:space="preserve"> </w:t>
      </w:r>
      <w:r w:rsidR="0069137D">
        <w:t>c</w:t>
      </w:r>
      <w:r w:rsidR="003B31E7">
        <w:t>ountries</w:t>
      </w:r>
      <w:r w:rsidRPr="001E3A4C">
        <w:t xml:space="preserve"> </w:t>
      </w:r>
      <w:r w:rsidR="003B31E7">
        <w:t>(</w:t>
      </w:r>
      <w:r w:rsidRPr="001E3A4C">
        <w:t>LMICs</w:t>
      </w:r>
      <w:r w:rsidR="003B31E7">
        <w:t>)</w:t>
      </w:r>
      <w:r w:rsidRPr="001E3A4C">
        <w:t xml:space="preserve"> to establish the foundations of sustainable surveillance systems for AMR and antimicrobial usage (AMU) through a portfolio of </w:t>
      </w:r>
      <w:hyperlink r:id="rId15" w:history="1">
        <w:r w:rsidRPr="00DD3057">
          <w:rPr>
            <w:rStyle w:val="Hyperlink"/>
          </w:rPr>
          <w:t>country grants</w:t>
        </w:r>
      </w:hyperlink>
      <w:r w:rsidRPr="001E3A4C">
        <w:t xml:space="preserve">, </w:t>
      </w:r>
      <w:hyperlink r:id="rId16" w:history="1">
        <w:r w:rsidRPr="00DD3057">
          <w:rPr>
            <w:rStyle w:val="Hyperlink"/>
          </w:rPr>
          <w:t>regional grants</w:t>
        </w:r>
      </w:hyperlink>
      <w:r w:rsidRPr="001E3A4C">
        <w:t xml:space="preserve">, and </w:t>
      </w:r>
      <w:hyperlink r:id="rId17" w:history="1">
        <w:r w:rsidRPr="00DD3057">
          <w:rPr>
            <w:rStyle w:val="Hyperlink"/>
          </w:rPr>
          <w:t>fellowships</w:t>
        </w:r>
      </w:hyperlink>
      <w:r w:rsidRPr="001E3A4C">
        <w:t xml:space="preserve">. We also provide support to a significant number of additional LMICs through </w:t>
      </w:r>
      <w:hyperlink r:id="rId18" w:history="1">
        <w:r w:rsidRPr="00DD3057">
          <w:rPr>
            <w:rStyle w:val="Hyperlink"/>
          </w:rPr>
          <w:t xml:space="preserve">global </w:t>
        </w:r>
        <w:r w:rsidR="00DD3057" w:rsidRPr="00DD3057">
          <w:rPr>
            <w:rStyle w:val="Hyperlink"/>
          </w:rPr>
          <w:t>projects</w:t>
        </w:r>
      </w:hyperlink>
      <w:r w:rsidRPr="001E3A4C">
        <w:t>.</w:t>
      </w:r>
      <w:r w:rsidR="009041F6">
        <w:t xml:space="preserve"> The majority of the fund's work is delivered through our </w:t>
      </w:r>
      <w:r w:rsidR="0069137D">
        <w:t>Management Agent</w:t>
      </w:r>
      <w:r w:rsidR="009041F6">
        <w:t>, Mott MacDonald, with other delivery partners including the Tripartite (W</w:t>
      </w:r>
      <w:r w:rsidR="0069137D">
        <w:t>orld Health Organization (WHO)</w:t>
      </w:r>
      <w:r w:rsidR="009041F6">
        <w:t xml:space="preserve">, </w:t>
      </w:r>
      <w:r w:rsidR="0069137D">
        <w:t>Food and Agriculture Organization (</w:t>
      </w:r>
      <w:r w:rsidR="009041F6">
        <w:t>FAO</w:t>
      </w:r>
      <w:r w:rsidR="0069137D">
        <w:t>)</w:t>
      </w:r>
      <w:r w:rsidR="009041F6">
        <w:t xml:space="preserve"> and </w:t>
      </w:r>
      <w:r w:rsidR="0069137D">
        <w:t>the World Organization for Animal Health (</w:t>
      </w:r>
      <w:r w:rsidR="009041F6">
        <w:t>OIE)</w:t>
      </w:r>
      <w:r w:rsidR="0069137D">
        <w:t>)</w:t>
      </w:r>
      <w:r w:rsidR="009041F6">
        <w:t>, and a series of specialised grants.</w:t>
      </w:r>
    </w:p>
    <w:p w14:paraId="1BD7209E" w14:textId="56CA59B1" w:rsidR="001E3A4C" w:rsidRDefault="00A3342C" w:rsidP="00D46652">
      <w:pPr>
        <w:pStyle w:val="ParagraphText-unnumbered"/>
      </w:pPr>
      <w:r>
        <w:t>The expected</w:t>
      </w:r>
      <w:r w:rsidR="001E3A4C" w:rsidRPr="001E3A4C">
        <w:t xml:space="preserve"> outcomes</w:t>
      </w:r>
      <w:r>
        <w:t xml:space="preserve"> from this programme include an</w:t>
      </w:r>
      <w:r w:rsidR="001E3A4C" w:rsidRPr="001E3A4C">
        <w:t xml:space="preserve"> increase in relevant</w:t>
      </w:r>
      <w:r w:rsidR="00230BE6">
        <w:t>,</w:t>
      </w:r>
      <w:r w:rsidR="001E3A4C" w:rsidRPr="001E3A4C">
        <w:t xml:space="preserve"> high-quality data </w:t>
      </w:r>
      <w:r w:rsidR="00230BE6">
        <w:t>being</w:t>
      </w:r>
      <w:r w:rsidR="001E3A4C" w:rsidRPr="001E3A4C">
        <w:t xml:space="preserve"> shared nationally and globally</w:t>
      </w:r>
      <w:r w:rsidR="00230BE6">
        <w:t>. This would</w:t>
      </w:r>
      <w:r w:rsidR="001E3A4C" w:rsidRPr="001E3A4C">
        <w:t xml:space="preserve"> provide the basis for changes in policy and practice to increase the rational use of antimicrobial medicines and reduce the number of drug resistant infections.</w:t>
      </w:r>
    </w:p>
    <w:p w14:paraId="16D9607E" w14:textId="15619774" w:rsidR="001E3A4C" w:rsidRPr="00801A1F" w:rsidRDefault="007D5358" w:rsidP="00D46652">
      <w:pPr>
        <w:pStyle w:val="ParagraphText-unnumbered"/>
      </w:pPr>
      <w:r>
        <w:t xml:space="preserve">The </w:t>
      </w:r>
      <w:r w:rsidR="00A3342C">
        <w:t>F</w:t>
      </w:r>
      <w:r>
        <w:t>und</w:t>
      </w:r>
      <w:r w:rsidRPr="001E3A4C">
        <w:t xml:space="preserve"> </w:t>
      </w:r>
      <w:r w:rsidR="001E3A4C" w:rsidRPr="001E3A4C">
        <w:t>aim</w:t>
      </w:r>
      <w:r>
        <w:t>s</w:t>
      </w:r>
      <w:r w:rsidR="001E3A4C" w:rsidRPr="001E3A4C">
        <w:t xml:space="preserve"> to improve laboratory capacity and diagnosis as well as data and surveillance of AMR at a country level through a One Health</w:t>
      </w:r>
      <w:r w:rsidR="001E5A31">
        <w:t xml:space="preserve"> </w:t>
      </w:r>
      <w:r w:rsidR="001E3A4C" w:rsidRPr="001E3A4C">
        <w:t xml:space="preserve">approach, covering human health, animal health and agriculture. By supporting countries in South and South-East Asia and sub-Saharan Africa to develop One Health AMR National Action Plans (NAPs) and implement the surveillance aspects of these, </w:t>
      </w:r>
      <w:r w:rsidR="00A3342C">
        <w:t>the programme</w:t>
      </w:r>
      <w:r w:rsidRPr="001E3A4C">
        <w:t xml:space="preserve"> </w:t>
      </w:r>
      <w:r w:rsidR="001E3A4C" w:rsidRPr="001E3A4C">
        <w:t>support</w:t>
      </w:r>
      <w:r>
        <w:t>s</w:t>
      </w:r>
      <w:r w:rsidR="001E3A4C" w:rsidRPr="001E3A4C">
        <w:t xml:space="preserve"> delivery of </w:t>
      </w:r>
      <w:hyperlink r:id="rId19" w:history="1">
        <w:r w:rsidR="001E3A4C" w:rsidRPr="00DD3057">
          <w:rPr>
            <w:rStyle w:val="Hyperlink"/>
          </w:rPr>
          <w:t>2015 World Health Assembly Global Action Plan</w:t>
        </w:r>
      </w:hyperlink>
      <w:r w:rsidR="00A3342C">
        <w:rPr>
          <w:rStyle w:val="Hyperlink"/>
        </w:rPr>
        <w:t xml:space="preserve"> objectives</w:t>
      </w:r>
      <w:r w:rsidR="001E3A4C" w:rsidRPr="001E3A4C">
        <w:t xml:space="preserve">, the UK’s </w:t>
      </w:r>
      <w:hyperlink r:id="rId20" w:history="1">
        <w:r w:rsidR="001E3A4C" w:rsidRPr="00DD3057">
          <w:rPr>
            <w:rStyle w:val="Hyperlink"/>
          </w:rPr>
          <w:t>2016 O’Neill Review on AMR</w:t>
        </w:r>
      </w:hyperlink>
      <w:r w:rsidR="001E3A4C" w:rsidRPr="001E3A4C">
        <w:t xml:space="preserve">, the </w:t>
      </w:r>
      <w:hyperlink r:id="rId21" w:history="1">
        <w:r w:rsidR="001E3A4C" w:rsidRPr="00DD3057">
          <w:rPr>
            <w:rStyle w:val="Hyperlink"/>
          </w:rPr>
          <w:t>Inter-Agency Coordination Group on AMR</w:t>
        </w:r>
      </w:hyperlink>
      <w:r w:rsidR="001E3A4C" w:rsidRPr="001E3A4C">
        <w:t xml:space="preserve"> recommendations, as well as the </w:t>
      </w:r>
      <w:hyperlink r:id="rId22" w:history="1">
        <w:r w:rsidR="001E3A4C" w:rsidRPr="00DD3057">
          <w:rPr>
            <w:rStyle w:val="Hyperlink"/>
          </w:rPr>
          <w:t>UK’s own AMR NAP 2019 - 2024</w:t>
        </w:r>
      </w:hyperlink>
      <w:r w:rsidR="001E3A4C" w:rsidRPr="001E3A4C">
        <w:t xml:space="preserve">. Contributions to these key international objectives and outcomes </w:t>
      </w:r>
      <w:r w:rsidR="001E3A4C" w:rsidRPr="00412578">
        <w:t xml:space="preserve">are captured in the </w:t>
      </w:r>
      <w:hyperlink r:id="rId23" w:history="1">
        <w:r w:rsidR="001E3A4C" w:rsidRPr="0069137D">
          <w:rPr>
            <w:rStyle w:val="Hyperlink"/>
            <w:color w:val="auto"/>
            <w:u w:val="none"/>
          </w:rPr>
          <w:t>Theory of Change</w:t>
        </w:r>
      </w:hyperlink>
      <w:r w:rsidR="001E3A4C" w:rsidRPr="00801A1F">
        <w:t xml:space="preserve"> (</w:t>
      </w:r>
      <w:proofErr w:type="spellStart"/>
      <w:r w:rsidR="001E3A4C" w:rsidRPr="00801A1F">
        <w:t>ToC</w:t>
      </w:r>
      <w:proofErr w:type="spellEnd"/>
      <w:r w:rsidR="001E3A4C" w:rsidRPr="00801A1F">
        <w:t>), but in particular Fleming Fund outputs contribute to the following Global Action Plan outcomes:</w:t>
      </w:r>
    </w:p>
    <w:p w14:paraId="6BBA6838" w14:textId="77777777" w:rsidR="001E3A4C" w:rsidRPr="001E3A4C" w:rsidRDefault="001E3A4C" w:rsidP="00FA5A28"/>
    <w:p w14:paraId="5779C067" w14:textId="7CA4C8E6" w:rsidR="007D5358" w:rsidRPr="001E3A4C" w:rsidRDefault="001E3A4C" w:rsidP="00FA45C8">
      <w:pPr>
        <w:pStyle w:val="Bullet"/>
      </w:pPr>
      <w:r w:rsidRPr="001E3A4C">
        <w:t>improved awareness and understanding of AMR</w:t>
      </w:r>
    </w:p>
    <w:p w14:paraId="5B4737DF" w14:textId="1DA405C2" w:rsidR="007D5358" w:rsidRPr="001E3A4C" w:rsidRDefault="001E3A4C">
      <w:pPr>
        <w:pStyle w:val="Bullet"/>
      </w:pPr>
      <w:r w:rsidRPr="001E3A4C">
        <w:t>strengthened knowledge through surveillance and research</w:t>
      </w:r>
    </w:p>
    <w:p w14:paraId="0FF2CA9F" w14:textId="6B7E6CBD" w:rsidR="001E3A4C" w:rsidRPr="001E3A4C" w:rsidRDefault="001E3A4C" w:rsidP="007D5358">
      <w:pPr>
        <w:pStyle w:val="Bullet"/>
      </w:pPr>
      <w:r w:rsidRPr="001E3A4C">
        <w:lastRenderedPageBreak/>
        <w:t>ensur</w:t>
      </w:r>
      <w:r w:rsidR="00A3342C">
        <w:t>ed</w:t>
      </w:r>
      <w:r w:rsidRPr="001E3A4C">
        <w:t xml:space="preserve"> sustainable investment in countering AMR</w:t>
      </w:r>
    </w:p>
    <w:p w14:paraId="7053E171" w14:textId="6C1E90F5" w:rsidR="001E3A4C" w:rsidRPr="001E3A4C" w:rsidRDefault="00A3342C" w:rsidP="00FA45C8">
      <w:pPr>
        <w:pStyle w:val="Bullet"/>
      </w:pPr>
      <w:r>
        <w:t>optimised</w:t>
      </w:r>
      <w:r w:rsidR="001E3A4C" w:rsidRPr="001E3A4C">
        <w:t xml:space="preserve"> use of antibiotics</w:t>
      </w:r>
    </w:p>
    <w:p w14:paraId="708B5EAE" w14:textId="68613AF5" w:rsidR="001E3A4C" w:rsidRPr="001E3A4C" w:rsidRDefault="00A3342C" w:rsidP="00D46652">
      <w:pPr>
        <w:pStyle w:val="ParagraphText-unnumbered"/>
      </w:pPr>
      <w:r>
        <w:t>T</w:t>
      </w:r>
      <w:r w:rsidR="001E3A4C" w:rsidRPr="001E3A4C">
        <w:t>he Fleming Fund also contribut</w:t>
      </w:r>
      <w:r w:rsidR="007D5358">
        <w:t>e</w:t>
      </w:r>
      <w:r>
        <w:t>s</w:t>
      </w:r>
      <w:r w:rsidR="001E3A4C" w:rsidRPr="001E3A4C">
        <w:t xml:space="preserve"> to broader work on health systems strengthening in LMICs by supporting improvements to diagnosis, surveillance and use of quality health data in decision making</w:t>
      </w:r>
      <w:r>
        <w:t>. These actions</w:t>
      </w:r>
      <w:r w:rsidR="001E3A4C" w:rsidRPr="001E3A4C">
        <w:t xml:space="preserve"> contribute to improved health information systems, laboratory strengthening and help to ensure that essential antimicrobial medicines are safe and effective. </w:t>
      </w:r>
    </w:p>
    <w:p w14:paraId="32E20470" w14:textId="77777777" w:rsidR="00BA7E51" w:rsidRDefault="00BA7E51" w:rsidP="00870C7B">
      <w:pPr>
        <w:pStyle w:val="Heading3"/>
      </w:pPr>
      <w:r>
        <w:t>Summary of progress and supportive narrative for the overall score in this review</w:t>
      </w:r>
    </w:p>
    <w:p w14:paraId="543B3D42" w14:textId="751FB400" w:rsidR="005C5EBC" w:rsidRDefault="004E2D2E" w:rsidP="00D46652">
      <w:pPr>
        <w:pStyle w:val="ParagraphText-unnumbered"/>
      </w:pPr>
      <w:r>
        <w:t>T</w:t>
      </w:r>
      <w:r w:rsidR="001E3A4C" w:rsidRPr="001E3A4C">
        <w:t>he</w:t>
      </w:r>
      <w:r>
        <w:t xml:space="preserve"> Fleming Fund has maintained good progress against the majority of </w:t>
      </w:r>
      <w:proofErr w:type="gramStart"/>
      <w:r>
        <w:t>outputs, and</w:t>
      </w:r>
      <w:proofErr w:type="gramEnd"/>
      <w:r>
        <w:t xml:space="preserve"> exceeded against </w:t>
      </w:r>
      <w:r w:rsidR="00474C32">
        <w:t>two</w:t>
      </w:r>
      <w:r>
        <w:t xml:space="preserve"> of the ten. This is a significant achievement given that the model had to be shifted </w:t>
      </w:r>
      <w:r w:rsidR="00556F7C">
        <w:t>online</w:t>
      </w:r>
      <w:r>
        <w:t xml:space="preserve">, and many health practitioners in-country were diverted to the COVID-19 response. The </w:t>
      </w:r>
      <w:r w:rsidR="001E3A4C" w:rsidRPr="001E3A4C">
        <w:t>programme has successfully adapted where possible and</w:t>
      </w:r>
      <w:r>
        <w:t xml:space="preserve"> pivoted to support the response in multiple countries, which is not captured by the outputs</w:t>
      </w:r>
      <w:r w:rsidR="001E3A4C" w:rsidRPr="001E3A4C">
        <w:t xml:space="preserve">. </w:t>
      </w:r>
      <w:r>
        <w:t xml:space="preserve">This has </w:t>
      </w:r>
      <w:r w:rsidR="001E3A4C" w:rsidRPr="001E3A4C">
        <w:t>includ</w:t>
      </w:r>
      <w:r>
        <w:t>ed</w:t>
      </w:r>
      <w:r w:rsidR="001E3A4C" w:rsidRPr="001E3A4C">
        <w:t xml:space="preserve"> sharing laboratory resources, supporting efforts to improve infection, prevention and control, and enabling access to whole genome sequencing for C</w:t>
      </w:r>
      <w:r w:rsidR="009400D2">
        <w:t>OVID</w:t>
      </w:r>
      <w:r w:rsidR="001E3A4C" w:rsidRPr="001E3A4C">
        <w:t xml:space="preserve">-19 variants in Africa. </w:t>
      </w:r>
    </w:p>
    <w:p w14:paraId="116345EC" w14:textId="313FC15A" w:rsidR="005C5EBC" w:rsidRDefault="005C5EBC" w:rsidP="00FA5A28"/>
    <w:p w14:paraId="12ACA648" w14:textId="77777777" w:rsidR="00195C22" w:rsidRDefault="005C5EBC" w:rsidP="005C5EBC">
      <w:pPr>
        <w:pStyle w:val="Boxedtext-greenborder"/>
        <w:rPr>
          <w:rStyle w:val="Bold"/>
        </w:rPr>
      </w:pPr>
      <w:r w:rsidRPr="005C5EBC">
        <w:rPr>
          <w:rStyle w:val="Bold"/>
        </w:rPr>
        <w:t>Flexing to support COVID-19: Whole Genome Sequencing</w:t>
      </w:r>
    </w:p>
    <w:p w14:paraId="229DAADE" w14:textId="2252C820" w:rsidR="005C5EBC" w:rsidRPr="005C5EBC" w:rsidRDefault="005C5EBC" w:rsidP="005C5EBC">
      <w:pPr>
        <w:pStyle w:val="Boxedtext-greenborder"/>
      </w:pPr>
      <w:r w:rsidRPr="005C5EBC">
        <w:t xml:space="preserve">The </w:t>
      </w:r>
      <w:hyperlink r:id="rId24" w:history="1">
        <w:r w:rsidRPr="00DD3057">
          <w:rPr>
            <w:rStyle w:val="Hyperlink"/>
          </w:rPr>
          <w:t>Whole Genome Sequencing (WGS) Regional Grant</w:t>
        </w:r>
      </w:hyperlink>
      <w:r w:rsidRPr="005C5EBC">
        <w:t xml:space="preserve"> is designed to upgrade WGS capability for bacterial AMR</w:t>
      </w:r>
      <w:r>
        <w:t xml:space="preserve"> </w:t>
      </w:r>
      <w:r w:rsidRPr="005C5EBC">
        <w:t>across Africa th</w:t>
      </w:r>
      <w:r>
        <w:t>r</w:t>
      </w:r>
      <w:r w:rsidRPr="005C5EBC">
        <w:t>ough support to regional centres in Tanzania, Nigeria, South Africa and Ghana. The majority of WGS equipment and training can also be used in the COVID-19 response as it is disease agnostic.</w:t>
      </w:r>
      <w:r>
        <w:t xml:space="preserve"> In response to COVID-19, gaps in capacity to conduct WGS for COVID-19 were noted by the Fleming Fund following </w:t>
      </w:r>
      <w:r w:rsidRPr="005C5EBC">
        <w:t>consultation with key stakeholders, including Africa CDC</w:t>
      </w:r>
      <w:r>
        <w:t xml:space="preserve">. The value of the WGS for supporting Public Health action </w:t>
      </w:r>
      <w:r w:rsidR="00BD558A">
        <w:t xml:space="preserve">was </w:t>
      </w:r>
      <w:r>
        <w:t xml:space="preserve">set out by the </w:t>
      </w:r>
      <w:r w:rsidR="00ED2F45">
        <w:t>W</w:t>
      </w:r>
      <w:r>
        <w:t>HO in March 2020 “Laboratory testing for coronavirus disease (COVID-19) in suspected human cases” Interim Guidance WHO" T</w:t>
      </w:r>
      <w:r w:rsidRPr="005C5EBC">
        <w:t>he Fleming Fund approved</w:t>
      </w:r>
      <w:r>
        <w:t xml:space="preserve"> the use of Fleming Fund equipment and</w:t>
      </w:r>
      <w:r w:rsidRPr="005C5EBC">
        <w:t xml:space="preserve"> additional funding </w:t>
      </w:r>
      <w:r>
        <w:t>in July 2020</w:t>
      </w:r>
      <w:r w:rsidRPr="005C5EBC">
        <w:t xml:space="preserve"> to sequence up to 1,000 C</w:t>
      </w:r>
      <w:r>
        <w:t>OVID</w:t>
      </w:r>
      <w:r w:rsidRPr="005C5EBC">
        <w:t>-19 samples from Fleming Fund priority countries and beyond.</w:t>
      </w:r>
    </w:p>
    <w:p w14:paraId="75E963DF" w14:textId="531470B8" w:rsidR="005C5EBC" w:rsidRDefault="005C5EBC" w:rsidP="005C5EBC">
      <w:pPr>
        <w:pStyle w:val="Boxedtext-greenborder"/>
      </w:pPr>
      <w:r w:rsidRPr="005C5EBC">
        <w:t>This is an example of flexible, responsive support by the Fleming Fund which also promotes value for money</w:t>
      </w:r>
      <w:r w:rsidR="00860943">
        <w:t xml:space="preserve"> (VFM)</w:t>
      </w:r>
      <w:r w:rsidRPr="005C5EBC">
        <w:t xml:space="preserve"> of the WGS Regional Grant, as the number of samples tested overall should increase and be immediately useful. Providing sequencing support to the COVID-19 response is an opportunity to boost Africa’s WGS capabilities and to accelerate the use of WGS across Africa which benefits work to tackle AMR.</w:t>
      </w:r>
    </w:p>
    <w:p w14:paraId="694BE368" w14:textId="7098EFD0" w:rsidR="00195C22" w:rsidRDefault="00195C22" w:rsidP="005C5EBC">
      <w:pPr>
        <w:pStyle w:val="Boxedtext-greenborder"/>
      </w:pPr>
      <w:r>
        <w:lastRenderedPageBreak/>
        <w:t xml:space="preserve">(Source: </w:t>
      </w:r>
      <w:proofErr w:type="spellStart"/>
      <w:r>
        <w:t>Itad</w:t>
      </w:r>
      <w:proofErr w:type="spellEnd"/>
      <w:r>
        <w:t xml:space="preserve"> third formative deliverable</w:t>
      </w:r>
      <w:r w:rsidR="00DD3057">
        <w:t>)</w:t>
      </w:r>
    </w:p>
    <w:p w14:paraId="4D92C104" w14:textId="2E14A261" w:rsidR="0009526B" w:rsidRDefault="009E29EF" w:rsidP="00D46652">
      <w:pPr>
        <w:pStyle w:val="ParagraphText-unnumbered"/>
      </w:pPr>
      <w:bookmarkStart w:id="0" w:name="_Hlk66206127"/>
      <w:r w:rsidRPr="009E29EF">
        <w:t xml:space="preserve">There have been </w:t>
      </w:r>
      <w:proofErr w:type="gramStart"/>
      <w:r w:rsidRPr="009E29EF">
        <w:t>a number of</w:t>
      </w:r>
      <w:proofErr w:type="gramEnd"/>
      <w:r w:rsidRPr="009E29EF">
        <w:t xml:space="preserve"> key achievements this year, including</w:t>
      </w:r>
      <w:r w:rsidR="0009526B">
        <w:t>:</w:t>
      </w:r>
    </w:p>
    <w:p w14:paraId="0DEE7334" w14:textId="07FBDABA" w:rsidR="0009526B" w:rsidRDefault="00CA4DC0" w:rsidP="0009526B">
      <w:pPr>
        <w:pStyle w:val="Bullet"/>
      </w:pPr>
      <w:r>
        <w:t xml:space="preserve">growing the programme to cover 22 active country grants, an increase </w:t>
      </w:r>
      <w:r w:rsidR="009E29EF" w:rsidRPr="009E29EF">
        <w:t>from 132 to 2</w:t>
      </w:r>
      <w:r w:rsidR="00B13DD2">
        <w:t>4</w:t>
      </w:r>
      <w:r w:rsidR="009E29EF" w:rsidRPr="009E29EF">
        <w:t>0 labs supported (surpassing expectations</w:t>
      </w:r>
      <w:r w:rsidR="00822FF4">
        <w:t xml:space="preserve"> </w:t>
      </w:r>
      <w:r w:rsidR="00556F7C">
        <w:t>by 64 labs</w:t>
      </w:r>
      <w:r w:rsidR="009E29EF" w:rsidRPr="009E29EF">
        <w:t xml:space="preserve">), </w:t>
      </w:r>
    </w:p>
    <w:p w14:paraId="43C7B6AD" w14:textId="025DDDEA" w:rsidR="0009526B" w:rsidRDefault="009E29EF" w:rsidP="0009526B">
      <w:pPr>
        <w:pStyle w:val="Bullet"/>
      </w:pPr>
      <w:r w:rsidRPr="009E29EF">
        <w:t xml:space="preserve">an increase from 125 </w:t>
      </w:r>
      <w:r w:rsidR="00401106">
        <w:t xml:space="preserve">to </w:t>
      </w:r>
      <w:r w:rsidRPr="009E29EF">
        <w:t>1</w:t>
      </w:r>
      <w:r w:rsidR="00B13DD2">
        <w:t>33</w:t>
      </w:r>
      <w:r w:rsidRPr="009E29EF">
        <w:t xml:space="preserve"> countries submitting qua</w:t>
      </w:r>
      <w:r w:rsidR="00CA4DC0">
        <w:t>nt</w:t>
      </w:r>
      <w:r w:rsidRPr="009E29EF">
        <w:t xml:space="preserve">itative data to OIE database on </w:t>
      </w:r>
      <w:r w:rsidR="00B13DD2">
        <w:t>use</w:t>
      </w:r>
      <w:r w:rsidR="002F5CC1">
        <w:t xml:space="preserve"> of </w:t>
      </w:r>
      <w:r w:rsidRPr="009E29EF">
        <w:t xml:space="preserve">antimicrobials </w:t>
      </w:r>
      <w:r w:rsidR="00401106">
        <w:t>intended for use</w:t>
      </w:r>
      <w:r w:rsidRPr="009E29EF">
        <w:t xml:space="preserve"> in animals, and </w:t>
      </w:r>
      <w:r w:rsidR="00ED0100">
        <w:t>73</w:t>
      </w:r>
      <w:r w:rsidRPr="009E29EF">
        <w:t xml:space="preserve">% </w:t>
      </w:r>
      <w:r w:rsidR="00822FF4">
        <w:t>(14 of 19)</w:t>
      </w:r>
      <w:r w:rsidRPr="009E29EF">
        <w:t xml:space="preserve"> of Fleming Fund countries now submitting data into WHO’s Global AMR Surveillance System (GLASS) up from a baseline of </w:t>
      </w:r>
      <w:r w:rsidR="00ED0100">
        <w:t>10.5% (</w:t>
      </w:r>
      <w:r w:rsidRPr="009E29EF">
        <w:t xml:space="preserve">2 </w:t>
      </w:r>
      <w:r w:rsidR="00ED0100">
        <w:t>of 19) i</w:t>
      </w:r>
      <w:r w:rsidRPr="009E29EF">
        <w:t xml:space="preserve">n 2017. </w:t>
      </w:r>
      <w:bookmarkEnd w:id="0"/>
    </w:p>
    <w:p w14:paraId="31D1170E" w14:textId="5B37BDC8" w:rsidR="009E29EF" w:rsidRDefault="009E29EF" w:rsidP="0009526B">
      <w:pPr>
        <w:pStyle w:val="Bullet"/>
      </w:pPr>
      <w:r w:rsidRPr="009E29EF">
        <w:t>In terms of awareness and advocacy</w:t>
      </w:r>
      <w:r w:rsidR="00822FF4">
        <w:t xml:space="preserve"> of the Fleming Fund and the issue of AMR</w:t>
      </w:r>
      <w:r w:rsidRPr="009E29EF">
        <w:t xml:space="preserve">, traffic to the Fleming Fund website increased with an average of 1596 new visitors each month. </w:t>
      </w:r>
    </w:p>
    <w:p w14:paraId="1405D1DB" w14:textId="797349FD" w:rsidR="000E74B7" w:rsidRDefault="009E29EF" w:rsidP="00D46652">
      <w:pPr>
        <w:pStyle w:val="ParagraphText-unnumbered"/>
      </w:pPr>
      <w:r w:rsidRPr="009E29EF">
        <w:t xml:space="preserve">Where milestones have not been met, this has largely been due to travel restrictions halting progress, or </w:t>
      </w:r>
      <w:r w:rsidR="007D5358">
        <w:t>key</w:t>
      </w:r>
      <w:r w:rsidR="007D5358" w:rsidRPr="007D5358">
        <w:t xml:space="preserve"> Ministry of Health stakeholders</w:t>
      </w:r>
      <w:r w:rsidRPr="009E29EF">
        <w:t xml:space="preserve"> being diverted to the C</w:t>
      </w:r>
      <w:r w:rsidR="00EB2BBF">
        <w:t>OVID</w:t>
      </w:r>
      <w:r w:rsidRPr="009E29EF">
        <w:t xml:space="preserve">-19 response in country. </w:t>
      </w:r>
      <w:r w:rsidR="00556F7C">
        <w:t>This has also meant that p</w:t>
      </w:r>
      <w:r w:rsidRPr="009E29EF">
        <w:t xml:space="preserve">rogress on some of the fellowships </w:t>
      </w:r>
      <w:r w:rsidR="0009526B">
        <w:t xml:space="preserve">programmes </w:t>
      </w:r>
      <w:r w:rsidRPr="009E29EF">
        <w:t xml:space="preserve">has had to be paused. </w:t>
      </w:r>
    </w:p>
    <w:p w14:paraId="01D3B4F0" w14:textId="40D58E48" w:rsidR="009E29EF" w:rsidRDefault="009E29EF" w:rsidP="00D46652">
      <w:pPr>
        <w:pStyle w:val="ParagraphText-unnumbered"/>
      </w:pPr>
      <w:r w:rsidRPr="009E29EF">
        <w:t xml:space="preserve">Demand </w:t>
      </w:r>
      <w:r w:rsidR="007D5358">
        <w:t xml:space="preserve">is growing </w:t>
      </w:r>
      <w:r w:rsidRPr="009E29EF">
        <w:t xml:space="preserve">for the data </w:t>
      </w:r>
      <w:r w:rsidR="007D5358">
        <w:t>countries are</w:t>
      </w:r>
      <w:r w:rsidRPr="009E29EF">
        <w:t xml:space="preserve"> </w:t>
      </w:r>
      <w:r w:rsidR="007D5358">
        <w:t xml:space="preserve">producing through Fleming Fund activity, </w:t>
      </w:r>
      <w:r w:rsidRPr="009E29EF">
        <w:t xml:space="preserve">both internationally and across </w:t>
      </w:r>
      <w:r w:rsidR="00A3342C">
        <w:t>UK government</w:t>
      </w:r>
      <w:r w:rsidR="007D5358">
        <w:t>.</w:t>
      </w:r>
      <w:r w:rsidRPr="009E29EF">
        <w:t xml:space="preserve"> </w:t>
      </w:r>
      <w:r w:rsidR="007D5358">
        <w:t>There is a focus in</w:t>
      </w:r>
      <w:r w:rsidRPr="009E29EF">
        <w:t xml:space="preserve"> UK’s G7 presidency on tackling AMR and supporting surveillance systems for pandemic preparedness. New global governance mechanisms have been launched by the Tripartite U</w:t>
      </w:r>
      <w:r w:rsidR="00ED2F45">
        <w:t>nited Nations (U</w:t>
      </w:r>
      <w:r w:rsidRPr="009E29EF">
        <w:t>N</w:t>
      </w:r>
      <w:r w:rsidR="00ED2F45">
        <w:t>)</w:t>
      </w:r>
      <w:r w:rsidRPr="009E29EF">
        <w:t xml:space="preserve"> agencies with a key role for the UK’s Special Envoy on AMR, and the UK has become a key early contributor to the new</w:t>
      </w:r>
      <w:r w:rsidR="00CC6414">
        <w:t xml:space="preserve"> UN AMR</w:t>
      </w:r>
      <w:r w:rsidRPr="009E29EF">
        <w:t xml:space="preserve"> Multi-Partner Trust Fund</w:t>
      </w:r>
      <w:r w:rsidR="004151DC">
        <w:t xml:space="preserve"> (MPTF)</w:t>
      </w:r>
      <w:r w:rsidRPr="009E29EF">
        <w:t xml:space="preserve"> </w:t>
      </w:r>
      <w:r w:rsidR="007D5358">
        <w:t>through the</w:t>
      </w:r>
      <w:r w:rsidRPr="009E29EF">
        <w:t xml:space="preserve"> Fleming Fund. Whilst challenging fiscal circumstances mean that ambitions </w:t>
      </w:r>
      <w:r w:rsidR="00A3342C">
        <w:t xml:space="preserve">for a second phase of the programme beyond 2022 (also known as Phase II) </w:t>
      </w:r>
      <w:r w:rsidR="009041F6">
        <w:t>cannot</w:t>
      </w:r>
      <w:r w:rsidRPr="009E29EF">
        <w:t xml:space="preserve"> be launched until the next Spending Review, this transition to a potential </w:t>
      </w:r>
      <w:r w:rsidR="00862F45">
        <w:t>Phase</w:t>
      </w:r>
      <w:r w:rsidR="00053602">
        <w:t xml:space="preserve"> II</w:t>
      </w:r>
      <w:r w:rsidRPr="009E29EF">
        <w:t xml:space="preserve"> of the programme is expected to see an acceleration of results and outcomes from the groundwork laid over the past two years.</w:t>
      </w:r>
    </w:p>
    <w:p w14:paraId="6D42BE8B" w14:textId="77777777" w:rsidR="00DC4B71" w:rsidRDefault="00DC4B71" w:rsidP="00FA5A28"/>
    <w:p w14:paraId="73A16EC7" w14:textId="3AC06446" w:rsidR="00E75DF3" w:rsidRDefault="00E75DF3" w:rsidP="00870C7B">
      <w:pPr>
        <w:pStyle w:val="Heading3"/>
      </w:pPr>
      <w:r>
        <w:t>Progress against recommendations from the last review</w:t>
      </w:r>
    </w:p>
    <w:tbl>
      <w:tblPr>
        <w:tblStyle w:val="DHSCtable"/>
        <w:tblW w:w="0" w:type="auto"/>
        <w:tblLook w:val="04A0" w:firstRow="1" w:lastRow="0" w:firstColumn="1" w:lastColumn="0" w:noHBand="0" w:noVBand="1"/>
      </w:tblPr>
      <w:tblGrid>
        <w:gridCol w:w="437"/>
        <w:gridCol w:w="3806"/>
        <w:gridCol w:w="1699"/>
        <w:gridCol w:w="3119"/>
      </w:tblGrid>
      <w:tr w:rsidR="00386804" w:rsidRPr="00785307" w14:paraId="58D8FBBD" w14:textId="77777777" w:rsidTr="00FA5A28">
        <w:trPr>
          <w:cnfStyle w:val="100000000000" w:firstRow="1" w:lastRow="0" w:firstColumn="0" w:lastColumn="0" w:oddVBand="0" w:evenVBand="0" w:oddHBand="0" w:evenHBand="0" w:firstRowFirstColumn="0" w:firstRowLastColumn="0" w:lastRowFirstColumn="0" w:lastRowLastColumn="0"/>
        </w:trPr>
        <w:tc>
          <w:tcPr>
            <w:tcW w:w="402" w:type="dxa"/>
          </w:tcPr>
          <w:p w14:paraId="21A894A1" w14:textId="77777777" w:rsidR="00386804" w:rsidRPr="00386804" w:rsidRDefault="00386804" w:rsidP="00386804"/>
        </w:tc>
        <w:tc>
          <w:tcPr>
            <w:tcW w:w="3806" w:type="dxa"/>
          </w:tcPr>
          <w:p w14:paraId="5B5ABB8E" w14:textId="77777777" w:rsidR="00386804" w:rsidRPr="00386804" w:rsidRDefault="00386804" w:rsidP="00FA5A28">
            <w:r w:rsidRPr="00386804">
              <w:t>Recommendations</w:t>
            </w:r>
          </w:p>
        </w:tc>
        <w:tc>
          <w:tcPr>
            <w:tcW w:w="1699" w:type="dxa"/>
          </w:tcPr>
          <w:p w14:paraId="42DA12F9" w14:textId="77777777" w:rsidR="00386804" w:rsidRPr="00386804" w:rsidRDefault="00386804" w:rsidP="00FA5A28">
            <w:r w:rsidRPr="00386804">
              <w:t>Section</w:t>
            </w:r>
          </w:p>
        </w:tc>
        <w:tc>
          <w:tcPr>
            <w:tcW w:w="3119" w:type="dxa"/>
          </w:tcPr>
          <w:p w14:paraId="4316B2DF" w14:textId="77777777" w:rsidR="00386804" w:rsidRPr="00386804" w:rsidRDefault="00386804" w:rsidP="00FA5A28">
            <w:r w:rsidRPr="00386804">
              <w:t>Met/Partially Met/Not Met</w:t>
            </w:r>
          </w:p>
        </w:tc>
      </w:tr>
      <w:tr w:rsidR="00386804" w:rsidRPr="006414A2" w14:paraId="5AF93A10" w14:textId="77777777" w:rsidTr="00FA5A28">
        <w:tc>
          <w:tcPr>
            <w:tcW w:w="402" w:type="dxa"/>
          </w:tcPr>
          <w:p w14:paraId="173E5CA0" w14:textId="77777777" w:rsidR="00386804" w:rsidRPr="00386804" w:rsidRDefault="00386804" w:rsidP="00FA5A28">
            <w:r w:rsidRPr="00386804">
              <w:t>1</w:t>
            </w:r>
          </w:p>
        </w:tc>
        <w:tc>
          <w:tcPr>
            <w:tcW w:w="3806" w:type="dxa"/>
          </w:tcPr>
          <w:p w14:paraId="4E742D3B" w14:textId="5BC0313A" w:rsidR="00386804" w:rsidRPr="00386804" w:rsidRDefault="00386804" w:rsidP="00FA5A28">
            <w:r w:rsidRPr="00386804">
              <w:t>Agree stretching year 3 milestones for the monitoring matrix by end March 2020 - DHSC + M</w:t>
            </w:r>
            <w:r w:rsidR="008D6C3A">
              <w:t>ott MacDonald</w:t>
            </w:r>
          </w:p>
        </w:tc>
        <w:tc>
          <w:tcPr>
            <w:tcW w:w="1699" w:type="dxa"/>
          </w:tcPr>
          <w:p w14:paraId="59F818BC" w14:textId="77777777" w:rsidR="00386804" w:rsidRPr="00386804" w:rsidRDefault="00386804" w:rsidP="00FA5A28">
            <w:r w:rsidRPr="00386804">
              <w:t>Project Management</w:t>
            </w:r>
          </w:p>
          <w:p w14:paraId="1DD9B825" w14:textId="77777777" w:rsidR="00386804" w:rsidRPr="00386804" w:rsidRDefault="00386804" w:rsidP="00386804"/>
        </w:tc>
        <w:tc>
          <w:tcPr>
            <w:tcW w:w="3119" w:type="dxa"/>
          </w:tcPr>
          <w:p w14:paraId="447A20BC" w14:textId="772D6C70" w:rsidR="00386804" w:rsidRPr="00386804" w:rsidRDefault="00386804" w:rsidP="00FA5A28">
            <w:proofErr w:type="gramStart"/>
            <w:r w:rsidRPr="00386804">
              <w:t>Met</w:t>
            </w:r>
            <w:r w:rsidR="008D6C3A">
              <w:t>.</w:t>
            </w:r>
            <w:r w:rsidRPr="00386804">
              <w:t>-</w:t>
            </w:r>
            <w:proofErr w:type="gramEnd"/>
            <w:r w:rsidRPr="00386804">
              <w:t xml:space="preserve"> Output indicator milestones were updated in March 2020 </w:t>
            </w:r>
          </w:p>
          <w:p w14:paraId="1C46961B" w14:textId="77777777" w:rsidR="00386804" w:rsidRPr="00386804" w:rsidRDefault="00386804" w:rsidP="00386804"/>
        </w:tc>
      </w:tr>
      <w:tr w:rsidR="00386804" w:rsidRPr="006414A2" w14:paraId="7429AFB3" w14:textId="77777777" w:rsidTr="00FA5A28">
        <w:tc>
          <w:tcPr>
            <w:tcW w:w="402" w:type="dxa"/>
          </w:tcPr>
          <w:p w14:paraId="263550C1" w14:textId="77777777" w:rsidR="00386804" w:rsidRPr="00386804" w:rsidRDefault="00386804" w:rsidP="00FA5A28">
            <w:r w:rsidRPr="00386804">
              <w:t>2</w:t>
            </w:r>
          </w:p>
        </w:tc>
        <w:tc>
          <w:tcPr>
            <w:tcW w:w="3806" w:type="dxa"/>
          </w:tcPr>
          <w:p w14:paraId="6667C6E4" w14:textId="77777777" w:rsidR="00386804" w:rsidRPr="00386804" w:rsidRDefault="00386804" w:rsidP="00FA5A28">
            <w:r w:rsidRPr="00386804">
              <w:t xml:space="preserve">Agree set of mitigation measures to improve Mott Macdonald </w:t>
            </w:r>
            <w:r w:rsidRPr="00386804">
              <w:lastRenderedPageBreak/>
              <w:t>forecasting and financial performance.</w:t>
            </w:r>
          </w:p>
          <w:p w14:paraId="3645FD4F" w14:textId="1F6F1E7B" w:rsidR="00386804" w:rsidRPr="00386804" w:rsidRDefault="00386804" w:rsidP="00FA5A28">
            <w:r w:rsidRPr="00386804">
              <w:t>Owner: DHSC + M</w:t>
            </w:r>
            <w:r w:rsidR="008D6C3A">
              <w:t xml:space="preserve">ott </w:t>
            </w:r>
            <w:r w:rsidR="009041F6">
              <w:t>M</w:t>
            </w:r>
            <w:r w:rsidR="008D6C3A">
              <w:t>acDonald</w:t>
            </w:r>
          </w:p>
        </w:tc>
        <w:tc>
          <w:tcPr>
            <w:tcW w:w="1699" w:type="dxa"/>
          </w:tcPr>
          <w:p w14:paraId="3613896E" w14:textId="77777777" w:rsidR="00386804" w:rsidRPr="00386804" w:rsidRDefault="00386804" w:rsidP="00FA5A28">
            <w:r w:rsidRPr="00386804">
              <w:lastRenderedPageBreak/>
              <w:t>Finance</w:t>
            </w:r>
          </w:p>
          <w:p w14:paraId="268C109D" w14:textId="77777777" w:rsidR="00386804" w:rsidRPr="00386804" w:rsidRDefault="00386804" w:rsidP="00386804"/>
        </w:tc>
        <w:tc>
          <w:tcPr>
            <w:tcW w:w="3119" w:type="dxa"/>
          </w:tcPr>
          <w:p w14:paraId="66660DBB" w14:textId="7F76D2B5" w:rsidR="00386804" w:rsidRPr="00386804" w:rsidRDefault="00386804" w:rsidP="00FA5A28">
            <w:r w:rsidRPr="00386804">
              <w:t>Partially met</w:t>
            </w:r>
            <w:r w:rsidR="008D6C3A">
              <w:t>.</w:t>
            </w:r>
            <w:r w:rsidRPr="00386804">
              <w:t xml:space="preserve"> Despite a concerted effort by </w:t>
            </w:r>
            <w:r w:rsidR="009041F6">
              <w:t xml:space="preserve">Mott </w:t>
            </w:r>
            <w:r w:rsidR="009041F6">
              <w:lastRenderedPageBreak/>
              <w:t>MacDonald</w:t>
            </w:r>
            <w:r w:rsidRPr="00386804">
              <w:t>, COVID-19 impacted delivery and forecasting</w:t>
            </w:r>
          </w:p>
        </w:tc>
      </w:tr>
      <w:tr w:rsidR="00386804" w:rsidRPr="006414A2" w14:paraId="18FBD30D" w14:textId="77777777" w:rsidTr="00FA5A28">
        <w:tc>
          <w:tcPr>
            <w:tcW w:w="402" w:type="dxa"/>
          </w:tcPr>
          <w:p w14:paraId="7E464E06" w14:textId="77777777" w:rsidR="00386804" w:rsidRPr="00386804" w:rsidRDefault="00386804" w:rsidP="00FA5A28">
            <w:r w:rsidRPr="00386804">
              <w:lastRenderedPageBreak/>
              <w:t>3</w:t>
            </w:r>
          </w:p>
        </w:tc>
        <w:tc>
          <w:tcPr>
            <w:tcW w:w="3806" w:type="dxa"/>
          </w:tcPr>
          <w:p w14:paraId="6A2C40E0" w14:textId="77777777" w:rsidR="00386804" w:rsidRPr="00386804" w:rsidRDefault="00386804" w:rsidP="00FA5A28">
            <w:r w:rsidRPr="00386804">
              <w:t>The Fleming Fund portfolio risk register currently uses a 5 by 5 risk matrix for likelihood and impact The Global Health Security (GHS) Programme Board have just received approval for their revised risk strategy which uses a 4 by 4 risk matrix. The Fleming Fund will review the difference and consider aligning.</w:t>
            </w:r>
          </w:p>
          <w:p w14:paraId="3EC1C597" w14:textId="77777777" w:rsidR="00386804" w:rsidRPr="00386804" w:rsidRDefault="00386804" w:rsidP="00FA5A28">
            <w:r w:rsidRPr="00386804">
              <w:t>Owner: DHSC</w:t>
            </w:r>
          </w:p>
        </w:tc>
        <w:tc>
          <w:tcPr>
            <w:tcW w:w="1699" w:type="dxa"/>
          </w:tcPr>
          <w:p w14:paraId="2AC60122" w14:textId="77777777" w:rsidR="00386804" w:rsidRPr="00386804" w:rsidRDefault="00386804" w:rsidP="00FA5A28">
            <w:r w:rsidRPr="00386804">
              <w:t xml:space="preserve">Risk Management </w:t>
            </w:r>
          </w:p>
        </w:tc>
        <w:tc>
          <w:tcPr>
            <w:tcW w:w="3119" w:type="dxa"/>
          </w:tcPr>
          <w:p w14:paraId="09262F93" w14:textId="0C7E5607" w:rsidR="00386804" w:rsidRPr="00386804" w:rsidRDefault="00386804" w:rsidP="00FA5A28">
            <w:r w:rsidRPr="00386804">
              <w:t>Met</w:t>
            </w:r>
            <w:r w:rsidR="008D6C3A">
              <w:t>.</w:t>
            </w:r>
            <w:r w:rsidRPr="00386804">
              <w:t xml:space="preserve"> Following a further review, GHS Programme Board reverted to using a 5 by 5 Matrix</w:t>
            </w:r>
          </w:p>
        </w:tc>
      </w:tr>
      <w:tr w:rsidR="00386804" w:rsidRPr="006414A2" w14:paraId="4FDA1BB5" w14:textId="77777777" w:rsidTr="00FA5A28">
        <w:tc>
          <w:tcPr>
            <w:tcW w:w="402" w:type="dxa"/>
          </w:tcPr>
          <w:p w14:paraId="0FDC597D" w14:textId="77777777" w:rsidR="00386804" w:rsidRPr="00386804" w:rsidRDefault="00386804" w:rsidP="00FA5A28">
            <w:r w:rsidRPr="00386804">
              <w:t>4</w:t>
            </w:r>
          </w:p>
        </w:tc>
        <w:tc>
          <w:tcPr>
            <w:tcW w:w="3806" w:type="dxa"/>
          </w:tcPr>
          <w:p w14:paraId="1361D9FE" w14:textId="2956C958" w:rsidR="00386804" w:rsidRPr="00386804" w:rsidRDefault="00386804" w:rsidP="00FA5A28">
            <w:r w:rsidRPr="00386804">
              <w:t xml:space="preserve">Consider developing an overarching Fleming Fund </w:t>
            </w:r>
            <w:proofErr w:type="spellStart"/>
            <w:r w:rsidRPr="00386804">
              <w:t>logframe</w:t>
            </w:r>
            <w:proofErr w:type="spellEnd"/>
            <w:r w:rsidRPr="00386804">
              <w:t xml:space="preserve"> that can track progress against the revised </w:t>
            </w:r>
            <w:proofErr w:type="spellStart"/>
            <w:r w:rsidR="00A3342C">
              <w:t>ToC</w:t>
            </w:r>
            <w:proofErr w:type="spellEnd"/>
            <w:r w:rsidRPr="00386804">
              <w:t>, the revised GHS </w:t>
            </w:r>
            <w:proofErr w:type="spellStart"/>
            <w:r w:rsidR="00A3342C">
              <w:t>ToC</w:t>
            </w:r>
            <w:proofErr w:type="spellEnd"/>
            <w:r w:rsidRPr="00386804">
              <w:t xml:space="preserve"> (pending), and which can crucially measure contribution to outcomes. This may have to </w:t>
            </w:r>
            <w:proofErr w:type="gramStart"/>
            <w:r w:rsidRPr="00386804">
              <w:t>be something that is</w:t>
            </w:r>
            <w:proofErr w:type="gramEnd"/>
            <w:r w:rsidRPr="00386804">
              <w:t xml:space="preserve"> developed for a future Phase II of the programme.</w:t>
            </w:r>
          </w:p>
          <w:p w14:paraId="2BF4A6FD" w14:textId="7C391379" w:rsidR="00386804" w:rsidRPr="00386804" w:rsidRDefault="00386804" w:rsidP="00FA5A28">
            <w:r w:rsidRPr="00386804">
              <w:t>Owner: DHSC + M</w:t>
            </w:r>
            <w:r w:rsidR="008D6C3A">
              <w:t xml:space="preserve">ott </w:t>
            </w:r>
            <w:r w:rsidR="009041F6">
              <w:t>M</w:t>
            </w:r>
            <w:r w:rsidR="008D6C3A">
              <w:t>acDonald</w:t>
            </w:r>
            <w:r w:rsidRPr="00386804">
              <w:t xml:space="preserve"> + </w:t>
            </w:r>
            <w:proofErr w:type="spellStart"/>
            <w:r w:rsidRPr="00386804">
              <w:t>Itad</w:t>
            </w:r>
            <w:proofErr w:type="spellEnd"/>
          </w:p>
        </w:tc>
        <w:tc>
          <w:tcPr>
            <w:tcW w:w="1699" w:type="dxa"/>
            <w:tcBorders>
              <w:bottom w:val="single" w:sz="4" w:space="0" w:color="auto"/>
            </w:tcBorders>
          </w:tcPr>
          <w:p w14:paraId="63B6F6D9" w14:textId="0176EAC5" w:rsidR="00386804" w:rsidRPr="00386804" w:rsidRDefault="00A3342C" w:rsidP="00FA5A28">
            <w:proofErr w:type="spellStart"/>
            <w:r>
              <w:t>ToC</w:t>
            </w:r>
            <w:proofErr w:type="spellEnd"/>
          </w:p>
          <w:p w14:paraId="7D28D2D9" w14:textId="77777777" w:rsidR="00386804" w:rsidRPr="00386804" w:rsidRDefault="00386804" w:rsidP="00386804"/>
        </w:tc>
        <w:tc>
          <w:tcPr>
            <w:tcW w:w="3119" w:type="dxa"/>
            <w:tcBorders>
              <w:bottom w:val="single" w:sz="4" w:space="0" w:color="auto"/>
            </w:tcBorders>
          </w:tcPr>
          <w:p w14:paraId="222DBDE1" w14:textId="77777777" w:rsidR="00386804" w:rsidRPr="00386804" w:rsidRDefault="00386804" w:rsidP="00FA5A28">
            <w:r w:rsidRPr="00386804">
              <w:t>Not met. Given the complexity of the programme and varied stages the different projects are at, it was always the intention to develop a portfolio wide </w:t>
            </w:r>
            <w:proofErr w:type="spellStart"/>
            <w:r w:rsidRPr="00386804">
              <w:t>logframe</w:t>
            </w:r>
            <w:proofErr w:type="spellEnd"/>
            <w:r w:rsidRPr="00386804">
              <w:t> at the point of a Phase II. However, preparation for a phase II was postponed to 2021.</w:t>
            </w:r>
          </w:p>
        </w:tc>
      </w:tr>
      <w:tr w:rsidR="00386804" w:rsidRPr="006414A2" w14:paraId="5E8D6923" w14:textId="77777777" w:rsidTr="00386804">
        <w:trPr>
          <w:trHeight w:val="3365"/>
        </w:trPr>
        <w:tc>
          <w:tcPr>
            <w:tcW w:w="402" w:type="dxa"/>
            <w:tcBorders>
              <w:bottom w:val="single" w:sz="4" w:space="0" w:color="auto"/>
            </w:tcBorders>
          </w:tcPr>
          <w:p w14:paraId="7D65C6B7" w14:textId="77777777" w:rsidR="00386804" w:rsidRPr="00386804" w:rsidRDefault="00386804" w:rsidP="00FA5A28">
            <w:r w:rsidRPr="00386804">
              <w:t>5</w:t>
            </w:r>
          </w:p>
          <w:p w14:paraId="44856420" w14:textId="77777777" w:rsidR="00386804" w:rsidRPr="00386804" w:rsidRDefault="00386804" w:rsidP="00FA5A28"/>
          <w:p w14:paraId="4C5EED07" w14:textId="77777777" w:rsidR="00386804" w:rsidRPr="00386804" w:rsidRDefault="00386804" w:rsidP="00FA5A28"/>
          <w:p w14:paraId="70B7F15E" w14:textId="77777777" w:rsidR="00386804" w:rsidRPr="00386804" w:rsidRDefault="00386804" w:rsidP="00FA5A28"/>
          <w:p w14:paraId="5BB39C75" w14:textId="77777777" w:rsidR="00386804" w:rsidRPr="00386804" w:rsidRDefault="00386804" w:rsidP="00FA5A28"/>
          <w:p w14:paraId="14861158" w14:textId="77777777" w:rsidR="00386804" w:rsidRPr="00386804" w:rsidRDefault="00386804" w:rsidP="00FA5A28"/>
          <w:p w14:paraId="76541277" w14:textId="77777777" w:rsidR="00386804" w:rsidRPr="00386804" w:rsidRDefault="00386804" w:rsidP="00FA5A28"/>
          <w:p w14:paraId="12555399" w14:textId="77777777" w:rsidR="00386804" w:rsidRPr="00386804" w:rsidRDefault="00386804" w:rsidP="00FA5A28"/>
          <w:p w14:paraId="6E74CB81" w14:textId="77777777" w:rsidR="00386804" w:rsidRPr="00386804" w:rsidRDefault="00386804" w:rsidP="00FA5A28"/>
          <w:p w14:paraId="11AFF32D" w14:textId="77777777" w:rsidR="00386804" w:rsidRPr="00386804" w:rsidRDefault="00386804" w:rsidP="00FA5A28"/>
          <w:p w14:paraId="2610BAA0" w14:textId="77777777" w:rsidR="00386804" w:rsidRPr="00386804" w:rsidRDefault="00386804" w:rsidP="00FA5A28"/>
          <w:p w14:paraId="6C705EEA" w14:textId="0C762BBB" w:rsidR="00386804" w:rsidRPr="00386804" w:rsidRDefault="00386804" w:rsidP="00386804"/>
        </w:tc>
        <w:tc>
          <w:tcPr>
            <w:tcW w:w="3806" w:type="dxa"/>
            <w:tcBorders>
              <w:bottom w:val="single" w:sz="4" w:space="0" w:color="auto"/>
            </w:tcBorders>
          </w:tcPr>
          <w:p w14:paraId="2DF634AA" w14:textId="77777777" w:rsidR="00386804" w:rsidRPr="00386804" w:rsidRDefault="00386804" w:rsidP="00FA5A28">
            <w:r w:rsidRPr="00386804">
              <w:t>Commission Softwire to update the Fleming Fund website and fix programming issues to ensure more information is available to key country stakeholders including the original request for proposals, country one-pagers, and map of sites supported.</w:t>
            </w:r>
          </w:p>
          <w:p w14:paraId="594F28C3" w14:textId="77777777" w:rsidR="00386804" w:rsidRPr="00386804" w:rsidRDefault="00386804" w:rsidP="00FA5A28"/>
          <w:p w14:paraId="4CDB93DC" w14:textId="77777777" w:rsidR="00386804" w:rsidRPr="00386804" w:rsidRDefault="00386804" w:rsidP="00FA5A28"/>
          <w:p w14:paraId="1EC442A7" w14:textId="77777777" w:rsidR="00386804" w:rsidRPr="00386804" w:rsidRDefault="00386804" w:rsidP="00FA5A28"/>
          <w:p w14:paraId="5C6D0A2C" w14:textId="7CD7ED0C" w:rsidR="00386804" w:rsidRPr="00386804" w:rsidRDefault="00386804" w:rsidP="00386804"/>
        </w:tc>
        <w:tc>
          <w:tcPr>
            <w:tcW w:w="1699" w:type="dxa"/>
            <w:tcBorders>
              <w:bottom w:val="single" w:sz="4" w:space="0" w:color="auto"/>
            </w:tcBorders>
          </w:tcPr>
          <w:p w14:paraId="5E2C279A" w14:textId="77777777" w:rsidR="00386804" w:rsidRPr="00386804" w:rsidRDefault="00386804" w:rsidP="00FA5A28">
            <w:r w:rsidRPr="00386804">
              <w:t xml:space="preserve">External Engagement </w:t>
            </w:r>
          </w:p>
          <w:p w14:paraId="5EF8352E" w14:textId="77777777" w:rsidR="00386804" w:rsidRPr="00386804" w:rsidRDefault="00386804" w:rsidP="00FA5A28"/>
          <w:p w14:paraId="731D17AD" w14:textId="77777777" w:rsidR="00386804" w:rsidRPr="00386804" w:rsidRDefault="00386804" w:rsidP="00FA5A28"/>
          <w:p w14:paraId="3E222C41" w14:textId="77777777" w:rsidR="00386804" w:rsidRPr="00386804" w:rsidRDefault="00386804" w:rsidP="00FA5A28"/>
          <w:p w14:paraId="40087C60" w14:textId="77777777" w:rsidR="00386804" w:rsidRPr="00386804" w:rsidRDefault="00386804" w:rsidP="00FA5A28"/>
          <w:p w14:paraId="209842A6" w14:textId="77777777" w:rsidR="00386804" w:rsidRPr="00386804" w:rsidRDefault="00386804" w:rsidP="00FA5A28"/>
          <w:p w14:paraId="0C4190A2" w14:textId="77777777" w:rsidR="00386804" w:rsidRPr="00386804" w:rsidRDefault="00386804" w:rsidP="00FA5A28"/>
          <w:p w14:paraId="4A563E6A" w14:textId="77777777" w:rsidR="00386804" w:rsidRPr="00386804" w:rsidRDefault="00386804" w:rsidP="00FA5A28"/>
          <w:p w14:paraId="69A53EC0" w14:textId="77777777" w:rsidR="00386804" w:rsidRPr="00386804" w:rsidRDefault="00386804" w:rsidP="00FA5A28"/>
          <w:p w14:paraId="03652837" w14:textId="77777777" w:rsidR="00386804" w:rsidRPr="00386804" w:rsidRDefault="00386804" w:rsidP="00FA5A28"/>
          <w:p w14:paraId="3F49059B" w14:textId="09A48735" w:rsidR="00386804" w:rsidRPr="00386804" w:rsidRDefault="00386804" w:rsidP="00386804"/>
        </w:tc>
        <w:tc>
          <w:tcPr>
            <w:tcW w:w="3119" w:type="dxa"/>
            <w:tcBorders>
              <w:bottom w:val="single" w:sz="4" w:space="0" w:color="auto"/>
            </w:tcBorders>
          </w:tcPr>
          <w:p w14:paraId="1337CBAD" w14:textId="4A194B14" w:rsidR="00386804" w:rsidRPr="00386804" w:rsidRDefault="00386804" w:rsidP="00FA5A28">
            <w:r w:rsidRPr="00386804">
              <w:t>Partially met</w:t>
            </w:r>
            <w:r w:rsidR="008D6C3A">
              <w:t>.</w:t>
            </w:r>
            <w:r w:rsidRPr="00386804">
              <w:t xml:space="preserve"> development work has been carried out on the website to ensure information about the programme is communicated effectively. Some specific actions included in this recommendation are still outstanding but are scheduled to be completed in Q1 2021.</w:t>
            </w:r>
          </w:p>
        </w:tc>
      </w:tr>
      <w:tr w:rsidR="00386804" w:rsidRPr="006414A2" w14:paraId="4231390E" w14:textId="77777777" w:rsidTr="00386804">
        <w:trPr>
          <w:trHeight w:val="1319"/>
        </w:trPr>
        <w:tc>
          <w:tcPr>
            <w:tcW w:w="402" w:type="dxa"/>
            <w:tcBorders>
              <w:top w:val="single" w:sz="4" w:space="0" w:color="auto"/>
            </w:tcBorders>
          </w:tcPr>
          <w:p w14:paraId="35CB9BE3" w14:textId="5EB1F3AC" w:rsidR="00386804" w:rsidRPr="00386804" w:rsidRDefault="00386804" w:rsidP="00FA5A28">
            <w:r w:rsidRPr="00386804">
              <w:t>6</w:t>
            </w:r>
          </w:p>
        </w:tc>
        <w:tc>
          <w:tcPr>
            <w:tcW w:w="3806" w:type="dxa"/>
            <w:tcBorders>
              <w:top w:val="single" w:sz="4" w:space="0" w:color="auto"/>
            </w:tcBorders>
          </w:tcPr>
          <w:p w14:paraId="444E732C" w14:textId="77777777" w:rsidR="00386804" w:rsidRPr="00386804" w:rsidRDefault="00386804" w:rsidP="00FA5A28">
            <w:r w:rsidRPr="00386804">
              <w:t>Host 2020 Delivery Partners Meeting in Africa, building on the feedback from partners at the Laos event.</w:t>
            </w:r>
          </w:p>
          <w:p w14:paraId="5F282B6E" w14:textId="10A53B86" w:rsidR="00386804" w:rsidRPr="00386804" w:rsidRDefault="00386804" w:rsidP="00FA5A28">
            <w:r w:rsidRPr="00386804">
              <w:t>Owner: DHSC</w:t>
            </w:r>
          </w:p>
        </w:tc>
        <w:tc>
          <w:tcPr>
            <w:tcW w:w="1699" w:type="dxa"/>
            <w:tcBorders>
              <w:top w:val="single" w:sz="4" w:space="0" w:color="auto"/>
            </w:tcBorders>
          </w:tcPr>
          <w:p w14:paraId="2316FE3E" w14:textId="3F40CE4C" w:rsidR="00386804" w:rsidRPr="00386804" w:rsidRDefault="00386804" w:rsidP="00FA5A28">
            <w:r w:rsidRPr="00386804">
              <w:t>External Engagement</w:t>
            </w:r>
          </w:p>
        </w:tc>
        <w:tc>
          <w:tcPr>
            <w:tcW w:w="3119" w:type="dxa"/>
            <w:tcBorders>
              <w:top w:val="single" w:sz="4" w:space="0" w:color="auto"/>
              <w:bottom w:val="single" w:sz="4" w:space="0" w:color="auto"/>
            </w:tcBorders>
          </w:tcPr>
          <w:p w14:paraId="5D2F1488" w14:textId="4889C5E8" w:rsidR="00386804" w:rsidRPr="00386804" w:rsidRDefault="00DD3057" w:rsidP="00FA5A28">
            <w:r>
              <w:t xml:space="preserve">Partially met. </w:t>
            </w:r>
            <w:r w:rsidR="00386804" w:rsidRPr="00386804">
              <w:t xml:space="preserve">Due to the COVID-19 pandemic, it was not possible to host the Delivery Partners Event in person. Instead, a successful virtual event was held in in October </w:t>
            </w:r>
            <w:r w:rsidR="00386804" w:rsidRPr="00386804">
              <w:lastRenderedPageBreak/>
              <w:t>2020.</w:t>
            </w:r>
          </w:p>
          <w:p w14:paraId="44245DD9" w14:textId="77777777" w:rsidR="00386804" w:rsidRPr="00386804" w:rsidRDefault="00386804" w:rsidP="00386804"/>
        </w:tc>
      </w:tr>
      <w:tr w:rsidR="00386804" w:rsidRPr="006414A2" w14:paraId="197BF904" w14:textId="77777777" w:rsidTr="00FA5A28">
        <w:trPr>
          <w:trHeight w:val="3605"/>
        </w:trPr>
        <w:tc>
          <w:tcPr>
            <w:tcW w:w="402" w:type="dxa"/>
            <w:tcBorders>
              <w:bottom w:val="single" w:sz="4" w:space="0" w:color="auto"/>
            </w:tcBorders>
          </w:tcPr>
          <w:p w14:paraId="720753E1" w14:textId="77777777" w:rsidR="00386804" w:rsidRPr="00386804" w:rsidRDefault="00386804" w:rsidP="00FA5A28">
            <w:r w:rsidRPr="00386804">
              <w:lastRenderedPageBreak/>
              <w:t>7</w:t>
            </w:r>
          </w:p>
        </w:tc>
        <w:tc>
          <w:tcPr>
            <w:tcW w:w="3806" w:type="dxa"/>
            <w:tcBorders>
              <w:bottom w:val="single" w:sz="4" w:space="0" w:color="auto"/>
            </w:tcBorders>
          </w:tcPr>
          <w:p w14:paraId="1E29DBB9" w14:textId="77777777" w:rsidR="00386804" w:rsidRPr="00386804" w:rsidRDefault="00386804" w:rsidP="00FA5A28">
            <w:r w:rsidRPr="00386804">
              <w:t xml:space="preserve">There are clear mechanisms in place to identify and review high management and overhead (M&amp;OH) costs. Indirect costs should also be closely reviewed as part of the rollout of the second-round country grants – with a </w:t>
            </w:r>
            <w:proofErr w:type="gramStart"/>
            <w:r w:rsidRPr="00386804">
              <w:t>particular focus</w:t>
            </w:r>
            <w:proofErr w:type="gramEnd"/>
            <w:r w:rsidRPr="00386804">
              <w:t xml:space="preserve"> on those grantees which are outliers and have multiple grants where economies of scale can possibly be sought.</w:t>
            </w:r>
          </w:p>
          <w:p w14:paraId="46DEFAC9" w14:textId="382641E1" w:rsidR="00386804" w:rsidRPr="00386804" w:rsidRDefault="00386804" w:rsidP="00FA5A28">
            <w:r w:rsidRPr="00386804">
              <w:t>Owner: DHSC + M</w:t>
            </w:r>
            <w:r w:rsidR="009041F6">
              <w:t>M</w:t>
            </w:r>
          </w:p>
        </w:tc>
        <w:tc>
          <w:tcPr>
            <w:tcW w:w="1699" w:type="dxa"/>
            <w:tcBorders>
              <w:bottom w:val="single" w:sz="4" w:space="0" w:color="auto"/>
              <w:right w:val="single" w:sz="4" w:space="0" w:color="auto"/>
            </w:tcBorders>
          </w:tcPr>
          <w:p w14:paraId="7347BBCC" w14:textId="174C9794" w:rsidR="00386804" w:rsidRPr="00386804" w:rsidRDefault="00386804" w:rsidP="00FA5A28">
            <w:r w:rsidRPr="00386804">
              <w:t xml:space="preserve">VFM </w:t>
            </w:r>
          </w:p>
          <w:p w14:paraId="21FC6597" w14:textId="77777777" w:rsidR="00386804" w:rsidRPr="00386804" w:rsidRDefault="00386804" w:rsidP="00386804"/>
        </w:tc>
        <w:tc>
          <w:tcPr>
            <w:tcW w:w="3119" w:type="dxa"/>
            <w:tcBorders>
              <w:top w:val="single" w:sz="4" w:space="0" w:color="auto"/>
              <w:left w:val="single" w:sz="4" w:space="0" w:color="auto"/>
              <w:bottom w:val="single" w:sz="4" w:space="0" w:color="auto"/>
            </w:tcBorders>
          </w:tcPr>
          <w:p w14:paraId="6AD21BA8" w14:textId="705FD26B" w:rsidR="00386804" w:rsidRPr="00386804" w:rsidRDefault="00386804" w:rsidP="00FA5A28">
            <w:r w:rsidRPr="00386804">
              <w:t xml:space="preserve">Partially met. The Review has been extended to all Delivery Partners and grantees. </w:t>
            </w:r>
            <w:r w:rsidR="00A3342C">
              <w:t>The o</w:t>
            </w:r>
            <w:r w:rsidRPr="00386804">
              <w:t>pportunity to renegotiate M&amp;OH costs was not available in 2020 for the most part.</w:t>
            </w:r>
          </w:p>
        </w:tc>
      </w:tr>
      <w:tr w:rsidR="00386804" w:rsidRPr="006414A2" w14:paraId="52533681" w14:textId="77777777" w:rsidTr="00FA5A28">
        <w:trPr>
          <w:trHeight w:val="2713"/>
        </w:trPr>
        <w:tc>
          <w:tcPr>
            <w:tcW w:w="402" w:type="dxa"/>
            <w:tcBorders>
              <w:top w:val="single" w:sz="4" w:space="0" w:color="auto"/>
              <w:bottom w:val="single" w:sz="4" w:space="0" w:color="auto"/>
            </w:tcBorders>
          </w:tcPr>
          <w:p w14:paraId="440CC108" w14:textId="77777777" w:rsidR="00386804" w:rsidRPr="00386804" w:rsidRDefault="00386804" w:rsidP="00FA5A28">
            <w:r w:rsidRPr="00386804">
              <w:t>8</w:t>
            </w:r>
          </w:p>
        </w:tc>
        <w:tc>
          <w:tcPr>
            <w:tcW w:w="3806" w:type="dxa"/>
            <w:tcBorders>
              <w:top w:val="single" w:sz="4" w:space="0" w:color="auto"/>
              <w:bottom w:val="single" w:sz="4" w:space="0" w:color="auto"/>
            </w:tcBorders>
          </w:tcPr>
          <w:p w14:paraId="38561AAF" w14:textId="77777777" w:rsidR="00386804" w:rsidRPr="00386804" w:rsidRDefault="00386804" w:rsidP="00FA5A28">
            <w:r w:rsidRPr="00386804">
              <w:t>Consideration should be given as to the mechanisms available for gathering metadata, that will help identify the extent to which surveillance data is being appropriately collected from all groups (socio-economic, geographic and gender), reflective of the burden of AMR. Owner: DHSC</w:t>
            </w:r>
          </w:p>
          <w:p w14:paraId="5A4A900D" w14:textId="77777777" w:rsidR="00386804" w:rsidRPr="00386804" w:rsidRDefault="00386804" w:rsidP="00386804"/>
        </w:tc>
        <w:tc>
          <w:tcPr>
            <w:tcW w:w="1699" w:type="dxa"/>
            <w:tcBorders>
              <w:top w:val="single" w:sz="4" w:space="0" w:color="auto"/>
              <w:bottom w:val="single" w:sz="4" w:space="0" w:color="auto"/>
              <w:right w:val="single" w:sz="4" w:space="0" w:color="auto"/>
            </w:tcBorders>
          </w:tcPr>
          <w:p w14:paraId="798532D0" w14:textId="77777777" w:rsidR="00386804" w:rsidRPr="00386804" w:rsidRDefault="00386804" w:rsidP="00FA5A28">
            <w:r w:rsidRPr="00386804">
              <w:t>VFM</w:t>
            </w:r>
          </w:p>
        </w:tc>
        <w:tc>
          <w:tcPr>
            <w:tcW w:w="3119" w:type="dxa"/>
            <w:tcBorders>
              <w:top w:val="single" w:sz="4" w:space="0" w:color="auto"/>
              <w:left w:val="single" w:sz="4" w:space="0" w:color="auto"/>
              <w:bottom w:val="single" w:sz="4" w:space="0" w:color="auto"/>
            </w:tcBorders>
          </w:tcPr>
          <w:p w14:paraId="05FB4B94" w14:textId="77777777" w:rsidR="00386804" w:rsidRPr="00386804" w:rsidRDefault="00386804" w:rsidP="00FA5A28">
            <w:r w:rsidRPr="00386804">
              <w:t>Met. A full report has been produced</w:t>
            </w:r>
          </w:p>
          <w:p w14:paraId="148F238B" w14:textId="77777777" w:rsidR="00386804" w:rsidRPr="00386804" w:rsidRDefault="00386804" w:rsidP="00386804"/>
        </w:tc>
      </w:tr>
      <w:tr w:rsidR="00386804" w:rsidRPr="006414A2" w14:paraId="3C1707DE" w14:textId="77777777" w:rsidTr="00FA5A28">
        <w:trPr>
          <w:trHeight w:val="3425"/>
        </w:trPr>
        <w:tc>
          <w:tcPr>
            <w:tcW w:w="402" w:type="dxa"/>
            <w:tcBorders>
              <w:top w:val="single" w:sz="4" w:space="0" w:color="auto"/>
              <w:bottom w:val="single" w:sz="4" w:space="0" w:color="auto"/>
            </w:tcBorders>
          </w:tcPr>
          <w:p w14:paraId="5D5ED6BE" w14:textId="77777777" w:rsidR="00386804" w:rsidRPr="00386804" w:rsidRDefault="00386804" w:rsidP="00FA5A28">
            <w:r w:rsidRPr="00386804">
              <w:t>9</w:t>
            </w:r>
          </w:p>
        </w:tc>
        <w:tc>
          <w:tcPr>
            <w:tcW w:w="3806" w:type="dxa"/>
            <w:tcBorders>
              <w:top w:val="single" w:sz="4" w:space="0" w:color="auto"/>
              <w:bottom w:val="single" w:sz="4" w:space="0" w:color="auto"/>
            </w:tcBorders>
          </w:tcPr>
          <w:p w14:paraId="1A6115BC" w14:textId="77777777" w:rsidR="00386804" w:rsidRPr="00386804" w:rsidRDefault="00386804" w:rsidP="00FA5A28">
            <w:r w:rsidRPr="00386804">
              <w:t>That clear statement on Equity in the Fleming Fund is developed, this would be underpinned by overarching objectives, to which grantees can work towards. It would help in setting out how benefits from investments can be equitably distributed during Phase II, which is when the programme will be much closer toward delivering health outcomes. Owner: DHSC</w:t>
            </w:r>
          </w:p>
          <w:p w14:paraId="198B978E" w14:textId="77777777" w:rsidR="00386804" w:rsidRPr="00386804" w:rsidRDefault="00386804" w:rsidP="00386804"/>
        </w:tc>
        <w:tc>
          <w:tcPr>
            <w:tcW w:w="1699" w:type="dxa"/>
            <w:tcBorders>
              <w:top w:val="single" w:sz="4" w:space="0" w:color="auto"/>
              <w:bottom w:val="single" w:sz="4" w:space="0" w:color="auto"/>
              <w:right w:val="single" w:sz="4" w:space="0" w:color="auto"/>
            </w:tcBorders>
          </w:tcPr>
          <w:p w14:paraId="1B41D64A" w14:textId="77777777" w:rsidR="00386804" w:rsidRPr="00386804" w:rsidRDefault="00386804" w:rsidP="00FA5A28">
            <w:r w:rsidRPr="00386804">
              <w:t>VFM</w:t>
            </w:r>
          </w:p>
        </w:tc>
        <w:tc>
          <w:tcPr>
            <w:tcW w:w="3119" w:type="dxa"/>
            <w:tcBorders>
              <w:top w:val="single" w:sz="4" w:space="0" w:color="auto"/>
              <w:left w:val="single" w:sz="4" w:space="0" w:color="auto"/>
              <w:bottom w:val="single" w:sz="4" w:space="0" w:color="auto"/>
            </w:tcBorders>
          </w:tcPr>
          <w:p w14:paraId="47C69519" w14:textId="68A58F56" w:rsidR="00386804" w:rsidRPr="00386804" w:rsidRDefault="00386804" w:rsidP="00FA5A28">
            <w:r w:rsidRPr="00386804">
              <w:t xml:space="preserve">Not met. This recommendation was not taken forward in 2020 due to wider priorities, including adaptation and flexing to COVID-19. This recommendation will be taken forwards as part of </w:t>
            </w:r>
            <w:r w:rsidR="00A3342C">
              <w:t>P</w:t>
            </w:r>
            <w:r w:rsidRPr="00386804">
              <w:t xml:space="preserve">hase II design. </w:t>
            </w:r>
          </w:p>
          <w:p w14:paraId="2852AD1C" w14:textId="77777777" w:rsidR="00386804" w:rsidRPr="00386804" w:rsidRDefault="00386804" w:rsidP="00FA5A28"/>
          <w:p w14:paraId="06C7DA86" w14:textId="77777777" w:rsidR="00386804" w:rsidRPr="00386804" w:rsidRDefault="00386804" w:rsidP="00386804"/>
        </w:tc>
      </w:tr>
      <w:tr w:rsidR="00386804" w:rsidRPr="006414A2" w14:paraId="4EA0BFEA" w14:textId="77777777" w:rsidTr="00FA5A28">
        <w:trPr>
          <w:trHeight w:val="3427"/>
        </w:trPr>
        <w:tc>
          <w:tcPr>
            <w:tcW w:w="402" w:type="dxa"/>
            <w:tcBorders>
              <w:top w:val="single" w:sz="4" w:space="0" w:color="auto"/>
              <w:bottom w:val="single" w:sz="4" w:space="0" w:color="auto"/>
            </w:tcBorders>
          </w:tcPr>
          <w:p w14:paraId="5A95AA89" w14:textId="77777777" w:rsidR="00386804" w:rsidRPr="00386804" w:rsidRDefault="00386804" w:rsidP="00FA5A28">
            <w:r w:rsidRPr="00386804">
              <w:lastRenderedPageBreak/>
              <w:t>10</w:t>
            </w:r>
          </w:p>
        </w:tc>
        <w:tc>
          <w:tcPr>
            <w:tcW w:w="3806" w:type="dxa"/>
            <w:tcBorders>
              <w:top w:val="single" w:sz="4" w:space="0" w:color="auto"/>
              <w:bottom w:val="single" w:sz="4" w:space="0" w:color="auto"/>
            </w:tcBorders>
          </w:tcPr>
          <w:p w14:paraId="3ABC3046" w14:textId="77777777" w:rsidR="00386804" w:rsidRPr="00386804" w:rsidRDefault="00386804" w:rsidP="00FA5A28">
            <w:r w:rsidRPr="00386804">
              <w:t>The Fleming Fund team should consider potential mechanisms available for capturing the extent of the Fund’s contributions toward outcomes (policy changes/health outcomes) in future Funding cycles/investments beyond the current phase. Owner: DHSC</w:t>
            </w:r>
          </w:p>
        </w:tc>
        <w:tc>
          <w:tcPr>
            <w:tcW w:w="1699" w:type="dxa"/>
            <w:tcBorders>
              <w:top w:val="single" w:sz="4" w:space="0" w:color="auto"/>
              <w:bottom w:val="single" w:sz="4" w:space="0" w:color="auto"/>
              <w:right w:val="single" w:sz="4" w:space="0" w:color="auto"/>
            </w:tcBorders>
          </w:tcPr>
          <w:p w14:paraId="6094B37C" w14:textId="77777777" w:rsidR="00386804" w:rsidRPr="00386804" w:rsidRDefault="00386804" w:rsidP="00FA5A28">
            <w:r w:rsidRPr="00386804">
              <w:t>VFM</w:t>
            </w:r>
          </w:p>
        </w:tc>
        <w:tc>
          <w:tcPr>
            <w:tcW w:w="3119" w:type="dxa"/>
            <w:tcBorders>
              <w:top w:val="single" w:sz="4" w:space="0" w:color="auto"/>
              <w:left w:val="single" w:sz="4" w:space="0" w:color="auto"/>
              <w:bottom w:val="single" w:sz="4" w:space="0" w:color="auto"/>
            </w:tcBorders>
          </w:tcPr>
          <w:p w14:paraId="43B695E1" w14:textId="7635AC08" w:rsidR="00386804" w:rsidRPr="00386804" w:rsidRDefault="00386804" w:rsidP="00FA5A28">
            <w:r w:rsidRPr="00386804">
              <w:t xml:space="preserve">Partially Met. </w:t>
            </w:r>
            <w:r w:rsidR="009041F6">
              <w:t>Mott MacDonald</w:t>
            </w:r>
            <w:r w:rsidRPr="00386804">
              <w:t xml:space="preserve">’s ongoing work implementing the </w:t>
            </w:r>
            <w:r w:rsidRPr="00386804">
              <w:rPr>
                <w:rStyle w:val="Bold"/>
              </w:rPr>
              <w:t>"Managing for Effectiveness Review"</w:t>
            </w:r>
            <w:r w:rsidR="00A3342C">
              <w:rPr>
                <w:rStyle w:val="Bold"/>
              </w:rPr>
              <w:t xml:space="preserve"> </w:t>
            </w:r>
            <w:r w:rsidRPr="00386804">
              <w:t>will provide a strong basis for achieving this objective. Phase II preparations were postponed. A full results framework, including outcome indicators, will be designed in preparation.</w:t>
            </w:r>
          </w:p>
        </w:tc>
      </w:tr>
    </w:tbl>
    <w:p w14:paraId="5ED67575" w14:textId="77777777" w:rsidR="00386804" w:rsidRDefault="00386804" w:rsidP="00386804">
      <w:pPr>
        <w:pStyle w:val="Bullet-numberedlist"/>
        <w:numPr>
          <w:ilvl w:val="0"/>
          <w:numId w:val="0"/>
        </w:numPr>
        <w:ind w:left="425" w:hanging="425"/>
      </w:pPr>
    </w:p>
    <w:p w14:paraId="1275AECE" w14:textId="5BC196C9" w:rsidR="00E90E85" w:rsidRDefault="00870C7B" w:rsidP="003412F7">
      <w:pPr>
        <w:pStyle w:val="Heading3"/>
      </w:pPr>
      <w:r>
        <w:t xml:space="preserve">Major lessons and recommendations for the year ahead </w:t>
      </w:r>
      <w:r w:rsidR="00E75DF3">
        <w:t xml:space="preserve">  </w:t>
      </w:r>
    </w:p>
    <w:p w14:paraId="4F9AF189" w14:textId="4E03D4C0" w:rsidR="003412F7" w:rsidRDefault="003412F7" w:rsidP="00D46652">
      <w:pPr>
        <w:pStyle w:val="ParagraphText-unnumbered"/>
      </w:pPr>
      <w:r w:rsidRPr="003412F7">
        <w:t>A summary of the recommendations, detailed through the text, is below</w:t>
      </w:r>
      <w:r w:rsidR="00644333">
        <w:t>. Other major lessons from the COVID-19 response are detailed in the text but have included building contingencies into plans/activities to try and mitigate against unforeseen circumstances</w:t>
      </w:r>
      <w:r w:rsidR="00AF4076">
        <w:t>,</w:t>
      </w:r>
      <w:r w:rsidR="00644333">
        <w:t xml:space="preserve"> </w:t>
      </w:r>
      <w:r w:rsidR="00AF4076">
        <w:t xml:space="preserve">shifting to remote activity, </w:t>
      </w:r>
      <w:r w:rsidR="00644333">
        <w:t>and being able to scale up/down alternative activities to utilise funding whilst continuing to meet project objectives.</w:t>
      </w:r>
    </w:p>
    <w:p w14:paraId="0405A23F" w14:textId="672DEBDA" w:rsidR="00CF1918" w:rsidRDefault="00CF1918" w:rsidP="00FA5A28"/>
    <w:tbl>
      <w:tblPr>
        <w:tblStyle w:val="DHSCtable"/>
        <w:tblW w:w="0" w:type="auto"/>
        <w:tblLook w:val="04A0" w:firstRow="1" w:lastRow="0" w:firstColumn="1" w:lastColumn="0" w:noHBand="0" w:noVBand="1"/>
      </w:tblPr>
      <w:tblGrid>
        <w:gridCol w:w="5807"/>
        <w:gridCol w:w="1559"/>
        <w:gridCol w:w="1650"/>
      </w:tblGrid>
      <w:tr w:rsidR="00CF1918" w:rsidRPr="003412F7" w14:paraId="5E645109" w14:textId="77777777" w:rsidTr="00DD3057">
        <w:trPr>
          <w:cnfStyle w:val="100000000000" w:firstRow="1" w:lastRow="0" w:firstColumn="0" w:lastColumn="0" w:oddVBand="0" w:evenVBand="0" w:oddHBand="0" w:evenHBand="0" w:firstRowFirstColumn="0" w:firstRowLastColumn="0" w:lastRowFirstColumn="0" w:lastRowLastColumn="0"/>
        </w:trPr>
        <w:tc>
          <w:tcPr>
            <w:tcW w:w="5807" w:type="dxa"/>
          </w:tcPr>
          <w:p w14:paraId="2B28977C" w14:textId="77777777" w:rsidR="00CF1918" w:rsidRPr="00CF1918" w:rsidRDefault="00CF1918" w:rsidP="00CF1918">
            <w:r w:rsidRPr="003412F7">
              <w:t>Recommendation</w:t>
            </w:r>
          </w:p>
        </w:tc>
        <w:tc>
          <w:tcPr>
            <w:tcW w:w="1559" w:type="dxa"/>
          </w:tcPr>
          <w:p w14:paraId="4F483D99" w14:textId="77777777" w:rsidR="00CF1918" w:rsidRPr="00CF1918" w:rsidRDefault="00CF1918" w:rsidP="00CF1918">
            <w:r w:rsidRPr="003412F7">
              <w:t>Owner</w:t>
            </w:r>
          </w:p>
        </w:tc>
        <w:tc>
          <w:tcPr>
            <w:tcW w:w="1650" w:type="dxa"/>
          </w:tcPr>
          <w:p w14:paraId="216FF059" w14:textId="77777777" w:rsidR="00CF1918" w:rsidRPr="00CF1918" w:rsidRDefault="00CF1918" w:rsidP="00CF1918">
            <w:r w:rsidRPr="003412F7">
              <w:t>Timeline</w:t>
            </w:r>
          </w:p>
        </w:tc>
      </w:tr>
      <w:tr w:rsidR="00CF1918" w:rsidRPr="003412F7" w14:paraId="4891A34B" w14:textId="77777777" w:rsidTr="00DD3057">
        <w:tc>
          <w:tcPr>
            <w:tcW w:w="5807" w:type="dxa"/>
          </w:tcPr>
          <w:p w14:paraId="015F4556" w14:textId="04159543" w:rsidR="00CF1918" w:rsidRPr="00CF1918" w:rsidRDefault="00CF1918" w:rsidP="00CF1918">
            <w:r w:rsidRPr="00F539E1">
              <w:t>Strengthen existing</w:t>
            </w:r>
            <w:r w:rsidR="00A3342C">
              <w:t xml:space="preserve"> monitoring, evaluation and learning (</w:t>
            </w:r>
            <w:r w:rsidRPr="00F539E1">
              <w:t>MEL</w:t>
            </w:r>
            <w:r w:rsidR="00A3342C">
              <w:t>)</w:t>
            </w:r>
            <w:r w:rsidRPr="00F539E1">
              <w:t xml:space="preserve"> approach and processes through developing a F</w:t>
            </w:r>
            <w:r w:rsidR="00A3342C">
              <w:t xml:space="preserve">leming </w:t>
            </w:r>
            <w:r w:rsidRPr="00F539E1">
              <w:t>F</w:t>
            </w:r>
            <w:r w:rsidR="00A3342C">
              <w:t>und</w:t>
            </w:r>
            <w:r w:rsidRPr="00F539E1">
              <w:t xml:space="preserve"> result</w:t>
            </w:r>
            <w:r w:rsidRPr="00CF1918">
              <w:t>s framework, developing a portfolio wide adaptive management workplan and setting outcome indicators for Phase II</w:t>
            </w:r>
          </w:p>
        </w:tc>
        <w:tc>
          <w:tcPr>
            <w:tcW w:w="1559" w:type="dxa"/>
          </w:tcPr>
          <w:p w14:paraId="3EF3A971" w14:textId="77777777" w:rsidR="00CF1918" w:rsidRPr="00CF1918" w:rsidRDefault="00CF1918" w:rsidP="00CF1918">
            <w:r w:rsidRPr="003412F7">
              <w:t>DHSC/</w:t>
            </w:r>
            <w:proofErr w:type="spellStart"/>
            <w:r w:rsidRPr="00CF1918">
              <w:t>Itad</w:t>
            </w:r>
            <w:proofErr w:type="spellEnd"/>
          </w:p>
        </w:tc>
        <w:tc>
          <w:tcPr>
            <w:tcW w:w="1650" w:type="dxa"/>
          </w:tcPr>
          <w:p w14:paraId="24B82C8B" w14:textId="4FC48DA1" w:rsidR="00CF1918" w:rsidRPr="00CF1918" w:rsidRDefault="00A84E7F" w:rsidP="00CF1918">
            <w:r>
              <w:t xml:space="preserve">End </w:t>
            </w:r>
            <w:r w:rsidR="00CF1918">
              <w:t>April</w:t>
            </w:r>
            <w:r w:rsidR="00CF1918" w:rsidRPr="00CF1918">
              <w:t xml:space="preserve"> 2022</w:t>
            </w:r>
          </w:p>
        </w:tc>
      </w:tr>
      <w:tr w:rsidR="00CF1918" w:rsidRPr="003412F7" w14:paraId="1179E43A" w14:textId="77777777" w:rsidTr="00DD3057">
        <w:tc>
          <w:tcPr>
            <w:tcW w:w="5807" w:type="dxa"/>
          </w:tcPr>
          <w:p w14:paraId="16324313" w14:textId="287914F3" w:rsidR="00CF1918" w:rsidRPr="00CF1918" w:rsidRDefault="00CF1918" w:rsidP="00CF1918">
            <w:r>
              <w:t>Further country visits (or equivalent), to be planned as part of the next Annual Revie</w:t>
            </w:r>
            <w:r w:rsidRPr="00CF1918">
              <w:t>w process including different F</w:t>
            </w:r>
            <w:r w:rsidR="00A3342C">
              <w:t xml:space="preserve">leming </w:t>
            </w:r>
            <w:r w:rsidRPr="00CF1918">
              <w:t>F</w:t>
            </w:r>
            <w:r w:rsidR="00A3342C">
              <w:t>und</w:t>
            </w:r>
            <w:r w:rsidRPr="00CF1918">
              <w:t xml:space="preserve"> countries and ideally more than one</w:t>
            </w:r>
          </w:p>
        </w:tc>
        <w:tc>
          <w:tcPr>
            <w:tcW w:w="1559" w:type="dxa"/>
          </w:tcPr>
          <w:p w14:paraId="2143E6AD" w14:textId="77777777" w:rsidR="00CF1918" w:rsidRPr="00CF1918" w:rsidRDefault="00CF1918" w:rsidP="00CF1918">
            <w:r>
              <w:t>DHSC</w:t>
            </w:r>
          </w:p>
        </w:tc>
        <w:tc>
          <w:tcPr>
            <w:tcW w:w="1650" w:type="dxa"/>
          </w:tcPr>
          <w:p w14:paraId="44F54C38" w14:textId="48CCF9E1" w:rsidR="00CF1918" w:rsidRPr="00CF1918" w:rsidRDefault="00BA6C7F" w:rsidP="00CF1918">
            <w:r>
              <w:t xml:space="preserve">Annual review </w:t>
            </w:r>
            <w:r w:rsidR="00CF1918">
              <w:t>202</w:t>
            </w:r>
            <w:r>
              <w:t>2</w:t>
            </w:r>
          </w:p>
        </w:tc>
      </w:tr>
      <w:tr w:rsidR="00CF1918" w:rsidRPr="003412F7" w14:paraId="292913AA" w14:textId="77777777" w:rsidTr="00DD3057">
        <w:tc>
          <w:tcPr>
            <w:tcW w:w="5807" w:type="dxa"/>
          </w:tcPr>
          <w:p w14:paraId="0C353D6B" w14:textId="77777777" w:rsidR="00CF1918" w:rsidRPr="00CF1918" w:rsidRDefault="00CF1918" w:rsidP="00CF1918">
            <w:r w:rsidRPr="003412F7">
              <w:t>Trial innovative communication methods during the launch of the Open University online modules</w:t>
            </w:r>
          </w:p>
        </w:tc>
        <w:tc>
          <w:tcPr>
            <w:tcW w:w="1559" w:type="dxa"/>
          </w:tcPr>
          <w:p w14:paraId="7181FC1F" w14:textId="6FA880DE" w:rsidR="00CF1918" w:rsidRPr="00CF1918" w:rsidRDefault="00CF1918" w:rsidP="00CF1918">
            <w:r w:rsidRPr="003412F7">
              <w:t>DHSC/M</w:t>
            </w:r>
            <w:r w:rsidR="008D6C3A">
              <w:t xml:space="preserve">ott </w:t>
            </w:r>
            <w:r w:rsidRPr="003412F7">
              <w:t>M</w:t>
            </w:r>
            <w:r w:rsidR="008D6C3A">
              <w:t>acDonald</w:t>
            </w:r>
          </w:p>
        </w:tc>
        <w:tc>
          <w:tcPr>
            <w:tcW w:w="1650" w:type="dxa"/>
          </w:tcPr>
          <w:p w14:paraId="22B231B1" w14:textId="77777777" w:rsidR="00CF1918" w:rsidRPr="00CF1918" w:rsidRDefault="00CF1918" w:rsidP="00CF1918">
            <w:r w:rsidRPr="003412F7">
              <w:t>March 2021</w:t>
            </w:r>
          </w:p>
        </w:tc>
      </w:tr>
      <w:tr w:rsidR="00CF1918" w:rsidRPr="003412F7" w14:paraId="15849A3A" w14:textId="77777777" w:rsidTr="00DD3057">
        <w:trPr>
          <w:trHeight w:val="749"/>
        </w:trPr>
        <w:tc>
          <w:tcPr>
            <w:tcW w:w="5807" w:type="dxa"/>
          </w:tcPr>
          <w:p w14:paraId="69A72D9D" w14:textId="77777777" w:rsidR="00CF1918" w:rsidRPr="00CF1918" w:rsidRDefault="00CF1918" w:rsidP="00CF1918">
            <w:r>
              <w:t>Produce clear statement on equity, with specific objectives</w:t>
            </w:r>
            <w:r w:rsidRPr="00CF1918">
              <w:t>, and review VFM tools</w:t>
            </w:r>
          </w:p>
        </w:tc>
        <w:tc>
          <w:tcPr>
            <w:tcW w:w="1559" w:type="dxa"/>
          </w:tcPr>
          <w:p w14:paraId="4D8DC483" w14:textId="77777777" w:rsidR="00CF1918" w:rsidRPr="00CF1918" w:rsidRDefault="00CF1918" w:rsidP="00CF1918">
            <w:r>
              <w:t>DHSC</w:t>
            </w:r>
          </w:p>
        </w:tc>
        <w:tc>
          <w:tcPr>
            <w:tcW w:w="1650" w:type="dxa"/>
          </w:tcPr>
          <w:p w14:paraId="52B8C5AF" w14:textId="77777777" w:rsidR="00CF1918" w:rsidRPr="00CF1918" w:rsidRDefault="00CF1918" w:rsidP="00CF1918">
            <w:r>
              <w:t>End of 2021</w:t>
            </w:r>
          </w:p>
        </w:tc>
      </w:tr>
      <w:tr w:rsidR="00CF1918" w:rsidRPr="003412F7" w14:paraId="3C92C50E" w14:textId="77777777" w:rsidTr="00DD3057">
        <w:tc>
          <w:tcPr>
            <w:tcW w:w="5807" w:type="dxa"/>
          </w:tcPr>
          <w:p w14:paraId="1B1D59C5" w14:textId="4B0BE39C" w:rsidR="00CF1918" w:rsidRPr="00CF1918" w:rsidRDefault="00CF1918" w:rsidP="00CF1918">
            <w:r w:rsidRPr="003412F7">
              <w:t>Review lessons learned and results from the F</w:t>
            </w:r>
            <w:r w:rsidR="00A3342C">
              <w:t xml:space="preserve">oundation for </w:t>
            </w:r>
            <w:r w:rsidRPr="003412F7">
              <w:t>I</w:t>
            </w:r>
            <w:r w:rsidR="00A3342C">
              <w:t xml:space="preserve">nnovative </w:t>
            </w:r>
            <w:proofErr w:type="spellStart"/>
            <w:r w:rsidR="00A3342C">
              <w:t>New</w:t>
            </w:r>
            <w:r w:rsidRPr="003412F7">
              <w:t>D</w:t>
            </w:r>
            <w:r w:rsidR="00A3342C">
              <w:t>iagnostics</w:t>
            </w:r>
            <w:proofErr w:type="spellEnd"/>
            <w:r w:rsidR="004F4F17">
              <w:t xml:space="preserve"> (FIND)</w:t>
            </w:r>
            <w:r w:rsidRPr="003412F7">
              <w:t xml:space="preserve"> grant closure and disseminate across the wider programme. Define an approach to supporting data </w:t>
            </w:r>
            <w:r w:rsidRPr="003412F7">
              <w:lastRenderedPageBreak/>
              <w:t xml:space="preserve">on substandard and falsified medicines in a </w:t>
            </w:r>
            <w:r w:rsidRPr="00CF1918">
              <w:t>Phase II.</w:t>
            </w:r>
          </w:p>
        </w:tc>
        <w:tc>
          <w:tcPr>
            <w:tcW w:w="1559" w:type="dxa"/>
          </w:tcPr>
          <w:p w14:paraId="5009A4F8" w14:textId="77777777" w:rsidR="00CF1918" w:rsidRPr="00CF1918" w:rsidRDefault="00CF1918" w:rsidP="00CF1918">
            <w:r w:rsidRPr="003412F7">
              <w:lastRenderedPageBreak/>
              <w:t>DHSC</w:t>
            </w:r>
          </w:p>
        </w:tc>
        <w:tc>
          <w:tcPr>
            <w:tcW w:w="1650" w:type="dxa"/>
          </w:tcPr>
          <w:p w14:paraId="1D0AA619" w14:textId="77777777" w:rsidR="00CF1918" w:rsidRPr="00CF1918" w:rsidRDefault="00CF1918" w:rsidP="00CF1918">
            <w:r>
              <w:t>Summer 2021</w:t>
            </w:r>
          </w:p>
        </w:tc>
      </w:tr>
      <w:tr w:rsidR="00CF1918" w:rsidRPr="003412F7" w14:paraId="6EAF8695" w14:textId="77777777" w:rsidTr="00DD3057">
        <w:tc>
          <w:tcPr>
            <w:tcW w:w="5807" w:type="dxa"/>
          </w:tcPr>
          <w:p w14:paraId="659E77DC" w14:textId="77777777" w:rsidR="00CF1918" w:rsidRPr="00CF1918" w:rsidRDefault="00CF1918" w:rsidP="00CF1918">
            <w:r w:rsidRPr="003412F7">
              <w:t>Review measures to ensure quality is mo</w:t>
            </w:r>
            <w:r w:rsidRPr="00CF1918">
              <w:t>nitored in the Fellowships scheme</w:t>
            </w:r>
          </w:p>
        </w:tc>
        <w:tc>
          <w:tcPr>
            <w:tcW w:w="1559" w:type="dxa"/>
          </w:tcPr>
          <w:p w14:paraId="0B692198" w14:textId="4384E0A9" w:rsidR="00CF1918" w:rsidRPr="00CF1918" w:rsidRDefault="00CF1918" w:rsidP="00CF1918">
            <w:r w:rsidRPr="003412F7">
              <w:t>DHSC/M</w:t>
            </w:r>
            <w:r w:rsidR="008D6C3A">
              <w:t xml:space="preserve">ott </w:t>
            </w:r>
            <w:r w:rsidRPr="003412F7">
              <w:t>M</w:t>
            </w:r>
            <w:r w:rsidR="008D6C3A">
              <w:t>acDonald</w:t>
            </w:r>
          </w:p>
        </w:tc>
        <w:tc>
          <w:tcPr>
            <w:tcW w:w="1650" w:type="dxa"/>
          </w:tcPr>
          <w:p w14:paraId="5B3A828F" w14:textId="77777777" w:rsidR="00CF1918" w:rsidRPr="00CF1918" w:rsidRDefault="00CF1918" w:rsidP="00CF1918">
            <w:r w:rsidRPr="003412F7">
              <w:t>S</w:t>
            </w:r>
            <w:r w:rsidRPr="00CF1918">
              <w:t>ummer 2021</w:t>
            </w:r>
          </w:p>
        </w:tc>
      </w:tr>
      <w:tr w:rsidR="00CF1918" w:rsidRPr="003412F7" w14:paraId="2DD83603" w14:textId="77777777" w:rsidTr="00DD3057">
        <w:tc>
          <w:tcPr>
            <w:tcW w:w="5807" w:type="dxa"/>
          </w:tcPr>
          <w:p w14:paraId="5ECAEBC7" w14:textId="492EE7C6" w:rsidR="00CF1918" w:rsidRPr="00CF1918" w:rsidRDefault="00CF1918" w:rsidP="00CF1918">
            <w:r>
              <w:t>Establish the F</w:t>
            </w:r>
            <w:r w:rsidR="00A3342C">
              <w:t xml:space="preserve">leming </w:t>
            </w:r>
            <w:r>
              <w:t>F</w:t>
            </w:r>
            <w:r w:rsidR="00A3342C">
              <w:t>und</w:t>
            </w:r>
            <w:r>
              <w:t>'s approach to</w:t>
            </w:r>
            <w:r w:rsidRPr="00CF1918">
              <w:t xml:space="preserve"> Political Economy Analysis, review current good practice, and set out plan for implementation for Phase II</w:t>
            </w:r>
          </w:p>
        </w:tc>
        <w:tc>
          <w:tcPr>
            <w:tcW w:w="1559" w:type="dxa"/>
          </w:tcPr>
          <w:p w14:paraId="29C40FA1" w14:textId="641575EA" w:rsidR="00CF1918" w:rsidRPr="00CF1918" w:rsidRDefault="00CF1918" w:rsidP="00CF1918">
            <w:r w:rsidRPr="003412F7">
              <w:t>DHSC/M</w:t>
            </w:r>
            <w:r w:rsidR="008D6C3A">
              <w:t xml:space="preserve">ott </w:t>
            </w:r>
            <w:r w:rsidRPr="003412F7">
              <w:t>M</w:t>
            </w:r>
            <w:r w:rsidR="008D6C3A">
              <w:t>acDonald</w:t>
            </w:r>
          </w:p>
        </w:tc>
        <w:tc>
          <w:tcPr>
            <w:tcW w:w="1650" w:type="dxa"/>
          </w:tcPr>
          <w:p w14:paraId="61986143" w14:textId="77777777" w:rsidR="00CF1918" w:rsidRPr="00CF1918" w:rsidRDefault="00CF1918" w:rsidP="00CF1918">
            <w:r w:rsidRPr="003412F7">
              <w:t>Winter 2021</w:t>
            </w:r>
          </w:p>
        </w:tc>
      </w:tr>
      <w:tr w:rsidR="00D5231C" w:rsidRPr="003412F7" w14:paraId="5843F401" w14:textId="77777777" w:rsidTr="00DD3057">
        <w:tc>
          <w:tcPr>
            <w:tcW w:w="5807" w:type="dxa"/>
          </w:tcPr>
          <w:p w14:paraId="3012AFA2" w14:textId="6E33D0FB" w:rsidR="00D5231C" w:rsidRDefault="009041F6" w:rsidP="00D5231C">
            <w:r>
              <w:t>Review</w:t>
            </w:r>
            <w:r w:rsidR="00D5231C" w:rsidRPr="00386804">
              <w:t xml:space="preserve"> mitigation measures to improve Mott Macdonald forecasting and financial performance.</w:t>
            </w:r>
          </w:p>
        </w:tc>
        <w:tc>
          <w:tcPr>
            <w:tcW w:w="1559" w:type="dxa"/>
          </w:tcPr>
          <w:p w14:paraId="57E8998A" w14:textId="31ECDBBD" w:rsidR="00D5231C" w:rsidRPr="003412F7" w:rsidRDefault="00D5231C" w:rsidP="00CF1918">
            <w:r w:rsidRPr="00386804">
              <w:t>DHSC + M</w:t>
            </w:r>
            <w:r w:rsidR="008D6C3A">
              <w:t xml:space="preserve">ott </w:t>
            </w:r>
            <w:r w:rsidR="009041F6">
              <w:t>M</w:t>
            </w:r>
            <w:r w:rsidR="008D6C3A">
              <w:t>acDonald</w:t>
            </w:r>
          </w:p>
        </w:tc>
        <w:tc>
          <w:tcPr>
            <w:tcW w:w="1650" w:type="dxa"/>
          </w:tcPr>
          <w:p w14:paraId="11572C1C" w14:textId="7E2568EA" w:rsidR="00D5231C" w:rsidRPr="003412F7" w:rsidRDefault="00D5231C" w:rsidP="00CF1918">
            <w:r>
              <w:t>Winter 2021</w:t>
            </w:r>
          </w:p>
        </w:tc>
      </w:tr>
    </w:tbl>
    <w:p w14:paraId="0BE9DCB0" w14:textId="63AF1F0F" w:rsidR="00870C7B" w:rsidRDefault="00870C7B" w:rsidP="00870C7B">
      <w:pPr>
        <w:pStyle w:val="Heading2"/>
      </w:pPr>
      <w:r>
        <w:t>Theory of change and progress toward outcomes</w:t>
      </w:r>
      <w:r w:rsidR="002A37DE">
        <w:t xml:space="preserve"> </w:t>
      </w:r>
    </w:p>
    <w:p w14:paraId="25C4046F" w14:textId="0EE45728" w:rsidR="00870C7B" w:rsidRDefault="004045AB" w:rsidP="00154E41">
      <w:pPr>
        <w:pStyle w:val="Heading3"/>
      </w:pPr>
      <w:r>
        <w:t>Summary of the Programme's Theory of Change</w:t>
      </w:r>
    </w:p>
    <w:p w14:paraId="737C833D" w14:textId="65406A16" w:rsidR="00784689" w:rsidRDefault="00E90E85" w:rsidP="00D46652">
      <w:pPr>
        <w:pStyle w:val="ParagraphText-unnumbered"/>
      </w:pPr>
      <w:r w:rsidRPr="00E90E85">
        <w:t xml:space="preserve">The Fleming Fund’s </w:t>
      </w:r>
      <w:proofErr w:type="spellStart"/>
      <w:r w:rsidR="00A3342C">
        <w:t>ToC</w:t>
      </w:r>
      <w:proofErr w:type="spellEnd"/>
      <w:r w:rsidRPr="00E90E85">
        <w:t xml:space="preserve"> </w:t>
      </w:r>
      <w:r w:rsidR="003412F7">
        <w:t>approach sets out</w:t>
      </w:r>
      <w:r w:rsidRPr="00E90E85">
        <w:t xml:space="preserve"> that by improving laboratory capacity</w:t>
      </w:r>
      <w:r w:rsidR="00B96FBC">
        <w:t xml:space="preserve"> for</w:t>
      </w:r>
      <w:r w:rsidR="00E716CF">
        <w:t xml:space="preserve"> </w:t>
      </w:r>
      <w:r w:rsidRPr="00E90E85">
        <w:t xml:space="preserve">diagnosis </w:t>
      </w:r>
      <w:r w:rsidR="00B96FBC">
        <w:t>of infections as well as surveillance of AMR</w:t>
      </w:r>
      <w:r w:rsidRPr="00E90E85">
        <w:t xml:space="preserve"> </w:t>
      </w:r>
      <w:r w:rsidR="00B96FBC">
        <w:t>at a country level</w:t>
      </w:r>
      <w:r w:rsidRPr="00E90E85">
        <w:t xml:space="preserve"> we will support LMICs to generate, use and share AMR data so they can optimise the use of antibiotics and reduce drug resistance. This remains valid and clear.</w:t>
      </w:r>
      <w:r w:rsidR="00CA4DC0">
        <w:t xml:space="preserve"> F</w:t>
      </w:r>
      <w:r w:rsidRPr="00E90E85">
        <w:t>ollowing implementation experience</w:t>
      </w:r>
      <w:r w:rsidR="00CA4DC0">
        <w:t>,</w:t>
      </w:r>
      <w:r w:rsidRPr="00E90E85">
        <w:t xml:space="preserve"> it is recognised that the timeline of 2022 for achieving </w:t>
      </w:r>
      <w:r w:rsidR="00BA01CF">
        <w:t xml:space="preserve">intermediate </w:t>
      </w:r>
      <w:r w:rsidRPr="00E90E85">
        <w:t>outcomes is not realistic. More time is needed to build the country</w:t>
      </w:r>
      <w:r w:rsidR="002903C5">
        <w:t>-</w:t>
      </w:r>
      <w:r w:rsidRPr="00E90E85">
        <w:t xml:space="preserve">enabling environment and achieve outputs before intermediate outcomes can be fully realised and some work is needed to ensure the </w:t>
      </w:r>
      <w:proofErr w:type="spellStart"/>
      <w:r w:rsidRPr="00E90E85">
        <w:t>ToC</w:t>
      </w:r>
      <w:proofErr w:type="spellEnd"/>
      <w:r w:rsidRPr="00E90E85">
        <w:t xml:space="preserve"> reflects the right sequencing of activities for change to take place. </w:t>
      </w:r>
      <w:r w:rsidR="00A37D3A" w:rsidRPr="00E90E85">
        <w:t xml:space="preserve">In 2020 the Fleming Fund developed a </w:t>
      </w:r>
      <w:proofErr w:type="spellStart"/>
      <w:r w:rsidR="00A37D3A" w:rsidRPr="00E90E85">
        <w:t>ToC</w:t>
      </w:r>
      <w:proofErr w:type="spellEnd"/>
      <w:r w:rsidR="00A37D3A" w:rsidRPr="00E90E85">
        <w:t xml:space="preserve"> narrative that sits under the </w:t>
      </w:r>
      <w:proofErr w:type="spellStart"/>
      <w:r w:rsidR="00A37D3A" w:rsidRPr="00E90E85">
        <w:t>ToC</w:t>
      </w:r>
      <w:proofErr w:type="spellEnd"/>
      <w:r w:rsidR="00A37D3A" w:rsidRPr="00E90E85">
        <w:t xml:space="preserve"> and encompasses the whole Fleming Fund portfolio. </w:t>
      </w:r>
    </w:p>
    <w:p w14:paraId="6FA138F1" w14:textId="74D0E39B" w:rsidR="00ED7FF0" w:rsidRDefault="00ED7FF0" w:rsidP="00D46652">
      <w:pPr>
        <w:pStyle w:val="ParagraphText-unnumbered"/>
      </w:pPr>
      <w:r w:rsidRPr="00ED7FF0">
        <w:t xml:space="preserve">Underpinning the </w:t>
      </w:r>
      <w:proofErr w:type="spellStart"/>
      <w:r w:rsidRPr="00ED7FF0">
        <w:t>ToC</w:t>
      </w:r>
      <w:proofErr w:type="spellEnd"/>
      <w:r w:rsidRPr="00ED7FF0">
        <w:t xml:space="preserve"> are the </w:t>
      </w:r>
      <w:hyperlink r:id="rId25" w:history="1">
        <w:r w:rsidRPr="00C72832">
          <w:rPr>
            <w:rStyle w:val="Hyperlink"/>
          </w:rPr>
          <w:t>Fleming Fund's core principles</w:t>
        </w:r>
      </w:hyperlink>
      <w:r w:rsidRPr="00ED7FF0">
        <w:t xml:space="preserve">, one of which is One Health. There has been some progress this year, with the piloting of the </w:t>
      </w:r>
      <w:r w:rsidR="00E13AF8" w:rsidRPr="00E13AF8">
        <w:t xml:space="preserve">Extended Spectrum Beta-Lactamase </w:t>
      </w:r>
      <w:r w:rsidR="00E13AF8">
        <w:t>(</w:t>
      </w:r>
      <w:r w:rsidR="009041F6">
        <w:t>ESBL</w:t>
      </w:r>
      <w:r w:rsidR="00E13AF8">
        <w:t>)</w:t>
      </w:r>
      <w:r w:rsidR="009041F6">
        <w:t xml:space="preserve"> </w:t>
      </w:r>
      <w:r w:rsidRPr="00ED7FF0">
        <w:t xml:space="preserve">Tricycle Protocol in six countries, which sets out a One Health approach to surveillance of E-Coli. </w:t>
      </w:r>
    </w:p>
    <w:p w14:paraId="1DDAD9BA" w14:textId="77777777" w:rsidR="00A37D3A" w:rsidRPr="00ED7FF0" w:rsidRDefault="00A37D3A" w:rsidP="00FA5A28"/>
    <w:p w14:paraId="26DB5600" w14:textId="62ADCFD3" w:rsidR="00E54A79" w:rsidRPr="00E54A79" w:rsidRDefault="00E54A79" w:rsidP="00E54A79">
      <w:pPr>
        <w:pStyle w:val="Boxedtext-greenborder"/>
        <w:rPr>
          <w:b/>
        </w:rPr>
      </w:pPr>
      <w:r w:rsidRPr="00E54A79">
        <w:rPr>
          <w:rStyle w:val="Bold"/>
        </w:rPr>
        <w:t xml:space="preserve">Combination of outputs contributing to the delivery of outcomes: Using AMR data </w:t>
      </w:r>
    </w:p>
    <w:p w14:paraId="6EC5C72D" w14:textId="6BB4A752" w:rsidR="00E54A79" w:rsidRPr="00E54A79" w:rsidRDefault="00E54A79" w:rsidP="00E54A79">
      <w:pPr>
        <w:pStyle w:val="Boxedtext-greenborder"/>
      </w:pPr>
      <w:r w:rsidRPr="00E54A79">
        <w:t xml:space="preserve">AMR data was used to avert outbreak of hospital acquired infection in Timor </w:t>
      </w:r>
      <w:proofErr w:type="spellStart"/>
      <w:r w:rsidRPr="00E54A79">
        <w:t>Leste</w:t>
      </w:r>
      <w:proofErr w:type="spellEnd"/>
      <w:r w:rsidRPr="00E54A79">
        <w:t xml:space="preserve">. </w:t>
      </w:r>
      <w:proofErr w:type="spellStart"/>
      <w:r w:rsidRPr="00E54A79">
        <w:t>Nevio</w:t>
      </w:r>
      <w:proofErr w:type="spellEnd"/>
      <w:r w:rsidRPr="00E54A79">
        <w:t xml:space="preserve"> </w:t>
      </w:r>
      <w:proofErr w:type="spellStart"/>
      <w:r w:rsidRPr="00E54A79">
        <w:t>Sarmento</w:t>
      </w:r>
      <w:proofErr w:type="spellEnd"/>
      <w:r w:rsidRPr="00E54A79">
        <w:t xml:space="preserve">, who has worked as a scientist in the Timorese health system for 10 years and now works on the Timor </w:t>
      </w:r>
      <w:proofErr w:type="spellStart"/>
      <w:r w:rsidRPr="00E54A79">
        <w:t>Leste</w:t>
      </w:r>
      <w:proofErr w:type="spellEnd"/>
      <w:r w:rsidRPr="00E54A79">
        <w:t xml:space="preserve"> Fleming Fund country grantee team, says “better communication has also had a tangible impact on patient health. For example, in one case, test results from an intensive care patient showed the presence of a multi-resistant pathogen. New equipment from the Fleming Fund helped ensure testing accuracy and confirmed the pathogen’s antibiotic resistance pattern. As a result, the hospital closed the </w:t>
      </w:r>
      <w:r w:rsidRPr="00E54A79">
        <w:lastRenderedPageBreak/>
        <w:t>intensive care ward to completely disinfect the environment, avoiding further infection transmission.”</w:t>
      </w:r>
    </w:p>
    <w:p w14:paraId="4286792A" w14:textId="66B6B581" w:rsidR="00E54A79" w:rsidRDefault="00E54A79" w:rsidP="009041F6">
      <w:pPr>
        <w:pStyle w:val="Boxedtext-greenborder"/>
      </w:pPr>
      <w:r>
        <w:t xml:space="preserve">(Source: </w:t>
      </w:r>
      <w:r w:rsidR="009041F6">
        <w:t>Mott MacDonald</w:t>
      </w:r>
      <w:r>
        <w:t xml:space="preserve"> reporting)</w:t>
      </w:r>
    </w:p>
    <w:p w14:paraId="0FF9FA9F" w14:textId="1099C98A" w:rsidR="00154E41" w:rsidRDefault="004045AB" w:rsidP="00154E41">
      <w:pPr>
        <w:pStyle w:val="Heading3"/>
      </w:pPr>
      <w:r>
        <w:t>Planned action for the year ahead</w:t>
      </w:r>
    </w:p>
    <w:p w14:paraId="53027919" w14:textId="46B98161" w:rsidR="00ED7FF0" w:rsidRDefault="00ED7FF0" w:rsidP="00D46652">
      <w:pPr>
        <w:pStyle w:val="ParagraphText-unnumbered"/>
      </w:pPr>
      <w:r>
        <w:t xml:space="preserve">The Fleming Fund is still in early stages of implementation, following a longer than anticipated inception phase. </w:t>
      </w:r>
      <w:r w:rsidR="003E4969">
        <w:t xml:space="preserve">Despite </w:t>
      </w:r>
      <w:r>
        <w:t xml:space="preserve">the relatively short period of activity, the programme is on track to contribute to expected outcomes and impact from 2022 and beyond. </w:t>
      </w:r>
    </w:p>
    <w:p w14:paraId="7118118B" w14:textId="0A6ABC76" w:rsidR="00ED7FF0" w:rsidRDefault="00ED7FF0" w:rsidP="00D46652">
      <w:pPr>
        <w:pStyle w:val="ParagraphText-unnumbered"/>
      </w:pPr>
      <w:r w:rsidRPr="00E90E85">
        <w:t xml:space="preserve">Following recommendations from the independent evaluators </w:t>
      </w:r>
      <w:r w:rsidR="009041F6">
        <w:t xml:space="preserve">in </w:t>
      </w:r>
      <w:r w:rsidRPr="00E90E85">
        <w:t xml:space="preserve">January 2020, </w:t>
      </w:r>
      <w:r w:rsidR="009041F6">
        <w:t xml:space="preserve">Mott MacDonald </w:t>
      </w:r>
      <w:r w:rsidRPr="00E90E85">
        <w:t>conducted a review to assess the programme</w:t>
      </w:r>
      <w:r>
        <w:t>'s approach to achieving its outcomes.</w:t>
      </w:r>
      <w:r w:rsidRPr="00E90E85">
        <w:t xml:space="preserve"> It found that activities are leading to Fleming Fund outputs and country outputs which is a good early indicator of progress toward </w:t>
      </w:r>
      <w:r>
        <w:t>outcomes</w:t>
      </w:r>
      <w:r w:rsidRPr="00E90E85">
        <w:t xml:space="preserve">. </w:t>
      </w:r>
    </w:p>
    <w:p w14:paraId="3BEE9B41" w14:textId="2D7F0E4F" w:rsidR="00ED7FF0" w:rsidRDefault="00ED7FF0" w:rsidP="00D46652">
      <w:pPr>
        <w:pStyle w:val="ParagraphText-unnumbered"/>
      </w:pPr>
      <w:r>
        <w:t>The programme has adapted this year to focus more on clinician engagement, critical to ensure that 'quality data is shared' and used. It has also adapted to focus on system costing, such as costing of AMR NAPs through the funding provided to the Tripartite.</w:t>
      </w:r>
      <w:r w:rsidRPr="00AB2B5F">
        <w:t xml:space="preserve"> </w:t>
      </w:r>
      <w:r>
        <w:t>The identification and subsequent action to unlock these bottlenecks has progressed the programme towards its intermediate outcomes, and outcomes in the longer term.</w:t>
      </w:r>
    </w:p>
    <w:p w14:paraId="39D7BAC3" w14:textId="27B175EB" w:rsidR="007551B0" w:rsidRDefault="00ED7FF0" w:rsidP="00D46652">
      <w:pPr>
        <w:pStyle w:val="ParagraphText-unnumbered"/>
      </w:pPr>
      <w:r w:rsidRPr="008460E2">
        <w:t xml:space="preserve">There is some </w:t>
      </w:r>
      <w:r>
        <w:t xml:space="preserve">further </w:t>
      </w:r>
      <w:r w:rsidRPr="008460E2">
        <w:t xml:space="preserve">evidence </w:t>
      </w:r>
      <w:r w:rsidR="00BB6F30">
        <w:t>of</w:t>
      </w:r>
      <w:r w:rsidRPr="008460E2">
        <w:t xml:space="preserve"> progress towards the intermediate outcomes. Data is being produced and shared at the </w:t>
      </w:r>
      <w:r w:rsidR="00C72832">
        <w:t>i</w:t>
      </w:r>
      <w:r w:rsidRPr="008460E2">
        <w:t>nternational level, but</w:t>
      </w:r>
      <w:r w:rsidR="00C72832">
        <w:t xml:space="preserve"> there is</w:t>
      </w:r>
      <w:r w:rsidRPr="008460E2">
        <w:t xml:space="preserve"> less clarity on </w:t>
      </w:r>
      <w:r w:rsidR="00C72832">
        <w:t xml:space="preserve">the </w:t>
      </w:r>
      <w:r w:rsidRPr="008460E2">
        <w:t xml:space="preserve">extent to which this is happening at </w:t>
      </w:r>
      <w:r w:rsidR="00BB6F30">
        <w:t xml:space="preserve">a </w:t>
      </w:r>
      <w:r w:rsidRPr="008460E2">
        <w:t xml:space="preserve">country level. There are some instances of fellows supporting the use and sharing of data through formal systems in Fleming Fund countries. </w:t>
      </w:r>
    </w:p>
    <w:p w14:paraId="532FEEC8" w14:textId="27855A14" w:rsidR="002333C5" w:rsidRDefault="007551B0" w:rsidP="00D46652">
      <w:pPr>
        <w:pStyle w:val="ParagraphText-unnumbered"/>
      </w:pPr>
      <w:r>
        <w:t xml:space="preserve">As part of the Annual </w:t>
      </w:r>
      <w:r w:rsidR="00C72832">
        <w:t>R</w:t>
      </w:r>
      <w:r>
        <w:t xml:space="preserve">eview, the reviewer spoke to various stakeholders as part of a case study on Pakistan. </w:t>
      </w:r>
      <w:r w:rsidRPr="00090157">
        <w:t xml:space="preserve">The benefits of the model, </w:t>
      </w:r>
      <w:r>
        <w:t xml:space="preserve">including </w:t>
      </w:r>
      <w:r w:rsidRPr="00090157">
        <w:t>capacity</w:t>
      </w:r>
      <w:r w:rsidR="00C36286">
        <w:t>-</w:t>
      </w:r>
      <w:r w:rsidRPr="00090157">
        <w:t>building through both the Fellowships and the Country Grant</w:t>
      </w:r>
      <w:r w:rsidR="00BB6F30">
        <w:t xml:space="preserve"> and</w:t>
      </w:r>
      <w:r w:rsidRPr="00090157">
        <w:t xml:space="preserve"> the grantee having the right technical expertise and the focus on the O</w:t>
      </w:r>
      <w:r w:rsidR="00C72832">
        <w:t>ne</w:t>
      </w:r>
      <w:r w:rsidRPr="00090157">
        <w:t xml:space="preserve"> </w:t>
      </w:r>
      <w:r w:rsidR="00C72832">
        <w:t>H</w:t>
      </w:r>
      <w:r w:rsidRPr="00090157">
        <w:t>ealth approach, were highlighted as strengths and this has led to the Government of Pakistan contributing additional, complementary funding towards tackling AMR in human health.</w:t>
      </w:r>
    </w:p>
    <w:p w14:paraId="46DA8192" w14:textId="556EABFC" w:rsidR="00ED7FF0" w:rsidRPr="00ED7FF0" w:rsidRDefault="00BB6F30" w:rsidP="00D46652">
      <w:pPr>
        <w:pStyle w:val="ParagraphText-unnumbered"/>
      </w:pPr>
      <w:r>
        <w:t>T</w:t>
      </w:r>
      <w:r w:rsidR="00ED7FF0" w:rsidRPr="00ED7FF0">
        <w:t>he investment is yielding substantial increases in core capabilities</w:t>
      </w:r>
      <w:r w:rsidR="00ED7FF0">
        <w:t xml:space="preserve"> (as defined by the </w:t>
      </w:r>
      <w:r w:rsidR="00ED2F45">
        <w:t>London School of Hygiene and Tropical Medicine (</w:t>
      </w:r>
      <w:hyperlink r:id="rId26" w:history="1">
        <w:r w:rsidR="00ED7FF0" w:rsidRPr="00C72832">
          <w:rPr>
            <w:rStyle w:val="Hyperlink"/>
          </w:rPr>
          <w:t>LSHTM</w:t>
        </w:r>
        <w:r w:rsidR="00ED2F45" w:rsidRPr="00C72832">
          <w:rPr>
            <w:rStyle w:val="Hyperlink"/>
          </w:rPr>
          <w:t>)</w:t>
        </w:r>
        <w:r w:rsidR="00ED7FF0" w:rsidRPr="00C72832">
          <w:rPr>
            <w:rStyle w:val="Hyperlink"/>
          </w:rPr>
          <w:t xml:space="preserve"> roadmap</w:t>
        </w:r>
      </w:hyperlink>
      <w:r w:rsidR="00ED7FF0">
        <w:t>)</w:t>
      </w:r>
      <w:r w:rsidR="00ED7FF0" w:rsidRPr="00ED7FF0">
        <w:t xml:space="preserve"> in over 140 laboratories</w:t>
      </w:r>
      <w:r>
        <w:t xml:space="preserve"> due to </w:t>
      </w:r>
      <w:r w:rsidR="008D6C3A">
        <w:t>the country partnerships in place and strong project momentum</w:t>
      </w:r>
      <w:r w:rsidR="00ED7FF0" w:rsidRPr="00ED7FF0">
        <w:t xml:space="preserve">. By the end of </w:t>
      </w:r>
      <w:proofErr w:type="gramStart"/>
      <w:r w:rsidR="00ED7FF0" w:rsidRPr="00ED7FF0">
        <w:t>March 2023</w:t>
      </w:r>
      <w:proofErr w:type="gramEnd"/>
      <w:r w:rsidR="00ED7FF0" w:rsidRPr="00ED7FF0">
        <w:t xml:space="preserve"> we would expect the majority of sites to be at core as a minimum, with 1</w:t>
      </w:r>
      <w:r w:rsidR="00C36286">
        <w:t xml:space="preserve"> to </w:t>
      </w:r>
      <w:r w:rsidR="00ED7FF0" w:rsidRPr="00ED7FF0">
        <w:t>2 sites per country achieving advanced and</w:t>
      </w:r>
      <w:r w:rsidR="008D6C3A">
        <w:t xml:space="preserve"> /</w:t>
      </w:r>
      <w:r w:rsidR="00ED7FF0" w:rsidRPr="00ED7FF0">
        <w:t xml:space="preserve"> or extended functions. This demonstrates strong prospects for delivering longer term project outcomes</w:t>
      </w:r>
      <w:r w:rsidR="00ED7FF0">
        <w:t>.</w:t>
      </w:r>
    </w:p>
    <w:p w14:paraId="47A98A9E" w14:textId="77777777" w:rsidR="00ED7FF0" w:rsidRPr="00ED7FF0" w:rsidRDefault="00ED7FF0" w:rsidP="00FA5A28"/>
    <w:p w14:paraId="464DB2E3" w14:textId="77777777" w:rsidR="00ED7FF0" w:rsidRPr="00ED7FF0" w:rsidRDefault="00ED7FF0" w:rsidP="00FA5A28"/>
    <w:p w14:paraId="2DD4871B" w14:textId="26749F09" w:rsidR="00ED7FF0" w:rsidRPr="00ED7FF0" w:rsidRDefault="00ED7FF0" w:rsidP="00FA5A28">
      <w:r w:rsidRPr="00ED7FF0">
        <w:rPr>
          <w:noProof/>
        </w:rPr>
        <w:lastRenderedPageBreak/>
        <w:drawing>
          <wp:inline distT="0" distB="0" distL="0" distR="0" wp14:anchorId="2AD4F57D" wp14:editId="49494550">
            <wp:extent cx="6120130" cy="2465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120130" cy="2465070"/>
                    </a:xfrm>
                    <a:prstGeom prst="rect">
                      <a:avLst/>
                    </a:prstGeom>
                    <a:noFill/>
                    <a:ln>
                      <a:noFill/>
                    </a:ln>
                  </pic:spPr>
                </pic:pic>
              </a:graphicData>
            </a:graphic>
          </wp:inline>
        </w:drawing>
      </w:r>
    </w:p>
    <w:p w14:paraId="48A4BA41" w14:textId="77777777" w:rsidR="00ED7FF0" w:rsidRDefault="00ED7FF0" w:rsidP="00FA5A28"/>
    <w:p w14:paraId="27C8EA38" w14:textId="77777777" w:rsidR="00ED7FF0" w:rsidRDefault="00ED7FF0" w:rsidP="00FA5A28"/>
    <w:p w14:paraId="60D6357A" w14:textId="724CA946" w:rsidR="001A1EFE" w:rsidRPr="00AB2B5F" w:rsidRDefault="00145D06" w:rsidP="00D46652">
      <w:pPr>
        <w:pStyle w:val="ParagraphText-unnumbered"/>
      </w:pPr>
      <w:r>
        <w:t>An</w:t>
      </w:r>
      <w:r w:rsidR="00784689">
        <w:t xml:space="preserve"> </w:t>
      </w:r>
      <w:r w:rsidR="007A019F">
        <w:t>historical focus on</w:t>
      </w:r>
      <w:r w:rsidR="008460E2" w:rsidRPr="008460E2">
        <w:t xml:space="preserve"> activity completion as a key measure of grant performance rather than outputs, </w:t>
      </w:r>
      <w:r>
        <w:t>has</w:t>
      </w:r>
      <w:r w:rsidR="007A019F">
        <w:t xml:space="preserve"> </w:t>
      </w:r>
      <w:r w:rsidR="008460E2" w:rsidRPr="008460E2">
        <w:t xml:space="preserve">made it difficult to monitor whether the programme was on track to achieve </w:t>
      </w:r>
      <w:r w:rsidR="004E6781">
        <w:t>against</w:t>
      </w:r>
      <w:r w:rsidR="004E6781" w:rsidRPr="008460E2">
        <w:t xml:space="preserve"> </w:t>
      </w:r>
      <w:r w:rsidR="008460E2" w:rsidRPr="008460E2">
        <w:t>outcomes</w:t>
      </w:r>
      <w:r w:rsidR="004E6781">
        <w:t xml:space="preserve"> set out in the </w:t>
      </w:r>
      <w:proofErr w:type="spellStart"/>
      <w:r w:rsidR="008D6C3A">
        <w:t>ToC</w:t>
      </w:r>
      <w:proofErr w:type="spellEnd"/>
      <w:r w:rsidR="008460E2" w:rsidRPr="008460E2">
        <w:t>. 2020 has seen some progress</w:t>
      </w:r>
      <w:r w:rsidR="004B2ABF">
        <w:t xml:space="preserve"> with </w:t>
      </w:r>
      <w:r w:rsidR="009041F6">
        <w:t>Mott MacDonald</w:t>
      </w:r>
      <w:r w:rsidR="004E6781">
        <w:t xml:space="preserve"> developing new indicators to report against in 2021, which are more at an output level.</w:t>
      </w:r>
      <w:r w:rsidR="004B2ABF">
        <w:t xml:space="preserve"> </w:t>
      </w:r>
      <w:r w:rsidR="00ED5FE6">
        <w:t xml:space="preserve">In </w:t>
      </w:r>
      <w:r w:rsidR="008460E2" w:rsidRPr="008460E2">
        <w:t xml:space="preserve">2021, there are </w:t>
      </w:r>
      <w:r w:rsidR="004E6781">
        <w:t xml:space="preserve">further </w:t>
      </w:r>
      <w:r w:rsidR="008460E2" w:rsidRPr="008460E2">
        <w:t xml:space="preserve">plans to </w:t>
      </w:r>
      <w:r w:rsidR="004E6781">
        <w:t xml:space="preserve">develop a results framework which includes impact, outcome and output indicators. </w:t>
      </w:r>
      <w:proofErr w:type="spellStart"/>
      <w:r w:rsidR="00ED7FF0" w:rsidRPr="00ED7FF0">
        <w:t>Itad</w:t>
      </w:r>
      <w:proofErr w:type="spellEnd"/>
      <w:r w:rsidR="00ED7FF0" w:rsidRPr="00ED7FF0">
        <w:t xml:space="preserve"> have been commissioned to assess how far the F</w:t>
      </w:r>
      <w:r w:rsidR="00C72832">
        <w:t xml:space="preserve">leming </w:t>
      </w:r>
      <w:r w:rsidR="00ED7FF0" w:rsidRPr="00ED7FF0">
        <w:t>F</w:t>
      </w:r>
      <w:r w:rsidR="00C72832">
        <w:t>und</w:t>
      </w:r>
      <w:r w:rsidR="00ED7FF0" w:rsidRPr="00ED7FF0">
        <w:t xml:space="preserve"> outputs will plausibly contribute to the F</w:t>
      </w:r>
      <w:r w:rsidR="00C72832">
        <w:t xml:space="preserve">leming </w:t>
      </w:r>
      <w:r w:rsidR="00ED7FF0" w:rsidRPr="00ED7FF0">
        <w:t>F</w:t>
      </w:r>
      <w:r w:rsidR="00C72832">
        <w:t>und</w:t>
      </w:r>
      <w:r w:rsidR="00ED7FF0" w:rsidRPr="00ED7FF0">
        <w:t xml:space="preserve"> outcome</w:t>
      </w:r>
      <w:r w:rsidR="00ED7FF0">
        <w:t xml:space="preserve">s and </w:t>
      </w:r>
      <w:r w:rsidR="00ED7FF0" w:rsidRPr="00ED7FF0">
        <w:t>will submit a report in Dec</w:t>
      </w:r>
      <w:r w:rsidR="007A019F">
        <w:t>ember</w:t>
      </w:r>
      <w:r w:rsidR="00ED7FF0" w:rsidRPr="00ED7FF0">
        <w:t xml:space="preserve"> 2022</w:t>
      </w:r>
      <w:r w:rsidR="00ED7FF0">
        <w:t>.</w:t>
      </w:r>
    </w:p>
    <w:p w14:paraId="2199C5CB" w14:textId="5B204A65" w:rsidR="00AB2B5F" w:rsidRPr="00AB2B5F" w:rsidRDefault="007A019F" w:rsidP="00D46652">
      <w:pPr>
        <w:pStyle w:val="ParagraphText-unnumbered"/>
      </w:pPr>
      <w:r>
        <w:t xml:space="preserve">Subject to the necessary approvals, </w:t>
      </w:r>
      <w:r w:rsidR="00AB2B5F" w:rsidRPr="00AB2B5F">
        <w:t xml:space="preserve">the team intend to shift focus to design of a </w:t>
      </w:r>
      <w:r w:rsidR="00862F45">
        <w:t>Phase</w:t>
      </w:r>
      <w:r w:rsidR="00053602">
        <w:t xml:space="preserve"> II</w:t>
      </w:r>
      <w:r w:rsidR="00AB2B5F" w:rsidRPr="00AB2B5F">
        <w:t xml:space="preserve"> of the Fleming Fund</w:t>
      </w:r>
      <w:r>
        <w:t xml:space="preserve"> over the next year</w:t>
      </w:r>
      <w:r w:rsidR="00AB2B5F" w:rsidRPr="00AB2B5F">
        <w:t xml:space="preserve">, which would adapt to promoting use of AMR surveillance data as a primary objective and thus concentrate on activities which take the programme further towards </w:t>
      </w:r>
      <w:r w:rsidR="002B561A" w:rsidRPr="00AB2B5F">
        <w:t>its</w:t>
      </w:r>
      <w:r w:rsidR="00AB2B5F" w:rsidRPr="00AB2B5F">
        <w:t xml:space="preserve"> ultimate objectives. </w:t>
      </w:r>
      <w:r w:rsidR="00C96DC4">
        <w:t xml:space="preserve">Suggestions from </w:t>
      </w:r>
      <w:proofErr w:type="spellStart"/>
      <w:r w:rsidR="009400D2">
        <w:t>I</w:t>
      </w:r>
      <w:r w:rsidR="003412F7">
        <w:t>tad</w:t>
      </w:r>
      <w:r w:rsidR="00AB2B5F" w:rsidRPr="00AB2B5F">
        <w:t>’s</w:t>
      </w:r>
      <w:proofErr w:type="spellEnd"/>
      <w:r w:rsidR="00C96DC4">
        <w:t xml:space="preserve"> </w:t>
      </w:r>
      <w:r w:rsidR="003E4969" w:rsidRPr="00F95109">
        <w:t>third formative deliverable</w:t>
      </w:r>
      <w:r w:rsidR="00AB2B5F" w:rsidRPr="00AB2B5F">
        <w:t xml:space="preserve"> are under review with </w:t>
      </w:r>
      <w:r w:rsidR="009041F6">
        <w:t>Mott McDonald</w:t>
      </w:r>
      <w:r w:rsidR="002B561A" w:rsidRPr="00AB2B5F">
        <w:t xml:space="preserve"> but</w:t>
      </w:r>
      <w:r w:rsidR="00AB2B5F" w:rsidRPr="00AB2B5F">
        <w:t xml:space="preserve"> could include a refreshed approach to </w:t>
      </w:r>
      <w:r w:rsidR="008D6C3A">
        <w:t>NAPs</w:t>
      </w:r>
      <w:r w:rsidR="00AB2B5F" w:rsidRPr="00AB2B5F">
        <w:t xml:space="preserve">, increased use of Political Economy Analysis, and a review of stakeholder engagement. </w:t>
      </w:r>
    </w:p>
    <w:p w14:paraId="2345CCB2" w14:textId="77777777" w:rsidR="00AB2B5F" w:rsidRPr="00AB2B5F" w:rsidRDefault="00AB2B5F" w:rsidP="00FA5A28"/>
    <w:p w14:paraId="47CA9B3C" w14:textId="77777777" w:rsidR="00AB2B5F" w:rsidRPr="00AB2B5F" w:rsidRDefault="00AB2B5F" w:rsidP="00FA5A28"/>
    <w:p w14:paraId="43E854AC" w14:textId="3670657C" w:rsidR="001A1EFE" w:rsidRDefault="00AB2B5F" w:rsidP="000A36BC">
      <w:pPr>
        <w:pStyle w:val="Boxedtext-greyshading"/>
      </w:pPr>
      <w:r w:rsidRPr="00380CBE">
        <w:rPr>
          <w:rStyle w:val="Bold"/>
        </w:rPr>
        <w:t>Recommendation</w:t>
      </w:r>
      <w:r w:rsidR="001A1EFE" w:rsidRPr="00380CBE">
        <w:rPr>
          <w:rStyle w:val="Bold"/>
        </w:rPr>
        <w:t>s</w:t>
      </w:r>
      <w:r w:rsidRPr="00380CBE">
        <w:rPr>
          <w:rStyle w:val="Bold"/>
        </w:rPr>
        <w:t xml:space="preserve">: </w:t>
      </w:r>
      <w:bookmarkStart w:id="1" w:name="_Hlk63688279"/>
    </w:p>
    <w:p w14:paraId="40A7D614" w14:textId="7C49057E" w:rsidR="00432E03" w:rsidRDefault="00AB2B5F" w:rsidP="000A36BC">
      <w:pPr>
        <w:pStyle w:val="Boxedtext-greyshading"/>
      </w:pPr>
      <w:r w:rsidRPr="00AB2B5F">
        <w:t xml:space="preserve">Agree stretching year 4 milestones for the monitoring matrix by end </w:t>
      </w:r>
      <w:r w:rsidR="00C96DC4">
        <w:t>May</w:t>
      </w:r>
      <w:r w:rsidRPr="00AB2B5F">
        <w:t xml:space="preserve"> 2021</w:t>
      </w:r>
      <w:bookmarkEnd w:id="1"/>
    </w:p>
    <w:p w14:paraId="3E44CB73" w14:textId="25B19B38" w:rsidR="00AB2B5F" w:rsidRPr="00AB2B5F" w:rsidRDefault="00432E03" w:rsidP="000A36BC">
      <w:pPr>
        <w:pStyle w:val="Boxedtext-greyshading"/>
      </w:pPr>
      <w:r w:rsidRPr="00432E03">
        <w:t xml:space="preserve">Develop an overarching Fleming Fund </w:t>
      </w:r>
      <w:r w:rsidR="003E4969">
        <w:t>results framework</w:t>
      </w:r>
      <w:r w:rsidR="003E4969" w:rsidRPr="00432E03">
        <w:t xml:space="preserve"> </w:t>
      </w:r>
      <w:r w:rsidRPr="00432E03">
        <w:t>that can track progress</w:t>
      </w:r>
      <w:r>
        <w:t xml:space="preserve"> on outputs and outcomes </w:t>
      </w:r>
      <w:r w:rsidRPr="00432E03">
        <w:t xml:space="preserve"> </w:t>
      </w:r>
    </w:p>
    <w:p w14:paraId="23151D42" w14:textId="299C70B6" w:rsidR="00AB2B5F" w:rsidRDefault="00AB2B5F" w:rsidP="000A36BC">
      <w:pPr>
        <w:pStyle w:val="Boxedtext-greyshading"/>
      </w:pPr>
      <w:r w:rsidRPr="00AB2B5F">
        <w:t xml:space="preserve">Review </w:t>
      </w:r>
      <w:proofErr w:type="spellStart"/>
      <w:r w:rsidRPr="00AB2B5F">
        <w:t>ToC</w:t>
      </w:r>
      <w:proofErr w:type="spellEnd"/>
      <w:r w:rsidRPr="00AB2B5F">
        <w:t xml:space="preserve"> and finalise </w:t>
      </w:r>
      <w:proofErr w:type="spellStart"/>
      <w:r w:rsidRPr="00AB2B5F">
        <w:t>ToC</w:t>
      </w:r>
      <w:proofErr w:type="spellEnd"/>
      <w:r w:rsidRPr="00AB2B5F">
        <w:t xml:space="preserve"> narrative</w:t>
      </w:r>
    </w:p>
    <w:p w14:paraId="6B4338FE" w14:textId="77777777" w:rsidR="001A1EFE" w:rsidRPr="00154E41" w:rsidRDefault="001A1EFE" w:rsidP="00FA5A28"/>
    <w:p w14:paraId="75A24029" w14:textId="14865AF4" w:rsidR="0041412F" w:rsidRPr="00154E41" w:rsidRDefault="004045AB" w:rsidP="00AB2B5F">
      <w:pPr>
        <w:pStyle w:val="Heading3"/>
      </w:pPr>
      <w:r>
        <w:lastRenderedPageBreak/>
        <w:t>2020 Monitoring Matrix</w:t>
      </w:r>
    </w:p>
    <w:p w14:paraId="3AAD0F92" w14:textId="7036AEA8" w:rsidR="00BA01CF" w:rsidRDefault="00AB2B5F" w:rsidP="00D46652">
      <w:pPr>
        <w:pStyle w:val="ParagraphText-unnumbered"/>
      </w:pPr>
      <w:r w:rsidRPr="00AB2B5F">
        <w:t>Out of the 33 output indicators from the 2019 monitoring matrix, 13 were replaced with new stretching indicators in 2020. Some of these changes were made to reflect progress into the implementation stage of the programme.</w:t>
      </w:r>
      <w:r w:rsidR="00C96DC4">
        <w:t xml:space="preserve"> Updated/new indicators are indicated in the output scoring section. </w:t>
      </w:r>
      <w:r w:rsidRPr="00AB2B5F">
        <w:t xml:space="preserve"> </w:t>
      </w:r>
    </w:p>
    <w:p w14:paraId="1E7D09A4" w14:textId="77777777" w:rsidR="00AB2B5F" w:rsidRPr="00AB2B5F" w:rsidRDefault="00AB2B5F" w:rsidP="00D46652">
      <w:pPr>
        <w:pStyle w:val="ParagraphText-unnumbered"/>
      </w:pPr>
      <w:r w:rsidRPr="00AB2B5F">
        <w:t>Given that a large proportion of the 2020 output indicators and their milestones were set to be more stretching, they cannot be compared like to like with the 2019 output indicator scores.</w:t>
      </w:r>
    </w:p>
    <w:p w14:paraId="03A7B580" w14:textId="7AF83D40" w:rsidR="0041412F" w:rsidRDefault="0041412F" w:rsidP="0041412F">
      <w:pPr>
        <w:pStyle w:val="Heading2"/>
      </w:pPr>
      <w:r>
        <w:t xml:space="preserve">Detailed output scoring </w:t>
      </w:r>
    </w:p>
    <w:p w14:paraId="269E8BF9" w14:textId="606749F8" w:rsidR="0041412F" w:rsidRDefault="0041412F" w:rsidP="00E77136">
      <w:pPr>
        <w:pStyle w:val="Heading4"/>
      </w:pPr>
      <w:r>
        <w:t>Output title: Overall Fleming Fund Programme</w:t>
      </w:r>
    </w:p>
    <w:tbl>
      <w:tblPr>
        <w:tblStyle w:val="TableGrid"/>
        <w:tblW w:w="11199" w:type="dxa"/>
        <w:tblInd w:w="-856" w:type="dxa"/>
        <w:tblBorders>
          <w:insideH w:val="none" w:sz="0" w:space="0" w:color="auto"/>
          <w:insideV w:val="none" w:sz="0" w:space="0" w:color="auto"/>
        </w:tblBorders>
        <w:tblLook w:val="04A0" w:firstRow="1" w:lastRow="0" w:firstColumn="1" w:lastColumn="0" w:noHBand="0" w:noVBand="1"/>
      </w:tblPr>
      <w:tblGrid>
        <w:gridCol w:w="1137"/>
        <w:gridCol w:w="2691"/>
        <w:gridCol w:w="1064"/>
        <w:gridCol w:w="1610"/>
        <w:gridCol w:w="1437"/>
        <w:gridCol w:w="229"/>
        <w:gridCol w:w="1614"/>
        <w:gridCol w:w="1417"/>
      </w:tblGrid>
      <w:tr w:rsidR="00507BAB" w:rsidRPr="00507BAB" w14:paraId="0698D0FA" w14:textId="77777777" w:rsidTr="00133CFB">
        <w:trPr>
          <w:trHeight w:val="711"/>
        </w:trPr>
        <w:tc>
          <w:tcPr>
            <w:tcW w:w="3828" w:type="dxa"/>
            <w:gridSpan w:val="2"/>
            <w:tcBorders>
              <w:top w:val="single" w:sz="4" w:space="0" w:color="auto"/>
              <w:bottom w:val="single" w:sz="4" w:space="0" w:color="auto"/>
              <w:right w:val="single" w:sz="4" w:space="0" w:color="auto"/>
            </w:tcBorders>
          </w:tcPr>
          <w:p w14:paraId="43CB69B7" w14:textId="6D0CEB16" w:rsidR="00507BAB" w:rsidRPr="00507BAB" w:rsidRDefault="00507BAB" w:rsidP="00FA5A28">
            <w:r w:rsidRPr="00507BAB">
              <w:t xml:space="preserve">5-point score 2020: </w:t>
            </w:r>
            <w:bookmarkStart w:id="2" w:name="_GoBack"/>
            <w:bookmarkEnd w:id="2"/>
            <w:r w:rsidRPr="00507BAB">
              <w:t>A</w:t>
            </w:r>
          </w:p>
        </w:tc>
        <w:tc>
          <w:tcPr>
            <w:tcW w:w="4111" w:type="dxa"/>
            <w:gridSpan w:val="3"/>
            <w:tcBorders>
              <w:top w:val="single" w:sz="4" w:space="0" w:color="auto"/>
              <w:left w:val="single" w:sz="4" w:space="0" w:color="auto"/>
              <w:bottom w:val="single" w:sz="4" w:space="0" w:color="auto"/>
              <w:right w:val="single" w:sz="4" w:space="0" w:color="auto"/>
            </w:tcBorders>
          </w:tcPr>
          <w:p w14:paraId="6DA363F9" w14:textId="77777777" w:rsidR="00507BAB" w:rsidRPr="00507BAB" w:rsidRDefault="00507BAB" w:rsidP="00FA5A28">
            <w:r w:rsidRPr="00507BAB">
              <w:t>5-point score 2019: A</w:t>
            </w:r>
          </w:p>
        </w:tc>
        <w:tc>
          <w:tcPr>
            <w:tcW w:w="3260" w:type="dxa"/>
            <w:gridSpan w:val="3"/>
            <w:tcBorders>
              <w:top w:val="single" w:sz="4" w:space="0" w:color="auto"/>
              <w:left w:val="single" w:sz="4" w:space="0" w:color="auto"/>
              <w:bottom w:val="single" w:sz="4" w:space="0" w:color="auto"/>
            </w:tcBorders>
          </w:tcPr>
          <w:p w14:paraId="303F4723" w14:textId="23A3941E" w:rsidR="00507BAB" w:rsidRPr="00507BAB" w:rsidRDefault="00507BAB" w:rsidP="00FA5A28">
            <w:r w:rsidRPr="00507BAB">
              <w:t>Impact weighting:</w:t>
            </w:r>
            <w:r>
              <w:t>1</w:t>
            </w:r>
            <w:r w:rsidRPr="00507BAB">
              <w:t>5%</w:t>
            </w:r>
          </w:p>
        </w:tc>
      </w:tr>
      <w:tr w:rsidR="00755076" w:rsidRPr="00D3441B" w14:paraId="05693E16" w14:textId="77777777" w:rsidTr="00755076">
        <w:tblPrEx>
          <w:tblBorders>
            <w:insideH w:val="single" w:sz="4" w:space="0" w:color="auto"/>
            <w:insideV w:val="single" w:sz="4" w:space="0" w:color="auto"/>
          </w:tblBorders>
        </w:tblPrEx>
        <w:trPr>
          <w:trHeight w:val="583"/>
        </w:trPr>
        <w:tc>
          <w:tcPr>
            <w:tcW w:w="1137" w:type="dxa"/>
            <w:tcBorders>
              <w:top w:val="single" w:sz="4" w:space="0" w:color="auto"/>
              <w:bottom w:val="single" w:sz="4" w:space="0" w:color="auto"/>
              <w:right w:val="single" w:sz="4" w:space="0" w:color="auto"/>
            </w:tcBorders>
            <w:shd w:val="clear" w:color="auto" w:fill="F2F2F2" w:themeFill="background1" w:themeFillShade="F2"/>
          </w:tcPr>
          <w:p w14:paraId="20AAAA0B" w14:textId="77777777" w:rsidR="00755076" w:rsidRPr="00755076" w:rsidRDefault="00755076" w:rsidP="00FA5A28">
            <w:r w:rsidRPr="00755076">
              <w:t xml:space="preserve">Output </w:t>
            </w:r>
          </w:p>
          <w:p w14:paraId="4E4A21D7" w14:textId="77777777" w:rsidR="00755076" w:rsidRPr="00755076" w:rsidRDefault="00755076" w:rsidP="00FA5A28">
            <w:r w:rsidRPr="00755076">
              <w:t>Indicator</w:t>
            </w:r>
          </w:p>
        </w:tc>
        <w:tc>
          <w:tcPr>
            <w:tcW w:w="37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0117A4" w14:textId="77777777" w:rsidR="00755076" w:rsidRPr="00755076" w:rsidDel="00220C43" w:rsidRDefault="00755076" w:rsidP="00FA5A28">
            <w:r w:rsidRPr="00755076">
              <w:t>Indicator</w:t>
            </w: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F49C95" w14:textId="77777777" w:rsidR="00755076" w:rsidRPr="00755076" w:rsidRDefault="00755076" w:rsidP="00FA5A28">
            <w:r w:rsidRPr="00755076">
              <w:t>Milestone 2020</w:t>
            </w:r>
          </w:p>
        </w:tc>
        <w:tc>
          <w:tcPr>
            <w:tcW w:w="1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7EE33" w14:textId="77777777" w:rsidR="00755076" w:rsidRPr="00755076" w:rsidRDefault="00755076" w:rsidP="00FA5A28">
            <w:r w:rsidRPr="00755076">
              <w:t>Progress</w:t>
            </w:r>
          </w:p>
        </w:tc>
        <w:tc>
          <w:tcPr>
            <w:tcW w:w="1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9EDED" w14:textId="03350910" w:rsidR="00755076" w:rsidRPr="00755076" w:rsidRDefault="00755076" w:rsidP="00FA5A28">
            <w:r w:rsidRPr="00755076">
              <w:t xml:space="preserve">Status at Year 2 – 2020 </w:t>
            </w:r>
          </w:p>
        </w:tc>
        <w:tc>
          <w:tcPr>
            <w:tcW w:w="1417" w:type="dxa"/>
            <w:tcBorders>
              <w:top w:val="single" w:sz="4" w:space="0" w:color="auto"/>
              <w:left w:val="single" w:sz="4" w:space="0" w:color="auto"/>
              <w:bottom w:val="single" w:sz="4" w:space="0" w:color="auto"/>
            </w:tcBorders>
            <w:shd w:val="clear" w:color="auto" w:fill="F2F2F2" w:themeFill="background1" w:themeFillShade="F2"/>
          </w:tcPr>
          <w:p w14:paraId="335956F2" w14:textId="77777777" w:rsidR="00755076" w:rsidRPr="00755076" w:rsidRDefault="00755076" w:rsidP="00FA5A28">
            <w:r w:rsidRPr="00755076">
              <w:t xml:space="preserve">Impact weighting </w:t>
            </w:r>
          </w:p>
        </w:tc>
      </w:tr>
      <w:tr w:rsidR="00755076" w:rsidRPr="00D3441B" w14:paraId="501DD8DD" w14:textId="77777777" w:rsidTr="00755076">
        <w:tblPrEx>
          <w:tblBorders>
            <w:insideH w:val="single" w:sz="4" w:space="0" w:color="auto"/>
            <w:insideV w:val="single" w:sz="4" w:space="0" w:color="auto"/>
          </w:tblBorders>
        </w:tblPrEx>
        <w:trPr>
          <w:trHeight w:val="583"/>
        </w:trPr>
        <w:tc>
          <w:tcPr>
            <w:tcW w:w="1137" w:type="dxa"/>
            <w:tcBorders>
              <w:top w:val="single" w:sz="4" w:space="0" w:color="auto"/>
              <w:bottom w:val="single" w:sz="4" w:space="0" w:color="auto"/>
              <w:right w:val="single" w:sz="4" w:space="0" w:color="auto"/>
            </w:tcBorders>
          </w:tcPr>
          <w:p w14:paraId="317F8000" w14:textId="77777777" w:rsidR="00755076" w:rsidRPr="00755076" w:rsidRDefault="00755076" w:rsidP="00FA5A28">
            <w:r w:rsidRPr="00755076">
              <w:t>1.1</w:t>
            </w:r>
          </w:p>
        </w:tc>
        <w:tc>
          <w:tcPr>
            <w:tcW w:w="3755" w:type="dxa"/>
            <w:gridSpan w:val="2"/>
            <w:tcBorders>
              <w:top w:val="single" w:sz="4" w:space="0" w:color="auto"/>
              <w:left w:val="single" w:sz="4" w:space="0" w:color="auto"/>
              <w:bottom w:val="single" w:sz="4" w:space="0" w:color="auto"/>
              <w:right w:val="single" w:sz="4" w:space="0" w:color="auto"/>
            </w:tcBorders>
          </w:tcPr>
          <w:p w14:paraId="035E47B6" w14:textId="2193A164" w:rsidR="00755076" w:rsidRPr="00755076" w:rsidRDefault="00755076" w:rsidP="00755076">
            <w:pPr>
              <w:pStyle w:val="ParagraphText-unnumbered"/>
            </w:pPr>
            <w:r w:rsidRPr="00755076">
              <w:t>Number of country grant request for proposals (RFP) published cumulatively (M</w:t>
            </w:r>
            <w:r w:rsidR="008D6C3A">
              <w:t xml:space="preserve">ott </w:t>
            </w:r>
            <w:r w:rsidRPr="00755076">
              <w:t>M</w:t>
            </w:r>
            <w:r w:rsidR="008D6C3A">
              <w:t>acDonald</w:t>
            </w:r>
            <w:r w:rsidRPr="00755076">
              <w:t>)</w:t>
            </w:r>
          </w:p>
        </w:tc>
        <w:tc>
          <w:tcPr>
            <w:tcW w:w="1610" w:type="dxa"/>
            <w:tcBorders>
              <w:top w:val="single" w:sz="4" w:space="0" w:color="auto"/>
              <w:left w:val="single" w:sz="4" w:space="0" w:color="auto"/>
              <w:bottom w:val="single" w:sz="4" w:space="0" w:color="auto"/>
              <w:right w:val="single" w:sz="4" w:space="0" w:color="auto"/>
            </w:tcBorders>
          </w:tcPr>
          <w:p w14:paraId="52F1BE13" w14:textId="77777777" w:rsidR="00755076" w:rsidRPr="00755076" w:rsidRDefault="00755076" w:rsidP="00FA5A28">
            <w:r w:rsidRPr="00755076">
              <w:t>32</w:t>
            </w:r>
          </w:p>
        </w:tc>
        <w:tc>
          <w:tcPr>
            <w:tcW w:w="1666" w:type="dxa"/>
            <w:gridSpan w:val="2"/>
            <w:tcBorders>
              <w:top w:val="single" w:sz="4" w:space="0" w:color="auto"/>
              <w:left w:val="single" w:sz="4" w:space="0" w:color="auto"/>
              <w:bottom w:val="single" w:sz="4" w:space="0" w:color="auto"/>
              <w:right w:val="single" w:sz="4" w:space="0" w:color="auto"/>
            </w:tcBorders>
            <w:shd w:val="clear" w:color="auto" w:fill="00B050"/>
          </w:tcPr>
          <w:p w14:paraId="1F15B825" w14:textId="77777777" w:rsidR="00755076" w:rsidRPr="00755076" w:rsidRDefault="00755076" w:rsidP="00FA5A28">
            <w:r w:rsidRPr="00755076">
              <w:t xml:space="preserve">Surpassed </w:t>
            </w:r>
          </w:p>
          <w:p w14:paraId="1F4623BB" w14:textId="77777777" w:rsidR="00755076" w:rsidRPr="00755076" w:rsidRDefault="00755076" w:rsidP="00FA5A28">
            <w:r w:rsidRPr="00755076">
              <w:t>(34)</w:t>
            </w:r>
          </w:p>
        </w:tc>
        <w:tc>
          <w:tcPr>
            <w:tcW w:w="1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590ED" w14:textId="77777777" w:rsidR="00755076" w:rsidRPr="00755076" w:rsidRDefault="00755076" w:rsidP="00FA5A28">
            <w:r w:rsidRPr="00755076">
              <w:t>22</w:t>
            </w:r>
          </w:p>
        </w:tc>
        <w:tc>
          <w:tcPr>
            <w:tcW w:w="1417" w:type="dxa"/>
            <w:tcBorders>
              <w:top w:val="single" w:sz="4" w:space="0" w:color="auto"/>
              <w:left w:val="single" w:sz="4" w:space="0" w:color="auto"/>
              <w:bottom w:val="single" w:sz="4" w:space="0" w:color="auto"/>
            </w:tcBorders>
          </w:tcPr>
          <w:p w14:paraId="7C25C5B0" w14:textId="77777777" w:rsidR="00755076" w:rsidRPr="00755076" w:rsidRDefault="00755076" w:rsidP="00FA5A28">
            <w:r w:rsidRPr="00755076">
              <w:t>15%</w:t>
            </w:r>
          </w:p>
        </w:tc>
      </w:tr>
      <w:tr w:rsidR="00755076" w:rsidRPr="00D3441B" w14:paraId="623162F3" w14:textId="77777777" w:rsidTr="00755076">
        <w:tblPrEx>
          <w:tblBorders>
            <w:insideH w:val="single" w:sz="4" w:space="0" w:color="auto"/>
            <w:insideV w:val="single" w:sz="4" w:space="0" w:color="auto"/>
          </w:tblBorders>
        </w:tblPrEx>
        <w:tc>
          <w:tcPr>
            <w:tcW w:w="1137" w:type="dxa"/>
            <w:tcBorders>
              <w:top w:val="single" w:sz="4" w:space="0" w:color="auto"/>
              <w:bottom w:val="single" w:sz="4" w:space="0" w:color="auto"/>
              <w:right w:val="single" w:sz="4" w:space="0" w:color="auto"/>
            </w:tcBorders>
          </w:tcPr>
          <w:p w14:paraId="24156DBA" w14:textId="77777777" w:rsidR="00755076" w:rsidRPr="00755076" w:rsidRDefault="00755076" w:rsidP="00FA5A28">
            <w:r w:rsidRPr="00755076">
              <w:t>1.2</w:t>
            </w:r>
          </w:p>
        </w:tc>
        <w:tc>
          <w:tcPr>
            <w:tcW w:w="3755" w:type="dxa"/>
            <w:gridSpan w:val="2"/>
            <w:tcBorders>
              <w:top w:val="single" w:sz="4" w:space="0" w:color="auto"/>
              <w:left w:val="single" w:sz="4" w:space="0" w:color="auto"/>
              <w:bottom w:val="single" w:sz="4" w:space="0" w:color="auto"/>
              <w:right w:val="single" w:sz="4" w:space="0" w:color="auto"/>
            </w:tcBorders>
          </w:tcPr>
          <w:p w14:paraId="651F516F" w14:textId="6BC15C4A" w:rsidR="00755076" w:rsidRPr="00755076" w:rsidRDefault="00755076" w:rsidP="00FA5A28">
            <w:r w:rsidRPr="00755076">
              <w:t>Number of countries with active country grants (M</w:t>
            </w:r>
            <w:r w:rsidR="008D6C3A">
              <w:t xml:space="preserve">ott </w:t>
            </w:r>
            <w:r w:rsidRPr="00755076">
              <w:t>M</w:t>
            </w:r>
            <w:r w:rsidR="008D6C3A">
              <w:t>acDonald</w:t>
            </w:r>
            <w:r w:rsidRPr="00755076">
              <w:t>)</w:t>
            </w:r>
          </w:p>
        </w:tc>
        <w:tc>
          <w:tcPr>
            <w:tcW w:w="1610" w:type="dxa"/>
            <w:tcBorders>
              <w:top w:val="single" w:sz="4" w:space="0" w:color="auto"/>
              <w:left w:val="single" w:sz="4" w:space="0" w:color="auto"/>
              <w:bottom w:val="single" w:sz="4" w:space="0" w:color="auto"/>
              <w:right w:val="single" w:sz="4" w:space="0" w:color="auto"/>
            </w:tcBorders>
          </w:tcPr>
          <w:p w14:paraId="7D83F97F" w14:textId="77777777" w:rsidR="00755076" w:rsidRPr="00755076" w:rsidRDefault="00755076" w:rsidP="00FA5A28">
            <w:r w:rsidRPr="00755076">
              <w:t>22</w:t>
            </w:r>
          </w:p>
        </w:tc>
        <w:tc>
          <w:tcPr>
            <w:tcW w:w="1666" w:type="dxa"/>
            <w:gridSpan w:val="2"/>
            <w:tcBorders>
              <w:top w:val="single" w:sz="4" w:space="0" w:color="auto"/>
              <w:left w:val="single" w:sz="4" w:space="0" w:color="auto"/>
              <w:bottom w:val="single" w:sz="4" w:space="0" w:color="auto"/>
              <w:right w:val="single" w:sz="4" w:space="0" w:color="auto"/>
            </w:tcBorders>
            <w:shd w:val="clear" w:color="auto" w:fill="00B050"/>
          </w:tcPr>
          <w:p w14:paraId="4B0765BC" w14:textId="77777777" w:rsidR="00755076" w:rsidRPr="00755076" w:rsidRDefault="00755076" w:rsidP="00FA5A28">
            <w:r w:rsidRPr="00755076">
              <w:t xml:space="preserve">Achieved </w:t>
            </w:r>
          </w:p>
          <w:p w14:paraId="75D6CD03" w14:textId="77777777" w:rsidR="00755076" w:rsidRPr="00755076" w:rsidRDefault="00755076" w:rsidP="00FA5A28">
            <w:r w:rsidRPr="00755076">
              <w:t>(22)</w:t>
            </w:r>
          </w:p>
          <w:p w14:paraId="4C83E5A0" w14:textId="77777777" w:rsidR="00755076" w:rsidRPr="00755076" w:rsidRDefault="00755076" w:rsidP="00755076"/>
        </w:tc>
        <w:tc>
          <w:tcPr>
            <w:tcW w:w="1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CF693" w14:textId="77777777" w:rsidR="00755076" w:rsidRPr="00755076" w:rsidRDefault="00755076" w:rsidP="00FA5A28">
            <w:r w:rsidRPr="00755076">
              <w:t>12</w:t>
            </w:r>
          </w:p>
        </w:tc>
        <w:tc>
          <w:tcPr>
            <w:tcW w:w="1417" w:type="dxa"/>
            <w:tcBorders>
              <w:top w:val="single" w:sz="4" w:space="0" w:color="auto"/>
              <w:left w:val="single" w:sz="4" w:space="0" w:color="auto"/>
              <w:bottom w:val="single" w:sz="4" w:space="0" w:color="auto"/>
            </w:tcBorders>
          </w:tcPr>
          <w:p w14:paraId="3B5C623C" w14:textId="77777777" w:rsidR="00755076" w:rsidRPr="00755076" w:rsidRDefault="00755076" w:rsidP="00FA5A28">
            <w:r w:rsidRPr="00755076">
              <w:t>15%</w:t>
            </w:r>
          </w:p>
        </w:tc>
      </w:tr>
      <w:tr w:rsidR="00755076" w:rsidRPr="00D3441B" w14:paraId="7E8FD38F" w14:textId="77777777" w:rsidTr="00755076">
        <w:tblPrEx>
          <w:tblBorders>
            <w:insideH w:val="single" w:sz="4" w:space="0" w:color="auto"/>
            <w:insideV w:val="single" w:sz="4" w:space="0" w:color="auto"/>
          </w:tblBorders>
        </w:tblPrEx>
        <w:tc>
          <w:tcPr>
            <w:tcW w:w="1137" w:type="dxa"/>
            <w:tcBorders>
              <w:top w:val="single" w:sz="4" w:space="0" w:color="auto"/>
              <w:bottom w:val="single" w:sz="4" w:space="0" w:color="auto"/>
              <w:right w:val="single" w:sz="4" w:space="0" w:color="auto"/>
            </w:tcBorders>
          </w:tcPr>
          <w:p w14:paraId="1BADE53D" w14:textId="77777777" w:rsidR="00755076" w:rsidRPr="00755076" w:rsidRDefault="00755076" w:rsidP="00FA5A28">
            <w:r w:rsidRPr="00755076">
              <w:t>1.3</w:t>
            </w:r>
          </w:p>
        </w:tc>
        <w:tc>
          <w:tcPr>
            <w:tcW w:w="3755" w:type="dxa"/>
            <w:gridSpan w:val="2"/>
            <w:tcBorders>
              <w:top w:val="single" w:sz="4" w:space="0" w:color="auto"/>
              <w:left w:val="single" w:sz="4" w:space="0" w:color="auto"/>
              <w:bottom w:val="single" w:sz="4" w:space="0" w:color="auto"/>
              <w:right w:val="single" w:sz="4" w:space="0" w:color="auto"/>
            </w:tcBorders>
          </w:tcPr>
          <w:p w14:paraId="79400A48" w14:textId="3938688D" w:rsidR="00755076" w:rsidRPr="00755076" w:rsidRDefault="00755076" w:rsidP="00755076">
            <w:pPr>
              <w:pStyle w:val="ParagraphText-unnumbered"/>
            </w:pPr>
            <w:r w:rsidRPr="00755076">
              <w:t>F</w:t>
            </w:r>
            <w:r w:rsidR="008D6C3A">
              <w:t xml:space="preserve">leming </w:t>
            </w:r>
            <w:r w:rsidRPr="00755076">
              <w:t>F</w:t>
            </w:r>
            <w:r w:rsidR="008D6C3A">
              <w:t>und</w:t>
            </w:r>
            <w:r w:rsidRPr="00755076">
              <w:t xml:space="preserve"> projects achieving green or amber green rag rating for quality, timeliness and finance on average across the year (All)</w:t>
            </w:r>
          </w:p>
        </w:tc>
        <w:tc>
          <w:tcPr>
            <w:tcW w:w="1610" w:type="dxa"/>
            <w:tcBorders>
              <w:top w:val="single" w:sz="4" w:space="0" w:color="auto"/>
              <w:left w:val="single" w:sz="4" w:space="0" w:color="auto"/>
              <w:bottom w:val="single" w:sz="4" w:space="0" w:color="auto"/>
              <w:right w:val="single" w:sz="4" w:space="0" w:color="auto"/>
            </w:tcBorders>
          </w:tcPr>
          <w:p w14:paraId="28D7640B" w14:textId="77777777" w:rsidR="00755076" w:rsidRPr="00755076" w:rsidRDefault="00755076" w:rsidP="00FA5A28">
            <w:r w:rsidRPr="00755076">
              <w:t>70%</w:t>
            </w:r>
          </w:p>
        </w:tc>
        <w:tc>
          <w:tcPr>
            <w:tcW w:w="1666" w:type="dxa"/>
            <w:gridSpan w:val="2"/>
            <w:tcBorders>
              <w:top w:val="single" w:sz="4" w:space="0" w:color="auto"/>
              <w:left w:val="single" w:sz="4" w:space="0" w:color="auto"/>
              <w:bottom w:val="single" w:sz="4" w:space="0" w:color="auto"/>
              <w:right w:val="single" w:sz="4" w:space="0" w:color="auto"/>
            </w:tcBorders>
            <w:shd w:val="clear" w:color="auto" w:fill="FFC000"/>
          </w:tcPr>
          <w:p w14:paraId="6A25C572" w14:textId="77777777" w:rsidR="00755076" w:rsidRPr="00755076" w:rsidRDefault="00755076" w:rsidP="00FA5A28">
            <w:r w:rsidRPr="00755076">
              <w:t xml:space="preserve">Not achieved </w:t>
            </w:r>
          </w:p>
          <w:p w14:paraId="4614A33F" w14:textId="77777777" w:rsidR="00755076" w:rsidRPr="00755076" w:rsidRDefault="00755076" w:rsidP="00FA5A28">
            <w:r w:rsidRPr="00755076">
              <w:t>(56%)</w:t>
            </w:r>
          </w:p>
        </w:tc>
        <w:tc>
          <w:tcPr>
            <w:tcW w:w="1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72E4" w14:textId="77777777" w:rsidR="00755076" w:rsidRPr="00755076" w:rsidRDefault="00755076" w:rsidP="00FA5A28">
            <w:r w:rsidRPr="00755076">
              <w:t>56%</w:t>
            </w:r>
          </w:p>
        </w:tc>
        <w:tc>
          <w:tcPr>
            <w:tcW w:w="1417" w:type="dxa"/>
            <w:tcBorders>
              <w:top w:val="single" w:sz="4" w:space="0" w:color="auto"/>
              <w:left w:val="single" w:sz="4" w:space="0" w:color="auto"/>
              <w:bottom w:val="single" w:sz="4" w:space="0" w:color="auto"/>
            </w:tcBorders>
          </w:tcPr>
          <w:p w14:paraId="1E8F67DA" w14:textId="77777777" w:rsidR="00755076" w:rsidRPr="00755076" w:rsidRDefault="00755076" w:rsidP="00FA5A28">
            <w:r w:rsidRPr="00755076">
              <w:t>15%</w:t>
            </w:r>
          </w:p>
        </w:tc>
      </w:tr>
      <w:tr w:rsidR="00755076" w:rsidRPr="00D3441B" w14:paraId="1FFF766B" w14:textId="77777777" w:rsidTr="00755076">
        <w:tblPrEx>
          <w:tblBorders>
            <w:insideH w:val="single" w:sz="4" w:space="0" w:color="auto"/>
            <w:insideV w:val="single" w:sz="4" w:space="0" w:color="auto"/>
          </w:tblBorders>
        </w:tblPrEx>
        <w:tc>
          <w:tcPr>
            <w:tcW w:w="1137" w:type="dxa"/>
            <w:tcBorders>
              <w:top w:val="single" w:sz="4" w:space="0" w:color="auto"/>
              <w:bottom w:val="single" w:sz="4" w:space="0" w:color="auto"/>
              <w:right w:val="single" w:sz="4" w:space="0" w:color="auto"/>
            </w:tcBorders>
          </w:tcPr>
          <w:p w14:paraId="6EB40C15" w14:textId="77777777" w:rsidR="00755076" w:rsidRPr="00755076" w:rsidRDefault="00755076" w:rsidP="00FA5A28">
            <w:r w:rsidRPr="00755076">
              <w:t>1.4</w:t>
            </w:r>
          </w:p>
        </w:tc>
        <w:tc>
          <w:tcPr>
            <w:tcW w:w="3755" w:type="dxa"/>
            <w:gridSpan w:val="2"/>
            <w:tcBorders>
              <w:top w:val="single" w:sz="4" w:space="0" w:color="auto"/>
              <w:left w:val="single" w:sz="4" w:space="0" w:color="auto"/>
              <w:bottom w:val="single" w:sz="4" w:space="0" w:color="auto"/>
              <w:right w:val="single" w:sz="4" w:space="0" w:color="auto"/>
            </w:tcBorders>
          </w:tcPr>
          <w:p w14:paraId="0C407AA4" w14:textId="52A37DB4" w:rsidR="00755076" w:rsidRPr="00755076" w:rsidRDefault="00755076" w:rsidP="00FA5A28">
            <w:r w:rsidRPr="00755076">
              <w:t>Percentage of F</w:t>
            </w:r>
            <w:r w:rsidR="008D6C3A">
              <w:t xml:space="preserve">leming </w:t>
            </w:r>
            <w:r w:rsidRPr="00755076">
              <w:t>F</w:t>
            </w:r>
            <w:r w:rsidR="008D6C3A">
              <w:t>und</w:t>
            </w:r>
            <w:r w:rsidRPr="00755076">
              <w:t xml:space="preserve"> supported Human Health surveillance sites showing progress through the LSHTM roadmap functions and stages (M</w:t>
            </w:r>
            <w:r w:rsidR="008D6C3A">
              <w:t xml:space="preserve">ott </w:t>
            </w:r>
            <w:r w:rsidRPr="00755076">
              <w:t>M</w:t>
            </w:r>
            <w:r w:rsidR="008D6C3A">
              <w:t>acDonald</w:t>
            </w:r>
            <w:r w:rsidRPr="00755076">
              <w:t>)</w:t>
            </w:r>
          </w:p>
        </w:tc>
        <w:tc>
          <w:tcPr>
            <w:tcW w:w="1610" w:type="dxa"/>
            <w:tcBorders>
              <w:top w:val="single" w:sz="4" w:space="0" w:color="auto"/>
              <w:left w:val="single" w:sz="4" w:space="0" w:color="auto"/>
              <w:bottom w:val="single" w:sz="4" w:space="0" w:color="auto"/>
              <w:right w:val="single" w:sz="4" w:space="0" w:color="auto"/>
            </w:tcBorders>
          </w:tcPr>
          <w:p w14:paraId="20ADA68B" w14:textId="77777777" w:rsidR="00755076" w:rsidRPr="00755076" w:rsidRDefault="00755076" w:rsidP="00FA5A28">
            <w:r w:rsidRPr="00755076">
              <w:t>65% of surveillance sites showing progress (81/124)</w:t>
            </w:r>
          </w:p>
        </w:tc>
        <w:tc>
          <w:tcPr>
            <w:tcW w:w="1666" w:type="dxa"/>
            <w:gridSpan w:val="2"/>
            <w:tcBorders>
              <w:top w:val="single" w:sz="4" w:space="0" w:color="auto"/>
              <w:left w:val="single" w:sz="4" w:space="0" w:color="auto"/>
              <w:bottom w:val="single" w:sz="4" w:space="0" w:color="auto"/>
              <w:right w:val="single" w:sz="4" w:space="0" w:color="auto"/>
            </w:tcBorders>
            <w:shd w:val="clear" w:color="auto" w:fill="00B050"/>
          </w:tcPr>
          <w:p w14:paraId="40DAE87B" w14:textId="77777777" w:rsidR="00755076" w:rsidRPr="00755076" w:rsidRDefault="00755076" w:rsidP="00FA5A28">
            <w:r w:rsidRPr="00755076">
              <w:t>Surpassed</w:t>
            </w:r>
          </w:p>
          <w:p w14:paraId="29158330" w14:textId="77777777" w:rsidR="00755076" w:rsidRPr="00755076" w:rsidRDefault="00755076" w:rsidP="00FA5A28">
            <w:r w:rsidRPr="00755076">
              <w:t>(66% of surveillance sites showing progress (93/140))</w:t>
            </w:r>
          </w:p>
          <w:p w14:paraId="39568D5F" w14:textId="77777777" w:rsidR="00755076" w:rsidRPr="00755076" w:rsidRDefault="00755076" w:rsidP="00755076">
            <w:pPr>
              <w:rPr>
                <w:highlight w:val="red"/>
              </w:rPr>
            </w:pPr>
          </w:p>
        </w:tc>
        <w:tc>
          <w:tcPr>
            <w:tcW w:w="1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A538C" w14:textId="77777777" w:rsidR="00755076" w:rsidRPr="00755076" w:rsidRDefault="00755076" w:rsidP="00FA5A28">
            <w:r w:rsidRPr="00755076">
              <w:t>70% (23/33)</w:t>
            </w:r>
          </w:p>
        </w:tc>
        <w:tc>
          <w:tcPr>
            <w:tcW w:w="1417" w:type="dxa"/>
            <w:tcBorders>
              <w:top w:val="single" w:sz="4" w:space="0" w:color="auto"/>
              <w:left w:val="single" w:sz="4" w:space="0" w:color="auto"/>
              <w:bottom w:val="single" w:sz="4" w:space="0" w:color="auto"/>
            </w:tcBorders>
          </w:tcPr>
          <w:p w14:paraId="17E3FA21" w14:textId="77777777" w:rsidR="00755076" w:rsidRPr="00755076" w:rsidRDefault="00755076" w:rsidP="00FA5A28">
            <w:r w:rsidRPr="00755076">
              <w:t>20%</w:t>
            </w:r>
          </w:p>
        </w:tc>
      </w:tr>
      <w:tr w:rsidR="00755076" w:rsidRPr="00D3441B" w14:paraId="58874958" w14:textId="77777777" w:rsidTr="00755076">
        <w:tblPrEx>
          <w:tblBorders>
            <w:insideH w:val="single" w:sz="4" w:space="0" w:color="auto"/>
            <w:insideV w:val="single" w:sz="4" w:space="0" w:color="auto"/>
          </w:tblBorders>
        </w:tblPrEx>
        <w:tc>
          <w:tcPr>
            <w:tcW w:w="1137" w:type="dxa"/>
            <w:tcBorders>
              <w:top w:val="single" w:sz="4" w:space="0" w:color="auto"/>
              <w:bottom w:val="single" w:sz="4" w:space="0" w:color="auto"/>
              <w:right w:val="single" w:sz="4" w:space="0" w:color="auto"/>
            </w:tcBorders>
          </w:tcPr>
          <w:p w14:paraId="266EA3B7" w14:textId="77777777" w:rsidR="00755076" w:rsidRPr="00755076" w:rsidRDefault="00755076" w:rsidP="00FA5A28">
            <w:r w:rsidRPr="00755076">
              <w:t>1.5</w:t>
            </w:r>
          </w:p>
        </w:tc>
        <w:tc>
          <w:tcPr>
            <w:tcW w:w="3755" w:type="dxa"/>
            <w:gridSpan w:val="2"/>
            <w:tcBorders>
              <w:top w:val="single" w:sz="4" w:space="0" w:color="auto"/>
              <w:left w:val="single" w:sz="4" w:space="0" w:color="auto"/>
              <w:bottom w:val="single" w:sz="4" w:space="0" w:color="auto"/>
              <w:right w:val="single" w:sz="4" w:space="0" w:color="auto"/>
            </w:tcBorders>
          </w:tcPr>
          <w:p w14:paraId="7D8B69D6" w14:textId="5B61A6B1" w:rsidR="00755076" w:rsidRPr="00755076" w:rsidRDefault="00755076" w:rsidP="00FA5A28">
            <w:r w:rsidRPr="00755076">
              <w:t>Number of regional grant workshops undertaken (M</w:t>
            </w:r>
            <w:r w:rsidR="008D6C3A">
              <w:t xml:space="preserve">ott </w:t>
            </w:r>
            <w:r w:rsidRPr="00755076">
              <w:t>M</w:t>
            </w:r>
            <w:r w:rsidR="008D6C3A">
              <w:t>acDonald</w:t>
            </w:r>
            <w:r w:rsidRPr="00755076">
              <w:t>)</w:t>
            </w:r>
          </w:p>
        </w:tc>
        <w:tc>
          <w:tcPr>
            <w:tcW w:w="1610" w:type="dxa"/>
            <w:tcBorders>
              <w:top w:val="single" w:sz="4" w:space="0" w:color="auto"/>
              <w:left w:val="single" w:sz="4" w:space="0" w:color="auto"/>
              <w:bottom w:val="single" w:sz="4" w:space="0" w:color="auto"/>
              <w:right w:val="single" w:sz="4" w:space="0" w:color="auto"/>
            </w:tcBorders>
          </w:tcPr>
          <w:p w14:paraId="68682615" w14:textId="77777777" w:rsidR="00755076" w:rsidRPr="00755076" w:rsidRDefault="00755076" w:rsidP="00FA5A28">
            <w:r w:rsidRPr="00755076">
              <w:t>27</w:t>
            </w:r>
          </w:p>
        </w:tc>
        <w:tc>
          <w:tcPr>
            <w:tcW w:w="1666" w:type="dxa"/>
            <w:gridSpan w:val="2"/>
            <w:tcBorders>
              <w:top w:val="single" w:sz="4" w:space="0" w:color="auto"/>
              <w:left w:val="single" w:sz="4" w:space="0" w:color="auto"/>
              <w:bottom w:val="single" w:sz="4" w:space="0" w:color="auto"/>
              <w:right w:val="single" w:sz="4" w:space="0" w:color="auto"/>
            </w:tcBorders>
            <w:shd w:val="clear" w:color="auto" w:fill="00B050"/>
          </w:tcPr>
          <w:p w14:paraId="7E89F0D5" w14:textId="77777777" w:rsidR="00755076" w:rsidRPr="00755076" w:rsidRDefault="00755076" w:rsidP="00FA5A28">
            <w:r w:rsidRPr="00755076">
              <w:t>Surpassed</w:t>
            </w:r>
          </w:p>
          <w:p w14:paraId="0CE9093A" w14:textId="77777777" w:rsidR="00755076" w:rsidRPr="00755076" w:rsidRDefault="00755076" w:rsidP="00FA5A28">
            <w:r w:rsidRPr="00755076">
              <w:t>(39)</w:t>
            </w:r>
          </w:p>
          <w:p w14:paraId="6313B4A2" w14:textId="77777777" w:rsidR="00755076" w:rsidRPr="00755076" w:rsidRDefault="00755076" w:rsidP="00755076"/>
        </w:tc>
        <w:tc>
          <w:tcPr>
            <w:tcW w:w="1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59E65" w14:textId="77777777" w:rsidR="00755076" w:rsidRPr="00755076" w:rsidRDefault="00755076" w:rsidP="00FA5A28">
            <w:r w:rsidRPr="00755076">
              <w:t>9</w:t>
            </w:r>
          </w:p>
        </w:tc>
        <w:tc>
          <w:tcPr>
            <w:tcW w:w="1417" w:type="dxa"/>
            <w:tcBorders>
              <w:top w:val="single" w:sz="4" w:space="0" w:color="auto"/>
              <w:left w:val="single" w:sz="4" w:space="0" w:color="auto"/>
              <w:bottom w:val="single" w:sz="4" w:space="0" w:color="auto"/>
            </w:tcBorders>
          </w:tcPr>
          <w:p w14:paraId="209A3F9E" w14:textId="77777777" w:rsidR="00755076" w:rsidRPr="00755076" w:rsidRDefault="00755076" w:rsidP="00FA5A28">
            <w:r w:rsidRPr="00755076">
              <w:t>15%</w:t>
            </w:r>
          </w:p>
        </w:tc>
      </w:tr>
      <w:tr w:rsidR="00755076" w:rsidRPr="00D3441B" w14:paraId="2C302329" w14:textId="77777777" w:rsidTr="00755076">
        <w:tblPrEx>
          <w:tblBorders>
            <w:insideH w:val="single" w:sz="4" w:space="0" w:color="auto"/>
            <w:insideV w:val="single" w:sz="4" w:space="0" w:color="auto"/>
          </w:tblBorders>
        </w:tblPrEx>
        <w:tc>
          <w:tcPr>
            <w:tcW w:w="1137" w:type="dxa"/>
            <w:tcBorders>
              <w:top w:val="single" w:sz="4" w:space="0" w:color="auto"/>
              <w:bottom w:val="single" w:sz="4" w:space="0" w:color="auto"/>
              <w:right w:val="single" w:sz="4" w:space="0" w:color="auto"/>
            </w:tcBorders>
          </w:tcPr>
          <w:p w14:paraId="5915909B" w14:textId="77777777" w:rsidR="00755076" w:rsidRPr="00755076" w:rsidRDefault="00755076" w:rsidP="00FA5A28">
            <w:r w:rsidRPr="00755076">
              <w:lastRenderedPageBreak/>
              <w:t>1.6</w:t>
            </w:r>
          </w:p>
        </w:tc>
        <w:tc>
          <w:tcPr>
            <w:tcW w:w="3755" w:type="dxa"/>
            <w:gridSpan w:val="2"/>
            <w:tcBorders>
              <w:top w:val="single" w:sz="4" w:space="0" w:color="auto"/>
              <w:left w:val="single" w:sz="4" w:space="0" w:color="auto"/>
              <w:bottom w:val="single" w:sz="4" w:space="0" w:color="auto"/>
              <w:right w:val="single" w:sz="4" w:space="0" w:color="auto"/>
            </w:tcBorders>
          </w:tcPr>
          <w:p w14:paraId="2B5969C5" w14:textId="5D88B817" w:rsidR="00755076" w:rsidRPr="00755076" w:rsidRDefault="00755076" w:rsidP="00FA5A28">
            <w:r w:rsidRPr="00755076">
              <w:rPr>
                <w:rFonts w:eastAsia="Calibri"/>
              </w:rPr>
              <w:t>Percentage of Fleming Fund supported Animal Health surveillance sites showing progress (M</w:t>
            </w:r>
            <w:r w:rsidR="008D6C3A">
              <w:rPr>
                <w:rFonts w:eastAsia="Calibri"/>
              </w:rPr>
              <w:t xml:space="preserve">ott </w:t>
            </w:r>
            <w:r w:rsidRPr="00755076">
              <w:rPr>
                <w:rFonts w:eastAsia="Calibri"/>
              </w:rPr>
              <w:t>M</w:t>
            </w:r>
            <w:r w:rsidR="008D6C3A">
              <w:rPr>
                <w:rFonts w:eastAsia="Calibri"/>
              </w:rPr>
              <w:t>acDonald</w:t>
            </w:r>
            <w:r w:rsidRPr="00755076">
              <w:rPr>
                <w:rFonts w:eastAsia="Calibri"/>
              </w:rPr>
              <w:t>)</w:t>
            </w:r>
          </w:p>
        </w:tc>
        <w:tc>
          <w:tcPr>
            <w:tcW w:w="1610" w:type="dxa"/>
            <w:tcBorders>
              <w:top w:val="single" w:sz="4" w:space="0" w:color="auto"/>
              <w:left w:val="single" w:sz="4" w:space="0" w:color="auto"/>
              <w:bottom w:val="single" w:sz="4" w:space="0" w:color="auto"/>
              <w:right w:val="single" w:sz="4" w:space="0" w:color="auto"/>
            </w:tcBorders>
          </w:tcPr>
          <w:p w14:paraId="203B6DC8" w14:textId="77777777" w:rsidR="00755076" w:rsidRPr="00755076" w:rsidRDefault="00755076" w:rsidP="00FA5A28">
            <w:pPr>
              <w:rPr>
                <w:rFonts w:eastAsia="Calibri"/>
              </w:rPr>
            </w:pPr>
            <w:r w:rsidRPr="00755076">
              <w:rPr>
                <w:rFonts w:eastAsia="Calibri"/>
              </w:rPr>
              <w:t>60% of surveillance sites showing progress (37/61)</w:t>
            </w:r>
          </w:p>
          <w:p w14:paraId="22EF4283" w14:textId="77777777" w:rsidR="00755076" w:rsidRPr="00755076" w:rsidRDefault="00755076" w:rsidP="00755076"/>
        </w:tc>
        <w:tc>
          <w:tcPr>
            <w:tcW w:w="1666" w:type="dxa"/>
            <w:gridSpan w:val="2"/>
            <w:tcBorders>
              <w:top w:val="single" w:sz="4" w:space="0" w:color="auto"/>
              <w:left w:val="single" w:sz="4" w:space="0" w:color="auto"/>
              <w:bottom w:val="single" w:sz="4" w:space="0" w:color="auto"/>
              <w:right w:val="single" w:sz="4" w:space="0" w:color="auto"/>
            </w:tcBorders>
            <w:shd w:val="clear" w:color="auto" w:fill="00B050"/>
          </w:tcPr>
          <w:p w14:paraId="4FD75F8D" w14:textId="77777777" w:rsidR="00755076" w:rsidRPr="00755076" w:rsidRDefault="00755076" w:rsidP="00FA5A28">
            <w:r w:rsidRPr="00755076">
              <w:t>Surpassed</w:t>
            </w:r>
          </w:p>
          <w:p w14:paraId="14797466" w14:textId="77777777" w:rsidR="00755076" w:rsidRPr="00755076" w:rsidRDefault="00755076" w:rsidP="00FA5A28">
            <w:r w:rsidRPr="00755076">
              <w:t>(76% of surveillance sites showing progress (47/62))</w:t>
            </w:r>
          </w:p>
        </w:tc>
        <w:tc>
          <w:tcPr>
            <w:tcW w:w="1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32E2C" w14:textId="77777777" w:rsidR="00755076" w:rsidRPr="00755076" w:rsidRDefault="00755076" w:rsidP="00FA5A28">
            <w:r w:rsidRPr="00755076">
              <w:t>N/A – Introduced in 2020</w:t>
            </w:r>
          </w:p>
          <w:p w14:paraId="67BEFB8A" w14:textId="77777777" w:rsidR="00755076" w:rsidRPr="00755076" w:rsidRDefault="00755076" w:rsidP="00755076"/>
        </w:tc>
        <w:tc>
          <w:tcPr>
            <w:tcW w:w="1417" w:type="dxa"/>
            <w:tcBorders>
              <w:top w:val="single" w:sz="4" w:space="0" w:color="auto"/>
              <w:left w:val="single" w:sz="4" w:space="0" w:color="auto"/>
              <w:bottom w:val="single" w:sz="4" w:space="0" w:color="auto"/>
            </w:tcBorders>
          </w:tcPr>
          <w:p w14:paraId="24C4C7C2" w14:textId="77777777" w:rsidR="00755076" w:rsidRPr="00755076" w:rsidRDefault="00755076" w:rsidP="00FA5A28">
            <w:r w:rsidRPr="00755076">
              <w:t>20%</w:t>
            </w:r>
          </w:p>
        </w:tc>
      </w:tr>
    </w:tbl>
    <w:p w14:paraId="460EA2A8" w14:textId="77777777" w:rsidR="00755076" w:rsidRDefault="00755076" w:rsidP="00FA5A28"/>
    <w:p w14:paraId="7232E7B6" w14:textId="0937D319" w:rsidR="004045AB" w:rsidRPr="00755076" w:rsidRDefault="004045AB" w:rsidP="00FA5A28">
      <w:r>
        <w:t>The statements below provide further information on the indicators outlined above.</w:t>
      </w:r>
    </w:p>
    <w:p w14:paraId="5FF26D3A" w14:textId="77777777" w:rsidR="004045AB" w:rsidRDefault="004045AB" w:rsidP="00D46652"/>
    <w:p w14:paraId="04B57EAF" w14:textId="3DAE633F" w:rsidR="00755076" w:rsidRPr="00755076" w:rsidRDefault="00755076" w:rsidP="00D46652">
      <w:pPr>
        <w:pStyle w:val="ParagraphText-unnumbered"/>
      </w:pPr>
      <w:r w:rsidRPr="00755076">
        <w:t xml:space="preserve">1.3. </w:t>
      </w:r>
      <w:r w:rsidR="008D6C3A">
        <w:t>The q</w:t>
      </w:r>
      <w:r w:rsidRPr="00755076">
        <w:t>uality of F</w:t>
      </w:r>
      <w:r w:rsidR="008D6C3A">
        <w:t xml:space="preserve">leming </w:t>
      </w:r>
      <w:r w:rsidRPr="00755076">
        <w:t>F</w:t>
      </w:r>
      <w:r w:rsidR="008D6C3A">
        <w:t>und</w:t>
      </w:r>
      <w:r w:rsidRPr="00755076">
        <w:t xml:space="preserve"> projects has remained high with 87% of projects achieving green or amber green rag rating across the year.  However, COVID-19 has impacted programme delivery and ability to spend with 53% and 54% green/amber green rag rating for finance and timeliness respectively. </w:t>
      </w:r>
    </w:p>
    <w:p w14:paraId="7A6FB439" w14:textId="189FDBAA" w:rsidR="00755076" w:rsidRDefault="00755076" w:rsidP="00D46652">
      <w:pPr>
        <w:pStyle w:val="ParagraphText-unnumbered"/>
      </w:pPr>
      <w:r w:rsidRPr="00755076">
        <w:t>1.5. The increase in</w:t>
      </w:r>
      <w:r w:rsidR="008D6C3A">
        <w:t xml:space="preserve"> the</w:t>
      </w:r>
      <w:r w:rsidRPr="00755076">
        <w:t xml:space="preserve"> number of regional grant workshops undertaken can be attributed to the training grant, which instead of holding regional workshops (3), switched to country workshops (11).</w:t>
      </w:r>
    </w:p>
    <w:p w14:paraId="103A7117" w14:textId="3903817C" w:rsidR="00755076" w:rsidRPr="00E77136" w:rsidRDefault="0078336C" w:rsidP="00E77136">
      <w:pPr>
        <w:pStyle w:val="Heading4"/>
        <w:rPr>
          <w:rStyle w:val="Bold"/>
          <w:b/>
        </w:rPr>
      </w:pPr>
      <w:r w:rsidRPr="00E77136">
        <w:rPr>
          <w:rStyle w:val="Bold"/>
          <w:b/>
        </w:rPr>
        <w:t xml:space="preserve">Output title: </w:t>
      </w:r>
      <w:r w:rsidR="00755076" w:rsidRPr="00E77136">
        <w:rPr>
          <w:rStyle w:val="Bold"/>
          <w:b/>
        </w:rPr>
        <w:t>Standardisation of data/quality of surveillance/quality improvement</w:t>
      </w:r>
    </w:p>
    <w:p w14:paraId="008B8464" w14:textId="77777777" w:rsidR="00755076" w:rsidRPr="00755076" w:rsidRDefault="00755076" w:rsidP="00C203FD"/>
    <w:p w14:paraId="2C133D67" w14:textId="735F37B2" w:rsidR="00507BAB" w:rsidRDefault="00755076" w:rsidP="00D46652">
      <w:pPr>
        <w:pStyle w:val="ParagraphText-unnumbered"/>
      </w:pPr>
      <w:r w:rsidRPr="00755076">
        <w:t xml:space="preserve">The primary output of the Fleming Fund is the building and improvement of One Health AMR laboratory capacity and surveillance systems. This includes establishing a National AMR reference centre and developing protocols for sharing and disseminating AMR data across a nationwide network and then ensuring that these protocols are used to improve the quality of the surveillance data generated. </w:t>
      </w:r>
    </w:p>
    <w:tbl>
      <w:tblPr>
        <w:tblW w:w="11201" w:type="dxa"/>
        <w:tblInd w:w="-851" w:type="dxa"/>
        <w:tblLook w:val="04A0" w:firstRow="1" w:lastRow="0" w:firstColumn="1" w:lastColumn="0" w:noHBand="0" w:noVBand="1"/>
      </w:tblPr>
      <w:tblGrid>
        <w:gridCol w:w="2878"/>
        <w:gridCol w:w="2980"/>
        <w:gridCol w:w="5343"/>
      </w:tblGrid>
      <w:tr w:rsidR="00507BAB" w:rsidRPr="00507BAB" w14:paraId="2041705B" w14:textId="77777777" w:rsidTr="00DE5714">
        <w:trPr>
          <w:trHeight w:val="854"/>
        </w:trPr>
        <w:tc>
          <w:tcPr>
            <w:tcW w:w="2878" w:type="dxa"/>
            <w:tcBorders>
              <w:bottom w:val="single" w:sz="4" w:space="0" w:color="auto"/>
            </w:tcBorders>
            <w:vAlign w:val="center"/>
          </w:tcPr>
          <w:p w14:paraId="757C5EA5" w14:textId="35AC5EEF" w:rsidR="00507BAB" w:rsidRPr="00507BAB" w:rsidRDefault="00507BAB" w:rsidP="00E77136">
            <w:r w:rsidRPr="00507BAB">
              <w:t xml:space="preserve">5-point score 2020: </w:t>
            </w:r>
            <w:r>
              <w:t>A+</w:t>
            </w:r>
          </w:p>
        </w:tc>
        <w:tc>
          <w:tcPr>
            <w:tcW w:w="2980" w:type="dxa"/>
            <w:tcBorders>
              <w:bottom w:val="single" w:sz="4" w:space="0" w:color="auto"/>
            </w:tcBorders>
            <w:vAlign w:val="center"/>
          </w:tcPr>
          <w:p w14:paraId="3F47D6DA" w14:textId="2B668B6B" w:rsidR="00507BAB" w:rsidRPr="00507BAB" w:rsidRDefault="00507BAB" w:rsidP="00E77136">
            <w:r w:rsidRPr="00507BAB">
              <w:t xml:space="preserve">5-point score 2019: </w:t>
            </w:r>
            <w:r>
              <w:t>A</w:t>
            </w:r>
          </w:p>
        </w:tc>
        <w:tc>
          <w:tcPr>
            <w:tcW w:w="5343" w:type="dxa"/>
            <w:tcBorders>
              <w:bottom w:val="single" w:sz="4" w:space="0" w:color="auto"/>
            </w:tcBorders>
            <w:vAlign w:val="center"/>
          </w:tcPr>
          <w:p w14:paraId="420A4D3A" w14:textId="0DC22EE3" w:rsidR="00507BAB" w:rsidRPr="00507BAB" w:rsidRDefault="00507BAB" w:rsidP="00E77136">
            <w:r w:rsidRPr="00507BAB">
              <w:t>Impact weighting:</w:t>
            </w:r>
            <w:r>
              <w:t xml:space="preserve"> 5</w:t>
            </w:r>
            <w:r w:rsidRPr="00507BAB">
              <w:t>%</w:t>
            </w:r>
          </w:p>
        </w:tc>
      </w:tr>
    </w:tbl>
    <w:tbl>
      <w:tblPr>
        <w:tblStyle w:val="TableGrid"/>
        <w:tblW w:w="11199" w:type="dxa"/>
        <w:tblInd w:w="-856" w:type="dxa"/>
        <w:tblBorders>
          <w:insideH w:val="none" w:sz="0" w:space="0" w:color="auto"/>
          <w:insideV w:val="none" w:sz="0" w:space="0" w:color="auto"/>
        </w:tblBorders>
        <w:tblLook w:val="04A0" w:firstRow="1" w:lastRow="0" w:firstColumn="1" w:lastColumn="0" w:noHBand="0" w:noVBand="1"/>
      </w:tblPr>
      <w:tblGrid>
        <w:gridCol w:w="1138"/>
        <w:gridCol w:w="3455"/>
        <w:gridCol w:w="1681"/>
        <w:gridCol w:w="1520"/>
        <w:gridCol w:w="1787"/>
        <w:gridCol w:w="1618"/>
      </w:tblGrid>
      <w:tr w:rsidR="00507BAB" w:rsidRPr="00CF4E9C" w14:paraId="34C2A3FD" w14:textId="77777777" w:rsidTr="00FA5A28">
        <w:tc>
          <w:tcPr>
            <w:tcW w:w="1138" w:type="dxa"/>
            <w:tcBorders>
              <w:top w:val="single" w:sz="4" w:space="0" w:color="auto"/>
              <w:bottom w:val="single" w:sz="4" w:space="0" w:color="auto"/>
              <w:right w:val="single" w:sz="4" w:space="0" w:color="auto"/>
            </w:tcBorders>
            <w:shd w:val="clear" w:color="auto" w:fill="F2F2F2" w:themeFill="background1" w:themeFillShade="F2"/>
          </w:tcPr>
          <w:p w14:paraId="04D209FB" w14:textId="77777777" w:rsidR="00507BAB" w:rsidRPr="00507BAB" w:rsidRDefault="00507BAB" w:rsidP="00C203FD">
            <w:r w:rsidRPr="00507BAB">
              <w:t xml:space="preserve">Output </w:t>
            </w:r>
          </w:p>
          <w:p w14:paraId="08D58D0C" w14:textId="77777777" w:rsidR="00507BAB" w:rsidRPr="00507BAB" w:rsidRDefault="00507BAB" w:rsidP="00E77136">
            <w:r w:rsidRPr="00507BAB">
              <w:t>Indicator</w:t>
            </w:r>
          </w:p>
        </w:tc>
        <w:tc>
          <w:tcPr>
            <w:tcW w:w="3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0B4F1" w14:textId="77777777" w:rsidR="00507BAB" w:rsidRPr="00507BAB" w:rsidRDefault="00507BAB" w:rsidP="00E77136">
            <w:pPr>
              <w:rPr>
                <w:rStyle w:val="CommentReference"/>
              </w:rPr>
            </w:pPr>
            <w:r w:rsidRPr="00507BAB">
              <w:t>Indicator</w:t>
            </w:r>
          </w:p>
        </w:tc>
        <w:tc>
          <w:tcPr>
            <w:tcW w:w="1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A4223" w14:textId="77777777" w:rsidR="00507BAB" w:rsidRPr="00507BAB" w:rsidRDefault="00507BAB" w:rsidP="00E77136">
            <w:r w:rsidRPr="00507BAB">
              <w:t>Milestone 2020</w:t>
            </w:r>
          </w:p>
        </w:tc>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82896" w14:textId="77777777" w:rsidR="00507BAB" w:rsidRPr="00507BAB" w:rsidRDefault="00507BAB" w:rsidP="00E77136">
            <w:r w:rsidRPr="00507BAB">
              <w:t>Progress</w:t>
            </w:r>
          </w:p>
        </w:tc>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9BD3D" w14:textId="77777777" w:rsidR="00507BAB" w:rsidRPr="00507BAB" w:rsidRDefault="00507BAB" w:rsidP="00E77136">
            <w:r w:rsidRPr="00507BAB">
              <w:t>Status at Year 2 – 2020 Annual review</w:t>
            </w:r>
          </w:p>
        </w:tc>
        <w:tc>
          <w:tcPr>
            <w:tcW w:w="1618" w:type="dxa"/>
            <w:tcBorders>
              <w:top w:val="single" w:sz="4" w:space="0" w:color="auto"/>
              <w:left w:val="single" w:sz="4" w:space="0" w:color="auto"/>
              <w:bottom w:val="single" w:sz="4" w:space="0" w:color="auto"/>
            </w:tcBorders>
            <w:shd w:val="clear" w:color="auto" w:fill="F2F2F2" w:themeFill="background1" w:themeFillShade="F2"/>
          </w:tcPr>
          <w:p w14:paraId="00ED903A" w14:textId="77777777" w:rsidR="00507BAB" w:rsidRPr="00507BAB" w:rsidRDefault="00507BAB" w:rsidP="00E77136">
            <w:r w:rsidRPr="00507BAB">
              <w:t>Weighting</w:t>
            </w:r>
          </w:p>
        </w:tc>
      </w:tr>
      <w:tr w:rsidR="00507BAB" w:rsidRPr="00CF4E9C" w14:paraId="06434A30" w14:textId="77777777" w:rsidTr="00FA5A28">
        <w:tc>
          <w:tcPr>
            <w:tcW w:w="1138" w:type="dxa"/>
            <w:tcBorders>
              <w:top w:val="single" w:sz="4" w:space="0" w:color="auto"/>
              <w:bottom w:val="single" w:sz="4" w:space="0" w:color="auto"/>
              <w:right w:val="single" w:sz="4" w:space="0" w:color="auto"/>
            </w:tcBorders>
          </w:tcPr>
          <w:p w14:paraId="2A19ED1D" w14:textId="77777777" w:rsidR="00507BAB" w:rsidRPr="00507BAB" w:rsidRDefault="00507BAB" w:rsidP="00C203FD">
            <w:r w:rsidRPr="00507BAB">
              <w:t>2.1</w:t>
            </w:r>
          </w:p>
        </w:tc>
        <w:tc>
          <w:tcPr>
            <w:tcW w:w="3455" w:type="dxa"/>
            <w:tcBorders>
              <w:top w:val="single" w:sz="4" w:space="0" w:color="auto"/>
              <w:left w:val="single" w:sz="4" w:space="0" w:color="auto"/>
              <w:bottom w:val="single" w:sz="4" w:space="0" w:color="auto"/>
              <w:right w:val="single" w:sz="4" w:space="0" w:color="auto"/>
            </w:tcBorders>
          </w:tcPr>
          <w:p w14:paraId="3FAA4C76" w14:textId="2F31282C" w:rsidR="00507BAB" w:rsidRPr="00507BAB" w:rsidRDefault="00507BAB" w:rsidP="00E77136">
            <w:r w:rsidRPr="00507BAB">
              <w:t xml:space="preserve"> Number of F</w:t>
            </w:r>
            <w:r w:rsidR="008D6C3A">
              <w:t xml:space="preserve">leming </w:t>
            </w:r>
            <w:r w:rsidRPr="00507BAB">
              <w:t>F</w:t>
            </w:r>
            <w:r w:rsidR="008D6C3A">
              <w:t>und</w:t>
            </w:r>
            <w:r w:rsidRPr="00507BAB">
              <w:t xml:space="preserve"> supported protocols and guidance implemented in countries (All)</w:t>
            </w:r>
          </w:p>
          <w:p w14:paraId="034421AD" w14:textId="77777777" w:rsidR="00507BAB" w:rsidRPr="00507BAB" w:rsidRDefault="00507BAB" w:rsidP="00507BAB"/>
        </w:tc>
        <w:tc>
          <w:tcPr>
            <w:tcW w:w="1681" w:type="dxa"/>
            <w:tcBorders>
              <w:top w:val="single" w:sz="4" w:space="0" w:color="auto"/>
              <w:left w:val="single" w:sz="4" w:space="0" w:color="auto"/>
              <w:bottom w:val="single" w:sz="4" w:space="0" w:color="auto"/>
              <w:right w:val="single" w:sz="4" w:space="0" w:color="auto"/>
            </w:tcBorders>
          </w:tcPr>
          <w:p w14:paraId="67CC9AB3" w14:textId="77777777" w:rsidR="00507BAB" w:rsidRPr="00507BAB" w:rsidRDefault="00507BAB" w:rsidP="00C203FD">
            <w:r w:rsidRPr="00507BAB">
              <w:t xml:space="preserve">7 </w:t>
            </w:r>
          </w:p>
          <w:p w14:paraId="2F57AF5B" w14:textId="77777777" w:rsidR="00507BAB" w:rsidRPr="00507BAB" w:rsidRDefault="00507BAB" w:rsidP="00E77136">
            <w:r w:rsidRPr="00507BAB">
              <w:t>(cumulative)</w:t>
            </w:r>
          </w:p>
        </w:tc>
        <w:tc>
          <w:tcPr>
            <w:tcW w:w="1520" w:type="dxa"/>
            <w:tcBorders>
              <w:top w:val="single" w:sz="4" w:space="0" w:color="auto"/>
              <w:left w:val="single" w:sz="4" w:space="0" w:color="auto"/>
              <w:bottom w:val="single" w:sz="4" w:space="0" w:color="auto"/>
              <w:right w:val="single" w:sz="4" w:space="0" w:color="auto"/>
            </w:tcBorders>
            <w:shd w:val="clear" w:color="auto" w:fill="00B050"/>
          </w:tcPr>
          <w:p w14:paraId="51EEF6DF" w14:textId="430D28F8" w:rsidR="00507BAB" w:rsidRPr="00507BAB" w:rsidRDefault="00230BE6" w:rsidP="00E77136">
            <w:r>
              <w:t>Surpassed</w:t>
            </w:r>
          </w:p>
          <w:p w14:paraId="5781A76C" w14:textId="77777777" w:rsidR="00507BAB" w:rsidRPr="00507BAB" w:rsidRDefault="00507BAB" w:rsidP="00E77136">
            <w:r w:rsidRPr="00507BAB">
              <w:t>9</w:t>
            </w:r>
          </w:p>
          <w:p w14:paraId="2400AEFB" w14:textId="77777777" w:rsidR="00507BAB" w:rsidRPr="00507BAB" w:rsidRDefault="00507BAB" w:rsidP="00E77136">
            <w:r w:rsidRPr="00507BAB">
              <w:t xml:space="preserve"> </w:t>
            </w:r>
          </w:p>
        </w:tc>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45975E" w14:textId="77777777" w:rsidR="00507BAB" w:rsidRPr="00507BAB" w:rsidRDefault="00507BAB" w:rsidP="00E77136">
            <w:r w:rsidRPr="00507BAB">
              <w:t>5</w:t>
            </w:r>
          </w:p>
        </w:tc>
        <w:tc>
          <w:tcPr>
            <w:tcW w:w="1618" w:type="dxa"/>
            <w:tcBorders>
              <w:top w:val="single" w:sz="4" w:space="0" w:color="auto"/>
              <w:left w:val="single" w:sz="4" w:space="0" w:color="auto"/>
              <w:bottom w:val="single" w:sz="4" w:space="0" w:color="auto"/>
            </w:tcBorders>
          </w:tcPr>
          <w:p w14:paraId="0DCCD63B" w14:textId="77777777" w:rsidR="00507BAB" w:rsidRPr="00507BAB" w:rsidRDefault="00507BAB" w:rsidP="00E77136">
            <w:r w:rsidRPr="00507BAB">
              <w:t>35%</w:t>
            </w:r>
          </w:p>
        </w:tc>
      </w:tr>
      <w:tr w:rsidR="00507BAB" w:rsidRPr="00CF4E9C" w14:paraId="40324682" w14:textId="77777777" w:rsidTr="00FA5A28">
        <w:tc>
          <w:tcPr>
            <w:tcW w:w="1138" w:type="dxa"/>
            <w:tcBorders>
              <w:top w:val="single" w:sz="4" w:space="0" w:color="auto"/>
              <w:bottom w:val="single" w:sz="4" w:space="0" w:color="auto"/>
              <w:right w:val="single" w:sz="4" w:space="0" w:color="auto"/>
            </w:tcBorders>
          </w:tcPr>
          <w:p w14:paraId="5E81C21E" w14:textId="77777777" w:rsidR="00507BAB" w:rsidRPr="00507BAB" w:rsidRDefault="00507BAB" w:rsidP="00C203FD">
            <w:r w:rsidRPr="00507BAB">
              <w:t>2.2</w:t>
            </w:r>
          </w:p>
        </w:tc>
        <w:tc>
          <w:tcPr>
            <w:tcW w:w="3455" w:type="dxa"/>
            <w:tcBorders>
              <w:top w:val="single" w:sz="4" w:space="0" w:color="auto"/>
              <w:left w:val="single" w:sz="4" w:space="0" w:color="auto"/>
              <w:bottom w:val="single" w:sz="4" w:space="0" w:color="auto"/>
              <w:right w:val="single" w:sz="4" w:space="0" w:color="auto"/>
            </w:tcBorders>
          </w:tcPr>
          <w:p w14:paraId="3300D8F5" w14:textId="6AE98D81" w:rsidR="00507BAB" w:rsidRPr="00507BAB" w:rsidRDefault="00507BAB" w:rsidP="00E77136">
            <w:r w:rsidRPr="00507BAB">
              <w:t>Number of new or revised documents related to AMS and antibiotic prescribing developed (C</w:t>
            </w:r>
            <w:r w:rsidR="008D6C3A">
              <w:t>ommon</w:t>
            </w:r>
            <w:r w:rsidRPr="00507BAB">
              <w:t>w</w:t>
            </w:r>
            <w:r w:rsidR="008D6C3A">
              <w:t xml:space="preserve">ealth </w:t>
            </w:r>
            <w:r w:rsidRPr="00507BAB">
              <w:t>P</w:t>
            </w:r>
            <w:r w:rsidR="008D6C3A">
              <w:t xml:space="preserve">artnerships for </w:t>
            </w:r>
            <w:r w:rsidRPr="00507BAB">
              <w:t>A</w:t>
            </w:r>
            <w:r w:rsidR="008D6C3A">
              <w:t xml:space="preserve">ntimicrobial </w:t>
            </w:r>
            <w:r w:rsidRPr="00507BAB">
              <w:t>S</w:t>
            </w:r>
            <w:r w:rsidR="008D6C3A">
              <w:t>tewardship (</w:t>
            </w:r>
            <w:proofErr w:type="spellStart"/>
            <w:r w:rsidR="008D6C3A">
              <w:t>CwPAMS</w:t>
            </w:r>
            <w:proofErr w:type="spellEnd"/>
            <w:r w:rsidR="008D6C3A">
              <w:t>)</w:t>
            </w:r>
            <w:r w:rsidRPr="00507BAB">
              <w:t>)</w:t>
            </w:r>
          </w:p>
          <w:p w14:paraId="42900399" w14:textId="77777777" w:rsidR="00507BAB" w:rsidRPr="00507BAB" w:rsidRDefault="00507BAB" w:rsidP="00507BAB"/>
        </w:tc>
        <w:tc>
          <w:tcPr>
            <w:tcW w:w="1681" w:type="dxa"/>
            <w:tcBorders>
              <w:top w:val="single" w:sz="4" w:space="0" w:color="auto"/>
              <w:left w:val="single" w:sz="4" w:space="0" w:color="auto"/>
              <w:bottom w:val="single" w:sz="4" w:space="0" w:color="auto"/>
              <w:right w:val="single" w:sz="4" w:space="0" w:color="auto"/>
            </w:tcBorders>
          </w:tcPr>
          <w:p w14:paraId="29E6E132" w14:textId="77777777" w:rsidR="00507BAB" w:rsidRPr="00507BAB" w:rsidRDefault="00507BAB" w:rsidP="00C203FD">
            <w:r w:rsidRPr="00507BAB">
              <w:t>18</w:t>
            </w:r>
          </w:p>
        </w:tc>
        <w:tc>
          <w:tcPr>
            <w:tcW w:w="1520" w:type="dxa"/>
            <w:tcBorders>
              <w:top w:val="single" w:sz="4" w:space="0" w:color="auto"/>
              <w:left w:val="single" w:sz="4" w:space="0" w:color="auto"/>
              <w:bottom w:val="single" w:sz="4" w:space="0" w:color="auto"/>
              <w:right w:val="single" w:sz="4" w:space="0" w:color="auto"/>
            </w:tcBorders>
            <w:shd w:val="clear" w:color="auto" w:fill="00B050"/>
          </w:tcPr>
          <w:p w14:paraId="2D1039A0" w14:textId="1A69D621" w:rsidR="00507BAB" w:rsidRPr="00507BAB" w:rsidRDefault="00CE282B" w:rsidP="00CE282B">
            <w:pPr>
              <w:rPr>
                <w:highlight w:val="red"/>
              </w:rPr>
            </w:pPr>
            <w:r>
              <w:t>Achieved (18)</w:t>
            </w:r>
          </w:p>
        </w:tc>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F8B36" w14:textId="77777777" w:rsidR="00507BAB" w:rsidRPr="00507BAB" w:rsidRDefault="00507BAB" w:rsidP="00C203FD">
            <w:r w:rsidRPr="00507BAB">
              <w:t>N/A – Introduced in 2020</w:t>
            </w:r>
          </w:p>
          <w:p w14:paraId="520C7986" w14:textId="77777777" w:rsidR="00507BAB" w:rsidRPr="00507BAB" w:rsidRDefault="00507BAB" w:rsidP="00507BAB"/>
        </w:tc>
        <w:tc>
          <w:tcPr>
            <w:tcW w:w="1618" w:type="dxa"/>
            <w:tcBorders>
              <w:top w:val="single" w:sz="4" w:space="0" w:color="auto"/>
              <w:left w:val="single" w:sz="4" w:space="0" w:color="auto"/>
              <w:bottom w:val="single" w:sz="4" w:space="0" w:color="auto"/>
            </w:tcBorders>
          </w:tcPr>
          <w:p w14:paraId="439EDA87" w14:textId="77777777" w:rsidR="00507BAB" w:rsidRPr="00507BAB" w:rsidRDefault="00507BAB" w:rsidP="00C203FD">
            <w:r w:rsidRPr="00507BAB">
              <w:t>25%</w:t>
            </w:r>
          </w:p>
        </w:tc>
      </w:tr>
      <w:tr w:rsidR="00507BAB" w:rsidRPr="00CF4E9C" w14:paraId="2ACCDA1C" w14:textId="77777777" w:rsidTr="00FA5A28">
        <w:trPr>
          <w:trHeight w:val="585"/>
        </w:trPr>
        <w:tc>
          <w:tcPr>
            <w:tcW w:w="1138" w:type="dxa"/>
            <w:tcBorders>
              <w:top w:val="single" w:sz="4" w:space="0" w:color="auto"/>
              <w:bottom w:val="single" w:sz="4" w:space="0" w:color="auto"/>
              <w:right w:val="single" w:sz="4" w:space="0" w:color="auto"/>
            </w:tcBorders>
          </w:tcPr>
          <w:p w14:paraId="63C7BE6B" w14:textId="77777777" w:rsidR="00507BAB" w:rsidRPr="00507BAB" w:rsidRDefault="00507BAB" w:rsidP="00C203FD">
            <w:r w:rsidRPr="00507BAB">
              <w:lastRenderedPageBreak/>
              <w:t>2.3</w:t>
            </w:r>
          </w:p>
        </w:tc>
        <w:tc>
          <w:tcPr>
            <w:tcW w:w="3455" w:type="dxa"/>
            <w:tcBorders>
              <w:top w:val="single" w:sz="4" w:space="0" w:color="auto"/>
              <w:left w:val="single" w:sz="4" w:space="0" w:color="auto"/>
              <w:bottom w:val="single" w:sz="4" w:space="0" w:color="auto"/>
              <w:right w:val="single" w:sz="4" w:space="0" w:color="auto"/>
            </w:tcBorders>
          </w:tcPr>
          <w:p w14:paraId="00E0FCDF" w14:textId="25193377" w:rsidR="00507BAB" w:rsidRPr="00507BAB" w:rsidRDefault="00507BAB" w:rsidP="00E77136">
            <w:r w:rsidRPr="00507BAB">
              <w:t>Number of countries implementing Tricycle using F</w:t>
            </w:r>
            <w:r w:rsidR="008D6C3A">
              <w:t xml:space="preserve">leming </w:t>
            </w:r>
            <w:r w:rsidRPr="00507BAB">
              <w:t>F</w:t>
            </w:r>
            <w:r w:rsidR="008D6C3A">
              <w:t>und</w:t>
            </w:r>
            <w:r w:rsidRPr="00507BAB">
              <w:t xml:space="preserve"> funding (WHO)</w:t>
            </w:r>
          </w:p>
        </w:tc>
        <w:tc>
          <w:tcPr>
            <w:tcW w:w="1681" w:type="dxa"/>
            <w:tcBorders>
              <w:top w:val="single" w:sz="4" w:space="0" w:color="auto"/>
              <w:left w:val="single" w:sz="4" w:space="0" w:color="auto"/>
              <w:bottom w:val="single" w:sz="4" w:space="0" w:color="auto"/>
              <w:right w:val="single" w:sz="4" w:space="0" w:color="auto"/>
            </w:tcBorders>
          </w:tcPr>
          <w:p w14:paraId="52519D00" w14:textId="77777777" w:rsidR="00507BAB" w:rsidRPr="00507BAB" w:rsidRDefault="00507BAB" w:rsidP="00E77136">
            <w:r w:rsidRPr="00507BAB">
              <w:t>6</w:t>
            </w:r>
          </w:p>
        </w:tc>
        <w:tc>
          <w:tcPr>
            <w:tcW w:w="1520" w:type="dxa"/>
            <w:tcBorders>
              <w:top w:val="single" w:sz="4" w:space="0" w:color="auto"/>
              <w:left w:val="single" w:sz="4" w:space="0" w:color="auto"/>
              <w:bottom w:val="single" w:sz="4" w:space="0" w:color="auto"/>
              <w:right w:val="single" w:sz="4" w:space="0" w:color="auto"/>
            </w:tcBorders>
            <w:shd w:val="clear" w:color="auto" w:fill="00B050"/>
          </w:tcPr>
          <w:p w14:paraId="2000E65D" w14:textId="6A664879" w:rsidR="00507BAB" w:rsidRPr="00507BAB" w:rsidRDefault="00507BAB" w:rsidP="00E77136">
            <w:r w:rsidRPr="00507BAB">
              <w:t>Achieved</w:t>
            </w:r>
            <w:r w:rsidR="00CE282B">
              <w:t xml:space="preserve"> (6)</w:t>
            </w:r>
          </w:p>
          <w:p w14:paraId="5D924929" w14:textId="77777777" w:rsidR="00507BAB" w:rsidRPr="00507BAB" w:rsidRDefault="00507BAB" w:rsidP="00507BAB">
            <w:pPr>
              <w:rPr>
                <w:highlight w:val="red"/>
              </w:rPr>
            </w:pPr>
          </w:p>
        </w:tc>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D9FC2" w14:textId="77777777" w:rsidR="00507BAB" w:rsidRPr="00507BAB" w:rsidRDefault="00507BAB" w:rsidP="00C203FD">
            <w:r w:rsidRPr="00507BAB">
              <w:t>5</w:t>
            </w:r>
          </w:p>
        </w:tc>
        <w:tc>
          <w:tcPr>
            <w:tcW w:w="1618" w:type="dxa"/>
            <w:tcBorders>
              <w:top w:val="single" w:sz="4" w:space="0" w:color="auto"/>
              <w:left w:val="single" w:sz="4" w:space="0" w:color="auto"/>
              <w:bottom w:val="single" w:sz="4" w:space="0" w:color="auto"/>
            </w:tcBorders>
          </w:tcPr>
          <w:p w14:paraId="35B6A49A" w14:textId="77777777" w:rsidR="00507BAB" w:rsidRPr="00507BAB" w:rsidRDefault="00507BAB" w:rsidP="00E77136">
            <w:r w:rsidRPr="00507BAB">
              <w:t>40%</w:t>
            </w:r>
          </w:p>
          <w:p w14:paraId="3AD57A98" w14:textId="77777777" w:rsidR="00507BAB" w:rsidRPr="00507BAB" w:rsidRDefault="00507BAB" w:rsidP="00507BAB"/>
        </w:tc>
      </w:tr>
    </w:tbl>
    <w:p w14:paraId="70CAC1BD" w14:textId="77777777" w:rsidR="00507BAB" w:rsidRDefault="00507BAB" w:rsidP="00C203FD"/>
    <w:p w14:paraId="556AF850" w14:textId="76DA0347" w:rsidR="00507BAB" w:rsidRPr="00507BAB" w:rsidRDefault="00507BAB" w:rsidP="00D46652">
      <w:pPr>
        <w:pStyle w:val="ParagraphText-unnumbered"/>
      </w:pPr>
      <w:r w:rsidRPr="00507BAB">
        <w:t xml:space="preserve">2.1. These protocols include: LSHTM Roadmap; Tricycle; OIE questionnaire-based protocol for collection of national animal health AMU data; WHO protocol for collection of national human health AMU data; WHO point prevalence protocol for collection of data on antimicrobial consumption in hospitals; </w:t>
      </w:r>
      <w:r w:rsidR="008D6C3A" w:rsidRPr="008D6C3A">
        <w:t>A Protocol for Active AMR Surveillance</w:t>
      </w:r>
      <w:r w:rsidR="008D6C3A">
        <w:t xml:space="preserve"> </w:t>
      </w:r>
      <w:r w:rsidR="008D6C3A" w:rsidRPr="008D6C3A">
        <w:t>in Poultry</w:t>
      </w:r>
      <w:r w:rsidRPr="00507BAB">
        <w:t xml:space="preserve">; GLASS guide for national surveillance systems for monitoring antimicrobial consumption in hospitals; GLASS manual on the management of antimicrobial consumption data and GLASS methodology for surveillance of national antimicrobial consumption.  </w:t>
      </w:r>
    </w:p>
    <w:p w14:paraId="37836945" w14:textId="2A10D8FE" w:rsidR="00507BAB" w:rsidRPr="00507BAB" w:rsidRDefault="00507BAB" w:rsidP="00D46652">
      <w:pPr>
        <w:pStyle w:val="ParagraphText-unnumbered"/>
      </w:pPr>
      <w:r w:rsidRPr="00507BAB">
        <w:t xml:space="preserve">2.2. </w:t>
      </w:r>
      <w:proofErr w:type="spellStart"/>
      <w:r w:rsidRPr="00507BAB">
        <w:t>CwPAMS</w:t>
      </w:r>
      <w:proofErr w:type="spellEnd"/>
      <w:r w:rsidRPr="00507BAB">
        <w:t xml:space="preserve"> was evaluated by an independent evaluator </w:t>
      </w:r>
      <w:proofErr w:type="spellStart"/>
      <w:r w:rsidRPr="00507BAB">
        <w:t>Ingentium</w:t>
      </w:r>
      <w:proofErr w:type="spellEnd"/>
      <w:r w:rsidRPr="00507BAB">
        <w:t xml:space="preserve">. They found that the development of </w:t>
      </w:r>
      <w:proofErr w:type="gramStart"/>
      <w:r w:rsidRPr="00507BAB">
        <w:t>context-specific</w:t>
      </w:r>
      <w:proofErr w:type="gramEnd"/>
      <w:r w:rsidRPr="00507BAB">
        <w:t xml:space="preserve"> AMS strategies, tools, processes and guidelines in</w:t>
      </w:r>
      <w:r>
        <w:t xml:space="preserve"> </w:t>
      </w:r>
      <w:r w:rsidRPr="00507BAB">
        <w:t xml:space="preserve">LMIC hospitals appears key to ensuring that AMS and AMR are prioritised and sustained during and after the completion of projects. The usefulness of the guidelines, tools and strategies was demonstrated during the COVID-19 pandemic when six out of the 12 </w:t>
      </w:r>
      <w:r w:rsidR="002765E9">
        <w:t>health partnership</w:t>
      </w:r>
      <w:r w:rsidRPr="00507BAB">
        <w:t xml:space="preserve">s, working in collaboration with key hospitals/local health officials, were able to scale-up interventions on the production of alcohol-based handwash formula and associated </w:t>
      </w:r>
      <w:r w:rsidR="002765E9">
        <w:t>i</w:t>
      </w:r>
      <w:r w:rsidRPr="00507BAB">
        <w:t xml:space="preserve">nfection </w:t>
      </w:r>
      <w:r w:rsidR="002765E9">
        <w:t>p</w:t>
      </w:r>
      <w:r w:rsidRPr="00507BAB">
        <w:t xml:space="preserve">revention </w:t>
      </w:r>
      <w:r w:rsidR="002765E9">
        <w:t>c</w:t>
      </w:r>
      <w:r w:rsidRPr="00507BAB">
        <w:t xml:space="preserve">ontrol awareness in LMIC hospitals and communities. This was a key unintended high-level effect and outcome which demonstrated the overall positive significance of </w:t>
      </w:r>
      <w:proofErr w:type="spellStart"/>
      <w:r w:rsidRPr="00507BAB">
        <w:t>CwPAMS</w:t>
      </w:r>
      <w:proofErr w:type="spellEnd"/>
      <w:r w:rsidRPr="00507BAB">
        <w:t xml:space="preserve"> and the various resources and tools it helped establish within each Project.</w:t>
      </w:r>
    </w:p>
    <w:p w14:paraId="728B8ABC" w14:textId="14E44A4A" w:rsidR="00507BAB" w:rsidRDefault="00507BAB" w:rsidP="00D46652">
      <w:pPr>
        <w:pStyle w:val="ParagraphText-unnumbered"/>
      </w:pPr>
      <w:r w:rsidRPr="00507BAB">
        <w:t xml:space="preserve">2.3. The impact of </w:t>
      </w:r>
      <w:r w:rsidR="004471F7">
        <w:t>COVID</w:t>
      </w:r>
      <w:r w:rsidRPr="00507BAB">
        <w:t xml:space="preserve">-19 has meant that planned regional training to support </w:t>
      </w:r>
      <w:r w:rsidR="002765E9">
        <w:t xml:space="preserve">the </w:t>
      </w:r>
      <w:r w:rsidRPr="00507BAB">
        <w:t xml:space="preserve">implementation of Tricycle was postponed and implementation has been interrupted. In addition, governmental approval to support implementation in Zimbabwe and Zambia was delayed and only obtained last quarter of 2020. </w:t>
      </w:r>
      <w:proofErr w:type="gramStart"/>
      <w:r w:rsidRPr="00507BAB">
        <w:t>In spite of</w:t>
      </w:r>
      <w:proofErr w:type="gramEnd"/>
      <w:r w:rsidRPr="00507BAB">
        <w:t xml:space="preserve"> these challenges, in 2020, Indonesia, India</w:t>
      </w:r>
      <w:r w:rsidR="00C91D0B">
        <w:t>, Ghana, Pakistan, Jordan</w:t>
      </w:r>
      <w:r w:rsidRPr="00507BAB">
        <w:t xml:space="preserve"> and Nepal were supported by Fleming Fund funding to roll out ESBL Tricycle surveillance. </w:t>
      </w:r>
    </w:p>
    <w:p w14:paraId="6D1734A5" w14:textId="415F856B" w:rsidR="00507BAB" w:rsidRPr="00E77136" w:rsidRDefault="0078336C" w:rsidP="00E77136">
      <w:pPr>
        <w:pStyle w:val="Heading4"/>
        <w:rPr>
          <w:rStyle w:val="Bold"/>
          <w:b/>
        </w:rPr>
      </w:pPr>
      <w:r w:rsidRPr="00E77136">
        <w:rPr>
          <w:rStyle w:val="Bold"/>
          <w:b/>
        </w:rPr>
        <w:t xml:space="preserve">Output title: </w:t>
      </w:r>
      <w:r w:rsidR="00507BAB" w:rsidRPr="00E77136">
        <w:rPr>
          <w:rStyle w:val="Bold"/>
          <w:b/>
        </w:rPr>
        <w:t>Strengthening capacity and workforce on AMR</w:t>
      </w:r>
    </w:p>
    <w:p w14:paraId="48DF10A9" w14:textId="3EB799EB" w:rsidR="00507BAB" w:rsidRDefault="00507BAB" w:rsidP="00D46652">
      <w:pPr>
        <w:pStyle w:val="ParagraphText-unnumbered"/>
      </w:pPr>
      <w:r w:rsidRPr="00507BAB">
        <w:t>Alongside the development of laboratories, the Fleming Fund considers the professional development of in-country staff a key requirement in achieving intended outcomes. Technical capacity comes in many forms including; microbiologists, veterinarians, pharmacists, clinicians, nurses and health economists. By upskilling in-country staff and providing them with the right training, equipment and systems, countries will be able to gather, analyse and share AMR data.</w:t>
      </w:r>
    </w:p>
    <w:tbl>
      <w:tblPr>
        <w:tblW w:w="11051" w:type="dxa"/>
        <w:tblInd w:w="-851" w:type="dxa"/>
        <w:tblLook w:val="04A0" w:firstRow="1" w:lastRow="0" w:firstColumn="1" w:lastColumn="0" w:noHBand="0" w:noVBand="1"/>
      </w:tblPr>
      <w:tblGrid>
        <w:gridCol w:w="2839"/>
        <w:gridCol w:w="2940"/>
        <w:gridCol w:w="5272"/>
      </w:tblGrid>
      <w:tr w:rsidR="00507BAB" w14:paraId="6E6176CF" w14:textId="77777777" w:rsidTr="00DE5714">
        <w:trPr>
          <w:trHeight w:val="412"/>
        </w:trPr>
        <w:tc>
          <w:tcPr>
            <w:tcW w:w="2839" w:type="dxa"/>
            <w:tcBorders>
              <w:bottom w:val="single" w:sz="4" w:space="0" w:color="auto"/>
            </w:tcBorders>
            <w:vAlign w:val="center"/>
          </w:tcPr>
          <w:p w14:paraId="20EBC8EC" w14:textId="77777777" w:rsidR="00507BAB" w:rsidRPr="00507BAB" w:rsidRDefault="00507BAB" w:rsidP="00E77136">
            <w:r w:rsidRPr="00507BAB">
              <w:t>5-point score 2020: B</w:t>
            </w:r>
          </w:p>
        </w:tc>
        <w:tc>
          <w:tcPr>
            <w:tcW w:w="2940" w:type="dxa"/>
            <w:tcBorders>
              <w:bottom w:val="single" w:sz="4" w:space="0" w:color="auto"/>
            </w:tcBorders>
            <w:vAlign w:val="center"/>
          </w:tcPr>
          <w:p w14:paraId="1087C68D" w14:textId="77777777" w:rsidR="00507BAB" w:rsidRPr="00507BAB" w:rsidRDefault="00507BAB" w:rsidP="00E77136">
            <w:r w:rsidRPr="00507BAB">
              <w:t>5-point score 2019: B</w:t>
            </w:r>
          </w:p>
        </w:tc>
        <w:tc>
          <w:tcPr>
            <w:tcW w:w="5272" w:type="dxa"/>
            <w:tcBorders>
              <w:bottom w:val="single" w:sz="4" w:space="0" w:color="auto"/>
            </w:tcBorders>
            <w:vAlign w:val="center"/>
          </w:tcPr>
          <w:p w14:paraId="43D8C745" w14:textId="77777777" w:rsidR="00507BAB" w:rsidRPr="00507BAB" w:rsidRDefault="00507BAB" w:rsidP="00E77136">
            <w:r w:rsidRPr="00507BAB">
              <w:t>Impact weighting:10%</w:t>
            </w:r>
          </w:p>
        </w:tc>
      </w:tr>
    </w:tbl>
    <w:tbl>
      <w:tblPr>
        <w:tblStyle w:val="TableGrid"/>
        <w:tblW w:w="11199" w:type="dxa"/>
        <w:tblInd w:w="-856" w:type="dxa"/>
        <w:tblBorders>
          <w:insideH w:val="none" w:sz="0" w:space="0" w:color="auto"/>
          <w:insideV w:val="none" w:sz="0" w:space="0" w:color="auto"/>
        </w:tblBorders>
        <w:tblLook w:val="04A0" w:firstRow="1" w:lastRow="0" w:firstColumn="1" w:lastColumn="0" w:noHBand="0" w:noVBand="1"/>
      </w:tblPr>
      <w:tblGrid>
        <w:gridCol w:w="1137"/>
        <w:gridCol w:w="3542"/>
        <w:gridCol w:w="1559"/>
        <w:gridCol w:w="1417"/>
        <w:gridCol w:w="1985"/>
        <w:gridCol w:w="1559"/>
      </w:tblGrid>
      <w:tr w:rsidR="00507BAB" w:rsidRPr="00D3441B" w14:paraId="4309E763" w14:textId="77777777" w:rsidTr="00FA5A28">
        <w:tc>
          <w:tcPr>
            <w:tcW w:w="1137" w:type="dxa"/>
            <w:tcBorders>
              <w:top w:val="single" w:sz="4" w:space="0" w:color="auto"/>
              <w:bottom w:val="single" w:sz="4" w:space="0" w:color="auto"/>
              <w:right w:val="single" w:sz="4" w:space="0" w:color="auto"/>
            </w:tcBorders>
            <w:shd w:val="clear" w:color="auto" w:fill="F2F2F2" w:themeFill="background1" w:themeFillShade="F2"/>
          </w:tcPr>
          <w:p w14:paraId="2C17CDC0" w14:textId="77777777" w:rsidR="00507BAB" w:rsidRPr="00507BAB" w:rsidRDefault="00507BAB" w:rsidP="00C203FD">
            <w:r w:rsidRPr="00507BAB">
              <w:t xml:space="preserve">Output </w:t>
            </w:r>
          </w:p>
          <w:p w14:paraId="283CFD9E" w14:textId="77777777" w:rsidR="00507BAB" w:rsidRPr="00507BAB" w:rsidRDefault="00507BAB" w:rsidP="00E77136">
            <w:r w:rsidRPr="00507BAB">
              <w:t>Indicator</w:t>
            </w:r>
          </w:p>
        </w:tc>
        <w:tc>
          <w:tcPr>
            <w:tcW w:w="3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A5916" w14:textId="77777777" w:rsidR="00507BAB" w:rsidRPr="00507BAB" w:rsidRDefault="00507BAB" w:rsidP="00E77136">
            <w:r w:rsidRPr="00507BAB">
              <w:t>Indicator</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86DCB" w14:textId="77777777" w:rsidR="00507BAB" w:rsidRPr="00507BAB" w:rsidRDefault="00507BAB" w:rsidP="00E77136">
            <w:r w:rsidRPr="00507BAB">
              <w:t>Milestone 2020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8E58F" w14:textId="77777777" w:rsidR="00507BAB" w:rsidRPr="00507BAB" w:rsidRDefault="00507BAB" w:rsidP="00E77136">
            <w:r w:rsidRPr="00507BAB">
              <w:t>Progress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4B4623" w14:textId="77777777" w:rsidR="00507BAB" w:rsidRPr="00507BAB" w:rsidRDefault="00507BAB" w:rsidP="00E77136">
            <w:r w:rsidRPr="00507BAB">
              <w:t>Status at Year 2 – 2020 Annual review</w:t>
            </w:r>
          </w:p>
        </w:tc>
        <w:tc>
          <w:tcPr>
            <w:tcW w:w="1559" w:type="dxa"/>
            <w:tcBorders>
              <w:top w:val="single" w:sz="4" w:space="0" w:color="auto"/>
              <w:left w:val="single" w:sz="4" w:space="0" w:color="auto"/>
              <w:bottom w:val="single" w:sz="4" w:space="0" w:color="auto"/>
            </w:tcBorders>
            <w:shd w:val="clear" w:color="auto" w:fill="F2F2F2" w:themeFill="background1" w:themeFillShade="F2"/>
          </w:tcPr>
          <w:p w14:paraId="39CE867B" w14:textId="77777777" w:rsidR="00507BAB" w:rsidRPr="00507BAB" w:rsidRDefault="00507BAB" w:rsidP="00E77136">
            <w:r w:rsidRPr="00507BAB">
              <w:t>Weighting</w:t>
            </w:r>
          </w:p>
        </w:tc>
      </w:tr>
      <w:tr w:rsidR="00507BAB" w:rsidRPr="00D3441B" w14:paraId="56DBCB4C" w14:textId="77777777" w:rsidTr="00FA5A28">
        <w:tc>
          <w:tcPr>
            <w:tcW w:w="1137" w:type="dxa"/>
            <w:tcBorders>
              <w:top w:val="single" w:sz="4" w:space="0" w:color="auto"/>
              <w:bottom w:val="single" w:sz="4" w:space="0" w:color="auto"/>
              <w:right w:val="single" w:sz="4" w:space="0" w:color="auto"/>
            </w:tcBorders>
          </w:tcPr>
          <w:p w14:paraId="6DFE9E79" w14:textId="77777777" w:rsidR="00507BAB" w:rsidRPr="00507BAB" w:rsidRDefault="00507BAB" w:rsidP="00C203FD">
            <w:r w:rsidRPr="00507BAB">
              <w:lastRenderedPageBreak/>
              <w:t>3.1</w:t>
            </w:r>
          </w:p>
        </w:tc>
        <w:tc>
          <w:tcPr>
            <w:tcW w:w="3542" w:type="dxa"/>
            <w:tcBorders>
              <w:top w:val="single" w:sz="4" w:space="0" w:color="auto"/>
              <w:left w:val="single" w:sz="4" w:space="0" w:color="auto"/>
              <w:bottom w:val="single" w:sz="4" w:space="0" w:color="auto"/>
              <w:right w:val="single" w:sz="4" w:space="0" w:color="auto"/>
            </w:tcBorders>
          </w:tcPr>
          <w:p w14:paraId="5C127C2B" w14:textId="0B8FBE9A" w:rsidR="00507BAB" w:rsidRPr="00507BAB" w:rsidRDefault="00507BAB" w:rsidP="00E77136">
            <w:r w:rsidRPr="00507BAB">
              <w:t>Number of O</w:t>
            </w:r>
            <w:r w:rsidR="002765E9">
              <w:t xml:space="preserve">verseas </w:t>
            </w:r>
            <w:r w:rsidRPr="00507BAB">
              <w:t>D</w:t>
            </w:r>
            <w:r w:rsidR="002765E9">
              <w:t xml:space="preserve">evelopment </w:t>
            </w:r>
            <w:r w:rsidRPr="00507BAB">
              <w:t>I</w:t>
            </w:r>
            <w:r w:rsidR="002765E9">
              <w:t>nstitute (ODI)</w:t>
            </w:r>
            <w:r w:rsidRPr="00507BAB">
              <w:t xml:space="preserve"> Fellows placed (ODI)</w:t>
            </w:r>
          </w:p>
        </w:tc>
        <w:tc>
          <w:tcPr>
            <w:tcW w:w="1559" w:type="dxa"/>
            <w:tcBorders>
              <w:top w:val="single" w:sz="4" w:space="0" w:color="auto"/>
              <w:left w:val="single" w:sz="4" w:space="0" w:color="auto"/>
              <w:bottom w:val="single" w:sz="4" w:space="0" w:color="auto"/>
              <w:right w:val="single" w:sz="4" w:space="0" w:color="auto"/>
            </w:tcBorders>
          </w:tcPr>
          <w:p w14:paraId="4C327355" w14:textId="77777777" w:rsidR="00507BAB" w:rsidRPr="00507BAB" w:rsidRDefault="00507BAB" w:rsidP="00E77136">
            <w:r w:rsidRPr="00507BAB">
              <w:t xml:space="preserve">10 </w:t>
            </w:r>
          </w:p>
          <w:p w14:paraId="467F6B6E" w14:textId="77777777" w:rsidR="00507BAB" w:rsidRPr="00507BAB" w:rsidRDefault="00507BAB" w:rsidP="00E77136">
            <w:r w:rsidRPr="00507BAB">
              <w:t>(cumulative)</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214935DA" w14:textId="77777777" w:rsidR="00507BAB" w:rsidRPr="00507BAB" w:rsidRDefault="00507BAB" w:rsidP="00E77136">
            <w:r w:rsidRPr="00507BAB">
              <w:t xml:space="preserve">Not achieved </w:t>
            </w:r>
          </w:p>
          <w:p w14:paraId="10A3AC56" w14:textId="77777777" w:rsidR="00507BAB" w:rsidRPr="00507BAB" w:rsidRDefault="00507BAB" w:rsidP="00E77136">
            <w:r w:rsidRPr="00507BAB">
              <w:t>(3)</w:t>
            </w:r>
          </w:p>
          <w:p w14:paraId="7217254C" w14:textId="77777777" w:rsidR="00507BAB" w:rsidRPr="00507BAB" w:rsidRDefault="00507BAB" w:rsidP="00507BAB"/>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FECE70" w14:textId="77777777" w:rsidR="00507BAB" w:rsidRPr="00507BAB" w:rsidRDefault="00507BAB" w:rsidP="00C203FD">
            <w:r w:rsidRPr="00507BAB">
              <w:t>3</w:t>
            </w:r>
          </w:p>
        </w:tc>
        <w:tc>
          <w:tcPr>
            <w:tcW w:w="1559" w:type="dxa"/>
            <w:tcBorders>
              <w:top w:val="single" w:sz="4" w:space="0" w:color="auto"/>
              <w:left w:val="single" w:sz="4" w:space="0" w:color="auto"/>
              <w:bottom w:val="single" w:sz="4" w:space="0" w:color="auto"/>
            </w:tcBorders>
          </w:tcPr>
          <w:p w14:paraId="5642AC60" w14:textId="77777777" w:rsidR="00507BAB" w:rsidRPr="00507BAB" w:rsidRDefault="00507BAB" w:rsidP="00E77136">
            <w:r w:rsidRPr="00507BAB">
              <w:t>10%</w:t>
            </w:r>
          </w:p>
        </w:tc>
      </w:tr>
      <w:tr w:rsidR="00507BAB" w:rsidRPr="00D3441B" w14:paraId="29AC1217" w14:textId="77777777" w:rsidTr="00FA5A28">
        <w:tc>
          <w:tcPr>
            <w:tcW w:w="1137" w:type="dxa"/>
            <w:tcBorders>
              <w:top w:val="single" w:sz="4" w:space="0" w:color="auto"/>
              <w:bottom w:val="single" w:sz="4" w:space="0" w:color="auto"/>
              <w:right w:val="single" w:sz="4" w:space="0" w:color="auto"/>
            </w:tcBorders>
          </w:tcPr>
          <w:p w14:paraId="4912F614" w14:textId="77777777" w:rsidR="00507BAB" w:rsidRPr="00507BAB" w:rsidRDefault="00507BAB" w:rsidP="00C203FD">
            <w:r w:rsidRPr="00507BAB">
              <w:t>3.2</w:t>
            </w:r>
          </w:p>
        </w:tc>
        <w:tc>
          <w:tcPr>
            <w:tcW w:w="3542" w:type="dxa"/>
            <w:tcBorders>
              <w:top w:val="single" w:sz="4" w:space="0" w:color="auto"/>
              <w:left w:val="single" w:sz="4" w:space="0" w:color="auto"/>
              <w:bottom w:val="single" w:sz="4" w:space="0" w:color="auto"/>
              <w:right w:val="single" w:sz="4" w:space="0" w:color="auto"/>
            </w:tcBorders>
          </w:tcPr>
          <w:p w14:paraId="77774470" w14:textId="7212BC2C" w:rsidR="00507BAB" w:rsidRPr="00507BAB" w:rsidRDefault="00507BAB" w:rsidP="00E77136">
            <w:r w:rsidRPr="00507BAB">
              <w:t>Number of Professional and Policy Fellows selected cumulatively (M</w:t>
            </w:r>
            <w:r w:rsidR="002765E9">
              <w:t xml:space="preserve">ott </w:t>
            </w:r>
            <w:r w:rsidRPr="00507BAB">
              <w:t>M</w:t>
            </w:r>
            <w:r w:rsidR="002765E9">
              <w:t>acDonald</w:t>
            </w:r>
            <w:r w:rsidRPr="00507BAB">
              <w:t>)</w:t>
            </w:r>
          </w:p>
        </w:tc>
        <w:tc>
          <w:tcPr>
            <w:tcW w:w="1559" w:type="dxa"/>
            <w:tcBorders>
              <w:top w:val="single" w:sz="4" w:space="0" w:color="auto"/>
              <w:left w:val="single" w:sz="4" w:space="0" w:color="auto"/>
              <w:bottom w:val="single" w:sz="4" w:space="0" w:color="auto"/>
              <w:right w:val="single" w:sz="4" w:space="0" w:color="auto"/>
            </w:tcBorders>
          </w:tcPr>
          <w:p w14:paraId="35898176" w14:textId="77777777" w:rsidR="00507BAB" w:rsidRPr="00507BAB" w:rsidRDefault="00507BAB" w:rsidP="00E77136">
            <w:r w:rsidRPr="00507BAB">
              <w:t>162</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7738609C" w14:textId="77777777" w:rsidR="00507BAB" w:rsidRPr="00507BAB" w:rsidRDefault="00507BAB" w:rsidP="00E77136">
            <w:r w:rsidRPr="00507BAB">
              <w:t>Not achieved (131)</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DF2B38" w14:textId="77777777" w:rsidR="00507BAB" w:rsidRPr="00507BAB" w:rsidRDefault="00507BAB" w:rsidP="00E77136">
            <w:r w:rsidRPr="00507BAB">
              <w:t>80</w:t>
            </w:r>
          </w:p>
        </w:tc>
        <w:tc>
          <w:tcPr>
            <w:tcW w:w="1559" w:type="dxa"/>
            <w:tcBorders>
              <w:top w:val="single" w:sz="4" w:space="0" w:color="auto"/>
              <w:left w:val="single" w:sz="4" w:space="0" w:color="auto"/>
              <w:bottom w:val="single" w:sz="4" w:space="0" w:color="auto"/>
            </w:tcBorders>
          </w:tcPr>
          <w:p w14:paraId="3489E893" w14:textId="77777777" w:rsidR="00507BAB" w:rsidRPr="00507BAB" w:rsidRDefault="00507BAB" w:rsidP="00E77136">
            <w:r w:rsidRPr="00507BAB">
              <w:t>25%</w:t>
            </w:r>
          </w:p>
        </w:tc>
      </w:tr>
      <w:tr w:rsidR="00507BAB" w:rsidRPr="00D3441B" w14:paraId="58417119" w14:textId="77777777" w:rsidTr="00FA5A28">
        <w:tc>
          <w:tcPr>
            <w:tcW w:w="1137" w:type="dxa"/>
            <w:tcBorders>
              <w:top w:val="single" w:sz="4" w:space="0" w:color="auto"/>
              <w:bottom w:val="single" w:sz="4" w:space="0" w:color="auto"/>
              <w:right w:val="single" w:sz="4" w:space="0" w:color="auto"/>
            </w:tcBorders>
          </w:tcPr>
          <w:p w14:paraId="493EC928" w14:textId="77777777" w:rsidR="00507BAB" w:rsidRPr="00507BAB" w:rsidRDefault="00507BAB" w:rsidP="00C203FD">
            <w:r w:rsidRPr="00507BAB">
              <w:t>3.3</w:t>
            </w:r>
          </w:p>
        </w:tc>
        <w:tc>
          <w:tcPr>
            <w:tcW w:w="3542" w:type="dxa"/>
            <w:tcBorders>
              <w:top w:val="single" w:sz="4" w:space="0" w:color="auto"/>
              <w:left w:val="single" w:sz="4" w:space="0" w:color="auto"/>
              <w:bottom w:val="single" w:sz="4" w:space="0" w:color="auto"/>
              <w:right w:val="single" w:sz="4" w:space="0" w:color="auto"/>
            </w:tcBorders>
          </w:tcPr>
          <w:p w14:paraId="08B7E458" w14:textId="508D9C28" w:rsidR="00507BAB" w:rsidRPr="00507BAB" w:rsidRDefault="00507BAB" w:rsidP="00E77136">
            <w:r w:rsidRPr="00507BAB">
              <w:t>Number of countries with active Professional Fellows in place (M</w:t>
            </w:r>
            <w:r w:rsidR="002765E9">
              <w:t xml:space="preserve">ott </w:t>
            </w:r>
            <w:r w:rsidRPr="00507BAB">
              <w:t>M</w:t>
            </w:r>
            <w:r w:rsidR="002765E9">
              <w:t>acDonald</w:t>
            </w:r>
            <w:r w:rsidRPr="00507BAB">
              <w:t>)</w:t>
            </w:r>
          </w:p>
          <w:p w14:paraId="11BFAB29" w14:textId="77777777" w:rsidR="00507BAB" w:rsidRPr="00507BAB" w:rsidRDefault="00507BAB" w:rsidP="00507BAB"/>
        </w:tc>
        <w:tc>
          <w:tcPr>
            <w:tcW w:w="1559" w:type="dxa"/>
            <w:tcBorders>
              <w:top w:val="single" w:sz="4" w:space="0" w:color="auto"/>
              <w:left w:val="single" w:sz="4" w:space="0" w:color="auto"/>
              <w:bottom w:val="single" w:sz="4" w:space="0" w:color="auto"/>
              <w:right w:val="single" w:sz="4" w:space="0" w:color="auto"/>
            </w:tcBorders>
          </w:tcPr>
          <w:p w14:paraId="0115F74D" w14:textId="77777777" w:rsidR="00507BAB" w:rsidRPr="00507BAB" w:rsidRDefault="00507BAB" w:rsidP="00C203FD">
            <w:r w:rsidRPr="00507BAB">
              <w:t>19</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42BCE950" w14:textId="1D3B3B0F" w:rsidR="00507BAB" w:rsidRPr="00507BAB" w:rsidRDefault="00507BAB" w:rsidP="00E77136">
            <w:r w:rsidRPr="00507BAB">
              <w:t xml:space="preserve">Achieved </w:t>
            </w:r>
            <w:r w:rsidR="00CE282B">
              <w:t>(19)</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F7F93" w14:textId="77777777" w:rsidR="00507BAB" w:rsidRPr="00507BAB" w:rsidRDefault="00507BAB" w:rsidP="00E77136">
            <w:r w:rsidRPr="00507BAB">
              <w:t>4</w:t>
            </w:r>
          </w:p>
        </w:tc>
        <w:tc>
          <w:tcPr>
            <w:tcW w:w="1559" w:type="dxa"/>
            <w:tcBorders>
              <w:top w:val="single" w:sz="4" w:space="0" w:color="auto"/>
              <w:left w:val="single" w:sz="4" w:space="0" w:color="auto"/>
              <w:bottom w:val="single" w:sz="4" w:space="0" w:color="auto"/>
            </w:tcBorders>
          </w:tcPr>
          <w:p w14:paraId="58DE03B7" w14:textId="77777777" w:rsidR="00507BAB" w:rsidRPr="00507BAB" w:rsidRDefault="00507BAB" w:rsidP="00E77136">
            <w:r w:rsidRPr="00507BAB">
              <w:t>30%</w:t>
            </w:r>
          </w:p>
        </w:tc>
      </w:tr>
      <w:tr w:rsidR="00507BAB" w:rsidRPr="00D3441B" w14:paraId="4068DD1D" w14:textId="77777777" w:rsidTr="00FA5A28">
        <w:tc>
          <w:tcPr>
            <w:tcW w:w="1137" w:type="dxa"/>
            <w:tcBorders>
              <w:top w:val="single" w:sz="4" w:space="0" w:color="auto"/>
              <w:bottom w:val="single" w:sz="4" w:space="0" w:color="auto"/>
              <w:right w:val="single" w:sz="4" w:space="0" w:color="auto"/>
            </w:tcBorders>
          </w:tcPr>
          <w:p w14:paraId="619CC251" w14:textId="77777777" w:rsidR="00507BAB" w:rsidRPr="00507BAB" w:rsidRDefault="00507BAB" w:rsidP="00C203FD">
            <w:r w:rsidRPr="00507BAB">
              <w:t>3.4</w:t>
            </w:r>
          </w:p>
        </w:tc>
        <w:tc>
          <w:tcPr>
            <w:tcW w:w="3542" w:type="dxa"/>
            <w:tcBorders>
              <w:top w:val="single" w:sz="4" w:space="0" w:color="auto"/>
              <w:left w:val="single" w:sz="4" w:space="0" w:color="auto"/>
              <w:bottom w:val="single" w:sz="4" w:space="0" w:color="auto"/>
              <w:right w:val="single" w:sz="4" w:space="0" w:color="auto"/>
            </w:tcBorders>
          </w:tcPr>
          <w:p w14:paraId="55D78F64" w14:textId="05C342ED" w:rsidR="00507BAB" w:rsidRPr="00507BAB" w:rsidRDefault="00507BAB" w:rsidP="00E77136">
            <w:pPr>
              <w:rPr>
                <w:rFonts w:eastAsiaTheme="minorHAnsi"/>
              </w:rPr>
            </w:pPr>
            <w:r w:rsidRPr="00507BAB">
              <w:t>Number of online Open University Course Pathways available (M</w:t>
            </w:r>
            <w:r w:rsidR="002765E9">
              <w:t xml:space="preserve">ott </w:t>
            </w:r>
            <w:r w:rsidRPr="00507BAB">
              <w:t>M</w:t>
            </w:r>
            <w:r w:rsidR="002765E9">
              <w:t>acDonald</w:t>
            </w:r>
            <w:r w:rsidRPr="00507BAB">
              <w:t>)</w:t>
            </w:r>
          </w:p>
        </w:tc>
        <w:tc>
          <w:tcPr>
            <w:tcW w:w="1559" w:type="dxa"/>
            <w:tcBorders>
              <w:top w:val="single" w:sz="4" w:space="0" w:color="auto"/>
              <w:left w:val="single" w:sz="4" w:space="0" w:color="auto"/>
              <w:bottom w:val="single" w:sz="4" w:space="0" w:color="auto"/>
              <w:right w:val="single" w:sz="4" w:space="0" w:color="auto"/>
            </w:tcBorders>
          </w:tcPr>
          <w:p w14:paraId="49A4D3BB" w14:textId="77777777" w:rsidR="00507BAB" w:rsidRPr="00507BAB" w:rsidRDefault="00507BAB" w:rsidP="00E77136">
            <w:r w:rsidRPr="00507BAB">
              <w:t>3</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35B960F" w14:textId="77777777" w:rsidR="00507BAB" w:rsidRPr="00507BAB" w:rsidRDefault="00507BAB" w:rsidP="00E77136">
            <w:r w:rsidRPr="00507BAB">
              <w:t>Not achieved</w:t>
            </w:r>
          </w:p>
          <w:p w14:paraId="7B989137" w14:textId="77777777" w:rsidR="00507BAB" w:rsidRPr="00507BAB" w:rsidRDefault="00507BAB" w:rsidP="00E77136">
            <w:r w:rsidRPr="00507BAB">
              <w:t>(0)</w:t>
            </w:r>
          </w:p>
          <w:p w14:paraId="2707EE08" w14:textId="77777777" w:rsidR="00507BAB" w:rsidRPr="00507BAB" w:rsidRDefault="00507BAB" w:rsidP="00507BAB"/>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376E7" w14:textId="77777777" w:rsidR="00507BAB" w:rsidRPr="00507BAB" w:rsidRDefault="00507BAB" w:rsidP="00C203FD">
            <w:r w:rsidRPr="00507BAB">
              <w:t>N/A introduced in Mar 2020</w:t>
            </w:r>
          </w:p>
        </w:tc>
        <w:tc>
          <w:tcPr>
            <w:tcW w:w="1559" w:type="dxa"/>
            <w:tcBorders>
              <w:top w:val="single" w:sz="4" w:space="0" w:color="auto"/>
              <w:left w:val="single" w:sz="4" w:space="0" w:color="auto"/>
              <w:bottom w:val="single" w:sz="4" w:space="0" w:color="auto"/>
            </w:tcBorders>
          </w:tcPr>
          <w:p w14:paraId="15357F7F" w14:textId="77777777" w:rsidR="00507BAB" w:rsidRPr="00507BAB" w:rsidRDefault="00507BAB" w:rsidP="00E77136">
            <w:r w:rsidRPr="00507BAB">
              <w:t>15%</w:t>
            </w:r>
          </w:p>
        </w:tc>
      </w:tr>
      <w:tr w:rsidR="00507BAB" w:rsidRPr="00D3441B" w14:paraId="13D345D5" w14:textId="77777777" w:rsidTr="00FA5A28">
        <w:tc>
          <w:tcPr>
            <w:tcW w:w="1137" w:type="dxa"/>
            <w:tcBorders>
              <w:top w:val="single" w:sz="4" w:space="0" w:color="auto"/>
              <w:bottom w:val="single" w:sz="4" w:space="0" w:color="auto"/>
              <w:right w:val="single" w:sz="4" w:space="0" w:color="auto"/>
            </w:tcBorders>
          </w:tcPr>
          <w:p w14:paraId="11F7814C" w14:textId="77777777" w:rsidR="00507BAB" w:rsidRPr="00507BAB" w:rsidRDefault="00507BAB" w:rsidP="00C203FD">
            <w:r w:rsidRPr="00507BAB">
              <w:t>3.5</w:t>
            </w:r>
          </w:p>
        </w:tc>
        <w:tc>
          <w:tcPr>
            <w:tcW w:w="3542" w:type="dxa"/>
            <w:tcBorders>
              <w:top w:val="single" w:sz="4" w:space="0" w:color="auto"/>
              <w:left w:val="single" w:sz="4" w:space="0" w:color="auto"/>
              <w:bottom w:val="single" w:sz="4" w:space="0" w:color="auto"/>
              <w:right w:val="single" w:sz="4" w:space="0" w:color="auto"/>
            </w:tcBorders>
          </w:tcPr>
          <w:p w14:paraId="5F27F954" w14:textId="77777777" w:rsidR="00507BAB" w:rsidRPr="00507BAB" w:rsidRDefault="00507BAB" w:rsidP="00E77136">
            <w:r w:rsidRPr="00507BAB">
              <w:t>Number of LMIC healthcare staff trained and tested demonstrating improved knowledge after training (</w:t>
            </w:r>
            <w:proofErr w:type="spellStart"/>
            <w:r w:rsidRPr="00507BAB">
              <w:t>CwPAMS</w:t>
            </w:r>
            <w:proofErr w:type="spellEnd"/>
            <w:r w:rsidRPr="00507BAB">
              <w:t>)</w:t>
            </w:r>
          </w:p>
          <w:p w14:paraId="1B94F89D" w14:textId="77777777" w:rsidR="00507BAB" w:rsidRPr="00507BAB" w:rsidRDefault="00507BAB" w:rsidP="00507BAB"/>
        </w:tc>
        <w:tc>
          <w:tcPr>
            <w:tcW w:w="1559" w:type="dxa"/>
            <w:tcBorders>
              <w:top w:val="single" w:sz="4" w:space="0" w:color="auto"/>
              <w:left w:val="single" w:sz="4" w:space="0" w:color="auto"/>
              <w:bottom w:val="single" w:sz="4" w:space="0" w:color="auto"/>
              <w:right w:val="single" w:sz="4" w:space="0" w:color="auto"/>
            </w:tcBorders>
          </w:tcPr>
          <w:p w14:paraId="3D12647F" w14:textId="77777777" w:rsidR="00507BAB" w:rsidRPr="00507BAB" w:rsidRDefault="00507BAB" w:rsidP="00C203FD">
            <w:r w:rsidRPr="00507BAB">
              <w:t>943</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05A61E3A" w14:textId="77777777" w:rsidR="00507BAB" w:rsidRPr="00507BAB" w:rsidRDefault="00507BAB" w:rsidP="00E77136">
            <w:r w:rsidRPr="00507BAB">
              <w:t>Surpassed</w:t>
            </w:r>
          </w:p>
          <w:p w14:paraId="50E2527D" w14:textId="77777777" w:rsidR="00507BAB" w:rsidRPr="00507BAB" w:rsidRDefault="00507BAB" w:rsidP="00E77136">
            <w:r w:rsidRPr="00507BAB">
              <w:t>(1024)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360D3" w14:textId="77777777" w:rsidR="00507BAB" w:rsidRPr="00507BAB" w:rsidRDefault="00507BAB" w:rsidP="00E77136">
            <w:r w:rsidRPr="00507BAB">
              <w:t xml:space="preserve">N/A introduced in Mar 2020 </w:t>
            </w:r>
          </w:p>
        </w:tc>
        <w:tc>
          <w:tcPr>
            <w:tcW w:w="1559" w:type="dxa"/>
            <w:tcBorders>
              <w:top w:val="single" w:sz="4" w:space="0" w:color="auto"/>
              <w:left w:val="single" w:sz="4" w:space="0" w:color="auto"/>
              <w:bottom w:val="single" w:sz="4" w:space="0" w:color="auto"/>
            </w:tcBorders>
          </w:tcPr>
          <w:p w14:paraId="6C264934" w14:textId="77777777" w:rsidR="00507BAB" w:rsidRPr="00507BAB" w:rsidRDefault="00507BAB" w:rsidP="00E77136">
            <w:r w:rsidRPr="00507BAB">
              <w:t>10%</w:t>
            </w:r>
          </w:p>
        </w:tc>
      </w:tr>
      <w:tr w:rsidR="00507BAB" w:rsidRPr="00D3441B" w14:paraId="7E44C30F" w14:textId="77777777" w:rsidTr="00FA5A28">
        <w:tc>
          <w:tcPr>
            <w:tcW w:w="1137" w:type="dxa"/>
            <w:tcBorders>
              <w:top w:val="single" w:sz="4" w:space="0" w:color="auto"/>
              <w:bottom w:val="single" w:sz="4" w:space="0" w:color="auto"/>
              <w:right w:val="single" w:sz="4" w:space="0" w:color="auto"/>
            </w:tcBorders>
          </w:tcPr>
          <w:p w14:paraId="2B2AAC42" w14:textId="77777777" w:rsidR="00507BAB" w:rsidRPr="00507BAB" w:rsidRDefault="00507BAB" w:rsidP="00C203FD">
            <w:r w:rsidRPr="00507BAB">
              <w:t>3.6</w:t>
            </w:r>
          </w:p>
        </w:tc>
        <w:tc>
          <w:tcPr>
            <w:tcW w:w="3542" w:type="dxa"/>
            <w:tcBorders>
              <w:top w:val="single" w:sz="4" w:space="0" w:color="auto"/>
              <w:left w:val="single" w:sz="4" w:space="0" w:color="auto"/>
              <w:bottom w:val="single" w:sz="4" w:space="0" w:color="auto"/>
              <w:right w:val="single" w:sz="4" w:space="0" w:color="auto"/>
            </w:tcBorders>
          </w:tcPr>
          <w:p w14:paraId="1F1F3C71" w14:textId="77777777" w:rsidR="00507BAB" w:rsidRPr="00507BAB" w:rsidRDefault="00507BAB" w:rsidP="00507BAB">
            <w:pPr>
              <w:pStyle w:val="ParagraphText-unnumbered"/>
            </w:pPr>
            <w:r w:rsidRPr="00507BAB">
              <w:t>Total number of volunteering days contributed by NHS staff to strengthen AMS in LMIC healthcare institutions (</w:t>
            </w:r>
            <w:proofErr w:type="spellStart"/>
            <w:r w:rsidRPr="00507BAB">
              <w:t>CwPAMS</w:t>
            </w:r>
            <w:proofErr w:type="spellEnd"/>
            <w:r w:rsidRPr="00507BAB">
              <w:t>)</w:t>
            </w:r>
          </w:p>
        </w:tc>
        <w:tc>
          <w:tcPr>
            <w:tcW w:w="1559" w:type="dxa"/>
            <w:tcBorders>
              <w:top w:val="single" w:sz="4" w:space="0" w:color="auto"/>
              <w:left w:val="single" w:sz="4" w:space="0" w:color="auto"/>
              <w:bottom w:val="single" w:sz="4" w:space="0" w:color="auto"/>
              <w:right w:val="single" w:sz="4" w:space="0" w:color="auto"/>
            </w:tcBorders>
          </w:tcPr>
          <w:p w14:paraId="0C5E7413" w14:textId="77777777" w:rsidR="00507BAB" w:rsidRPr="00507BAB" w:rsidRDefault="00507BAB" w:rsidP="00C203FD">
            <w:r w:rsidRPr="00507BAB">
              <w:t>809</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1E97B926" w14:textId="77777777" w:rsidR="00507BAB" w:rsidRPr="00507BAB" w:rsidRDefault="00507BAB" w:rsidP="00E77136">
            <w:r w:rsidRPr="00507BAB">
              <w:t>Surpassed</w:t>
            </w:r>
          </w:p>
          <w:p w14:paraId="3DA69BC8" w14:textId="77777777" w:rsidR="00507BAB" w:rsidRPr="00507BAB" w:rsidRDefault="00507BAB" w:rsidP="00E77136">
            <w:r w:rsidRPr="00507BAB">
              <w:t>(1048)</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30B3E" w14:textId="77777777" w:rsidR="00507BAB" w:rsidRPr="00507BAB" w:rsidRDefault="00507BAB" w:rsidP="00507BAB">
            <w:pPr>
              <w:pStyle w:val="ParagraphText-unnumbered"/>
            </w:pPr>
            <w:r w:rsidRPr="00507BAB">
              <w:t xml:space="preserve">N/A introduced in March 2020 </w:t>
            </w:r>
          </w:p>
        </w:tc>
        <w:tc>
          <w:tcPr>
            <w:tcW w:w="1559" w:type="dxa"/>
            <w:tcBorders>
              <w:top w:val="single" w:sz="4" w:space="0" w:color="auto"/>
              <w:left w:val="single" w:sz="4" w:space="0" w:color="auto"/>
              <w:bottom w:val="single" w:sz="4" w:space="0" w:color="auto"/>
            </w:tcBorders>
          </w:tcPr>
          <w:p w14:paraId="5EC31D37" w14:textId="77777777" w:rsidR="00507BAB" w:rsidRPr="00507BAB" w:rsidRDefault="00507BAB" w:rsidP="00C203FD">
            <w:r w:rsidRPr="00507BAB">
              <w:t>10%</w:t>
            </w:r>
          </w:p>
        </w:tc>
      </w:tr>
    </w:tbl>
    <w:p w14:paraId="782E3D1F" w14:textId="77777777" w:rsidR="00507BAB" w:rsidRPr="00507BAB" w:rsidRDefault="00507BAB" w:rsidP="00C203FD">
      <w:pPr>
        <w:rPr>
          <w:highlight w:val="red"/>
        </w:rPr>
      </w:pPr>
    </w:p>
    <w:p w14:paraId="23876D8F" w14:textId="462B4B2E" w:rsidR="00507BAB" w:rsidRPr="00507BAB" w:rsidRDefault="00507BAB" w:rsidP="00D46652">
      <w:pPr>
        <w:pStyle w:val="ParagraphText-unnumbered"/>
      </w:pPr>
      <w:r w:rsidRPr="00507BAB">
        <w:t xml:space="preserve">3.1. Since April 2020, </w:t>
      </w:r>
      <w:r w:rsidR="004471F7">
        <w:t>COVID</w:t>
      </w:r>
      <w:r w:rsidRPr="00507BAB">
        <w:t>-19 has had a significant impact on the ODI Fellowships pilot which has hindered delivery towards indicator</w:t>
      </w:r>
      <w:r w:rsidR="00C91D0B">
        <w:t xml:space="preserve">. </w:t>
      </w:r>
      <w:r w:rsidRPr="00507BAB">
        <w:t xml:space="preserve">ODI ran a successful recruitment campaign and 11 excellent candidates were identified, however since July, it was necessary to postpone deployments to 2021 due to </w:t>
      </w:r>
      <w:r w:rsidR="004471F7">
        <w:t>COVID</w:t>
      </w:r>
      <w:r w:rsidRPr="00507BAB">
        <w:t>-19 restrictions</w:t>
      </w:r>
    </w:p>
    <w:p w14:paraId="3D981DDA" w14:textId="326394F9" w:rsidR="00507BAB" w:rsidRPr="00507BAB" w:rsidRDefault="00507BAB" w:rsidP="00D46652">
      <w:pPr>
        <w:pStyle w:val="ParagraphText-unnumbered"/>
      </w:pPr>
      <w:r w:rsidRPr="00507BAB">
        <w:t xml:space="preserve">3.2. COVID-19 distractions have also delayed </w:t>
      </w:r>
      <w:r w:rsidR="00C91D0B">
        <w:t>progress against this indicator</w:t>
      </w:r>
      <w:r w:rsidRPr="00507BAB">
        <w:t xml:space="preserve">. </w:t>
      </w:r>
      <w:r w:rsidR="00C91D0B">
        <w:t>In January, another</w:t>
      </w:r>
      <w:r w:rsidRPr="00507BAB">
        <w:t xml:space="preserve"> 24</w:t>
      </w:r>
      <w:r w:rsidR="00C91D0B">
        <w:t xml:space="preserve"> </w:t>
      </w:r>
      <w:r w:rsidRPr="00507BAB">
        <w:t>Fellows</w:t>
      </w:r>
      <w:r w:rsidR="00CE282B">
        <w:t>hip proposals</w:t>
      </w:r>
      <w:r w:rsidRPr="00507BAB">
        <w:t xml:space="preserve"> were </w:t>
      </w:r>
      <w:r w:rsidR="00C91D0B">
        <w:t>processed</w:t>
      </w:r>
      <w:r w:rsidRPr="00507BAB">
        <w:t xml:space="preserve">, so this would take the cumulative total to 155 – </w:t>
      </w:r>
      <w:r w:rsidR="00C91D0B">
        <w:t>just</w:t>
      </w:r>
      <w:r w:rsidR="00C91D0B" w:rsidRPr="00507BAB">
        <w:t xml:space="preserve"> </w:t>
      </w:r>
      <w:r w:rsidRPr="00507BAB">
        <w:t xml:space="preserve">shy of the 162 </w:t>
      </w:r>
      <w:proofErr w:type="gramStart"/>
      <w:r w:rsidRPr="00507BAB">
        <w:t>target</w:t>
      </w:r>
      <w:proofErr w:type="gramEnd"/>
      <w:r w:rsidR="00C91D0B">
        <w:t>.</w:t>
      </w:r>
      <w:r w:rsidRPr="00507BAB">
        <w:t xml:space="preserve"> </w:t>
      </w:r>
      <w:r w:rsidR="00C91D0B">
        <w:t>Fellows</w:t>
      </w:r>
      <w:r w:rsidRPr="00507BAB">
        <w:t xml:space="preserve"> are starting to </w:t>
      </w:r>
      <w:proofErr w:type="gramStart"/>
      <w:r w:rsidRPr="00507BAB">
        <w:t>be seen as</w:t>
      </w:r>
      <w:proofErr w:type="gramEnd"/>
      <w:r w:rsidRPr="00507BAB">
        <w:t xml:space="preserve"> reference points for AMR within their organisations</w:t>
      </w:r>
      <w:r w:rsidR="002765E9">
        <w:t>.</w:t>
      </w:r>
      <w:r w:rsidR="00C91D0B">
        <w:t xml:space="preserve"> </w:t>
      </w:r>
      <w:r w:rsidR="002765E9">
        <w:t>F</w:t>
      </w:r>
      <w:r w:rsidRPr="00507BAB">
        <w:t>or example</w:t>
      </w:r>
      <w:r w:rsidR="002765E9">
        <w:t>,</w:t>
      </w:r>
      <w:r w:rsidRPr="00507BAB">
        <w:t xml:space="preserve"> in some countries</w:t>
      </w:r>
      <w:r w:rsidR="002765E9">
        <w:t>,</w:t>
      </w:r>
      <w:r w:rsidRPr="00507BAB">
        <w:t xml:space="preserve"> fellows are responsible for </w:t>
      </w:r>
      <w:proofErr w:type="gramStart"/>
      <w:r w:rsidRPr="00507BAB">
        <w:t>drafting  NAPs</w:t>
      </w:r>
      <w:proofErr w:type="gramEnd"/>
      <w:r w:rsidRPr="00507BAB">
        <w:t xml:space="preserve"> </w:t>
      </w:r>
      <w:r w:rsidR="00C91D0B">
        <w:t xml:space="preserve">or are producing </w:t>
      </w:r>
      <w:r w:rsidRPr="00507BAB">
        <w:t xml:space="preserve">relevant data. </w:t>
      </w:r>
      <w:r w:rsidR="00C91D0B">
        <w:t>W</w:t>
      </w:r>
      <w:r w:rsidRPr="00507BAB">
        <w:t xml:space="preserve">hilst </w:t>
      </w:r>
      <w:r w:rsidR="00C91D0B">
        <w:t>progress</w:t>
      </w:r>
      <w:r w:rsidR="00C91D0B" w:rsidRPr="00507BAB">
        <w:t> </w:t>
      </w:r>
      <w:r w:rsidRPr="00507BAB">
        <w:t xml:space="preserve">did not meet expectations, the </w:t>
      </w:r>
      <w:r w:rsidR="00C91D0B">
        <w:t>increase</w:t>
      </w:r>
      <w:r w:rsidRPr="00507BAB">
        <w:t xml:space="preserve"> from 80 fellows </w:t>
      </w:r>
      <w:r w:rsidR="00C91D0B">
        <w:t xml:space="preserve">in 2019 </w:t>
      </w:r>
      <w:r w:rsidRPr="00507BAB">
        <w:t>to 162 has been considerable, especially given the impact of COVID-19.</w:t>
      </w:r>
    </w:p>
    <w:p w14:paraId="0A6972B8" w14:textId="10EB3A1C" w:rsidR="00507BAB" w:rsidRPr="00801A1F" w:rsidRDefault="00507BAB" w:rsidP="00D46652">
      <w:pPr>
        <w:pStyle w:val="ParagraphText-unnumbered"/>
      </w:pPr>
      <w:r w:rsidRPr="00412578">
        <w:t>3.4. The milestone for the number of Open University course pathways was not met because of changes to the module content development process which ex</w:t>
      </w:r>
      <w:r w:rsidRPr="00801A1F">
        <w:t xml:space="preserve">tended delivery time. Despite these initial delays, </w:t>
      </w:r>
      <w:hyperlink r:id="rId29" w:history="1">
        <w:r w:rsidRPr="00D46652">
          <w:rPr>
            <w:rStyle w:val="Hyperlink"/>
            <w:color w:val="auto"/>
            <w:u w:val="none"/>
          </w:rPr>
          <w:t>three modules of the Fleming Fund Online AMR Course</w:t>
        </w:r>
      </w:hyperlink>
      <w:r w:rsidRPr="00801A1F">
        <w:t xml:space="preserve"> were published online in Jan 2021, and a further 7 are due to be rolled out in February. </w:t>
      </w:r>
    </w:p>
    <w:p w14:paraId="68DFEDA2" w14:textId="2368AC27" w:rsidR="00507BAB" w:rsidRDefault="00507BAB" w:rsidP="00D46652">
      <w:pPr>
        <w:pStyle w:val="ParagraphText-unnumbered"/>
      </w:pPr>
      <w:r w:rsidRPr="00801A1F">
        <w:lastRenderedPageBreak/>
        <w:t xml:space="preserve">3.5. </w:t>
      </w:r>
      <w:proofErr w:type="spellStart"/>
      <w:r w:rsidR="002765E9">
        <w:t>CwPAMS</w:t>
      </w:r>
      <w:proofErr w:type="spellEnd"/>
      <w:r w:rsidR="002765E9">
        <w:t>'</w:t>
      </w:r>
      <w:r w:rsidR="00C91D0B" w:rsidRPr="00801A1F">
        <w:t xml:space="preserve"> independent evaluation </w:t>
      </w:r>
      <w:r w:rsidRPr="00801A1F">
        <w:t xml:space="preserve">found that all health </w:t>
      </w:r>
      <w:proofErr w:type="gramStart"/>
      <w:r w:rsidRPr="00801A1F">
        <w:t>partnerships  generated</w:t>
      </w:r>
      <w:proofErr w:type="gramEnd"/>
      <w:r w:rsidRPr="00801A1F">
        <w:t xml:space="preserve"> significant positive impact on the LMIC workforce and associated decision-makers</w:t>
      </w:r>
      <w:r w:rsidR="00C91D0B" w:rsidRPr="00801A1F">
        <w:t>.</w:t>
      </w:r>
      <w:r w:rsidRPr="00801A1F">
        <w:t xml:space="preserve"> </w:t>
      </w:r>
      <w:r w:rsidR="002765E9">
        <w:t>Health partnerships</w:t>
      </w:r>
      <w:r w:rsidRPr="00801A1F">
        <w:t xml:space="preserve"> successfully trained 1500 LMIC healthcare workers, 253 of which were pharmacists, in AMS. </w:t>
      </w:r>
      <w:r w:rsidR="00DB3EF5" w:rsidRPr="00801A1F">
        <w:t>Good progress has been made in</w:t>
      </w:r>
      <w:r w:rsidRPr="00801A1F">
        <w:t xml:space="preserve"> data collection</w:t>
      </w:r>
      <w:r w:rsidR="00DB3EF5" w:rsidRPr="00801A1F">
        <w:t>.</w:t>
      </w:r>
      <w:r w:rsidRPr="00801A1F">
        <w:t xml:space="preserve"> Prior to the </w:t>
      </w:r>
      <w:proofErr w:type="spellStart"/>
      <w:r w:rsidRPr="00801A1F">
        <w:t>CwPAMS</w:t>
      </w:r>
      <w:proofErr w:type="spellEnd"/>
      <w:r w:rsidRPr="00801A1F">
        <w:t xml:space="preserve"> </w:t>
      </w:r>
      <w:r w:rsidR="002765E9">
        <w:t>p</w:t>
      </w:r>
      <w:r w:rsidRPr="00801A1F">
        <w:t xml:space="preserve">rogramme, only one hospital out of all the countries had conducted data collection to the scale of the </w:t>
      </w:r>
      <w:r w:rsidR="00CE282B">
        <w:t>G</w:t>
      </w:r>
      <w:r w:rsidR="002765E9" w:rsidRPr="00801A1F">
        <w:t xml:space="preserve">lobal </w:t>
      </w:r>
      <w:r w:rsidR="00CE282B">
        <w:t>P</w:t>
      </w:r>
      <w:r w:rsidR="00DB3EF5" w:rsidRPr="00801A1F">
        <w:t xml:space="preserve">oint </w:t>
      </w:r>
      <w:r w:rsidR="00CE282B">
        <w:t>P</w:t>
      </w:r>
      <w:r w:rsidR="00DB3EF5" w:rsidRPr="00801A1F">
        <w:t>revalence survey (GPPS).</w:t>
      </w:r>
      <w:r w:rsidRPr="00801A1F">
        <w:t xml:space="preserve"> This has since increased to 12 hospitals. NHS volunteers have also gained increased competency around AMR and improved interpersonal, management and training skills which will ultimately benefit their NHS institutions. </w:t>
      </w:r>
    </w:p>
    <w:p w14:paraId="0EA90178" w14:textId="4718AD21" w:rsidR="0078336C" w:rsidRPr="00E77136" w:rsidRDefault="0078336C" w:rsidP="00E77136">
      <w:pPr>
        <w:pStyle w:val="Heading4"/>
        <w:rPr>
          <w:rStyle w:val="Bold"/>
          <w:b/>
        </w:rPr>
      </w:pPr>
      <w:r w:rsidRPr="00E77136">
        <w:rPr>
          <w:rStyle w:val="Bold"/>
          <w:b/>
        </w:rPr>
        <w:t>Output title: Lab equipment and assessment</w:t>
      </w:r>
    </w:p>
    <w:p w14:paraId="3BEBE710" w14:textId="77777777" w:rsidR="0078336C" w:rsidRPr="0078336C" w:rsidRDefault="0078336C" w:rsidP="00E77136"/>
    <w:p w14:paraId="6185FFF7" w14:textId="5B726F47" w:rsidR="0078336C" w:rsidRDefault="0078336C" w:rsidP="00D46652">
      <w:pPr>
        <w:pStyle w:val="ParagraphText-unnumbered"/>
      </w:pPr>
      <w:r w:rsidRPr="0078336C">
        <w:t xml:space="preserve">The primary output of the Fleming Fund is the building and development of </w:t>
      </w:r>
      <w:r w:rsidR="00E77136">
        <w:t xml:space="preserve">One </w:t>
      </w:r>
      <w:r w:rsidR="002765E9">
        <w:t>H</w:t>
      </w:r>
      <w:r w:rsidRPr="0078336C">
        <w:t>ealth AMR laboratory capacity and surveillance systems. This</w:t>
      </w:r>
      <w:r w:rsidR="00DB3EF5">
        <w:t xml:space="preserve"> </w:t>
      </w:r>
      <w:r w:rsidRPr="0078336C">
        <w:t>requires appropriate laboratory equipment to be in place and for labs to be assessed and supported</w:t>
      </w:r>
      <w:r w:rsidR="00DB3EF5">
        <w:t xml:space="preserve">, </w:t>
      </w:r>
      <w:r w:rsidR="00DB3EF5" w:rsidRPr="00DB3EF5">
        <w:t xml:space="preserve">alongside strengthening </w:t>
      </w:r>
      <w:r w:rsidR="00DB3EF5">
        <w:t xml:space="preserve">of </w:t>
      </w:r>
      <w:r w:rsidR="00DB3EF5" w:rsidRPr="00DB3EF5">
        <w:t>the AMR workforce</w:t>
      </w:r>
      <w:r w:rsidRPr="0078336C">
        <w:t xml:space="preserve">. The Fleming Fund is supporting countries to establish and strengthen National AMR reference centres and the surveillance sites that report data into these centres.  </w:t>
      </w:r>
    </w:p>
    <w:tbl>
      <w:tblPr>
        <w:tblW w:w="11186" w:type="dxa"/>
        <w:tblInd w:w="-851" w:type="dxa"/>
        <w:tblLook w:val="04A0" w:firstRow="1" w:lastRow="0" w:firstColumn="1" w:lastColumn="0" w:noHBand="0" w:noVBand="1"/>
      </w:tblPr>
      <w:tblGrid>
        <w:gridCol w:w="3079"/>
        <w:gridCol w:w="2976"/>
        <w:gridCol w:w="5131"/>
      </w:tblGrid>
      <w:tr w:rsidR="0078336C" w14:paraId="12B61244" w14:textId="77777777" w:rsidTr="00DE5714">
        <w:trPr>
          <w:trHeight w:val="722"/>
        </w:trPr>
        <w:tc>
          <w:tcPr>
            <w:tcW w:w="3079" w:type="dxa"/>
            <w:tcBorders>
              <w:bottom w:val="single" w:sz="4" w:space="0" w:color="auto"/>
            </w:tcBorders>
            <w:vAlign w:val="center"/>
          </w:tcPr>
          <w:p w14:paraId="54447493" w14:textId="77777777" w:rsidR="0078336C" w:rsidRPr="0078336C" w:rsidRDefault="0078336C" w:rsidP="00E77136">
            <w:r w:rsidRPr="0078336C">
              <w:t>5-point score 2020: A+</w:t>
            </w:r>
          </w:p>
        </w:tc>
        <w:tc>
          <w:tcPr>
            <w:tcW w:w="2976" w:type="dxa"/>
            <w:tcBorders>
              <w:bottom w:val="single" w:sz="4" w:space="0" w:color="auto"/>
            </w:tcBorders>
            <w:vAlign w:val="center"/>
          </w:tcPr>
          <w:p w14:paraId="61391067" w14:textId="77777777" w:rsidR="0078336C" w:rsidRPr="0078336C" w:rsidRDefault="0078336C" w:rsidP="00E77136">
            <w:r w:rsidRPr="0078336C">
              <w:t>5-point score 2019: B</w:t>
            </w:r>
          </w:p>
        </w:tc>
        <w:tc>
          <w:tcPr>
            <w:tcW w:w="5131" w:type="dxa"/>
            <w:tcBorders>
              <w:bottom w:val="single" w:sz="4" w:space="0" w:color="auto"/>
            </w:tcBorders>
            <w:vAlign w:val="center"/>
          </w:tcPr>
          <w:p w14:paraId="653739EC" w14:textId="77777777" w:rsidR="0078336C" w:rsidRPr="0078336C" w:rsidRDefault="0078336C" w:rsidP="00E77136">
            <w:r w:rsidRPr="0078336C">
              <w:t>Impact weighting:15%</w:t>
            </w:r>
          </w:p>
        </w:tc>
      </w:tr>
    </w:tbl>
    <w:tbl>
      <w:tblPr>
        <w:tblStyle w:val="TableGrid"/>
        <w:tblW w:w="11199" w:type="dxa"/>
        <w:tblInd w:w="-856" w:type="dxa"/>
        <w:tblLook w:val="04A0" w:firstRow="1" w:lastRow="0" w:firstColumn="1" w:lastColumn="0" w:noHBand="0" w:noVBand="1"/>
      </w:tblPr>
      <w:tblGrid>
        <w:gridCol w:w="1137"/>
        <w:gridCol w:w="3542"/>
        <w:gridCol w:w="1559"/>
        <w:gridCol w:w="1417"/>
        <w:gridCol w:w="1985"/>
        <w:gridCol w:w="1559"/>
      </w:tblGrid>
      <w:tr w:rsidR="0078336C" w:rsidRPr="00D3441B" w14:paraId="1CB3192F" w14:textId="77777777" w:rsidTr="00FA5A28">
        <w:tc>
          <w:tcPr>
            <w:tcW w:w="1137" w:type="dxa"/>
            <w:shd w:val="clear" w:color="auto" w:fill="F2F2F2" w:themeFill="background1" w:themeFillShade="F2"/>
          </w:tcPr>
          <w:p w14:paraId="6DE77405" w14:textId="77777777" w:rsidR="0078336C" w:rsidRPr="0078336C" w:rsidRDefault="0078336C" w:rsidP="00C203FD">
            <w:r w:rsidRPr="0078336C">
              <w:t xml:space="preserve">Output </w:t>
            </w:r>
          </w:p>
          <w:p w14:paraId="635AE24B" w14:textId="77777777" w:rsidR="0078336C" w:rsidRPr="0078336C" w:rsidRDefault="0078336C" w:rsidP="00E77136">
            <w:r w:rsidRPr="0078336C">
              <w:t>Indicator</w:t>
            </w:r>
          </w:p>
        </w:tc>
        <w:tc>
          <w:tcPr>
            <w:tcW w:w="3542" w:type="dxa"/>
            <w:shd w:val="clear" w:color="auto" w:fill="F2F2F2" w:themeFill="background1" w:themeFillShade="F2"/>
          </w:tcPr>
          <w:p w14:paraId="30A84877" w14:textId="77777777" w:rsidR="0078336C" w:rsidRPr="0078336C" w:rsidRDefault="0078336C" w:rsidP="00E77136">
            <w:r w:rsidRPr="0078336C">
              <w:t>Indicator</w:t>
            </w:r>
          </w:p>
        </w:tc>
        <w:tc>
          <w:tcPr>
            <w:tcW w:w="1559" w:type="dxa"/>
            <w:shd w:val="clear" w:color="auto" w:fill="F2F2F2" w:themeFill="background1" w:themeFillShade="F2"/>
          </w:tcPr>
          <w:p w14:paraId="42F0C251" w14:textId="77777777" w:rsidR="0078336C" w:rsidRPr="0078336C" w:rsidRDefault="0078336C" w:rsidP="0078336C">
            <w:pPr>
              <w:pStyle w:val="ParagraphText-unnumbered"/>
            </w:pPr>
            <w:r w:rsidRPr="0078336C">
              <w:t>Milestone 2020</w:t>
            </w:r>
          </w:p>
        </w:tc>
        <w:tc>
          <w:tcPr>
            <w:tcW w:w="1417" w:type="dxa"/>
            <w:shd w:val="clear" w:color="auto" w:fill="F2F2F2" w:themeFill="background1" w:themeFillShade="F2"/>
          </w:tcPr>
          <w:p w14:paraId="295B6309" w14:textId="77777777" w:rsidR="0078336C" w:rsidRPr="0078336C" w:rsidRDefault="0078336C" w:rsidP="00C203FD">
            <w:r w:rsidRPr="0078336C">
              <w:t>Progress</w:t>
            </w:r>
          </w:p>
        </w:tc>
        <w:tc>
          <w:tcPr>
            <w:tcW w:w="1985" w:type="dxa"/>
            <w:shd w:val="clear" w:color="auto" w:fill="F2F2F2" w:themeFill="background1" w:themeFillShade="F2"/>
          </w:tcPr>
          <w:p w14:paraId="31F3204B" w14:textId="77777777" w:rsidR="0078336C" w:rsidRPr="0078336C" w:rsidRDefault="0078336C" w:rsidP="00E77136">
            <w:r w:rsidRPr="0078336C">
              <w:t>Status at Year 2- 2020 Annual review</w:t>
            </w:r>
          </w:p>
        </w:tc>
        <w:tc>
          <w:tcPr>
            <w:tcW w:w="1559" w:type="dxa"/>
            <w:shd w:val="clear" w:color="auto" w:fill="F2F2F2" w:themeFill="background1" w:themeFillShade="F2"/>
          </w:tcPr>
          <w:p w14:paraId="572AB6C9" w14:textId="77777777" w:rsidR="0078336C" w:rsidRPr="0078336C" w:rsidRDefault="0078336C" w:rsidP="00E77136">
            <w:r w:rsidRPr="0078336C">
              <w:t xml:space="preserve">Weighting </w:t>
            </w:r>
          </w:p>
        </w:tc>
      </w:tr>
      <w:tr w:rsidR="0078336C" w:rsidRPr="00D3441B" w14:paraId="7B34E0D5" w14:textId="77777777" w:rsidTr="00FA5A28">
        <w:tc>
          <w:tcPr>
            <w:tcW w:w="1137" w:type="dxa"/>
          </w:tcPr>
          <w:p w14:paraId="1DD9E396" w14:textId="77777777" w:rsidR="0078336C" w:rsidRPr="0078336C" w:rsidRDefault="0078336C" w:rsidP="00C203FD">
            <w:r w:rsidRPr="0078336C">
              <w:t>4.1</w:t>
            </w:r>
          </w:p>
        </w:tc>
        <w:tc>
          <w:tcPr>
            <w:tcW w:w="3542" w:type="dxa"/>
          </w:tcPr>
          <w:p w14:paraId="4AFCBE38" w14:textId="7FEF2EB2" w:rsidR="0078336C" w:rsidRPr="0078336C" w:rsidRDefault="0078336C" w:rsidP="00E77136">
            <w:r w:rsidRPr="0078336C">
              <w:t>Number of labs supported cumulatively (M</w:t>
            </w:r>
            <w:r w:rsidR="002765E9">
              <w:t xml:space="preserve">ott </w:t>
            </w:r>
            <w:r w:rsidRPr="0078336C">
              <w:t>M</w:t>
            </w:r>
            <w:r w:rsidR="002765E9">
              <w:t>acDonald</w:t>
            </w:r>
            <w:r w:rsidRPr="0078336C">
              <w:t>)</w:t>
            </w:r>
          </w:p>
        </w:tc>
        <w:tc>
          <w:tcPr>
            <w:tcW w:w="1559" w:type="dxa"/>
          </w:tcPr>
          <w:p w14:paraId="5D1A442E" w14:textId="77777777" w:rsidR="0078336C" w:rsidRPr="0078336C" w:rsidRDefault="0078336C" w:rsidP="0078336C">
            <w:pPr>
              <w:pStyle w:val="Table-headertext"/>
            </w:pPr>
            <w:r w:rsidRPr="0078336C">
              <w:t>176</w:t>
            </w:r>
          </w:p>
          <w:p w14:paraId="53B690BF" w14:textId="77777777" w:rsidR="0078336C" w:rsidRPr="0078336C" w:rsidRDefault="0078336C" w:rsidP="0078336C">
            <w:pPr>
              <w:pStyle w:val="Table-headertext"/>
            </w:pPr>
            <w:r w:rsidRPr="0078336C">
              <w:t>(cumulative)</w:t>
            </w:r>
          </w:p>
        </w:tc>
        <w:tc>
          <w:tcPr>
            <w:tcW w:w="1417" w:type="dxa"/>
            <w:shd w:val="clear" w:color="auto" w:fill="00B050"/>
          </w:tcPr>
          <w:p w14:paraId="1DDBC8C7" w14:textId="77777777" w:rsidR="0078336C" w:rsidRPr="0078336C" w:rsidRDefault="0078336C" w:rsidP="00C203FD">
            <w:r w:rsidRPr="0078336C">
              <w:t>Surpassed</w:t>
            </w:r>
          </w:p>
          <w:p w14:paraId="13B24885" w14:textId="0A8D270A" w:rsidR="0078336C" w:rsidRPr="0078336C" w:rsidRDefault="0078336C" w:rsidP="00E77136">
            <w:r w:rsidRPr="0078336C">
              <w:t>(240 – 160</w:t>
            </w:r>
            <w:r w:rsidR="002765E9">
              <w:t xml:space="preserve">human </w:t>
            </w:r>
            <w:proofErr w:type="gramStart"/>
            <w:r w:rsidR="002765E9">
              <w:t xml:space="preserve">health </w:t>
            </w:r>
            <w:r w:rsidRPr="0078336C">
              <w:t xml:space="preserve"> and</w:t>
            </w:r>
            <w:proofErr w:type="gramEnd"/>
            <w:r w:rsidRPr="0078336C">
              <w:t xml:space="preserve"> 80 </w:t>
            </w:r>
            <w:r w:rsidR="002765E9">
              <w:t>animal health</w:t>
            </w:r>
            <w:r w:rsidRPr="0078336C">
              <w:t>)</w:t>
            </w:r>
          </w:p>
        </w:tc>
        <w:tc>
          <w:tcPr>
            <w:tcW w:w="1985" w:type="dxa"/>
            <w:shd w:val="clear" w:color="auto" w:fill="F2F2F2" w:themeFill="background1" w:themeFillShade="F2"/>
          </w:tcPr>
          <w:p w14:paraId="3994E212" w14:textId="77777777" w:rsidR="0078336C" w:rsidRPr="0078336C" w:rsidRDefault="0078336C" w:rsidP="00E77136">
            <w:r w:rsidRPr="0078336C">
              <w:t>132</w:t>
            </w:r>
          </w:p>
        </w:tc>
        <w:tc>
          <w:tcPr>
            <w:tcW w:w="1559" w:type="dxa"/>
          </w:tcPr>
          <w:p w14:paraId="1FB19885" w14:textId="77777777" w:rsidR="0078336C" w:rsidRPr="0078336C" w:rsidRDefault="0078336C" w:rsidP="00E77136">
            <w:r w:rsidRPr="0078336C">
              <w:t>35%</w:t>
            </w:r>
          </w:p>
        </w:tc>
      </w:tr>
      <w:tr w:rsidR="0078336C" w:rsidRPr="00D3441B" w14:paraId="572D0A83" w14:textId="77777777" w:rsidTr="00FA5A28">
        <w:tc>
          <w:tcPr>
            <w:tcW w:w="1137" w:type="dxa"/>
          </w:tcPr>
          <w:p w14:paraId="36A24643" w14:textId="77777777" w:rsidR="0078336C" w:rsidRPr="0078336C" w:rsidRDefault="0078336C" w:rsidP="00C203FD">
            <w:r w:rsidRPr="0078336C">
              <w:t>4.2</w:t>
            </w:r>
          </w:p>
        </w:tc>
        <w:tc>
          <w:tcPr>
            <w:tcW w:w="3542" w:type="dxa"/>
          </w:tcPr>
          <w:p w14:paraId="0A6E4DFD" w14:textId="3DBBEC69" w:rsidR="0078336C" w:rsidRPr="0078336C" w:rsidRDefault="0078336C" w:rsidP="0078336C">
            <w:pPr>
              <w:pStyle w:val="ParagraphText-unnumbered"/>
              <w:rPr>
                <w:rStyle w:val="Strong"/>
              </w:rPr>
            </w:pPr>
            <w:r w:rsidRPr="0078336C">
              <w:t>Number of labs assessed cumulatively (M</w:t>
            </w:r>
            <w:r w:rsidR="002765E9">
              <w:t xml:space="preserve">ott </w:t>
            </w:r>
            <w:r w:rsidRPr="0078336C">
              <w:t>M</w:t>
            </w:r>
            <w:r w:rsidR="002765E9">
              <w:t>acDonald</w:t>
            </w:r>
            <w:r w:rsidRPr="0078336C">
              <w:t>)</w:t>
            </w:r>
          </w:p>
          <w:p w14:paraId="44B287A0" w14:textId="77777777" w:rsidR="0078336C" w:rsidRPr="0078336C" w:rsidRDefault="0078336C" w:rsidP="0078336C"/>
        </w:tc>
        <w:tc>
          <w:tcPr>
            <w:tcW w:w="1559" w:type="dxa"/>
          </w:tcPr>
          <w:p w14:paraId="1009DF1E" w14:textId="77777777" w:rsidR="0078336C" w:rsidRPr="0078336C" w:rsidRDefault="0078336C" w:rsidP="00C203FD">
            <w:r w:rsidRPr="0078336C">
              <w:t>282</w:t>
            </w:r>
          </w:p>
          <w:p w14:paraId="65C13B24" w14:textId="77777777" w:rsidR="0078336C" w:rsidRPr="0078336C" w:rsidRDefault="0078336C" w:rsidP="00E77136">
            <w:r w:rsidRPr="0078336C">
              <w:t>(cumulative)</w:t>
            </w:r>
          </w:p>
        </w:tc>
        <w:tc>
          <w:tcPr>
            <w:tcW w:w="1417" w:type="dxa"/>
            <w:shd w:val="clear" w:color="auto" w:fill="FF0000"/>
          </w:tcPr>
          <w:p w14:paraId="4106CB97" w14:textId="77777777" w:rsidR="0078336C" w:rsidRPr="0078336C" w:rsidRDefault="0078336C" w:rsidP="00E77136">
            <w:r w:rsidRPr="0078336C">
              <w:t xml:space="preserve">Not achieved </w:t>
            </w:r>
          </w:p>
          <w:p w14:paraId="3CBD2ED5" w14:textId="256C8730" w:rsidR="0078336C" w:rsidRPr="0078336C" w:rsidRDefault="0078336C" w:rsidP="00E77136">
            <w:r w:rsidRPr="0078336C">
              <w:t xml:space="preserve">(255 – 174 </w:t>
            </w:r>
            <w:r w:rsidR="002765E9">
              <w:t>human health</w:t>
            </w:r>
            <w:r w:rsidRPr="0078336C">
              <w:t xml:space="preserve">; 84 </w:t>
            </w:r>
            <w:r w:rsidR="002765E9">
              <w:t>animal health</w:t>
            </w:r>
            <w:r w:rsidRPr="0078336C">
              <w:t>)</w:t>
            </w:r>
          </w:p>
          <w:p w14:paraId="40BA6617" w14:textId="77777777" w:rsidR="0078336C" w:rsidRPr="0078336C" w:rsidRDefault="0078336C" w:rsidP="0078336C"/>
        </w:tc>
        <w:tc>
          <w:tcPr>
            <w:tcW w:w="1985" w:type="dxa"/>
            <w:shd w:val="clear" w:color="auto" w:fill="F2F2F2" w:themeFill="background1" w:themeFillShade="F2"/>
          </w:tcPr>
          <w:p w14:paraId="49EB497C" w14:textId="77777777" w:rsidR="0078336C" w:rsidRPr="0078336C" w:rsidRDefault="0078336C" w:rsidP="00C203FD">
            <w:r w:rsidRPr="0078336C">
              <w:t>250</w:t>
            </w:r>
          </w:p>
        </w:tc>
        <w:tc>
          <w:tcPr>
            <w:tcW w:w="1559" w:type="dxa"/>
          </w:tcPr>
          <w:p w14:paraId="626EFEAC" w14:textId="77777777" w:rsidR="0078336C" w:rsidRPr="0078336C" w:rsidRDefault="0078336C" w:rsidP="00E77136">
            <w:r w:rsidRPr="0078336C">
              <w:t>35%</w:t>
            </w:r>
          </w:p>
        </w:tc>
      </w:tr>
      <w:tr w:rsidR="0078336C" w:rsidRPr="00D3441B" w14:paraId="43EF19DF" w14:textId="77777777" w:rsidTr="00FA5A28">
        <w:trPr>
          <w:trHeight w:val="834"/>
        </w:trPr>
        <w:tc>
          <w:tcPr>
            <w:tcW w:w="1137" w:type="dxa"/>
          </w:tcPr>
          <w:p w14:paraId="75F9315B" w14:textId="77777777" w:rsidR="0078336C" w:rsidRPr="0078336C" w:rsidRDefault="0078336C" w:rsidP="00C203FD">
            <w:r w:rsidRPr="0078336C">
              <w:t>4.3</w:t>
            </w:r>
          </w:p>
        </w:tc>
        <w:tc>
          <w:tcPr>
            <w:tcW w:w="3542" w:type="dxa"/>
          </w:tcPr>
          <w:p w14:paraId="73E7743B" w14:textId="7842B7FC" w:rsidR="0078336C" w:rsidRPr="0078336C" w:rsidRDefault="0078336C" w:rsidP="00E77136">
            <w:r w:rsidRPr="0078336C">
              <w:t xml:space="preserve">Number of countries where follow-up </w:t>
            </w:r>
            <w:r w:rsidR="00CA6CA5">
              <w:t>FAO Assessment Tool for Laboratories and AMR Surveillance Systems (</w:t>
            </w:r>
            <w:r w:rsidRPr="0078336C">
              <w:t>ATLASS</w:t>
            </w:r>
            <w:r w:rsidR="00CA6CA5">
              <w:t>)</w:t>
            </w:r>
            <w:r w:rsidRPr="0078336C">
              <w:t xml:space="preserve"> assessments have been undertaken (FAO)</w:t>
            </w:r>
          </w:p>
          <w:p w14:paraId="1162E529" w14:textId="77777777" w:rsidR="0078336C" w:rsidRPr="0078336C" w:rsidRDefault="0078336C" w:rsidP="0078336C"/>
        </w:tc>
        <w:tc>
          <w:tcPr>
            <w:tcW w:w="1559" w:type="dxa"/>
          </w:tcPr>
          <w:p w14:paraId="19FE14C3" w14:textId="77777777" w:rsidR="0078336C" w:rsidRPr="0078336C" w:rsidRDefault="0078336C" w:rsidP="00C203FD">
            <w:r w:rsidRPr="0078336C">
              <w:t>10</w:t>
            </w:r>
          </w:p>
        </w:tc>
        <w:tc>
          <w:tcPr>
            <w:tcW w:w="1417" w:type="dxa"/>
            <w:shd w:val="clear" w:color="auto" w:fill="FF0000"/>
          </w:tcPr>
          <w:p w14:paraId="436F3F87" w14:textId="77777777" w:rsidR="0078336C" w:rsidRPr="0078336C" w:rsidRDefault="0078336C" w:rsidP="0078336C">
            <w:pPr>
              <w:pStyle w:val="Table-bodytext"/>
              <w:rPr>
                <w:rStyle w:val="Bold"/>
              </w:rPr>
            </w:pPr>
            <w:r w:rsidRPr="0078336C">
              <w:rPr>
                <w:rStyle w:val="Bold"/>
              </w:rPr>
              <w:t>Not achieved (5)</w:t>
            </w:r>
          </w:p>
          <w:p w14:paraId="1DE4EAD9" w14:textId="77777777" w:rsidR="0078336C" w:rsidRPr="0078336C" w:rsidRDefault="0078336C" w:rsidP="0078336C">
            <w:pPr>
              <w:rPr>
                <w:highlight w:val="red"/>
              </w:rPr>
            </w:pPr>
          </w:p>
        </w:tc>
        <w:tc>
          <w:tcPr>
            <w:tcW w:w="1985" w:type="dxa"/>
            <w:shd w:val="clear" w:color="auto" w:fill="F2F2F2" w:themeFill="background1" w:themeFillShade="F2"/>
          </w:tcPr>
          <w:p w14:paraId="72124146" w14:textId="77777777" w:rsidR="0078336C" w:rsidRPr="0078336C" w:rsidRDefault="0078336C" w:rsidP="00C203FD">
            <w:r w:rsidRPr="0078336C">
              <w:t>N/A – Introduced in 2020</w:t>
            </w:r>
          </w:p>
          <w:p w14:paraId="415F0E58" w14:textId="77777777" w:rsidR="0078336C" w:rsidRPr="0078336C" w:rsidRDefault="0078336C" w:rsidP="0078336C"/>
        </w:tc>
        <w:tc>
          <w:tcPr>
            <w:tcW w:w="1559" w:type="dxa"/>
          </w:tcPr>
          <w:p w14:paraId="76B61FCE" w14:textId="77777777" w:rsidR="0078336C" w:rsidRPr="0078336C" w:rsidRDefault="0078336C" w:rsidP="00C203FD">
            <w:r w:rsidRPr="0078336C">
              <w:t>30%</w:t>
            </w:r>
          </w:p>
        </w:tc>
      </w:tr>
    </w:tbl>
    <w:p w14:paraId="264C32C5" w14:textId="77BD6379" w:rsidR="0078336C" w:rsidRDefault="0078336C" w:rsidP="00C203FD"/>
    <w:p w14:paraId="4FD8B5DD" w14:textId="7598AFDA" w:rsidR="0078336C" w:rsidRPr="0078336C" w:rsidRDefault="0078336C" w:rsidP="00D46652">
      <w:pPr>
        <w:pStyle w:val="ParagraphText-unnumbered"/>
      </w:pPr>
      <w:r w:rsidRPr="0078336C">
        <w:lastRenderedPageBreak/>
        <w:t>4.1 Last year’s target was well-surpassed. The target</w:t>
      </w:r>
      <w:r w:rsidR="002765E9">
        <w:t xml:space="preserve"> was</w:t>
      </w:r>
      <w:r w:rsidRPr="0078336C">
        <w:t xml:space="preserve"> based on progress from years 2 and 3 which assumed that countries would have 2 reference laboratories (one human health and one animal health), and 5</w:t>
      </w:r>
      <w:r w:rsidR="004471F7">
        <w:t xml:space="preserve"> to </w:t>
      </w:r>
      <w:r w:rsidRPr="0078336C">
        <w:t xml:space="preserve">8 sentinel sites. </w:t>
      </w:r>
      <w:proofErr w:type="gramStart"/>
      <w:r w:rsidRPr="0078336C">
        <w:t>In reality, many</w:t>
      </w:r>
      <w:proofErr w:type="gramEnd"/>
      <w:r w:rsidRPr="0078336C">
        <w:t xml:space="preserve"> larger countries have been able to support a larger number of sentinel sites.</w:t>
      </w:r>
    </w:p>
    <w:p w14:paraId="0AA8EC47" w14:textId="05E74186" w:rsidR="0078336C" w:rsidRPr="0078336C" w:rsidRDefault="0078336C" w:rsidP="00D46652">
      <w:pPr>
        <w:pStyle w:val="ParagraphText-unnumbered"/>
      </w:pPr>
      <w:r w:rsidRPr="0078336C">
        <w:t>4.2. Good progress was made this year in</w:t>
      </w:r>
      <w:r w:rsidR="002765E9">
        <w:t xml:space="preserve"> the</w:t>
      </w:r>
      <w:r w:rsidRPr="0078336C">
        <w:t xml:space="preserve"> number of labs assessed. An ambitious target (282) was set which was informed by the 2019 report which stated that 250 labs were assessed. That 250 was calculated using the list of sites included in each country's </w:t>
      </w:r>
      <w:proofErr w:type="spellStart"/>
      <w:r w:rsidR="002765E9">
        <w:t>RFPs</w:t>
      </w:r>
      <w:r w:rsidRPr="0078336C">
        <w:t>but</w:t>
      </w:r>
      <w:proofErr w:type="spellEnd"/>
      <w:r w:rsidRPr="0078336C">
        <w:t xml:space="preserve"> proved to be an overestimate of actual assessments conducted.  A more sensitive monitoring system is now in place which calculated that, by the end of 2019/beginning of 2020 there were 184 on-site laboratory assessments completed. As of 2021, 255 sites will have at least one completed needs assessment. This reflects reduction in scope for some country grants (e.g. Sierra Leone), and non-progress with regards to some other country grants (e.g. India, Burkina Faso).</w:t>
      </w:r>
    </w:p>
    <w:p w14:paraId="14AEF4D7" w14:textId="05B9C744" w:rsidR="0078336C" w:rsidRPr="0078336C" w:rsidRDefault="0078336C" w:rsidP="00D46652">
      <w:pPr>
        <w:pStyle w:val="ParagraphText-unnumbered"/>
      </w:pPr>
      <w:r w:rsidRPr="0078336C">
        <w:t xml:space="preserve">4.3. ATLASS follow-up assessments were conducted in 5 countries planned at the end of 2019 and implemented in-part during first quarter of 2020. The major challenge to meeting this target has been restrictions on travel (regionally, and in-country) to conduct field activities. As </w:t>
      </w:r>
      <w:r w:rsidR="002765E9">
        <w:t>the ability</w:t>
      </w:r>
      <w:r w:rsidRPr="0078336C">
        <w:t xml:space="preserve"> to conduct these assessments virtually is becoming more likely, virtual refresher training for ATLASS assessors are being considered, and an initial training has been conducted in Cambodia (involving staff from 3 public laboratories). The virtual training will soon be implemented in other countries in Asia and Africa.</w:t>
      </w:r>
    </w:p>
    <w:p w14:paraId="16F3A84F" w14:textId="5A94689B" w:rsidR="0078336C" w:rsidRDefault="0078336C" w:rsidP="00D46652">
      <w:pPr>
        <w:pStyle w:val="ParagraphText-unnumbered"/>
      </w:pPr>
      <w:r w:rsidRPr="0078336C">
        <w:t>Whilst output indicators 4.2 and 4.3 did not meet the milestone</w:t>
      </w:r>
      <w:r w:rsidR="00DB3EF5">
        <w:t>s</w:t>
      </w:r>
      <w:r w:rsidRPr="0078336C">
        <w:t> set, </w:t>
      </w:r>
      <w:r w:rsidR="00DB3EF5">
        <w:t xml:space="preserve">the success with </w:t>
      </w:r>
      <w:r w:rsidRPr="0078336C">
        <w:t xml:space="preserve">output indicator 4.1 </w:t>
      </w:r>
      <w:r w:rsidR="00DB3EF5">
        <w:t xml:space="preserve">and comparison against actuals in 2019 for indicator 4.2 demonstrate </w:t>
      </w:r>
      <w:proofErr w:type="spellStart"/>
      <w:r w:rsidR="00DB3EF5">
        <w:t>that</w:t>
      </w:r>
      <w:r w:rsidRPr="0078336C">
        <w:t>greater</w:t>
      </w:r>
      <w:proofErr w:type="spellEnd"/>
      <w:r w:rsidRPr="0078336C">
        <w:t xml:space="preserve"> progress has </w:t>
      </w:r>
      <w:proofErr w:type="gramStart"/>
      <w:r w:rsidR="002765E9">
        <w:t xml:space="preserve">actually </w:t>
      </w:r>
      <w:r w:rsidRPr="0078336C">
        <w:t>been</w:t>
      </w:r>
      <w:proofErr w:type="gramEnd"/>
      <w:r w:rsidRPr="0078336C">
        <w:t xml:space="preserve"> made.</w:t>
      </w:r>
    </w:p>
    <w:p w14:paraId="5C00C9C8" w14:textId="2549D46D" w:rsidR="0078336C" w:rsidRDefault="0078336C" w:rsidP="00E77136"/>
    <w:p w14:paraId="25A13633" w14:textId="5B8A425A" w:rsidR="0078336C" w:rsidRPr="00E77136" w:rsidRDefault="0078336C" w:rsidP="00E77136">
      <w:pPr>
        <w:pStyle w:val="Heading4"/>
        <w:rPr>
          <w:rStyle w:val="Bold"/>
          <w:b/>
        </w:rPr>
      </w:pPr>
      <w:r w:rsidRPr="00E77136">
        <w:rPr>
          <w:rStyle w:val="Bold"/>
          <w:b/>
        </w:rPr>
        <w:t>Output title: Governance</w:t>
      </w:r>
    </w:p>
    <w:p w14:paraId="379E0C0C" w14:textId="5BB4EA47" w:rsidR="0078336C" w:rsidRPr="00507BAB" w:rsidRDefault="0078336C" w:rsidP="00D46652">
      <w:pPr>
        <w:pStyle w:val="ParagraphText-unnumbered"/>
      </w:pPr>
      <w:r w:rsidRPr="0078336C">
        <w:t xml:space="preserve">The development and sustainability of AMR surveillance networks in-country is dependent on strong AMR governance and leadership. In most instances, this takes the form of an AMR Coordinating Committee (AMRCC) which is chaired by a senior leader in the Ministry of </w:t>
      </w:r>
      <w:proofErr w:type="gramStart"/>
      <w:r w:rsidRPr="0078336C">
        <w:t>Health  with</w:t>
      </w:r>
      <w:proofErr w:type="gramEnd"/>
      <w:r w:rsidRPr="0078336C">
        <w:t xml:space="preserve"> representatives across all AMR relevant sectors. AMRCCs often also have technical working groups leading on specific objectives within the Global Action Plan on AMR. The Fleming Fund aims to engage both the AMRCC and the surveillance technical working group in</w:t>
      </w:r>
      <w:r w:rsidR="004471F7">
        <w:t>-</w:t>
      </w:r>
      <w:r w:rsidRPr="0078336C">
        <w:t>country to ensure country ownership and sustainability of Fleming funded activity. In establishing these governance and leadership mechanisms, countries are demonstrating their commitment to tackling AMR.</w:t>
      </w:r>
    </w:p>
    <w:tbl>
      <w:tblPr>
        <w:tblW w:w="11465" w:type="dxa"/>
        <w:tblInd w:w="-851" w:type="dxa"/>
        <w:tblLook w:val="04A0" w:firstRow="1" w:lastRow="0" w:firstColumn="1" w:lastColumn="0" w:noHBand="0" w:noVBand="1"/>
      </w:tblPr>
      <w:tblGrid>
        <w:gridCol w:w="3362"/>
        <w:gridCol w:w="2941"/>
        <w:gridCol w:w="5162"/>
      </w:tblGrid>
      <w:tr w:rsidR="0078336C" w14:paraId="2C3E0A15" w14:textId="77777777" w:rsidTr="009041F6">
        <w:trPr>
          <w:trHeight w:val="452"/>
        </w:trPr>
        <w:tc>
          <w:tcPr>
            <w:tcW w:w="3362" w:type="dxa"/>
            <w:tcBorders>
              <w:bottom w:val="single" w:sz="4" w:space="0" w:color="auto"/>
            </w:tcBorders>
            <w:vAlign w:val="center"/>
          </w:tcPr>
          <w:p w14:paraId="2A9C7FEA" w14:textId="77777777" w:rsidR="0078336C" w:rsidRPr="0078336C" w:rsidRDefault="0078336C" w:rsidP="00E77136">
            <w:r w:rsidRPr="0078336C">
              <w:t>5-point score 2020: C</w:t>
            </w:r>
          </w:p>
        </w:tc>
        <w:tc>
          <w:tcPr>
            <w:tcW w:w="2941" w:type="dxa"/>
            <w:tcBorders>
              <w:bottom w:val="single" w:sz="4" w:space="0" w:color="auto"/>
            </w:tcBorders>
            <w:vAlign w:val="center"/>
          </w:tcPr>
          <w:p w14:paraId="50E3EF20" w14:textId="77777777" w:rsidR="0078336C" w:rsidRPr="0078336C" w:rsidRDefault="0078336C" w:rsidP="00E77136">
            <w:r w:rsidRPr="0078336C">
              <w:t>5-point score 2019: B</w:t>
            </w:r>
          </w:p>
        </w:tc>
        <w:tc>
          <w:tcPr>
            <w:tcW w:w="5162" w:type="dxa"/>
            <w:tcBorders>
              <w:bottom w:val="single" w:sz="4" w:space="0" w:color="auto"/>
            </w:tcBorders>
            <w:vAlign w:val="center"/>
          </w:tcPr>
          <w:p w14:paraId="53598487" w14:textId="77777777" w:rsidR="0078336C" w:rsidRPr="0078336C" w:rsidRDefault="0078336C" w:rsidP="00E77136">
            <w:r w:rsidRPr="0078336C">
              <w:t>Impact weighting: 5%</w:t>
            </w:r>
          </w:p>
        </w:tc>
      </w:tr>
    </w:tbl>
    <w:tbl>
      <w:tblPr>
        <w:tblStyle w:val="TableGrid"/>
        <w:tblW w:w="11199" w:type="dxa"/>
        <w:tblInd w:w="-856" w:type="dxa"/>
        <w:tblLook w:val="04A0" w:firstRow="1" w:lastRow="0" w:firstColumn="1" w:lastColumn="0" w:noHBand="0" w:noVBand="1"/>
      </w:tblPr>
      <w:tblGrid>
        <w:gridCol w:w="1161"/>
        <w:gridCol w:w="3518"/>
        <w:gridCol w:w="1559"/>
        <w:gridCol w:w="1417"/>
        <w:gridCol w:w="1843"/>
        <w:gridCol w:w="1701"/>
      </w:tblGrid>
      <w:tr w:rsidR="0078336C" w:rsidRPr="00D3441B" w14:paraId="12ED6753" w14:textId="77777777" w:rsidTr="00FA5A28">
        <w:trPr>
          <w:trHeight w:val="573"/>
        </w:trPr>
        <w:tc>
          <w:tcPr>
            <w:tcW w:w="1161" w:type="dxa"/>
            <w:shd w:val="clear" w:color="auto" w:fill="F2F2F2" w:themeFill="background1" w:themeFillShade="F2"/>
          </w:tcPr>
          <w:p w14:paraId="631595B4" w14:textId="77777777" w:rsidR="0078336C" w:rsidRPr="0078336C" w:rsidRDefault="0078336C" w:rsidP="00C203FD">
            <w:r w:rsidRPr="0078336C">
              <w:t xml:space="preserve">Output </w:t>
            </w:r>
          </w:p>
          <w:p w14:paraId="4E1CFE92" w14:textId="77777777" w:rsidR="0078336C" w:rsidRPr="0078336C" w:rsidRDefault="0078336C" w:rsidP="00E77136">
            <w:r w:rsidRPr="0078336C">
              <w:t>Indicator</w:t>
            </w:r>
          </w:p>
        </w:tc>
        <w:tc>
          <w:tcPr>
            <w:tcW w:w="3518" w:type="dxa"/>
            <w:shd w:val="clear" w:color="auto" w:fill="F2F2F2" w:themeFill="background1" w:themeFillShade="F2"/>
          </w:tcPr>
          <w:p w14:paraId="495EFB42" w14:textId="77777777" w:rsidR="0078336C" w:rsidRPr="0078336C" w:rsidRDefault="0078336C" w:rsidP="00E77136">
            <w:r w:rsidRPr="0078336C">
              <w:t>Indicator</w:t>
            </w:r>
          </w:p>
        </w:tc>
        <w:tc>
          <w:tcPr>
            <w:tcW w:w="1559" w:type="dxa"/>
            <w:shd w:val="clear" w:color="auto" w:fill="F2F2F2" w:themeFill="background1" w:themeFillShade="F2"/>
          </w:tcPr>
          <w:p w14:paraId="5BD9F31C" w14:textId="77777777" w:rsidR="0078336C" w:rsidRPr="0078336C" w:rsidRDefault="0078336C" w:rsidP="00E77136">
            <w:r w:rsidRPr="0078336C">
              <w:t>Milestone 2020</w:t>
            </w:r>
          </w:p>
        </w:tc>
        <w:tc>
          <w:tcPr>
            <w:tcW w:w="1417" w:type="dxa"/>
            <w:shd w:val="clear" w:color="auto" w:fill="F2F2F2" w:themeFill="background1" w:themeFillShade="F2"/>
          </w:tcPr>
          <w:p w14:paraId="535054BC" w14:textId="77777777" w:rsidR="0078336C" w:rsidRPr="0078336C" w:rsidRDefault="0078336C" w:rsidP="00E77136">
            <w:r w:rsidRPr="0078336C">
              <w:t>Progress</w:t>
            </w:r>
          </w:p>
        </w:tc>
        <w:tc>
          <w:tcPr>
            <w:tcW w:w="1843" w:type="dxa"/>
            <w:shd w:val="clear" w:color="auto" w:fill="F2F2F2" w:themeFill="background1" w:themeFillShade="F2"/>
          </w:tcPr>
          <w:p w14:paraId="4BCF88C9" w14:textId="77777777" w:rsidR="0078336C" w:rsidRPr="0078336C" w:rsidRDefault="0078336C" w:rsidP="00E77136">
            <w:r w:rsidRPr="0078336C">
              <w:t>Status at Year 2 - 2020 Annual review</w:t>
            </w:r>
          </w:p>
        </w:tc>
        <w:tc>
          <w:tcPr>
            <w:tcW w:w="1701" w:type="dxa"/>
            <w:shd w:val="clear" w:color="auto" w:fill="F2F2F2" w:themeFill="background1" w:themeFillShade="F2"/>
          </w:tcPr>
          <w:p w14:paraId="73BF74B6" w14:textId="77777777" w:rsidR="0078336C" w:rsidRPr="0078336C" w:rsidRDefault="0078336C" w:rsidP="00E77136">
            <w:r w:rsidRPr="0078336C">
              <w:t xml:space="preserve">Weighting </w:t>
            </w:r>
          </w:p>
        </w:tc>
      </w:tr>
      <w:tr w:rsidR="0078336C" w:rsidRPr="00D3441B" w14:paraId="7236E17E" w14:textId="77777777" w:rsidTr="00FA5A28">
        <w:trPr>
          <w:trHeight w:val="1139"/>
        </w:trPr>
        <w:tc>
          <w:tcPr>
            <w:tcW w:w="1161" w:type="dxa"/>
          </w:tcPr>
          <w:p w14:paraId="38A1A2B6" w14:textId="77777777" w:rsidR="0078336C" w:rsidRPr="0078336C" w:rsidRDefault="0078336C" w:rsidP="00C203FD">
            <w:r w:rsidRPr="0078336C">
              <w:lastRenderedPageBreak/>
              <w:t>5.1</w:t>
            </w:r>
          </w:p>
        </w:tc>
        <w:tc>
          <w:tcPr>
            <w:tcW w:w="3518" w:type="dxa"/>
          </w:tcPr>
          <w:p w14:paraId="2BEBE581" w14:textId="0846A46E" w:rsidR="0078336C" w:rsidRPr="0078336C" w:rsidRDefault="0078336C" w:rsidP="00DE5714">
            <w:r w:rsidRPr="0078336C">
              <w:t>Number of countries with functioning surveillance technical working groups meeting at least once over the 2020 calendar year</w:t>
            </w:r>
            <w:r w:rsidRPr="0078336C">
              <w:rPr>
                <w:rStyle w:val="Strong"/>
              </w:rPr>
              <w:t xml:space="preserve"> </w:t>
            </w:r>
            <w:r w:rsidRPr="0078336C">
              <w:rPr>
                <w:rStyle w:val="Bold"/>
              </w:rPr>
              <w:t>(</w:t>
            </w:r>
            <w:r w:rsidRPr="00DE5714">
              <w:t>M</w:t>
            </w:r>
            <w:r w:rsidR="004F4F17">
              <w:t xml:space="preserve">ott </w:t>
            </w:r>
            <w:r w:rsidRPr="00DE5714">
              <w:t>M</w:t>
            </w:r>
            <w:r w:rsidR="004F4F17">
              <w:t>acDonald</w:t>
            </w:r>
            <w:r w:rsidRPr="0078336C">
              <w:rPr>
                <w:rStyle w:val="Bold"/>
              </w:rPr>
              <w:t>)</w:t>
            </w:r>
          </w:p>
        </w:tc>
        <w:tc>
          <w:tcPr>
            <w:tcW w:w="1559" w:type="dxa"/>
          </w:tcPr>
          <w:p w14:paraId="13D040FC" w14:textId="77777777" w:rsidR="0078336C" w:rsidRPr="0078336C" w:rsidRDefault="0078336C" w:rsidP="00C203FD">
            <w:r w:rsidRPr="0078336C">
              <w:t>20</w:t>
            </w:r>
          </w:p>
        </w:tc>
        <w:tc>
          <w:tcPr>
            <w:tcW w:w="1417" w:type="dxa"/>
            <w:shd w:val="clear" w:color="auto" w:fill="FFC000"/>
          </w:tcPr>
          <w:p w14:paraId="3759C316" w14:textId="77777777" w:rsidR="0078336C" w:rsidRPr="0078336C" w:rsidRDefault="0078336C" w:rsidP="00E77136">
            <w:r w:rsidRPr="0078336C">
              <w:t xml:space="preserve">Not achieved </w:t>
            </w:r>
          </w:p>
          <w:p w14:paraId="099DFE09" w14:textId="77777777" w:rsidR="0078336C" w:rsidRPr="0078336C" w:rsidRDefault="0078336C" w:rsidP="00E77136">
            <w:r w:rsidRPr="0078336C">
              <w:t xml:space="preserve">(15) </w:t>
            </w:r>
          </w:p>
          <w:p w14:paraId="0D2746FC" w14:textId="77777777" w:rsidR="0078336C" w:rsidRPr="0078336C" w:rsidRDefault="0078336C" w:rsidP="0078336C"/>
        </w:tc>
        <w:tc>
          <w:tcPr>
            <w:tcW w:w="1843" w:type="dxa"/>
            <w:shd w:val="clear" w:color="auto" w:fill="F2F2F2" w:themeFill="background1" w:themeFillShade="F2"/>
          </w:tcPr>
          <w:p w14:paraId="36DAEF5D" w14:textId="77777777" w:rsidR="0078336C" w:rsidRPr="0078336C" w:rsidRDefault="0078336C" w:rsidP="00C203FD">
            <w:r w:rsidRPr="0078336C">
              <w:t>7</w:t>
            </w:r>
          </w:p>
        </w:tc>
        <w:tc>
          <w:tcPr>
            <w:tcW w:w="1701" w:type="dxa"/>
          </w:tcPr>
          <w:p w14:paraId="081D9702" w14:textId="77777777" w:rsidR="0078336C" w:rsidRPr="0078336C" w:rsidRDefault="0078336C" w:rsidP="00E77136">
            <w:r w:rsidRPr="0078336C">
              <w:t>40%</w:t>
            </w:r>
          </w:p>
        </w:tc>
      </w:tr>
      <w:tr w:rsidR="0078336C" w:rsidRPr="00D3441B" w14:paraId="35324802" w14:textId="77777777" w:rsidTr="00FA5A28">
        <w:trPr>
          <w:trHeight w:val="1365"/>
        </w:trPr>
        <w:tc>
          <w:tcPr>
            <w:tcW w:w="1161" w:type="dxa"/>
            <w:vMerge w:val="restart"/>
          </w:tcPr>
          <w:p w14:paraId="3E75A0B3" w14:textId="77777777" w:rsidR="0078336C" w:rsidRPr="0078336C" w:rsidRDefault="0078336C" w:rsidP="00C203FD">
            <w:r w:rsidRPr="0078336C">
              <w:t>5.2</w:t>
            </w:r>
          </w:p>
        </w:tc>
        <w:tc>
          <w:tcPr>
            <w:tcW w:w="3518" w:type="dxa"/>
          </w:tcPr>
          <w:p w14:paraId="41A2CBAB" w14:textId="1AFB22CA" w:rsidR="0078336C" w:rsidRPr="0078336C" w:rsidRDefault="0078336C" w:rsidP="00E77136">
            <w:r w:rsidRPr="0078336C">
              <w:t>(</w:t>
            </w:r>
            <w:proofErr w:type="spellStart"/>
            <w:r w:rsidRPr="0078336C">
              <w:t>i</w:t>
            </w:r>
            <w:proofErr w:type="spellEnd"/>
            <w:r w:rsidRPr="0078336C">
              <w:t>)  Number of countries where the national body in charge of the country AMR strategy receives AMR data report(s)</w:t>
            </w:r>
            <w:r w:rsidRPr="0078336C">
              <w:rPr>
                <w:rStyle w:val="FootnoteReference"/>
              </w:rPr>
              <w:t xml:space="preserve"> </w:t>
            </w:r>
            <w:r w:rsidRPr="0078336C">
              <w:t>generated by surveillance sites at least once a year (M</w:t>
            </w:r>
            <w:r w:rsidR="004F4F17">
              <w:t xml:space="preserve">ott </w:t>
            </w:r>
            <w:r w:rsidRPr="0078336C">
              <w:t>M</w:t>
            </w:r>
            <w:r w:rsidR="004F4F17">
              <w:t>acDonald</w:t>
            </w:r>
            <w:r w:rsidRPr="0078336C">
              <w:t>)</w:t>
            </w:r>
          </w:p>
        </w:tc>
        <w:tc>
          <w:tcPr>
            <w:tcW w:w="1559" w:type="dxa"/>
          </w:tcPr>
          <w:p w14:paraId="1D6C3464" w14:textId="77777777" w:rsidR="0078336C" w:rsidRPr="0078336C" w:rsidRDefault="0078336C" w:rsidP="00D46652">
            <w:r w:rsidRPr="0078336C">
              <w:t>11</w:t>
            </w:r>
          </w:p>
          <w:p w14:paraId="5B22AEED" w14:textId="77777777" w:rsidR="0078336C" w:rsidRPr="0078336C" w:rsidRDefault="0078336C" w:rsidP="0078336C"/>
        </w:tc>
        <w:tc>
          <w:tcPr>
            <w:tcW w:w="1417" w:type="dxa"/>
            <w:shd w:val="clear" w:color="auto" w:fill="FFC000"/>
          </w:tcPr>
          <w:p w14:paraId="5C9DA8B1" w14:textId="77777777" w:rsidR="0078336C" w:rsidRPr="0078336C" w:rsidRDefault="0078336C" w:rsidP="00C203FD">
            <w:r w:rsidRPr="0078336C">
              <w:t xml:space="preserve">Not achieved </w:t>
            </w:r>
          </w:p>
          <w:p w14:paraId="275D6C0A" w14:textId="77777777" w:rsidR="0078336C" w:rsidRPr="0078336C" w:rsidRDefault="0078336C" w:rsidP="00E77136">
            <w:r w:rsidRPr="0078336C">
              <w:t>(8)</w:t>
            </w:r>
          </w:p>
          <w:p w14:paraId="46067806" w14:textId="77777777" w:rsidR="0078336C" w:rsidRPr="0078336C" w:rsidRDefault="0078336C" w:rsidP="00E77136"/>
          <w:p w14:paraId="01376775" w14:textId="77777777" w:rsidR="0078336C" w:rsidRPr="0078336C" w:rsidRDefault="0078336C" w:rsidP="00E77136"/>
          <w:p w14:paraId="4588AED9" w14:textId="77777777" w:rsidR="0078336C" w:rsidRPr="0078336C" w:rsidRDefault="0078336C" w:rsidP="0078336C"/>
        </w:tc>
        <w:tc>
          <w:tcPr>
            <w:tcW w:w="1843" w:type="dxa"/>
            <w:vMerge w:val="restart"/>
            <w:shd w:val="clear" w:color="auto" w:fill="F2F2F2" w:themeFill="background1" w:themeFillShade="F2"/>
          </w:tcPr>
          <w:p w14:paraId="27A88F47" w14:textId="77777777" w:rsidR="0078336C" w:rsidRPr="0078336C" w:rsidRDefault="0078336C" w:rsidP="00C203FD">
            <w:r w:rsidRPr="0078336C">
              <w:t>N/A – Introduced in 2020</w:t>
            </w:r>
          </w:p>
        </w:tc>
        <w:tc>
          <w:tcPr>
            <w:tcW w:w="1701" w:type="dxa"/>
            <w:vMerge w:val="restart"/>
          </w:tcPr>
          <w:p w14:paraId="088D70EF" w14:textId="77777777" w:rsidR="0078336C" w:rsidRPr="0078336C" w:rsidRDefault="0078336C" w:rsidP="00E77136">
            <w:r w:rsidRPr="0078336C">
              <w:t>40%</w:t>
            </w:r>
          </w:p>
        </w:tc>
      </w:tr>
      <w:tr w:rsidR="0078336C" w:rsidRPr="00D3441B" w14:paraId="28D2F483" w14:textId="77777777" w:rsidTr="00FA5A28">
        <w:trPr>
          <w:trHeight w:val="1063"/>
        </w:trPr>
        <w:tc>
          <w:tcPr>
            <w:tcW w:w="1161" w:type="dxa"/>
            <w:vMerge/>
          </w:tcPr>
          <w:p w14:paraId="65013DA1" w14:textId="77777777" w:rsidR="0078336C" w:rsidRPr="0078336C" w:rsidRDefault="0078336C" w:rsidP="0078336C"/>
        </w:tc>
        <w:tc>
          <w:tcPr>
            <w:tcW w:w="3518" w:type="dxa"/>
          </w:tcPr>
          <w:p w14:paraId="7BA63F92" w14:textId="7F156594" w:rsidR="0078336C" w:rsidRPr="0078336C" w:rsidRDefault="0078336C" w:rsidP="00C203FD">
            <w:r w:rsidRPr="0078336C">
              <w:t>(ii) Number of countries where the national body in charge of country AMR strategies discusses implications for national strategy at least once a year (i.e. informed by AMR data generated and received)</w:t>
            </w:r>
            <w:r w:rsidRPr="0078336C">
              <w:rPr>
                <w:rStyle w:val="FootnoteReference"/>
              </w:rPr>
              <w:t xml:space="preserve"> </w:t>
            </w:r>
            <w:r w:rsidRPr="0078336C">
              <w:t>(M</w:t>
            </w:r>
            <w:r w:rsidR="004F4F17">
              <w:t xml:space="preserve">ott </w:t>
            </w:r>
            <w:r w:rsidRPr="0078336C">
              <w:t>M</w:t>
            </w:r>
            <w:r w:rsidR="004F4F17">
              <w:t>acDonald</w:t>
            </w:r>
            <w:r w:rsidRPr="0078336C">
              <w:t>)</w:t>
            </w:r>
          </w:p>
          <w:p w14:paraId="33E1CE6F" w14:textId="77777777" w:rsidR="0078336C" w:rsidRPr="0078336C" w:rsidRDefault="0078336C" w:rsidP="0078336C"/>
        </w:tc>
        <w:tc>
          <w:tcPr>
            <w:tcW w:w="1559" w:type="dxa"/>
          </w:tcPr>
          <w:p w14:paraId="78B93EAE" w14:textId="77777777" w:rsidR="0078336C" w:rsidRPr="0078336C" w:rsidRDefault="0078336C" w:rsidP="00D46652">
            <w:r w:rsidRPr="0078336C">
              <w:t>11</w:t>
            </w:r>
          </w:p>
          <w:p w14:paraId="75A6888D" w14:textId="77777777" w:rsidR="0078336C" w:rsidRPr="0078336C" w:rsidRDefault="0078336C" w:rsidP="0078336C">
            <w:pPr>
              <w:pStyle w:val="ListParagraph"/>
            </w:pPr>
          </w:p>
        </w:tc>
        <w:tc>
          <w:tcPr>
            <w:tcW w:w="1417" w:type="dxa"/>
            <w:shd w:val="clear" w:color="auto" w:fill="00B050"/>
          </w:tcPr>
          <w:p w14:paraId="08B9D060" w14:textId="77777777" w:rsidR="0078336C" w:rsidRDefault="0078336C" w:rsidP="00C203FD">
            <w:r w:rsidRPr="0078336C">
              <w:t>Achieved</w:t>
            </w:r>
          </w:p>
          <w:p w14:paraId="10D1866E" w14:textId="4C2BFE55" w:rsidR="00CE282B" w:rsidRPr="0078336C" w:rsidRDefault="00CE282B" w:rsidP="00C203FD">
            <w:r>
              <w:t>(11)</w:t>
            </w:r>
          </w:p>
        </w:tc>
        <w:tc>
          <w:tcPr>
            <w:tcW w:w="1843" w:type="dxa"/>
            <w:vMerge/>
            <w:shd w:val="clear" w:color="auto" w:fill="F2F2F2" w:themeFill="background1" w:themeFillShade="F2"/>
          </w:tcPr>
          <w:p w14:paraId="511EF184" w14:textId="77777777" w:rsidR="0078336C" w:rsidRPr="0078336C" w:rsidRDefault="0078336C" w:rsidP="0078336C"/>
        </w:tc>
        <w:tc>
          <w:tcPr>
            <w:tcW w:w="1701" w:type="dxa"/>
            <w:vMerge/>
          </w:tcPr>
          <w:p w14:paraId="2B2440B4" w14:textId="77777777" w:rsidR="0078336C" w:rsidRPr="0078336C" w:rsidRDefault="0078336C" w:rsidP="0078336C"/>
        </w:tc>
      </w:tr>
      <w:tr w:rsidR="0078336C" w:rsidRPr="00D3441B" w14:paraId="2F9503C6" w14:textId="77777777" w:rsidTr="00FA5A28">
        <w:trPr>
          <w:trHeight w:val="856"/>
        </w:trPr>
        <w:tc>
          <w:tcPr>
            <w:tcW w:w="1161" w:type="dxa"/>
          </w:tcPr>
          <w:p w14:paraId="3FFB0521" w14:textId="77777777" w:rsidR="0078336C" w:rsidRPr="0078336C" w:rsidRDefault="0078336C" w:rsidP="00C203FD">
            <w:r w:rsidRPr="0078336C">
              <w:t>5.3</w:t>
            </w:r>
          </w:p>
        </w:tc>
        <w:tc>
          <w:tcPr>
            <w:tcW w:w="3518" w:type="dxa"/>
          </w:tcPr>
          <w:p w14:paraId="1C009E07" w14:textId="77777777" w:rsidR="0078336C" w:rsidRPr="0078336C" w:rsidRDefault="0078336C" w:rsidP="00E77136">
            <w:r w:rsidRPr="0078336C">
              <w:t>Number of countries where legal reform processes linked to addressing AMR have been initiated following the assessment of regulatory frameworks (FAO)</w:t>
            </w:r>
          </w:p>
        </w:tc>
        <w:tc>
          <w:tcPr>
            <w:tcW w:w="1559" w:type="dxa"/>
          </w:tcPr>
          <w:p w14:paraId="5EBB409E" w14:textId="77777777" w:rsidR="0078336C" w:rsidRPr="0078336C" w:rsidRDefault="0078336C" w:rsidP="00E77136">
            <w:r w:rsidRPr="0078336C">
              <w:t>8</w:t>
            </w:r>
          </w:p>
        </w:tc>
        <w:tc>
          <w:tcPr>
            <w:tcW w:w="1417" w:type="dxa"/>
            <w:shd w:val="clear" w:color="auto" w:fill="00B050"/>
          </w:tcPr>
          <w:p w14:paraId="08B76851" w14:textId="77777777" w:rsidR="0078336C" w:rsidRDefault="0078336C" w:rsidP="00E77136">
            <w:r w:rsidRPr="0078336C">
              <w:t>Achieved</w:t>
            </w:r>
          </w:p>
          <w:p w14:paraId="50AAD194" w14:textId="3283BD06" w:rsidR="00CE282B" w:rsidRPr="0078336C" w:rsidRDefault="00CE282B" w:rsidP="00E77136">
            <w:r>
              <w:t>(8)</w:t>
            </w:r>
          </w:p>
        </w:tc>
        <w:tc>
          <w:tcPr>
            <w:tcW w:w="1843" w:type="dxa"/>
            <w:shd w:val="clear" w:color="auto" w:fill="F2F2F2" w:themeFill="background1" w:themeFillShade="F2"/>
          </w:tcPr>
          <w:p w14:paraId="4436EEFC" w14:textId="77777777" w:rsidR="0078336C" w:rsidRPr="0078336C" w:rsidRDefault="0078336C" w:rsidP="00E77136">
            <w:r w:rsidRPr="0078336C">
              <w:t>N/A – Introduced in 2020</w:t>
            </w:r>
          </w:p>
        </w:tc>
        <w:tc>
          <w:tcPr>
            <w:tcW w:w="1701" w:type="dxa"/>
          </w:tcPr>
          <w:p w14:paraId="0A7B19AF" w14:textId="77777777" w:rsidR="0078336C" w:rsidRPr="0078336C" w:rsidRDefault="0078336C" w:rsidP="00E77136">
            <w:r w:rsidRPr="0078336C">
              <w:t>20%</w:t>
            </w:r>
          </w:p>
        </w:tc>
      </w:tr>
    </w:tbl>
    <w:p w14:paraId="5257FA84" w14:textId="73EAE7BA" w:rsidR="00507BAB" w:rsidRDefault="00507BAB" w:rsidP="00C203FD"/>
    <w:p w14:paraId="38AAC49B" w14:textId="206C15C0" w:rsidR="0078336C" w:rsidRPr="0078336C" w:rsidRDefault="0078336C" w:rsidP="00D46652">
      <w:pPr>
        <w:pStyle w:val="ParagraphText-unnumbered"/>
      </w:pPr>
      <w:r w:rsidRPr="0078336C">
        <w:t>5.1.  There was some impact of COVID-19 on Technical Working Group meetings, including governments whose resources were reprioritised onto pandemic response. No T</w:t>
      </w:r>
      <w:r w:rsidR="004F4F17">
        <w:t xml:space="preserve">echnical </w:t>
      </w:r>
      <w:r w:rsidRPr="0078336C">
        <w:t>W</w:t>
      </w:r>
      <w:r w:rsidR="004F4F17">
        <w:t xml:space="preserve">orking </w:t>
      </w:r>
      <w:r w:rsidRPr="0078336C">
        <w:t>G</w:t>
      </w:r>
      <w:r w:rsidR="004F4F17">
        <w:t>roup meetings</w:t>
      </w:r>
      <w:r w:rsidRPr="0078336C">
        <w:t xml:space="preserve"> have been held in Sri Lanka, as a M</w:t>
      </w:r>
      <w:r w:rsidR="004F4F17">
        <w:t xml:space="preserve">emorandum </w:t>
      </w:r>
      <w:r w:rsidRPr="0078336C">
        <w:t>o</w:t>
      </w:r>
      <w:r w:rsidR="004F4F17">
        <w:t xml:space="preserve">f </w:t>
      </w:r>
      <w:r w:rsidRPr="0078336C">
        <w:t>U</w:t>
      </w:r>
      <w:r w:rsidR="004F4F17">
        <w:t>nderstanding</w:t>
      </w:r>
      <w:r w:rsidRPr="0078336C">
        <w:t xml:space="preserve"> is yet to be signed, or in Indonesia as the grant is still in its early stages. </w:t>
      </w:r>
    </w:p>
    <w:p w14:paraId="1FA5A334" w14:textId="2E2380C3" w:rsidR="0078336C" w:rsidRPr="0078336C" w:rsidRDefault="0078336C" w:rsidP="00D46652">
      <w:pPr>
        <w:pStyle w:val="ParagraphText-unnumbered"/>
      </w:pPr>
      <w:r w:rsidRPr="0078336C">
        <w:t xml:space="preserve">5.2. Grants need to be producing data to meet this </w:t>
      </w:r>
      <w:proofErr w:type="gramStart"/>
      <w:r w:rsidRPr="0078336C">
        <w:t>indicator</w:t>
      </w:r>
      <w:proofErr w:type="gramEnd"/>
      <w:r w:rsidRPr="0078336C">
        <w:t xml:space="preserve"> which is contingent upon procurement, renovations, equipment installation, training and functioning T</w:t>
      </w:r>
      <w:r w:rsidR="004F4F17">
        <w:t xml:space="preserve">echnical </w:t>
      </w:r>
      <w:r w:rsidRPr="0078336C">
        <w:t>W</w:t>
      </w:r>
      <w:r w:rsidR="004F4F17">
        <w:t xml:space="preserve">orking </w:t>
      </w:r>
      <w:r w:rsidRPr="0078336C">
        <w:t>G</w:t>
      </w:r>
      <w:r w:rsidR="004F4F17">
        <w:t>roup</w:t>
      </w:r>
      <w:r w:rsidRPr="0078336C">
        <w:t xml:space="preserve">s/AMRCCs (national bodies) all being in place. COVID-19 has had an impact on </w:t>
      </w:r>
      <w:proofErr w:type="gramStart"/>
      <w:r w:rsidRPr="0078336C">
        <w:t>all of</w:t>
      </w:r>
      <w:proofErr w:type="gramEnd"/>
      <w:r w:rsidRPr="0078336C">
        <w:t xml:space="preserve"> these elements to varying degrees</w:t>
      </w:r>
      <w:r w:rsidR="00DE5714">
        <w:t>. T</w:t>
      </w:r>
      <w:r w:rsidRPr="0078336C">
        <w:t>his is evidenced in delayed activity completion rates for country grants and slower procurement/installations than planned in 2020. In addition, the figures are limited to the evidence that could be collected in interviews with National Focal Points which COVID-19 priorities would have made more difficult</w:t>
      </w:r>
      <w:r w:rsidR="00DE5714">
        <w:t>.</w:t>
      </w:r>
    </w:p>
    <w:p w14:paraId="15C8BF89" w14:textId="05358CF5" w:rsidR="0078336C" w:rsidRDefault="0078336C" w:rsidP="00D46652">
      <w:pPr>
        <w:pStyle w:val="ParagraphText-unnumbered"/>
      </w:pPr>
      <w:r w:rsidRPr="0078336C">
        <w:t>5.3.  Following completion of legal assessments of regulatory frameworks in all 12 focal countries, some legal reform process has been initiated in 8 countries (Cambodia, Ethiopia, Ghana, Kenya, Philippines, Sudan, Zambia, and Zimbabwe).</w:t>
      </w:r>
    </w:p>
    <w:p w14:paraId="261AFBDC" w14:textId="726D44E7" w:rsidR="0078336C" w:rsidRPr="00E77136" w:rsidRDefault="0078336C" w:rsidP="00E77136">
      <w:pPr>
        <w:pStyle w:val="Heading4"/>
        <w:rPr>
          <w:rStyle w:val="Bold"/>
          <w:b/>
        </w:rPr>
      </w:pPr>
      <w:r w:rsidRPr="00E77136">
        <w:rPr>
          <w:rStyle w:val="Bold"/>
          <w:b/>
        </w:rPr>
        <w:lastRenderedPageBreak/>
        <w:t>Output title: A</w:t>
      </w:r>
      <w:r w:rsidR="004F4F17">
        <w:rPr>
          <w:rStyle w:val="Bold"/>
        </w:rPr>
        <w:t>ntimicrobial Consumption (AMC)</w:t>
      </w:r>
      <w:r w:rsidRPr="00E77136">
        <w:rPr>
          <w:rStyle w:val="Bold"/>
          <w:b/>
        </w:rPr>
        <w:t xml:space="preserve"> Data</w:t>
      </w:r>
    </w:p>
    <w:p w14:paraId="450DB223" w14:textId="77777777" w:rsidR="00D234A9" w:rsidRDefault="00D234A9" w:rsidP="00D46652">
      <w:pPr>
        <w:pStyle w:val="ParagraphText-unnumbered"/>
        <w:rPr>
          <w:rStyle w:val="Bold"/>
          <w:b w:val="0"/>
          <w:sz w:val="25"/>
        </w:rPr>
      </w:pPr>
    </w:p>
    <w:p w14:paraId="1C6F0B7F" w14:textId="7ADB1541" w:rsidR="00B17E24" w:rsidRDefault="0078336C" w:rsidP="00D46652">
      <w:pPr>
        <w:pStyle w:val="ParagraphText-unnumbered"/>
      </w:pPr>
      <w:r w:rsidRPr="0078336C">
        <w:t>The Fleming Fund's main aim is to support the generation of high-quality data across human health and animal health sectors, including AMU and AMC data. The generation of AMU and AMC data refers to the monitoring and recording of drug production, import and prescription, and consumption patterns. The Fleming Fund aims to support countries in collecting this data through surveillance networks across both human and animal health sectors. Standardised protocols such as Point Prevalence Survey and the OIE database on antimicrobial agents intended for use in animals will be used to collect this data.</w:t>
      </w:r>
    </w:p>
    <w:tbl>
      <w:tblPr>
        <w:tblW w:w="15464" w:type="dxa"/>
        <w:tblInd w:w="-851" w:type="dxa"/>
        <w:tblLook w:val="04A0" w:firstRow="1" w:lastRow="0" w:firstColumn="1" w:lastColumn="0" w:noHBand="0" w:noVBand="1"/>
      </w:tblPr>
      <w:tblGrid>
        <w:gridCol w:w="4253"/>
        <w:gridCol w:w="3828"/>
        <w:gridCol w:w="7383"/>
      </w:tblGrid>
      <w:tr w:rsidR="00B17E24" w14:paraId="6BDBB7F7" w14:textId="77777777" w:rsidTr="00FA5A28">
        <w:trPr>
          <w:trHeight w:val="735"/>
        </w:trPr>
        <w:tc>
          <w:tcPr>
            <w:tcW w:w="4253" w:type="dxa"/>
            <w:tcBorders>
              <w:bottom w:val="single" w:sz="4" w:space="0" w:color="auto"/>
            </w:tcBorders>
            <w:vAlign w:val="center"/>
          </w:tcPr>
          <w:p w14:paraId="16833A60" w14:textId="77777777" w:rsidR="00B17E24" w:rsidRPr="00B17E24" w:rsidRDefault="00B17E24" w:rsidP="00E77136">
            <w:r w:rsidRPr="00B17E24">
              <w:t>5-point score 2020: A</w:t>
            </w:r>
          </w:p>
        </w:tc>
        <w:tc>
          <w:tcPr>
            <w:tcW w:w="3828" w:type="dxa"/>
            <w:tcBorders>
              <w:bottom w:val="single" w:sz="4" w:space="0" w:color="auto"/>
            </w:tcBorders>
            <w:vAlign w:val="center"/>
          </w:tcPr>
          <w:p w14:paraId="436335C3" w14:textId="77777777" w:rsidR="00B17E24" w:rsidRPr="00B17E24" w:rsidRDefault="00B17E24" w:rsidP="00E77136">
            <w:r w:rsidRPr="00B17E24">
              <w:t>5-point score 2019: A</w:t>
            </w:r>
          </w:p>
        </w:tc>
        <w:tc>
          <w:tcPr>
            <w:tcW w:w="7383" w:type="dxa"/>
            <w:tcBorders>
              <w:bottom w:val="single" w:sz="4" w:space="0" w:color="auto"/>
            </w:tcBorders>
            <w:vAlign w:val="center"/>
          </w:tcPr>
          <w:p w14:paraId="50125F38" w14:textId="77777777" w:rsidR="00B17E24" w:rsidRPr="00B17E24" w:rsidRDefault="00B17E24" w:rsidP="00E77136">
            <w:r w:rsidRPr="00B17E24">
              <w:t>Impact weighting:15%</w:t>
            </w:r>
          </w:p>
        </w:tc>
      </w:tr>
    </w:tbl>
    <w:tbl>
      <w:tblPr>
        <w:tblStyle w:val="TableGrid"/>
        <w:tblW w:w="11057" w:type="dxa"/>
        <w:tblInd w:w="-856" w:type="dxa"/>
        <w:tblLook w:val="04A0" w:firstRow="1" w:lastRow="0" w:firstColumn="1" w:lastColumn="0" w:noHBand="0" w:noVBand="1"/>
      </w:tblPr>
      <w:tblGrid>
        <w:gridCol w:w="1137"/>
        <w:gridCol w:w="3524"/>
        <w:gridCol w:w="1556"/>
        <w:gridCol w:w="1444"/>
        <w:gridCol w:w="1839"/>
        <w:gridCol w:w="1557"/>
      </w:tblGrid>
      <w:tr w:rsidR="00B17E24" w:rsidRPr="00F5047C" w14:paraId="409AFC19" w14:textId="77777777" w:rsidTr="00FA5A28">
        <w:tc>
          <w:tcPr>
            <w:tcW w:w="1138" w:type="dxa"/>
            <w:shd w:val="clear" w:color="auto" w:fill="E0E0E1" w:themeFill="background2"/>
          </w:tcPr>
          <w:p w14:paraId="672D69A7" w14:textId="77777777" w:rsidR="00B17E24" w:rsidRPr="00B17E24" w:rsidRDefault="00B17E24" w:rsidP="00C203FD">
            <w:r w:rsidRPr="00B17E24">
              <w:t xml:space="preserve">Output </w:t>
            </w:r>
          </w:p>
          <w:p w14:paraId="543B0D4C" w14:textId="77777777" w:rsidR="00B17E24" w:rsidRPr="00B17E24" w:rsidRDefault="00B17E24" w:rsidP="00E77136">
            <w:r w:rsidRPr="00B17E24">
              <w:t>Indicator</w:t>
            </w:r>
          </w:p>
        </w:tc>
        <w:tc>
          <w:tcPr>
            <w:tcW w:w="3541" w:type="dxa"/>
            <w:shd w:val="clear" w:color="auto" w:fill="E0E0E1" w:themeFill="background2"/>
          </w:tcPr>
          <w:p w14:paraId="787A1072" w14:textId="77777777" w:rsidR="00B17E24" w:rsidRPr="00B17E24" w:rsidRDefault="00B17E24" w:rsidP="00B17E24">
            <w:pPr>
              <w:pStyle w:val="ParagraphText-unnumbered"/>
            </w:pPr>
            <w:r w:rsidRPr="00B17E24">
              <w:t>Indicator</w:t>
            </w:r>
          </w:p>
        </w:tc>
        <w:tc>
          <w:tcPr>
            <w:tcW w:w="1559" w:type="dxa"/>
            <w:shd w:val="clear" w:color="auto" w:fill="E0E0E1" w:themeFill="background2"/>
          </w:tcPr>
          <w:p w14:paraId="7DD5DE92" w14:textId="77777777" w:rsidR="00B17E24" w:rsidRPr="00B17E24" w:rsidRDefault="00B17E24" w:rsidP="00C203FD">
            <w:r w:rsidRPr="00B17E24">
              <w:t>Milestone 2020</w:t>
            </w:r>
          </w:p>
        </w:tc>
        <w:tc>
          <w:tcPr>
            <w:tcW w:w="1417" w:type="dxa"/>
            <w:shd w:val="clear" w:color="auto" w:fill="E0E0E1" w:themeFill="background2"/>
          </w:tcPr>
          <w:p w14:paraId="10C87C4E" w14:textId="77777777" w:rsidR="00B17E24" w:rsidRPr="00B17E24" w:rsidRDefault="00B17E24" w:rsidP="00E77136">
            <w:pPr>
              <w:rPr>
                <w:rStyle w:val="Bold"/>
              </w:rPr>
            </w:pPr>
            <w:r w:rsidRPr="00B17E24">
              <w:t>Progress</w:t>
            </w:r>
          </w:p>
        </w:tc>
        <w:tc>
          <w:tcPr>
            <w:tcW w:w="1843" w:type="dxa"/>
            <w:shd w:val="clear" w:color="auto" w:fill="E0E0E1" w:themeFill="background2"/>
          </w:tcPr>
          <w:p w14:paraId="76557A26" w14:textId="77777777" w:rsidR="00B17E24" w:rsidRPr="00B17E24" w:rsidRDefault="00B17E24" w:rsidP="00E77136">
            <w:r w:rsidRPr="00B17E24">
              <w:t>Status at Year 2 – 2020 Annual review</w:t>
            </w:r>
          </w:p>
        </w:tc>
        <w:tc>
          <w:tcPr>
            <w:tcW w:w="1559" w:type="dxa"/>
            <w:shd w:val="clear" w:color="auto" w:fill="E0E0E1" w:themeFill="background2"/>
          </w:tcPr>
          <w:p w14:paraId="483BFE63" w14:textId="77777777" w:rsidR="00B17E24" w:rsidRPr="00B17E24" w:rsidRDefault="00B17E24" w:rsidP="00E77136">
            <w:r w:rsidRPr="00B17E24">
              <w:t>Weighting</w:t>
            </w:r>
          </w:p>
        </w:tc>
      </w:tr>
      <w:tr w:rsidR="00B17E24" w:rsidRPr="00F5047C" w14:paraId="374AE233" w14:textId="77777777" w:rsidTr="00FA5A28">
        <w:trPr>
          <w:trHeight w:val="617"/>
        </w:trPr>
        <w:tc>
          <w:tcPr>
            <w:tcW w:w="1138" w:type="dxa"/>
          </w:tcPr>
          <w:p w14:paraId="14C626A6" w14:textId="77777777" w:rsidR="00B17E24" w:rsidRPr="00B17E24" w:rsidRDefault="00B17E24" w:rsidP="00C203FD">
            <w:r w:rsidRPr="00B17E24">
              <w:t>6.1</w:t>
            </w:r>
          </w:p>
        </w:tc>
        <w:tc>
          <w:tcPr>
            <w:tcW w:w="3541" w:type="dxa"/>
          </w:tcPr>
          <w:p w14:paraId="10C5606F" w14:textId="77777777" w:rsidR="00B17E24" w:rsidRPr="00B17E24" w:rsidRDefault="00B17E24" w:rsidP="00DE5714">
            <w:r w:rsidRPr="00B17E24">
              <w:t>Number of countries contributing to OIE database</w:t>
            </w:r>
            <w:r w:rsidRPr="00B17E24">
              <w:rPr>
                <w:rStyle w:val="Strong"/>
              </w:rPr>
              <w:t xml:space="preserve"> (</w:t>
            </w:r>
            <w:r w:rsidRPr="00DE5714">
              <w:t>OIE</w:t>
            </w:r>
            <w:r w:rsidRPr="00B17E24">
              <w:rPr>
                <w:rStyle w:val="Strong"/>
              </w:rPr>
              <w:t>)</w:t>
            </w:r>
          </w:p>
        </w:tc>
        <w:tc>
          <w:tcPr>
            <w:tcW w:w="1559" w:type="dxa"/>
          </w:tcPr>
          <w:p w14:paraId="7F1149A7" w14:textId="77777777" w:rsidR="00B17E24" w:rsidRPr="00B17E24" w:rsidRDefault="00B17E24" w:rsidP="00C203FD">
            <w:r w:rsidRPr="00B17E24">
              <w:t>160</w:t>
            </w:r>
          </w:p>
        </w:tc>
        <w:tc>
          <w:tcPr>
            <w:tcW w:w="1417" w:type="dxa"/>
            <w:shd w:val="clear" w:color="auto" w:fill="00B050"/>
          </w:tcPr>
          <w:p w14:paraId="554388DF" w14:textId="77777777" w:rsidR="00B17E24" w:rsidRPr="00B17E24" w:rsidRDefault="00B17E24" w:rsidP="00B17E24">
            <w:pPr>
              <w:pStyle w:val="Table-bodytext"/>
              <w:rPr>
                <w:rStyle w:val="Bold"/>
              </w:rPr>
            </w:pPr>
            <w:r w:rsidRPr="00B17E24">
              <w:rPr>
                <w:rStyle w:val="Bold"/>
              </w:rPr>
              <w:t>Achieved</w:t>
            </w:r>
          </w:p>
          <w:p w14:paraId="1AE6C0EF" w14:textId="77777777" w:rsidR="00B17E24" w:rsidRPr="00B17E24" w:rsidRDefault="00B17E24" w:rsidP="00B17E24">
            <w:pPr>
              <w:pStyle w:val="Table-bodytext"/>
            </w:pPr>
            <w:r w:rsidRPr="00B17E24">
              <w:t>(160)</w:t>
            </w:r>
          </w:p>
        </w:tc>
        <w:tc>
          <w:tcPr>
            <w:tcW w:w="1843" w:type="dxa"/>
            <w:shd w:val="clear" w:color="auto" w:fill="E0E0E1" w:themeFill="background2"/>
          </w:tcPr>
          <w:p w14:paraId="21845636" w14:textId="77777777" w:rsidR="00B17E24" w:rsidRPr="00B17E24" w:rsidRDefault="00B17E24" w:rsidP="00C203FD">
            <w:r w:rsidRPr="00B17E24">
              <w:t>153</w:t>
            </w:r>
          </w:p>
        </w:tc>
        <w:tc>
          <w:tcPr>
            <w:tcW w:w="1559" w:type="dxa"/>
          </w:tcPr>
          <w:p w14:paraId="6CEC10BC" w14:textId="77777777" w:rsidR="00B17E24" w:rsidRPr="00B17E24" w:rsidRDefault="00B17E24" w:rsidP="00E77136">
            <w:r w:rsidRPr="00B17E24">
              <w:t>30%</w:t>
            </w:r>
          </w:p>
        </w:tc>
      </w:tr>
      <w:tr w:rsidR="00B17E24" w:rsidRPr="00F5047C" w14:paraId="1F59F7F6" w14:textId="77777777" w:rsidTr="00FA5A28">
        <w:tc>
          <w:tcPr>
            <w:tcW w:w="1138" w:type="dxa"/>
          </w:tcPr>
          <w:p w14:paraId="4ED49991" w14:textId="77777777" w:rsidR="00B17E24" w:rsidRPr="00B17E24" w:rsidRDefault="00B17E24" w:rsidP="00C203FD">
            <w:r w:rsidRPr="00B17E24">
              <w:t>6.2</w:t>
            </w:r>
          </w:p>
        </w:tc>
        <w:tc>
          <w:tcPr>
            <w:tcW w:w="3541" w:type="dxa"/>
          </w:tcPr>
          <w:p w14:paraId="4D141DC0" w14:textId="77777777" w:rsidR="00B17E24" w:rsidRPr="00B17E24" w:rsidRDefault="00B17E24" w:rsidP="00E77136">
            <w:r w:rsidRPr="00B17E24">
              <w:t>Number of countries reporting quantitative data to OIE database (OIE)</w:t>
            </w:r>
          </w:p>
        </w:tc>
        <w:tc>
          <w:tcPr>
            <w:tcW w:w="1559" w:type="dxa"/>
          </w:tcPr>
          <w:p w14:paraId="17C632EF" w14:textId="77777777" w:rsidR="00B17E24" w:rsidRPr="00B17E24" w:rsidRDefault="00B17E24" w:rsidP="00E77136">
            <w:r w:rsidRPr="00B17E24">
              <w:t>125</w:t>
            </w:r>
          </w:p>
        </w:tc>
        <w:tc>
          <w:tcPr>
            <w:tcW w:w="1417" w:type="dxa"/>
            <w:shd w:val="clear" w:color="auto" w:fill="00B050"/>
          </w:tcPr>
          <w:p w14:paraId="299CA8AF" w14:textId="77777777" w:rsidR="00B17E24" w:rsidRPr="00B17E24" w:rsidRDefault="00B17E24" w:rsidP="00B17E24">
            <w:pPr>
              <w:pStyle w:val="Table-bodytext"/>
              <w:rPr>
                <w:rStyle w:val="Bold"/>
              </w:rPr>
            </w:pPr>
            <w:r w:rsidRPr="00B17E24">
              <w:rPr>
                <w:rStyle w:val="Bold"/>
              </w:rPr>
              <w:t>Surpassed</w:t>
            </w:r>
          </w:p>
          <w:p w14:paraId="79FFFB57" w14:textId="77777777" w:rsidR="00B17E24" w:rsidRPr="00B17E24" w:rsidRDefault="00B17E24" w:rsidP="00B17E24">
            <w:pPr>
              <w:pStyle w:val="Table-bodytext"/>
            </w:pPr>
            <w:r w:rsidRPr="00B17E24">
              <w:t>(133)</w:t>
            </w:r>
          </w:p>
          <w:p w14:paraId="6C5A3A87" w14:textId="77777777" w:rsidR="00B17E24" w:rsidRPr="00B17E24" w:rsidRDefault="00B17E24" w:rsidP="00B17E24">
            <w:pPr>
              <w:pStyle w:val="Table-bodytext"/>
            </w:pPr>
          </w:p>
        </w:tc>
        <w:tc>
          <w:tcPr>
            <w:tcW w:w="1843" w:type="dxa"/>
            <w:shd w:val="clear" w:color="auto" w:fill="E0E0E1" w:themeFill="background2"/>
          </w:tcPr>
          <w:p w14:paraId="5C844C0C" w14:textId="77777777" w:rsidR="00B17E24" w:rsidRPr="00B17E24" w:rsidRDefault="00B17E24" w:rsidP="00C203FD">
            <w:r w:rsidRPr="00B17E24">
              <w:t>118</w:t>
            </w:r>
          </w:p>
        </w:tc>
        <w:tc>
          <w:tcPr>
            <w:tcW w:w="1559" w:type="dxa"/>
          </w:tcPr>
          <w:p w14:paraId="5A663DB4" w14:textId="77777777" w:rsidR="00B17E24" w:rsidRPr="00B17E24" w:rsidRDefault="00B17E24" w:rsidP="00E77136">
            <w:r w:rsidRPr="00B17E24">
              <w:t>30%</w:t>
            </w:r>
          </w:p>
        </w:tc>
      </w:tr>
      <w:tr w:rsidR="00B17E24" w:rsidRPr="00F5047C" w14:paraId="46D758BA" w14:textId="77777777" w:rsidTr="00FA5A28">
        <w:tc>
          <w:tcPr>
            <w:tcW w:w="1138" w:type="dxa"/>
          </w:tcPr>
          <w:p w14:paraId="598A5C7A" w14:textId="77777777" w:rsidR="00B17E24" w:rsidRPr="00B17E24" w:rsidRDefault="00B17E24" w:rsidP="00C203FD">
            <w:r w:rsidRPr="00B17E24">
              <w:t>6.3</w:t>
            </w:r>
          </w:p>
        </w:tc>
        <w:tc>
          <w:tcPr>
            <w:tcW w:w="3541" w:type="dxa"/>
          </w:tcPr>
          <w:p w14:paraId="2C0A926F" w14:textId="57C146AF" w:rsidR="00B17E24" w:rsidRPr="00B17E24" w:rsidRDefault="00B17E24" w:rsidP="00E77136">
            <w:r w:rsidRPr="00B17E24">
              <w:t>Number of countries in F</w:t>
            </w:r>
            <w:r w:rsidR="004F4F17">
              <w:t xml:space="preserve">leming </w:t>
            </w:r>
            <w:r w:rsidRPr="00B17E24">
              <w:t>F</w:t>
            </w:r>
            <w:r w:rsidR="004F4F17">
              <w:t>und</w:t>
            </w:r>
            <w:r w:rsidRPr="00B17E24">
              <w:t xml:space="preserve"> regions enrolled in the GLASS-AMC module and submitting consumption data (WHO)</w:t>
            </w:r>
          </w:p>
          <w:p w14:paraId="2CA06532" w14:textId="77777777" w:rsidR="00B17E24" w:rsidRPr="00B17E24" w:rsidRDefault="00B17E24" w:rsidP="00B17E24"/>
        </w:tc>
        <w:tc>
          <w:tcPr>
            <w:tcW w:w="1559" w:type="dxa"/>
          </w:tcPr>
          <w:p w14:paraId="205703D6" w14:textId="77777777" w:rsidR="00B17E24" w:rsidRPr="00B17E24" w:rsidRDefault="00B17E24" w:rsidP="00C203FD">
            <w:r w:rsidRPr="00B17E24">
              <w:t>10</w:t>
            </w:r>
          </w:p>
        </w:tc>
        <w:tc>
          <w:tcPr>
            <w:tcW w:w="1417" w:type="dxa"/>
            <w:shd w:val="clear" w:color="auto" w:fill="FFC000"/>
          </w:tcPr>
          <w:p w14:paraId="453AE5F5" w14:textId="77777777" w:rsidR="00B17E24" w:rsidRPr="00B17E24" w:rsidRDefault="00B17E24" w:rsidP="00B17E24">
            <w:pPr>
              <w:pStyle w:val="Table-bodytext"/>
              <w:rPr>
                <w:rStyle w:val="Bold"/>
              </w:rPr>
            </w:pPr>
            <w:r w:rsidRPr="00B17E24">
              <w:rPr>
                <w:rStyle w:val="Bold"/>
              </w:rPr>
              <w:t>Not achieved</w:t>
            </w:r>
          </w:p>
          <w:p w14:paraId="7F94D133" w14:textId="75D123A5" w:rsidR="00B17E24" w:rsidRPr="00B17E24" w:rsidRDefault="00B17E24" w:rsidP="00B17E24">
            <w:pPr>
              <w:pStyle w:val="Table-bodytext"/>
              <w:rPr>
                <w:highlight w:val="red"/>
              </w:rPr>
            </w:pPr>
            <w:r w:rsidRPr="00B17E24">
              <w:rPr>
                <w:rStyle w:val="Bold"/>
              </w:rPr>
              <w:t>(10 enrolled</w:t>
            </w:r>
            <w:r w:rsidR="00CE282B">
              <w:rPr>
                <w:rStyle w:val="Bold"/>
              </w:rPr>
              <w:t xml:space="preserve"> but not submitting data</w:t>
            </w:r>
            <w:r w:rsidRPr="00B17E24">
              <w:rPr>
                <w:rStyle w:val="Bold"/>
              </w:rPr>
              <w:t>)</w:t>
            </w:r>
          </w:p>
        </w:tc>
        <w:tc>
          <w:tcPr>
            <w:tcW w:w="1843" w:type="dxa"/>
            <w:shd w:val="clear" w:color="auto" w:fill="E0E0E1" w:themeFill="background2"/>
          </w:tcPr>
          <w:p w14:paraId="0B2A92A2" w14:textId="77777777" w:rsidR="00B17E24" w:rsidRPr="00B17E24" w:rsidRDefault="00B17E24" w:rsidP="00C203FD">
            <w:pPr>
              <w:rPr>
                <w:rFonts w:eastAsia="Calibri"/>
              </w:rPr>
            </w:pPr>
            <w:r w:rsidRPr="00B17E24">
              <w:t>N/A – Introduced in 2020</w:t>
            </w:r>
          </w:p>
          <w:p w14:paraId="7B480320" w14:textId="77777777" w:rsidR="00B17E24" w:rsidRPr="00B17E24" w:rsidRDefault="00B17E24" w:rsidP="00B17E24"/>
        </w:tc>
        <w:tc>
          <w:tcPr>
            <w:tcW w:w="1559" w:type="dxa"/>
          </w:tcPr>
          <w:p w14:paraId="14ACDE42" w14:textId="77777777" w:rsidR="00B17E24" w:rsidRPr="00B17E24" w:rsidRDefault="00B17E24" w:rsidP="00C203FD">
            <w:r w:rsidRPr="00B17E24">
              <w:t>40%</w:t>
            </w:r>
          </w:p>
        </w:tc>
      </w:tr>
    </w:tbl>
    <w:p w14:paraId="32E77F85" w14:textId="77777777" w:rsidR="00E77136" w:rsidRDefault="00E77136" w:rsidP="00C203FD"/>
    <w:p w14:paraId="61B7A40A" w14:textId="496AD69B" w:rsidR="000360E4" w:rsidRPr="000360E4" w:rsidRDefault="000360E4" w:rsidP="00D46652">
      <w:pPr>
        <w:pStyle w:val="ParagraphText-unnumbered"/>
      </w:pPr>
      <w:r w:rsidRPr="000360E4">
        <w:t>6.1 and 6.2. There has been good participation from the countries compared to all previous rounds of the OIE AMU Data Collection. During the 5th round, the OIE prepared dedicated AMU workshops and webinars for Africa, the Americas and Asia, Far East and Oceania. During these activities, the OIE introduced an OIE Calculation Tool to assist with the calculations presented the animal biomass and discussed the future AMU IT System to understand the needs of the countries. The fifth round covered more countries reporting quantitative data (133 countries)</w:t>
      </w:r>
      <w:r w:rsidR="004F4F17">
        <w:t>,</w:t>
      </w:r>
      <w:r w:rsidRPr="000360E4">
        <w:t xml:space="preserve"> an increase of nearly 50% of countries when compared to the first round (launched in 2015). The fifth report will be published in the first quarter of 2021. </w:t>
      </w:r>
    </w:p>
    <w:p w14:paraId="3C3910D3" w14:textId="0C3AEE0D" w:rsidR="000360E4" w:rsidRPr="000360E4" w:rsidRDefault="000360E4" w:rsidP="00D46652">
      <w:pPr>
        <w:pStyle w:val="ParagraphText-unnumbered"/>
      </w:pPr>
      <w:r w:rsidRPr="000360E4">
        <w:t xml:space="preserve">6.2 Fleming Fund funds the OIE's AMU database so these results are directly related to the </w:t>
      </w:r>
      <w:r w:rsidR="004F4F17">
        <w:t xml:space="preserve">programme but, as </w:t>
      </w:r>
      <w:r w:rsidRPr="000360E4">
        <w:t xml:space="preserve">we do not fund the work of the country focal points, </w:t>
      </w:r>
      <w:r w:rsidR="004F4F17">
        <w:t>it</w:t>
      </w:r>
      <w:r w:rsidR="004F4F17" w:rsidRPr="000360E4">
        <w:t xml:space="preserve"> </w:t>
      </w:r>
      <w:r w:rsidRPr="000360E4">
        <w:t>is not 100% attributed to the</w:t>
      </w:r>
      <w:r w:rsidR="004F4F17">
        <w:t xml:space="preserve"> Fleming</w:t>
      </w:r>
      <w:r w:rsidRPr="000360E4">
        <w:t xml:space="preserve"> Fund.</w:t>
      </w:r>
    </w:p>
    <w:p w14:paraId="6D16C28E" w14:textId="6F2D8CFF" w:rsidR="000360E4" w:rsidRPr="000360E4" w:rsidRDefault="000360E4" w:rsidP="00D46652">
      <w:pPr>
        <w:pStyle w:val="ParagraphText-unnumbered"/>
      </w:pPr>
      <w:r w:rsidRPr="000360E4">
        <w:lastRenderedPageBreak/>
        <w:t xml:space="preserve">6.3. Currently 18 countries have enrolled in the GLASS AMC module, including: Côte d'Ivoire, Mali, </w:t>
      </w:r>
      <w:proofErr w:type="spellStart"/>
      <w:r w:rsidRPr="000360E4">
        <w:t>Bénin</w:t>
      </w:r>
      <w:proofErr w:type="spellEnd"/>
      <w:r w:rsidRPr="000360E4">
        <w:t xml:space="preserve">, Burkina Faso, Lesotho, Peru, Iraq, South Sudan, Jordan, Tunisia, Iran, Kuwait, Belgium, Timor </w:t>
      </w:r>
      <w:proofErr w:type="spellStart"/>
      <w:r w:rsidRPr="000360E4">
        <w:t>Leste</w:t>
      </w:r>
      <w:proofErr w:type="spellEnd"/>
      <w:r w:rsidRPr="000360E4">
        <w:t xml:space="preserve">, Maldives, Nepal, Indonesia and Bhutan. Of those enrolled in the GLASS AMC module, 4 are Fleming Fund countries (Nepal, Indonesia, Timor </w:t>
      </w:r>
      <w:proofErr w:type="spellStart"/>
      <w:r w:rsidRPr="000360E4">
        <w:t>Leste</w:t>
      </w:r>
      <w:proofErr w:type="spellEnd"/>
      <w:r w:rsidRPr="000360E4">
        <w:t xml:space="preserve"> and Bhutan) and 10 are in F</w:t>
      </w:r>
      <w:r w:rsidR="004F4F17">
        <w:t xml:space="preserve">leming </w:t>
      </w:r>
      <w:r w:rsidRPr="000360E4">
        <w:t>F</w:t>
      </w:r>
      <w:r w:rsidR="004F4F17">
        <w:t>und</w:t>
      </w:r>
      <w:r w:rsidRPr="000360E4">
        <w:t xml:space="preserve"> regions. </w:t>
      </w:r>
      <w:r w:rsidR="00432127">
        <w:t xml:space="preserve">However, </w:t>
      </w:r>
      <w:proofErr w:type="spellStart"/>
      <w:r w:rsidR="00432127">
        <w:t>w</w:t>
      </w:r>
      <w:r w:rsidRPr="000360E4">
        <w:t>hils</w:t>
      </w:r>
      <w:r w:rsidR="004F4F17">
        <w:t>e</w:t>
      </w:r>
      <w:proofErr w:type="spellEnd"/>
      <w:r w:rsidR="00432127">
        <w:t xml:space="preserve"> these</w:t>
      </w:r>
      <w:r w:rsidRPr="000360E4">
        <w:t xml:space="preserve"> 10 enrolled in the GLASS-AMC module</w:t>
      </w:r>
      <w:r w:rsidR="004F4F17">
        <w:t>,</w:t>
      </w:r>
      <w:r w:rsidRPr="000360E4">
        <w:t xml:space="preserve"> they were not able to submit consumption data. Due to </w:t>
      </w:r>
      <w:r w:rsidR="00EB2019">
        <w:t>COVID</w:t>
      </w:r>
      <w:r w:rsidRPr="000360E4">
        <w:t xml:space="preserve">-19, WHO were not able to finalize and publish the revised protocol until October which gave a short window for data submission. Countries were also still </w:t>
      </w:r>
      <w:r w:rsidR="00432127">
        <w:t>prioritising</w:t>
      </w:r>
      <w:r w:rsidRPr="000360E4">
        <w:t xml:space="preserve"> COVID-19 </w:t>
      </w:r>
      <w:r w:rsidR="00432127">
        <w:t xml:space="preserve">response </w:t>
      </w:r>
      <w:proofErr w:type="gramStart"/>
      <w:r w:rsidRPr="000360E4">
        <w:t>at this time</w:t>
      </w:r>
      <w:proofErr w:type="gramEnd"/>
      <w:r w:rsidRPr="000360E4">
        <w:t>.</w:t>
      </w:r>
    </w:p>
    <w:p w14:paraId="4A32D40D" w14:textId="5B5635D7" w:rsidR="00FA5A28" w:rsidRPr="00E77136" w:rsidRDefault="00D234A9" w:rsidP="00E77136">
      <w:pPr>
        <w:pStyle w:val="Heading4"/>
        <w:rPr>
          <w:rStyle w:val="Bold"/>
          <w:b/>
        </w:rPr>
      </w:pPr>
      <w:r w:rsidRPr="00E77136">
        <w:rPr>
          <w:rStyle w:val="Bold"/>
          <w:b/>
        </w:rPr>
        <w:t xml:space="preserve">Output title: </w:t>
      </w:r>
      <w:r w:rsidR="00FA5A28" w:rsidRPr="00E77136">
        <w:rPr>
          <w:rStyle w:val="Bold"/>
          <w:b/>
        </w:rPr>
        <w:t>Substandard and Falsified Medicines (SF) data</w:t>
      </w:r>
    </w:p>
    <w:p w14:paraId="58C28C57" w14:textId="5441776F" w:rsidR="00FA5A28" w:rsidRPr="00FA5A28" w:rsidRDefault="00FA5A28" w:rsidP="00E77136">
      <w:pPr>
        <w:rPr>
          <w:rStyle w:val="Bold"/>
        </w:rPr>
      </w:pPr>
    </w:p>
    <w:p w14:paraId="6EAC688E" w14:textId="71A36533" w:rsidR="00FA5A28" w:rsidRPr="00801A1F" w:rsidRDefault="00FA5A28" w:rsidP="00412578">
      <w:pPr>
        <w:pStyle w:val="ParagraphText-unnumbered"/>
      </w:pPr>
      <w:r w:rsidRPr="00412578">
        <w:t>A very direct relationship exists between AMR surveillance and data on quality of medicin</w:t>
      </w:r>
      <w:r w:rsidRPr="00801A1F">
        <w:t xml:space="preserve">es. With improved treatment outcomes, a treatment failure should be a signal for investigation both for resistance, and for substandard or falsified medicines. Data on SF medicines will enable countries to better understand the quality of medicines in their markets and will inform an improved understanding of the prevalence of AMR and how it can best be tackled including prevention, detection and response to SF medical products. </w:t>
      </w:r>
    </w:p>
    <w:tbl>
      <w:tblPr>
        <w:tblW w:w="11099" w:type="dxa"/>
        <w:tblInd w:w="-851" w:type="dxa"/>
        <w:tblLook w:val="04A0" w:firstRow="1" w:lastRow="0" w:firstColumn="1" w:lastColumn="0" w:noHBand="0" w:noVBand="1"/>
      </w:tblPr>
      <w:tblGrid>
        <w:gridCol w:w="2847"/>
        <w:gridCol w:w="2745"/>
        <w:gridCol w:w="5507"/>
      </w:tblGrid>
      <w:tr w:rsidR="00FA5A28" w14:paraId="50EFA2F1" w14:textId="77777777" w:rsidTr="00DE5714">
        <w:trPr>
          <w:trHeight w:val="928"/>
        </w:trPr>
        <w:tc>
          <w:tcPr>
            <w:tcW w:w="2847" w:type="dxa"/>
            <w:tcBorders>
              <w:bottom w:val="single" w:sz="4" w:space="0" w:color="auto"/>
            </w:tcBorders>
            <w:vAlign w:val="center"/>
          </w:tcPr>
          <w:p w14:paraId="50B197C2" w14:textId="77777777" w:rsidR="00FA5A28" w:rsidRPr="00FA5A28" w:rsidRDefault="00FA5A28" w:rsidP="00FA5A28">
            <w:r w:rsidRPr="00FA5A28">
              <w:t>5-point score 2020: B</w:t>
            </w:r>
          </w:p>
        </w:tc>
        <w:tc>
          <w:tcPr>
            <w:tcW w:w="2745" w:type="dxa"/>
            <w:tcBorders>
              <w:bottom w:val="single" w:sz="4" w:space="0" w:color="auto"/>
            </w:tcBorders>
            <w:vAlign w:val="center"/>
          </w:tcPr>
          <w:p w14:paraId="4817C85D" w14:textId="77777777" w:rsidR="00FA5A28" w:rsidRPr="00FA5A28" w:rsidRDefault="00FA5A28" w:rsidP="00FA5A28">
            <w:r w:rsidRPr="00FA5A28">
              <w:t>5-point score 2019: B</w:t>
            </w:r>
          </w:p>
        </w:tc>
        <w:tc>
          <w:tcPr>
            <w:tcW w:w="5507" w:type="dxa"/>
            <w:tcBorders>
              <w:bottom w:val="single" w:sz="4" w:space="0" w:color="auto"/>
            </w:tcBorders>
            <w:vAlign w:val="center"/>
          </w:tcPr>
          <w:p w14:paraId="536E7E49" w14:textId="77777777" w:rsidR="00FA5A28" w:rsidRPr="00FA5A28" w:rsidRDefault="00FA5A28" w:rsidP="00FA5A28">
            <w:r w:rsidRPr="00FA5A28">
              <w:t>Impact weighting: 5%</w:t>
            </w:r>
          </w:p>
        </w:tc>
      </w:tr>
    </w:tbl>
    <w:tbl>
      <w:tblPr>
        <w:tblStyle w:val="TableGrid"/>
        <w:tblW w:w="11057" w:type="dxa"/>
        <w:tblInd w:w="-856" w:type="dxa"/>
        <w:tblLook w:val="04A0" w:firstRow="1" w:lastRow="0" w:firstColumn="1" w:lastColumn="0" w:noHBand="0" w:noVBand="1"/>
      </w:tblPr>
      <w:tblGrid>
        <w:gridCol w:w="1137"/>
        <w:gridCol w:w="3540"/>
        <w:gridCol w:w="1564"/>
        <w:gridCol w:w="1414"/>
        <w:gridCol w:w="1843"/>
        <w:gridCol w:w="1559"/>
      </w:tblGrid>
      <w:tr w:rsidR="00DE5714" w:rsidRPr="00D3441B" w14:paraId="647CCC25" w14:textId="3A3C697D" w:rsidTr="00DE5714">
        <w:tc>
          <w:tcPr>
            <w:tcW w:w="1137" w:type="dxa"/>
            <w:shd w:val="clear" w:color="auto" w:fill="E0E0E1" w:themeFill="background2"/>
          </w:tcPr>
          <w:p w14:paraId="144ACB06" w14:textId="77777777" w:rsidR="00DE5714" w:rsidRPr="00FA5A28" w:rsidRDefault="00DE5714" w:rsidP="00FA5A28">
            <w:r w:rsidRPr="00FA5A28">
              <w:t xml:space="preserve">Output </w:t>
            </w:r>
          </w:p>
          <w:p w14:paraId="145B65FF" w14:textId="77777777" w:rsidR="00DE5714" w:rsidRPr="00FA5A28" w:rsidRDefault="00DE5714" w:rsidP="00FA5A28">
            <w:pPr>
              <w:rPr>
                <w:rStyle w:val="Bold"/>
              </w:rPr>
            </w:pPr>
            <w:r w:rsidRPr="00FA5A28">
              <w:t>Indicator</w:t>
            </w:r>
          </w:p>
        </w:tc>
        <w:tc>
          <w:tcPr>
            <w:tcW w:w="3540" w:type="dxa"/>
            <w:shd w:val="clear" w:color="auto" w:fill="E0E0E1" w:themeFill="background2"/>
          </w:tcPr>
          <w:p w14:paraId="11649FB0" w14:textId="77777777" w:rsidR="00DE5714" w:rsidRPr="00FA5A28" w:rsidRDefault="00DE5714" w:rsidP="00FA5A28">
            <w:r w:rsidRPr="00FA5A28">
              <w:t>Indicator</w:t>
            </w:r>
          </w:p>
        </w:tc>
        <w:tc>
          <w:tcPr>
            <w:tcW w:w="1564" w:type="dxa"/>
            <w:shd w:val="clear" w:color="auto" w:fill="E0E0E1" w:themeFill="background2"/>
          </w:tcPr>
          <w:p w14:paraId="5C4ED151" w14:textId="77777777" w:rsidR="00DE5714" w:rsidRPr="00FA5A28" w:rsidRDefault="00DE5714" w:rsidP="00FA5A28">
            <w:pPr>
              <w:pStyle w:val="ParagraphText-unnumbered"/>
            </w:pPr>
            <w:r w:rsidRPr="00FA5A28">
              <w:t>Milestone 2020</w:t>
            </w:r>
          </w:p>
        </w:tc>
        <w:tc>
          <w:tcPr>
            <w:tcW w:w="1414" w:type="dxa"/>
            <w:shd w:val="clear" w:color="auto" w:fill="E0E0E1" w:themeFill="background2"/>
          </w:tcPr>
          <w:p w14:paraId="56C0FAF9" w14:textId="77777777" w:rsidR="00DE5714" w:rsidRPr="00FA5A28" w:rsidRDefault="00DE5714" w:rsidP="00FA5A28">
            <w:pPr>
              <w:rPr>
                <w:rStyle w:val="Bold"/>
              </w:rPr>
            </w:pPr>
            <w:r w:rsidRPr="00FA5A28">
              <w:t>Progress</w:t>
            </w:r>
          </w:p>
        </w:tc>
        <w:tc>
          <w:tcPr>
            <w:tcW w:w="1843" w:type="dxa"/>
            <w:shd w:val="clear" w:color="auto" w:fill="E0E0E1" w:themeFill="background2"/>
          </w:tcPr>
          <w:p w14:paraId="44690789" w14:textId="77777777" w:rsidR="00DE5714" w:rsidRPr="00FA5A28" w:rsidRDefault="00DE5714" w:rsidP="00FA5A28">
            <w:r w:rsidRPr="00FA5A28">
              <w:t>Status at Year 2 – 2020 Annual review</w:t>
            </w:r>
          </w:p>
        </w:tc>
        <w:tc>
          <w:tcPr>
            <w:tcW w:w="1559" w:type="dxa"/>
            <w:shd w:val="clear" w:color="auto" w:fill="E0E0E1" w:themeFill="background2"/>
          </w:tcPr>
          <w:p w14:paraId="0C52EDE3" w14:textId="77777777" w:rsidR="00DE5714" w:rsidRPr="00FA5A28" w:rsidRDefault="00DE5714" w:rsidP="00FA5A28">
            <w:r w:rsidRPr="00FA5A28">
              <w:t xml:space="preserve">Weighting </w:t>
            </w:r>
          </w:p>
        </w:tc>
      </w:tr>
      <w:tr w:rsidR="00DE5714" w:rsidRPr="00D3441B" w14:paraId="5FD1C332" w14:textId="2A47E206" w:rsidTr="00DE5714">
        <w:tc>
          <w:tcPr>
            <w:tcW w:w="1137" w:type="dxa"/>
          </w:tcPr>
          <w:p w14:paraId="22B08780" w14:textId="77777777" w:rsidR="00DE5714" w:rsidRPr="00FA5A28" w:rsidRDefault="00DE5714" w:rsidP="00FA5A28">
            <w:r w:rsidRPr="00FA5A28">
              <w:t>7.1</w:t>
            </w:r>
          </w:p>
        </w:tc>
        <w:tc>
          <w:tcPr>
            <w:tcW w:w="3540" w:type="dxa"/>
          </w:tcPr>
          <w:p w14:paraId="694B0E18" w14:textId="6AFADFEB" w:rsidR="00DE5714" w:rsidRPr="00FA5A28" w:rsidRDefault="00DE5714" w:rsidP="00FA5A28">
            <w:r w:rsidRPr="00FA5A28">
              <w:t>Number of countries undertaking quality surveys for SF medicines supported by F</w:t>
            </w:r>
            <w:r w:rsidR="004F4F17">
              <w:t xml:space="preserve">leming </w:t>
            </w:r>
            <w:r w:rsidRPr="00FA5A28">
              <w:t>F</w:t>
            </w:r>
            <w:r w:rsidR="004F4F17">
              <w:t>und</w:t>
            </w:r>
            <w:r w:rsidRPr="00FA5A28">
              <w:t xml:space="preserve"> cumulatively (WHO</w:t>
            </w:r>
            <w:r w:rsidR="004F4F17">
              <w:t xml:space="preserve"> </w:t>
            </w:r>
            <w:r w:rsidRPr="00FA5A28">
              <w:t>S</w:t>
            </w:r>
            <w:r w:rsidR="004F4F17">
              <w:t xml:space="preserve">ubstandard and </w:t>
            </w:r>
            <w:r w:rsidRPr="00FA5A28">
              <w:t>F</w:t>
            </w:r>
            <w:r w:rsidR="004F4F17">
              <w:t>alsified</w:t>
            </w:r>
            <w:r w:rsidRPr="00FA5A28">
              <w:t>)</w:t>
            </w:r>
          </w:p>
        </w:tc>
        <w:tc>
          <w:tcPr>
            <w:tcW w:w="1564" w:type="dxa"/>
          </w:tcPr>
          <w:p w14:paraId="7F688B54" w14:textId="77777777" w:rsidR="00DE5714" w:rsidRPr="00FA5A28" w:rsidRDefault="00DE5714" w:rsidP="00FA5A28">
            <w:pPr>
              <w:pStyle w:val="ParagraphText-unnumbered"/>
            </w:pPr>
            <w:r w:rsidRPr="00FA5A28">
              <w:t>8</w:t>
            </w:r>
          </w:p>
          <w:p w14:paraId="68B602D5" w14:textId="77777777" w:rsidR="00DE5714" w:rsidRPr="00FA5A28" w:rsidRDefault="00DE5714" w:rsidP="00FA5A28">
            <w:pPr>
              <w:pStyle w:val="ParagraphText-unnumbered"/>
            </w:pPr>
            <w:r w:rsidRPr="00FA5A28">
              <w:t>(cumulative)</w:t>
            </w:r>
          </w:p>
        </w:tc>
        <w:tc>
          <w:tcPr>
            <w:tcW w:w="1414" w:type="dxa"/>
            <w:shd w:val="clear" w:color="auto" w:fill="FF0000"/>
          </w:tcPr>
          <w:p w14:paraId="2997A62F" w14:textId="77777777" w:rsidR="00DE5714" w:rsidRPr="00FA5A28" w:rsidRDefault="00DE5714" w:rsidP="00FA5A28">
            <w:pPr>
              <w:pStyle w:val="Table-bodytext"/>
              <w:rPr>
                <w:rStyle w:val="Bold"/>
              </w:rPr>
            </w:pPr>
            <w:r w:rsidRPr="00FA5A28">
              <w:rPr>
                <w:rStyle w:val="Bold"/>
              </w:rPr>
              <w:t>Not achieved</w:t>
            </w:r>
          </w:p>
          <w:p w14:paraId="39CF15C4" w14:textId="77777777" w:rsidR="00DE5714" w:rsidRPr="00FA5A28" w:rsidRDefault="00DE5714" w:rsidP="00FA5A28">
            <w:pPr>
              <w:pStyle w:val="Table-bodytext"/>
            </w:pPr>
            <w:r w:rsidRPr="00FA5A28">
              <w:rPr>
                <w:rStyle w:val="Bold"/>
              </w:rPr>
              <w:t>(4)</w:t>
            </w:r>
          </w:p>
          <w:p w14:paraId="5882DEFC" w14:textId="77777777" w:rsidR="00DE5714" w:rsidRPr="00FA5A28" w:rsidRDefault="00DE5714" w:rsidP="00FA5A28">
            <w:pPr>
              <w:pStyle w:val="Table-bodytext"/>
            </w:pPr>
          </w:p>
        </w:tc>
        <w:tc>
          <w:tcPr>
            <w:tcW w:w="1843" w:type="dxa"/>
            <w:shd w:val="clear" w:color="auto" w:fill="E0E0E1" w:themeFill="background2"/>
          </w:tcPr>
          <w:p w14:paraId="2FB16122" w14:textId="77777777" w:rsidR="00DE5714" w:rsidRPr="00FA5A28" w:rsidRDefault="00DE5714" w:rsidP="00FA5A28">
            <w:r w:rsidRPr="00FA5A28">
              <w:t>4</w:t>
            </w:r>
          </w:p>
        </w:tc>
        <w:tc>
          <w:tcPr>
            <w:tcW w:w="1559" w:type="dxa"/>
          </w:tcPr>
          <w:p w14:paraId="42E82B4B" w14:textId="77777777" w:rsidR="00DE5714" w:rsidRPr="00FA5A28" w:rsidRDefault="00DE5714" w:rsidP="00FA5A28">
            <w:r w:rsidRPr="00FA5A28">
              <w:t>50%</w:t>
            </w:r>
          </w:p>
        </w:tc>
      </w:tr>
      <w:tr w:rsidR="00DE5714" w:rsidRPr="00D3441B" w14:paraId="4E0C1CC1" w14:textId="55CD8FB9" w:rsidTr="00DE5714">
        <w:tc>
          <w:tcPr>
            <w:tcW w:w="1137" w:type="dxa"/>
          </w:tcPr>
          <w:p w14:paraId="0D3A4509" w14:textId="77777777" w:rsidR="00DE5714" w:rsidRPr="00FA5A28" w:rsidRDefault="00DE5714" w:rsidP="00FA5A28">
            <w:r w:rsidRPr="00FA5A28">
              <w:t>7.2</w:t>
            </w:r>
          </w:p>
        </w:tc>
        <w:tc>
          <w:tcPr>
            <w:tcW w:w="3540" w:type="dxa"/>
          </w:tcPr>
          <w:p w14:paraId="0F772504" w14:textId="246E3A15" w:rsidR="00DE5714" w:rsidRPr="00FA5A28" w:rsidRDefault="00DE5714" w:rsidP="00FA5A28">
            <w:r w:rsidRPr="00FA5A28">
              <w:t>Evaluation report of field screening technologies completed (</w:t>
            </w:r>
            <w:r w:rsidR="004F4F17">
              <w:t>FIND</w:t>
            </w:r>
            <w:r w:rsidRPr="00FA5A28">
              <w:t>)</w:t>
            </w:r>
          </w:p>
        </w:tc>
        <w:tc>
          <w:tcPr>
            <w:tcW w:w="1564" w:type="dxa"/>
          </w:tcPr>
          <w:p w14:paraId="68D3CD83" w14:textId="77777777" w:rsidR="00DE5714" w:rsidRPr="00FA5A28" w:rsidRDefault="00DE5714" w:rsidP="00FA5A28">
            <w:r w:rsidRPr="00FA5A28">
              <w:t>Evaluation report of field screening technologies completed</w:t>
            </w:r>
          </w:p>
        </w:tc>
        <w:tc>
          <w:tcPr>
            <w:tcW w:w="1414" w:type="dxa"/>
            <w:shd w:val="clear" w:color="auto" w:fill="00B050"/>
          </w:tcPr>
          <w:p w14:paraId="20800A3C" w14:textId="77777777" w:rsidR="00DE5714" w:rsidRPr="00FA5A28" w:rsidRDefault="00DE5714" w:rsidP="00FA5A28">
            <w:pPr>
              <w:pStyle w:val="Table-bodytext"/>
            </w:pPr>
            <w:r w:rsidRPr="00FA5A28">
              <w:rPr>
                <w:rStyle w:val="Bold"/>
              </w:rPr>
              <w:t xml:space="preserve">Achieved </w:t>
            </w:r>
          </w:p>
        </w:tc>
        <w:tc>
          <w:tcPr>
            <w:tcW w:w="1843" w:type="dxa"/>
            <w:shd w:val="clear" w:color="auto" w:fill="E0E0E1" w:themeFill="background2"/>
          </w:tcPr>
          <w:p w14:paraId="6B156BFF" w14:textId="77777777" w:rsidR="00DE5714" w:rsidRPr="00FA5A28" w:rsidRDefault="00DE5714" w:rsidP="00FA5A28">
            <w:r w:rsidRPr="00FA5A28">
              <w:t>N/A introduced in 2020</w:t>
            </w:r>
          </w:p>
        </w:tc>
        <w:tc>
          <w:tcPr>
            <w:tcW w:w="1559" w:type="dxa"/>
          </w:tcPr>
          <w:p w14:paraId="2FDD0B6D" w14:textId="77777777" w:rsidR="00DE5714" w:rsidRPr="00FA5A28" w:rsidRDefault="00DE5714" w:rsidP="00FA5A28">
            <w:r w:rsidRPr="00FA5A28">
              <w:t>50%</w:t>
            </w:r>
          </w:p>
        </w:tc>
      </w:tr>
    </w:tbl>
    <w:p w14:paraId="6A1370FA" w14:textId="77777777" w:rsidR="00FA5A28" w:rsidRPr="00FA5A28" w:rsidRDefault="00FA5A28" w:rsidP="00FA5A28"/>
    <w:p w14:paraId="411A3C62" w14:textId="47FD3936" w:rsidR="00432127" w:rsidRPr="00FA5A28" w:rsidRDefault="00FA5A28" w:rsidP="00D46652">
      <w:pPr>
        <w:pStyle w:val="ParagraphText-unnumbered"/>
      </w:pPr>
      <w:r w:rsidRPr="00FA5A28">
        <w:t>7.1 Due to COVID-19, quality surveys for SF medicines could not take place as WHO staff were unable to travel to countries to support with the data collection. This approach to market surveys is being altered for 2021, placing more focus on developing the market survey application pilot in Tanzania so countries are able to automate the conduct of quality surveys and enhance the quantity and quality of data captured to inform risk-based post marketing surveillance programmes.</w:t>
      </w:r>
      <w:r w:rsidR="00450F50">
        <w:t xml:space="preserve"> </w:t>
      </w:r>
    </w:p>
    <w:p w14:paraId="3E5EB1E3" w14:textId="4AFCCB5C" w:rsidR="00FA5A28" w:rsidRDefault="00FA5A28" w:rsidP="00D46652">
      <w:pPr>
        <w:pStyle w:val="ParagraphText-unnumbered"/>
      </w:pPr>
      <w:r w:rsidRPr="00FA5A28">
        <w:lastRenderedPageBreak/>
        <w:t>7.2 As the FIND grant has come to an end in 2020, the year ahead provides a good opportunity to review how the results and findings from SF medicine grants can be disseminated and used across the wider Fleming Fund portfolio. For example, the use of SF medicines can enable bacteria to become resistant to antibiotics, so the results of the quality medicine surveys or the handheld devices included in FIND’s research could be provided to country grantees to raise awareness of SF medicines in local contexts as part of a holistic approach to tackling AMR</w:t>
      </w:r>
      <w:r w:rsidR="004F4F17">
        <w:t>.</w:t>
      </w:r>
    </w:p>
    <w:p w14:paraId="2661B710" w14:textId="77777777" w:rsidR="00450F50" w:rsidRDefault="00450F50" w:rsidP="00E77136">
      <w:pPr>
        <w:pStyle w:val="Table-bodytext"/>
      </w:pPr>
    </w:p>
    <w:p w14:paraId="1A30D2CD" w14:textId="3C8D39F8" w:rsidR="00450F50" w:rsidRPr="00E77136" w:rsidRDefault="00450F50" w:rsidP="00E77136">
      <w:pPr>
        <w:pStyle w:val="Heading4"/>
        <w:rPr>
          <w:rStyle w:val="Bold"/>
          <w:b/>
        </w:rPr>
      </w:pPr>
      <w:r w:rsidRPr="00E77136">
        <w:rPr>
          <w:rStyle w:val="Bold"/>
          <w:b/>
        </w:rPr>
        <w:t xml:space="preserve">Output title: </w:t>
      </w:r>
      <w:r w:rsidR="00D234A9" w:rsidRPr="00E77136">
        <w:rPr>
          <w:rStyle w:val="Bold"/>
          <w:b/>
        </w:rPr>
        <w:t>AMR data</w:t>
      </w:r>
    </w:p>
    <w:p w14:paraId="442AD264" w14:textId="39D61C92" w:rsidR="00C203FD" w:rsidRDefault="00C203FD" w:rsidP="00450F50">
      <w:pPr>
        <w:rPr>
          <w:rStyle w:val="Bold"/>
        </w:rPr>
      </w:pPr>
    </w:p>
    <w:p w14:paraId="15D8C6DB" w14:textId="106BE564" w:rsidR="00450F50" w:rsidRDefault="00C203FD" w:rsidP="00E77136">
      <w:pPr>
        <w:pStyle w:val="ParagraphText-unnumbered"/>
      </w:pPr>
      <w:r w:rsidRPr="00C203FD">
        <w:t xml:space="preserve">The Fleming Fund's main aim is to support the generation of high-quality data across human health and animal health sectors, this includes </w:t>
      </w:r>
      <w:proofErr w:type="spellStart"/>
      <w:r w:rsidRPr="00C203FD">
        <w:t>AMRdata</w:t>
      </w:r>
      <w:proofErr w:type="spellEnd"/>
      <w:r w:rsidRPr="00C203FD">
        <w:t>. The generation of AMR data refers to the testing and recording of samples using standardised protocols for sample collection and using best practise testing processes.</w:t>
      </w:r>
    </w:p>
    <w:tbl>
      <w:tblPr>
        <w:tblW w:w="10914" w:type="dxa"/>
        <w:tblInd w:w="-851" w:type="dxa"/>
        <w:tblLook w:val="04A0" w:firstRow="1" w:lastRow="0" w:firstColumn="1" w:lastColumn="0" w:noHBand="0" w:noVBand="1"/>
      </w:tblPr>
      <w:tblGrid>
        <w:gridCol w:w="2802"/>
        <w:gridCol w:w="2801"/>
        <w:gridCol w:w="5311"/>
      </w:tblGrid>
      <w:tr w:rsidR="00450F50" w14:paraId="175E60D6" w14:textId="77777777" w:rsidTr="00DE5714">
        <w:trPr>
          <w:trHeight w:val="702"/>
        </w:trPr>
        <w:tc>
          <w:tcPr>
            <w:tcW w:w="2802" w:type="dxa"/>
            <w:tcBorders>
              <w:bottom w:val="single" w:sz="4" w:space="0" w:color="auto"/>
            </w:tcBorders>
            <w:vAlign w:val="center"/>
          </w:tcPr>
          <w:p w14:paraId="3A60B77B" w14:textId="77777777" w:rsidR="00450F50" w:rsidRPr="00450F50" w:rsidRDefault="00450F50" w:rsidP="00C24E58">
            <w:r w:rsidRPr="00450F50">
              <w:t>5-point score 2020: A+</w:t>
            </w:r>
          </w:p>
        </w:tc>
        <w:tc>
          <w:tcPr>
            <w:tcW w:w="2801" w:type="dxa"/>
            <w:tcBorders>
              <w:bottom w:val="single" w:sz="4" w:space="0" w:color="auto"/>
            </w:tcBorders>
            <w:vAlign w:val="center"/>
          </w:tcPr>
          <w:p w14:paraId="2B6BC253" w14:textId="77777777" w:rsidR="00450F50" w:rsidRPr="00450F50" w:rsidRDefault="00450F50" w:rsidP="00C24E58">
            <w:r w:rsidRPr="00450F50">
              <w:t>5-point score 2019: A+</w:t>
            </w:r>
          </w:p>
        </w:tc>
        <w:tc>
          <w:tcPr>
            <w:tcW w:w="5311" w:type="dxa"/>
            <w:tcBorders>
              <w:bottom w:val="single" w:sz="4" w:space="0" w:color="auto"/>
            </w:tcBorders>
            <w:vAlign w:val="center"/>
          </w:tcPr>
          <w:p w14:paraId="600ABF6B" w14:textId="77777777" w:rsidR="00450F50" w:rsidRPr="00450F50" w:rsidRDefault="00450F50" w:rsidP="00C24E58">
            <w:r w:rsidRPr="00450F50">
              <w:t>Impact weighting:15%</w:t>
            </w:r>
          </w:p>
        </w:tc>
      </w:tr>
    </w:tbl>
    <w:tbl>
      <w:tblPr>
        <w:tblStyle w:val="TableGrid"/>
        <w:tblW w:w="11057" w:type="dxa"/>
        <w:tblInd w:w="-856" w:type="dxa"/>
        <w:tblLook w:val="04A0" w:firstRow="1" w:lastRow="0" w:firstColumn="1" w:lastColumn="0" w:noHBand="0" w:noVBand="1"/>
      </w:tblPr>
      <w:tblGrid>
        <w:gridCol w:w="1137"/>
        <w:gridCol w:w="3542"/>
        <w:gridCol w:w="1559"/>
        <w:gridCol w:w="1417"/>
        <w:gridCol w:w="1985"/>
        <w:gridCol w:w="1417"/>
      </w:tblGrid>
      <w:tr w:rsidR="00450F50" w:rsidRPr="00D3441B" w14:paraId="64C91EB3" w14:textId="77777777" w:rsidTr="00C24E58">
        <w:tc>
          <w:tcPr>
            <w:tcW w:w="1137" w:type="dxa"/>
            <w:shd w:val="clear" w:color="auto" w:fill="E0E0E1" w:themeFill="background2"/>
          </w:tcPr>
          <w:p w14:paraId="1AB5B9FA" w14:textId="77777777" w:rsidR="00450F50" w:rsidRPr="00450F50" w:rsidRDefault="00450F50" w:rsidP="00450F50">
            <w:r w:rsidRPr="00450F50">
              <w:t xml:space="preserve">Output </w:t>
            </w:r>
          </w:p>
          <w:p w14:paraId="48AC6331" w14:textId="77777777" w:rsidR="00450F50" w:rsidRPr="00450F50" w:rsidRDefault="00450F50" w:rsidP="00450F50">
            <w:r w:rsidRPr="00450F50">
              <w:t>Indicator</w:t>
            </w:r>
          </w:p>
        </w:tc>
        <w:tc>
          <w:tcPr>
            <w:tcW w:w="3542" w:type="dxa"/>
            <w:shd w:val="clear" w:color="auto" w:fill="E0E0E1" w:themeFill="background2"/>
          </w:tcPr>
          <w:p w14:paraId="1866318F" w14:textId="77777777" w:rsidR="00450F50" w:rsidRPr="00450F50" w:rsidRDefault="00450F50" w:rsidP="00450F50">
            <w:pPr>
              <w:pStyle w:val="ParagraphText-unnumbered"/>
            </w:pPr>
            <w:r w:rsidRPr="00450F50">
              <w:t>Indicator</w:t>
            </w:r>
          </w:p>
        </w:tc>
        <w:tc>
          <w:tcPr>
            <w:tcW w:w="1559" w:type="dxa"/>
            <w:shd w:val="clear" w:color="auto" w:fill="E0E0E1" w:themeFill="background2"/>
          </w:tcPr>
          <w:p w14:paraId="2387FDDD" w14:textId="77777777" w:rsidR="00450F50" w:rsidRPr="00450F50" w:rsidRDefault="00450F50" w:rsidP="00450F50">
            <w:r w:rsidRPr="00450F50">
              <w:t>Milestone 2020</w:t>
            </w:r>
          </w:p>
        </w:tc>
        <w:tc>
          <w:tcPr>
            <w:tcW w:w="1417" w:type="dxa"/>
            <w:shd w:val="clear" w:color="auto" w:fill="E0E0E1" w:themeFill="background2"/>
          </w:tcPr>
          <w:p w14:paraId="3322C2A1" w14:textId="77777777" w:rsidR="00450F50" w:rsidRPr="00450F50" w:rsidRDefault="00450F50" w:rsidP="00450F50">
            <w:r w:rsidRPr="00450F50">
              <w:t>Progress</w:t>
            </w:r>
          </w:p>
        </w:tc>
        <w:tc>
          <w:tcPr>
            <w:tcW w:w="1985" w:type="dxa"/>
            <w:shd w:val="clear" w:color="auto" w:fill="E0E0E1" w:themeFill="background2"/>
          </w:tcPr>
          <w:p w14:paraId="57916EEE" w14:textId="77777777" w:rsidR="00450F50" w:rsidRPr="00450F50" w:rsidRDefault="00450F50" w:rsidP="00450F50">
            <w:r w:rsidRPr="00450F50">
              <w:t>Status at Year 2 - 2020 Annual review</w:t>
            </w:r>
          </w:p>
        </w:tc>
        <w:tc>
          <w:tcPr>
            <w:tcW w:w="1417" w:type="dxa"/>
            <w:shd w:val="clear" w:color="auto" w:fill="E0E0E1" w:themeFill="background2"/>
          </w:tcPr>
          <w:p w14:paraId="01599581" w14:textId="77777777" w:rsidR="00450F50" w:rsidRPr="00450F50" w:rsidRDefault="00450F50" w:rsidP="00450F50">
            <w:r w:rsidRPr="00450F50">
              <w:t xml:space="preserve">Weighting </w:t>
            </w:r>
          </w:p>
        </w:tc>
      </w:tr>
      <w:tr w:rsidR="00450F50" w:rsidRPr="00D3441B" w14:paraId="215E168E" w14:textId="77777777" w:rsidTr="00C24E58">
        <w:tc>
          <w:tcPr>
            <w:tcW w:w="1137" w:type="dxa"/>
          </w:tcPr>
          <w:p w14:paraId="12AB92A5" w14:textId="77777777" w:rsidR="00450F50" w:rsidRPr="00450F50" w:rsidRDefault="00450F50" w:rsidP="00450F50">
            <w:r w:rsidRPr="00450F50">
              <w:t>8.1</w:t>
            </w:r>
          </w:p>
        </w:tc>
        <w:tc>
          <w:tcPr>
            <w:tcW w:w="3542" w:type="dxa"/>
          </w:tcPr>
          <w:p w14:paraId="5B258C2C" w14:textId="5739ECC9" w:rsidR="00450F50" w:rsidRPr="00450F50" w:rsidRDefault="00450F50" w:rsidP="00DE5714">
            <w:pPr>
              <w:rPr>
                <w:rStyle w:val="Strong"/>
              </w:rPr>
            </w:pPr>
            <w:r w:rsidRPr="00450F50">
              <w:t>Number of F</w:t>
            </w:r>
            <w:r w:rsidR="004F4F17">
              <w:t xml:space="preserve">leming </w:t>
            </w:r>
            <w:r w:rsidRPr="00450F50">
              <w:t>F</w:t>
            </w:r>
            <w:r w:rsidR="004F4F17">
              <w:t>und</w:t>
            </w:r>
            <w:r w:rsidRPr="00450F50">
              <w:t xml:space="preserve"> countries submitting data into GLASS</w:t>
            </w:r>
            <w:r w:rsidRPr="00450F50">
              <w:rPr>
                <w:rStyle w:val="Strong"/>
              </w:rPr>
              <w:t xml:space="preserve"> </w:t>
            </w:r>
            <w:r w:rsidRPr="00DE5714">
              <w:t>(M</w:t>
            </w:r>
            <w:r w:rsidR="004F4F17">
              <w:t xml:space="preserve">ott </w:t>
            </w:r>
            <w:r w:rsidRPr="00DE5714">
              <w:t>M</w:t>
            </w:r>
            <w:r w:rsidR="004F4F17">
              <w:t>acDonald</w:t>
            </w:r>
            <w:r w:rsidRPr="00DE5714">
              <w:t>/WHO)</w:t>
            </w:r>
          </w:p>
          <w:p w14:paraId="4A7F51B8" w14:textId="77777777" w:rsidR="00450F50" w:rsidRPr="00450F50" w:rsidRDefault="00450F50" w:rsidP="00450F50"/>
        </w:tc>
        <w:tc>
          <w:tcPr>
            <w:tcW w:w="1559" w:type="dxa"/>
          </w:tcPr>
          <w:p w14:paraId="116EE29A" w14:textId="77777777" w:rsidR="00450F50" w:rsidRPr="00450F50" w:rsidRDefault="00450F50" w:rsidP="00450F50">
            <w:r w:rsidRPr="00450F50">
              <w:t>10</w:t>
            </w:r>
          </w:p>
        </w:tc>
        <w:tc>
          <w:tcPr>
            <w:tcW w:w="1417" w:type="dxa"/>
            <w:shd w:val="clear" w:color="auto" w:fill="00B050"/>
          </w:tcPr>
          <w:p w14:paraId="65F7F0DB" w14:textId="77777777" w:rsidR="00450F50" w:rsidRPr="00450F50" w:rsidRDefault="00450F50" w:rsidP="00450F50">
            <w:r w:rsidRPr="00450F50">
              <w:t xml:space="preserve">Surpassed  </w:t>
            </w:r>
          </w:p>
          <w:p w14:paraId="73DFE343" w14:textId="77777777" w:rsidR="00450F50" w:rsidRPr="00450F50" w:rsidRDefault="00450F50" w:rsidP="00450F50">
            <w:r w:rsidRPr="00450F50">
              <w:t>(13)</w:t>
            </w:r>
          </w:p>
        </w:tc>
        <w:tc>
          <w:tcPr>
            <w:tcW w:w="1985" w:type="dxa"/>
            <w:shd w:val="clear" w:color="auto" w:fill="E0E0E1" w:themeFill="background2"/>
          </w:tcPr>
          <w:p w14:paraId="6F1E7C25" w14:textId="77777777" w:rsidR="00450F50" w:rsidRPr="00450F50" w:rsidRDefault="00450F50" w:rsidP="00450F50">
            <w:r w:rsidRPr="00450F50">
              <w:t>7</w:t>
            </w:r>
          </w:p>
        </w:tc>
        <w:tc>
          <w:tcPr>
            <w:tcW w:w="1417" w:type="dxa"/>
          </w:tcPr>
          <w:p w14:paraId="7F8D8C8D" w14:textId="77777777" w:rsidR="00450F50" w:rsidRPr="00450F50" w:rsidRDefault="00450F50" w:rsidP="00450F50">
            <w:r w:rsidRPr="00450F50">
              <w:t>30%</w:t>
            </w:r>
          </w:p>
          <w:p w14:paraId="7455F9D3" w14:textId="77777777" w:rsidR="00450F50" w:rsidRPr="00450F50" w:rsidRDefault="00450F50" w:rsidP="00450F50"/>
        </w:tc>
      </w:tr>
      <w:tr w:rsidR="00450F50" w:rsidRPr="00D3441B" w14:paraId="2DAA033C" w14:textId="77777777" w:rsidTr="00C24E58">
        <w:tc>
          <w:tcPr>
            <w:tcW w:w="1137" w:type="dxa"/>
          </w:tcPr>
          <w:p w14:paraId="319405A7" w14:textId="77777777" w:rsidR="00450F50" w:rsidRPr="00450F50" w:rsidRDefault="00450F50" w:rsidP="00450F50">
            <w:r w:rsidRPr="00450F50">
              <w:t>8.2</w:t>
            </w:r>
          </w:p>
        </w:tc>
        <w:tc>
          <w:tcPr>
            <w:tcW w:w="3542" w:type="dxa"/>
          </w:tcPr>
          <w:p w14:paraId="16A996C3" w14:textId="611842C8" w:rsidR="00450F50" w:rsidRPr="00450F50" w:rsidRDefault="00450F50" w:rsidP="00450F50">
            <w:r w:rsidRPr="00450F50">
              <w:t>Percentage of F</w:t>
            </w:r>
            <w:r w:rsidR="004F4F17">
              <w:t xml:space="preserve">leming </w:t>
            </w:r>
            <w:r w:rsidRPr="00450F50">
              <w:t>F</w:t>
            </w:r>
            <w:r w:rsidR="004F4F17">
              <w:t>und</w:t>
            </w:r>
            <w:r w:rsidRPr="00450F50">
              <w:t xml:space="preserve"> supported countries producing improved data into GLASS (WHO).</w:t>
            </w:r>
          </w:p>
        </w:tc>
        <w:tc>
          <w:tcPr>
            <w:tcW w:w="1559" w:type="dxa"/>
          </w:tcPr>
          <w:p w14:paraId="03096812" w14:textId="77777777" w:rsidR="00450F50" w:rsidRPr="00450F50" w:rsidRDefault="00450F50" w:rsidP="00450F50">
            <w:r w:rsidRPr="00450F50">
              <w:rPr>
                <w:rFonts w:eastAsia="Calibri"/>
              </w:rPr>
              <w:t>60% of countries producing improved data with a minimum of 7 countries meeting this KPI</w:t>
            </w:r>
          </w:p>
        </w:tc>
        <w:tc>
          <w:tcPr>
            <w:tcW w:w="1417" w:type="dxa"/>
            <w:shd w:val="clear" w:color="auto" w:fill="00B050"/>
          </w:tcPr>
          <w:p w14:paraId="1AEA3AFB" w14:textId="77777777" w:rsidR="00450F50" w:rsidRPr="00450F50" w:rsidRDefault="00450F50" w:rsidP="00450F50">
            <w:pPr>
              <w:pStyle w:val="Table-bodytext"/>
            </w:pPr>
            <w:r w:rsidRPr="00450F50">
              <w:t>Achieved</w:t>
            </w:r>
          </w:p>
          <w:p w14:paraId="26E56AC1" w14:textId="77777777" w:rsidR="00450F50" w:rsidRPr="00450F50" w:rsidRDefault="00450F50" w:rsidP="00450F50">
            <w:pPr>
              <w:pStyle w:val="Table-bodytext"/>
            </w:pPr>
            <w:r w:rsidRPr="00450F50">
              <w:t xml:space="preserve">(60% of countries producing improved data (14 / 19 countries). </w:t>
            </w:r>
          </w:p>
        </w:tc>
        <w:tc>
          <w:tcPr>
            <w:tcW w:w="1985" w:type="dxa"/>
            <w:shd w:val="clear" w:color="auto" w:fill="E0E0E1" w:themeFill="background2"/>
          </w:tcPr>
          <w:p w14:paraId="4A3D481A" w14:textId="77777777" w:rsidR="00450F50" w:rsidRPr="00450F50" w:rsidRDefault="00450F50" w:rsidP="00450F50">
            <w:r w:rsidRPr="00450F50">
              <w:t>80% (4 out of 5: Bhutan, Nepal, Ghana, Tanzania.)</w:t>
            </w:r>
          </w:p>
        </w:tc>
        <w:tc>
          <w:tcPr>
            <w:tcW w:w="1417" w:type="dxa"/>
          </w:tcPr>
          <w:p w14:paraId="2C03ED0E" w14:textId="77777777" w:rsidR="00450F50" w:rsidRPr="00450F50" w:rsidRDefault="00450F50" w:rsidP="00450F50">
            <w:r w:rsidRPr="00450F50">
              <w:t>70%</w:t>
            </w:r>
          </w:p>
        </w:tc>
      </w:tr>
    </w:tbl>
    <w:p w14:paraId="19DBA40A" w14:textId="059347C9" w:rsidR="00450F50" w:rsidRDefault="00450F50" w:rsidP="00DC4B71">
      <w:pPr>
        <w:pStyle w:val="ParagraphText-unnumbered"/>
      </w:pPr>
    </w:p>
    <w:p w14:paraId="010DFA80" w14:textId="02EB540E" w:rsidR="00450F50" w:rsidRPr="00450F50" w:rsidRDefault="00450F50" w:rsidP="00450F50">
      <w:r w:rsidRPr="00450F50">
        <w:t>8.1. WHO have reported that 18 out of 23 F</w:t>
      </w:r>
      <w:r w:rsidR="004F4F17">
        <w:t xml:space="preserve">leming </w:t>
      </w:r>
      <w:r w:rsidRPr="00450F50">
        <w:t>F</w:t>
      </w:r>
      <w:r w:rsidR="004F4F17">
        <w:t>und</w:t>
      </w:r>
      <w:r w:rsidRPr="00450F50">
        <w:t xml:space="preserve"> countries are enrolled in GLASS,15 countries submitted data on the status of national AMR surveillance in 2020 and 13 countries submitted AMR data in </w:t>
      </w:r>
      <w:proofErr w:type="gramStart"/>
      <w:r w:rsidRPr="00450F50">
        <w:t>2020</w:t>
      </w:r>
      <w:proofErr w:type="gramEnd"/>
    </w:p>
    <w:p w14:paraId="104FAFC8" w14:textId="77777777" w:rsidR="00450F50" w:rsidRPr="00450F50" w:rsidRDefault="00450F50" w:rsidP="00450F50"/>
    <w:p w14:paraId="7E35AF40" w14:textId="5AFF957A" w:rsidR="00450F50" w:rsidRDefault="00450F50" w:rsidP="00D46652">
      <w:r w:rsidRPr="00450F50">
        <w:t>8.2. The number of F</w:t>
      </w:r>
      <w:r w:rsidR="004F4F17">
        <w:t xml:space="preserve">leming </w:t>
      </w:r>
      <w:r w:rsidRPr="00450F50">
        <w:t>F</w:t>
      </w:r>
      <w:r w:rsidR="004F4F17">
        <w:t>und</w:t>
      </w:r>
      <w:r w:rsidRPr="00450F50">
        <w:t xml:space="preserve"> supported countries producing improved data into GLASS increased by 14 this year (from 5 in 2019 to 19 in 2020). This increase in overall countries is far more than expected therefore the percentage achieved is a bigger achievement than it seems. To account for this progress, this output has been scored A+.</w:t>
      </w:r>
    </w:p>
    <w:p w14:paraId="2CF91856" w14:textId="409570F5" w:rsidR="00D234A9" w:rsidRPr="00E77136" w:rsidRDefault="00D234A9" w:rsidP="00E77136">
      <w:pPr>
        <w:pStyle w:val="Heading4"/>
        <w:rPr>
          <w:rStyle w:val="Bold"/>
          <w:b/>
        </w:rPr>
      </w:pPr>
      <w:r w:rsidRPr="00E77136">
        <w:rPr>
          <w:rStyle w:val="Bold"/>
          <w:b/>
        </w:rPr>
        <w:lastRenderedPageBreak/>
        <w:t>Output title: AMR Burden Data</w:t>
      </w:r>
    </w:p>
    <w:p w14:paraId="37ADE70C" w14:textId="77777777" w:rsidR="00D234A9" w:rsidRPr="00D234A9" w:rsidRDefault="00D234A9" w:rsidP="00D234A9"/>
    <w:p w14:paraId="30B2950D" w14:textId="6945D365" w:rsidR="00D234A9" w:rsidRDefault="00C203FD" w:rsidP="00DC4B71">
      <w:pPr>
        <w:pStyle w:val="ParagraphText-unnumbered"/>
      </w:pPr>
      <w:r w:rsidRPr="00C203FD">
        <w:t>AMR burden data is vital to understanding the human cost and economic impact of AMR. This is particularly important when trying to develop the case for investment in AMR. The quantity and quality of AMR burden data is currently inadequate, as are the analytical frameworks available to analyse the burden of AMR</w:t>
      </w:r>
      <w:r w:rsidR="004F4F17">
        <w:t>.</w:t>
      </w:r>
    </w:p>
    <w:tbl>
      <w:tblPr>
        <w:tblW w:w="15464" w:type="dxa"/>
        <w:tblInd w:w="-851" w:type="dxa"/>
        <w:tblLook w:val="04A0" w:firstRow="1" w:lastRow="0" w:firstColumn="1" w:lastColumn="0" w:noHBand="0" w:noVBand="1"/>
      </w:tblPr>
      <w:tblGrid>
        <w:gridCol w:w="4112"/>
        <w:gridCol w:w="4110"/>
        <w:gridCol w:w="7242"/>
      </w:tblGrid>
      <w:tr w:rsidR="00D234A9" w14:paraId="4C5EA36B" w14:textId="77777777" w:rsidTr="00C24E58">
        <w:trPr>
          <w:trHeight w:val="645"/>
        </w:trPr>
        <w:tc>
          <w:tcPr>
            <w:tcW w:w="4112" w:type="dxa"/>
            <w:tcBorders>
              <w:bottom w:val="single" w:sz="4" w:space="0" w:color="auto"/>
            </w:tcBorders>
            <w:vAlign w:val="center"/>
          </w:tcPr>
          <w:p w14:paraId="0AFD7CF8" w14:textId="77777777" w:rsidR="00D234A9" w:rsidRPr="00D234A9" w:rsidRDefault="00D234A9" w:rsidP="00C24E58"/>
          <w:p w14:paraId="39AFDCFC" w14:textId="77777777" w:rsidR="00D234A9" w:rsidRPr="00D234A9" w:rsidRDefault="00D234A9" w:rsidP="00C24E58">
            <w:r w:rsidRPr="00D234A9">
              <w:t>5-point score 2020: A</w:t>
            </w:r>
          </w:p>
          <w:p w14:paraId="2ABD846F" w14:textId="77777777" w:rsidR="00D234A9" w:rsidRPr="00D234A9" w:rsidRDefault="00D234A9" w:rsidP="00C24E58"/>
        </w:tc>
        <w:tc>
          <w:tcPr>
            <w:tcW w:w="4110" w:type="dxa"/>
            <w:tcBorders>
              <w:bottom w:val="single" w:sz="4" w:space="0" w:color="auto"/>
            </w:tcBorders>
            <w:vAlign w:val="center"/>
          </w:tcPr>
          <w:p w14:paraId="438E5929" w14:textId="77777777" w:rsidR="00D234A9" w:rsidRPr="00D234A9" w:rsidRDefault="00D234A9" w:rsidP="00C24E58">
            <w:r w:rsidRPr="00D234A9">
              <w:t>5-point score 2019: A</w:t>
            </w:r>
          </w:p>
        </w:tc>
        <w:tc>
          <w:tcPr>
            <w:tcW w:w="7242" w:type="dxa"/>
            <w:tcBorders>
              <w:bottom w:val="single" w:sz="4" w:space="0" w:color="auto"/>
            </w:tcBorders>
            <w:vAlign w:val="center"/>
          </w:tcPr>
          <w:p w14:paraId="46FF54A2" w14:textId="77777777" w:rsidR="00D234A9" w:rsidRPr="00D234A9" w:rsidRDefault="00D234A9" w:rsidP="00C24E58">
            <w:r w:rsidRPr="00D234A9">
              <w:t>Impact weighting:10%</w:t>
            </w:r>
          </w:p>
        </w:tc>
      </w:tr>
    </w:tbl>
    <w:tbl>
      <w:tblPr>
        <w:tblStyle w:val="TableGrid"/>
        <w:tblW w:w="11057" w:type="dxa"/>
        <w:tblInd w:w="-856" w:type="dxa"/>
        <w:tblLook w:val="04A0" w:firstRow="1" w:lastRow="0" w:firstColumn="1" w:lastColumn="0" w:noHBand="0" w:noVBand="1"/>
      </w:tblPr>
      <w:tblGrid>
        <w:gridCol w:w="1138"/>
        <w:gridCol w:w="3541"/>
        <w:gridCol w:w="1559"/>
        <w:gridCol w:w="1417"/>
        <w:gridCol w:w="1985"/>
        <w:gridCol w:w="1417"/>
      </w:tblGrid>
      <w:tr w:rsidR="00D234A9" w:rsidRPr="00D3441B" w14:paraId="62E36D40" w14:textId="77777777" w:rsidTr="00C24E58">
        <w:tc>
          <w:tcPr>
            <w:tcW w:w="1138" w:type="dxa"/>
            <w:shd w:val="clear" w:color="auto" w:fill="E0E0E1" w:themeFill="background2"/>
          </w:tcPr>
          <w:p w14:paraId="65B00E2B" w14:textId="77777777" w:rsidR="00D234A9" w:rsidRPr="00D234A9" w:rsidRDefault="00D234A9" w:rsidP="00D234A9">
            <w:r w:rsidRPr="00D234A9">
              <w:t xml:space="preserve">Output </w:t>
            </w:r>
          </w:p>
          <w:p w14:paraId="2E1C80B5" w14:textId="77777777" w:rsidR="00D234A9" w:rsidRPr="00D234A9" w:rsidRDefault="00D234A9" w:rsidP="00D234A9">
            <w:r w:rsidRPr="00D234A9">
              <w:t>Indicator</w:t>
            </w:r>
          </w:p>
        </w:tc>
        <w:tc>
          <w:tcPr>
            <w:tcW w:w="3541" w:type="dxa"/>
            <w:shd w:val="clear" w:color="auto" w:fill="E0E0E1" w:themeFill="background2"/>
          </w:tcPr>
          <w:p w14:paraId="1682679D" w14:textId="77777777" w:rsidR="00D234A9" w:rsidRPr="00D234A9" w:rsidRDefault="00D234A9" w:rsidP="00D234A9">
            <w:r w:rsidRPr="00D234A9">
              <w:t>Indicator</w:t>
            </w:r>
          </w:p>
        </w:tc>
        <w:tc>
          <w:tcPr>
            <w:tcW w:w="1559" w:type="dxa"/>
            <w:shd w:val="clear" w:color="auto" w:fill="E0E0E1" w:themeFill="background2"/>
          </w:tcPr>
          <w:p w14:paraId="23CDACEE" w14:textId="77777777" w:rsidR="00D234A9" w:rsidRPr="00D234A9" w:rsidRDefault="00D234A9" w:rsidP="00D234A9">
            <w:r w:rsidRPr="00D234A9">
              <w:t>Milestone 2020</w:t>
            </w:r>
          </w:p>
        </w:tc>
        <w:tc>
          <w:tcPr>
            <w:tcW w:w="1417" w:type="dxa"/>
            <w:shd w:val="clear" w:color="auto" w:fill="E0E0E1" w:themeFill="background2"/>
          </w:tcPr>
          <w:p w14:paraId="246FF776" w14:textId="77777777" w:rsidR="00D234A9" w:rsidRPr="00D234A9" w:rsidRDefault="00D234A9" w:rsidP="00D234A9">
            <w:r w:rsidRPr="00D234A9">
              <w:t>Progress</w:t>
            </w:r>
          </w:p>
        </w:tc>
        <w:tc>
          <w:tcPr>
            <w:tcW w:w="1985" w:type="dxa"/>
            <w:shd w:val="clear" w:color="auto" w:fill="E0E0E1" w:themeFill="background2"/>
          </w:tcPr>
          <w:p w14:paraId="76752AE7" w14:textId="77777777" w:rsidR="00D234A9" w:rsidRPr="00D234A9" w:rsidRDefault="00D234A9" w:rsidP="00D234A9">
            <w:r w:rsidRPr="00D234A9">
              <w:t>Status at Year 2 – 2020 Annual review</w:t>
            </w:r>
          </w:p>
        </w:tc>
        <w:tc>
          <w:tcPr>
            <w:tcW w:w="1417" w:type="dxa"/>
            <w:shd w:val="clear" w:color="auto" w:fill="E0E0E1" w:themeFill="background2"/>
          </w:tcPr>
          <w:p w14:paraId="07FBD33D" w14:textId="77777777" w:rsidR="00D234A9" w:rsidRPr="00D234A9" w:rsidRDefault="00D234A9" w:rsidP="00D234A9">
            <w:r w:rsidRPr="00D234A9">
              <w:t>Weighting</w:t>
            </w:r>
          </w:p>
        </w:tc>
      </w:tr>
      <w:tr w:rsidR="00D234A9" w:rsidRPr="00D3441B" w14:paraId="4171AFD7" w14:textId="77777777" w:rsidTr="00C24E58">
        <w:tc>
          <w:tcPr>
            <w:tcW w:w="1138" w:type="dxa"/>
          </w:tcPr>
          <w:p w14:paraId="49E322E4" w14:textId="77777777" w:rsidR="00D234A9" w:rsidRPr="00D234A9" w:rsidRDefault="00D234A9" w:rsidP="00D234A9">
            <w:r w:rsidRPr="00D234A9">
              <w:t>9.1</w:t>
            </w:r>
          </w:p>
        </w:tc>
        <w:tc>
          <w:tcPr>
            <w:tcW w:w="3541" w:type="dxa"/>
          </w:tcPr>
          <w:p w14:paraId="29BE5B39" w14:textId="62E91B81" w:rsidR="00D234A9" w:rsidRPr="00D234A9" w:rsidRDefault="00D234A9" w:rsidP="00D234A9">
            <w:r w:rsidRPr="00D234A9">
              <w:t xml:space="preserve">Number of articles on historical AMR burden (including incidence) submitted to a peer review journal cumulatively </w:t>
            </w:r>
            <w:r w:rsidR="00CA6CA5">
              <w:t>(Global Research on Antimicrobial Resistance (GRAM))</w:t>
            </w:r>
          </w:p>
          <w:p w14:paraId="06BE5DBF" w14:textId="77777777" w:rsidR="00D234A9" w:rsidRPr="00D234A9" w:rsidRDefault="00D234A9" w:rsidP="00D234A9"/>
        </w:tc>
        <w:tc>
          <w:tcPr>
            <w:tcW w:w="1559" w:type="dxa"/>
          </w:tcPr>
          <w:p w14:paraId="501F192A" w14:textId="77777777" w:rsidR="00D234A9" w:rsidRPr="00D234A9" w:rsidRDefault="00D234A9" w:rsidP="00D234A9">
            <w:r w:rsidRPr="00D234A9">
              <w:t>8 (cumulative)</w:t>
            </w:r>
          </w:p>
        </w:tc>
        <w:tc>
          <w:tcPr>
            <w:tcW w:w="1417" w:type="dxa"/>
            <w:shd w:val="clear" w:color="auto" w:fill="00B050"/>
          </w:tcPr>
          <w:p w14:paraId="5415439D" w14:textId="773A7E1A" w:rsidR="00D234A9" w:rsidRPr="00D234A9" w:rsidRDefault="00D234A9" w:rsidP="00D234A9">
            <w:r w:rsidRPr="00D234A9">
              <w:t>Achieved</w:t>
            </w:r>
            <w:r w:rsidR="00CE282B">
              <w:t xml:space="preserve"> (8)</w:t>
            </w:r>
            <w:r w:rsidRPr="00D234A9">
              <w:t xml:space="preserve"> </w:t>
            </w:r>
          </w:p>
        </w:tc>
        <w:tc>
          <w:tcPr>
            <w:tcW w:w="1985" w:type="dxa"/>
            <w:shd w:val="clear" w:color="auto" w:fill="E0E0E1" w:themeFill="background2"/>
          </w:tcPr>
          <w:p w14:paraId="4ECFB254" w14:textId="77777777" w:rsidR="00D234A9" w:rsidRPr="00D234A9" w:rsidRDefault="00D234A9" w:rsidP="00D234A9">
            <w:r w:rsidRPr="00D234A9">
              <w:t>4</w:t>
            </w:r>
          </w:p>
        </w:tc>
        <w:tc>
          <w:tcPr>
            <w:tcW w:w="1417" w:type="dxa"/>
          </w:tcPr>
          <w:p w14:paraId="10F9279F" w14:textId="77777777" w:rsidR="00D234A9" w:rsidRPr="00D234A9" w:rsidRDefault="00D234A9" w:rsidP="00D234A9">
            <w:r w:rsidRPr="00D234A9">
              <w:t>100%</w:t>
            </w:r>
          </w:p>
        </w:tc>
      </w:tr>
    </w:tbl>
    <w:p w14:paraId="4173A3F8" w14:textId="77777777" w:rsidR="00D234A9" w:rsidRPr="00D234A9" w:rsidRDefault="00D234A9" w:rsidP="00D234A9"/>
    <w:p w14:paraId="4B2C758F" w14:textId="52127175" w:rsidR="00D234A9" w:rsidRPr="00D234A9" w:rsidRDefault="00D234A9" w:rsidP="00D234A9">
      <w:r w:rsidRPr="00D234A9">
        <w:t xml:space="preserve">Over 2020, 4 articles were submitted to peer reviewed journals including a significant output on trends in global AMC. The GRAM papers are as below: </w:t>
      </w:r>
    </w:p>
    <w:p w14:paraId="03A6C605" w14:textId="77777777" w:rsidR="00D234A9" w:rsidRPr="00D234A9" w:rsidRDefault="00D234A9" w:rsidP="00D234A9"/>
    <w:p w14:paraId="300763D7" w14:textId="77777777" w:rsidR="00D234A9" w:rsidRPr="00D234A9" w:rsidRDefault="00D234A9" w:rsidP="00D234A9">
      <w:r w:rsidRPr="00D234A9">
        <w:rPr>
          <w:rFonts w:eastAsiaTheme="minorHAnsi"/>
        </w:rPr>
        <w:t>-</w:t>
      </w:r>
      <w:hyperlink r:id="rId30" w:history="1">
        <w:r w:rsidRPr="00D234A9">
          <w:rPr>
            <w:rStyle w:val="Hyperlink"/>
          </w:rPr>
          <w:t>The</w:t>
        </w:r>
        <w:r w:rsidRPr="00D234A9">
          <w:t> </w:t>
        </w:r>
        <w:r w:rsidRPr="00D234A9">
          <w:rPr>
            <w:rStyle w:val="Hyperlink"/>
          </w:rPr>
          <w:t>challenges</w:t>
        </w:r>
        <w:r w:rsidRPr="00D234A9">
          <w:t> </w:t>
        </w:r>
        <w:r w:rsidRPr="00D234A9">
          <w:rPr>
            <w:rStyle w:val="Hyperlink"/>
          </w:rPr>
          <w:t>of estimating the human global burden of disease of antimicrobial resistant bacteria</w:t>
        </w:r>
      </w:hyperlink>
      <w:r w:rsidRPr="00D234A9">
        <w:t> – </w:t>
      </w:r>
      <w:hyperlink r:id="rId31" w:tooltip="Go to Current Opinion in Microbiology on ScienceDirect" w:history="1">
        <w:r w:rsidRPr="00D234A9">
          <w:rPr>
            <w:rStyle w:val="Hyperlink"/>
          </w:rPr>
          <w:t>Current Opinion in Microbiology</w:t>
        </w:r>
      </w:hyperlink>
    </w:p>
    <w:p w14:paraId="268E0786" w14:textId="77777777" w:rsidR="00D234A9" w:rsidRPr="00D234A9" w:rsidRDefault="00D234A9" w:rsidP="00D234A9">
      <w:r w:rsidRPr="00D234A9">
        <w:rPr>
          <w:rFonts w:eastAsiaTheme="minorHAnsi"/>
        </w:rPr>
        <w:t>-</w:t>
      </w:r>
      <w:hyperlink r:id="rId32" w:history="1">
        <w:r w:rsidRPr="00D234A9">
          <w:rPr>
            <w:rStyle w:val="Hyperlink"/>
          </w:rPr>
          <w:t>Global, regional, and national sepsis incidence and mortality, 1990–2017: analysis for the Global Burden of Disease Study</w:t>
        </w:r>
        <w:r w:rsidRPr="00D234A9">
          <w:t> </w:t>
        </w:r>
      </w:hyperlink>
    </w:p>
    <w:p w14:paraId="31C3600B" w14:textId="77777777" w:rsidR="00D234A9" w:rsidRPr="00D234A9" w:rsidRDefault="00D234A9" w:rsidP="00D234A9">
      <w:r w:rsidRPr="00D234A9">
        <w:rPr>
          <w:rStyle w:val="Hyperlink"/>
        </w:rPr>
        <w:t>-</w:t>
      </w:r>
      <w:hyperlink r:id="rId33" w:history="1">
        <w:r w:rsidRPr="00D234A9">
          <w:rPr>
            <w:rStyle w:val="Hyperlink"/>
          </w:rPr>
          <w:t>Drug-resistant enteric fever worldwide, 1990 to 2018: a systematic review and meta-analysis</w:t>
        </w:r>
      </w:hyperlink>
    </w:p>
    <w:p w14:paraId="2F4860F6" w14:textId="77777777" w:rsidR="00D234A9" w:rsidRPr="00D234A9" w:rsidRDefault="00D234A9" w:rsidP="00D234A9">
      <w:pPr>
        <w:rPr>
          <w:rStyle w:val="Hyperlink"/>
        </w:rPr>
      </w:pPr>
      <w:r w:rsidRPr="00D234A9">
        <w:t>-</w:t>
      </w:r>
      <w:hyperlink r:id="rId34" w:history="1">
        <w:r w:rsidRPr="00D234A9">
          <w:rPr>
            <w:rStyle w:val="Hyperlink"/>
          </w:rPr>
          <w:t>Surveillance and monitoring of antimicrobial resistance: limitations and lessons from the GRAM project </w:t>
        </w:r>
      </w:hyperlink>
      <w:r w:rsidRPr="00D234A9">
        <w:rPr>
          <w:rStyle w:val="Hyperlink"/>
          <w:rFonts w:eastAsiaTheme="minorHAnsi"/>
        </w:rPr>
        <w:t xml:space="preserve"> </w:t>
      </w:r>
    </w:p>
    <w:p w14:paraId="06BC847A" w14:textId="77777777" w:rsidR="00D234A9" w:rsidRPr="00D234A9" w:rsidRDefault="00D234A9" w:rsidP="00D234A9">
      <w:r w:rsidRPr="00D234A9">
        <w:t>-</w:t>
      </w:r>
      <w:hyperlink r:id="rId35" w:history="1">
        <w:r w:rsidRPr="00D234A9">
          <w:rPr>
            <w:rStyle w:val="Hyperlink"/>
          </w:rPr>
          <w:t>Improving the estimation of the global burden of antimicrobial resistant infections</w:t>
        </w:r>
      </w:hyperlink>
    </w:p>
    <w:p w14:paraId="0932FE43" w14:textId="77777777" w:rsidR="00D234A9" w:rsidRPr="00D234A9" w:rsidRDefault="00D234A9" w:rsidP="00D234A9">
      <w:pPr>
        <w:rPr>
          <w:rStyle w:val="Hyperlink"/>
          <w:rFonts w:eastAsiaTheme="minorHAnsi"/>
        </w:rPr>
      </w:pPr>
      <w:r w:rsidRPr="00D234A9">
        <w:rPr>
          <w:rFonts w:eastAsiaTheme="minorHAnsi"/>
        </w:rPr>
        <w:t>-</w:t>
      </w:r>
      <w:hyperlink r:id="rId36" w:history="1">
        <w:r w:rsidRPr="00D234A9">
          <w:rPr>
            <w:rStyle w:val="Hyperlink"/>
          </w:rPr>
          <w:t>Changes in antibiotic resistance in animals</w:t>
        </w:r>
      </w:hyperlink>
    </w:p>
    <w:p w14:paraId="524EFB69" w14:textId="1CE7CD03" w:rsidR="00C203FD" w:rsidRDefault="00D234A9" w:rsidP="00DC4B71">
      <w:pPr>
        <w:pStyle w:val="ParagraphText-unnumbered"/>
      </w:pPr>
      <w:r w:rsidRPr="00D234A9">
        <w:rPr>
          <w:rStyle w:val="Hyperlink"/>
          <w:rFonts w:eastAsiaTheme="minorHAnsi"/>
        </w:rPr>
        <w:t>-</w:t>
      </w:r>
      <w:hyperlink r:id="rId37" w:history="1">
        <w:r w:rsidRPr="00D234A9">
          <w:rPr>
            <w:rStyle w:val="Hyperlink"/>
          </w:rPr>
          <w:t>Microbiology Investigation Criteria for Reporting Objectively (MICRO): A Framework for the Reporting and Interpretation of Clinical Microbiology Data</w:t>
        </w:r>
      </w:hyperlink>
    </w:p>
    <w:p w14:paraId="1648B049" w14:textId="1F7CA452" w:rsidR="00C203FD" w:rsidRPr="00E77136" w:rsidRDefault="00C203FD" w:rsidP="00D46652">
      <w:pPr>
        <w:pStyle w:val="Heading4"/>
      </w:pPr>
      <w:r w:rsidRPr="00E77136">
        <w:rPr>
          <w:rStyle w:val="Bold"/>
          <w:b/>
        </w:rPr>
        <w:t>Output title: Awareness and Advocacy</w:t>
      </w:r>
    </w:p>
    <w:p w14:paraId="262B5FA4" w14:textId="0C1D267B" w:rsidR="00C203FD" w:rsidRDefault="00C203FD" w:rsidP="00D46652">
      <w:pPr>
        <w:pStyle w:val="ParagraphText-unnumbered"/>
      </w:pPr>
      <w:r w:rsidRPr="00C203FD">
        <w:t xml:space="preserve">Given the complexity of AMR, with a number of sectors and factors contributing to the threat and to the solution, there is still a lot of uncertainty around the nature of the problem, its severity, and the most appropriate interventions to reduce the acceleration of resistance. The Fleming Fund recognises that improving awareness and understanding of the threat among key surveillance stakeholders (laboratory staff, health care workers including clinicians and nurses, veterinarians, farmers, other antibiotic prescribers, and relevant national government ministries) is crucial to ensure countries are convinced of the </w:t>
      </w:r>
      <w:r w:rsidRPr="00C203FD">
        <w:lastRenderedPageBreak/>
        <w:t>need for action on the basis of robust evidence. We expect this to take place on the condition that the data produced is of suitable quality and is shared with key stakeholders locally, nationally, regionally and globally.</w:t>
      </w:r>
    </w:p>
    <w:tbl>
      <w:tblPr>
        <w:tblW w:w="11018" w:type="dxa"/>
        <w:tblInd w:w="-851" w:type="dxa"/>
        <w:tblLook w:val="04A0" w:firstRow="1" w:lastRow="0" w:firstColumn="1" w:lastColumn="0" w:noHBand="0" w:noVBand="1"/>
      </w:tblPr>
      <w:tblGrid>
        <w:gridCol w:w="2930"/>
        <w:gridCol w:w="2928"/>
        <w:gridCol w:w="5160"/>
      </w:tblGrid>
      <w:tr w:rsidR="00C203FD" w:rsidRPr="00F04F94" w14:paraId="242422B6" w14:textId="77777777" w:rsidTr="00DE5714">
        <w:trPr>
          <w:trHeight w:val="302"/>
        </w:trPr>
        <w:tc>
          <w:tcPr>
            <w:tcW w:w="2930" w:type="dxa"/>
            <w:tcBorders>
              <w:bottom w:val="single" w:sz="4" w:space="0" w:color="auto"/>
            </w:tcBorders>
            <w:vAlign w:val="center"/>
          </w:tcPr>
          <w:p w14:paraId="549897B2" w14:textId="77777777" w:rsidR="00C203FD" w:rsidRPr="00C203FD" w:rsidRDefault="00C203FD" w:rsidP="00C24E58"/>
          <w:p w14:paraId="7D007834" w14:textId="77777777" w:rsidR="00C203FD" w:rsidRPr="00C203FD" w:rsidRDefault="00C203FD" w:rsidP="00C24E58">
            <w:r w:rsidRPr="00C203FD">
              <w:t>5-point score 2020: A</w:t>
            </w:r>
          </w:p>
          <w:p w14:paraId="16105C5A" w14:textId="77777777" w:rsidR="00C203FD" w:rsidRPr="00C203FD" w:rsidRDefault="00C203FD" w:rsidP="00C24E58"/>
        </w:tc>
        <w:tc>
          <w:tcPr>
            <w:tcW w:w="2928" w:type="dxa"/>
            <w:tcBorders>
              <w:bottom w:val="single" w:sz="4" w:space="0" w:color="auto"/>
            </w:tcBorders>
            <w:vAlign w:val="center"/>
          </w:tcPr>
          <w:p w14:paraId="0CB3AD1C" w14:textId="77777777" w:rsidR="00C203FD" w:rsidRPr="00C203FD" w:rsidRDefault="00C203FD" w:rsidP="00C24E58">
            <w:r w:rsidRPr="00C203FD">
              <w:t>5-point score 2019: A+</w:t>
            </w:r>
          </w:p>
        </w:tc>
        <w:tc>
          <w:tcPr>
            <w:tcW w:w="5160" w:type="dxa"/>
            <w:tcBorders>
              <w:bottom w:val="single" w:sz="4" w:space="0" w:color="auto"/>
            </w:tcBorders>
            <w:vAlign w:val="center"/>
          </w:tcPr>
          <w:p w14:paraId="6404B86D" w14:textId="77777777" w:rsidR="00C203FD" w:rsidRPr="00C203FD" w:rsidRDefault="00C203FD" w:rsidP="00C24E58">
            <w:r w:rsidRPr="00C203FD">
              <w:t>Impact weighting:5%</w:t>
            </w:r>
          </w:p>
        </w:tc>
      </w:tr>
    </w:tbl>
    <w:tbl>
      <w:tblPr>
        <w:tblStyle w:val="TableGrid"/>
        <w:tblW w:w="11057" w:type="dxa"/>
        <w:tblInd w:w="-856" w:type="dxa"/>
        <w:tblLook w:val="04A0" w:firstRow="1" w:lastRow="0" w:firstColumn="1" w:lastColumn="0" w:noHBand="0" w:noVBand="1"/>
      </w:tblPr>
      <w:tblGrid>
        <w:gridCol w:w="1138"/>
        <w:gridCol w:w="3524"/>
        <w:gridCol w:w="1556"/>
        <w:gridCol w:w="1444"/>
        <w:gridCol w:w="1979"/>
        <w:gridCol w:w="1416"/>
      </w:tblGrid>
      <w:tr w:rsidR="00C203FD" w:rsidRPr="00D3441B" w14:paraId="5900B045" w14:textId="77777777" w:rsidTr="00C24E58">
        <w:tc>
          <w:tcPr>
            <w:tcW w:w="1138" w:type="dxa"/>
            <w:shd w:val="clear" w:color="auto" w:fill="E0E0E1" w:themeFill="background2"/>
          </w:tcPr>
          <w:p w14:paraId="1954764A" w14:textId="77777777" w:rsidR="00C203FD" w:rsidRPr="00C203FD" w:rsidRDefault="00C203FD" w:rsidP="00C203FD">
            <w:r w:rsidRPr="00C203FD">
              <w:t xml:space="preserve">Output </w:t>
            </w:r>
          </w:p>
          <w:p w14:paraId="584AA403" w14:textId="77777777" w:rsidR="00C203FD" w:rsidRPr="00C203FD" w:rsidRDefault="00C203FD" w:rsidP="00C203FD">
            <w:r w:rsidRPr="00C203FD">
              <w:t>Indicator</w:t>
            </w:r>
          </w:p>
        </w:tc>
        <w:tc>
          <w:tcPr>
            <w:tcW w:w="3541" w:type="dxa"/>
            <w:shd w:val="clear" w:color="auto" w:fill="E0E0E1" w:themeFill="background2"/>
          </w:tcPr>
          <w:p w14:paraId="4282EA98" w14:textId="77777777" w:rsidR="00C203FD" w:rsidRPr="00C203FD" w:rsidRDefault="00C203FD" w:rsidP="00C203FD">
            <w:r w:rsidRPr="00C203FD">
              <w:t>Indicator</w:t>
            </w:r>
          </w:p>
        </w:tc>
        <w:tc>
          <w:tcPr>
            <w:tcW w:w="1559" w:type="dxa"/>
            <w:shd w:val="clear" w:color="auto" w:fill="E0E0E1" w:themeFill="background2"/>
          </w:tcPr>
          <w:p w14:paraId="336EAB73" w14:textId="77777777" w:rsidR="00C203FD" w:rsidRPr="00C203FD" w:rsidRDefault="00C203FD" w:rsidP="00C203FD">
            <w:r w:rsidRPr="00C203FD">
              <w:t>Milestone 2020</w:t>
            </w:r>
          </w:p>
        </w:tc>
        <w:tc>
          <w:tcPr>
            <w:tcW w:w="1417" w:type="dxa"/>
            <w:shd w:val="clear" w:color="auto" w:fill="E0E0E1" w:themeFill="background2"/>
          </w:tcPr>
          <w:p w14:paraId="37B439A3" w14:textId="77777777" w:rsidR="00C203FD" w:rsidRPr="00C203FD" w:rsidRDefault="00C203FD" w:rsidP="00C203FD">
            <w:pPr>
              <w:pStyle w:val="ParagraphText-unnumbered"/>
              <w:rPr>
                <w:rStyle w:val="Bold"/>
              </w:rPr>
            </w:pPr>
            <w:r w:rsidRPr="00C203FD">
              <w:t>Progress</w:t>
            </w:r>
          </w:p>
        </w:tc>
        <w:tc>
          <w:tcPr>
            <w:tcW w:w="1985" w:type="dxa"/>
            <w:shd w:val="clear" w:color="auto" w:fill="E0E0E1" w:themeFill="background2"/>
          </w:tcPr>
          <w:p w14:paraId="1813FA69" w14:textId="77777777" w:rsidR="00C203FD" w:rsidRPr="00C203FD" w:rsidRDefault="00C203FD" w:rsidP="00C203FD">
            <w:r w:rsidRPr="00C203FD">
              <w:t>Status at Year 2 Annual review</w:t>
            </w:r>
          </w:p>
        </w:tc>
        <w:tc>
          <w:tcPr>
            <w:tcW w:w="1417" w:type="dxa"/>
            <w:shd w:val="clear" w:color="auto" w:fill="E0E0E1" w:themeFill="background2"/>
          </w:tcPr>
          <w:p w14:paraId="517A399A" w14:textId="77777777" w:rsidR="00C203FD" w:rsidRPr="00C203FD" w:rsidRDefault="00C203FD" w:rsidP="00C203FD">
            <w:r w:rsidRPr="00C203FD">
              <w:t xml:space="preserve">Weighting </w:t>
            </w:r>
          </w:p>
        </w:tc>
      </w:tr>
      <w:tr w:rsidR="00C203FD" w:rsidRPr="00D3441B" w14:paraId="2743B24B" w14:textId="77777777" w:rsidTr="00C24E58">
        <w:tc>
          <w:tcPr>
            <w:tcW w:w="1138" w:type="dxa"/>
          </w:tcPr>
          <w:p w14:paraId="0A77336B" w14:textId="77777777" w:rsidR="00C203FD" w:rsidRPr="00C203FD" w:rsidRDefault="00C203FD" w:rsidP="00C203FD">
            <w:r w:rsidRPr="00C203FD">
              <w:t>10.1</w:t>
            </w:r>
          </w:p>
        </w:tc>
        <w:tc>
          <w:tcPr>
            <w:tcW w:w="3541" w:type="dxa"/>
          </w:tcPr>
          <w:p w14:paraId="19FC3603" w14:textId="77777777" w:rsidR="00C203FD" w:rsidRPr="00C203FD" w:rsidRDefault="00C203FD" w:rsidP="00C203FD">
            <w:r w:rsidRPr="00C203FD">
              <w:t xml:space="preserve">Average number of new visitors to the website per month throughout 2020. </w:t>
            </w:r>
          </w:p>
        </w:tc>
        <w:tc>
          <w:tcPr>
            <w:tcW w:w="1559" w:type="dxa"/>
          </w:tcPr>
          <w:p w14:paraId="7BB0D605" w14:textId="77777777" w:rsidR="00C203FD" w:rsidRPr="00C203FD" w:rsidRDefault="00C203FD" w:rsidP="00C203FD">
            <w:r w:rsidRPr="00C203FD">
              <w:t>100</w:t>
            </w:r>
          </w:p>
        </w:tc>
        <w:tc>
          <w:tcPr>
            <w:tcW w:w="1417" w:type="dxa"/>
            <w:shd w:val="clear" w:color="auto" w:fill="00B050"/>
          </w:tcPr>
          <w:p w14:paraId="4A0F8237" w14:textId="77777777" w:rsidR="00C203FD" w:rsidRPr="00C203FD" w:rsidRDefault="00C203FD" w:rsidP="00C203FD">
            <w:pPr>
              <w:pStyle w:val="Table-bodytext"/>
              <w:rPr>
                <w:rStyle w:val="Bold"/>
              </w:rPr>
            </w:pPr>
            <w:r w:rsidRPr="00C203FD">
              <w:rPr>
                <w:rStyle w:val="Bold"/>
              </w:rPr>
              <w:t xml:space="preserve">Surpassed </w:t>
            </w:r>
          </w:p>
          <w:p w14:paraId="50035052" w14:textId="77777777" w:rsidR="00C203FD" w:rsidRPr="00C203FD" w:rsidRDefault="00C203FD" w:rsidP="00C203FD">
            <w:pPr>
              <w:pStyle w:val="Table-bodytext"/>
            </w:pPr>
            <w:r w:rsidRPr="00C203FD">
              <w:rPr>
                <w:rStyle w:val="Bold"/>
              </w:rPr>
              <w:t>(1596)</w:t>
            </w:r>
          </w:p>
          <w:p w14:paraId="2A2D398D" w14:textId="77777777" w:rsidR="00C203FD" w:rsidRPr="00C203FD" w:rsidRDefault="00C203FD" w:rsidP="00C203FD">
            <w:pPr>
              <w:pStyle w:val="Table-bodytext"/>
            </w:pPr>
          </w:p>
        </w:tc>
        <w:tc>
          <w:tcPr>
            <w:tcW w:w="1985" w:type="dxa"/>
          </w:tcPr>
          <w:p w14:paraId="24058EF2" w14:textId="77777777" w:rsidR="00C203FD" w:rsidRPr="00C203FD" w:rsidRDefault="00C203FD" w:rsidP="00C203FD">
            <w:pPr>
              <w:pStyle w:val="ParagraphText-unnumbered"/>
            </w:pPr>
            <w:r w:rsidRPr="00C203FD">
              <w:t>N/A – Introduced in 2020</w:t>
            </w:r>
          </w:p>
          <w:p w14:paraId="0449A0A6" w14:textId="77777777" w:rsidR="00C203FD" w:rsidRPr="00C203FD" w:rsidRDefault="00C203FD" w:rsidP="00C203FD"/>
        </w:tc>
        <w:tc>
          <w:tcPr>
            <w:tcW w:w="1417" w:type="dxa"/>
          </w:tcPr>
          <w:p w14:paraId="17A4C5C4" w14:textId="77777777" w:rsidR="00C203FD" w:rsidRPr="00C203FD" w:rsidRDefault="00C203FD" w:rsidP="00C203FD">
            <w:r w:rsidRPr="00C203FD">
              <w:t>30%</w:t>
            </w:r>
          </w:p>
        </w:tc>
      </w:tr>
      <w:tr w:rsidR="00C203FD" w:rsidRPr="00D3441B" w14:paraId="192C6367" w14:textId="77777777" w:rsidTr="00C24E58">
        <w:tc>
          <w:tcPr>
            <w:tcW w:w="1138" w:type="dxa"/>
          </w:tcPr>
          <w:p w14:paraId="6B1BA2A9" w14:textId="77777777" w:rsidR="00C203FD" w:rsidRPr="00C203FD" w:rsidRDefault="00C203FD" w:rsidP="00C203FD">
            <w:r w:rsidRPr="00C203FD">
              <w:t>10.2</w:t>
            </w:r>
          </w:p>
        </w:tc>
        <w:tc>
          <w:tcPr>
            <w:tcW w:w="3541" w:type="dxa"/>
          </w:tcPr>
          <w:p w14:paraId="1E3C2F2C" w14:textId="77777777" w:rsidR="00C203FD" w:rsidRPr="00C203FD" w:rsidRDefault="00C203FD" w:rsidP="00C203FD">
            <w:r w:rsidRPr="00C203FD">
              <w:t>Average number of page views per news article per month uploaded to the Fleming Fund website in 2020</w:t>
            </w:r>
          </w:p>
        </w:tc>
        <w:tc>
          <w:tcPr>
            <w:tcW w:w="1559" w:type="dxa"/>
          </w:tcPr>
          <w:p w14:paraId="05EA758B" w14:textId="77777777" w:rsidR="00C203FD" w:rsidRPr="00C203FD" w:rsidRDefault="00C203FD" w:rsidP="00C203FD">
            <w:r w:rsidRPr="00C203FD">
              <w:t>50</w:t>
            </w:r>
          </w:p>
        </w:tc>
        <w:tc>
          <w:tcPr>
            <w:tcW w:w="1417" w:type="dxa"/>
            <w:shd w:val="clear" w:color="auto" w:fill="00B050"/>
          </w:tcPr>
          <w:p w14:paraId="0EABFEB6" w14:textId="77777777" w:rsidR="00C203FD" w:rsidRPr="00C203FD" w:rsidRDefault="00C203FD" w:rsidP="00C203FD">
            <w:pPr>
              <w:pStyle w:val="Table-bodytext"/>
              <w:rPr>
                <w:rStyle w:val="Bold"/>
              </w:rPr>
            </w:pPr>
            <w:r w:rsidRPr="00C203FD">
              <w:rPr>
                <w:rStyle w:val="Bold"/>
              </w:rPr>
              <w:t xml:space="preserve">Surpassed </w:t>
            </w:r>
          </w:p>
          <w:p w14:paraId="77573BD8" w14:textId="77777777" w:rsidR="00C203FD" w:rsidRPr="00C203FD" w:rsidRDefault="00C203FD" w:rsidP="00C203FD">
            <w:pPr>
              <w:pStyle w:val="Table-bodytext"/>
              <w:rPr>
                <w:rStyle w:val="Bold"/>
              </w:rPr>
            </w:pPr>
            <w:r w:rsidRPr="00C203FD">
              <w:rPr>
                <w:rStyle w:val="Bold"/>
              </w:rPr>
              <w:t>(82)</w:t>
            </w:r>
          </w:p>
          <w:p w14:paraId="689FC25B" w14:textId="77777777" w:rsidR="00C203FD" w:rsidRPr="00C203FD" w:rsidRDefault="00C203FD" w:rsidP="00C203FD">
            <w:pPr>
              <w:pStyle w:val="Table-bodytext"/>
            </w:pPr>
          </w:p>
        </w:tc>
        <w:tc>
          <w:tcPr>
            <w:tcW w:w="1985" w:type="dxa"/>
          </w:tcPr>
          <w:p w14:paraId="53F004AF" w14:textId="77777777" w:rsidR="00C203FD" w:rsidRPr="00C203FD" w:rsidRDefault="00C203FD" w:rsidP="00C203FD">
            <w:pPr>
              <w:pStyle w:val="ParagraphText-unnumbered"/>
            </w:pPr>
            <w:r w:rsidRPr="00C203FD">
              <w:t>N/A – Introduced in 2020</w:t>
            </w:r>
          </w:p>
          <w:p w14:paraId="39F08F6E" w14:textId="77777777" w:rsidR="00C203FD" w:rsidRPr="00C203FD" w:rsidRDefault="00C203FD" w:rsidP="00C203FD"/>
        </w:tc>
        <w:tc>
          <w:tcPr>
            <w:tcW w:w="1417" w:type="dxa"/>
          </w:tcPr>
          <w:p w14:paraId="5CBB5157" w14:textId="77777777" w:rsidR="00C203FD" w:rsidRPr="00C203FD" w:rsidRDefault="00C203FD" w:rsidP="00C203FD">
            <w:r w:rsidRPr="00C203FD">
              <w:t>30%</w:t>
            </w:r>
          </w:p>
        </w:tc>
      </w:tr>
      <w:tr w:rsidR="00C203FD" w:rsidRPr="00D3441B" w14:paraId="003AA6F9" w14:textId="77777777" w:rsidTr="00C24E58">
        <w:tc>
          <w:tcPr>
            <w:tcW w:w="1138" w:type="dxa"/>
          </w:tcPr>
          <w:p w14:paraId="56EE365E" w14:textId="77777777" w:rsidR="00C203FD" w:rsidRPr="00C203FD" w:rsidRDefault="00C203FD" w:rsidP="00C203FD">
            <w:r w:rsidRPr="00C203FD">
              <w:t>10.3</w:t>
            </w:r>
          </w:p>
        </w:tc>
        <w:tc>
          <w:tcPr>
            <w:tcW w:w="3541" w:type="dxa"/>
          </w:tcPr>
          <w:p w14:paraId="0BA886B9" w14:textId="77777777" w:rsidR="00C203FD" w:rsidRPr="00C203FD" w:rsidRDefault="00C203FD" w:rsidP="00C203FD">
            <w:r w:rsidRPr="00C203FD">
              <w:t>Number of articles published through the South Centre</w:t>
            </w:r>
            <w:r w:rsidRPr="00C203FD">
              <w:rPr>
                <w:rStyle w:val="Strong"/>
              </w:rPr>
              <w:t xml:space="preserve"> </w:t>
            </w:r>
          </w:p>
        </w:tc>
        <w:tc>
          <w:tcPr>
            <w:tcW w:w="1559" w:type="dxa"/>
          </w:tcPr>
          <w:p w14:paraId="5B452120" w14:textId="77777777" w:rsidR="00C203FD" w:rsidRPr="00C203FD" w:rsidRDefault="00C203FD" w:rsidP="00C203FD">
            <w:r w:rsidRPr="00C203FD">
              <w:t>12</w:t>
            </w:r>
          </w:p>
          <w:p w14:paraId="0614B221" w14:textId="77777777" w:rsidR="00C203FD" w:rsidRPr="00C203FD" w:rsidRDefault="00C203FD" w:rsidP="00C203FD"/>
        </w:tc>
        <w:tc>
          <w:tcPr>
            <w:tcW w:w="1417" w:type="dxa"/>
            <w:shd w:val="clear" w:color="auto" w:fill="00B050"/>
          </w:tcPr>
          <w:p w14:paraId="630245DF" w14:textId="6C3D9436" w:rsidR="00C203FD" w:rsidRPr="00C203FD" w:rsidRDefault="00C203FD" w:rsidP="00C203FD">
            <w:r w:rsidRPr="00C203FD">
              <w:t>Achieved</w:t>
            </w:r>
            <w:r w:rsidR="00CE282B">
              <w:t xml:space="preserve"> (12)</w:t>
            </w:r>
          </w:p>
        </w:tc>
        <w:tc>
          <w:tcPr>
            <w:tcW w:w="1985" w:type="dxa"/>
          </w:tcPr>
          <w:p w14:paraId="693F6A74" w14:textId="77777777" w:rsidR="00C203FD" w:rsidRPr="00C203FD" w:rsidRDefault="00C203FD" w:rsidP="00C203FD">
            <w:r w:rsidRPr="00C203FD">
              <w:t>8</w:t>
            </w:r>
          </w:p>
        </w:tc>
        <w:tc>
          <w:tcPr>
            <w:tcW w:w="1417" w:type="dxa"/>
          </w:tcPr>
          <w:p w14:paraId="40E3DA4E" w14:textId="77777777" w:rsidR="00C203FD" w:rsidRPr="00C203FD" w:rsidRDefault="00C203FD" w:rsidP="00C203FD">
            <w:r w:rsidRPr="00C203FD">
              <w:t>20%</w:t>
            </w:r>
          </w:p>
        </w:tc>
      </w:tr>
      <w:tr w:rsidR="00C203FD" w:rsidRPr="00D3441B" w14:paraId="4CACA404" w14:textId="77777777" w:rsidTr="00C24E58">
        <w:tc>
          <w:tcPr>
            <w:tcW w:w="1138" w:type="dxa"/>
          </w:tcPr>
          <w:p w14:paraId="6524609E" w14:textId="77777777" w:rsidR="00C203FD" w:rsidRPr="00C203FD" w:rsidRDefault="00C203FD" w:rsidP="00C203FD">
            <w:r w:rsidRPr="00C203FD">
              <w:t>10.4</w:t>
            </w:r>
          </w:p>
        </w:tc>
        <w:tc>
          <w:tcPr>
            <w:tcW w:w="3541" w:type="dxa"/>
          </w:tcPr>
          <w:p w14:paraId="3F9B7626" w14:textId="77777777" w:rsidR="00C203FD" w:rsidRPr="00C203FD" w:rsidRDefault="00C203FD" w:rsidP="00C203FD">
            <w:r w:rsidRPr="00C203FD">
              <w:t>Percentage of South Centre stakeholders who have participated in South Centre activities and have subsequently incorporated suggestions and/or best practice in their own work</w:t>
            </w:r>
          </w:p>
        </w:tc>
        <w:tc>
          <w:tcPr>
            <w:tcW w:w="1559" w:type="dxa"/>
          </w:tcPr>
          <w:p w14:paraId="4A10757B" w14:textId="77777777" w:rsidR="00C203FD" w:rsidRPr="00C203FD" w:rsidRDefault="00C203FD" w:rsidP="00C203FD">
            <w:r w:rsidRPr="00C203FD">
              <w:t>40%</w:t>
            </w:r>
          </w:p>
        </w:tc>
        <w:tc>
          <w:tcPr>
            <w:tcW w:w="1417" w:type="dxa"/>
            <w:shd w:val="clear" w:color="auto" w:fill="00B050"/>
          </w:tcPr>
          <w:p w14:paraId="7477DC2D" w14:textId="46BBF010" w:rsidR="00C203FD" w:rsidRPr="00C203FD" w:rsidRDefault="00C203FD" w:rsidP="00C203FD">
            <w:pPr>
              <w:pStyle w:val="Table-bodytext"/>
            </w:pPr>
            <w:r w:rsidRPr="00C203FD">
              <w:rPr>
                <w:rStyle w:val="Bold"/>
              </w:rPr>
              <w:t>Achieved</w:t>
            </w:r>
            <w:r w:rsidR="00CE282B">
              <w:rPr>
                <w:rStyle w:val="Bold"/>
              </w:rPr>
              <w:t xml:space="preserve"> (40%)</w:t>
            </w:r>
          </w:p>
        </w:tc>
        <w:tc>
          <w:tcPr>
            <w:tcW w:w="1985" w:type="dxa"/>
          </w:tcPr>
          <w:p w14:paraId="3546AB26" w14:textId="77777777" w:rsidR="00C203FD" w:rsidRPr="00C203FD" w:rsidRDefault="00C203FD" w:rsidP="00C203FD">
            <w:pPr>
              <w:pStyle w:val="ParagraphText-unnumbered"/>
            </w:pPr>
            <w:r w:rsidRPr="00C203FD">
              <w:t>N/A – Introduced in 2020</w:t>
            </w:r>
          </w:p>
          <w:p w14:paraId="7320B3EF" w14:textId="77777777" w:rsidR="00C203FD" w:rsidRPr="00C203FD" w:rsidRDefault="00C203FD" w:rsidP="00C203FD"/>
        </w:tc>
        <w:tc>
          <w:tcPr>
            <w:tcW w:w="1417" w:type="dxa"/>
          </w:tcPr>
          <w:p w14:paraId="48A3BD94" w14:textId="77777777" w:rsidR="00C203FD" w:rsidRPr="00C203FD" w:rsidRDefault="00C203FD" w:rsidP="00C203FD">
            <w:r w:rsidRPr="00C203FD">
              <w:t>20%</w:t>
            </w:r>
          </w:p>
        </w:tc>
      </w:tr>
    </w:tbl>
    <w:p w14:paraId="161D11B6" w14:textId="77777777" w:rsidR="00C203FD" w:rsidRPr="00C203FD" w:rsidRDefault="00C203FD" w:rsidP="00C203FD"/>
    <w:p w14:paraId="0994CFE0" w14:textId="0BFE690A" w:rsidR="00C203FD" w:rsidRPr="00C203FD" w:rsidRDefault="00C203FD" w:rsidP="00D46652">
      <w:pPr>
        <w:pStyle w:val="ParagraphText-unnumbered"/>
      </w:pPr>
      <w:r w:rsidRPr="00C203FD">
        <w:t xml:space="preserve">10.1 and 10.2. Throughout 2020, all content published on the Fleming Fund website has been monitored using Google Analytics. The most successful articles received </w:t>
      </w:r>
      <w:proofErr w:type="gramStart"/>
      <w:r w:rsidRPr="00C203FD">
        <w:t>201 and 187 page</w:t>
      </w:r>
      <w:proofErr w:type="gramEnd"/>
      <w:r w:rsidRPr="00C203FD">
        <w:t xml:space="preserve"> views in 30 days following their publication, and so further analysis will be conducted to establish why they were so successful, and to replicate this approach. The number of new visitors to the website remained largely consistent throughout the year, with the content published and changes to the website structure having little effect. In 2021, different approaches to online and offline communications will be trialled to better target audiences outside of existing Fleming Fund networks. This will include producing content for Twitter that does not rely on click-throughs to the website and piloting innovative communication methods such as WhatsApp and text message campaigns. </w:t>
      </w:r>
    </w:p>
    <w:p w14:paraId="5FF7D105" w14:textId="1C95F3D2" w:rsidR="00B17E24" w:rsidRDefault="00C203FD" w:rsidP="00DC4B71">
      <w:pPr>
        <w:pStyle w:val="ParagraphText-unnumbered"/>
      </w:pPr>
      <w:r w:rsidRPr="00C203FD">
        <w:t xml:space="preserve">10.3 and 10.4. South Centre’s communications </w:t>
      </w:r>
      <w:r w:rsidR="00432127">
        <w:t>work has</w:t>
      </w:r>
      <w:r w:rsidRPr="00C203FD">
        <w:t xml:space="preserve"> ensure</w:t>
      </w:r>
      <w:r w:rsidR="00432127">
        <w:t>d</w:t>
      </w:r>
      <w:r w:rsidRPr="00C203FD">
        <w:t xml:space="preserve"> LMIC views have contributed to the development of AMR work streams at the global level, particularly in relation to COVID-19. </w:t>
      </w:r>
    </w:p>
    <w:p w14:paraId="7D8D4EC8" w14:textId="385FB055" w:rsidR="00015CEE" w:rsidRDefault="0041412F" w:rsidP="00A94966">
      <w:pPr>
        <w:pStyle w:val="Heading2"/>
      </w:pPr>
      <w:r>
        <w:t>Project performance not captured by outputs</w:t>
      </w:r>
    </w:p>
    <w:p w14:paraId="600660B1" w14:textId="7DFA06AA" w:rsidR="00342368" w:rsidRDefault="00342368" w:rsidP="00D46652">
      <w:pPr>
        <w:pStyle w:val="ParagraphText-unnumbered"/>
      </w:pPr>
      <w:r>
        <w:t xml:space="preserve">Given the nature of the programme, there is a range of work which is not captured by </w:t>
      </w:r>
      <w:r w:rsidR="004D5524">
        <w:t xml:space="preserve">the </w:t>
      </w:r>
      <w:r>
        <w:t>output</w:t>
      </w:r>
      <w:r w:rsidR="004D5524">
        <w:t>s</w:t>
      </w:r>
      <w:r>
        <w:t xml:space="preserve">. </w:t>
      </w:r>
      <w:r w:rsidR="00432127" w:rsidRPr="00432127">
        <w:t>This is broadly in three areas: COVID-19 flex, country-level achievements, and our work with the WHO on substandard and falsified medicines.</w:t>
      </w:r>
    </w:p>
    <w:p w14:paraId="723999BF" w14:textId="33805D28" w:rsidR="004E2D2E" w:rsidRPr="00671307" w:rsidRDefault="007D41CF" w:rsidP="00D46652">
      <w:pPr>
        <w:pStyle w:val="ParagraphText-unnumbered"/>
      </w:pPr>
      <w:r>
        <w:t xml:space="preserve">During the COVID-19 pandemic the programme pivoted quickly to support the response. </w:t>
      </w:r>
      <w:r w:rsidR="001417AF">
        <w:t xml:space="preserve">Examples of </w:t>
      </w:r>
      <w:r w:rsidR="00F757E4">
        <w:t xml:space="preserve">how </w:t>
      </w:r>
      <w:r w:rsidRPr="007D41CF">
        <w:rPr>
          <w:rFonts w:eastAsiaTheme="minorEastAsia"/>
        </w:rPr>
        <w:t xml:space="preserve">the Fleming Fund is not only working to tackle AMR but other global </w:t>
      </w:r>
      <w:r w:rsidR="00BE7863">
        <w:rPr>
          <w:rFonts w:eastAsiaTheme="minorEastAsia"/>
        </w:rPr>
        <w:t xml:space="preserve">health </w:t>
      </w:r>
      <w:r w:rsidRPr="007D41CF">
        <w:rPr>
          <w:rFonts w:eastAsiaTheme="minorEastAsia"/>
        </w:rPr>
        <w:t>security threats as well</w:t>
      </w:r>
      <w:r w:rsidR="00E70FF0">
        <w:rPr>
          <w:rFonts w:eastAsiaTheme="minorEastAsia"/>
        </w:rPr>
        <w:t xml:space="preserve"> are provided elsewhere in our review, and </w:t>
      </w:r>
      <w:r w:rsidR="00E70FF0">
        <w:t>a</w:t>
      </w:r>
      <w:r w:rsidR="004E2D2E" w:rsidRPr="00432E03">
        <w:t>n initial article has been produced which sets out the benefits of the flex to COVID-19 WGS</w:t>
      </w:r>
      <w:r w:rsidR="00E70FF0">
        <w:t xml:space="preserve"> in </w:t>
      </w:r>
      <w:r w:rsidR="004929F8">
        <w:t>Africa</w:t>
      </w:r>
      <w:r w:rsidR="004E2D2E" w:rsidRPr="00432E03">
        <w:t>: "</w:t>
      </w:r>
      <w:hyperlink r:id="rId38" w:history="1">
        <w:r w:rsidR="004E2D2E" w:rsidRPr="00671307">
          <w:rPr>
            <w:rStyle w:val="Hyperlink"/>
          </w:rPr>
          <w:t>To understand why bacteria behaves in a particular way, you need genomics..."</w:t>
        </w:r>
      </w:hyperlink>
      <w:r w:rsidR="004E2D2E" w:rsidRPr="00432E03">
        <w:t>.</w:t>
      </w:r>
    </w:p>
    <w:p w14:paraId="4AFF4C97" w14:textId="77777777" w:rsidR="004E2D2E" w:rsidRDefault="004E2D2E" w:rsidP="00D46652">
      <w:pPr>
        <w:pStyle w:val="ParagraphText-unnumbered"/>
      </w:pPr>
    </w:p>
    <w:p w14:paraId="068C9A52" w14:textId="3D058F03" w:rsidR="00124332" w:rsidRDefault="00C32D96" w:rsidP="00D46652">
      <w:pPr>
        <w:pStyle w:val="ParagraphText-unnumbered"/>
      </w:pPr>
      <w:r>
        <w:t xml:space="preserve">There are </w:t>
      </w:r>
      <w:r w:rsidR="004929F8">
        <w:t xml:space="preserve">also </w:t>
      </w:r>
      <w:proofErr w:type="gramStart"/>
      <w:r w:rsidR="004929F8">
        <w:t xml:space="preserve">a </w:t>
      </w:r>
      <w:r>
        <w:t>number of</w:t>
      </w:r>
      <w:proofErr w:type="gramEnd"/>
      <w:r>
        <w:t xml:space="preserve"> country-specific achievements which are not captured in the outputs. For example, s</w:t>
      </w:r>
      <w:r w:rsidR="00A94966" w:rsidRPr="00A94966">
        <w:t>ignificant progress has been made in Timor-Leste where blood culture service is now available 24 hours a day 7 days a week at the Guido Valadares National Hospital in Dili</w:t>
      </w:r>
      <w:r w:rsidR="00B51CD0">
        <w:t xml:space="preserve"> and there is ongoing work to comprehensively quantify the use of antimicrobials</w:t>
      </w:r>
      <w:r w:rsidR="00BE7863">
        <w:t>.</w:t>
      </w:r>
      <w:r w:rsidR="00A94966" w:rsidRPr="00A94966">
        <w:t xml:space="preserve"> </w:t>
      </w:r>
      <w:r w:rsidR="00B51CD0" w:rsidRPr="00B51CD0">
        <w:t xml:space="preserve">All laboratories supported by the Fleming Fund </w:t>
      </w:r>
      <w:r w:rsidR="00432127">
        <w:t xml:space="preserve">in Timor-Leste </w:t>
      </w:r>
      <w:r w:rsidR="00B51CD0" w:rsidRPr="00B51CD0">
        <w:t>have reported improv</w:t>
      </w:r>
      <w:r w:rsidR="00DD3180">
        <w:t xml:space="preserve">ed </w:t>
      </w:r>
      <w:r w:rsidR="00B51CD0" w:rsidRPr="00B51CD0">
        <w:t xml:space="preserve">capacity in terms of core AMR surveillance functions, as set out in the LSHTM roadmap. </w:t>
      </w:r>
      <w:r w:rsidR="00125B6B">
        <w:t>The V</w:t>
      </w:r>
      <w:r w:rsidR="00B51CD0" w:rsidRPr="00B51CD0">
        <w:t xml:space="preserve">eterinary Diagnostic Laboratory </w:t>
      </w:r>
      <w:r w:rsidR="00125B6B">
        <w:t xml:space="preserve">(VDL) </w:t>
      </w:r>
      <w:r w:rsidR="00B51CD0" w:rsidRPr="00B51CD0">
        <w:t>can conduct reliable bacterial identification</w:t>
      </w:r>
      <w:r w:rsidR="00125B6B">
        <w:t xml:space="preserve"> and a</w:t>
      </w:r>
      <w:r w:rsidR="00125B6B" w:rsidRPr="00125B6B">
        <w:t xml:space="preserve">greements have been signed between </w:t>
      </w:r>
      <w:r w:rsidR="00125B6B">
        <w:t>the VDL</w:t>
      </w:r>
      <w:r w:rsidR="00125B6B" w:rsidRPr="00125B6B">
        <w:t xml:space="preserve"> and National Health Laboratory</w:t>
      </w:r>
      <w:r w:rsidR="00125B6B">
        <w:t xml:space="preserve"> (NHL)</w:t>
      </w:r>
      <w:r w:rsidR="00125B6B" w:rsidRPr="00125B6B">
        <w:t xml:space="preserve"> so that bacterial isolates can be sent to NHL for diagnostics and storage in a context where no evidence of AMR in the animal health sector was previously collected</w:t>
      </w:r>
      <w:r w:rsidR="00125B6B">
        <w:t>.</w:t>
      </w:r>
    </w:p>
    <w:p w14:paraId="17BD3DEE" w14:textId="56763E76" w:rsidR="00125B6B" w:rsidRDefault="00C32D96" w:rsidP="00D46652">
      <w:pPr>
        <w:pStyle w:val="ParagraphText-unnumbered"/>
      </w:pPr>
      <w:r>
        <w:t xml:space="preserve">In addition, </w:t>
      </w:r>
      <w:r w:rsidR="00821C75">
        <w:t>we have seen</w:t>
      </w:r>
      <w:r w:rsidR="001B6AB7" w:rsidRPr="001B6AB7">
        <w:t xml:space="preserve"> important achievements</w:t>
      </w:r>
      <w:r w:rsidR="00821C75">
        <w:t xml:space="preserve"> in Uganda</w:t>
      </w:r>
      <w:r w:rsidR="001B6AB7" w:rsidRPr="001B6AB7">
        <w:t xml:space="preserve">, </w:t>
      </w:r>
      <w:r w:rsidR="00821C75">
        <w:t>including</w:t>
      </w:r>
      <w:r w:rsidR="004519FE">
        <w:t xml:space="preserve"> that</w:t>
      </w:r>
      <w:r w:rsidR="002075A8">
        <w:t xml:space="preserve"> a</w:t>
      </w:r>
      <w:r w:rsidR="001B6AB7" w:rsidRPr="001B6AB7">
        <w:t xml:space="preserve">ll seven human health laboratories supported by the Fund </w:t>
      </w:r>
      <w:r w:rsidR="006F711F">
        <w:t xml:space="preserve">can </w:t>
      </w:r>
      <w:r w:rsidR="002075A8">
        <w:t>now</w:t>
      </w:r>
      <w:r w:rsidR="001B6AB7" w:rsidRPr="001B6AB7">
        <w:t xml:space="preserve"> collect all four main sample types, culture and identify all eight priority pathogens and </w:t>
      </w:r>
      <w:r w:rsidR="006F711F">
        <w:t>are</w:t>
      </w:r>
      <w:r w:rsidR="006F711F" w:rsidRPr="001B6AB7">
        <w:t xml:space="preserve"> </w:t>
      </w:r>
      <w:r w:rsidR="001B6AB7" w:rsidRPr="001B6AB7">
        <w:t>participat</w:t>
      </w:r>
      <w:r w:rsidR="006F711F">
        <w:t>ing</w:t>
      </w:r>
      <w:r w:rsidR="001B6AB7" w:rsidRPr="001B6AB7">
        <w:t xml:space="preserve"> in an External Quality Assurance Scheme (EQA). All three animal health laboratories supported by the </w:t>
      </w:r>
      <w:r w:rsidR="004519FE">
        <w:t xml:space="preserve">Fleming </w:t>
      </w:r>
      <w:r w:rsidR="001B6AB7" w:rsidRPr="001B6AB7">
        <w:t>Fund can now</w:t>
      </w:r>
      <w:r w:rsidR="00EB2019">
        <w:t xml:space="preserve"> </w:t>
      </w:r>
      <w:r w:rsidR="001B6AB7" w:rsidRPr="001B6AB7">
        <w:t>capture demographic /epidemiological data with new samples</w:t>
      </w:r>
      <w:r w:rsidR="004519FE">
        <w:t>,</w:t>
      </w:r>
      <w:r w:rsidR="001B6AB7" w:rsidRPr="001B6AB7">
        <w:t xml:space="preserve"> culture and identify all four key pathogens</w:t>
      </w:r>
      <w:r w:rsidR="004519FE">
        <w:t>,</w:t>
      </w:r>
      <w:r w:rsidR="00EB2019">
        <w:t xml:space="preserve"> and</w:t>
      </w:r>
      <w:r w:rsidR="001B6AB7" w:rsidRPr="001B6AB7">
        <w:t xml:space="preserve"> participate in an EQA Scheme.</w:t>
      </w:r>
      <w:r w:rsidR="00B12498">
        <w:t xml:space="preserve"> </w:t>
      </w:r>
    </w:p>
    <w:p w14:paraId="5D1CBD89" w14:textId="03CECBC9" w:rsidR="006F711F" w:rsidRDefault="00FF2A31" w:rsidP="00D46652">
      <w:pPr>
        <w:pStyle w:val="ParagraphText-unnumbered"/>
      </w:pPr>
      <w:r>
        <w:t>T</w:t>
      </w:r>
      <w:r w:rsidR="006F711F" w:rsidRPr="00A94966">
        <w:t xml:space="preserve">he WHO </w:t>
      </w:r>
      <w:r w:rsidR="004519FE">
        <w:t>SF</w:t>
      </w:r>
      <w:r w:rsidR="006F711F" w:rsidRPr="00A94966">
        <w:t xml:space="preserve"> Medicines grant </w:t>
      </w:r>
      <w:r>
        <w:t xml:space="preserve">had some achievements not captured by the monitoring matrix. </w:t>
      </w:r>
      <w:r w:rsidR="006F711F" w:rsidRPr="00A94966">
        <w:t>For example, the response to the Smartphone Reporting Application Pilot has been positive with many countries requesting use of the application</w:t>
      </w:r>
      <w:r w:rsidR="007E12EE">
        <w:t xml:space="preserve">. </w:t>
      </w:r>
      <w:r w:rsidR="006F711F" w:rsidRPr="00A94966">
        <w:t>WHO have partnered with Durham Universit</w:t>
      </w:r>
      <w:r w:rsidR="006F711F">
        <w:t>y</w:t>
      </w:r>
      <w:r w:rsidR="006F711F" w:rsidRPr="00A94966">
        <w:t xml:space="preserve"> to draft peer-reviewed papers showcasing their </w:t>
      </w:r>
      <w:proofErr w:type="gramStart"/>
      <w:r w:rsidR="006F711F" w:rsidRPr="00A94966">
        <w:t>findings.</w:t>
      </w:r>
      <w:proofErr w:type="gramEnd"/>
      <w:r w:rsidR="006F711F" w:rsidRPr="00A94966">
        <w:t xml:space="preserve"> </w:t>
      </w:r>
      <w:r w:rsidR="007E12EE">
        <w:t>Finally, although t</w:t>
      </w:r>
      <w:r w:rsidR="006F711F" w:rsidRPr="00A94966">
        <w:t>he launch of the upgraded Global Surveillance and Monitoring System has been delayed</w:t>
      </w:r>
      <w:r w:rsidR="006E12D2">
        <w:t xml:space="preserve">, </w:t>
      </w:r>
      <w:r w:rsidR="006F711F" w:rsidRPr="00A94966">
        <w:t xml:space="preserve">greater security measures have been incorporated, increasing the resilience of the system. </w:t>
      </w:r>
    </w:p>
    <w:p w14:paraId="44B67BC7" w14:textId="7173D2C9" w:rsidR="00C410A8" w:rsidRDefault="00015CEE" w:rsidP="00C931C1">
      <w:pPr>
        <w:pStyle w:val="Heading2"/>
      </w:pPr>
      <w:r>
        <w:t>Risk</w:t>
      </w:r>
    </w:p>
    <w:p w14:paraId="37B3D45E" w14:textId="400E0C4A" w:rsidR="00FC2A0F" w:rsidRDefault="00FC2A0F" w:rsidP="00FC2A0F">
      <w:pPr>
        <w:pStyle w:val="Heading3"/>
      </w:pPr>
      <w:r w:rsidRPr="00FC2A0F">
        <w:t>Overview of programme risk</w:t>
      </w:r>
    </w:p>
    <w:p w14:paraId="3385E224" w14:textId="1279FFCE" w:rsidR="00A94966" w:rsidRDefault="00A94966" w:rsidP="00D46652">
      <w:pPr>
        <w:pStyle w:val="ParagraphText-unnumbered"/>
      </w:pPr>
      <w:r w:rsidRPr="00A94966">
        <w:t xml:space="preserve">The Fleming Fund risk register is monitored regularly and reviewed quarterly by the Fleming Fund Project Board. The Fleming Fund also has a joint Risk Register with </w:t>
      </w:r>
      <w:r w:rsidR="00EB2019">
        <w:t>Mott MacDonald</w:t>
      </w:r>
      <w:r w:rsidR="00EB2019" w:rsidRPr="00A94966">
        <w:t xml:space="preserve"> </w:t>
      </w:r>
      <w:r w:rsidRPr="00A94966">
        <w:t xml:space="preserve">and a country risk register which is also shared with the Fleming Fund Project Board. </w:t>
      </w:r>
      <w:r w:rsidR="00BC0EAB">
        <w:t xml:space="preserve">The risks that have featured as the highest </w:t>
      </w:r>
      <w:r w:rsidR="00124332">
        <w:t xml:space="preserve">rated </w:t>
      </w:r>
      <w:r w:rsidR="00BC0EAB">
        <w:t xml:space="preserve">risks the most often in the Fleming Fund risk register </w:t>
      </w:r>
      <w:r w:rsidR="00124332">
        <w:t>in 2020</w:t>
      </w:r>
      <w:r w:rsidR="005447DE">
        <w:t>,</w:t>
      </w:r>
      <w:r w:rsidR="00124332">
        <w:t xml:space="preserve"> </w:t>
      </w:r>
      <w:r w:rsidR="00BC0EAB">
        <w:t>are listed below:</w:t>
      </w:r>
    </w:p>
    <w:p w14:paraId="55A55F69" w14:textId="32CF5F0A" w:rsidR="00DD043B" w:rsidRDefault="00DD043B" w:rsidP="00D46652">
      <w:pPr>
        <w:pStyle w:val="ParagraphText-unnumbered"/>
      </w:pPr>
      <w:r>
        <w:t xml:space="preserve">1. COVID-19 </w:t>
      </w:r>
      <w:r w:rsidR="00DE5714">
        <w:t>spreads to/impacts</w:t>
      </w:r>
      <w:r>
        <w:t xml:space="preserve"> Fleming Fund countries</w:t>
      </w:r>
    </w:p>
    <w:p w14:paraId="033568B8" w14:textId="5944DBA4" w:rsidR="00DD043B" w:rsidRDefault="00DD043B" w:rsidP="00D46652">
      <w:pPr>
        <w:pStyle w:val="ParagraphText-unnumbered"/>
      </w:pPr>
      <w:r>
        <w:t xml:space="preserve">2. </w:t>
      </w:r>
      <w:r w:rsidRPr="00DD043B">
        <w:t xml:space="preserve">Underspend on project forecasts for </w:t>
      </w:r>
      <w:r w:rsidR="00EB2019">
        <w:t>Her Majesty's Treasury</w:t>
      </w:r>
      <w:r w:rsidR="00EB2019" w:rsidRPr="00DD043B">
        <w:t xml:space="preserve"> </w:t>
      </w:r>
      <w:r w:rsidRPr="00DD043B">
        <w:t>profile in 2020/21</w:t>
      </w:r>
    </w:p>
    <w:p w14:paraId="27B75D75" w14:textId="6CA93CB1" w:rsidR="004E3345" w:rsidRDefault="00DD043B">
      <w:pPr>
        <w:pStyle w:val="ParagraphText-unnumbered"/>
      </w:pPr>
      <w:r>
        <w:t xml:space="preserve">3. </w:t>
      </w:r>
      <w:r w:rsidRPr="00DD043B">
        <w:t xml:space="preserve">Roll out of </w:t>
      </w:r>
      <w:r w:rsidR="009041F6">
        <w:t>M</w:t>
      </w:r>
      <w:r w:rsidR="004519FE">
        <w:t xml:space="preserve">ott </w:t>
      </w:r>
      <w:r w:rsidR="009041F6">
        <w:t>M</w:t>
      </w:r>
      <w:r w:rsidR="004519FE">
        <w:t>acDonald</w:t>
      </w:r>
      <w:r w:rsidRPr="00DD043B">
        <w:t xml:space="preserve"> grants are delayed beyond sequence outlined in </w:t>
      </w:r>
      <w:r w:rsidR="004519FE">
        <w:t xml:space="preserve">the </w:t>
      </w:r>
      <w:r w:rsidRPr="00DD043B">
        <w:t>workplan, compromising achievement of results set out in implementation plan</w:t>
      </w:r>
      <w:r>
        <w:t>.</w:t>
      </w:r>
    </w:p>
    <w:p w14:paraId="40FD3D63" w14:textId="41AAFBBE" w:rsidR="00CF771C" w:rsidRDefault="00CF771C">
      <w:pPr>
        <w:pStyle w:val="ParagraphText-unnumbered"/>
      </w:pPr>
      <w:r>
        <w:t>Mitigation strategies have been developed for all risks and monitored on a quarterly basis. Escalated risks are taken to governance boards as appropriate.</w:t>
      </w:r>
    </w:p>
    <w:p w14:paraId="40891504" w14:textId="77C76484" w:rsidR="006539C0" w:rsidRDefault="00DC7D4D" w:rsidP="00DC7D4D">
      <w:pPr>
        <w:pStyle w:val="Heading2"/>
      </w:pPr>
      <w:r>
        <w:t>Programme management: delivery</w:t>
      </w:r>
      <w:r w:rsidR="0063379E">
        <w:t xml:space="preserve"> and </w:t>
      </w:r>
      <w:r>
        <w:t xml:space="preserve">commercial </w:t>
      </w:r>
      <w:r w:rsidR="0063379E">
        <w:t xml:space="preserve">considerations </w:t>
      </w:r>
    </w:p>
    <w:p w14:paraId="5093A58C" w14:textId="1678DD4F" w:rsidR="006C1271" w:rsidRDefault="009F0185" w:rsidP="00D46652">
      <w:pPr>
        <w:pStyle w:val="ParagraphText-unnumbered"/>
      </w:pPr>
      <w:r>
        <w:t>Programme m</w:t>
      </w:r>
      <w:r w:rsidR="006C1271" w:rsidRPr="006C1271">
        <w:t xml:space="preserve">anagement of the Fleming </w:t>
      </w:r>
      <w:r w:rsidR="00B722F5">
        <w:t>F</w:t>
      </w:r>
      <w:r w:rsidR="006C1271" w:rsidRPr="006C1271">
        <w:t>und pro</w:t>
      </w:r>
      <w:r w:rsidR="004519FE">
        <w:t>gramme</w:t>
      </w:r>
      <w:r w:rsidR="006C1271" w:rsidRPr="006C1271">
        <w:t xml:space="preserve"> has adapted over the year in response </w:t>
      </w:r>
      <w:r w:rsidR="004D5524">
        <w:t xml:space="preserve">to </w:t>
      </w:r>
      <w:r w:rsidR="006C1271" w:rsidRPr="006C1271">
        <w:t>various internal and external changes and challenges to pro</w:t>
      </w:r>
      <w:r w:rsidR="004519FE">
        <w:t>gramme</w:t>
      </w:r>
      <w:r w:rsidR="006C1271" w:rsidRPr="006C1271">
        <w:t xml:space="preserve"> objectives. Monthly light touch project information dashboards showcasing progress of key Fleming Fund pro</w:t>
      </w:r>
      <w:r w:rsidR="004519FE">
        <w:t>gramme</w:t>
      </w:r>
      <w:r w:rsidR="006C1271" w:rsidRPr="006C1271">
        <w:t xml:space="preserve"> activities and deliverables were also initiated and later circulated on a quarterly basis to match quarterly project board meeting. These changes ensured that information obtained from quarterly review meetings with </w:t>
      </w:r>
      <w:r w:rsidR="009041F6">
        <w:t>Mott MacDonald</w:t>
      </w:r>
      <w:r w:rsidR="006C1271" w:rsidRPr="006C1271">
        <w:t xml:space="preserve"> were promptly reflected in the dashboard updates. </w:t>
      </w:r>
      <w:r w:rsidR="001A5149">
        <w:t>This has</w:t>
      </w:r>
      <w:r w:rsidR="006C1271" w:rsidRPr="006C1271">
        <w:t xml:space="preserve"> </w:t>
      </w:r>
      <w:r w:rsidR="00013D8A">
        <w:t xml:space="preserve">improved </w:t>
      </w:r>
      <w:r w:rsidR="00187161">
        <w:t xml:space="preserve">the </w:t>
      </w:r>
      <w:r w:rsidR="00013D8A">
        <w:t>Fleming Fund</w:t>
      </w:r>
      <w:r w:rsidR="00B722F5">
        <w:t>'</w:t>
      </w:r>
      <w:r w:rsidR="00013D8A">
        <w:t>s</w:t>
      </w:r>
      <w:r w:rsidR="001A5149">
        <w:t xml:space="preserve"> ability to</w:t>
      </w:r>
      <w:r w:rsidR="00013D8A">
        <w:t xml:space="preserve"> effectively </w:t>
      </w:r>
      <w:r w:rsidR="001A5149">
        <w:t>track project progress</w:t>
      </w:r>
      <w:r w:rsidR="00013D8A">
        <w:t>, ensured the</w:t>
      </w:r>
      <w:r w:rsidR="00432127">
        <w:t xml:space="preserve"> governing</w:t>
      </w:r>
      <w:r w:rsidR="00013D8A">
        <w:t xml:space="preserve"> board is aware of any areas of concern and can advise on relevant mitigating actions to be taken.</w:t>
      </w:r>
    </w:p>
    <w:p w14:paraId="139FF8ED" w14:textId="5A7CB789" w:rsidR="006C1271" w:rsidRDefault="00136634" w:rsidP="00D46652">
      <w:pPr>
        <w:pStyle w:val="ParagraphText-unnumbered"/>
      </w:pPr>
      <w:r>
        <w:t xml:space="preserve">The </w:t>
      </w:r>
      <w:r w:rsidR="006C1271" w:rsidRPr="006C1271">
        <w:t xml:space="preserve">Fleming Fund </w:t>
      </w:r>
      <w:proofErr w:type="spellStart"/>
      <w:r w:rsidR="00DF2C67">
        <w:t>T</w:t>
      </w:r>
      <w:r w:rsidR="00B40573">
        <w:t>o</w:t>
      </w:r>
      <w:r w:rsidR="00DF2C67">
        <w:t>C</w:t>
      </w:r>
      <w:proofErr w:type="spellEnd"/>
      <w:r w:rsidR="006C1271" w:rsidRPr="006C1271">
        <w:t xml:space="preserve"> narrative is under review with the aim of improving overall understanding of Fleming Fund long</w:t>
      </w:r>
      <w:r w:rsidR="00B40573">
        <w:t>-</w:t>
      </w:r>
      <w:r w:rsidR="006C1271" w:rsidRPr="006C1271">
        <w:t>term outcomes and impact on tackling global AMR.</w:t>
      </w:r>
    </w:p>
    <w:p w14:paraId="1D5DD14D" w14:textId="77777777" w:rsidR="006C1271" w:rsidRPr="0063379E" w:rsidRDefault="006C1271" w:rsidP="003D1A62"/>
    <w:p w14:paraId="65F8072D" w14:textId="77777777" w:rsidR="00DC7D4D" w:rsidRDefault="00845B20" w:rsidP="00DC7D4D">
      <w:pPr>
        <w:pStyle w:val="Heading3"/>
      </w:pPr>
      <w:r>
        <w:t>Delivery against planned timeframe</w:t>
      </w:r>
    </w:p>
    <w:p w14:paraId="751E8350" w14:textId="1EA83706" w:rsidR="006C1271" w:rsidRPr="006C1271" w:rsidRDefault="006C1271" w:rsidP="00D46652">
      <w:pPr>
        <w:pStyle w:val="ParagraphText-unnumbered"/>
      </w:pPr>
      <w:r w:rsidRPr="006C1271">
        <w:t>The C</w:t>
      </w:r>
      <w:r w:rsidR="00C931C1">
        <w:t>OVID-19</w:t>
      </w:r>
      <w:r w:rsidRPr="006C1271">
        <w:t xml:space="preserve"> pandemic adversely affected delivery in all Fleming Fund countries</w:t>
      </w:r>
      <w:r w:rsidR="00A74E0C">
        <w:t xml:space="preserve"> as detailed throughout this review</w:t>
      </w:r>
      <w:r w:rsidRPr="006C1271">
        <w:t xml:space="preserve">. At the start of the year, progress against </w:t>
      </w:r>
      <w:r>
        <w:t xml:space="preserve">the </w:t>
      </w:r>
      <w:r w:rsidRPr="006C1271">
        <w:t>project work p</w:t>
      </w:r>
      <w:r>
        <w:t>l</w:t>
      </w:r>
      <w:r w:rsidRPr="006C1271">
        <w:t>an was largely on track</w:t>
      </w:r>
      <w:r w:rsidR="008274D2">
        <w:t xml:space="preserve">. </w:t>
      </w:r>
      <w:r w:rsidRPr="006C1271">
        <w:t xml:space="preserve">Both </w:t>
      </w:r>
      <w:r w:rsidR="009041F6">
        <w:t>Mott MacDonald</w:t>
      </w:r>
      <w:r w:rsidRPr="006C1271">
        <w:t xml:space="preserve"> teams and grantees initiated various</w:t>
      </w:r>
      <w:r>
        <w:t xml:space="preserve"> alternative</w:t>
      </w:r>
      <w:r w:rsidRPr="006C1271">
        <w:t xml:space="preserve"> processes such as remote working</w:t>
      </w:r>
      <w:r w:rsidR="008274D2">
        <w:t xml:space="preserve">. </w:t>
      </w:r>
      <w:r w:rsidRPr="006C1271">
        <w:t>In addition, signature delays to M</w:t>
      </w:r>
      <w:r w:rsidR="004519FE">
        <w:t xml:space="preserve">emoranda </w:t>
      </w:r>
      <w:proofErr w:type="spellStart"/>
      <w:r w:rsidR="00B40573">
        <w:t>o</w:t>
      </w:r>
      <w:r w:rsidR="004519FE">
        <w:t>f</w:t>
      </w:r>
      <w:r w:rsidRPr="006C1271">
        <w:t>U</w:t>
      </w:r>
      <w:r w:rsidR="004519FE">
        <w:t>nderstanding</w:t>
      </w:r>
      <w:proofErr w:type="spellEnd"/>
      <w:r w:rsidR="00800FDF">
        <w:t xml:space="preserve">, largely due to </w:t>
      </w:r>
      <w:proofErr w:type="spellStart"/>
      <w:r w:rsidR="00800FDF">
        <w:t>bandwith</w:t>
      </w:r>
      <w:proofErr w:type="spellEnd"/>
      <w:r w:rsidR="00800FDF">
        <w:t xml:space="preserve"> in country,</w:t>
      </w:r>
      <w:r w:rsidRPr="006C1271">
        <w:t xml:space="preserve"> with </w:t>
      </w:r>
      <w:r w:rsidR="0013002E">
        <w:t xml:space="preserve">5 countries in South and South East Asia </w:t>
      </w:r>
      <w:r w:rsidRPr="006C1271">
        <w:t xml:space="preserve">prevented </w:t>
      </w:r>
      <w:r>
        <w:t>progress</w:t>
      </w:r>
      <w:r w:rsidRPr="006C1271">
        <w:t xml:space="preserve">. </w:t>
      </w:r>
    </w:p>
    <w:p w14:paraId="5EDEDFF8" w14:textId="31D63B45" w:rsidR="006C1271" w:rsidRPr="006C1271" w:rsidRDefault="006C1271" w:rsidP="00D46652">
      <w:pPr>
        <w:pStyle w:val="ParagraphText-unnumbered"/>
      </w:pPr>
      <w:r w:rsidRPr="006C1271">
        <w:t xml:space="preserve">In the latter part of the year, </w:t>
      </w:r>
      <w:r w:rsidR="008274D2">
        <w:t xml:space="preserve">progress was made </w:t>
      </w:r>
      <w:r w:rsidRPr="006C1271">
        <w:t xml:space="preserve">with </w:t>
      </w:r>
      <w:r>
        <w:t>6</w:t>
      </w:r>
      <w:r w:rsidRPr="006C1271">
        <w:t xml:space="preserve"> </w:t>
      </w:r>
      <w:r w:rsidR="00432127">
        <w:t xml:space="preserve">new </w:t>
      </w:r>
      <w:r w:rsidRPr="006C1271">
        <w:t xml:space="preserve">first country grants agreements signed. Professional Fellowships were rolled out in 19 countries out of a target of 20 and </w:t>
      </w:r>
      <w:r w:rsidR="00B40573">
        <w:t>3</w:t>
      </w:r>
      <w:r w:rsidR="00B40573" w:rsidRPr="006C1271">
        <w:t xml:space="preserve"> </w:t>
      </w:r>
      <w:r w:rsidRPr="006C1271">
        <w:t xml:space="preserve">second country grants agreements </w:t>
      </w:r>
      <w:r w:rsidR="00432127">
        <w:t>were</w:t>
      </w:r>
      <w:r w:rsidR="00432127" w:rsidRPr="006C1271">
        <w:t xml:space="preserve"> </w:t>
      </w:r>
      <w:r w:rsidRPr="006C1271">
        <w:t xml:space="preserve">signed out of the 12 planned for the year. </w:t>
      </w:r>
    </w:p>
    <w:p w14:paraId="4C07A3A8" w14:textId="1B32692E" w:rsidR="006C1271" w:rsidRPr="006C1271" w:rsidRDefault="006C1271" w:rsidP="00D46652">
      <w:pPr>
        <w:pStyle w:val="ParagraphText-unnumbered"/>
      </w:pPr>
      <w:r w:rsidRPr="006C1271">
        <w:t xml:space="preserve">As the Fellowships have been the most affected by COVID-19, further discussions are ongoing between DHSC and </w:t>
      </w:r>
      <w:r w:rsidR="009041F6">
        <w:t>M</w:t>
      </w:r>
      <w:r w:rsidR="004519FE">
        <w:t xml:space="preserve">ott </w:t>
      </w:r>
      <w:r w:rsidR="009041F6">
        <w:t>M</w:t>
      </w:r>
      <w:r w:rsidR="004519FE">
        <w:t>acDonald</w:t>
      </w:r>
      <w:r w:rsidRPr="006C1271">
        <w:t xml:space="preserve"> to establish what changes can be made to minimise the impact of the pandemic on Fellows in 2021</w:t>
      </w:r>
      <w:r>
        <w:t xml:space="preserve"> and to measure the quality of the alternative approach to activities. </w:t>
      </w:r>
    </w:p>
    <w:p w14:paraId="456A77E5" w14:textId="77777777" w:rsidR="00845B20" w:rsidRDefault="00845B20" w:rsidP="003D1A62"/>
    <w:p w14:paraId="4301DBD3" w14:textId="2BDBEF60" w:rsidR="00C04C05" w:rsidRDefault="00845B20" w:rsidP="00C04C05">
      <w:pPr>
        <w:pStyle w:val="Heading3"/>
      </w:pPr>
      <w:r>
        <w:t>Performance of partnerships</w:t>
      </w:r>
      <w:r w:rsidR="00FA5B5E">
        <w:t xml:space="preserve"> </w:t>
      </w:r>
    </w:p>
    <w:p w14:paraId="2F7AF0B2" w14:textId="4C228035" w:rsidR="0013002E" w:rsidRPr="0013002E" w:rsidRDefault="0013002E" w:rsidP="00412578">
      <w:pPr>
        <w:pStyle w:val="ParagraphText-unnumbered"/>
      </w:pPr>
      <w:r>
        <w:t xml:space="preserve">The Fleming Fund has a wide range of delivery partners including the multilaterals, NGOs, university institutions and private sector companies. </w:t>
      </w:r>
    </w:p>
    <w:p w14:paraId="502444A3" w14:textId="5E5ECCDD" w:rsidR="00187161" w:rsidRDefault="00C04C05" w:rsidP="00D46652">
      <w:pPr>
        <w:pStyle w:val="ParagraphText-unnumbered"/>
      </w:pPr>
      <w:r>
        <w:t>R</w:t>
      </w:r>
      <w:r w:rsidRPr="00C04C05">
        <w:t>elationship</w:t>
      </w:r>
      <w:r>
        <w:t>s</w:t>
      </w:r>
      <w:r w:rsidRPr="00C04C05">
        <w:t xml:space="preserve"> with key partners</w:t>
      </w:r>
      <w:r>
        <w:t xml:space="preserve"> have been</w:t>
      </w:r>
      <w:r w:rsidRPr="00C04C05">
        <w:t xml:space="preserve"> strengthen</w:t>
      </w:r>
      <w:r>
        <w:t>ed</w:t>
      </w:r>
      <w:r w:rsidRPr="00C04C05">
        <w:t xml:space="preserve"> during the year </w:t>
      </w:r>
      <w:r>
        <w:t xml:space="preserve">and have </w:t>
      </w:r>
      <w:r w:rsidRPr="00C04C05">
        <w:t>played a key role in driving delivery of activities across the Fleming Fund pro</w:t>
      </w:r>
      <w:r w:rsidR="004519FE">
        <w:t>gramme</w:t>
      </w:r>
      <w:r w:rsidRPr="00C04C05">
        <w:t>.</w:t>
      </w:r>
      <w:r w:rsidR="009F0185">
        <w:t xml:space="preserve"> M</w:t>
      </w:r>
      <w:r w:rsidRPr="00C04C05">
        <w:t xml:space="preserve">itigating action </w:t>
      </w:r>
      <w:r>
        <w:t xml:space="preserve">agreed and </w:t>
      </w:r>
      <w:r w:rsidRPr="00C04C05">
        <w:t xml:space="preserve">taken by </w:t>
      </w:r>
      <w:r w:rsidR="009041F6">
        <w:t>Mott MacDonald</w:t>
      </w:r>
      <w:r w:rsidRPr="00C04C05">
        <w:t xml:space="preserve"> and the </w:t>
      </w:r>
      <w:r>
        <w:t xml:space="preserve">Fleming Fund </w:t>
      </w:r>
      <w:r w:rsidR="0062083D">
        <w:t>t</w:t>
      </w:r>
      <w:r w:rsidRPr="00C04C05">
        <w:t xml:space="preserve">eam to </w:t>
      </w:r>
      <w:r w:rsidR="00CA6CA5">
        <w:t>manage</w:t>
      </w:r>
      <w:r w:rsidRPr="00C04C05">
        <w:t xml:space="preserve"> the impact of the </w:t>
      </w:r>
      <w:r w:rsidR="009F0185">
        <w:t xml:space="preserve">COVID-19 </w:t>
      </w:r>
      <w:r w:rsidRPr="00C04C05">
        <w:t xml:space="preserve">pandemic largely ensured that progress was made. </w:t>
      </w:r>
      <w:r w:rsidR="006B63B4">
        <w:t xml:space="preserve">Partners worked quickly to capitalise on </w:t>
      </w:r>
      <w:r w:rsidR="006B63B4" w:rsidRPr="00C04C05">
        <w:t>synergies between the infection prevention activities related to COVID</w:t>
      </w:r>
      <w:r w:rsidR="00530B22">
        <w:t>-19</w:t>
      </w:r>
      <w:r w:rsidR="006B63B4" w:rsidRPr="00C04C05">
        <w:t xml:space="preserve"> and AMR, </w:t>
      </w:r>
      <w:r w:rsidR="006B63B4">
        <w:t xml:space="preserve">which </w:t>
      </w:r>
      <w:r w:rsidR="006B63B4" w:rsidRPr="00C04C05">
        <w:t>represent an opportunity in the long run for AMR</w:t>
      </w:r>
      <w:r w:rsidR="006B63B4">
        <w:t xml:space="preserve"> work</w:t>
      </w:r>
      <w:r w:rsidR="006B63B4" w:rsidRPr="00C04C05">
        <w:t xml:space="preserve">. </w:t>
      </w:r>
    </w:p>
    <w:p w14:paraId="18FE0742" w14:textId="28272452" w:rsidR="00C04C05" w:rsidRPr="00C04C05" w:rsidRDefault="006E0B56" w:rsidP="00D46652">
      <w:pPr>
        <w:pStyle w:val="ParagraphText-unnumbered"/>
      </w:pPr>
      <w:r>
        <w:t>Where necessary,</w:t>
      </w:r>
      <w:r w:rsidR="00C04C05" w:rsidRPr="00C04C05">
        <w:t xml:space="preserve"> </w:t>
      </w:r>
      <w:r w:rsidR="00C04C05">
        <w:t xml:space="preserve">the </w:t>
      </w:r>
      <w:r w:rsidR="00C04C05" w:rsidRPr="00C04C05">
        <w:t xml:space="preserve">Fleming Fund </w:t>
      </w:r>
      <w:r w:rsidR="00C04C05">
        <w:t xml:space="preserve">team </w:t>
      </w:r>
      <w:r w:rsidR="00C04C05" w:rsidRPr="00C04C05">
        <w:t xml:space="preserve">and </w:t>
      </w:r>
      <w:r w:rsidR="009041F6">
        <w:t>M</w:t>
      </w:r>
      <w:r w:rsidR="004519FE">
        <w:t xml:space="preserve">ott </w:t>
      </w:r>
      <w:r w:rsidR="009041F6">
        <w:t>M</w:t>
      </w:r>
      <w:r w:rsidR="004519FE">
        <w:t>acDonald</w:t>
      </w:r>
      <w:r w:rsidR="00C04C05">
        <w:t xml:space="preserve"> </w:t>
      </w:r>
      <w:r w:rsidR="00C04C05" w:rsidRPr="00C04C05">
        <w:t xml:space="preserve">have </w:t>
      </w:r>
      <w:r w:rsidR="004519FE">
        <w:t>revised</w:t>
      </w:r>
      <w:r w:rsidR="00C04C05" w:rsidRPr="00C04C05">
        <w:t xml:space="preserve"> the scope of the pro</w:t>
      </w:r>
      <w:r w:rsidR="004519FE">
        <w:t>gramme's</w:t>
      </w:r>
      <w:r w:rsidR="00C04C05" w:rsidRPr="00C04C05">
        <w:t xml:space="preserve"> activity in</w:t>
      </w:r>
      <w:r w:rsidR="00B63352">
        <w:t>-</w:t>
      </w:r>
      <w:r w:rsidR="00C04C05" w:rsidRPr="00C04C05">
        <w:t xml:space="preserve">country </w:t>
      </w:r>
      <w:r w:rsidR="004519FE">
        <w:t>to cater to the</w:t>
      </w:r>
      <w:r w:rsidR="00C04C05" w:rsidRPr="00C04C05">
        <w:t xml:space="preserve"> technical </w:t>
      </w:r>
      <w:proofErr w:type="gramStart"/>
      <w:r w:rsidR="00C04C05" w:rsidRPr="00C04C05">
        <w:t>ability</w:t>
      </w:r>
      <w:r w:rsidR="004519FE">
        <w:t xml:space="preserve"> </w:t>
      </w:r>
      <w:r w:rsidR="00C04C05" w:rsidRPr="00C04C05">
        <w:t xml:space="preserve"> </w:t>
      </w:r>
      <w:r>
        <w:t>available</w:t>
      </w:r>
      <w:proofErr w:type="gramEnd"/>
      <w:r w:rsidR="00C04C05" w:rsidRPr="00C04C05">
        <w:t xml:space="preserve"> to improv</w:t>
      </w:r>
      <w:r w:rsidR="004519FE">
        <w:t>e</w:t>
      </w:r>
      <w:r w:rsidR="00C04C05" w:rsidRPr="00C04C05">
        <w:t xml:space="preserve"> local skills. In Senegal and Sierra Leone, where grant placement proved difficult, </w:t>
      </w:r>
      <w:r>
        <w:t>separate grants were placed for</w:t>
      </w:r>
      <w:r w:rsidR="00C04C05" w:rsidRPr="00C04C05">
        <w:t xml:space="preserve"> human health and animal health. In both cases, the scope of in</w:t>
      </w:r>
      <w:r w:rsidR="00C04C05">
        <w:t>-</w:t>
      </w:r>
      <w:r w:rsidR="00C04C05" w:rsidRPr="00C04C05">
        <w:t xml:space="preserve">country project activity was adapted with both </w:t>
      </w:r>
      <w:r>
        <w:t>UK government</w:t>
      </w:r>
      <w:r w:rsidRPr="00C04C05">
        <w:t xml:space="preserve"> </w:t>
      </w:r>
      <w:r w:rsidR="00C04C05" w:rsidRPr="00C04C05">
        <w:t xml:space="preserve">and national </w:t>
      </w:r>
      <w:r w:rsidR="00C04C05">
        <w:t>g</w:t>
      </w:r>
      <w:r w:rsidR="00C04C05" w:rsidRPr="00C04C05">
        <w:t>overnment partners</w:t>
      </w:r>
      <w:r w:rsidR="00C04C05">
        <w:t xml:space="preserve">, </w:t>
      </w:r>
      <w:r w:rsidR="00C04C05" w:rsidRPr="00C04C05">
        <w:t xml:space="preserve">to ensure that suitable grantees </w:t>
      </w:r>
      <w:r>
        <w:t>could be found</w:t>
      </w:r>
      <w:r w:rsidR="00C04C05" w:rsidRPr="00C04C05">
        <w:t xml:space="preserve">. </w:t>
      </w:r>
    </w:p>
    <w:p w14:paraId="74128F7D" w14:textId="34B364CB" w:rsidR="00C04C05" w:rsidRPr="00C04C05" w:rsidRDefault="00C04C05" w:rsidP="00D46652">
      <w:pPr>
        <w:pStyle w:val="ParagraphText-unnumbered"/>
      </w:pPr>
      <w:r w:rsidRPr="00C04C05">
        <w:t>The Fleming Fund is learning and applying lessons from partners</w:t>
      </w:r>
      <w:r w:rsidR="00A37F1C">
        <w:t>'</w:t>
      </w:r>
      <w:r w:rsidRPr="00C04C05">
        <w:t xml:space="preserve"> experience. Partners report on challenges and lessons learnt as part of quarterly or biannual reporting mechanisms. </w:t>
      </w:r>
      <w:r w:rsidR="009041F6">
        <w:t>M</w:t>
      </w:r>
      <w:r w:rsidR="006E0B56">
        <w:t xml:space="preserve">ott </w:t>
      </w:r>
      <w:r w:rsidR="009041F6">
        <w:t>M</w:t>
      </w:r>
      <w:r w:rsidR="006E0B56">
        <w:t>acDonald</w:t>
      </w:r>
      <w:r w:rsidRPr="00C04C05">
        <w:t xml:space="preserve"> also holds a </w:t>
      </w:r>
      <w:r w:rsidR="006E0B56">
        <w:t>P</w:t>
      </w:r>
      <w:r w:rsidRPr="00C04C05">
        <w:t xml:space="preserve">rogramme </w:t>
      </w:r>
      <w:r w:rsidR="006E0B56">
        <w:t>L</w:t>
      </w:r>
      <w:r w:rsidRPr="00C04C05">
        <w:t xml:space="preserve">earning </w:t>
      </w:r>
      <w:r w:rsidR="006E0B56">
        <w:t>L</w:t>
      </w:r>
      <w:r w:rsidRPr="00C04C05">
        <w:t xml:space="preserve">og to capture lessons learnt in different countries, which are then </w:t>
      </w:r>
      <w:r w:rsidR="006E0B56">
        <w:t>shared</w:t>
      </w:r>
      <w:r w:rsidRPr="00C04C05">
        <w:t xml:space="preserve"> across the </w:t>
      </w:r>
      <w:r w:rsidR="006E0B56">
        <w:t>to</w:t>
      </w:r>
      <w:r w:rsidRPr="00C04C05">
        <w:t xml:space="preserve"> contribute to learning in other countries. </w:t>
      </w:r>
      <w:proofErr w:type="gramStart"/>
      <w:r w:rsidRPr="00C04C05">
        <w:t xml:space="preserve">The 2020 Delivery Partners </w:t>
      </w:r>
      <w:r w:rsidR="0062083D">
        <w:t>E</w:t>
      </w:r>
      <w:r w:rsidRPr="00C04C05">
        <w:t>vent</w:t>
      </w:r>
      <w:r w:rsidR="0062083D">
        <w:t>,</w:t>
      </w:r>
      <w:proofErr w:type="gramEnd"/>
      <w:r w:rsidR="0062083D">
        <w:t xml:space="preserve"> </w:t>
      </w:r>
      <w:r w:rsidR="00A37F1C">
        <w:t xml:space="preserve">brought </w:t>
      </w:r>
      <w:r w:rsidR="0062083D">
        <w:t xml:space="preserve">together all Fleming Fund partners to coordinate and discuss key </w:t>
      </w:r>
      <w:proofErr w:type="spellStart"/>
      <w:r w:rsidR="0062083D">
        <w:t>issues</w:t>
      </w:r>
      <w:r w:rsidR="00925274">
        <w:t>and</w:t>
      </w:r>
      <w:proofErr w:type="spellEnd"/>
      <w:r w:rsidRPr="00C04C05">
        <w:t xml:space="preserve"> lessons learnt</w:t>
      </w:r>
      <w:r w:rsidR="006E0B56">
        <w:t xml:space="preserve"> with a more diverse range of partners</w:t>
      </w:r>
      <w:r w:rsidRPr="00C04C05">
        <w:t xml:space="preserve">. Examples of lessons learnt and applied in 2020 include the introduction of the West African approach to grant making </w:t>
      </w:r>
      <w:r w:rsidR="00925274">
        <w:t>detailed above</w:t>
      </w:r>
      <w:r w:rsidR="0055406F">
        <w:t>.</w:t>
      </w:r>
      <w:r w:rsidR="00925274">
        <w:t xml:space="preserve"> </w:t>
      </w:r>
      <w:r w:rsidRPr="00C04C05">
        <w:t xml:space="preserve"> Country Co</w:t>
      </w:r>
      <w:r w:rsidR="00DE5714">
        <w:t>-</w:t>
      </w:r>
      <w:r w:rsidRPr="00C04C05">
        <w:t>ordination meetings are now taking place across all Fleming Fund countries following the recognition that alignment of grant streams (</w:t>
      </w:r>
      <w:r w:rsidR="00925274">
        <w:t>and</w:t>
      </w:r>
      <w:r w:rsidRPr="00C04C05">
        <w:t xml:space="preserve"> projects needed improvement.</w:t>
      </w:r>
      <w:r w:rsidR="009F0185" w:rsidRPr="009F0185">
        <w:t xml:space="preserve"> </w:t>
      </w:r>
      <w:r w:rsidR="00925274">
        <w:t>DAI Global, the Fleming Fund country grantee for Pakistan, Indonesia, Bangladesh and Nigeria, are an example of strong coordination as l</w:t>
      </w:r>
      <w:r w:rsidR="009F0185" w:rsidRPr="00C04C05">
        <w:t xml:space="preserve">inkages and communication have been established </w:t>
      </w:r>
      <w:r w:rsidR="009F0185">
        <w:t>between</w:t>
      </w:r>
      <w:r w:rsidR="009F0185" w:rsidRPr="00C04C05">
        <w:t xml:space="preserve"> these countries</w:t>
      </w:r>
      <w:r w:rsidR="009F0185">
        <w:t>.</w:t>
      </w:r>
    </w:p>
    <w:p w14:paraId="63F0386C" w14:textId="4ADD27C5" w:rsidR="0013002E" w:rsidRDefault="00C04C05" w:rsidP="00D46652">
      <w:pPr>
        <w:pStyle w:val="ParagraphText-unnumbered"/>
      </w:pPr>
      <w:r w:rsidRPr="00C04C05">
        <w:t xml:space="preserve">WHO have continued to work to a high standard in </w:t>
      </w:r>
      <w:proofErr w:type="gramStart"/>
      <w:r w:rsidRPr="00C04C05">
        <w:t>2020.</w:t>
      </w:r>
      <w:proofErr w:type="gramEnd"/>
      <w:r w:rsidRPr="00C04C05">
        <w:t xml:space="preserve"> As part of the </w:t>
      </w:r>
      <w:r w:rsidR="00925274">
        <w:t xml:space="preserve">SF </w:t>
      </w:r>
      <w:r w:rsidRPr="00C04C05">
        <w:t>Medicines grant, WHO have consistently monitored and adapted activities to mitigate against disruption.</w:t>
      </w:r>
      <w:r w:rsidR="00432127">
        <w:t xml:space="preserve"> </w:t>
      </w:r>
      <w:r w:rsidRPr="00C04C05">
        <w:t>The approach to the Smartphone Application workstream has also changed to ensure greater country ownership of data and the platform</w:t>
      </w:r>
      <w:r w:rsidR="006B63B4">
        <w:t>.</w:t>
      </w:r>
    </w:p>
    <w:p w14:paraId="7F9685AE" w14:textId="77777777" w:rsidR="0013002E" w:rsidRPr="0013002E" w:rsidRDefault="0013002E" w:rsidP="00D46652">
      <w:pPr>
        <w:pStyle w:val="ParagraphText-unnumbered"/>
      </w:pPr>
      <w:r w:rsidRPr="0013002E">
        <w:t xml:space="preserve">FIND also experienced disruption due to travel restrictions which prevented key staff from conducting laboratory work and prevented samples from being transported across borders. The approach was adapted to share analysis between laboratories in Oxford, UK and Bangkok, Thailand with samples analysed in the UK to mitigate against further delays and uncertainty. </w:t>
      </w:r>
    </w:p>
    <w:p w14:paraId="278CE998" w14:textId="77777777" w:rsidR="00845B20" w:rsidRDefault="00845B20" w:rsidP="003D1A62"/>
    <w:p w14:paraId="6C8D3EC8" w14:textId="16937856" w:rsidR="00845B20" w:rsidRDefault="00845B20" w:rsidP="009809D5">
      <w:pPr>
        <w:pStyle w:val="Heading3"/>
      </w:pPr>
      <w:r>
        <w:t>Asset monitoring and control</w:t>
      </w:r>
      <w:r w:rsidR="00FA5B5E">
        <w:t xml:space="preserve"> </w:t>
      </w:r>
    </w:p>
    <w:p w14:paraId="3F09702B" w14:textId="7BA5B22B" w:rsidR="009809D5" w:rsidRDefault="009809D5" w:rsidP="00D46652">
      <w:pPr>
        <w:pStyle w:val="ParagraphText-unnumbered"/>
      </w:pPr>
      <w:r w:rsidRPr="009809D5">
        <w:t>During 2020</w:t>
      </w:r>
      <w:r w:rsidR="0062083D">
        <w:t>, the</w:t>
      </w:r>
      <w:r w:rsidRPr="009809D5">
        <w:t xml:space="preserve"> Fleming Fund refined its asset management and control policy. This proved quite timely as it came into effect with several </w:t>
      </w:r>
      <w:r w:rsidR="00925274">
        <w:t>country grants</w:t>
      </w:r>
      <w:r w:rsidR="00925274" w:rsidRPr="009809D5">
        <w:t xml:space="preserve"> </w:t>
      </w:r>
      <w:r w:rsidRPr="009809D5">
        <w:t>coming to conclusion e.g. Ghana C</w:t>
      </w:r>
      <w:r w:rsidR="0055406F">
        <w:t xml:space="preserve">ountry </w:t>
      </w:r>
      <w:r w:rsidRPr="009809D5">
        <w:t>G</w:t>
      </w:r>
      <w:r w:rsidR="0055406F">
        <w:t xml:space="preserve">rant </w:t>
      </w:r>
      <w:r w:rsidRPr="009809D5">
        <w:t xml:space="preserve">1. </w:t>
      </w:r>
      <w:r>
        <w:t>The p</w:t>
      </w:r>
      <w:r w:rsidRPr="009809D5">
        <w:t xml:space="preserve">rimary change was </w:t>
      </w:r>
      <w:r w:rsidR="00A37F1C">
        <w:t>instituting</w:t>
      </w:r>
      <w:r w:rsidRPr="009809D5">
        <w:t xml:space="preserve"> processes for tracking assets handed over to country governments. The policy include</w:t>
      </w:r>
      <w:r w:rsidR="00CA1495">
        <w:t>s</w:t>
      </w:r>
      <w:r w:rsidRPr="009809D5">
        <w:t xml:space="preserve"> mandatory tagging of assets prior to handover so that they can be tracked and identified to have come from </w:t>
      </w:r>
      <w:r>
        <w:t xml:space="preserve">the </w:t>
      </w:r>
      <w:r w:rsidRPr="009809D5">
        <w:t>F</w:t>
      </w:r>
      <w:r>
        <w:t xml:space="preserve">leming </w:t>
      </w:r>
      <w:r w:rsidRPr="009809D5">
        <w:t>F</w:t>
      </w:r>
      <w:r>
        <w:t>und</w:t>
      </w:r>
      <w:r w:rsidRPr="009809D5">
        <w:t xml:space="preserve"> project. Residual value of assets was highlighted in the policy to ensure that grantees take into consideration depreciation value of assets and disposal where they fall below allotted value and type of asset prior to disposal. In the case of capital assets such as valuable lab equipment transferred to the national </w:t>
      </w:r>
      <w:r w:rsidR="00A37F1C">
        <w:t>g</w:t>
      </w:r>
      <w:r w:rsidRPr="009809D5">
        <w:t>overnments, confirmation that the equipment</w:t>
      </w:r>
      <w:r w:rsidR="00A37F1C">
        <w:t xml:space="preserve"> </w:t>
      </w:r>
      <w:r w:rsidRPr="009809D5">
        <w:t xml:space="preserve">will be installed and used for the right purposes (AMR surveillance work) was included within the policy. This confirmation forms part of the handover document letter that national </w:t>
      </w:r>
      <w:r w:rsidR="00A37F1C">
        <w:t>g</w:t>
      </w:r>
      <w:r w:rsidRPr="009809D5">
        <w:t xml:space="preserve">overnments will be required to provide to the Fleming Fund via </w:t>
      </w:r>
      <w:r w:rsidR="009041F6">
        <w:t>M</w:t>
      </w:r>
      <w:r w:rsidR="0055406F">
        <w:t xml:space="preserve">ott </w:t>
      </w:r>
      <w:r w:rsidR="009041F6">
        <w:t>M</w:t>
      </w:r>
      <w:r w:rsidR="0055406F">
        <w:t>acDonald</w:t>
      </w:r>
      <w:r w:rsidRPr="009809D5">
        <w:t xml:space="preserve"> who holds the asset register. By reinforcing its asset management </w:t>
      </w:r>
      <w:r w:rsidR="002B561A" w:rsidRPr="009809D5">
        <w:t>policy,</w:t>
      </w:r>
      <w:r w:rsidRPr="009809D5">
        <w:t xml:space="preserve"> </w:t>
      </w:r>
      <w:r>
        <w:t xml:space="preserve">the </w:t>
      </w:r>
      <w:r w:rsidRPr="009809D5">
        <w:t xml:space="preserve">Fleming Fund has contributed to effective monitoring of project assets during the year as various country grants </w:t>
      </w:r>
      <w:r w:rsidR="00A37F1C">
        <w:t xml:space="preserve">come to an end. </w:t>
      </w:r>
    </w:p>
    <w:p w14:paraId="0ACD4208" w14:textId="0A82B743" w:rsidR="0063379E" w:rsidRPr="00845B20" w:rsidRDefault="0063379E" w:rsidP="0063379E">
      <w:pPr>
        <w:pStyle w:val="Heading2"/>
      </w:pPr>
      <w:r>
        <w:t xml:space="preserve">Financial performance </w:t>
      </w:r>
    </w:p>
    <w:p w14:paraId="01AE7E6A" w14:textId="14A38184" w:rsidR="00845B20" w:rsidRDefault="0063379E" w:rsidP="0063379E">
      <w:pPr>
        <w:pStyle w:val="Heading3"/>
      </w:pPr>
      <w:r>
        <w:t>Value for money</w:t>
      </w:r>
      <w:r w:rsidR="00860943">
        <w:t xml:space="preserve"> (VFM)</w:t>
      </w:r>
      <w:r>
        <w:t xml:space="preserve"> assessment</w:t>
      </w:r>
    </w:p>
    <w:p w14:paraId="49849B27" w14:textId="73174FD6" w:rsidR="00EC1143" w:rsidRDefault="009809D5" w:rsidP="00D46652">
      <w:pPr>
        <w:pStyle w:val="ParagraphText-unnumbered"/>
      </w:pPr>
      <w:r w:rsidRPr="009809D5">
        <w:t xml:space="preserve">The Fleming Fund continues to maintain strong cost controls in place at all levels of delivery (DHSC, </w:t>
      </w:r>
      <w:r w:rsidR="009041F6">
        <w:t>Mott MacDonald</w:t>
      </w:r>
      <w:r w:rsidRPr="009809D5">
        <w:t xml:space="preserve"> and at </w:t>
      </w:r>
      <w:r w:rsidR="0055406F">
        <w:t>g</w:t>
      </w:r>
      <w:r w:rsidRPr="009809D5">
        <w:t xml:space="preserve">rantee level) supporting </w:t>
      </w:r>
      <w:r w:rsidR="00860943">
        <w:t>VFM</w:t>
      </w:r>
      <w:r w:rsidRPr="009809D5">
        <w:t xml:space="preserve"> (See </w:t>
      </w:r>
      <w:hyperlink r:id="rId39" w:history="1">
        <w:r w:rsidRPr="00283999">
          <w:rPr>
            <w:rStyle w:val="Hyperlink"/>
          </w:rPr>
          <w:t>2019 Annual Report</w:t>
        </w:r>
      </w:hyperlink>
      <w:r w:rsidRPr="009809D5">
        <w:t xml:space="preserve">). </w:t>
      </w:r>
    </w:p>
    <w:p w14:paraId="7C6BB469" w14:textId="787AAF79" w:rsidR="00EC1143" w:rsidRDefault="00EC1143" w:rsidP="00D46652">
      <w:pPr>
        <w:pStyle w:val="ParagraphText-unnumbered"/>
      </w:pPr>
      <w:r>
        <w:t xml:space="preserve">For </w:t>
      </w:r>
      <w:r w:rsidR="009041F6">
        <w:t>Mott MacDonald</w:t>
      </w:r>
      <w:r>
        <w:t xml:space="preserve"> thi</w:t>
      </w:r>
      <w:r w:rsidRPr="00EC1143">
        <w:t>s is carried out principally through three instruments: (1) country grantees’ returns in quarterly reporting; (2) grant reviews; and (3) three Deep Dive studies on selected VFM topics of interest</w:t>
      </w:r>
      <w:r>
        <w:t xml:space="preserve">. These are: </w:t>
      </w:r>
    </w:p>
    <w:p w14:paraId="37DDF89F" w14:textId="605EABEB" w:rsidR="00EC1143" w:rsidRDefault="00EC1143" w:rsidP="00D46652">
      <w:pPr>
        <w:pStyle w:val="Bullet-numberedlist"/>
      </w:pPr>
      <w:r>
        <w:t xml:space="preserve"> </w:t>
      </w:r>
      <w:r w:rsidRPr="00EC1143">
        <w:t>Managing for Effectiveness</w:t>
      </w:r>
    </w:p>
    <w:p w14:paraId="3DF524A8" w14:textId="42569145" w:rsidR="00EC1143" w:rsidRDefault="00EC1143" w:rsidP="00D46652">
      <w:pPr>
        <w:pStyle w:val="Bullet-numberedlist"/>
      </w:pPr>
      <w:r>
        <w:t xml:space="preserve"> </w:t>
      </w:r>
      <w:r w:rsidRPr="00EC1143">
        <w:t>Foundations for Costing and Benefit Identification of National AMR Surveillance</w:t>
      </w:r>
    </w:p>
    <w:p w14:paraId="057F8478" w14:textId="0E0FEA7F" w:rsidR="00EC1143" w:rsidRDefault="00EC1143" w:rsidP="00D46652">
      <w:pPr>
        <w:pStyle w:val="Bullet-numberedlist"/>
      </w:pPr>
      <w:r>
        <w:t>TBC: P</w:t>
      </w:r>
      <w:r w:rsidRPr="00EC1143">
        <w:t>rocurement of equipment and consumables</w:t>
      </w:r>
    </w:p>
    <w:p w14:paraId="0C1B9CBC" w14:textId="1A5895D1" w:rsidR="00EC1143" w:rsidRDefault="00EC1143" w:rsidP="00D46652">
      <w:pPr>
        <w:pStyle w:val="ParagraphText-unnumbered"/>
      </w:pPr>
    </w:p>
    <w:p w14:paraId="53782B45" w14:textId="4BAA5389" w:rsidR="00EC1143" w:rsidRDefault="00EC1143" w:rsidP="00D46652">
      <w:pPr>
        <w:pStyle w:val="ParagraphText-unnumbered"/>
      </w:pPr>
      <w:r w:rsidRPr="00EC1143">
        <w:t xml:space="preserve">Together, and in combination with </w:t>
      </w:r>
      <w:proofErr w:type="spellStart"/>
      <w:r w:rsidRPr="00EC1143">
        <w:t>I</w:t>
      </w:r>
      <w:r w:rsidR="0009526B">
        <w:t>tad</w:t>
      </w:r>
      <w:r w:rsidRPr="00EC1143">
        <w:t>’s</w:t>
      </w:r>
      <w:proofErr w:type="spellEnd"/>
      <w:r w:rsidRPr="00EC1143">
        <w:t xml:space="preserve"> analysis, these </w:t>
      </w:r>
      <w:r>
        <w:t>are helping</w:t>
      </w:r>
      <w:r w:rsidRPr="00EC1143">
        <w:t xml:space="preserve"> guide programme decision-making (e.g. approach with C</w:t>
      </w:r>
      <w:r w:rsidR="0055406F">
        <w:t xml:space="preserve">ountry </w:t>
      </w:r>
      <w:r w:rsidRPr="00EC1143">
        <w:t>G</w:t>
      </w:r>
      <w:r w:rsidR="0055406F">
        <w:t xml:space="preserve">rant </w:t>
      </w:r>
      <w:r w:rsidRPr="00EC1143">
        <w:t>2 design) as well as informing the Business Case for the second phase of the Fleming Fund.</w:t>
      </w:r>
    </w:p>
    <w:p w14:paraId="53779520" w14:textId="77777777" w:rsidR="009809D5" w:rsidRPr="009809D5" w:rsidRDefault="009809D5" w:rsidP="003D1A62"/>
    <w:p w14:paraId="67010AC6" w14:textId="6389AC4B" w:rsidR="0063379E" w:rsidRDefault="0063379E" w:rsidP="0063379E">
      <w:pPr>
        <w:pStyle w:val="Heading4"/>
      </w:pPr>
      <w:r>
        <w:t>Economy</w:t>
      </w:r>
    </w:p>
    <w:p w14:paraId="10F1D43B" w14:textId="72267332" w:rsidR="002D36E8" w:rsidRDefault="00996C92" w:rsidP="00D46652">
      <w:pPr>
        <w:pStyle w:val="ParagraphText-unnumbered"/>
      </w:pPr>
      <w:bookmarkStart w:id="3" w:name="_Hlk62231790"/>
      <w:r>
        <w:t xml:space="preserve">The 2019 Annual review demonstrated strong cost control measure across the </w:t>
      </w:r>
      <w:proofErr w:type="gramStart"/>
      <w:r>
        <w:t>programme</w:t>
      </w:r>
      <w:proofErr w:type="gramEnd"/>
      <w:r>
        <w:t xml:space="preserve"> and these have continued. </w:t>
      </w:r>
      <w:r w:rsidR="002D36E8" w:rsidRPr="002D36E8">
        <w:t>COVID-19 has seen a distinct shift toward “lower cost” online</w:t>
      </w:r>
      <w:r w:rsidR="004F3ED2">
        <w:t xml:space="preserve"> </w:t>
      </w:r>
      <w:r w:rsidR="002D36E8" w:rsidRPr="002D36E8">
        <w:t>collaboration/workshops/event</w:t>
      </w:r>
      <w:r w:rsidR="00A37F1C">
        <w:t>s</w:t>
      </w:r>
      <w:r w:rsidR="002D36E8" w:rsidRPr="002D36E8">
        <w:t>, which we expect to continue into 2021</w:t>
      </w:r>
      <w:r w:rsidR="00AA5827">
        <w:t>, th</w:t>
      </w:r>
      <w:r w:rsidR="009809D5">
        <w:t>r</w:t>
      </w:r>
      <w:r w:rsidR="00AA5827">
        <w:t>ough sharing of successful adaption measures across grantees</w:t>
      </w:r>
      <w:r w:rsidR="002D36E8" w:rsidRPr="002D36E8">
        <w:t>.</w:t>
      </w:r>
      <w:r w:rsidR="00AA5827">
        <w:t xml:space="preserve"> </w:t>
      </w:r>
      <w:r w:rsidR="002D36E8" w:rsidRPr="002D36E8">
        <w:t xml:space="preserve">The </w:t>
      </w:r>
      <w:r w:rsidR="0062083D">
        <w:t>f</w:t>
      </w:r>
      <w:r w:rsidR="002D36E8" w:rsidRPr="002D36E8">
        <w:t xml:space="preserve">ourth Delivery Partners’ Event was held online costing </w:t>
      </w:r>
      <w:r w:rsidR="009809D5">
        <w:t xml:space="preserve">significantly </w:t>
      </w:r>
      <w:r w:rsidR="002D36E8" w:rsidRPr="002D36E8">
        <w:t xml:space="preserve">less than previous events. </w:t>
      </w:r>
      <w:r w:rsidR="00BE1989">
        <w:t xml:space="preserve">While grantees confirmed that remote </w:t>
      </w:r>
      <w:r w:rsidR="00AF4676">
        <w:t>activities</w:t>
      </w:r>
      <w:r w:rsidR="00BE1989">
        <w:t xml:space="preserve"> </w:t>
      </w:r>
      <w:r w:rsidR="00A37F1C">
        <w:t>were</w:t>
      </w:r>
      <w:r w:rsidR="00BE1989">
        <w:t xml:space="preserve"> successful</w:t>
      </w:r>
      <w:r w:rsidR="00A37F1C">
        <w:t>,</w:t>
      </w:r>
      <w:r w:rsidR="00BE1989">
        <w:t xml:space="preserve"> this was not a long</w:t>
      </w:r>
      <w:r w:rsidR="003F751A">
        <w:t>-</w:t>
      </w:r>
      <w:r w:rsidR="00BE1989">
        <w:t xml:space="preserve">term lower cost solution </w:t>
      </w:r>
      <w:r w:rsidR="00AF4676">
        <w:t>given</w:t>
      </w:r>
      <w:r w:rsidR="00BE1989">
        <w:t xml:space="preserve"> </w:t>
      </w:r>
      <w:r w:rsidR="000365AD">
        <w:t xml:space="preserve">practical </w:t>
      </w:r>
      <w:r w:rsidR="00BE1989">
        <w:t xml:space="preserve">limitations associated with </w:t>
      </w:r>
      <w:r w:rsidR="000365AD">
        <w:t xml:space="preserve">remote monitoring </w:t>
      </w:r>
      <w:r w:rsidR="00AF4676">
        <w:t>(verification)</w:t>
      </w:r>
      <w:r w:rsidR="00BE1989">
        <w:t xml:space="preserve"> and </w:t>
      </w:r>
      <w:r w:rsidR="000365AD">
        <w:t xml:space="preserve">remote </w:t>
      </w:r>
      <w:r w:rsidR="00BE1989">
        <w:t>lab training activities</w:t>
      </w:r>
      <w:r w:rsidR="000365AD">
        <w:t xml:space="preserve"> and the challenges to building relationships/networking</w:t>
      </w:r>
      <w:r w:rsidR="00BE1989">
        <w:t xml:space="preserve">. </w:t>
      </w:r>
      <w:r w:rsidR="000365AD">
        <w:t>There will be scope to consider a "</w:t>
      </w:r>
      <w:r w:rsidR="003F751A">
        <w:t>hybrid</w:t>
      </w:r>
      <w:r w:rsidR="000365AD">
        <w:t xml:space="preserve"> model" which balances the potential for cost saving with quality considerations post COVID-19 restrictions. </w:t>
      </w:r>
    </w:p>
    <w:bookmarkEnd w:id="3"/>
    <w:p w14:paraId="3C5A8C7B" w14:textId="53705B72" w:rsidR="009809D5" w:rsidRDefault="0063379E" w:rsidP="009809D5">
      <w:pPr>
        <w:pStyle w:val="Heading4"/>
      </w:pPr>
      <w:r>
        <w:t>Effic</w:t>
      </w:r>
      <w:r w:rsidR="00FA5B5E">
        <w:t>ien</w:t>
      </w:r>
      <w:r>
        <w:t>cy</w:t>
      </w:r>
      <w:bookmarkStart w:id="4" w:name="_Hlk62231843"/>
    </w:p>
    <w:p w14:paraId="5CF1373F" w14:textId="4CA132EE" w:rsidR="00D4520E" w:rsidRDefault="009809D5" w:rsidP="00D46652">
      <w:pPr>
        <w:pStyle w:val="ParagraphText-unnumbered"/>
      </w:pPr>
      <w:r w:rsidRPr="009809D5">
        <w:t xml:space="preserve">Overall efficiency has been impacted in two main ways.  </w:t>
      </w:r>
    </w:p>
    <w:p w14:paraId="11503206" w14:textId="4F1E394E" w:rsidR="00D4520E" w:rsidRDefault="00D4520E" w:rsidP="00D46652">
      <w:pPr>
        <w:pStyle w:val="ParagraphText-unnumbered"/>
      </w:pPr>
      <w:r>
        <w:t>Firstly, w</w:t>
      </w:r>
      <w:r w:rsidR="009809D5" w:rsidRPr="009809D5">
        <w:t xml:space="preserve">ith a larger number of mature grants in place the ratio of expenditure of programme activities to administrative costs was at its highest level to date. </w:t>
      </w:r>
    </w:p>
    <w:p w14:paraId="122EA520" w14:textId="47A45803" w:rsidR="00432127" w:rsidRPr="009809D5" w:rsidRDefault="00D4520E" w:rsidP="00D46652">
      <w:pPr>
        <w:pStyle w:val="ParagraphText-unnumbered"/>
      </w:pPr>
      <w:r>
        <w:t>Secondly</w:t>
      </w:r>
      <w:r w:rsidR="009809D5" w:rsidRPr="009809D5">
        <w:t>, COVID-19 negatively impacted on this trend meaning that frontline activity was lower than forecast</w:t>
      </w:r>
      <w:r w:rsidR="00187161">
        <w:t>.</w:t>
      </w:r>
      <w:r w:rsidR="009809D5" w:rsidRPr="009809D5">
        <w:t xml:space="preserve"> Grantees swiftly adapted and this ratio improved over the course of the year.</w:t>
      </w:r>
      <w:r w:rsidR="006A3170">
        <w:t xml:space="preserve"> </w:t>
      </w:r>
      <w:r w:rsidR="008274D2">
        <w:t xml:space="preserve">However, delays were inevitable and meant that delivery has been behind expected schedule. </w:t>
      </w:r>
      <w:r w:rsidR="009809D5" w:rsidRPr="009809D5">
        <w:t xml:space="preserve">In 2020 the Fleming Fund extended its review of M&amp;OH </w:t>
      </w:r>
      <w:r w:rsidR="006A3170">
        <w:t xml:space="preserve">(Management and Overhead costs) </w:t>
      </w:r>
      <w:r w:rsidR="009809D5" w:rsidRPr="009809D5">
        <w:t xml:space="preserve">to all Delivery Partners. This demonstrated that while significant variation was present (from 1% to 33% percent) this was only following a robust assessment of the overall offer from the supplier. </w:t>
      </w:r>
    </w:p>
    <w:p w14:paraId="5A26AD95" w14:textId="1E7D8BAD" w:rsidR="00432127" w:rsidRDefault="00996C92" w:rsidP="00D46652">
      <w:pPr>
        <w:pStyle w:val="ParagraphText-unnumbered"/>
      </w:pPr>
      <w:proofErr w:type="spellStart"/>
      <w:r>
        <w:rPr>
          <w:rFonts w:eastAsiaTheme="minorEastAsia"/>
        </w:rPr>
        <w:t>I</w:t>
      </w:r>
      <w:r w:rsidR="0009526B">
        <w:rPr>
          <w:rFonts w:eastAsiaTheme="minorEastAsia"/>
        </w:rPr>
        <w:t>tad</w:t>
      </w:r>
      <w:r>
        <w:rPr>
          <w:rFonts w:eastAsiaTheme="minorEastAsia"/>
        </w:rPr>
        <w:t>'s</w:t>
      </w:r>
      <w:proofErr w:type="spellEnd"/>
      <w:r w:rsidRPr="00996C92">
        <w:rPr>
          <w:rFonts w:eastAsiaTheme="minorEastAsia"/>
        </w:rPr>
        <w:t xml:space="preserve"> analysis suggests the system being rolled out will deliver implementation efficiency (activities), </w:t>
      </w:r>
      <w:r w:rsidR="006A3170">
        <w:rPr>
          <w:rFonts w:eastAsiaTheme="minorEastAsia"/>
        </w:rPr>
        <w:t>although</w:t>
      </w:r>
      <w:r w:rsidRPr="00996C92">
        <w:rPr>
          <w:rFonts w:eastAsiaTheme="minorEastAsia"/>
        </w:rPr>
        <w:t xml:space="preserve"> </w:t>
      </w:r>
      <w:r>
        <w:rPr>
          <w:rFonts w:eastAsiaTheme="minorEastAsia"/>
        </w:rPr>
        <w:t xml:space="preserve">there is not yet supporting evidence for </w:t>
      </w:r>
      <w:r w:rsidRPr="00996C92">
        <w:rPr>
          <w:rFonts w:eastAsiaTheme="minorEastAsia"/>
        </w:rPr>
        <w:t>technical efficiency (outputs).</w:t>
      </w:r>
      <w:r w:rsidR="006A3170">
        <w:rPr>
          <w:rFonts w:eastAsiaTheme="minorEastAsia"/>
        </w:rPr>
        <w:t xml:space="preserve"> This is an area the programme team are continuing to work with </w:t>
      </w:r>
      <w:r w:rsidR="009041F6">
        <w:rPr>
          <w:rFonts w:eastAsiaTheme="minorEastAsia"/>
        </w:rPr>
        <w:t>M</w:t>
      </w:r>
      <w:r w:rsidR="0055406F">
        <w:rPr>
          <w:rFonts w:eastAsiaTheme="minorEastAsia"/>
        </w:rPr>
        <w:t xml:space="preserve">ott </w:t>
      </w:r>
      <w:r w:rsidR="009041F6">
        <w:rPr>
          <w:rFonts w:eastAsiaTheme="minorEastAsia"/>
        </w:rPr>
        <w:t>M</w:t>
      </w:r>
      <w:r w:rsidR="0055406F">
        <w:rPr>
          <w:rFonts w:eastAsiaTheme="minorEastAsia"/>
        </w:rPr>
        <w:t>acDonald</w:t>
      </w:r>
      <w:r w:rsidR="006A3170">
        <w:rPr>
          <w:rFonts w:eastAsiaTheme="minorEastAsia"/>
        </w:rPr>
        <w:t xml:space="preserve"> on.</w:t>
      </w:r>
    </w:p>
    <w:p w14:paraId="10B209DD" w14:textId="41F8B0AF" w:rsidR="00D4520E" w:rsidRDefault="004A6C7A" w:rsidP="00D46652">
      <w:pPr>
        <w:pStyle w:val="ParagraphText-unnumbered"/>
      </w:pPr>
      <w:r>
        <w:t>A</w:t>
      </w:r>
      <w:r w:rsidR="009809D5" w:rsidRPr="009809D5">
        <w:t xml:space="preserve">s the second round of country grants are in the most part continued with existing grantees there is limited scope for </w:t>
      </w:r>
      <w:r>
        <w:t xml:space="preserve">fully </w:t>
      </w:r>
      <w:r w:rsidR="009809D5" w:rsidRPr="009809D5">
        <w:t>revisiting M&amp;OH costs but there will be greater opportunity in the proposed second phase</w:t>
      </w:r>
      <w:r w:rsidR="006A3170">
        <w:t>.</w:t>
      </w:r>
      <w:r w:rsidR="009809D5" w:rsidRPr="009809D5">
        <w:t xml:space="preserve"> </w:t>
      </w:r>
      <w:r w:rsidR="006A3170">
        <w:t>For example, s</w:t>
      </w:r>
      <w:r w:rsidR="006A3170" w:rsidRPr="009809D5">
        <w:t xml:space="preserve">everal grantees hold </w:t>
      </w:r>
      <w:r>
        <w:t xml:space="preserve">multiple </w:t>
      </w:r>
      <w:r w:rsidR="006A3170" w:rsidRPr="009809D5">
        <w:t xml:space="preserve">grants. Where these grants are held in the same region, there is a case for ensuring economies of scale. This should be explored in grants for </w:t>
      </w:r>
      <w:r w:rsidR="006A3170">
        <w:t>Phase II</w:t>
      </w:r>
      <w:r w:rsidR="006A3170" w:rsidRPr="009809D5">
        <w:t xml:space="preserve"> of the Fleming Fund.</w:t>
      </w:r>
    </w:p>
    <w:p w14:paraId="09EFD7C7" w14:textId="7C9F0A27" w:rsidR="00D4520E" w:rsidRDefault="00D4520E" w:rsidP="00D46652">
      <w:pPr>
        <w:pStyle w:val="ParagraphText-unnumbered"/>
      </w:pPr>
      <w:r w:rsidRPr="00D4520E">
        <w:t>T</w:t>
      </w:r>
      <w:r>
        <w:t xml:space="preserve">he chart below </w:t>
      </w:r>
      <w:r w:rsidRPr="00D4520E">
        <w:t xml:space="preserve">evidences the impact of </w:t>
      </w:r>
      <w:r w:rsidR="00A37F1C">
        <w:t>COVID-19</w:t>
      </w:r>
      <w:r w:rsidRPr="00D4520E">
        <w:t xml:space="preserve"> on implementation, with knock on effects for efficiency.  </w:t>
      </w:r>
    </w:p>
    <w:p w14:paraId="2A9F215F" w14:textId="1022B0C3" w:rsidR="006A3170" w:rsidRDefault="00D4520E" w:rsidP="003D1A62">
      <w:r>
        <w:rPr>
          <w:noProof/>
        </w:rPr>
        <w:drawing>
          <wp:anchor distT="0" distB="0" distL="114300" distR="114300" simplePos="0" relativeHeight="251658752" behindDoc="0" locked="0" layoutInCell="1" allowOverlap="1" wp14:anchorId="1C6B69A6" wp14:editId="1DE3D533">
            <wp:simplePos x="0" y="0"/>
            <wp:positionH relativeFrom="margin">
              <wp:align>left</wp:align>
            </wp:positionH>
            <wp:positionV relativeFrom="paragraph">
              <wp:posOffset>211757</wp:posOffset>
            </wp:positionV>
            <wp:extent cx="5848350" cy="2946400"/>
            <wp:effectExtent l="0" t="0" r="0" b="6350"/>
            <wp:wrapTopAndBottom/>
            <wp:docPr id="18" name="Picture 1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fficiency graph.png"/>
                    <pic:cNvPicPr/>
                  </pic:nvPicPr>
                  <pic:blipFill>
                    <a:blip r:embed="rId40">
                      <a:extLst>
                        <a:ext uri="{28A0092B-C50C-407E-A947-70E740481C1C}">
                          <a14:useLocalDpi xmlns:a14="http://schemas.microsoft.com/office/drawing/2010/main" val="0"/>
                        </a:ext>
                      </a:extLst>
                    </a:blip>
                    <a:stretch>
                      <a:fillRect/>
                    </a:stretch>
                  </pic:blipFill>
                  <pic:spPr>
                    <a:xfrm>
                      <a:off x="0" y="0"/>
                      <a:ext cx="5848350" cy="2946400"/>
                    </a:xfrm>
                    <a:prstGeom prst="rect">
                      <a:avLst/>
                    </a:prstGeom>
                  </pic:spPr>
                </pic:pic>
              </a:graphicData>
            </a:graphic>
          </wp:anchor>
        </w:drawing>
      </w:r>
      <w:r w:rsidR="006A3170" w:rsidRPr="009809D5">
        <w:t xml:space="preserve">  </w:t>
      </w:r>
    </w:p>
    <w:p w14:paraId="14F1397A" w14:textId="77777777" w:rsidR="00432127" w:rsidRDefault="00432127" w:rsidP="003D1A62"/>
    <w:p w14:paraId="4066A60C" w14:textId="3F545564" w:rsidR="00BC0EAB" w:rsidRDefault="003F770A" w:rsidP="00D46652">
      <w:pPr>
        <w:pStyle w:val="ParagraphText-unnumbered"/>
      </w:pPr>
      <w:r>
        <w:t>T</w:t>
      </w:r>
      <w:r w:rsidRPr="00D83950">
        <w:t xml:space="preserve">he Fleming Fund team has also reviewed certain grants to ensure </w:t>
      </w:r>
      <w:r w:rsidR="00800FDF">
        <w:t xml:space="preserve">they still represent </w:t>
      </w:r>
      <w:r w:rsidR="00860943">
        <w:t>VFM</w:t>
      </w:r>
      <w:r w:rsidRPr="00D83950">
        <w:t>.</w:t>
      </w:r>
      <w:r>
        <w:t xml:space="preserve"> As a result, t</w:t>
      </w:r>
      <w:r w:rsidRPr="002D36E8">
        <w:t xml:space="preserve">wo grants were stopped where </w:t>
      </w:r>
      <w:r w:rsidR="00800FDF">
        <w:t xml:space="preserve">they did not align with longer term ambition </w:t>
      </w:r>
      <w:r w:rsidRPr="002D36E8">
        <w:t>(FIND grant and C</w:t>
      </w:r>
      <w:r w:rsidR="0055406F">
        <w:t xml:space="preserve">ountry </w:t>
      </w:r>
      <w:r w:rsidRPr="002D36E8">
        <w:t>G</w:t>
      </w:r>
      <w:r w:rsidR="0055406F">
        <w:t xml:space="preserve">rant </w:t>
      </w:r>
      <w:r w:rsidRPr="002D36E8">
        <w:t>1 in Ghana)</w:t>
      </w:r>
      <w:r>
        <w:t>.</w:t>
      </w:r>
      <w:r w:rsidRPr="00D83950">
        <w:t xml:space="preserve"> Instead, </w:t>
      </w:r>
      <w:r w:rsidR="009041F6">
        <w:t>Mott MacDonald</w:t>
      </w:r>
      <w:r w:rsidRPr="00D83950">
        <w:t xml:space="preserve"> is looking into working with FIND on the country grant programme, utilising FIND’s technical expertise to support efficiency of, and coordination between, bacteriology laboratories. These proposed activities include rolling out the</w:t>
      </w:r>
      <w:r w:rsidR="00F4615E">
        <w:t xml:space="preserve"> </w:t>
      </w:r>
      <w:r w:rsidRPr="00D83950">
        <w:t xml:space="preserve">AMR Connectivity project, currently a pilot funded by </w:t>
      </w:r>
      <w:r w:rsidR="0055406F">
        <w:t xml:space="preserve">Global AMR Innovation </w:t>
      </w:r>
      <w:proofErr w:type="gramStart"/>
      <w:r w:rsidR="0055406F">
        <w:t xml:space="preserve">Fund </w:t>
      </w:r>
      <w:r w:rsidRPr="00D83950">
        <w:t>,</w:t>
      </w:r>
      <w:proofErr w:type="gramEnd"/>
      <w:r w:rsidRPr="00D83950">
        <w:t xml:space="preserve"> which would maximise the impact of wider DHSC investment.</w:t>
      </w:r>
      <w:r w:rsidR="00F4615E">
        <w:t xml:space="preserve"> </w:t>
      </w:r>
    </w:p>
    <w:p w14:paraId="5EE6E50B" w14:textId="215CC58E" w:rsidR="009809D5" w:rsidRDefault="009809D5" w:rsidP="00D46652">
      <w:pPr>
        <w:pStyle w:val="ParagraphText-unnumbered"/>
      </w:pPr>
      <w:r w:rsidRPr="009809D5">
        <w:t xml:space="preserve">In response to the recommendation on efficiency in the 2019 VFM report, the Fleming Fund Team developed a tool for collation and assessment of M&amp;OH and Indirect Costs (IDC) costs of all Fleming Fund grants. The tool facilitates comparison and analysis of the cost and provide effective visualisation of cost differences and trends across grants, grantees and regions. It shows that there are currently wide variations on M&amp;OH and IDC costs across grants, grantees and regions. This </w:t>
      </w:r>
      <w:r w:rsidR="004A6C7A">
        <w:t xml:space="preserve">has been tested with </w:t>
      </w:r>
      <w:r w:rsidR="009041F6">
        <w:t>M</w:t>
      </w:r>
      <w:r w:rsidR="0055406F">
        <w:t xml:space="preserve">ott </w:t>
      </w:r>
      <w:r w:rsidR="009041F6">
        <w:t>M</w:t>
      </w:r>
      <w:r w:rsidR="0055406F">
        <w:t>acDonald</w:t>
      </w:r>
      <w:r w:rsidR="004A6C7A">
        <w:t xml:space="preserve"> has is </w:t>
      </w:r>
      <w:r w:rsidRPr="009809D5">
        <w:t>attributed to regional differences</w:t>
      </w:r>
      <w:r w:rsidR="004A6C7A">
        <w:t xml:space="preserve"> (inc</w:t>
      </w:r>
      <w:r w:rsidR="00A37F1C">
        <w:t>luding</w:t>
      </w:r>
      <w:r w:rsidR="004A6C7A">
        <w:t xml:space="preserve"> security considerations)</w:t>
      </w:r>
      <w:r w:rsidRPr="009809D5">
        <w:t>, administrative</w:t>
      </w:r>
      <w:r w:rsidR="004A6C7A">
        <w:t xml:space="preserve"> structures</w:t>
      </w:r>
      <w:r w:rsidRPr="009809D5">
        <w:t xml:space="preserve"> and other challenges that impact </w:t>
      </w:r>
      <w:r w:rsidR="004A6C7A">
        <w:t xml:space="preserve">on </w:t>
      </w:r>
      <w:r w:rsidRPr="009809D5">
        <w:t>associated costs.</w:t>
      </w:r>
    </w:p>
    <w:p w14:paraId="25CB4484" w14:textId="77777777" w:rsidR="00FA45C8" w:rsidRPr="009809D5" w:rsidRDefault="00FA45C8" w:rsidP="003D1A62"/>
    <w:p w14:paraId="61130655" w14:textId="77777777" w:rsidR="00CA1E89" w:rsidRPr="009809D5" w:rsidRDefault="00CA1E89" w:rsidP="003D1A62"/>
    <w:p w14:paraId="11D87E0C" w14:textId="2FBF87A5" w:rsidR="009809D5" w:rsidRPr="0063379E" w:rsidRDefault="009809D5" w:rsidP="0021246D">
      <w:pPr>
        <w:pStyle w:val="Boxedtext-greyshading"/>
      </w:pPr>
      <w:r w:rsidRPr="0021246D">
        <w:rPr>
          <w:rStyle w:val="Bold"/>
        </w:rPr>
        <w:t>Recommendation</w:t>
      </w:r>
      <w:r w:rsidRPr="009809D5">
        <w:t xml:space="preserve">: </w:t>
      </w:r>
      <w:proofErr w:type="gramStart"/>
      <w:r w:rsidRPr="009809D5">
        <w:t>the</w:t>
      </w:r>
      <w:proofErr w:type="gramEnd"/>
      <w:r w:rsidRPr="009809D5">
        <w:t xml:space="preserve"> </w:t>
      </w:r>
      <w:r w:rsidR="0055406F">
        <w:t>B</w:t>
      </w:r>
      <w:r w:rsidRPr="009809D5">
        <w:t xml:space="preserve">usiness </w:t>
      </w:r>
      <w:r w:rsidR="0055406F">
        <w:t>C</w:t>
      </w:r>
      <w:r w:rsidRPr="009809D5">
        <w:t xml:space="preserve">ase for </w:t>
      </w:r>
      <w:r w:rsidR="00C24E58">
        <w:t>Phase II</w:t>
      </w:r>
      <w:r w:rsidRPr="009809D5">
        <w:t xml:space="preserve">, drawing upon </w:t>
      </w:r>
      <w:r w:rsidR="00D83950">
        <w:t>current analysis</w:t>
      </w:r>
      <w:r w:rsidRPr="009809D5">
        <w:t>, should include key actions within the commercial case to help have a more consistent and evidence-based approach to approving proposed levels for management and overhead costs.</w:t>
      </w:r>
    </w:p>
    <w:bookmarkEnd w:id="4"/>
    <w:p w14:paraId="580A13D3" w14:textId="4CE4CE1E" w:rsidR="00EC1143" w:rsidRDefault="004D5BFB" w:rsidP="004D5BFB">
      <w:pPr>
        <w:pStyle w:val="Heading4"/>
      </w:pPr>
      <w:r>
        <w:t>Effectiveness</w:t>
      </w:r>
    </w:p>
    <w:p w14:paraId="0501978E" w14:textId="13B952F8" w:rsidR="00FA45C8" w:rsidRPr="002D36E8" w:rsidRDefault="002D36E8" w:rsidP="00D46652">
      <w:pPr>
        <w:pStyle w:val="ParagraphText-unnumbered"/>
      </w:pPr>
      <w:bookmarkStart w:id="5" w:name="_Hlk62231886"/>
      <w:r w:rsidRPr="002D36E8">
        <w:t>A series of V</w:t>
      </w:r>
      <w:r w:rsidR="00A536D3">
        <w:t>F</w:t>
      </w:r>
      <w:r w:rsidRPr="002D36E8">
        <w:t xml:space="preserve">M products have </w:t>
      </w:r>
      <w:r w:rsidR="006C75F0">
        <w:t>been being</w:t>
      </w:r>
      <w:r w:rsidRPr="002D36E8">
        <w:t xml:space="preserve"> produced by </w:t>
      </w:r>
      <w:r w:rsidR="009041F6">
        <w:t>Mott MacDonald</w:t>
      </w:r>
      <w:r w:rsidRPr="002D36E8">
        <w:t xml:space="preserve"> to help strengthen the programmes current and longer-term prospects for demonstrating effectiveness. These include: </w:t>
      </w:r>
    </w:p>
    <w:p w14:paraId="1965E2CD" w14:textId="1F273820" w:rsidR="002D36E8" w:rsidRPr="002D36E8" w:rsidRDefault="002D36E8" w:rsidP="00D46652">
      <w:pPr>
        <w:pStyle w:val="Bullet"/>
      </w:pPr>
      <w:r w:rsidRPr="002D36E8">
        <w:t xml:space="preserve">Committing to design a </w:t>
      </w:r>
      <w:r w:rsidR="006C75F0">
        <w:rPr>
          <w:rStyle w:val="Bold"/>
        </w:rPr>
        <w:t>"F</w:t>
      </w:r>
      <w:r w:rsidR="00EC1143" w:rsidRPr="00592202">
        <w:rPr>
          <w:rStyle w:val="Bold"/>
        </w:rPr>
        <w:t>oundations for Costing and Benefit Identification of National AMR Surveillance</w:t>
      </w:r>
      <w:r w:rsidR="00EA12C5">
        <w:rPr>
          <w:rStyle w:val="Bold"/>
        </w:rPr>
        <w:t>"</w:t>
      </w:r>
      <w:r w:rsidR="00EC1143" w:rsidRPr="00EA12C5">
        <w:rPr>
          <w:rStyle w:val="Bold"/>
        </w:rPr>
        <w:t xml:space="preserve"> </w:t>
      </w:r>
      <w:r w:rsidRPr="002D36E8">
        <w:t xml:space="preserve">to </w:t>
      </w:r>
      <w:r w:rsidR="00D26EC4">
        <w:t>help evaluate the</w:t>
      </w:r>
      <w:r w:rsidRPr="002D36E8">
        <w:t xml:space="preserve"> costing and </w:t>
      </w:r>
      <w:r w:rsidR="00D26EC4">
        <w:t>project</w:t>
      </w:r>
      <w:r w:rsidRPr="002D36E8">
        <w:t xml:space="preserve"> expected benefits (quantitative and qualitative) of a national AMR surveillance system</w:t>
      </w:r>
      <w:r w:rsidR="006C75F0">
        <w:t>,</w:t>
      </w:r>
      <w:r w:rsidR="00D26EC4">
        <w:t xml:space="preserve"> including via a pilot</w:t>
      </w:r>
      <w:r w:rsidRPr="002D36E8">
        <w:t>.</w:t>
      </w:r>
    </w:p>
    <w:p w14:paraId="74BA96E1" w14:textId="3EA0EF3A" w:rsidR="002D36E8" w:rsidRDefault="002D36E8" w:rsidP="00D46652">
      <w:pPr>
        <w:pStyle w:val="Bullet"/>
      </w:pPr>
      <w:r w:rsidRPr="002D36E8">
        <w:t>Produ</w:t>
      </w:r>
      <w:r w:rsidR="00D26EC4">
        <w:t>ced</w:t>
      </w:r>
      <w:r w:rsidRPr="002D36E8">
        <w:t xml:space="preserve"> a comprehensive </w:t>
      </w:r>
      <w:r w:rsidR="00AA5827" w:rsidRPr="00AA5827">
        <w:rPr>
          <w:rStyle w:val="Bold"/>
        </w:rPr>
        <w:t>"</w:t>
      </w:r>
      <w:r w:rsidRPr="00AA5827">
        <w:rPr>
          <w:rStyle w:val="Bold"/>
        </w:rPr>
        <w:t>Managing for Effectiveness Review</w:t>
      </w:r>
      <w:r w:rsidR="00AA5827" w:rsidRPr="00AA5827">
        <w:rPr>
          <w:rStyle w:val="Bold"/>
        </w:rPr>
        <w:t>"</w:t>
      </w:r>
      <w:r w:rsidRPr="00AA5827">
        <w:rPr>
          <w:rStyle w:val="Bold"/>
        </w:rPr>
        <w:t>,</w:t>
      </w:r>
      <w:r w:rsidRPr="002D36E8">
        <w:t xml:space="preserve"> which found</w:t>
      </w:r>
      <w:r w:rsidR="00AA5827">
        <w:t>:</w:t>
      </w:r>
      <w:r w:rsidRPr="002D36E8">
        <w:t xml:space="preserve"> </w:t>
      </w:r>
    </w:p>
    <w:p w14:paraId="4C172517" w14:textId="77777777" w:rsidR="00FA45C8" w:rsidRPr="002D36E8" w:rsidRDefault="00FA45C8"/>
    <w:p w14:paraId="3AA29AF5" w14:textId="2A15ED8A" w:rsidR="002D36E8" w:rsidRPr="00D46652" w:rsidRDefault="00F14430" w:rsidP="00D46652">
      <w:pPr>
        <w:pStyle w:val="Blockquote"/>
        <w:rPr>
          <w:rStyle w:val="Strong"/>
          <w:b w:val="0"/>
          <w:bCs w:val="0"/>
        </w:rPr>
      </w:pPr>
      <w:r w:rsidRPr="00D46652">
        <w:rPr>
          <w:rStyle w:val="Strong"/>
          <w:b w:val="0"/>
          <w:bCs w:val="0"/>
        </w:rPr>
        <w:t>"</w:t>
      </w:r>
      <w:r w:rsidR="002D36E8" w:rsidRPr="00D46652">
        <w:rPr>
          <w:rStyle w:val="Strong"/>
          <w:b w:val="0"/>
          <w:bCs w:val="0"/>
        </w:rPr>
        <w:t>There are clear examples in three of the four case studies of progress through the Theory of Change (</w:t>
      </w:r>
      <w:proofErr w:type="spellStart"/>
      <w:r w:rsidR="002D36E8" w:rsidRPr="00D46652">
        <w:rPr>
          <w:rStyle w:val="Strong"/>
          <w:b w:val="0"/>
          <w:bCs w:val="0"/>
        </w:rPr>
        <w:t>ToC</w:t>
      </w:r>
      <w:proofErr w:type="spellEnd"/>
      <w:r w:rsidR="002D36E8" w:rsidRPr="00D46652">
        <w:rPr>
          <w:rStyle w:val="Strong"/>
          <w:b w:val="0"/>
          <w:bCs w:val="0"/>
        </w:rPr>
        <w:t xml:space="preserve">), where Activities are leading to Fleming Fund Outputs and Country Outputs, a good early indicator of progress toward Effectiveness. </w:t>
      </w:r>
      <w:proofErr w:type="gramStart"/>
      <w:r w:rsidR="002D36E8" w:rsidRPr="00D46652">
        <w:rPr>
          <w:rStyle w:val="Strong"/>
          <w:b w:val="0"/>
          <w:bCs w:val="0"/>
        </w:rPr>
        <w:t>The majority of</w:t>
      </w:r>
      <w:proofErr w:type="gramEnd"/>
      <w:r w:rsidR="002D36E8" w:rsidRPr="00D46652">
        <w:rPr>
          <w:rStyle w:val="Strong"/>
          <w:b w:val="0"/>
          <w:bCs w:val="0"/>
        </w:rPr>
        <w:t xml:space="preserve"> examples are in areas of Laboratory Infrastructure Enhancement and Systems Development. </w:t>
      </w:r>
    </w:p>
    <w:p w14:paraId="0B1F7F2D" w14:textId="3D569C2D" w:rsidR="002D36E8" w:rsidRPr="00D46652" w:rsidRDefault="002D36E8" w:rsidP="00D46652">
      <w:pPr>
        <w:pStyle w:val="Blockquote"/>
        <w:rPr>
          <w:rStyle w:val="Strong"/>
          <w:b w:val="0"/>
          <w:bCs w:val="0"/>
        </w:rPr>
      </w:pPr>
      <w:r w:rsidRPr="00D46652">
        <w:rPr>
          <w:rStyle w:val="Strong"/>
          <w:b w:val="0"/>
          <w:bCs w:val="0"/>
        </w:rPr>
        <w:t xml:space="preserve">While these represent initial positive signs, we are at the very beginning of the process and continued support will be required to ensure gains that have been made are sustainable and that further progress can be made through the </w:t>
      </w:r>
      <w:proofErr w:type="spellStart"/>
      <w:r w:rsidRPr="00D46652">
        <w:rPr>
          <w:rStyle w:val="Strong"/>
          <w:b w:val="0"/>
          <w:bCs w:val="0"/>
        </w:rPr>
        <w:t>ToC</w:t>
      </w:r>
      <w:proofErr w:type="spellEnd"/>
      <w:r w:rsidRPr="00D46652">
        <w:rPr>
          <w:rStyle w:val="Strong"/>
          <w:b w:val="0"/>
          <w:bCs w:val="0"/>
        </w:rPr>
        <w:t xml:space="preserve"> pathways.</w:t>
      </w:r>
      <w:r w:rsidR="00AA5827" w:rsidRPr="00D46652">
        <w:rPr>
          <w:rStyle w:val="Strong"/>
          <w:b w:val="0"/>
          <w:bCs w:val="0"/>
        </w:rPr>
        <w:t>"</w:t>
      </w:r>
      <w:r w:rsidRPr="00D46652">
        <w:rPr>
          <w:rStyle w:val="Strong"/>
          <w:b w:val="0"/>
          <w:bCs w:val="0"/>
        </w:rPr>
        <w:t xml:space="preserve"> </w:t>
      </w:r>
    </w:p>
    <w:p w14:paraId="0DDE5D79" w14:textId="77777777" w:rsidR="00FA45C8" w:rsidRDefault="00FA45C8"/>
    <w:p w14:paraId="4E5EDF02" w14:textId="2EBE45E4" w:rsidR="008274D2" w:rsidRDefault="008274D2" w:rsidP="00D46652">
      <w:pPr>
        <w:pStyle w:val="ParagraphText-unnumbered"/>
      </w:pPr>
      <w:r>
        <w:t xml:space="preserve">It is important to note here that whilst COVID-19 has led to significantly lower costs for the programme, the effectiveness of remote working is lower than in-country training. This is especially clear for the </w:t>
      </w:r>
      <w:r w:rsidR="00C67203">
        <w:t>F</w:t>
      </w:r>
      <w:r>
        <w:t>ellowships scheme, where capacity</w:t>
      </w:r>
      <w:r w:rsidR="00C67203">
        <w:t>-</w:t>
      </w:r>
      <w:r>
        <w:t xml:space="preserve">building initiatives have not been able to go </w:t>
      </w:r>
      <w:proofErr w:type="gramStart"/>
      <w:r>
        <w:t>ahead</w:t>
      </w:r>
      <w:proofErr w:type="gramEnd"/>
      <w:r>
        <w:t xml:space="preserve"> and fellows are reporting difficulties </w:t>
      </w:r>
      <w:r w:rsidR="00C67203">
        <w:t>accessing</w:t>
      </w:r>
      <w:r>
        <w:t xml:space="preserve"> the knowledge, hands-on training and mentoring which otherwise would be possible. </w:t>
      </w:r>
    </w:p>
    <w:p w14:paraId="13628EC7" w14:textId="77777777" w:rsidR="00FA45C8" w:rsidRDefault="00FA45C8"/>
    <w:p w14:paraId="4856EF52" w14:textId="2D2CCF7C" w:rsidR="0021246D" w:rsidRDefault="00EC1143" w:rsidP="0021246D">
      <w:pPr>
        <w:pStyle w:val="Boxedtext-greyshading"/>
      </w:pPr>
      <w:r w:rsidRPr="00592202">
        <w:rPr>
          <w:rStyle w:val="Bold"/>
        </w:rPr>
        <w:t>Recommendation</w:t>
      </w:r>
      <w:r w:rsidR="0021246D">
        <w:rPr>
          <w:rStyle w:val="Bold"/>
        </w:rPr>
        <w:t>s</w:t>
      </w:r>
      <w:r w:rsidR="0021246D">
        <w:t>:</w:t>
      </w:r>
    </w:p>
    <w:p w14:paraId="252E5DFE" w14:textId="67D48747" w:rsidR="0021246D" w:rsidRDefault="0021246D" w:rsidP="0021246D">
      <w:pPr>
        <w:pStyle w:val="Boxedtext-greyshading"/>
      </w:pPr>
      <w:r>
        <w:t>C</w:t>
      </w:r>
      <w:r w:rsidR="00EC1143">
        <w:t xml:space="preserve">linical engagement </w:t>
      </w:r>
      <w:r w:rsidR="00D4520E">
        <w:t xml:space="preserve">(including with animal health sector) </w:t>
      </w:r>
      <w:r w:rsidR="00EA12C5">
        <w:t xml:space="preserve">should be </w:t>
      </w:r>
      <w:r w:rsidR="004A6C7A">
        <w:t xml:space="preserve">considered </w:t>
      </w:r>
      <w:r w:rsidR="00EA12C5">
        <w:t xml:space="preserve">within the design of </w:t>
      </w:r>
      <w:r w:rsidR="005D25CD">
        <w:t xml:space="preserve">Phase </w:t>
      </w:r>
      <w:r w:rsidR="00D627EA">
        <w:t>II</w:t>
      </w:r>
      <w:r w:rsidR="00EC1143">
        <w:t xml:space="preserve">, </w:t>
      </w:r>
      <w:r w:rsidR="006A3170">
        <w:t xml:space="preserve">which </w:t>
      </w:r>
      <w:r w:rsidR="00EA12C5">
        <w:t xml:space="preserve">the </w:t>
      </w:r>
      <w:r w:rsidR="006A3170">
        <w:t xml:space="preserve">Fleming Fund's </w:t>
      </w:r>
      <w:r w:rsidR="00EA12C5">
        <w:t>T</w:t>
      </w:r>
      <w:r w:rsidR="006A3170">
        <w:t xml:space="preserve">echnical </w:t>
      </w:r>
      <w:r w:rsidR="00EA12C5">
        <w:t>A</w:t>
      </w:r>
      <w:r w:rsidR="006A3170">
        <w:t xml:space="preserve">dvisory </w:t>
      </w:r>
      <w:r w:rsidR="00EA12C5">
        <w:t>G</w:t>
      </w:r>
      <w:r w:rsidR="006A3170">
        <w:t>roup (</w:t>
      </w:r>
      <w:r w:rsidR="00EA12C5">
        <w:t>TAG</w:t>
      </w:r>
      <w:r w:rsidR="006A3170">
        <w:t>)</w:t>
      </w:r>
      <w:r w:rsidR="00EA12C5">
        <w:t xml:space="preserve"> should be consulted on</w:t>
      </w:r>
      <w:r w:rsidR="005D25CD">
        <w:t xml:space="preserve"> </w:t>
      </w:r>
    </w:p>
    <w:p w14:paraId="34CBDCCD" w14:textId="5FB75623" w:rsidR="00D83950" w:rsidRPr="0063379E" w:rsidRDefault="00EC1143" w:rsidP="0021246D">
      <w:pPr>
        <w:pStyle w:val="Boxedtext-greyshading"/>
      </w:pPr>
      <w:r>
        <w:t xml:space="preserve">DHSC and TAG should support </w:t>
      </w:r>
      <w:r w:rsidR="009041F6">
        <w:t>Mott MacDonald</w:t>
      </w:r>
      <w:r>
        <w:t xml:space="preserve"> in the development </w:t>
      </w:r>
      <w:r w:rsidR="00EA12C5">
        <w:t xml:space="preserve">and implementation </w:t>
      </w:r>
      <w:r>
        <w:t xml:space="preserve">of </w:t>
      </w:r>
      <w:r w:rsidR="00EA12C5">
        <w:t>the "</w:t>
      </w:r>
      <w:r w:rsidR="00EA12C5" w:rsidRPr="00EA12C5">
        <w:t>Foundations for Costing and Benefit Identification of National AMR Surveillance</w:t>
      </w:r>
      <w:r w:rsidR="00EA12C5">
        <w:t>" product</w:t>
      </w:r>
      <w:r w:rsidR="00EA12C5" w:rsidRPr="00EA12C5">
        <w:t xml:space="preserve"> </w:t>
      </w:r>
      <w:r w:rsidR="00996C92">
        <w:t xml:space="preserve">being led by </w:t>
      </w:r>
      <w:r w:rsidR="009041F6">
        <w:t>Mott MacDonald</w:t>
      </w:r>
      <w:r w:rsidR="005D25CD">
        <w:t>.</w:t>
      </w:r>
    </w:p>
    <w:bookmarkEnd w:id="5"/>
    <w:p w14:paraId="15A8BCCF" w14:textId="6A98094B" w:rsidR="004D5BFB" w:rsidRDefault="004D5BFB" w:rsidP="004D5BFB">
      <w:pPr>
        <w:pStyle w:val="Heading4"/>
      </w:pPr>
      <w:r>
        <w:t>Equity</w:t>
      </w:r>
    </w:p>
    <w:p w14:paraId="3AC2724B" w14:textId="40235A1E" w:rsidR="008274D2" w:rsidRDefault="008274D2" w:rsidP="00D46652">
      <w:pPr>
        <w:pStyle w:val="ParagraphText-unnumbered"/>
      </w:pPr>
      <w:r>
        <w:t>T</w:t>
      </w:r>
      <w:r w:rsidRPr="008274D2">
        <w:t>he programme aims to improve the collection of demographic data for samples submitted for routine testing, as part of good clinical and laboratory practice. Grantees have been asked to provide data on whether relevant demographic data, including gender information, is collected for routine clinical samples as part of grantee quarterly reporting for country grants. This will enable local and national analysis of resistance patterns by gender. This information will become available in Q</w:t>
      </w:r>
      <w:r w:rsidR="0055406F">
        <w:t xml:space="preserve">uarter </w:t>
      </w:r>
      <w:r w:rsidRPr="008274D2">
        <w:t xml:space="preserve">2 of 2021. </w:t>
      </w:r>
    </w:p>
    <w:p w14:paraId="251D1C1C" w14:textId="2D2A0202" w:rsidR="008274D2" w:rsidRDefault="008274D2" w:rsidP="00D46652">
      <w:pPr>
        <w:pStyle w:val="ParagraphText-unnumbered"/>
      </w:pPr>
      <w:r w:rsidRPr="008274D2">
        <w:t xml:space="preserve">The programme is currently limited in terms of data collection. In human health, the programme supports passive surveillance for drug resistant infections in patients having samples taken as part of their routine care, with a </w:t>
      </w:r>
      <w:proofErr w:type="gramStart"/>
      <w:r w:rsidRPr="008274D2">
        <w:t>particular focus</w:t>
      </w:r>
      <w:proofErr w:type="gramEnd"/>
      <w:r w:rsidRPr="008274D2">
        <w:t xml:space="preserve"> on hospital inpatients (as these represent the most severe infections). Therefore, any social group unable to access this level of healthcare is not represented by the data produced, such as rural or low-income groups. </w:t>
      </w:r>
    </w:p>
    <w:p w14:paraId="5A2DD097" w14:textId="3D83A198" w:rsidR="008274D2" w:rsidRPr="008274D2" w:rsidRDefault="008274D2" w:rsidP="00D46652">
      <w:pPr>
        <w:pStyle w:val="ParagraphText-unnumbered"/>
      </w:pPr>
      <w:r w:rsidRPr="008274D2">
        <w:t xml:space="preserve">Currently, not all hospitals collect information on the gender of the patient from whom the sample is taken, so many countries cannot disaggregate their data on gender. A further consideration is that the programme has no influence over who attends hospital (and who would therefore be eligible to have a sample taken). There may be additional reasons for different gender proportions in those who present with fever, related to the type of disease, which the programme is not currently designed to capture. Gender analysis of surveillance data could make it possible to identify sex and gender-related patterns in prescription of antimicrobials and track the effectiveness of any policies addressing the AMR threat. This is something that should be considered as part of a Phase II. </w:t>
      </w:r>
      <w:r w:rsidR="00C1334E">
        <w:t xml:space="preserve">Tropical Health and Education </w:t>
      </w:r>
      <w:proofErr w:type="gramStart"/>
      <w:r w:rsidR="00C1334E">
        <w:t xml:space="preserve">Trust </w:t>
      </w:r>
      <w:r w:rsidRPr="008274D2">
        <w:t xml:space="preserve"> and</w:t>
      </w:r>
      <w:proofErr w:type="gramEnd"/>
      <w:r w:rsidRPr="008274D2">
        <w:t xml:space="preserve"> </w:t>
      </w:r>
      <w:r w:rsidR="00112057" w:rsidRPr="0024218A">
        <w:t xml:space="preserve">Commonwealth Pharmacists Association </w:t>
      </w:r>
      <w:r w:rsidRPr="008274D2">
        <w:t xml:space="preserve">will also be conducting some gender and social inclusion training as part of the </w:t>
      </w:r>
      <w:proofErr w:type="spellStart"/>
      <w:r w:rsidRPr="008274D2">
        <w:t>CwPAMS</w:t>
      </w:r>
      <w:proofErr w:type="spellEnd"/>
      <w:r w:rsidRPr="008274D2">
        <w:t xml:space="preserve"> programme, and they have offered to share this with all grantees.</w:t>
      </w:r>
    </w:p>
    <w:p w14:paraId="77A8A5D5" w14:textId="4F2B2FAE" w:rsidR="00D83950" w:rsidRPr="00D83950" w:rsidRDefault="00D83950" w:rsidP="00D46652">
      <w:pPr>
        <w:pStyle w:val="ParagraphText-unnumbered"/>
      </w:pPr>
      <w:r w:rsidRPr="00D83950">
        <w:t xml:space="preserve">The programme currently reviews the gender breakdown of fellows, where half of Professional Fellows Cohort 1 are women. Data is not yet available for Cohort 2 or Policy Fellows but is being collected. The Fellowships Programme was also designed to be flexible to </w:t>
      </w:r>
      <w:proofErr w:type="gramStart"/>
      <w:r w:rsidRPr="00D83950">
        <w:t>take into account</w:t>
      </w:r>
      <w:proofErr w:type="gramEnd"/>
      <w:r w:rsidRPr="00D83950">
        <w:t xml:space="preserve"> childcare arrangements, and to encourage women to apply. The gender of grantee and </w:t>
      </w:r>
      <w:r w:rsidR="009041F6">
        <w:t>MM</w:t>
      </w:r>
      <w:r>
        <w:t xml:space="preserve"> </w:t>
      </w:r>
      <w:r w:rsidRPr="00D83950">
        <w:t xml:space="preserve">staff who are funded by the programme is reviewed annually. </w:t>
      </w:r>
    </w:p>
    <w:p w14:paraId="7C13EB9A" w14:textId="76787CD3" w:rsidR="00996C92" w:rsidRDefault="00996C92">
      <w:pPr>
        <w:pStyle w:val="ParagraphText-unnumbered"/>
      </w:pPr>
      <w:r w:rsidRPr="008274D2">
        <w:t>There is ongoing balancing of geographic equity in the regional and global grants</w:t>
      </w:r>
      <w:r w:rsidR="006C75F0" w:rsidRPr="008274D2">
        <w:t>.</w:t>
      </w:r>
      <w:r w:rsidRPr="008274D2">
        <w:t xml:space="preserve"> </w:t>
      </w:r>
      <w:proofErr w:type="spellStart"/>
      <w:r w:rsidR="006C75F0" w:rsidRPr="008274D2">
        <w:t>I</w:t>
      </w:r>
      <w:r w:rsidR="0009526B">
        <w:t>tad</w:t>
      </w:r>
      <w:proofErr w:type="spellEnd"/>
      <w:r w:rsidR="006C75F0" w:rsidRPr="008274D2">
        <w:t xml:space="preserve"> has noted that </w:t>
      </w:r>
      <w:r w:rsidR="006C75F0" w:rsidRPr="008274D2">
        <w:rPr>
          <w:rFonts w:eastAsiaTheme="minorEastAsia"/>
        </w:rPr>
        <w:t xml:space="preserve">Equity was included in VFM Reviews with a justification for regional site selection. There are also </w:t>
      </w:r>
      <w:r w:rsidRPr="008274D2">
        <w:t>efforts made to ensure Asia and Africa representation at key for a including the T</w:t>
      </w:r>
      <w:r w:rsidR="004B508F">
        <w:t xml:space="preserve">echnical </w:t>
      </w:r>
      <w:r w:rsidRPr="008274D2">
        <w:t>A</w:t>
      </w:r>
      <w:r w:rsidR="004B508F">
        <w:t xml:space="preserve">dvisory </w:t>
      </w:r>
      <w:r w:rsidRPr="008274D2">
        <w:t>G</w:t>
      </w:r>
      <w:r w:rsidR="004B508F">
        <w:t>roup (TAG)</w:t>
      </w:r>
      <w:r w:rsidRPr="008274D2">
        <w:t xml:space="preserve"> and Delivery Partner's Event. </w:t>
      </w:r>
    </w:p>
    <w:p w14:paraId="3EA7536C" w14:textId="77777777" w:rsidR="00801A1F" w:rsidRDefault="00801A1F" w:rsidP="00D46652">
      <w:pPr>
        <w:pStyle w:val="ParagraphText-unnumbered"/>
      </w:pPr>
    </w:p>
    <w:p w14:paraId="0F6CE4A0" w14:textId="77777777" w:rsidR="008274D2" w:rsidRPr="008274D2" w:rsidRDefault="008274D2"/>
    <w:p w14:paraId="0DE415EC" w14:textId="15098EE5" w:rsidR="00491E67" w:rsidRPr="00491E67" w:rsidRDefault="00491E67" w:rsidP="00D46652">
      <w:pPr>
        <w:pStyle w:val="Boxedtext-greyshading"/>
      </w:pPr>
      <w:r w:rsidRPr="004F3ED2">
        <w:rPr>
          <w:rStyle w:val="Bold"/>
        </w:rPr>
        <w:t xml:space="preserve">Recommendation: </w:t>
      </w:r>
    </w:p>
    <w:p w14:paraId="3336177D" w14:textId="0733BE74" w:rsidR="003F751A" w:rsidRDefault="00491E67" w:rsidP="00D46652">
      <w:pPr>
        <w:pStyle w:val="Boxedtext-greyshading"/>
      </w:pPr>
      <w:r w:rsidRPr="00491E67">
        <w:t xml:space="preserve">As part of the design for Phase </w:t>
      </w:r>
      <w:r w:rsidR="00053602">
        <w:t>II</w:t>
      </w:r>
      <w:r w:rsidRPr="00491E67">
        <w:t>, greater consideration should be given to how gender intersects with the programme both at a programme management and output level. This could be combined with considerations for other inequalities, such as disability</w:t>
      </w:r>
      <w:r w:rsidR="00112E29">
        <w:t xml:space="preserve"> and socioeconomics</w:t>
      </w:r>
      <w:r w:rsidRPr="00491E67">
        <w:t xml:space="preserve">, in line with the programme’s legal obligations. </w:t>
      </w:r>
    </w:p>
    <w:p w14:paraId="4FE305DA" w14:textId="6A714C0A" w:rsidR="003E754B" w:rsidRDefault="004D5BFB" w:rsidP="00E4577D">
      <w:pPr>
        <w:pStyle w:val="Heading3"/>
      </w:pPr>
      <w:r>
        <w:t xml:space="preserve">Quality of financial management </w:t>
      </w:r>
    </w:p>
    <w:p w14:paraId="46D53743" w14:textId="671E238F" w:rsidR="003F751A" w:rsidRDefault="003F751A" w:rsidP="00D46652">
      <w:pPr>
        <w:pStyle w:val="ParagraphText-unnumbered"/>
      </w:pPr>
      <w:bookmarkStart w:id="6" w:name="_Hlk70517397"/>
      <w:r w:rsidRPr="003E754B">
        <w:t xml:space="preserve">Calendar year 2020 has been a challenging year for the Fleming Fund project, with COVID-19 affecting project progress and spending on </w:t>
      </w:r>
      <w:proofErr w:type="gramStart"/>
      <w:r w:rsidRPr="003E754B">
        <w:t>a number of</w:t>
      </w:r>
      <w:proofErr w:type="gramEnd"/>
      <w:r w:rsidRPr="003E754B">
        <w:t xml:space="preserve"> activity areas</w:t>
      </w:r>
      <w:r>
        <w:t xml:space="preserve"> as discussed above</w:t>
      </w:r>
      <w:r w:rsidRPr="003E754B">
        <w:t xml:space="preserve">. </w:t>
      </w:r>
      <w:r w:rsidRPr="00D872A0">
        <w:t xml:space="preserve">In conjunction, the </w:t>
      </w:r>
      <w:r w:rsidR="00D46652">
        <w:t xml:space="preserve">UK Government's </w:t>
      </w:r>
      <w:r w:rsidRPr="00D872A0">
        <w:t xml:space="preserve">Official Development Assistance (ODA) budgets, which includes the Fleming Fund budget, </w:t>
      </w:r>
      <w:r>
        <w:t>were</w:t>
      </w:r>
      <w:r w:rsidRPr="00D872A0">
        <w:t xml:space="preserve"> directly impacted by a drop in Gross National Income (GNI). HM</w:t>
      </w:r>
      <w:r>
        <w:t>T</w:t>
      </w:r>
      <w:r w:rsidR="00D46652">
        <w:t xml:space="preserve"> therefore</w:t>
      </w:r>
      <w:r w:rsidRPr="00D872A0">
        <w:t xml:space="preserve"> undertook a savings exercise in June 2020, with the main objective being to either stop, slow down or reduce ODA spend during 2020 where possible.</w:t>
      </w:r>
    </w:p>
    <w:p w14:paraId="0DB54031" w14:textId="4E3F425C" w:rsidR="00432127" w:rsidRPr="00D872A0" w:rsidRDefault="00D46652" w:rsidP="00D46652">
      <w:pPr>
        <w:pStyle w:val="ParagraphText-unnumbered"/>
      </w:pPr>
      <w:r>
        <w:t>O</w:t>
      </w:r>
      <w:r w:rsidR="003F751A">
        <w:t>riginal forecasts</w:t>
      </w:r>
      <w:r>
        <w:t xml:space="preserve"> were also amended down to reflect the impact of COVID-19 on activities</w:t>
      </w:r>
      <w:r w:rsidR="003F751A">
        <w:t>.</w:t>
      </w:r>
      <w:r>
        <w:t xml:space="preserve"> Some delivery partners continued to underspend against these revised budgets and </w:t>
      </w:r>
      <w:proofErr w:type="spellStart"/>
      <w:r>
        <w:t>sot</w:t>
      </w:r>
      <w:r w:rsidR="003F751A">
        <w:t>he</w:t>
      </w:r>
      <w:proofErr w:type="spellEnd"/>
      <w:r w:rsidR="003F751A">
        <w:t xml:space="preserve"> programme has </w:t>
      </w:r>
      <w:r w:rsidR="003F751A" w:rsidRPr="00432127">
        <w:t xml:space="preserve">performed a robust re-forecasting </w:t>
      </w:r>
      <w:r w:rsidR="003F751A">
        <w:t>for 2022</w:t>
      </w:r>
      <w:r w:rsidR="003F751A" w:rsidRPr="00432127">
        <w:t xml:space="preserve">. </w:t>
      </w:r>
    </w:p>
    <w:bookmarkEnd w:id="6"/>
    <w:p w14:paraId="43C354D0" w14:textId="240F173F" w:rsidR="00D872A0" w:rsidRDefault="00835FB9" w:rsidP="00D46652">
      <w:pPr>
        <w:pStyle w:val="ParagraphText-unnumbered"/>
      </w:pPr>
      <w:r>
        <w:t xml:space="preserve">Delivery partners </w:t>
      </w:r>
    </w:p>
    <w:p w14:paraId="09AEF513" w14:textId="31C66E9D" w:rsidR="002C6632" w:rsidRDefault="00B82237" w:rsidP="00D46652">
      <w:pPr>
        <w:pStyle w:val="ParagraphText-unnumbered"/>
      </w:pPr>
      <w:r>
        <w:t xml:space="preserve">A short summary of financial management for each delivery partner is set out </w:t>
      </w:r>
      <w:r w:rsidR="00432127">
        <w:t>below:</w:t>
      </w:r>
    </w:p>
    <w:p w14:paraId="7ED090B3" w14:textId="77777777" w:rsidR="002C6632" w:rsidRDefault="002C6632"/>
    <w:p w14:paraId="6DB8188B" w14:textId="55FD0E6B" w:rsidR="003E754B" w:rsidRPr="00AB7C68" w:rsidRDefault="003E754B">
      <w:pPr>
        <w:rPr>
          <w:rStyle w:val="Bold"/>
        </w:rPr>
      </w:pPr>
      <w:r w:rsidRPr="00AB7C68">
        <w:rPr>
          <w:rStyle w:val="Bold"/>
        </w:rPr>
        <w:t>Workstream 1 – Surveillance Protocol and Platform</w:t>
      </w:r>
    </w:p>
    <w:p w14:paraId="681EF2B7" w14:textId="77777777" w:rsidR="003E754B" w:rsidRPr="003E754B" w:rsidRDefault="003E754B"/>
    <w:p w14:paraId="731A60B6" w14:textId="288642F1" w:rsidR="003E754B" w:rsidRPr="003E754B" w:rsidRDefault="003E754B" w:rsidP="00EF66DB">
      <w:pPr>
        <w:pStyle w:val="Bullet"/>
      </w:pPr>
      <w:r w:rsidRPr="003E754B">
        <w:t>GRAM Grant – University of Oxford</w:t>
      </w:r>
    </w:p>
    <w:p w14:paraId="2152DDC9" w14:textId="0C84A922" w:rsidR="003E754B" w:rsidRDefault="003E754B" w:rsidP="00D46652">
      <w:pPr>
        <w:pStyle w:val="ParagraphText-unnumbered"/>
      </w:pPr>
      <w:r w:rsidRPr="003E754B">
        <w:t>Financial management continue</w:t>
      </w:r>
      <w:r>
        <w:t>s</w:t>
      </w:r>
      <w:r w:rsidRPr="003E754B">
        <w:t xml:space="preserve"> to be disjointed for this project whereby forecasts and actuals va</w:t>
      </w:r>
      <w:r w:rsidR="00461595">
        <w:t>ry by</w:t>
      </w:r>
      <w:r w:rsidR="00592202">
        <w:t xml:space="preserve"> approximately 22%</w:t>
      </w:r>
      <w:r w:rsidR="00B82237">
        <w:t xml:space="preserve">. </w:t>
      </w:r>
      <w:bookmarkStart w:id="7" w:name="_Hlk64890753"/>
      <w:r w:rsidRPr="003E754B">
        <w:t>This grant is one that was selected as part of an invoice spot check process</w:t>
      </w:r>
      <w:r w:rsidR="00E620B1">
        <w:t xml:space="preserve"> in September. </w:t>
      </w:r>
      <w:bookmarkEnd w:id="7"/>
      <w:r w:rsidR="006C059E">
        <w:t xml:space="preserve">To date </w:t>
      </w:r>
      <w:r w:rsidR="00461595">
        <w:t xml:space="preserve">only some of </w:t>
      </w:r>
      <w:r w:rsidR="006C059E">
        <w:t>this</w:t>
      </w:r>
      <w:r w:rsidR="00E620B1">
        <w:t xml:space="preserve"> information has been received. </w:t>
      </w:r>
    </w:p>
    <w:p w14:paraId="7D731EF0" w14:textId="77777777" w:rsidR="003E754B" w:rsidRPr="003E754B" w:rsidRDefault="003E754B" w:rsidP="00E77136"/>
    <w:p w14:paraId="327144F3" w14:textId="1A7E073E" w:rsidR="002C6632" w:rsidRDefault="002C6632">
      <w:pPr>
        <w:rPr>
          <w:rStyle w:val="Bold"/>
        </w:rPr>
      </w:pPr>
      <w:r w:rsidRPr="00AB7C68">
        <w:rPr>
          <w:rStyle w:val="Bold"/>
        </w:rPr>
        <w:t>Workstream 2 – Multilateral funding</w:t>
      </w:r>
    </w:p>
    <w:p w14:paraId="6FE88852" w14:textId="46C2B7D6" w:rsidR="00B3527E" w:rsidRDefault="00B3527E">
      <w:pPr>
        <w:rPr>
          <w:rStyle w:val="Bold"/>
        </w:rPr>
      </w:pPr>
    </w:p>
    <w:p w14:paraId="6284F813" w14:textId="5B92DB5A" w:rsidR="00B3527E" w:rsidRPr="002C6632" w:rsidRDefault="00B3527E" w:rsidP="00B3527E">
      <w:pPr>
        <w:pStyle w:val="Bullet"/>
      </w:pPr>
      <w:r w:rsidRPr="002C6632">
        <w:t>WHO Grant – World Health Organization (WHO</w:t>
      </w:r>
      <w:r w:rsidR="004B508F">
        <w:t>)</w:t>
      </w:r>
    </w:p>
    <w:p w14:paraId="222DDA41" w14:textId="5C714F3F" w:rsidR="00B3527E" w:rsidRDefault="00B3527E" w:rsidP="00D46652">
      <w:pPr>
        <w:pStyle w:val="ParagraphText-unnumbered"/>
      </w:pPr>
      <w:r w:rsidRPr="002C6632">
        <w:t>Ahead of the most recent disbursement in Q4 2020, WHO were able to demonstrate their spend-to-date and their commitments/potential to spend which enabled release to them of additional funding.</w:t>
      </w:r>
    </w:p>
    <w:p w14:paraId="5EE9FF44" w14:textId="51F2C020" w:rsidR="00B3527E" w:rsidRDefault="00B3527E" w:rsidP="00E77136">
      <w:pPr>
        <w:rPr>
          <w:rStyle w:val="Bold"/>
        </w:rPr>
      </w:pPr>
    </w:p>
    <w:p w14:paraId="5D6A02E5" w14:textId="77777777" w:rsidR="00B3527E" w:rsidRDefault="00B3527E"/>
    <w:p w14:paraId="46FDE99A" w14:textId="77777777" w:rsidR="00B3527E" w:rsidRPr="002C6632" w:rsidRDefault="00B3527E" w:rsidP="00B3527E">
      <w:pPr>
        <w:pStyle w:val="Bullet"/>
      </w:pPr>
      <w:r w:rsidRPr="002C6632">
        <w:t>WHO Grant on Substandard and Falsified Medicines – World Health Organization (WHO)</w:t>
      </w:r>
    </w:p>
    <w:p w14:paraId="7C0F2280" w14:textId="4E86E819" w:rsidR="002C6632" w:rsidRDefault="00B3527E" w:rsidP="00D46652">
      <w:pPr>
        <w:pStyle w:val="ParagraphText-unnumbered"/>
      </w:pPr>
      <w:r w:rsidRPr="002C6632">
        <w:t xml:space="preserve">This grant is now in its third year of activity and is progressing well and spending in line with its objectives. </w:t>
      </w:r>
    </w:p>
    <w:p w14:paraId="4404D914" w14:textId="37782CCE" w:rsidR="00B529C0" w:rsidRPr="002C6632" w:rsidRDefault="002C6632" w:rsidP="00EF66DB">
      <w:pPr>
        <w:pStyle w:val="Bullet"/>
      </w:pPr>
      <w:r w:rsidRPr="002C6632">
        <w:t>OIE Grant – World Organisation for Animal Health (OIE)</w:t>
      </w:r>
    </w:p>
    <w:p w14:paraId="5A431341" w14:textId="57DB3969" w:rsidR="002C6632" w:rsidRPr="002C6632" w:rsidRDefault="002C6632" w:rsidP="00D46652">
      <w:pPr>
        <w:pStyle w:val="ParagraphText-unnumbered"/>
      </w:pPr>
      <w:r w:rsidRPr="002C6632">
        <w:t xml:space="preserve">No funding disbursements were made to OIE for the grant during 2020. </w:t>
      </w:r>
      <w:r w:rsidR="00E4577D">
        <w:t>T</w:t>
      </w:r>
      <w:r w:rsidRPr="002C6632">
        <w:t xml:space="preserve">his grant will be further extended and funded during 2021. </w:t>
      </w:r>
    </w:p>
    <w:p w14:paraId="117D49C6" w14:textId="7EFA55E9" w:rsidR="00E4577D" w:rsidRPr="002C6632" w:rsidRDefault="002C6632" w:rsidP="00EF66DB">
      <w:pPr>
        <w:pStyle w:val="Bullet"/>
      </w:pPr>
      <w:r w:rsidRPr="002C6632">
        <w:t>FAO Grant – Food and Agriculture Organisation (FAO)</w:t>
      </w:r>
    </w:p>
    <w:p w14:paraId="554E136A" w14:textId="7608C7DB" w:rsidR="00AB29A4" w:rsidRDefault="002C6632" w:rsidP="00D46652">
      <w:pPr>
        <w:pStyle w:val="ParagraphText-unnumbered"/>
      </w:pPr>
      <w:r w:rsidRPr="002C6632">
        <w:t>The FAO Grant has now been extended into its fifth year of funding</w:t>
      </w:r>
      <w:r w:rsidR="00E4577D">
        <w:t xml:space="preserve">. </w:t>
      </w:r>
      <w:r w:rsidRPr="002C6632">
        <w:t xml:space="preserve">Ahead of the most recent disbursement in Q4 2020, FAO were able to demonstrate their spend-to-date and their commitments which enabled release of additional funding. </w:t>
      </w:r>
    </w:p>
    <w:p w14:paraId="312C54B0" w14:textId="49E81425" w:rsidR="00A83252" w:rsidRDefault="00AB29A4" w:rsidP="00BF2331">
      <w:pPr>
        <w:pStyle w:val="Bullet"/>
      </w:pPr>
      <w:r>
        <w:t>D</w:t>
      </w:r>
      <w:r w:rsidR="004B508F">
        <w:t>epartment of Environment, Food and Rural Affairs</w:t>
      </w:r>
      <w:r>
        <w:t xml:space="preserve"> FAO </w:t>
      </w:r>
      <w:r w:rsidR="00BF2331">
        <w:t>I</w:t>
      </w:r>
      <w:r>
        <w:t>nternational</w:t>
      </w:r>
      <w:r w:rsidR="00BF2331">
        <w:t xml:space="preserve"> AMR</w:t>
      </w:r>
      <w:r>
        <w:t xml:space="preserve"> Reference centre </w:t>
      </w:r>
    </w:p>
    <w:p w14:paraId="5DB6E91B" w14:textId="7B9F1C16" w:rsidR="002C6632" w:rsidRPr="002C6632" w:rsidRDefault="00A83252" w:rsidP="00D46652">
      <w:pPr>
        <w:pStyle w:val="ParagraphText-unnumbered"/>
      </w:pPr>
      <w:r>
        <w:t xml:space="preserve">The </w:t>
      </w:r>
      <w:r w:rsidR="002C6632" w:rsidRPr="002C6632">
        <w:t>International AMR Reference Centre was delayed and not spending as anticipated in 2019. This did see the remaining payment for this activity slip into 2020, with the final disbursement being made in March 2020.</w:t>
      </w:r>
    </w:p>
    <w:p w14:paraId="0D38962D" w14:textId="63A8C91E" w:rsidR="00B529C0" w:rsidRDefault="002C6632" w:rsidP="00BF2331">
      <w:pPr>
        <w:pStyle w:val="Bullet"/>
      </w:pPr>
      <w:r w:rsidRPr="002C6632">
        <w:t>South Centre Grant – The South Centre</w:t>
      </w:r>
    </w:p>
    <w:p w14:paraId="4D407358" w14:textId="74223F49" w:rsidR="002C6632" w:rsidRPr="002C6632" w:rsidRDefault="002C6632" w:rsidP="00D46652">
      <w:pPr>
        <w:pStyle w:val="ParagraphText-unnumbered"/>
      </w:pPr>
      <w:r w:rsidRPr="002C6632">
        <w:t xml:space="preserve">The grant has been progressing well against objectives and a no cost extension, followed by costed extension, was approved as a result into 2020/21. The South Centre has now received all funding under its existing </w:t>
      </w:r>
      <w:r w:rsidR="002B561A" w:rsidRPr="002C6632">
        <w:t>agreement and</w:t>
      </w:r>
      <w:r w:rsidRPr="002C6632">
        <w:t xml:space="preserve"> is on track to fully utilise this.</w:t>
      </w:r>
    </w:p>
    <w:p w14:paraId="5D5845C3" w14:textId="4AE9D808" w:rsidR="002C6632" w:rsidRPr="00AB7C68" w:rsidRDefault="002C6632">
      <w:pPr>
        <w:rPr>
          <w:rStyle w:val="Bold"/>
        </w:rPr>
      </w:pPr>
      <w:r w:rsidRPr="00AB7C68">
        <w:rPr>
          <w:rStyle w:val="Bold"/>
        </w:rPr>
        <w:t>Workstream 3 and 4 – Portfolio of Country and Regional Grants and Fellowship Scheme</w:t>
      </w:r>
      <w:r w:rsidR="00AB7C68">
        <w:rPr>
          <w:rStyle w:val="Bold"/>
        </w:rPr>
        <w:t xml:space="preserve"> </w:t>
      </w:r>
      <w:r w:rsidR="009041F6">
        <w:rPr>
          <w:rStyle w:val="Bold"/>
        </w:rPr>
        <w:t>Mott MacDonald</w:t>
      </w:r>
      <w:r w:rsidRPr="00AB7C68">
        <w:rPr>
          <w:rStyle w:val="Bold"/>
        </w:rPr>
        <w:t xml:space="preserve"> – Mott MacDonald Limited</w:t>
      </w:r>
    </w:p>
    <w:p w14:paraId="030A8A31" w14:textId="77777777" w:rsidR="00E4577D" w:rsidRPr="00AB7C68" w:rsidRDefault="00E4577D">
      <w:pPr>
        <w:rPr>
          <w:rStyle w:val="Bold"/>
        </w:rPr>
      </w:pPr>
    </w:p>
    <w:p w14:paraId="79D64121" w14:textId="60E2C256" w:rsidR="00BF2331" w:rsidRDefault="00BF2331" w:rsidP="0082777C">
      <w:pPr>
        <w:pStyle w:val="Bullet"/>
      </w:pPr>
      <w:r>
        <w:t xml:space="preserve">Mott MacDonald </w:t>
      </w:r>
      <w:proofErr w:type="gramStart"/>
      <w:r w:rsidR="00EF66DB">
        <w:t xml:space="preserve">Limited </w:t>
      </w:r>
      <w:r>
        <w:t xml:space="preserve"> -</w:t>
      </w:r>
      <w:proofErr w:type="gramEnd"/>
      <w:r>
        <w:t xml:space="preserve"> </w:t>
      </w:r>
      <w:r w:rsidR="009041F6">
        <w:t>Mott MacDonald</w:t>
      </w:r>
      <w:r>
        <w:t xml:space="preserve"> </w:t>
      </w:r>
    </w:p>
    <w:p w14:paraId="20DA04D7" w14:textId="0E9CA137" w:rsidR="00F93B93" w:rsidRDefault="002C6632" w:rsidP="00D46652">
      <w:pPr>
        <w:pStyle w:val="ParagraphText-unnumbered"/>
      </w:pPr>
      <w:r w:rsidRPr="002C6632">
        <w:t xml:space="preserve">One of the key finance recommendations from the 2019 Annual Review was to agree a set of mitigation measures to improve Mott MacDonald forecasting and financial performance. In response to this, Mott MacDonald </w:t>
      </w:r>
      <w:r w:rsidR="00642C66">
        <w:t>drew up</w:t>
      </w:r>
      <w:r w:rsidRPr="002C6632">
        <w:t xml:space="preserve"> mitigating actions</w:t>
      </w:r>
      <w:r w:rsidR="003F751A">
        <w:t xml:space="preserve"> which</w:t>
      </w:r>
      <w:r w:rsidR="00642C66">
        <w:t xml:space="preserve"> include</w:t>
      </w:r>
      <w:r w:rsidRPr="002C6632">
        <w:t xml:space="preserve"> monthly financial reports</w:t>
      </w:r>
      <w:r w:rsidR="00642C66">
        <w:t xml:space="preserve"> and meetings</w:t>
      </w:r>
      <w:r w:rsidRPr="002C6632">
        <w:t xml:space="preserve">. Forecasted spend is RAG rated by Mott MacDonald against an agreed set of criteria to indicate confidence in both timing of payment and amount, and discounting of forecasts is also applied in some instances with a rationale. </w:t>
      </w:r>
    </w:p>
    <w:p w14:paraId="26CA40FC" w14:textId="46A0990A" w:rsidR="00F93B93" w:rsidRPr="00F93B93" w:rsidRDefault="00CA1495" w:rsidP="00D46652">
      <w:pPr>
        <w:pStyle w:val="ParagraphText-unnumbered"/>
      </w:pPr>
      <w:r>
        <w:t>Mott MacDonald</w:t>
      </w:r>
      <w:r w:rsidRPr="00F93B93">
        <w:t xml:space="preserve"> </w:t>
      </w:r>
      <w:r>
        <w:t xml:space="preserve">took </w:t>
      </w:r>
      <w:r w:rsidR="00F93B93" w:rsidRPr="00F93B93">
        <w:t xml:space="preserve">part </w:t>
      </w:r>
      <w:r>
        <w:t>in</w:t>
      </w:r>
      <w:r w:rsidRPr="00F93B93">
        <w:t xml:space="preserve"> </w:t>
      </w:r>
      <w:r w:rsidR="00F93B93" w:rsidRPr="00F93B93">
        <w:t>an invoice spot check process</w:t>
      </w:r>
      <w:r w:rsidR="00F93B93">
        <w:t xml:space="preserve">. </w:t>
      </w:r>
      <w:r w:rsidR="00F93B93" w:rsidRPr="00F93B93">
        <w:t xml:space="preserve">We received a good response and no issues were identified. </w:t>
      </w:r>
    </w:p>
    <w:p w14:paraId="5467C400" w14:textId="77777777" w:rsidR="002C6632" w:rsidRPr="002C6632" w:rsidRDefault="002C6632"/>
    <w:p w14:paraId="2BD71BB4" w14:textId="6633AF3B" w:rsidR="002C6632" w:rsidRPr="00AB7C68" w:rsidRDefault="002C6632">
      <w:pPr>
        <w:rPr>
          <w:rStyle w:val="Bold"/>
        </w:rPr>
      </w:pPr>
      <w:r w:rsidRPr="00AB7C68">
        <w:rPr>
          <w:rStyle w:val="Bold"/>
        </w:rPr>
        <w:t>Workstream 5 – Independent Evaluation</w:t>
      </w:r>
    </w:p>
    <w:p w14:paraId="67D64E16" w14:textId="77777777" w:rsidR="00B82237" w:rsidRPr="002C6632" w:rsidRDefault="00B82237"/>
    <w:p w14:paraId="49BA0583" w14:textId="74B666D2" w:rsidR="00B82237" w:rsidRPr="002C6632" w:rsidRDefault="009400D2" w:rsidP="00EF66DB">
      <w:pPr>
        <w:pStyle w:val="Bullet"/>
      </w:pPr>
      <w:proofErr w:type="spellStart"/>
      <w:r>
        <w:t>I</w:t>
      </w:r>
      <w:r w:rsidR="003412F7">
        <w:t>tad</w:t>
      </w:r>
      <w:proofErr w:type="spellEnd"/>
      <w:r w:rsidR="002C6632" w:rsidRPr="002C6632">
        <w:t xml:space="preserve"> Evaluation of Mott MacDonald and GRAM Grant – </w:t>
      </w:r>
      <w:proofErr w:type="spellStart"/>
      <w:r w:rsidR="003412F7">
        <w:t>Itad</w:t>
      </w:r>
      <w:proofErr w:type="spellEnd"/>
      <w:r w:rsidR="002C6632" w:rsidRPr="002C6632">
        <w:t xml:space="preserve"> Ltd</w:t>
      </w:r>
    </w:p>
    <w:p w14:paraId="0F32D686" w14:textId="09F457C0" w:rsidR="002C6632" w:rsidRPr="002C6632" w:rsidRDefault="009400D2" w:rsidP="00D46652">
      <w:pPr>
        <w:pStyle w:val="ParagraphText-unnumbered"/>
      </w:pPr>
      <w:proofErr w:type="spellStart"/>
      <w:r w:rsidRPr="007F2225">
        <w:t>I</w:t>
      </w:r>
      <w:r w:rsidR="003412F7" w:rsidRPr="007F2225">
        <w:t>tad</w:t>
      </w:r>
      <w:proofErr w:type="spellEnd"/>
      <w:r w:rsidR="002C6632" w:rsidRPr="007F2225">
        <w:t xml:space="preserve"> are paid based on their actuals, with a retention fee held back for delivery against </w:t>
      </w:r>
      <w:r w:rsidR="000F3422" w:rsidRPr="007F2225">
        <w:t xml:space="preserve">Key Performance Indicators </w:t>
      </w:r>
      <w:r w:rsidR="002C6632" w:rsidRPr="007F2225">
        <w:t xml:space="preserve">and objectives. </w:t>
      </w:r>
      <w:proofErr w:type="spellStart"/>
      <w:r w:rsidRPr="007F2225">
        <w:t>I</w:t>
      </w:r>
      <w:r w:rsidR="003412F7" w:rsidRPr="007F2225">
        <w:t>tad</w:t>
      </w:r>
      <w:proofErr w:type="spellEnd"/>
      <w:r w:rsidR="002C6632" w:rsidRPr="007F2225">
        <w:t xml:space="preserve"> are fully transparent with their fees and expenses, and historically have provided all receipts available to support their invoice claims.  </w:t>
      </w:r>
    </w:p>
    <w:p w14:paraId="2C5C8F39" w14:textId="00724B89" w:rsidR="002C6632" w:rsidRPr="00AB7C68" w:rsidRDefault="002C6632">
      <w:pPr>
        <w:rPr>
          <w:rStyle w:val="Bold"/>
        </w:rPr>
      </w:pPr>
      <w:r w:rsidRPr="00AB7C68">
        <w:rPr>
          <w:rStyle w:val="Bold"/>
        </w:rPr>
        <w:t>Workstream 6 – New Grants</w:t>
      </w:r>
    </w:p>
    <w:p w14:paraId="3BC86B2F" w14:textId="77777777" w:rsidR="00B82237" w:rsidRPr="002C6632" w:rsidRDefault="00B82237"/>
    <w:p w14:paraId="1E4CE7FB" w14:textId="4FC4EA91" w:rsidR="0024218A" w:rsidRDefault="002C6632" w:rsidP="00EF66DB">
      <w:pPr>
        <w:pStyle w:val="Bullet"/>
      </w:pPr>
      <w:proofErr w:type="spellStart"/>
      <w:r w:rsidRPr="002C6632">
        <w:t>CwPAMS</w:t>
      </w:r>
      <w:proofErr w:type="spellEnd"/>
      <w:r w:rsidRPr="002C6632">
        <w:t xml:space="preserve"> Grant – Commonwealth Partnership for Antimicrobial Stewardship</w:t>
      </w:r>
    </w:p>
    <w:p w14:paraId="4D9EDB71" w14:textId="639175E3" w:rsidR="002C6632" w:rsidRPr="002C6632" w:rsidRDefault="002C6632" w:rsidP="00D46652">
      <w:pPr>
        <w:pStyle w:val="ParagraphText-unnumbered"/>
      </w:pPr>
      <w:r w:rsidRPr="002C6632">
        <w:t>This grant has performed strongly to date and has consistently delivered on target and to budget. As such, a costed extension has just been approved for additional funding, to be delivered during the remainder of 2020/21 financial year.</w:t>
      </w:r>
    </w:p>
    <w:p w14:paraId="5AF5E6A7" w14:textId="7F93EBAF" w:rsidR="002C6632" w:rsidRDefault="002C6632" w:rsidP="00EF66DB">
      <w:pPr>
        <w:pStyle w:val="Bullet"/>
      </w:pPr>
      <w:r w:rsidRPr="002C6632">
        <w:t>ODI/Health Economist Grant – Overseas Development Institute</w:t>
      </w:r>
    </w:p>
    <w:p w14:paraId="028DC65C" w14:textId="0C0A1D6E" w:rsidR="002C6632" w:rsidRPr="002C6632" w:rsidRDefault="002C6632" w:rsidP="00D46652">
      <w:pPr>
        <w:pStyle w:val="ParagraphText-unnumbered"/>
      </w:pPr>
      <w:r w:rsidRPr="002C6632">
        <w:t xml:space="preserve">This grant is spending on a much slower profile than anticipated in the original grant agreement, with the work largely being impacted by COVID-19. This creates uncertainty with forecasting, </w:t>
      </w:r>
      <w:r w:rsidR="002B561A" w:rsidRPr="002C6632">
        <w:t>as</w:t>
      </w:r>
      <w:r w:rsidRPr="002C6632">
        <w:t xml:space="preserve"> it is contingent on countries to state if they wish to have an ODI Fleming Fellow in Country.</w:t>
      </w:r>
    </w:p>
    <w:p w14:paraId="13FF5E3D" w14:textId="26E76049" w:rsidR="002C6632" w:rsidRDefault="002C6632" w:rsidP="00EF66DB">
      <w:pPr>
        <w:pStyle w:val="Bullet"/>
      </w:pPr>
      <w:r w:rsidRPr="002C6632">
        <w:t>FIND Grant – Foundation for Innovative</w:t>
      </w:r>
      <w:r w:rsidR="004B508F">
        <w:t xml:space="preserve"> New</w:t>
      </w:r>
      <w:r w:rsidRPr="002C6632">
        <w:t xml:space="preserve"> Diagnostics</w:t>
      </w:r>
    </w:p>
    <w:p w14:paraId="76C25348" w14:textId="6518D753" w:rsidR="00E4577D" w:rsidRPr="002C6632" w:rsidRDefault="002C6632" w:rsidP="00D46652">
      <w:pPr>
        <w:pStyle w:val="ParagraphText-unnumbered"/>
      </w:pPr>
      <w:r w:rsidRPr="002C6632">
        <w:t xml:space="preserve">This grant was funded using </w:t>
      </w:r>
      <w:r w:rsidR="000E65CD">
        <w:t>unutilised Fleming Fund budget.</w:t>
      </w:r>
    </w:p>
    <w:p w14:paraId="75DFED8B" w14:textId="77777777" w:rsidR="002C6632" w:rsidRPr="002C6632" w:rsidRDefault="002C6632" w:rsidP="00E77136"/>
    <w:p w14:paraId="1C58287F" w14:textId="596FE252" w:rsidR="002C6632" w:rsidRPr="002C6632" w:rsidRDefault="002C6632" w:rsidP="00EF66DB">
      <w:pPr>
        <w:pStyle w:val="Bullet"/>
      </w:pPr>
      <w:r w:rsidRPr="002C6632">
        <w:t>AMR M</w:t>
      </w:r>
      <w:r w:rsidR="004B508F">
        <w:t>ulti-</w:t>
      </w:r>
      <w:r w:rsidRPr="002C6632">
        <w:t>P</w:t>
      </w:r>
      <w:r w:rsidR="004B508F">
        <w:t xml:space="preserve">artner </w:t>
      </w:r>
      <w:r w:rsidRPr="002C6632">
        <w:t>T</w:t>
      </w:r>
      <w:r w:rsidR="004B508F">
        <w:t xml:space="preserve">rust </w:t>
      </w:r>
      <w:r w:rsidRPr="002C6632">
        <w:t>F</w:t>
      </w:r>
      <w:r w:rsidR="004B508F">
        <w:t>und (MPTF)</w:t>
      </w:r>
      <w:r w:rsidRPr="002C6632">
        <w:t xml:space="preserve"> Contribution – </w:t>
      </w:r>
      <w:r w:rsidR="004B508F">
        <w:t>AMR MPTF</w:t>
      </w:r>
    </w:p>
    <w:p w14:paraId="2A4FA4D5" w14:textId="7E8CC6E9" w:rsidR="002C6632" w:rsidRPr="002C6632" w:rsidRDefault="002C6632" w:rsidP="00D46652">
      <w:pPr>
        <w:pStyle w:val="ParagraphText-unnumbered"/>
      </w:pPr>
      <w:r w:rsidRPr="002C6632">
        <w:t>A contribution to the AMR MPTF was disbursed using</w:t>
      </w:r>
      <w:r w:rsidR="000E65CD">
        <w:t xml:space="preserve"> Fleming Fund underspends</w:t>
      </w:r>
      <w:r w:rsidRPr="002C6632">
        <w:t xml:space="preserve"> from 2019/20 budgets, in March 2020. </w:t>
      </w:r>
    </w:p>
    <w:p w14:paraId="703199AF" w14:textId="67FCDDBF" w:rsidR="0063379E" w:rsidRDefault="002A3100" w:rsidP="002A3100">
      <w:pPr>
        <w:pStyle w:val="Heading2"/>
      </w:pPr>
      <w:r>
        <w:t>Monitoring evaluation and learning</w:t>
      </w:r>
      <w:r w:rsidR="00FA5B5E">
        <w:t xml:space="preserve"> </w:t>
      </w:r>
    </w:p>
    <w:p w14:paraId="4F66BBFA" w14:textId="315D4FDC" w:rsidR="002A3100" w:rsidRPr="002A3100" w:rsidRDefault="002A3100" w:rsidP="002A3100">
      <w:pPr>
        <w:pStyle w:val="Heading3"/>
      </w:pPr>
      <w:bookmarkStart w:id="8" w:name="_Hlk62232144"/>
      <w:r>
        <w:t>Evaluation</w:t>
      </w:r>
    </w:p>
    <w:bookmarkEnd w:id="8"/>
    <w:p w14:paraId="3A5070C2" w14:textId="24DE0E1D" w:rsidR="00642C66" w:rsidRDefault="002C6632" w:rsidP="00D46652">
      <w:pPr>
        <w:pStyle w:val="ParagraphText-unnumbered"/>
      </w:pPr>
      <w:r w:rsidRPr="002C6632">
        <w:t xml:space="preserve">The Fleming Fund </w:t>
      </w:r>
      <w:r w:rsidR="000F3422">
        <w:t>C</w:t>
      </w:r>
      <w:r w:rsidRPr="002C6632">
        <w:t xml:space="preserve">ountry, </w:t>
      </w:r>
      <w:r w:rsidR="000F3422">
        <w:t>R</w:t>
      </w:r>
      <w:r w:rsidRPr="002C6632">
        <w:t xml:space="preserve">egional and </w:t>
      </w:r>
      <w:r w:rsidR="000F3422">
        <w:t>F</w:t>
      </w:r>
      <w:r w:rsidRPr="002C6632">
        <w:t xml:space="preserve">ellowship </w:t>
      </w:r>
      <w:r w:rsidR="000F3422">
        <w:t>G</w:t>
      </w:r>
      <w:r w:rsidRPr="002C6632">
        <w:t xml:space="preserve">rants are independently evaluated by </w:t>
      </w:r>
      <w:proofErr w:type="spellStart"/>
      <w:r w:rsidR="009400D2">
        <w:t>Itad</w:t>
      </w:r>
      <w:proofErr w:type="spellEnd"/>
      <w:r w:rsidRPr="002C6632">
        <w:t>. Due to C</w:t>
      </w:r>
      <w:r w:rsidR="00C931C1">
        <w:t>OVID</w:t>
      </w:r>
      <w:r w:rsidRPr="002C6632">
        <w:t>-19 travel restrictions and subsequent delays to overall programme delivery, there was a reconfiguration of evaluation activities, tools and resources to allow for remote data collection whi</w:t>
      </w:r>
      <w:r w:rsidR="004347A0">
        <w:t>le</w:t>
      </w:r>
      <w:r w:rsidRPr="002C6632">
        <w:t xml:space="preserve"> </w:t>
      </w:r>
      <w:r w:rsidR="004347A0">
        <w:t>maintaining</w:t>
      </w:r>
      <w:r w:rsidRPr="002C6632">
        <w:t xml:space="preserve"> quality. It was also decided to postpone the Summative Evaluation deliverable which was scheduled for this year until the programme is further ahead in its implementation. The 2020 evaluation focused on understanding the implementation and strengths and weaknesses of (1) Fleming Fellowship scheme and (2) Regional </w:t>
      </w:r>
      <w:r w:rsidR="000F3422">
        <w:t>G</w:t>
      </w:r>
      <w:r w:rsidRPr="002C6632">
        <w:t xml:space="preserve">rants and (3) the prospects for use of AMR surveillance data at country level, with the purpose of informing the design of a potential second phase of the Fleming Fund. </w:t>
      </w:r>
      <w:proofErr w:type="spellStart"/>
      <w:r w:rsidR="009400D2">
        <w:t>Itad</w:t>
      </w:r>
      <w:proofErr w:type="spellEnd"/>
      <w:r w:rsidRPr="002C6632">
        <w:t xml:space="preserve"> shared preliminary findings in October 2020 but the final report </w:t>
      </w:r>
      <w:r w:rsidR="0045746E">
        <w:t>will be</w:t>
      </w:r>
      <w:r w:rsidR="0045746E" w:rsidRPr="002C6632">
        <w:t xml:space="preserve"> </w:t>
      </w:r>
      <w:r w:rsidRPr="002C6632">
        <w:t>submitted in February 2021.</w:t>
      </w:r>
    </w:p>
    <w:p w14:paraId="3EAEB399" w14:textId="7AFA0974" w:rsidR="00273EAE" w:rsidRPr="002C6632" w:rsidRDefault="00642C66" w:rsidP="00D46652">
      <w:pPr>
        <w:pStyle w:val="ParagraphText-unnumbered"/>
      </w:pPr>
      <w:r>
        <w:t>A</w:t>
      </w:r>
      <w:r w:rsidR="002C6632" w:rsidRPr="002C6632">
        <w:t xml:space="preserve">n overview of key findings suggests that the Fellowship </w:t>
      </w:r>
      <w:r w:rsidR="000F3422">
        <w:t>S</w:t>
      </w:r>
      <w:r w:rsidR="002C6632" w:rsidRPr="002C6632">
        <w:t xml:space="preserve">cheme and Regional </w:t>
      </w:r>
      <w:r w:rsidR="000F3422">
        <w:t>G</w:t>
      </w:r>
      <w:r w:rsidR="002C6632" w:rsidRPr="002C6632">
        <w:t>rants are well</w:t>
      </w:r>
      <w:r w:rsidR="000F3422">
        <w:t>-</w:t>
      </w:r>
      <w:r w:rsidR="002C6632" w:rsidRPr="002C6632">
        <w:t>conceived and expected to make important contributions to the Fund’s overarching goals.  At this stage,</w:t>
      </w:r>
      <w:r w:rsidR="004C277F">
        <w:t xml:space="preserve"> it has found that</w:t>
      </w:r>
      <w:r w:rsidR="002C6632" w:rsidRPr="002C6632">
        <w:t xml:space="preserve"> the Fleming Fund has focused on the generation of data and strengthening AMR surveillance </w:t>
      </w:r>
      <w:r w:rsidR="002B561A" w:rsidRPr="002C6632">
        <w:t>systems,</w:t>
      </w:r>
      <w:r w:rsidR="002C6632" w:rsidRPr="002C6632">
        <w:t xml:space="preserve"> but it lacks an approach to identifying opportunities to make use of data at country-level.</w:t>
      </w:r>
      <w:r w:rsidR="002C6632" w:rsidRPr="007E1B4F">
        <w:t xml:space="preserve"> </w:t>
      </w:r>
      <w:r w:rsidR="002C6632" w:rsidRPr="002C6632">
        <w:t xml:space="preserve">However, opportunities to influence AMR-relevant policy agendas do exist. The evaluation made several recommendations on lessons and implications for future action some of which are for a </w:t>
      </w:r>
      <w:r w:rsidR="00862F45">
        <w:t xml:space="preserve">Phase </w:t>
      </w:r>
      <w:r w:rsidR="00B723DB">
        <w:t>II</w:t>
      </w:r>
      <w:r w:rsidR="002C6632" w:rsidRPr="002C6632">
        <w:t xml:space="preserve">, others for more immediate consideration. These recommendations are under review by DHSC and </w:t>
      </w:r>
      <w:r w:rsidR="009041F6">
        <w:t>M</w:t>
      </w:r>
      <w:r w:rsidR="004347A0">
        <w:t xml:space="preserve">ott </w:t>
      </w:r>
      <w:r w:rsidR="009041F6">
        <w:t>M</w:t>
      </w:r>
      <w:r w:rsidR="004347A0">
        <w:t>acDonald</w:t>
      </w:r>
      <w:r w:rsidR="002C6632" w:rsidRPr="002C6632">
        <w:t>.</w:t>
      </w:r>
    </w:p>
    <w:p w14:paraId="0736BD0B" w14:textId="600FD234" w:rsidR="00273EAE" w:rsidRPr="002C6632" w:rsidRDefault="009400D2" w:rsidP="00D46652">
      <w:pPr>
        <w:pStyle w:val="ParagraphText-unnumbered"/>
      </w:pPr>
      <w:proofErr w:type="spellStart"/>
      <w:r>
        <w:t>Itad</w:t>
      </w:r>
      <w:proofErr w:type="spellEnd"/>
      <w:r w:rsidR="002C6632" w:rsidRPr="002C6632">
        <w:t xml:space="preserve"> are also the independent evaluators of the GRAM project</w:t>
      </w:r>
      <w:r w:rsidR="00B95E88">
        <w:t>;</w:t>
      </w:r>
      <w:r w:rsidR="002C6632" w:rsidRPr="002C6632">
        <w:t xml:space="preserve"> In October 2020 they presented cross case analysis findings of the GRAM project to the delivery partners and funders. The evaluation of GRAM identified core strengths and challenges with the Global Burden of Disease’s approach to sharing and communicating </w:t>
      </w:r>
      <w:r w:rsidR="002B561A" w:rsidRPr="002C6632">
        <w:t>findings and</w:t>
      </w:r>
      <w:r w:rsidR="002C6632" w:rsidRPr="002C6632">
        <w:t xml:space="preserve"> provided </w:t>
      </w:r>
      <w:proofErr w:type="gramStart"/>
      <w:r w:rsidR="002C6632" w:rsidRPr="002C6632">
        <w:t>a number of</w:t>
      </w:r>
      <w:proofErr w:type="gramEnd"/>
      <w:r w:rsidR="002C6632" w:rsidRPr="002C6632">
        <w:t xml:space="preserve"> clear recommendations which will help strengthen utilisation of the GRAM outputs at regional and country level.</w:t>
      </w:r>
    </w:p>
    <w:p w14:paraId="048F4E2D" w14:textId="59FFFB2B" w:rsidR="002C6632" w:rsidRPr="002C6632" w:rsidRDefault="002C6632" w:rsidP="00D46652">
      <w:pPr>
        <w:pStyle w:val="ParagraphText-unnumbered"/>
        <w:rPr>
          <w:rFonts w:eastAsiaTheme="minorEastAsia"/>
        </w:rPr>
      </w:pPr>
      <w:r w:rsidRPr="002C6632">
        <w:rPr>
          <w:rFonts w:eastAsiaTheme="minorEastAsia"/>
        </w:rPr>
        <w:t xml:space="preserve">An interim evaluation </w:t>
      </w:r>
      <w:r w:rsidR="00B95E88">
        <w:rPr>
          <w:rFonts w:eastAsiaTheme="minorEastAsia"/>
        </w:rPr>
        <w:t xml:space="preserve">of the </w:t>
      </w:r>
      <w:proofErr w:type="spellStart"/>
      <w:r w:rsidR="00B95E88">
        <w:rPr>
          <w:rFonts w:eastAsiaTheme="minorEastAsia"/>
        </w:rPr>
        <w:t>CwPAMS</w:t>
      </w:r>
      <w:proofErr w:type="spellEnd"/>
      <w:r w:rsidR="00B95E88">
        <w:rPr>
          <w:rFonts w:eastAsiaTheme="minorEastAsia"/>
        </w:rPr>
        <w:t xml:space="preserve"> grant</w:t>
      </w:r>
      <w:r w:rsidRPr="002C6632">
        <w:rPr>
          <w:rFonts w:eastAsiaTheme="minorEastAsia"/>
        </w:rPr>
        <w:t xml:space="preserve"> was conducted over the summer of 2020 by independent evaluators </w:t>
      </w:r>
      <w:proofErr w:type="spellStart"/>
      <w:r w:rsidRPr="002C6632">
        <w:rPr>
          <w:rFonts w:eastAsiaTheme="minorEastAsia"/>
        </w:rPr>
        <w:t>Ingentium</w:t>
      </w:r>
      <w:proofErr w:type="spellEnd"/>
      <w:r w:rsidR="00B95E88">
        <w:rPr>
          <w:rFonts w:eastAsiaTheme="minorEastAsia"/>
        </w:rPr>
        <w:t>.</w:t>
      </w:r>
      <w:r w:rsidRPr="002C6632">
        <w:rPr>
          <w:rFonts w:eastAsiaTheme="minorEastAsia"/>
        </w:rPr>
        <w:t xml:space="preserve">  </w:t>
      </w:r>
      <w:proofErr w:type="spellStart"/>
      <w:r w:rsidRPr="002C6632">
        <w:rPr>
          <w:rFonts w:eastAsiaTheme="minorEastAsia"/>
        </w:rPr>
        <w:t>CwPAMS</w:t>
      </w:r>
      <w:proofErr w:type="spellEnd"/>
      <w:r w:rsidRPr="002C6632">
        <w:rPr>
          <w:rFonts w:eastAsiaTheme="minorEastAsia"/>
        </w:rPr>
        <w:t xml:space="preserve"> was assessed against the O</w:t>
      </w:r>
      <w:r w:rsidR="004B508F">
        <w:rPr>
          <w:rFonts w:eastAsiaTheme="minorEastAsia"/>
        </w:rPr>
        <w:t>rganisation for Economic Cooperation and Development's Development Assistance Committee (O</w:t>
      </w:r>
      <w:r w:rsidRPr="002C6632">
        <w:rPr>
          <w:rFonts w:eastAsiaTheme="minorEastAsia"/>
        </w:rPr>
        <w:t>ECD-DAC</w:t>
      </w:r>
      <w:r w:rsidR="004B508F">
        <w:rPr>
          <w:rFonts w:eastAsiaTheme="minorEastAsia"/>
        </w:rPr>
        <w:t>)</w:t>
      </w:r>
      <w:r w:rsidRPr="002C6632">
        <w:rPr>
          <w:rFonts w:eastAsiaTheme="minorEastAsia"/>
        </w:rPr>
        <w:t xml:space="preserve"> evaluation criteria on relevance, effectiveness, impact, efficiency and sustainability and scored an overall 78% "Very Good". The evaluation found there had been evidence of improved practice relating to</w:t>
      </w:r>
      <w:r w:rsidR="004347A0">
        <w:rPr>
          <w:rFonts w:eastAsiaTheme="minorEastAsia"/>
        </w:rPr>
        <w:t xml:space="preserve"> Antimicrobial Stewardships (</w:t>
      </w:r>
      <w:r w:rsidRPr="002C6632">
        <w:rPr>
          <w:rFonts w:eastAsiaTheme="minorEastAsia"/>
        </w:rPr>
        <w:t>AMS</w:t>
      </w:r>
      <w:r w:rsidR="004347A0">
        <w:rPr>
          <w:rFonts w:eastAsiaTheme="minorEastAsia"/>
        </w:rPr>
        <w:t>)</w:t>
      </w:r>
      <w:r w:rsidRPr="002C6632">
        <w:rPr>
          <w:rFonts w:eastAsiaTheme="minorEastAsia"/>
        </w:rPr>
        <w:t xml:space="preserve"> and prescribing practice, with the health partnership approach being a key factor to success. Recommendations from the evaluation have been incorporated into the extension period such as gender equality and social inclusion training and will feed into plans for a second phase. </w:t>
      </w:r>
    </w:p>
    <w:p w14:paraId="08B6BC83" w14:textId="77777777" w:rsidR="002C6632" w:rsidRPr="002C6632" w:rsidRDefault="002C6632"/>
    <w:p w14:paraId="6A6A0307" w14:textId="66AB872A" w:rsidR="006C059E" w:rsidRDefault="002C6632" w:rsidP="0021246D">
      <w:pPr>
        <w:pStyle w:val="Boxedtext-greyshading"/>
      </w:pPr>
      <w:r w:rsidRPr="00383063">
        <w:rPr>
          <w:rStyle w:val="Bold"/>
        </w:rPr>
        <w:t>Recommendation</w:t>
      </w:r>
      <w:r w:rsidR="006C059E" w:rsidRPr="00383063">
        <w:rPr>
          <w:rStyle w:val="Bold"/>
        </w:rPr>
        <w:t>:</w:t>
      </w:r>
      <w:r w:rsidR="000E65CD">
        <w:t xml:space="preserve"> </w:t>
      </w:r>
      <w:r w:rsidRPr="002C6632">
        <w:t xml:space="preserve">Review </w:t>
      </w:r>
      <w:proofErr w:type="spellStart"/>
      <w:r w:rsidR="009400D2">
        <w:t>Itad</w:t>
      </w:r>
      <w:proofErr w:type="spellEnd"/>
      <w:r w:rsidRPr="002C6632">
        <w:t xml:space="preserve"> third formative deliverable and agree recommendations to take forward.</w:t>
      </w:r>
    </w:p>
    <w:p w14:paraId="610C1006" w14:textId="68BB2227" w:rsidR="0041412F" w:rsidRPr="002C6632" w:rsidRDefault="00C42F2F" w:rsidP="002C6632">
      <w:pPr>
        <w:pStyle w:val="Heading3"/>
      </w:pPr>
      <w:r>
        <w:t>Monitoring</w:t>
      </w:r>
      <w:bookmarkStart w:id="9" w:name="_Hlk62232380"/>
    </w:p>
    <w:bookmarkEnd w:id="9"/>
    <w:p w14:paraId="1A83D25F" w14:textId="1C7F199F" w:rsidR="002C6632" w:rsidRPr="002C6632" w:rsidRDefault="002C6632" w:rsidP="00D46652">
      <w:pPr>
        <w:pStyle w:val="ParagraphText-unnumbered"/>
      </w:pPr>
      <w:r w:rsidRPr="002C6632">
        <w:t xml:space="preserve">Output indicator milestones in </w:t>
      </w:r>
      <w:r w:rsidR="00287FE6">
        <w:t>the monitoring matrix</w:t>
      </w:r>
      <w:r w:rsidRPr="002C6632">
        <w:t xml:space="preserve"> were updated in March 2020. </w:t>
      </w:r>
      <w:r w:rsidR="004C277F" w:rsidRPr="002C6632">
        <w:t xml:space="preserve">Deliverables, service levels and key performance indicators (KPIs) for </w:t>
      </w:r>
      <w:r w:rsidR="009041F6">
        <w:t>M</w:t>
      </w:r>
      <w:r w:rsidR="004347A0">
        <w:t xml:space="preserve">ott </w:t>
      </w:r>
      <w:r w:rsidR="009041F6">
        <w:t>M</w:t>
      </w:r>
      <w:r w:rsidR="004347A0">
        <w:t>acDonald</w:t>
      </w:r>
      <w:r w:rsidR="004C277F" w:rsidRPr="002C6632">
        <w:t xml:space="preserve"> and </w:t>
      </w:r>
      <w:proofErr w:type="spellStart"/>
      <w:r w:rsidR="004C277F">
        <w:t>Itad</w:t>
      </w:r>
      <w:proofErr w:type="spellEnd"/>
      <w:r w:rsidR="004C277F" w:rsidRPr="002C6632">
        <w:t xml:space="preserve"> were updated in the first quarter of 2020.</w:t>
      </w:r>
      <w:r w:rsidR="004C277F">
        <w:t xml:space="preserve"> </w:t>
      </w:r>
      <w:r w:rsidR="0091440C">
        <w:t>T</w:t>
      </w:r>
      <w:r w:rsidRPr="002C6632">
        <w:t>here are plans to develop the monitoring matrix into a portfolio</w:t>
      </w:r>
      <w:r w:rsidR="007F2225">
        <w:t>-</w:t>
      </w:r>
      <w:r w:rsidRPr="002C6632">
        <w:t>wide comprehensive results framework</w:t>
      </w:r>
      <w:r w:rsidR="0091440C">
        <w:t>, to include outcome and impact indicators.</w:t>
      </w:r>
      <w:r w:rsidRPr="002C6632">
        <w:t xml:space="preserve"> This will be done in consultation with </w:t>
      </w:r>
      <w:proofErr w:type="spellStart"/>
      <w:r w:rsidR="009400D2">
        <w:t>Itad</w:t>
      </w:r>
      <w:proofErr w:type="spellEnd"/>
      <w:r w:rsidRPr="002C6632">
        <w:t xml:space="preserve"> and our delivery partners</w:t>
      </w:r>
      <w:r w:rsidR="004C277F">
        <w:t>, with a skeleton by November 2021 in time for</w:t>
      </w:r>
      <w:r w:rsidR="004347A0">
        <w:t xml:space="preserve"> inclusion in</w:t>
      </w:r>
      <w:r w:rsidR="004C277F">
        <w:t xml:space="preserve"> the business case and finalised by April 2022.</w:t>
      </w:r>
    </w:p>
    <w:p w14:paraId="1646AD96" w14:textId="69ADB278" w:rsidR="00273EAE" w:rsidRDefault="001518F2" w:rsidP="00D46652">
      <w:pPr>
        <w:pStyle w:val="ParagraphText-unnumbered"/>
        <w:rPr>
          <w:rFonts w:eastAsiaTheme="minorHAnsi"/>
        </w:rPr>
      </w:pPr>
      <w:r>
        <w:t xml:space="preserve">Based on recommendations from both </w:t>
      </w:r>
      <w:proofErr w:type="spellStart"/>
      <w:r>
        <w:t>Itad's</w:t>
      </w:r>
      <w:proofErr w:type="spellEnd"/>
      <w:r>
        <w:t xml:space="preserve"> second formative evaluation and </w:t>
      </w:r>
      <w:r w:rsidR="009041F6">
        <w:t>M</w:t>
      </w:r>
      <w:r w:rsidR="004347A0">
        <w:t xml:space="preserve">ott </w:t>
      </w:r>
      <w:r w:rsidR="009041F6">
        <w:t>M</w:t>
      </w:r>
      <w:r w:rsidR="004347A0">
        <w:t>acDonald</w:t>
      </w:r>
      <w:r>
        <w:t xml:space="preserve">'s review on managing for </w:t>
      </w:r>
      <w:r w:rsidR="007B290C">
        <w:t>effec</w:t>
      </w:r>
      <w:r>
        <w:t>tiveness</w:t>
      </w:r>
      <w:r w:rsidR="002C6632" w:rsidRPr="002C6632">
        <w:t xml:space="preserve">, </w:t>
      </w:r>
      <w:r w:rsidR="009041F6">
        <w:t>M</w:t>
      </w:r>
      <w:r w:rsidR="004347A0">
        <w:t xml:space="preserve">ott </w:t>
      </w:r>
      <w:r w:rsidR="009041F6">
        <w:t>M</w:t>
      </w:r>
      <w:r w:rsidR="004347A0">
        <w:t>acDonald</w:t>
      </w:r>
      <w:r w:rsidR="002C6632" w:rsidRPr="002C6632">
        <w:t xml:space="preserve"> developed its monitoring mechanisms to better track progress at output level. 2020 has seen considerable progress in this area with the submission of quarterly detailed monitoring reporting. These reports provide data on KPIs, the monitoring matrix indicators, early results framework, and a summary of grantee performance and spend. M</w:t>
      </w:r>
      <w:r w:rsidR="004347A0">
        <w:t xml:space="preserve">ott </w:t>
      </w:r>
      <w:r w:rsidR="002C6632" w:rsidRPr="002C6632">
        <w:t>M</w:t>
      </w:r>
      <w:r w:rsidR="004347A0">
        <w:t>acDonald</w:t>
      </w:r>
      <w:r w:rsidR="002C6632" w:rsidRPr="002C6632">
        <w:t xml:space="preserve"> have also agreed to apply a core set of output indicators for each grant from the 18-month point of implementation for the country grant programme in 2021. Relevant output indicators will also be agreed and applied for the regional grants. </w:t>
      </w:r>
    </w:p>
    <w:p w14:paraId="24A7581A" w14:textId="307E1162" w:rsidR="00FA5B5E" w:rsidRPr="00273EAE" w:rsidRDefault="00C42F2F" w:rsidP="00273EAE">
      <w:pPr>
        <w:pStyle w:val="Heading3"/>
        <w:rPr>
          <w:rFonts w:eastAsiaTheme="minorHAnsi"/>
        </w:rPr>
      </w:pPr>
      <w:r>
        <w:rPr>
          <w:rFonts w:eastAsiaTheme="minorHAnsi"/>
        </w:rPr>
        <w:t>Learning</w:t>
      </w:r>
    </w:p>
    <w:p w14:paraId="10D9A4BF" w14:textId="38F6C00C" w:rsidR="00D7659A" w:rsidRDefault="00273EAE" w:rsidP="00D46652">
      <w:pPr>
        <w:pStyle w:val="ParagraphText-unnumbered"/>
      </w:pPr>
      <w:r w:rsidRPr="00273EAE">
        <w:t xml:space="preserve">Learning occurs at multiple levels throughout the Fleming Fund portfolio. The </w:t>
      </w:r>
      <w:proofErr w:type="spellStart"/>
      <w:r w:rsidR="009400D2">
        <w:t>Itad</w:t>
      </w:r>
      <w:proofErr w:type="spellEnd"/>
      <w:r w:rsidRPr="00273EAE">
        <w:t xml:space="preserve"> contract includes a Learning and Dissemination plan to support adaptive management, inform decision making and make early findings and results accessible to stakeholders. </w:t>
      </w:r>
      <w:r w:rsidR="00D7659A" w:rsidRPr="00D7659A">
        <w:rPr>
          <w:rFonts w:eastAsiaTheme="minorEastAsia"/>
        </w:rPr>
        <w:t xml:space="preserve">This year the Fleming Fund has undergone a review of its adaptive management approach with the support of </w:t>
      </w:r>
      <w:r w:rsidR="009041F6">
        <w:rPr>
          <w:rFonts w:eastAsiaTheme="minorEastAsia"/>
        </w:rPr>
        <w:t>M</w:t>
      </w:r>
      <w:r w:rsidR="004347A0">
        <w:rPr>
          <w:rFonts w:eastAsiaTheme="minorEastAsia"/>
        </w:rPr>
        <w:t xml:space="preserve">ott </w:t>
      </w:r>
      <w:r w:rsidR="009041F6">
        <w:rPr>
          <w:rFonts w:eastAsiaTheme="minorEastAsia"/>
        </w:rPr>
        <w:t>M</w:t>
      </w:r>
      <w:r w:rsidR="004347A0">
        <w:rPr>
          <w:rFonts w:eastAsiaTheme="minorEastAsia"/>
        </w:rPr>
        <w:t>acDonald</w:t>
      </w:r>
      <w:r w:rsidR="00D7659A" w:rsidRPr="00D7659A">
        <w:rPr>
          <w:rFonts w:eastAsiaTheme="minorEastAsia"/>
        </w:rPr>
        <w:t xml:space="preserve"> and </w:t>
      </w:r>
      <w:proofErr w:type="spellStart"/>
      <w:r w:rsidR="00D7659A" w:rsidRPr="00D7659A">
        <w:rPr>
          <w:rFonts w:eastAsiaTheme="minorEastAsia"/>
        </w:rPr>
        <w:t>Itad</w:t>
      </w:r>
      <w:proofErr w:type="spellEnd"/>
      <w:r w:rsidR="00D7659A" w:rsidRPr="00D7659A">
        <w:rPr>
          <w:rFonts w:eastAsiaTheme="minorEastAsia"/>
        </w:rPr>
        <w:t xml:space="preserve">. Guidance to the adaptive management approach has been developed and there are plans to extend the approach to encompass all delivery partners. </w:t>
      </w:r>
    </w:p>
    <w:p w14:paraId="60E78BEF" w14:textId="1B36EE4C" w:rsidR="00273EAE" w:rsidRPr="00273EAE" w:rsidRDefault="00273EAE" w:rsidP="00D46652">
      <w:pPr>
        <w:pStyle w:val="ParagraphText-unnumbered"/>
      </w:pPr>
      <w:r w:rsidRPr="00273EAE">
        <w:t xml:space="preserve">In August 2020 </w:t>
      </w:r>
      <w:proofErr w:type="spellStart"/>
      <w:r w:rsidR="009400D2">
        <w:t>Itad</w:t>
      </w:r>
      <w:proofErr w:type="spellEnd"/>
      <w:r w:rsidRPr="00273EAE">
        <w:t xml:space="preserve"> facilitated a reflections session to (1) </w:t>
      </w:r>
      <w:r w:rsidRPr="00273EAE">
        <w:rPr>
          <w:rFonts w:eastAsiaTheme="minorEastAsia"/>
        </w:rPr>
        <w:t xml:space="preserve">revisit learning acquired from the delivery of the programme so far, evaluation outputs, and other adaptive management processes, (2) reflect on what has been done to incorporate this learning into adaptations of the programme so far, and (3) what more can and should be done to improve programme delivery and support the achievement of the intended outcomes of the Fleming Fund. </w:t>
      </w:r>
    </w:p>
    <w:p w14:paraId="71D72C4A" w14:textId="5B7C6F69" w:rsidR="00273EAE" w:rsidRDefault="00273EAE">
      <w:pPr>
        <w:pStyle w:val="ParagraphText-unnumbered"/>
      </w:pPr>
      <w:r w:rsidRPr="00273EAE">
        <w:t>T</w:t>
      </w:r>
      <w:r w:rsidR="007F2225">
        <w:t>h</w:t>
      </w:r>
      <w:r w:rsidRPr="00273EAE">
        <w:t xml:space="preserve">e Managing for Effectiveness (October 2020) review conducted by </w:t>
      </w:r>
      <w:r w:rsidR="009041F6">
        <w:t>M</w:t>
      </w:r>
      <w:r w:rsidR="004347A0">
        <w:t xml:space="preserve">ott </w:t>
      </w:r>
      <w:r w:rsidR="009041F6">
        <w:t>M</w:t>
      </w:r>
      <w:r w:rsidR="004347A0">
        <w:t>acDonald</w:t>
      </w:r>
      <w:r w:rsidRPr="00273EAE">
        <w:t xml:space="preserve"> found that whilst there is a lot of learning taking place at both </w:t>
      </w:r>
      <w:r w:rsidR="009041F6">
        <w:t>M</w:t>
      </w:r>
      <w:r w:rsidR="004347A0">
        <w:t xml:space="preserve">ott </w:t>
      </w:r>
      <w:r w:rsidR="009041F6">
        <w:t>M</w:t>
      </w:r>
      <w:r w:rsidR="004347A0">
        <w:t>acDonald</w:t>
      </w:r>
      <w:r w:rsidRPr="00273EAE">
        <w:t xml:space="preserve"> and grantee level it can be strengthened. There have been </w:t>
      </w:r>
      <w:proofErr w:type="gramStart"/>
      <w:r w:rsidRPr="00273EAE">
        <w:t>a number of</w:t>
      </w:r>
      <w:proofErr w:type="gramEnd"/>
      <w:r w:rsidRPr="00273EAE">
        <w:t xml:space="preserve"> examples where </w:t>
      </w:r>
      <w:r w:rsidR="009041F6">
        <w:t>M</w:t>
      </w:r>
      <w:r w:rsidR="004347A0">
        <w:t xml:space="preserve">ott </w:t>
      </w:r>
      <w:r w:rsidR="009041F6">
        <w:t>M</w:t>
      </w:r>
      <w:r w:rsidR="004347A0">
        <w:t>acDonald</w:t>
      </w:r>
      <w:r w:rsidRPr="00273EAE">
        <w:t xml:space="preserve"> has applied learning. </w:t>
      </w:r>
      <w:r w:rsidR="009041F6">
        <w:t>M</w:t>
      </w:r>
      <w:r w:rsidR="004347A0">
        <w:t xml:space="preserve">ott </w:t>
      </w:r>
      <w:r w:rsidR="009041F6">
        <w:t>M</w:t>
      </w:r>
      <w:r w:rsidR="004347A0">
        <w:t>acDonald</w:t>
      </w:r>
      <w:r w:rsidRPr="00273EAE">
        <w:t xml:space="preserve"> is feeding lessons learnt from C</w:t>
      </w:r>
      <w:r w:rsidR="004347A0">
        <w:t xml:space="preserve">ountry </w:t>
      </w:r>
      <w:r w:rsidRPr="00273EAE">
        <w:t>G</w:t>
      </w:r>
      <w:r w:rsidR="004347A0">
        <w:t xml:space="preserve">rant </w:t>
      </w:r>
      <w:r w:rsidRPr="00273EAE">
        <w:t>1</w:t>
      </w:r>
      <w:r w:rsidR="004347A0">
        <w:t>s</w:t>
      </w:r>
      <w:r w:rsidRPr="00273EAE">
        <w:t xml:space="preserve"> </w:t>
      </w:r>
      <w:r w:rsidR="00D7659A">
        <w:t>into C</w:t>
      </w:r>
      <w:r w:rsidR="004347A0">
        <w:t xml:space="preserve">ountry </w:t>
      </w:r>
      <w:r w:rsidR="00D7659A">
        <w:t>G</w:t>
      </w:r>
      <w:r w:rsidR="004347A0">
        <w:t xml:space="preserve">rant </w:t>
      </w:r>
      <w:r w:rsidR="00D7659A">
        <w:t xml:space="preserve">2s. </w:t>
      </w:r>
      <w:r w:rsidRPr="00273EAE">
        <w:t xml:space="preserve">For </w:t>
      </w:r>
      <w:r w:rsidR="002B561A" w:rsidRPr="00273EAE">
        <w:t>example,</w:t>
      </w:r>
      <w:r w:rsidRPr="00273EAE">
        <w:t xml:space="preserve"> in C</w:t>
      </w:r>
      <w:r w:rsidR="004347A0">
        <w:t xml:space="preserve">ountry </w:t>
      </w:r>
      <w:r w:rsidRPr="00273EAE">
        <w:t>G</w:t>
      </w:r>
      <w:r w:rsidR="004347A0">
        <w:t xml:space="preserve">rant </w:t>
      </w:r>
      <w:r w:rsidRPr="00273EAE">
        <w:t xml:space="preserve">1, it was recognised </w:t>
      </w:r>
      <w:proofErr w:type="spellStart"/>
      <w:r w:rsidRPr="00273EAE">
        <w:t>thatensuring</w:t>
      </w:r>
      <w:proofErr w:type="spellEnd"/>
      <w:r w:rsidRPr="00273EAE">
        <w:t xml:space="preserve"> clinician buy-in to AMR surveillance is essential for sustainability. In response, outputs targeting more meaningful engagement and inclusion of clinicians within the surveillance system have now been included in later C</w:t>
      </w:r>
      <w:r w:rsidR="004347A0">
        <w:t xml:space="preserve">ountry </w:t>
      </w:r>
      <w:r w:rsidRPr="00273EAE">
        <w:t>G</w:t>
      </w:r>
      <w:r w:rsidR="004347A0">
        <w:t xml:space="preserve">rant </w:t>
      </w:r>
      <w:r w:rsidRPr="00273EAE">
        <w:t>1s and are being included across all C</w:t>
      </w:r>
      <w:r w:rsidR="004347A0">
        <w:t xml:space="preserve">ountry </w:t>
      </w:r>
      <w:r w:rsidRPr="00273EAE">
        <w:t>G</w:t>
      </w:r>
      <w:r w:rsidR="004347A0">
        <w:t xml:space="preserve">rant </w:t>
      </w:r>
      <w:r w:rsidRPr="00273EAE">
        <w:t>2</w:t>
      </w:r>
      <w:r w:rsidR="004347A0">
        <w:t xml:space="preserve"> Requests for Proposals (</w:t>
      </w:r>
      <w:r w:rsidRPr="00273EAE">
        <w:t>RFPs</w:t>
      </w:r>
      <w:r w:rsidR="004347A0">
        <w:t>)</w:t>
      </w:r>
      <w:r w:rsidRPr="00273EAE">
        <w:t xml:space="preserve">. However, it reported that learning opportunities should be seized upon both at the implementation level (e.g. grantee-to-grantee learning) and centrally within </w:t>
      </w:r>
      <w:r w:rsidR="009041F6">
        <w:t>Mott MacDonald</w:t>
      </w:r>
      <w:r w:rsidRPr="00273EAE">
        <w:t xml:space="preserve"> (e.g. reflection what is working and what is not).</w:t>
      </w:r>
    </w:p>
    <w:p w14:paraId="7525EE19" w14:textId="77777777" w:rsidR="00E4577D" w:rsidRDefault="00E4577D"/>
    <w:p w14:paraId="435C442C" w14:textId="77777777" w:rsidR="006C059E" w:rsidRDefault="00273EAE" w:rsidP="0021246D">
      <w:pPr>
        <w:pStyle w:val="Boxedtext-greyshading"/>
      </w:pPr>
      <w:r w:rsidRPr="00383063">
        <w:rPr>
          <w:rStyle w:val="Bold"/>
        </w:rPr>
        <w:t>Recommendation</w:t>
      </w:r>
      <w:r w:rsidR="006C059E" w:rsidRPr="00383063">
        <w:rPr>
          <w:rStyle w:val="Bold"/>
        </w:rPr>
        <w:t>s</w:t>
      </w:r>
      <w:r w:rsidRPr="00273EAE">
        <w:t>:</w:t>
      </w:r>
    </w:p>
    <w:p w14:paraId="4D405154" w14:textId="382A8845" w:rsidR="00273EAE" w:rsidRDefault="00273EAE" w:rsidP="0021246D">
      <w:pPr>
        <w:pStyle w:val="Boxedtext-greyshading"/>
      </w:pPr>
      <w:r w:rsidRPr="00273EAE">
        <w:t xml:space="preserve">Develop an overarching Fleming Fund </w:t>
      </w:r>
      <w:r w:rsidR="006C38AF">
        <w:t>results framework</w:t>
      </w:r>
      <w:r w:rsidR="006C38AF" w:rsidRPr="00273EAE">
        <w:t xml:space="preserve"> </w:t>
      </w:r>
      <w:r w:rsidRPr="00273EAE">
        <w:t xml:space="preserve">that can track progress against the revised </w:t>
      </w:r>
      <w:proofErr w:type="spellStart"/>
      <w:r w:rsidR="004347A0">
        <w:t>ToC</w:t>
      </w:r>
      <w:proofErr w:type="spellEnd"/>
      <w:r w:rsidRPr="00273EAE">
        <w:t>, the revised GHS </w:t>
      </w:r>
      <w:proofErr w:type="spellStart"/>
      <w:r w:rsidR="004347A0">
        <w:t>ToC</w:t>
      </w:r>
      <w:proofErr w:type="spellEnd"/>
      <w:r w:rsidRPr="00273EAE">
        <w:t xml:space="preserve"> (pending), and which can crucially measure contribution to outcomes in time for </w:t>
      </w:r>
      <w:r w:rsidR="00B723DB">
        <w:t>P</w:t>
      </w:r>
      <w:r w:rsidRPr="00273EAE">
        <w:t xml:space="preserve">hase </w:t>
      </w:r>
      <w:r w:rsidR="00B723DB">
        <w:t>II</w:t>
      </w:r>
      <w:r w:rsidRPr="00273EAE">
        <w:t xml:space="preserve">. </w:t>
      </w:r>
    </w:p>
    <w:p w14:paraId="4E223EA2" w14:textId="52BA8905" w:rsidR="0021246D" w:rsidRDefault="00273EAE" w:rsidP="0021246D">
      <w:pPr>
        <w:pStyle w:val="Boxedtext-greyshading"/>
      </w:pPr>
      <w:r w:rsidRPr="00273EAE">
        <w:t xml:space="preserve">Develop a portfolio wide </w:t>
      </w:r>
      <w:r w:rsidR="007F2225">
        <w:t>a</w:t>
      </w:r>
      <w:r w:rsidRPr="00273EAE">
        <w:t xml:space="preserve">daptive management workplan </w:t>
      </w:r>
      <w:r w:rsidR="002903D0">
        <w:t>and approach</w:t>
      </w:r>
      <w:r w:rsidRPr="00273EAE">
        <w:t xml:space="preserve"> in time for a </w:t>
      </w:r>
      <w:r w:rsidR="00B723DB">
        <w:t>P</w:t>
      </w:r>
      <w:r w:rsidRPr="00273EAE">
        <w:t xml:space="preserve">hase </w:t>
      </w:r>
      <w:r w:rsidR="00B723DB">
        <w:t>II</w:t>
      </w:r>
      <w:r w:rsidR="007F2225">
        <w:t>.</w:t>
      </w:r>
    </w:p>
    <w:p w14:paraId="75A48296" w14:textId="593B2C60" w:rsidR="00DD043B" w:rsidRDefault="00DD043B" w:rsidP="0021246D">
      <w:pPr>
        <w:pStyle w:val="Boxedtext-greyshading"/>
      </w:pPr>
      <w:r>
        <w:t>Fu</w:t>
      </w:r>
      <w:r w:rsidR="00386804">
        <w:t>r</w:t>
      </w:r>
      <w:r>
        <w:t>ther country visits (or virtual visits, depending on restrictions) to be planned for 2021 as part of the Annual Review process, including different Fleming Fund countries, and ideally more than one.</w:t>
      </w:r>
    </w:p>
    <w:p w14:paraId="1346B9F2" w14:textId="77777777" w:rsidR="00DD043B" w:rsidRDefault="00DD043B"/>
    <w:p w14:paraId="2A7CF968" w14:textId="2438CF48" w:rsidR="00E4577D" w:rsidRPr="00592202" w:rsidRDefault="00E4577D">
      <w:pPr>
        <w:rPr>
          <w:rStyle w:val="Bold"/>
        </w:rPr>
      </w:pPr>
      <w:r w:rsidRPr="00592202">
        <w:rPr>
          <w:rStyle w:val="Bold"/>
        </w:rPr>
        <w:t>Sustainability</w:t>
      </w:r>
    </w:p>
    <w:p w14:paraId="13DBF9F4" w14:textId="77777777" w:rsidR="00E4577D" w:rsidRDefault="00E4577D"/>
    <w:p w14:paraId="10AA14E2" w14:textId="11FE21E1" w:rsidR="00314AFB" w:rsidRDefault="00273EAE" w:rsidP="00D46652">
      <w:pPr>
        <w:pStyle w:val="ParagraphText-unnumbered"/>
      </w:pPr>
      <w:r w:rsidRPr="00273EAE">
        <w:t>Sustainability has been considered from the inception phase of the Fleming Fund p</w:t>
      </w:r>
      <w:r>
        <w:t xml:space="preserve">rogramme with </w:t>
      </w:r>
      <w:r w:rsidR="009041F6">
        <w:t>M</w:t>
      </w:r>
      <w:r w:rsidR="004347A0">
        <w:t xml:space="preserve">ott </w:t>
      </w:r>
      <w:r w:rsidR="009041F6">
        <w:t>M</w:t>
      </w:r>
      <w:r w:rsidR="004347A0">
        <w:t>acDonald</w:t>
      </w:r>
      <w:r w:rsidRPr="00273EAE">
        <w:t xml:space="preserve">. We have worked to improve the approach to sustainability using best practise and suggestions from </w:t>
      </w:r>
      <w:proofErr w:type="spellStart"/>
      <w:r w:rsidR="009400D2">
        <w:t>I</w:t>
      </w:r>
      <w:r w:rsidR="003412F7">
        <w:t>tad</w:t>
      </w:r>
      <w:proofErr w:type="spellEnd"/>
      <w:r w:rsidRPr="00273EAE">
        <w:t xml:space="preserve">. Further changes have been made to the Sustainability Analysis /Comprehensive Stakeholder Analysis (SA/CSAs) reports to include the vision of sustainability for each country and to ensure </w:t>
      </w:r>
      <w:r w:rsidR="004347A0">
        <w:t>UK Government</w:t>
      </w:r>
      <w:r w:rsidR="004347A0" w:rsidRPr="00273EAE">
        <w:t xml:space="preserve"> </w:t>
      </w:r>
      <w:r w:rsidRPr="00273EAE">
        <w:t xml:space="preserve">contacts in country are given the opportunity to comment. </w:t>
      </w:r>
      <w:r>
        <w:t>The Fleming Fund received</w:t>
      </w:r>
      <w:r w:rsidRPr="00273EAE">
        <w:t xml:space="preserve"> 14 SA/CSAs </w:t>
      </w:r>
      <w:r>
        <w:t>in 2020</w:t>
      </w:r>
      <w:r w:rsidRPr="00273EAE">
        <w:t xml:space="preserve">. A review of the Fleming Fund Sustainability approach was carried out in September with our </w:t>
      </w:r>
      <w:r w:rsidR="009041F6">
        <w:t>M</w:t>
      </w:r>
      <w:r w:rsidR="004347A0">
        <w:t xml:space="preserve">ott </w:t>
      </w:r>
      <w:r w:rsidR="009041F6">
        <w:t>M</w:t>
      </w:r>
      <w:r w:rsidR="004347A0">
        <w:t>acDonald</w:t>
      </w:r>
      <w:r w:rsidRPr="00273EAE">
        <w:t xml:space="preserve">, </w:t>
      </w:r>
      <w:proofErr w:type="spellStart"/>
      <w:r w:rsidR="009400D2">
        <w:t>I</w:t>
      </w:r>
      <w:r w:rsidR="003412F7">
        <w:t>tad</w:t>
      </w:r>
      <w:proofErr w:type="spellEnd"/>
      <w:r w:rsidRPr="00273EAE">
        <w:t xml:space="preserve"> and DHSC with further actions to strengthen the sustainability approach. During this </w:t>
      </w:r>
      <w:r w:rsidR="002B561A" w:rsidRPr="00273EAE">
        <w:t>year's</w:t>
      </w:r>
      <w:r w:rsidRPr="00273EAE">
        <w:t xml:space="preserve"> Delivery Partner Event in October a day was dedicated to sharing and discussing the Fleming Fund approach to sustainability </w:t>
      </w:r>
      <w:r>
        <w:t xml:space="preserve">with </w:t>
      </w:r>
      <w:r w:rsidRPr="00273EAE">
        <w:t>delivery partners.</w:t>
      </w:r>
    </w:p>
    <w:p w14:paraId="497F65F1" w14:textId="13F7692C" w:rsidR="00314AFB" w:rsidRDefault="00314AFB" w:rsidP="00D46652">
      <w:pPr>
        <w:pStyle w:val="ParagraphText-unnumbered"/>
      </w:pPr>
      <w:proofErr w:type="spellStart"/>
      <w:r w:rsidRPr="00E22C3E">
        <w:t>Itad's</w:t>
      </w:r>
      <w:proofErr w:type="spellEnd"/>
      <w:r w:rsidRPr="00E22C3E">
        <w:t xml:space="preserve"> evaluation finding</w:t>
      </w:r>
      <w:r w:rsidR="00147558" w:rsidRPr="00E22C3E">
        <w:t>s reveal that s</w:t>
      </w:r>
      <w:r w:rsidRPr="00E22C3E">
        <w:t>ustainabil</w:t>
      </w:r>
      <w:r w:rsidR="00147558" w:rsidRPr="00E22C3E">
        <w:t>i</w:t>
      </w:r>
      <w:r w:rsidRPr="00E22C3E">
        <w:t>ty is still a core F</w:t>
      </w:r>
      <w:r w:rsidR="00147558" w:rsidRPr="00E22C3E">
        <w:t xml:space="preserve">leming </w:t>
      </w:r>
      <w:r w:rsidRPr="00E22C3E">
        <w:t>F</w:t>
      </w:r>
      <w:r w:rsidR="00147558" w:rsidRPr="00E22C3E">
        <w:t>un</w:t>
      </w:r>
      <w:r w:rsidR="00F95109">
        <w:t xml:space="preserve">d </w:t>
      </w:r>
      <w:r w:rsidR="004347A0">
        <w:t xml:space="preserve">priority </w:t>
      </w:r>
      <w:r w:rsidR="00F95109">
        <w:t>but that t</w:t>
      </w:r>
      <w:r w:rsidR="00147558" w:rsidRPr="00E22C3E">
        <w:t xml:space="preserve">here has been greater focus on delivering sustainability in Country </w:t>
      </w:r>
      <w:r w:rsidR="007F2225">
        <w:t>G</w:t>
      </w:r>
      <w:r w:rsidR="00147558" w:rsidRPr="00E22C3E">
        <w:t xml:space="preserve">rants than in the Fellowships </w:t>
      </w:r>
      <w:r w:rsidR="007F2225">
        <w:t>S</w:t>
      </w:r>
      <w:r w:rsidR="00147558" w:rsidRPr="00E22C3E">
        <w:t xml:space="preserve">cheme or Regional Grants. Country Grantees and Host Institutions have not discussed sustainability plans with governments. </w:t>
      </w:r>
      <w:proofErr w:type="spellStart"/>
      <w:r w:rsidR="00147558" w:rsidRPr="00E22C3E">
        <w:t>Itad</w:t>
      </w:r>
      <w:proofErr w:type="spellEnd"/>
      <w:r w:rsidR="00147558" w:rsidRPr="00E22C3E">
        <w:t xml:space="preserve"> noted that m</w:t>
      </w:r>
      <w:r w:rsidRPr="00E22C3E">
        <w:t xml:space="preserve">ost grantees did not have explicit methods of measuring or targets for sustainability </w:t>
      </w:r>
      <w:r w:rsidR="00E22C3E" w:rsidRPr="00E22C3E">
        <w:t>and acknowledged that s</w:t>
      </w:r>
      <w:r w:rsidRPr="00E22C3E">
        <w:t xml:space="preserve">ustainability was identified as hard to measure. </w:t>
      </w:r>
      <w:proofErr w:type="spellStart"/>
      <w:r w:rsidR="00E22C3E" w:rsidRPr="00E22C3E">
        <w:t>Itad</w:t>
      </w:r>
      <w:proofErr w:type="spellEnd"/>
      <w:r w:rsidR="00E22C3E" w:rsidRPr="00E22C3E">
        <w:t xml:space="preserve"> concluded that the</w:t>
      </w:r>
      <w:r w:rsidR="004347A0">
        <w:t xml:space="preserve"> s</w:t>
      </w:r>
      <w:r w:rsidR="00E22C3E" w:rsidRPr="00E22C3E">
        <w:t>trategy is beginning to emerge but that there was scope to</w:t>
      </w:r>
      <w:r w:rsidR="007F2225">
        <w:t>:</w:t>
      </w:r>
      <w:r w:rsidR="00E22C3E" w:rsidRPr="00E22C3E">
        <w:t xml:space="preserve"> </w:t>
      </w:r>
    </w:p>
    <w:p w14:paraId="0679DF87" w14:textId="77777777" w:rsidR="00EF66DB" w:rsidRPr="00E22C3E" w:rsidRDefault="00EF66DB"/>
    <w:p w14:paraId="015A64C0" w14:textId="7E170D5C" w:rsidR="00E22C3E" w:rsidRPr="00E22C3E" w:rsidRDefault="007F2225" w:rsidP="00EF66DB">
      <w:pPr>
        <w:pStyle w:val="Bullet"/>
      </w:pPr>
      <w:r>
        <w:t>Detail</w:t>
      </w:r>
      <w:r w:rsidR="00E22C3E" w:rsidRPr="00E22C3E">
        <w:t xml:space="preserve"> how exit strategies would be delivered and when</w:t>
      </w:r>
    </w:p>
    <w:p w14:paraId="7400589B" w14:textId="00D80E91" w:rsidR="00386804" w:rsidRDefault="00E22C3E" w:rsidP="00474C32">
      <w:pPr>
        <w:pStyle w:val="Bullet"/>
      </w:pPr>
      <w:r w:rsidRPr="00E22C3E">
        <w:t>Develop sustainability measures and milestones for Country Grants, Fellowships and Regional Grant</w:t>
      </w:r>
      <w:r w:rsidR="007F2225">
        <w:t>s</w:t>
      </w:r>
    </w:p>
    <w:p w14:paraId="64B83AB4" w14:textId="77777777" w:rsidR="00F95109" w:rsidRDefault="00F95109" w:rsidP="007B7877">
      <w:pPr>
        <w:pStyle w:val="Heading2"/>
      </w:pPr>
    </w:p>
    <w:p w14:paraId="43AA32CF" w14:textId="77777777" w:rsidR="00CF771C" w:rsidRDefault="00CF771C" w:rsidP="00CF771C">
      <w:pPr>
        <w:pStyle w:val="ParagraphText-unnumbered"/>
      </w:pPr>
    </w:p>
    <w:p w14:paraId="1475415B" w14:textId="77777777" w:rsidR="00CF771C" w:rsidRDefault="00CF771C" w:rsidP="00CF771C">
      <w:pPr>
        <w:pStyle w:val="ParagraphText-unnumbered"/>
      </w:pPr>
    </w:p>
    <w:p w14:paraId="7FE1F9A4" w14:textId="77777777" w:rsidR="00CF771C" w:rsidRDefault="00CF771C" w:rsidP="00CF771C">
      <w:pPr>
        <w:pStyle w:val="ParagraphText-unnumbered"/>
      </w:pPr>
    </w:p>
    <w:p w14:paraId="0E8BC1ED" w14:textId="77777777" w:rsidR="00CF771C" w:rsidRDefault="00CF771C" w:rsidP="00CF771C">
      <w:pPr>
        <w:pStyle w:val="ParagraphText-unnumbered"/>
      </w:pPr>
    </w:p>
    <w:p w14:paraId="3C617911" w14:textId="77777777" w:rsidR="00CF771C" w:rsidRDefault="00CF771C" w:rsidP="00CF771C">
      <w:pPr>
        <w:pStyle w:val="ParagraphText-unnumbered"/>
      </w:pPr>
    </w:p>
    <w:p w14:paraId="5CAF70C1" w14:textId="77777777" w:rsidR="00CF771C" w:rsidRDefault="00CF771C" w:rsidP="00CF771C">
      <w:pPr>
        <w:pStyle w:val="ParagraphText-unnumbered"/>
      </w:pPr>
    </w:p>
    <w:p w14:paraId="0C916633" w14:textId="77777777" w:rsidR="00CF771C" w:rsidRDefault="00CF771C" w:rsidP="00CF771C">
      <w:pPr>
        <w:pStyle w:val="ParagraphText-unnumbered"/>
      </w:pPr>
    </w:p>
    <w:p w14:paraId="499E6784" w14:textId="77777777" w:rsidR="00CF771C" w:rsidRDefault="00CF771C" w:rsidP="00CF771C">
      <w:pPr>
        <w:pStyle w:val="ParagraphText-unnumbered"/>
      </w:pPr>
    </w:p>
    <w:p w14:paraId="57E43DA7" w14:textId="77777777" w:rsidR="008B60F6" w:rsidRDefault="008B60F6" w:rsidP="00D46652">
      <w:pPr>
        <w:pStyle w:val="ParagraphText-unnumbered"/>
      </w:pPr>
    </w:p>
    <w:sectPr w:rsidR="008B60F6" w:rsidSect="00590BF0">
      <w:type w:val="continuous"/>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3292" w14:textId="77777777" w:rsidR="00CE282B" w:rsidRDefault="00CE282B"/>
  </w:endnote>
  <w:endnote w:type="continuationSeparator" w:id="0">
    <w:p w14:paraId="323DE423" w14:textId="77777777" w:rsidR="00CE282B" w:rsidRDefault="00CE282B">
      <w:r>
        <w:continuationSeparator/>
      </w:r>
    </w:p>
    <w:p w14:paraId="0B65DC39" w14:textId="77777777" w:rsidR="00CE282B" w:rsidRDefault="00CE282B"/>
    <w:p w14:paraId="5DBE3173" w14:textId="77777777" w:rsidR="00CE282B" w:rsidRDefault="00CE282B"/>
  </w:endnote>
  <w:endnote w:type="continuationNotice" w:id="1">
    <w:p w14:paraId="02077E2D" w14:textId="77777777" w:rsidR="00CE282B" w:rsidRDefault="00CE2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1FFC" w14:textId="77777777" w:rsidR="00CE282B" w:rsidRDefault="00CE282B" w:rsidP="009123FB">
    <w:pPr>
      <w:pStyle w:val="Footer"/>
    </w:pPr>
    <w:r>
      <w:fldChar w:fldCharType="begin"/>
    </w:r>
    <w:r>
      <w:instrText xml:space="preserve">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96A4" w14:textId="77777777" w:rsidR="00CE282B" w:rsidRDefault="00CE282B" w:rsidP="009123FB">
    <w:pPr>
      <w:pStyle w:val="Footer"/>
    </w:pPr>
    <w:r>
      <w:fldChar w:fldCharType="begin"/>
    </w:r>
    <w:r>
      <w:instrText xml:space="preserve">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EB3D" w14:textId="77777777" w:rsidR="00CE282B" w:rsidRDefault="00CE282B">
      <w:r>
        <w:separator/>
      </w:r>
    </w:p>
    <w:p w14:paraId="399A7846" w14:textId="77777777" w:rsidR="00CE282B" w:rsidRDefault="00CE282B" w:rsidP="005D25DC"/>
  </w:footnote>
  <w:footnote w:type="continuationSeparator" w:id="0">
    <w:p w14:paraId="35D201F2" w14:textId="77777777" w:rsidR="00CE282B" w:rsidRDefault="00CE282B">
      <w:r>
        <w:continuationSeparator/>
      </w:r>
    </w:p>
    <w:p w14:paraId="54A18072" w14:textId="77777777" w:rsidR="00CE282B" w:rsidRDefault="00CE282B"/>
    <w:p w14:paraId="52C985F5" w14:textId="77777777" w:rsidR="00CE282B" w:rsidRDefault="00CE282B"/>
  </w:footnote>
  <w:footnote w:type="continuationNotice" w:id="1">
    <w:p w14:paraId="58F638C7" w14:textId="77777777" w:rsidR="00CE282B" w:rsidRDefault="00CE2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CA53" w14:textId="77777777" w:rsidR="00CE282B" w:rsidRPr="00242B95" w:rsidRDefault="00CE282B" w:rsidP="00242B95">
    <w:pPr>
      <w:pStyle w:val="Header"/>
    </w:pPr>
    <w:r w:rsidRPr="00242B95">
      <w:t>[Insert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E282B" w14:paraId="01D51397" w14:textId="77777777" w:rsidTr="00B20670">
      <w:trPr>
        <w:trHeight w:val="1695"/>
      </w:trPr>
      <w:tc>
        <w:tcPr>
          <w:tcW w:w="4814" w:type="dxa"/>
          <w:vAlign w:val="bottom"/>
        </w:tcPr>
        <w:p w14:paraId="7E889E02" w14:textId="77777777" w:rsidR="00CE282B" w:rsidRDefault="00CE282B" w:rsidP="00242B95">
          <w:pPr>
            <w:pStyle w:val="Header"/>
          </w:pPr>
        </w:p>
      </w:tc>
      <w:tc>
        <w:tcPr>
          <w:tcW w:w="4814" w:type="dxa"/>
          <w:vAlign w:val="bottom"/>
        </w:tcPr>
        <w:p w14:paraId="5A22BDB8" w14:textId="77777777" w:rsidR="00CE282B" w:rsidRPr="00242B95" w:rsidRDefault="00CE282B" w:rsidP="00242B95">
          <w:pPr>
            <w:pStyle w:val="Header"/>
          </w:pPr>
        </w:p>
      </w:tc>
    </w:tr>
  </w:tbl>
  <w:p w14:paraId="665D2FDD" w14:textId="77777777" w:rsidR="00CE282B" w:rsidRPr="00242B95" w:rsidRDefault="00CE282B" w:rsidP="00242B95">
    <w:pPr>
      <w:pStyle w:val="Header"/>
    </w:pPr>
    <w:r w:rsidRPr="00242B95">
      <w:rPr>
        <w:noProof/>
      </w:rPr>
      <w:drawing>
        <wp:anchor distT="0" distB="0" distL="114300" distR="114300" simplePos="0" relativeHeight="251658240" behindDoc="1" locked="1" layoutInCell="0" allowOverlap="1" wp14:anchorId="1A3F5589" wp14:editId="0AC13713">
          <wp:simplePos x="0" y="0"/>
          <wp:positionH relativeFrom="page">
            <wp:align>center</wp:align>
          </wp:positionH>
          <wp:positionV relativeFrom="page">
            <wp:align>top</wp:align>
          </wp:positionV>
          <wp:extent cx="75600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Ministry of Justice - Description: Ministry of Justice, Protecting and advancing the principles of justi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F497BD"/>
    <w:multiLevelType w:val="hybridMultilevel"/>
    <w:tmpl w:val="2A061C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528762"/>
    <w:multiLevelType w:val="hybridMultilevel"/>
    <w:tmpl w:val="4842A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E48F7C"/>
    <w:multiLevelType w:val="hybridMultilevel"/>
    <w:tmpl w:val="CABDF1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6E5BA4"/>
    <w:multiLevelType w:val="hybridMultilevel"/>
    <w:tmpl w:val="0256A8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6A1DD63"/>
    <w:multiLevelType w:val="hybridMultilevel"/>
    <w:tmpl w:val="3F3113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226D73"/>
    <w:multiLevelType w:val="hybridMultilevel"/>
    <w:tmpl w:val="78C049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77E5FB"/>
    <w:multiLevelType w:val="hybridMultilevel"/>
    <w:tmpl w:val="79321F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3770E9"/>
    <w:multiLevelType w:val="hybridMultilevel"/>
    <w:tmpl w:val="D6286200"/>
    <w:lvl w:ilvl="0" w:tplc="FD1CC736">
      <w:start w:val="1"/>
      <w:numFmt w:val="decimal"/>
      <w:lvlText w:val="%1."/>
      <w:lvlJc w:val="left"/>
      <w:pPr>
        <w:tabs>
          <w:tab w:val="num" w:pos="720"/>
        </w:tabs>
        <w:ind w:left="720" w:hanging="360"/>
      </w:pPr>
    </w:lvl>
    <w:lvl w:ilvl="1" w:tplc="E57C667E" w:tentative="1">
      <w:start w:val="1"/>
      <w:numFmt w:val="decimal"/>
      <w:lvlText w:val="%2."/>
      <w:lvlJc w:val="left"/>
      <w:pPr>
        <w:tabs>
          <w:tab w:val="num" w:pos="1440"/>
        </w:tabs>
        <w:ind w:left="1440" w:hanging="360"/>
      </w:pPr>
    </w:lvl>
    <w:lvl w:ilvl="2" w:tplc="532E8C4C" w:tentative="1">
      <w:start w:val="1"/>
      <w:numFmt w:val="decimal"/>
      <w:lvlText w:val="%3."/>
      <w:lvlJc w:val="left"/>
      <w:pPr>
        <w:tabs>
          <w:tab w:val="num" w:pos="2160"/>
        </w:tabs>
        <w:ind w:left="2160" w:hanging="360"/>
      </w:pPr>
    </w:lvl>
    <w:lvl w:ilvl="3" w:tplc="E05E2E9A" w:tentative="1">
      <w:start w:val="1"/>
      <w:numFmt w:val="decimal"/>
      <w:lvlText w:val="%4."/>
      <w:lvlJc w:val="left"/>
      <w:pPr>
        <w:tabs>
          <w:tab w:val="num" w:pos="2880"/>
        </w:tabs>
        <w:ind w:left="2880" w:hanging="360"/>
      </w:pPr>
    </w:lvl>
    <w:lvl w:ilvl="4" w:tplc="3154F1A2" w:tentative="1">
      <w:start w:val="1"/>
      <w:numFmt w:val="decimal"/>
      <w:lvlText w:val="%5."/>
      <w:lvlJc w:val="left"/>
      <w:pPr>
        <w:tabs>
          <w:tab w:val="num" w:pos="3600"/>
        </w:tabs>
        <w:ind w:left="3600" w:hanging="360"/>
      </w:pPr>
    </w:lvl>
    <w:lvl w:ilvl="5" w:tplc="5AD861CC" w:tentative="1">
      <w:start w:val="1"/>
      <w:numFmt w:val="decimal"/>
      <w:lvlText w:val="%6."/>
      <w:lvlJc w:val="left"/>
      <w:pPr>
        <w:tabs>
          <w:tab w:val="num" w:pos="4320"/>
        </w:tabs>
        <w:ind w:left="4320" w:hanging="360"/>
      </w:pPr>
    </w:lvl>
    <w:lvl w:ilvl="6" w:tplc="4236662A" w:tentative="1">
      <w:start w:val="1"/>
      <w:numFmt w:val="decimal"/>
      <w:lvlText w:val="%7."/>
      <w:lvlJc w:val="left"/>
      <w:pPr>
        <w:tabs>
          <w:tab w:val="num" w:pos="5040"/>
        </w:tabs>
        <w:ind w:left="5040" w:hanging="360"/>
      </w:pPr>
    </w:lvl>
    <w:lvl w:ilvl="7" w:tplc="EDD4769C" w:tentative="1">
      <w:start w:val="1"/>
      <w:numFmt w:val="decimal"/>
      <w:lvlText w:val="%8."/>
      <w:lvlJc w:val="left"/>
      <w:pPr>
        <w:tabs>
          <w:tab w:val="num" w:pos="5760"/>
        </w:tabs>
        <w:ind w:left="5760" w:hanging="360"/>
      </w:pPr>
    </w:lvl>
    <w:lvl w:ilvl="8" w:tplc="D77C5AB8" w:tentative="1">
      <w:start w:val="1"/>
      <w:numFmt w:val="decimal"/>
      <w:lvlText w:val="%9."/>
      <w:lvlJc w:val="left"/>
      <w:pPr>
        <w:tabs>
          <w:tab w:val="num" w:pos="6480"/>
        </w:tabs>
        <w:ind w:left="6480" w:hanging="360"/>
      </w:pPr>
    </w:lvl>
  </w:abstractNum>
  <w:abstractNum w:abstractNumId="8" w15:restartNumberingAfterBreak="0">
    <w:nsid w:val="06CC7F57"/>
    <w:multiLevelType w:val="multilevel"/>
    <w:tmpl w:val="C5083AB6"/>
    <w:lvl w:ilvl="0">
      <w:start w:val="1"/>
      <w:numFmt w:val="decimal"/>
      <w:lvlText w:val="%1."/>
      <w:lvlJc w:val="left"/>
      <w:pPr>
        <w:ind w:left="720" w:hanging="360"/>
      </w:pPr>
      <w:rPr>
        <w:rFonts w:hint="default"/>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6E073F3"/>
    <w:multiLevelType w:val="hybridMultilevel"/>
    <w:tmpl w:val="13561940"/>
    <w:lvl w:ilvl="0" w:tplc="2EF03CCE">
      <w:start w:val="1"/>
      <w:numFmt w:val="bullet"/>
      <w:lvlText w:val=""/>
      <w:lvlJc w:val="left"/>
      <w:pPr>
        <w:ind w:left="720" w:hanging="360"/>
      </w:pPr>
      <w:rPr>
        <w:rFonts w:ascii="Symbol" w:hAnsi="Symbol" w:hint="default"/>
      </w:rPr>
    </w:lvl>
    <w:lvl w:ilvl="1" w:tplc="30E07978">
      <w:start w:val="1"/>
      <w:numFmt w:val="bullet"/>
      <w:lvlText w:val="o"/>
      <w:lvlJc w:val="left"/>
      <w:pPr>
        <w:ind w:left="1440" w:hanging="360"/>
      </w:pPr>
      <w:rPr>
        <w:rFonts w:ascii="Courier New" w:hAnsi="Courier New" w:hint="default"/>
      </w:rPr>
    </w:lvl>
    <w:lvl w:ilvl="2" w:tplc="69600184">
      <w:start w:val="1"/>
      <w:numFmt w:val="bullet"/>
      <w:lvlText w:val=""/>
      <w:lvlJc w:val="left"/>
      <w:pPr>
        <w:ind w:left="2160" w:hanging="360"/>
      </w:pPr>
      <w:rPr>
        <w:rFonts w:ascii="Wingdings" w:hAnsi="Wingdings" w:hint="default"/>
      </w:rPr>
    </w:lvl>
    <w:lvl w:ilvl="3" w:tplc="88F6E314">
      <w:start w:val="1"/>
      <w:numFmt w:val="bullet"/>
      <w:lvlText w:val=""/>
      <w:lvlJc w:val="left"/>
      <w:pPr>
        <w:ind w:left="2880" w:hanging="360"/>
      </w:pPr>
      <w:rPr>
        <w:rFonts w:ascii="Symbol" w:hAnsi="Symbol" w:hint="default"/>
      </w:rPr>
    </w:lvl>
    <w:lvl w:ilvl="4" w:tplc="F5E629AC">
      <w:start w:val="1"/>
      <w:numFmt w:val="bullet"/>
      <w:lvlText w:val="o"/>
      <w:lvlJc w:val="left"/>
      <w:pPr>
        <w:ind w:left="3600" w:hanging="360"/>
      </w:pPr>
      <w:rPr>
        <w:rFonts w:ascii="Courier New" w:hAnsi="Courier New" w:hint="default"/>
      </w:rPr>
    </w:lvl>
    <w:lvl w:ilvl="5" w:tplc="3070C0A4">
      <w:start w:val="1"/>
      <w:numFmt w:val="bullet"/>
      <w:lvlText w:val=""/>
      <w:lvlJc w:val="left"/>
      <w:pPr>
        <w:ind w:left="4320" w:hanging="360"/>
      </w:pPr>
      <w:rPr>
        <w:rFonts w:ascii="Wingdings" w:hAnsi="Wingdings" w:hint="default"/>
      </w:rPr>
    </w:lvl>
    <w:lvl w:ilvl="6" w:tplc="00A64142">
      <w:start w:val="1"/>
      <w:numFmt w:val="bullet"/>
      <w:lvlText w:val=""/>
      <w:lvlJc w:val="left"/>
      <w:pPr>
        <w:ind w:left="5040" w:hanging="360"/>
      </w:pPr>
      <w:rPr>
        <w:rFonts w:ascii="Symbol" w:hAnsi="Symbol" w:hint="default"/>
      </w:rPr>
    </w:lvl>
    <w:lvl w:ilvl="7" w:tplc="128A759A">
      <w:start w:val="1"/>
      <w:numFmt w:val="bullet"/>
      <w:lvlText w:val="o"/>
      <w:lvlJc w:val="left"/>
      <w:pPr>
        <w:ind w:left="5760" w:hanging="360"/>
      </w:pPr>
      <w:rPr>
        <w:rFonts w:ascii="Courier New" w:hAnsi="Courier New" w:hint="default"/>
      </w:rPr>
    </w:lvl>
    <w:lvl w:ilvl="8" w:tplc="19C4D898">
      <w:start w:val="1"/>
      <w:numFmt w:val="bullet"/>
      <w:lvlText w:val=""/>
      <w:lvlJc w:val="left"/>
      <w:pPr>
        <w:ind w:left="6480" w:hanging="360"/>
      </w:pPr>
      <w:rPr>
        <w:rFonts w:ascii="Wingdings" w:hAnsi="Wingdings" w:hint="default"/>
      </w:rPr>
    </w:lvl>
  </w:abstractNum>
  <w:abstractNum w:abstractNumId="10" w15:restartNumberingAfterBreak="0">
    <w:nsid w:val="0ED76E4C"/>
    <w:multiLevelType w:val="hybridMultilevel"/>
    <w:tmpl w:val="5A444204"/>
    <w:lvl w:ilvl="0" w:tplc="141A9DBA">
      <w:start w:val="1"/>
      <w:numFmt w:val="bullet"/>
      <w:lvlText w:val=""/>
      <w:lvlJc w:val="left"/>
      <w:pPr>
        <w:ind w:left="720" w:hanging="360"/>
      </w:pPr>
      <w:rPr>
        <w:rFonts w:ascii="Symbol" w:hAnsi="Symbol" w:hint="default"/>
      </w:rPr>
    </w:lvl>
    <w:lvl w:ilvl="1" w:tplc="631482D8">
      <w:start w:val="1"/>
      <w:numFmt w:val="bullet"/>
      <w:lvlText w:val="o"/>
      <w:lvlJc w:val="left"/>
      <w:pPr>
        <w:ind w:left="1440" w:hanging="360"/>
      </w:pPr>
      <w:rPr>
        <w:rFonts w:ascii="Courier New" w:hAnsi="Courier New" w:hint="default"/>
      </w:rPr>
    </w:lvl>
    <w:lvl w:ilvl="2" w:tplc="06622BE2">
      <w:start w:val="1"/>
      <w:numFmt w:val="bullet"/>
      <w:lvlText w:val=""/>
      <w:lvlJc w:val="left"/>
      <w:pPr>
        <w:ind w:left="2160" w:hanging="360"/>
      </w:pPr>
      <w:rPr>
        <w:rFonts w:ascii="Wingdings" w:hAnsi="Wingdings" w:hint="default"/>
      </w:rPr>
    </w:lvl>
    <w:lvl w:ilvl="3" w:tplc="C144D77E">
      <w:start w:val="1"/>
      <w:numFmt w:val="bullet"/>
      <w:lvlText w:val=""/>
      <w:lvlJc w:val="left"/>
      <w:pPr>
        <w:ind w:left="2880" w:hanging="360"/>
      </w:pPr>
      <w:rPr>
        <w:rFonts w:ascii="Symbol" w:hAnsi="Symbol" w:hint="default"/>
      </w:rPr>
    </w:lvl>
    <w:lvl w:ilvl="4" w:tplc="9E8AB9C6">
      <w:start w:val="1"/>
      <w:numFmt w:val="bullet"/>
      <w:lvlText w:val="o"/>
      <w:lvlJc w:val="left"/>
      <w:pPr>
        <w:ind w:left="3600" w:hanging="360"/>
      </w:pPr>
      <w:rPr>
        <w:rFonts w:ascii="Courier New" w:hAnsi="Courier New" w:hint="default"/>
      </w:rPr>
    </w:lvl>
    <w:lvl w:ilvl="5" w:tplc="83640DB6">
      <w:start w:val="1"/>
      <w:numFmt w:val="bullet"/>
      <w:lvlText w:val=""/>
      <w:lvlJc w:val="left"/>
      <w:pPr>
        <w:ind w:left="4320" w:hanging="360"/>
      </w:pPr>
      <w:rPr>
        <w:rFonts w:ascii="Wingdings" w:hAnsi="Wingdings" w:hint="default"/>
      </w:rPr>
    </w:lvl>
    <w:lvl w:ilvl="6" w:tplc="7A023DA4">
      <w:start w:val="1"/>
      <w:numFmt w:val="bullet"/>
      <w:lvlText w:val=""/>
      <w:lvlJc w:val="left"/>
      <w:pPr>
        <w:ind w:left="5040" w:hanging="360"/>
      </w:pPr>
      <w:rPr>
        <w:rFonts w:ascii="Symbol" w:hAnsi="Symbol" w:hint="default"/>
      </w:rPr>
    </w:lvl>
    <w:lvl w:ilvl="7" w:tplc="3EB8AAEE">
      <w:start w:val="1"/>
      <w:numFmt w:val="bullet"/>
      <w:lvlText w:val="o"/>
      <w:lvlJc w:val="left"/>
      <w:pPr>
        <w:ind w:left="5760" w:hanging="360"/>
      </w:pPr>
      <w:rPr>
        <w:rFonts w:ascii="Courier New" w:hAnsi="Courier New" w:hint="default"/>
      </w:rPr>
    </w:lvl>
    <w:lvl w:ilvl="8" w:tplc="06C4E8E0">
      <w:start w:val="1"/>
      <w:numFmt w:val="bullet"/>
      <w:lvlText w:val=""/>
      <w:lvlJc w:val="left"/>
      <w:pPr>
        <w:ind w:left="6480" w:hanging="360"/>
      </w:pPr>
      <w:rPr>
        <w:rFonts w:ascii="Wingdings" w:hAnsi="Wingdings" w:hint="default"/>
      </w:rPr>
    </w:lvl>
  </w:abstractNum>
  <w:abstractNum w:abstractNumId="11" w15:restartNumberingAfterBreak="0">
    <w:nsid w:val="10A77E7A"/>
    <w:multiLevelType w:val="multilevel"/>
    <w:tmpl w:val="47087E8E"/>
    <w:numStyleLink w:val="Numberedlist-075"/>
  </w:abstractNum>
  <w:abstractNum w:abstractNumId="12" w15:restartNumberingAfterBreak="0">
    <w:nsid w:val="12472519"/>
    <w:multiLevelType w:val="hybridMultilevel"/>
    <w:tmpl w:val="0D100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193C6F"/>
    <w:multiLevelType w:val="multilevel"/>
    <w:tmpl w:val="7488071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8C27A9B"/>
    <w:multiLevelType w:val="hybridMultilevel"/>
    <w:tmpl w:val="A01A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16"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17"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1945642"/>
    <w:multiLevelType w:val="hybridMultilevel"/>
    <w:tmpl w:val="D29C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C663A8"/>
    <w:multiLevelType w:val="hybridMultilevel"/>
    <w:tmpl w:val="FA5AE2A0"/>
    <w:lvl w:ilvl="0" w:tplc="A6B4F6A0">
      <w:start w:val="1"/>
      <w:numFmt w:val="decimal"/>
      <w:lvlText w:val="%1."/>
      <w:lvlJc w:val="left"/>
      <w:pPr>
        <w:tabs>
          <w:tab w:val="num" w:pos="720"/>
        </w:tabs>
        <w:ind w:left="720" w:hanging="360"/>
      </w:pPr>
    </w:lvl>
    <w:lvl w:ilvl="1" w:tplc="DD5CBD88" w:tentative="1">
      <w:start w:val="1"/>
      <w:numFmt w:val="decimal"/>
      <w:lvlText w:val="%2."/>
      <w:lvlJc w:val="left"/>
      <w:pPr>
        <w:tabs>
          <w:tab w:val="num" w:pos="1440"/>
        </w:tabs>
        <w:ind w:left="1440" w:hanging="360"/>
      </w:pPr>
    </w:lvl>
    <w:lvl w:ilvl="2" w:tplc="A0544AA6" w:tentative="1">
      <w:start w:val="1"/>
      <w:numFmt w:val="decimal"/>
      <w:lvlText w:val="%3."/>
      <w:lvlJc w:val="left"/>
      <w:pPr>
        <w:tabs>
          <w:tab w:val="num" w:pos="2160"/>
        </w:tabs>
        <w:ind w:left="2160" w:hanging="360"/>
      </w:pPr>
    </w:lvl>
    <w:lvl w:ilvl="3" w:tplc="2B6C2B82" w:tentative="1">
      <w:start w:val="1"/>
      <w:numFmt w:val="decimal"/>
      <w:lvlText w:val="%4."/>
      <w:lvlJc w:val="left"/>
      <w:pPr>
        <w:tabs>
          <w:tab w:val="num" w:pos="2880"/>
        </w:tabs>
        <w:ind w:left="2880" w:hanging="360"/>
      </w:pPr>
    </w:lvl>
    <w:lvl w:ilvl="4" w:tplc="62247DCC" w:tentative="1">
      <w:start w:val="1"/>
      <w:numFmt w:val="decimal"/>
      <w:lvlText w:val="%5."/>
      <w:lvlJc w:val="left"/>
      <w:pPr>
        <w:tabs>
          <w:tab w:val="num" w:pos="3600"/>
        </w:tabs>
        <w:ind w:left="3600" w:hanging="360"/>
      </w:pPr>
    </w:lvl>
    <w:lvl w:ilvl="5" w:tplc="67ACAB92" w:tentative="1">
      <w:start w:val="1"/>
      <w:numFmt w:val="decimal"/>
      <w:lvlText w:val="%6."/>
      <w:lvlJc w:val="left"/>
      <w:pPr>
        <w:tabs>
          <w:tab w:val="num" w:pos="4320"/>
        </w:tabs>
        <w:ind w:left="4320" w:hanging="360"/>
      </w:pPr>
    </w:lvl>
    <w:lvl w:ilvl="6" w:tplc="7CBA5E2E" w:tentative="1">
      <w:start w:val="1"/>
      <w:numFmt w:val="decimal"/>
      <w:lvlText w:val="%7."/>
      <w:lvlJc w:val="left"/>
      <w:pPr>
        <w:tabs>
          <w:tab w:val="num" w:pos="5040"/>
        </w:tabs>
        <w:ind w:left="5040" w:hanging="360"/>
      </w:pPr>
    </w:lvl>
    <w:lvl w:ilvl="7" w:tplc="5E44EC0A" w:tentative="1">
      <w:start w:val="1"/>
      <w:numFmt w:val="decimal"/>
      <w:lvlText w:val="%8."/>
      <w:lvlJc w:val="left"/>
      <w:pPr>
        <w:tabs>
          <w:tab w:val="num" w:pos="5760"/>
        </w:tabs>
        <w:ind w:left="5760" w:hanging="360"/>
      </w:pPr>
    </w:lvl>
    <w:lvl w:ilvl="8" w:tplc="F5881654" w:tentative="1">
      <w:start w:val="1"/>
      <w:numFmt w:val="decimal"/>
      <w:lvlText w:val="%9."/>
      <w:lvlJc w:val="left"/>
      <w:pPr>
        <w:tabs>
          <w:tab w:val="num" w:pos="6480"/>
        </w:tabs>
        <w:ind w:left="6480" w:hanging="360"/>
      </w:pPr>
    </w:lvl>
  </w:abstractNum>
  <w:abstractNum w:abstractNumId="20" w15:restartNumberingAfterBreak="0">
    <w:nsid w:val="31EA0F31"/>
    <w:multiLevelType w:val="hybridMultilevel"/>
    <w:tmpl w:val="0E88E6A8"/>
    <w:lvl w:ilvl="0" w:tplc="5D8E64D8">
      <w:start w:val="1"/>
      <w:numFmt w:val="decimal"/>
      <w:lvlText w:val="%1."/>
      <w:lvlJc w:val="left"/>
      <w:pPr>
        <w:tabs>
          <w:tab w:val="num" w:pos="720"/>
        </w:tabs>
        <w:ind w:left="720" w:hanging="360"/>
      </w:pPr>
    </w:lvl>
    <w:lvl w:ilvl="1" w:tplc="146E323A" w:tentative="1">
      <w:start w:val="1"/>
      <w:numFmt w:val="decimal"/>
      <w:lvlText w:val="%2."/>
      <w:lvlJc w:val="left"/>
      <w:pPr>
        <w:tabs>
          <w:tab w:val="num" w:pos="1440"/>
        </w:tabs>
        <w:ind w:left="1440" w:hanging="360"/>
      </w:pPr>
    </w:lvl>
    <w:lvl w:ilvl="2" w:tplc="42C86A7E" w:tentative="1">
      <w:start w:val="1"/>
      <w:numFmt w:val="decimal"/>
      <w:lvlText w:val="%3."/>
      <w:lvlJc w:val="left"/>
      <w:pPr>
        <w:tabs>
          <w:tab w:val="num" w:pos="2160"/>
        </w:tabs>
        <w:ind w:left="2160" w:hanging="360"/>
      </w:pPr>
    </w:lvl>
    <w:lvl w:ilvl="3" w:tplc="E1E48E8E" w:tentative="1">
      <w:start w:val="1"/>
      <w:numFmt w:val="decimal"/>
      <w:lvlText w:val="%4."/>
      <w:lvlJc w:val="left"/>
      <w:pPr>
        <w:tabs>
          <w:tab w:val="num" w:pos="2880"/>
        </w:tabs>
        <w:ind w:left="2880" w:hanging="360"/>
      </w:pPr>
    </w:lvl>
    <w:lvl w:ilvl="4" w:tplc="852EADE8" w:tentative="1">
      <w:start w:val="1"/>
      <w:numFmt w:val="decimal"/>
      <w:lvlText w:val="%5."/>
      <w:lvlJc w:val="left"/>
      <w:pPr>
        <w:tabs>
          <w:tab w:val="num" w:pos="3600"/>
        </w:tabs>
        <w:ind w:left="3600" w:hanging="360"/>
      </w:pPr>
    </w:lvl>
    <w:lvl w:ilvl="5" w:tplc="13FCE968" w:tentative="1">
      <w:start w:val="1"/>
      <w:numFmt w:val="decimal"/>
      <w:lvlText w:val="%6."/>
      <w:lvlJc w:val="left"/>
      <w:pPr>
        <w:tabs>
          <w:tab w:val="num" w:pos="4320"/>
        </w:tabs>
        <w:ind w:left="4320" w:hanging="360"/>
      </w:pPr>
    </w:lvl>
    <w:lvl w:ilvl="6" w:tplc="C9E86A5A" w:tentative="1">
      <w:start w:val="1"/>
      <w:numFmt w:val="decimal"/>
      <w:lvlText w:val="%7."/>
      <w:lvlJc w:val="left"/>
      <w:pPr>
        <w:tabs>
          <w:tab w:val="num" w:pos="5040"/>
        </w:tabs>
        <w:ind w:left="5040" w:hanging="360"/>
      </w:pPr>
    </w:lvl>
    <w:lvl w:ilvl="7" w:tplc="93EEB290" w:tentative="1">
      <w:start w:val="1"/>
      <w:numFmt w:val="decimal"/>
      <w:lvlText w:val="%8."/>
      <w:lvlJc w:val="left"/>
      <w:pPr>
        <w:tabs>
          <w:tab w:val="num" w:pos="5760"/>
        </w:tabs>
        <w:ind w:left="5760" w:hanging="360"/>
      </w:pPr>
    </w:lvl>
    <w:lvl w:ilvl="8" w:tplc="F1E6B22E" w:tentative="1">
      <w:start w:val="1"/>
      <w:numFmt w:val="decimal"/>
      <w:lvlText w:val="%9."/>
      <w:lvlJc w:val="left"/>
      <w:pPr>
        <w:tabs>
          <w:tab w:val="num" w:pos="6480"/>
        </w:tabs>
        <w:ind w:left="6480" w:hanging="360"/>
      </w:pPr>
    </w:lvl>
  </w:abstractNum>
  <w:abstractNum w:abstractNumId="21" w15:restartNumberingAfterBreak="0">
    <w:nsid w:val="341C4A27"/>
    <w:multiLevelType w:val="hybridMultilevel"/>
    <w:tmpl w:val="E6EA35B6"/>
    <w:lvl w:ilvl="0" w:tplc="BB261D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A70BCD"/>
    <w:multiLevelType w:val="hybridMultilevel"/>
    <w:tmpl w:val="DCFE9AA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3044F"/>
    <w:multiLevelType w:val="hybridMultilevel"/>
    <w:tmpl w:val="F778428A"/>
    <w:lvl w:ilvl="0" w:tplc="23AAB888">
      <w:start w:val="1"/>
      <w:numFmt w:val="bullet"/>
      <w:lvlText w:val=""/>
      <w:lvlJc w:val="left"/>
      <w:pPr>
        <w:ind w:left="720" w:hanging="360"/>
      </w:pPr>
      <w:rPr>
        <w:rFonts w:ascii="Symbol" w:hAnsi="Symbol" w:hint="default"/>
      </w:rPr>
    </w:lvl>
    <w:lvl w:ilvl="1" w:tplc="EAA44B3E">
      <w:start w:val="1"/>
      <w:numFmt w:val="bullet"/>
      <w:lvlText w:val="o"/>
      <w:lvlJc w:val="left"/>
      <w:pPr>
        <w:ind w:left="1440" w:hanging="360"/>
      </w:pPr>
      <w:rPr>
        <w:rFonts w:ascii="Courier New" w:hAnsi="Courier New" w:hint="default"/>
      </w:rPr>
    </w:lvl>
    <w:lvl w:ilvl="2" w:tplc="FF609C14">
      <w:start w:val="1"/>
      <w:numFmt w:val="bullet"/>
      <w:lvlText w:val=""/>
      <w:lvlJc w:val="left"/>
      <w:pPr>
        <w:ind w:left="2160" w:hanging="360"/>
      </w:pPr>
      <w:rPr>
        <w:rFonts w:ascii="Wingdings" w:hAnsi="Wingdings" w:hint="default"/>
      </w:rPr>
    </w:lvl>
    <w:lvl w:ilvl="3" w:tplc="475608E0">
      <w:start w:val="1"/>
      <w:numFmt w:val="bullet"/>
      <w:lvlText w:val=""/>
      <w:lvlJc w:val="left"/>
      <w:pPr>
        <w:ind w:left="2880" w:hanging="360"/>
      </w:pPr>
      <w:rPr>
        <w:rFonts w:ascii="Symbol" w:hAnsi="Symbol" w:hint="default"/>
      </w:rPr>
    </w:lvl>
    <w:lvl w:ilvl="4" w:tplc="DD848FC8">
      <w:start w:val="1"/>
      <w:numFmt w:val="bullet"/>
      <w:lvlText w:val="o"/>
      <w:lvlJc w:val="left"/>
      <w:pPr>
        <w:ind w:left="3600" w:hanging="360"/>
      </w:pPr>
      <w:rPr>
        <w:rFonts w:ascii="Courier New" w:hAnsi="Courier New" w:hint="default"/>
      </w:rPr>
    </w:lvl>
    <w:lvl w:ilvl="5" w:tplc="69984EEC">
      <w:start w:val="1"/>
      <w:numFmt w:val="bullet"/>
      <w:lvlText w:val=""/>
      <w:lvlJc w:val="left"/>
      <w:pPr>
        <w:ind w:left="4320" w:hanging="360"/>
      </w:pPr>
      <w:rPr>
        <w:rFonts w:ascii="Wingdings" w:hAnsi="Wingdings" w:hint="default"/>
      </w:rPr>
    </w:lvl>
    <w:lvl w:ilvl="6" w:tplc="3CE21304">
      <w:start w:val="1"/>
      <w:numFmt w:val="bullet"/>
      <w:lvlText w:val=""/>
      <w:lvlJc w:val="left"/>
      <w:pPr>
        <w:ind w:left="5040" w:hanging="360"/>
      </w:pPr>
      <w:rPr>
        <w:rFonts w:ascii="Symbol" w:hAnsi="Symbol" w:hint="default"/>
      </w:rPr>
    </w:lvl>
    <w:lvl w:ilvl="7" w:tplc="FACAC6A2">
      <w:start w:val="1"/>
      <w:numFmt w:val="bullet"/>
      <w:lvlText w:val="o"/>
      <w:lvlJc w:val="left"/>
      <w:pPr>
        <w:ind w:left="5760" w:hanging="360"/>
      </w:pPr>
      <w:rPr>
        <w:rFonts w:ascii="Courier New" w:hAnsi="Courier New" w:hint="default"/>
      </w:rPr>
    </w:lvl>
    <w:lvl w:ilvl="8" w:tplc="E16EC0AC">
      <w:start w:val="1"/>
      <w:numFmt w:val="bullet"/>
      <w:lvlText w:val=""/>
      <w:lvlJc w:val="left"/>
      <w:pPr>
        <w:ind w:left="6480" w:hanging="360"/>
      </w:pPr>
      <w:rPr>
        <w:rFonts w:ascii="Wingdings" w:hAnsi="Wingdings" w:hint="default"/>
      </w:rPr>
    </w:lvl>
  </w:abstractNum>
  <w:abstractNum w:abstractNumId="24" w15:restartNumberingAfterBreak="0">
    <w:nsid w:val="4C3815AC"/>
    <w:multiLevelType w:val="hybridMultilevel"/>
    <w:tmpl w:val="1C4AB7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9776310"/>
    <w:multiLevelType w:val="hybridMultilevel"/>
    <w:tmpl w:val="4DCE5B4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3A44F4"/>
    <w:multiLevelType w:val="hybridMultilevel"/>
    <w:tmpl w:val="04A0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14FEB"/>
    <w:multiLevelType w:val="hybridMultilevel"/>
    <w:tmpl w:val="6F3CC838"/>
    <w:lvl w:ilvl="0" w:tplc="B3DEF5EE">
      <w:start w:val="1"/>
      <w:numFmt w:val="bullet"/>
      <w:lvlText w:val=""/>
      <w:lvlJc w:val="left"/>
      <w:pPr>
        <w:ind w:left="720" w:hanging="360"/>
      </w:pPr>
      <w:rPr>
        <w:rFonts w:ascii="Symbol" w:hAnsi="Symbol" w:hint="default"/>
      </w:rPr>
    </w:lvl>
    <w:lvl w:ilvl="1" w:tplc="37D08E3C">
      <w:start w:val="1"/>
      <w:numFmt w:val="bullet"/>
      <w:lvlText w:val="o"/>
      <w:lvlJc w:val="left"/>
      <w:pPr>
        <w:ind w:left="1440" w:hanging="360"/>
      </w:pPr>
      <w:rPr>
        <w:rFonts w:ascii="Courier New" w:hAnsi="Courier New" w:hint="default"/>
      </w:rPr>
    </w:lvl>
    <w:lvl w:ilvl="2" w:tplc="341A3BA6">
      <w:start w:val="1"/>
      <w:numFmt w:val="bullet"/>
      <w:lvlText w:val=""/>
      <w:lvlJc w:val="left"/>
      <w:pPr>
        <w:ind w:left="2160" w:hanging="360"/>
      </w:pPr>
      <w:rPr>
        <w:rFonts w:ascii="Wingdings" w:hAnsi="Wingdings" w:hint="default"/>
      </w:rPr>
    </w:lvl>
    <w:lvl w:ilvl="3" w:tplc="BB868B5C">
      <w:start w:val="1"/>
      <w:numFmt w:val="bullet"/>
      <w:lvlText w:val=""/>
      <w:lvlJc w:val="left"/>
      <w:pPr>
        <w:ind w:left="2880" w:hanging="360"/>
      </w:pPr>
      <w:rPr>
        <w:rFonts w:ascii="Symbol" w:hAnsi="Symbol" w:hint="default"/>
      </w:rPr>
    </w:lvl>
    <w:lvl w:ilvl="4" w:tplc="D9483378">
      <w:start w:val="1"/>
      <w:numFmt w:val="bullet"/>
      <w:lvlText w:val="o"/>
      <w:lvlJc w:val="left"/>
      <w:pPr>
        <w:ind w:left="3600" w:hanging="360"/>
      </w:pPr>
      <w:rPr>
        <w:rFonts w:ascii="Courier New" w:hAnsi="Courier New" w:hint="default"/>
      </w:rPr>
    </w:lvl>
    <w:lvl w:ilvl="5" w:tplc="F0C2048A">
      <w:start w:val="1"/>
      <w:numFmt w:val="bullet"/>
      <w:lvlText w:val=""/>
      <w:lvlJc w:val="left"/>
      <w:pPr>
        <w:ind w:left="4320" w:hanging="360"/>
      </w:pPr>
      <w:rPr>
        <w:rFonts w:ascii="Wingdings" w:hAnsi="Wingdings" w:hint="default"/>
      </w:rPr>
    </w:lvl>
    <w:lvl w:ilvl="6" w:tplc="7C7054FE">
      <w:start w:val="1"/>
      <w:numFmt w:val="bullet"/>
      <w:lvlText w:val=""/>
      <w:lvlJc w:val="left"/>
      <w:pPr>
        <w:ind w:left="5040" w:hanging="360"/>
      </w:pPr>
      <w:rPr>
        <w:rFonts w:ascii="Symbol" w:hAnsi="Symbol" w:hint="default"/>
      </w:rPr>
    </w:lvl>
    <w:lvl w:ilvl="7" w:tplc="2500BD00">
      <w:start w:val="1"/>
      <w:numFmt w:val="bullet"/>
      <w:lvlText w:val="o"/>
      <w:lvlJc w:val="left"/>
      <w:pPr>
        <w:ind w:left="5760" w:hanging="360"/>
      </w:pPr>
      <w:rPr>
        <w:rFonts w:ascii="Courier New" w:hAnsi="Courier New" w:hint="default"/>
      </w:rPr>
    </w:lvl>
    <w:lvl w:ilvl="8" w:tplc="4E4C47AA">
      <w:start w:val="1"/>
      <w:numFmt w:val="bullet"/>
      <w:lvlText w:val=""/>
      <w:lvlJc w:val="left"/>
      <w:pPr>
        <w:ind w:left="6480" w:hanging="360"/>
      </w:pPr>
      <w:rPr>
        <w:rFonts w:ascii="Wingdings" w:hAnsi="Wingdings" w:hint="default"/>
      </w:rPr>
    </w:lvl>
  </w:abstractNum>
  <w:abstractNum w:abstractNumId="29" w15:restartNumberingAfterBreak="0">
    <w:nsid w:val="600347F1"/>
    <w:multiLevelType w:val="hybridMultilevel"/>
    <w:tmpl w:val="D7F98D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18B6577"/>
    <w:multiLevelType w:val="multilevel"/>
    <w:tmpl w:val="AA82C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FF478A"/>
    <w:multiLevelType w:val="hybridMultilevel"/>
    <w:tmpl w:val="9580C9D4"/>
    <w:lvl w:ilvl="0" w:tplc="451E04CC">
      <w:start w:val="1"/>
      <w:numFmt w:val="bullet"/>
      <w:lvlText w:val="•"/>
      <w:lvlJc w:val="left"/>
      <w:pPr>
        <w:tabs>
          <w:tab w:val="num" w:pos="720"/>
        </w:tabs>
        <w:ind w:left="720" w:hanging="360"/>
      </w:pPr>
      <w:rPr>
        <w:rFonts w:ascii="Arial" w:hAnsi="Arial" w:hint="default"/>
      </w:rPr>
    </w:lvl>
    <w:lvl w:ilvl="1" w:tplc="4C4A01FA" w:tentative="1">
      <w:start w:val="1"/>
      <w:numFmt w:val="bullet"/>
      <w:lvlText w:val="•"/>
      <w:lvlJc w:val="left"/>
      <w:pPr>
        <w:tabs>
          <w:tab w:val="num" w:pos="1440"/>
        </w:tabs>
        <w:ind w:left="1440" w:hanging="360"/>
      </w:pPr>
      <w:rPr>
        <w:rFonts w:ascii="Arial" w:hAnsi="Arial" w:hint="default"/>
      </w:rPr>
    </w:lvl>
    <w:lvl w:ilvl="2" w:tplc="3FCCCA68" w:tentative="1">
      <w:start w:val="1"/>
      <w:numFmt w:val="bullet"/>
      <w:lvlText w:val="•"/>
      <w:lvlJc w:val="left"/>
      <w:pPr>
        <w:tabs>
          <w:tab w:val="num" w:pos="2160"/>
        </w:tabs>
        <w:ind w:left="2160" w:hanging="360"/>
      </w:pPr>
      <w:rPr>
        <w:rFonts w:ascii="Arial" w:hAnsi="Arial" w:hint="default"/>
      </w:rPr>
    </w:lvl>
    <w:lvl w:ilvl="3" w:tplc="A68015F4" w:tentative="1">
      <w:start w:val="1"/>
      <w:numFmt w:val="bullet"/>
      <w:lvlText w:val="•"/>
      <w:lvlJc w:val="left"/>
      <w:pPr>
        <w:tabs>
          <w:tab w:val="num" w:pos="2880"/>
        </w:tabs>
        <w:ind w:left="2880" w:hanging="360"/>
      </w:pPr>
      <w:rPr>
        <w:rFonts w:ascii="Arial" w:hAnsi="Arial" w:hint="default"/>
      </w:rPr>
    </w:lvl>
    <w:lvl w:ilvl="4" w:tplc="AE963FB6" w:tentative="1">
      <w:start w:val="1"/>
      <w:numFmt w:val="bullet"/>
      <w:lvlText w:val="•"/>
      <w:lvlJc w:val="left"/>
      <w:pPr>
        <w:tabs>
          <w:tab w:val="num" w:pos="3600"/>
        </w:tabs>
        <w:ind w:left="3600" w:hanging="360"/>
      </w:pPr>
      <w:rPr>
        <w:rFonts w:ascii="Arial" w:hAnsi="Arial" w:hint="default"/>
      </w:rPr>
    </w:lvl>
    <w:lvl w:ilvl="5" w:tplc="AE6E23B2" w:tentative="1">
      <w:start w:val="1"/>
      <w:numFmt w:val="bullet"/>
      <w:lvlText w:val="•"/>
      <w:lvlJc w:val="left"/>
      <w:pPr>
        <w:tabs>
          <w:tab w:val="num" w:pos="4320"/>
        </w:tabs>
        <w:ind w:left="4320" w:hanging="360"/>
      </w:pPr>
      <w:rPr>
        <w:rFonts w:ascii="Arial" w:hAnsi="Arial" w:hint="default"/>
      </w:rPr>
    </w:lvl>
    <w:lvl w:ilvl="6" w:tplc="DF2C4FFC" w:tentative="1">
      <w:start w:val="1"/>
      <w:numFmt w:val="bullet"/>
      <w:lvlText w:val="•"/>
      <w:lvlJc w:val="left"/>
      <w:pPr>
        <w:tabs>
          <w:tab w:val="num" w:pos="5040"/>
        </w:tabs>
        <w:ind w:left="5040" w:hanging="360"/>
      </w:pPr>
      <w:rPr>
        <w:rFonts w:ascii="Arial" w:hAnsi="Arial" w:hint="default"/>
      </w:rPr>
    </w:lvl>
    <w:lvl w:ilvl="7" w:tplc="0DC0FE9C" w:tentative="1">
      <w:start w:val="1"/>
      <w:numFmt w:val="bullet"/>
      <w:lvlText w:val="•"/>
      <w:lvlJc w:val="left"/>
      <w:pPr>
        <w:tabs>
          <w:tab w:val="num" w:pos="5760"/>
        </w:tabs>
        <w:ind w:left="5760" w:hanging="360"/>
      </w:pPr>
      <w:rPr>
        <w:rFonts w:ascii="Arial" w:hAnsi="Arial" w:hint="default"/>
      </w:rPr>
    </w:lvl>
    <w:lvl w:ilvl="8" w:tplc="5448A5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B45A2E"/>
    <w:multiLevelType w:val="hybridMultilevel"/>
    <w:tmpl w:val="E1EE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768CD"/>
    <w:multiLevelType w:val="hybridMultilevel"/>
    <w:tmpl w:val="95008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3A7802"/>
    <w:multiLevelType w:val="hybridMultilevel"/>
    <w:tmpl w:val="6A1C2CDE"/>
    <w:lvl w:ilvl="0" w:tplc="94AE84A2">
      <w:start w:val="1"/>
      <w:numFmt w:val="bullet"/>
      <w:lvlText w:val=""/>
      <w:lvlJc w:val="left"/>
      <w:pPr>
        <w:ind w:left="720" w:hanging="360"/>
      </w:pPr>
      <w:rPr>
        <w:rFonts w:ascii="Symbol" w:hAnsi="Symbol" w:hint="default"/>
      </w:rPr>
    </w:lvl>
    <w:lvl w:ilvl="1" w:tplc="D20A5076">
      <w:start w:val="1"/>
      <w:numFmt w:val="bullet"/>
      <w:lvlText w:val="o"/>
      <w:lvlJc w:val="left"/>
      <w:pPr>
        <w:ind w:left="1440" w:hanging="360"/>
      </w:pPr>
      <w:rPr>
        <w:rFonts w:ascii="Courier New" w:hAnsi="Courier New" w:hint="default"/>
      </w:rPr>
    </w:lvl>
    <w:lvl w:ilvl="2" w:tplc="532C5798">
      <w:start w:val="1"/>
      <w:numFmt w:val="bullet"/>
      <w:lvlText w:val=""/>
      <w:lvlJc w:val="left"/>
      <w:pPr>
        <w:ind w:left="2160" w:hanging="360"/>
      </w:pPr>
      <w:rPr>
        <w:rFonts w:ascii="Wingdings" w:hAnsi="Wingdings" w:hint="default"/>
      </w:rPr>
    </w:lvl>
    <w:lvl w:ilvl="3" w:tplc="BC66160E">
      <w:start w:val="1"/>
      <w:numFmt w:val="bullet"/>
      <w:lvlText w:val=""/>
      <w:lvlJc w:val="left"/>
      <w:pPr>
        <w:ind w:left="2880" w:hanging="360"/>
      </w:pPr>
      <w:rPr>
        <w:rFonts w:ascii="Symbol" w:hAnsi="Symbol" w:hint="default"/>
      </w:rPr>
    </w:lvl>
    <w:lvl w:ilvl="4" w:tplc="59326748">
      <w:start w:val="1"/>
      <w:numFmt w:val="bullet"/>
      <w:lvlText w:val="o"/>
      <w:lvlJc w:val="left"/>
      <w:pPr>
        <w:ind w:left="3600" w:hanging="360"/>
      </w:pPr>
      <w:rPr>
        <w:rFonts w:ascii="Courier New" w:hAnsi="Courier New" w:hint="default"/>
      </w:rPr>
    </w:lvl>
    <w:lvl w:ilvl="5" w:tplc="CC882A2E">
      <w:start w:val="1"/>
      <w:numFmt w:val="bullet"/>
      <w:lvlText w:val=""/>
      <w:lvlJc w:val="left"/>
      <w:pPr>
        <w:ind w:left="4320" w:hanging="360"/>
      </w:pPr>
      <w:rPr>
        <w:rFonts w:ascii="Wingdings" w:hAnsi="Wingdings" w:hint="default"/>
      </w:rPr>
    </w:lvl>
    <w:lvl w:ilvl="6" w:tplc="A5BA81B2">
      <w:start w:val="1"/>
      <w:numFmt w:val="bullet"/>
      <w:lvlText w:val=""/>
      <w:lvlJc w:val="left"/>
      <w:pPr>
        <w:ind w:left="5040" w:hanging="360"/>
      </w:pPr>
      <w:rPr>
        <w:rFonts w:ascii="Symbol" w:hAnsi="Symbol" w:hint="default"/>
      </w:rPr>
    </w:lvl>
    <w:lvl w:ilvl="7" w:tplc="2020C402">
      <w:start w:val="1"/>
      <w:numFmt w:val="bullet"/>
      <w:lvlText w:val="o"/>
      <w:lvlJc w:val="left"/>
      <w:pPr>
        <w:ind w:left="5760" w:hanging="360"/>
      </w:pPr>
      <w:rPr>
        <w:rFonts w:ascii="Courier New" w:hAnsi="Courier New" w:hint="default"/>
      </w:rPr>
    </w:lvl>
    <w:lvl w:ilvl="8" w:tplc="19D2FA80">
      <w:start w:val="1"/>
      <w:numFmt w:val="bullet"/>
      <w:lvlText w:val=""/>
      <w:lvlJc w:val="left"/>
      <w:pPr>
        <w:ind w:left="6480" w:hanging="360"/>
      </w:pPr>
      <w:rPr>
        <w:rFonts w:ascii="Wingdings" w:hAnsi="Wingdings" w:hint="default"/>
      </w:rPr>
    </w:lvl>
  </w:abstractNum>
  <w:abstractNum w:abstractNumId="35" w15:restartNumberingAfterBreak="0">
    <w:nsid w:val="703B4EA1"/>
    <w:multiLevelType w:val="multilevel"/>
    <w:tmpl w:val="47087E8E"/>
    <w:numStyleLink w:val="Numberedlist-075"/>
  </w:abstractNum>
  <w:abstractNum w:abstractNumId="36" w15:restartNumberingAfterBreak="0">
    <w:nsid w:val="70AF39F0"/>
    <w:multiLevelType w:val="multilevel"/>
    <w:tmpl w:val="E6168FC4"/>
    <w:lvl w:ilvl="0">
      <w:start w:val="1"/>
      <w:numFmt w:val="decimal"/>
      <w:pStyle w:val="Heading1-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E425E0"/>
    <w:multiLevelType w:val="multilevel"/>
    <w:tmpl w:val="C5083AB6"/>
    <w:lvl w:ilvl="0">
      <w:start w:val="1"/>
      <w:numFmt w:val="decimal"/>
      <w:lvlText w:val="%1."/>
      <w:lvlJc w:val="left"/>
      <w:pPr>
        <w:ind w:left="720" w:hanging="360"/>
      </w:pPr>
      <w:rPr>
        <w:rFonts w:hint="default"/>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2805AEC"/>
    <w:multiLevelType w:val="hybridMultilevel"/>
    <w:tmpl w:val="919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CFDA9C"/>
    <w:multiLevelType w:val="hybridMultilevel"/>
    <w:tmpl w:val="E9653C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0D110C"/>
    <w:multiLevelType w:val="hybridMultilevel"/>
    <w:tmpl w:val="549398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82A3F2C"/>
    <w:multiLevelType w:val="hybridMultilevel"/>
    <w:tmpl w:val="74D80162"/>
    <w:lvl w:ilvl="0" w:tplc="5BE827A6">
      <w:start w:val="1"/>
      <w:numFmt w:val="bullet"/>
      <w:lvlText w:val="•"/>
      <w:lvlJc w:val="left"/>
      <w:pPr>
        <w:tabs>
          <w:tab w:val="num" w:pos="720"/>
        </w:tabs>
        <w:ind w:left="720" w:hanging="360"/>
      </w:pPr>
      <w:rPr>
        <w:rFonts w:ascii="Arial" w:hAnsi="Arial" w:hint="default"/>
      </w:rPr>
    </w:lvl>
    <w:lvl w:ilvl="1" w:tplc="710E7F18" w:tentative="1">
      <w:start w:val="1"/>
      <w:numFmt w:val="bullet"/>
      <w:lvlText w:val="•"/>
      <w:lvlJc w:val="left"/>
      <w:pPr>
        <w:tabs>
          <w:tab w:val="num" w:pos="1440"/>
        </w:tabs>
        <w:ind w:left="1440" w:hanging="360"/>
      </w:pPr>
      <w:rPr>
        <w:rFonts w:ascii="Arial" w:hAnsi="Arial" w:hint="default"/>
      </w:rPr>
    </w:lvl>
    <w:lvl w:ilvl="2" w:tplc="2EC81910" w:tentative="1">
      <w:start w:val="1"/>
      <w:numFmt w:val="bullet"/>
      <w:lvlText w:val="•"/>
      <w:lvlJc w:val="left"/>
      <w:pPr>
        <w:tabs>
          <w:tab w:val="num" w:pos="2160"/>
        </w:tabs>
        <w:ind w:left="2160" w:hanging="360"/>
      </w:pPr>
      <w:rPr>
        <w:rFonts w:ascii="Arial" w:hAnsi="Arial" w:hint="default"/>
      </w:rPr>
    </w:lvl>
    <w:lvl w:ilvl="3" w:tplc="BA18DCEA" w:tentative="1">
      <w:start w:val="1"/>
      <w:numFmt w:val="bullet"/>
      <w:lvlText w:val="•"/>
      <w:lvlJc w:val="left"/>
      <w:pPr>
        <w:tabs>
          <w:tab w:val="num" w:pos="2880"/>
        </w:tabs>
        <w:ind w:left="2880" w:hanging="360"/>
      </w:pPr>
      <w:rPr>
        <w:rFonts w:ascii="Arial" w:hAnsi="Arial" w:hint="default"/>
      </w:rPr>
    </w:lvl>
    <w:lvl w:ilvl="4" w:tplc="8B76D092" w:tentative="1">
      <w:start w:val="1"/>
      <w:numFmt w:val="bullet"/>
      <w:lvlText w:val="•"/>
      <w:lvlJc w:val="left"/>
      <w:pPr>
        <w:tabs>
          <w:tab w:val="num" w:pos="3600"/>
        </w:tabs>
        <w:ind w:left="3600" w:hanging="360"/>
      </w:pPr>
      <w:rPr>
        <w:rFonts w:ascii="Arial" w:hAnsi="Arial" w:hint="default"/>
      </w:rPr>
    </w:lvl>
    <w:lvl w:ilvl="5" w:tplc="F4F2A83A" w:tentative="1">
      <w:start w:val="1"/>
      <w:numFmt w:val="bullet"/>
      <w:lvlText w:val="•"/>
      <w:lvlJc w:val="left"/>
      <w:pPr>
        <w:tabs>
          <w:tab w:val="num" w:pos="4320"/>
        </w:tabs>
        <w:ind w:left="4320" w:hanging="360"/>
      </w:pPr>
      <w:rPr>
        <w:rFonts w:ascii="Arial" w:hAnsi="Arial" w:hint="default"/>
      </w:rPr>
    </w:lvl>
    <w:lvl w:ilvl="6" w:tplc="3762395A" w:tentative="1">
      <w:start w:val="1"/>
      <w:numFmt w:val="bullet"/>
      <w:lvlText w:val="•"/>
      <w:lvlJc w:val="left"/>
      <w:pPr>
        <w:tabs>
          <w:tab w:val="num" w:pos="5040"/>
        </w:tabs>
        <w:ind w:left="5040" w:hanging="360"/>
      </w:pPr>
      <w:rPr>
        <w:rFonts w:ascii="Arial" w:hAnsi="Arial" w:hint="default"/>
      </w:rPr>
    </w:lvl>
    <w:lvl w:ilvl="7" w:tplc="8DB009DA" w:tentative="1">
      <w:start w:val="1"/>
      <w:numFmt w:val="bullet"/>
      <w:lvlText w:val="•"/>
      <w:lvlJc w:val="left"/>
      <w:pPr>
        <w:tabs>
          <w:tab w:val="num" w:pos="5760"/>
        </w:tabs>
        <w:ind w:left="5760" w:hanging="360"/>
      </w:pPr>
      <w:rPr>
        <w:rFonts w:ascii="Arial" w:hAnsi="Arial" w:hint="default"/>
      </w:rPr>
    </w:lvl>
    <w:lvl w:ilvl="8" w:tplc="369A146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50764C"/>
    <w:multiLevelType w:val="hybridMultilevel"/>
    <w:tmpl w:val="4C1E8B90"/>
    <w:lvl w:ilvl="0" w:tplc="9D50A8AE">
      <w:start w:val="1"/>
      <w:numFmt w:val="bullet"/>
      <w:lvlText w:val=""/>
      <w:lvlJc w:val="left"/>
      <w:pPr>
        <w:ind w:left="720" w:hanging="360"/>
      </w:pPr>
      <w:rPr>
        <w:rFonts w:ascii="Symbol" w:hAnsi="Symbol" w:hint="default"/>
      </w:rPr>
    </w:lvl>
    <w:lvl w:ilvl="1" w:tplc="A464201C">
      <w:start w:val="1"/>
      <w:numFmt w:val="bullet"/>
      <w:lvlText w:val="o"/>
      <w:lvlJc w:val="left"/>
      <w:pPr>
        <w:ind w:left="1440" w:hanging="360"/>
      </w:pPr>
      <w:rPr>
        <w:rFonts w:ascii="Courier New" w:hAnsi="Courier New" w:hint="default"/>
      </w:rPr>
    </w:lvl>
    <w:lvl w:ilvl="2" w:tplc="2D94D5AC">
      <w:start w:val="1"/>
      <w:numFmt w:val="bullet"/>
      <w:lvlText w:val=""/>
      <w:lvlJc w:val="left"/>
      <w:pPr>
        <w:ind w:left="2160" w:hanging="360"/>
      </w:pPr>
      <w:rPr>
        <w:rFonts w:ascii="Wingdings" w:hAnsi="Wingdings" w:hint="default"/>
      </w:rPr>
    </w:lvl>
    <w:lvl w:ilvl="3" w:tplc="C17A0180">
      <w:start w:val="1"/>
      <w:numFmt w:val="bullet"/>
      <w:lvlText w:val=""/>
      <w:lvlJc w:val="left"/>
      <w:pPr>
        <w:ind w:left="2880" w:hanging="360"/>
      </w:pPr>
      <w:rPr>
        <w:rFonts w:ascii="Symbol" w:hAnsi="Symbol" w:hint="default"/>
      </w:rPr>
    </w:lvl>
    <w:lvl w:ilvl="4" w:tplc="DDACC25C">
      <w:start w:val="1"/>
      <w:numFmt w:val="bullet"/>
      <w:lvlText w:val="o"/>
      <w:lvlJc w:val="left"/>
      <w:pPr>
        <w:ind w:left="3600" w:hanging="360"/>
      </w:pPr>
      <w:rPr>
        <w:rFonts w:ascii="Courier New" w:hAnsi="Courier New" w:hint="default"/>
      </w:rPr>
    </w:lvl>
    <w:lvl w:ilvl="5" w:tplc="E7346468">
      <w:start w:val="1"/>
      <w:numFmt w:val="bullet"/>
      <w:lvlText w:val=""/>
      <w:lvlJc w:val="left"/>
      <w:pPr>
        <w:ind w:left="4320" w:hanging="360"/>
      </w:pPr>
      <w:rPr>
        <w:rFonts w:ascii="Wingdings" w:hAnsi="Wingdings" w:hint="default"/>
      </w:rPr>
    </w:lvl>
    <w:lvl w:ilvl="6" w:tplc="788C13FE">
      <w:start w:val="1"/>
      <w:numFmt w:val="bullet"/>
      <w:lvlText w:val=""/>
      <w:lvlJc w:val="left"/>
      <w:pPr>
        <w:ind w:left="5040" w:hanging="360"/>
      </w:pPr>
      <w:rPr>
        <w:rFonts w:ascii="Symbol" w:hAnsi="Symbol" w:hint="default"/>
      </w:rPr>
    </w:lvl>
    <w:lvl w:ilvl="7" w:tplc="5BB8106E">
      <w:start w:val="1"/>
      <w:numFmt w:val="bullet"/>
      <w:lvlText w:val="o"/>
      <w:lvlJc w:val="left"/>
      <w:pPr>
        <w:ind w:left="5760" w:hanging="360"/>
      </w:pPr>
      <w:rPr>
        <w:rFonts w:ascii="Courier New" w:hAnsi="Courier New" w:hint="default"/>
      </w:rPr>
    </w:lvl>
    <w:lvl w:ilvl="8" w:tplc="A77E1EE8">
      <w:start w:val="1"/>
      <w:numFmt w:val="bullet"/>
      <w:lvlText w:val=""/>
      <w:lvlJc w:val="left"/>
      <w:pPr>
        <w:ind w:left="6480" w:hanging="360"/>
      </w:pPr>
      <w:rPr>
        <w:rFonts w:ascii="Wingdings" w:hAnsi="Wingdings" w:hint="default"/>
      </w:rPr>
    </w:lvl>
  </w:abstractNum>
  <w:abstractNum w:abstractNumId="43" w15:restartNumberingAfterBreak="0">
    <w:nsid w:val="7EA1EB4F"/>
    <w:multiLevelType w:val="hybridMultilevel"/>
    <w:tmpl w:val="7BA9B9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F8A13DC"/>
    <w:multiLevelType w:val="hybridMultilevel"/>
    <w:tmpl w:val="D2885B60"/>
    <w:lvl w:ilvl="0" w:tplc="08B6A82C">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36"/>
  </w:num>
  <w:num w:numId="4">
    <w:abstractNumId w:val="25"/>
  </w:num>
  <w:num w:numId="5">
    <w:abstractNumId w:val="17"/>
  </w:num>
  <w:num w:numId="6">
    <w:abstractNumId w:val="44"/>
  </w:num>
  <w:num w:numId="7">
    <w:abstractNumId w:val="33"/>
  </w:num>
  <w:num w:numId="8">
    <w:abstractNumId w:val="27"/>
  </w:num>
  <w:num w:numId="9">
    <w:abstractNumId w:val="32"/>
  </w:num>
  <w:num w:numId="10">
    <w:abstractNumId w:val="37"/>
  </w:num>
  <w:num w:numId="11">
    <w:abstractNumId w:val="8"/>
  </w:num>
  <w:num w:numId="12">
    <w:abstractNumId w:val="21"/>
  </w:num>
  <w:num w:numId="13">
    <w:abstractNumId w:val="26"/>
  </w:num>
  <w:num w:numId="14">
    <w:abstractNumId w:val="22"/>
  </w:num>
  <w:num w:numId="15">
    <w:abstractNumId w:val="11"/>
  </w:num>
  <w:num w:numId="16">
    <w:abstractNumId w:val="35"/>
  </w:num>
  <w:num w:numId="17">
    <w:abstractNumId w:val="19"/>
  </w:num>
  <w:num w:numId="18">
    <w:abstractNumId w:val="20"/>
  </w:num>
  <w:num w:numId="19">
    <w:abstractNumId w:val="7"/>
  </w:num>
  <w:num w:numId="20">
    <w:abstractNumId w:val="42"/>
  </w:num>
  <w:num w:numId="21">
    <w:abstractNumId w:val="10"/>
  </w:num>
  <w:num w:numId="22">
    <w:abstractNumId w:val="23"/>
  </w:num>
  <w:num w:numId="23">
    <w:abstractNumId w:val="9"/>
  </w:num>
  <w:num w:numId="24">
    <w:abstractNumId w:val="28"/>
  </w:num>
  <w:num w:numId="25">
    <w:abstractNumId w:val="34"/>
  </w:num>
  <w:num w:numId="26">
    <w:abstractNumId w:val="38"/>
  </w:num>
  <w:num w:numId="27">
    <w:abstractNumId w:val="14"/>
  </w:num>
  <w:num w:numId="28">
    <w:abstractNumId w:val="18"/>
  </w:num>
  <w:num w:numId="29">
    <w:abstractNumId w:val="39"/>
  </w:num>
  <w:num w:numId="30">
    <w:abstractNumId w:val="24"/>
  </w:num>
  <w:num w:numId="31">
    <w:abstractNumId w:val="1"/>
  </w:num>
  <w:num w:numId="32">
    <w:abstractNumId w:val="4"/>
  </w:num>
  <w:num w:numId="33">
    <w:abstractNumId w:val="40"/>
  </w:num>
  <w:num w:numId="34">
    <w:abstractNumId w:val="43"/>
  </w:num>
  <w:num w:numId="35">
    <w:abstractNumId w:val="5"/>
  </w:num>
  <w:num w:numId="36">
    <w:abstractNumId w:val="3"/>
  </w:num>
  <w:num w:numId="37">
    <w:abstractNumId w:val="0"/>
  </w:num>
  <w:num w:numId="38">
    <w:abstractNumId w:val="29"/>
  </w:num>
  <w:num w:numId="39">
    <w:abstractNumId w:val="12"/>
  </w:num>
  <w:num w:numId="40">
    <w:abstractNumId w:val="6"/>
  </w:num>
  <w:num w:numId="41">
    <w:abstractNumId w:val="2"/>
  </w:num>
  <w:num w:numId="42">
    <w:abstractNumId w:val="13"/>
  </w:num>
  <w:num w:numId="43">
    <w:abstractNumId w:val="30"/>
  </w:num>
  <w:num w:numId="44">
    <w:abstractNumId w:val="41"/>
  </w:num>
  <w:num w:numId="4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hideSpellingErrors/>
  <w:hideGrammaticalError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defaultTabStop w:val="425"/>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FF"/>
    <w:rsid w:val="00002FCC"/>
    <w:rsid w:val="000034A2"/>
    <w:rsid w:val="0000648B"/>
    <w:rsid w:val="00012205"/>
    <w:rsid w:val="00012D92"/>
    <w:rsid w:val="00013D8A"/>
    <w:rsid w:val="00015CEE"/>
    <w:rsid w:val="00016D59"/>
    <w:rsid w:val="0002118F"/>
    <w:rsid w:val="000214D4"/>
    <w:rsid w:val="00022008"/>
    <w:rsid w:val="000221CB"/>
    <w:rsid w:val="00022CE9"/>
    <w:rsid w:val="0002303B"/>
    <w:rsid w:val="00023158"/>
    <w:rsid w:val="0002476C"/>
    <w:rsid w:val="00024E8F"/>
    <w:rsid w:val="000265C6"/>
    <w:rsid w:val="00026A3D"/>
    <w:rsid w:val="0002724C"/>
    <w:rsid w:val="00034435"/>
    <w:rsid w:val="000350B2"/>
    <w:rsid w:val="000360E4"/>
    <w:rsid w:val="000365AD"/>
    <w:rsid w:val="00042BE8"/>
    <w:rsid w:val="000431A0"/>
    <w:rsid w:val="00053602"/>
    <w:rsid w:val="000538FB"/>
    <w:rsid w:val="00053AD2"/>
    <w:rsid w:val="00053F77"/>
    <w:rsid w:val="00056E4E"/>
    <w:rsid w:val="00057382"/>
    <w:rsid w:val="00063CD4"/>
    <w:rsid w:val="000657D2"/>
    <w:rsid w:val="00066FF9"/>
    <w:rsid w:val="00071AA3"/>
    <w:rsid w:val="00073AED"/>
    <w:rsid w:val="00075AF8"/>
    <w:rsid w:val="00077BCE"/>
    <w:rsid w:val="00080FE5"/>
    <w:rsid w:val="00082208"/>
    <w:rsid w:val="0008385D"/>
    <w:rsid w:val="00087E7C"/>
    <w:rsid w:val="0009257A"/>
    <w:rsid w:val="0009526B"/>
    <w:rsid w:val="000976C9"/>
    <w:rsid w:val="000A0449"/>
    <w:rsid w:val="000A0774"/>
    <w:rsid w:val="000A0DA6"/>
    <w:rsid w:val="000A36BC"/>
    <w:rsid w:val="000A3EAD"/>
    <w:rsid w:val="000A4877"/>
    <w:rsid w:val="000A5AF3"/>
    <w:rsid w:val="000A6926"/>
    <w:rsid w:val="000A72B2"/>
    <w:rsid w:val="000A7E41"/>
    <w:rsid w:val="000B5DD1"/>
    <w:rsid w:val="000B71E4"/>
    <w:rsid w:val="000C0E1C"/>
    <w:rsid w:val="000C513F"/>
    <w:rsid w:val="000C7FA7"/>
    <w:rsid w:val="000D3CC2"/>
    <w:rsid w:val="000D4FF7"/>
    <w:rsid w:val="000D5C69"/>
    <w:rsid w:val="000E5AA5"/>
    <w:rsid w:val="000E65CD"/>
    <w:rsid w:val="000E74B7"/>
    <w:rsid w:val="000E7D50"/>
    <w:rsid w:val="000F14DB"/>
    <w:rsid w:val="000F2E74"/>
    <w:rsid w:val="000F3422"/>
    <w:rsid w:val="000F397E"/>
    <w:rsid w:val="000F43E3"/>
    <w:rsid w:val="000F46B2"/>
    <w:rsid w:val="001034C7"/>
    <w:rsid w:val="00110FB3"/>
    <w:rsid w:val="00112057"/>
    <w:rsid w:val="00112E29"/>
    <w:rsid w:val="00113DD5"/>
    <w:rsid w:val="0011423C"/>
    <w:rsid w:val="00117502"/>
    <w:rsid w:val="001223C7"/>
    <w:rsid w:val="00124332"/>
    <w:rsid w:val="0012520B"/>
    <w:rsid w:val="00125B6B"/>
    <w:rsid w:val="0012628F"/>
    <w:rsid w:val="00127220"/>
    <w:rsid w:val="00127F6D"/>
    <w:rsid w:val="0013002E"/>
    <w:rsid w:val="00130B57"/>
    <w:rsid w:val="00132B39"/>
    <w:rsid w:val="00133CFB"/>
    <w:rsid w:val="00136634"/>
    <w:rsid w:val="0014159B"/>
    <w:rsid w:val="001417AF"/>
    <w:rsid w:val="00142289"/>
    <w:rsid w:val="00145D06"/>
    <w:rsid w:val="00146BE4"/>
    <w:rsid w:val="00147558"/>
    <w:rsid w:val="001518F2"/>
    <w:rsid w:val="00153AED"/>
    <w:rsid w:val="0015461C"/>
    <w:rsid w:val="00154E41"/>
    <w:rsid w:val="00156240"/>
    <w:rsid w:val="001659D0"/>
    <w:rsid w:val="00165D3D"/>
    <w:rsid w:val="00167900"/>
    <w:rsid w:val="0017139F"/>
    <w:rsid w:val="0017259A"/>
    <w:rsid w:val="001728ED"/>
    <w:rsid w:val="00175505"/>
    <w:rsid w:val="00176576"/>
    <w:rsid w:val="001768E5"/>
    <w:rsid w:val="00186CA4"/>
    <w:rsid w:val="00187161"/>
    <w:rsid w:val="0019534C"/>
    <w:rsid w:val="00195728"/>
    <w:rsid w:val="00195C22"/>
    <w:rsid w:val="001A1EFE"/>
    <w:rsid w:val="001A20E2"/>
    <w:rsid w:val="001A5149"/>
    <w:rsid w:val="001A54F0"/>
    <w:rsid w:val="001B46F1"/>
    <w:rsid w:val="001B4DD0"/>
    <w:rsid w:val="001B6AB7"/>
    <w:rsid w:val="001B7EF1"/>
    <w:rsid w:val="001C0DC1"/>
    <w:rsid w:val="001C1D6B"/>
    <w:rsid w:val="001C1FA8"/>
    <w:rsid w:val="001C2E08"/>
    <w:rsid w:val="001C4BDA"/>
    <w:rsid w:val="001C5C86"/>
    <w:rsid w:val="001D016E"/>
    <w:rsid w:val="001D5E42"/>
    <w:rsid w:val="001E2741"/>
    <w:rsid w:val="001E3152"/>
    <w:rsid w:val="001E3A4C"/>
    <w:rsid w:val="001E5A31"/>
    <w:rsid w:val="001E6161"/>
    <w:rsid w:val="001E6439"/>
    <w:rsid w:val="001F06D6"/>
    <w:rsid w:val="0020680F"/>
    <w:rsid w:val="002075A8"/>
    <w:rsid w:val="00207C79"/>
    <w:rsid w:val="002103AB"/>
    <w:rsid w:val="0021246D"/>
    <w:rsid w:val="00213B30"/>
    <w:rsid w:val="00214E24"/>
    <w:rsid w:val="002157D5"/>
    <w:rsid w:val="002220D7"/>
    <w:rsid w:val="002248BF"/>
    <w:rsid w:val="00224CDB"/>
    <w:rsid w:val="00225044"/>
    <w:rsid w:val="00226FBB"/>
    <w:rsid w:val="00230BE6"/>
    <w:rsid w:val="002333C5"/>
    <w:rsid w:val="0024218A"/>
    <w:rsid w:val="00242243"/>
    <w:rsid w:val="002426F3"/>
    <w:rsid w:val="00242B95"/>
    <w:rsid w:val="00246E37"/>
    <w:rsid w:val="00257B0A"/>
    <w:rsid w:val="00257B21"/>
    <w:rsid w:val="002617D0"/>
    <w:rsid w:val="00272AE4"/>
    <w:rsid w:val="00273B78"/>
    <w:rsid w:val="00273EAE"/>
    <w:rsid w:val="0027434C"/>
    <w:rsid w:val="00274CA4"/>
    <w:rsid w:val="0027601C"/>
    <w:rsid w:val="002765E9"/>
    <w:rsid w:val="00283999"/>
    <w:rsid w:val="0028411D"/>
    <w:rsid w:val="0028447B"/>
    <w:rsid w:val="00285103"/>
    <w:rsid w:val="0028600C"/>
    <w:rsid w:val="00287FE6"/>
    <w:rsid w:val="002903C5"/>
    <w:rsid w:val="002903D0"/>
    <w:rsid w:val="00291843"/>
    <w:rsid w:val="00293A74"/>
    <w:rsid w:val="0029525C"/>
    <w:rsid w:val="002A3100"/>
    <w:rsid w:val="002A37DE"/>
    <w:rsid w:val="002B08A9"/>
    <w:rsid w:val="002B561A"/>
    <w:rsid w:val="002C5C61"/>
    <w:rsid w:val="002C6632"/>
    <w:rsid w:val="002C6E54"/>
    <w:rsid w:val="002D36E8"/>
    <w:rsid w:val="002D38C6"/>
    <w:rsid w:val="002E517A"/>
    <w:rsid w:val="002E6977"/>
    <w:rsid w:val="002F091D"/>
    <w:rsid w:val="002F2444"/>
    <w:rsid w:val="002F5CC1"/>
    <w:rsid w:val="002F6DA0"/>
    <w:rsid w:val="00300543"/>
    <w:rsid w:val="003006E4"/>
    <w:rsid w:val="00302A8A"/>
    <w:rsid w:val="003049F1"/>
    <w:rsid w:val="00307691"/>
    <w:rsid w:val="003077A9"/>
    <w:rsid w:val="00311AD7"/>
    <w:rsid w:val="00311D8E"/>
    <w:rsid w:val="00313CC3"/>
    <w:rsid w:val="003144D1"/>
    <w:rsid w:val="00314AFB"/>
    <w:rsid w:val="003158FF"/>
    <w:rsid w:val="0031680E"/>
    <w:rsid w:val="00317848"/>
    <w:rsid w:val="0032042A"/>
    <w:rsid w:val="00322DC9"/>
    <w:rsid w:val="00323730"/>
    <w:rsid w:val="003245CB"/>
    <w:rsid w:val="0033552C"/>
    <w:rsid w:val="00337A77"/>
    <w:rsid w:val="0034092D"/>
    <w:rsid w:val="003412F7"/>
    <w:rsid w:val="00342368"/>
    <w:rsid w:val="00343CC9"/>
    <w:rsid w:val="003464AC"/>
    <w:rsid w:val="003540DC"/>
    <w:rsid w:val="003545DA"/>
    <w:rsid w:val="00362C91"/>
    <w:rsid w:val="00363950"/>
    <w:rsid w:val="003714FC"/>
    <w:rsid w:val="0037507E"/>
    <w:rsid w:val="00380B6C"/>
    <w:rsid w:val="00380CBE"/>
    <w:rsid w:val="00382AFF"/>
    <w:rsid w:val="00383063"/>
    <w:rsid w:val="00383635"/>
    <w:rsid w:val="00384A4F"/>
    <w:rsid w:val="00386804"/>
    <w:rsid w:val="00386DA1"/>
    <w:rsid w:val="00390135"/>
    <w:rsid w:val="003924F8"/>
    <w:rsid w:val="0039391B"/>
    <w:rsid w:val="00393B70"/>
    <w:rsid w:val="0039567E"/>
    <w:rsid w:val="003A053F"/>
    <w:rsid w:val="003A2A11"/>
    <w:rsid w:val="003A2A22"/>
    <w:rsid w:val="003A333D"/>
    <w:rsid w:val="003A4DBF"/>
    <w:rsid w:val="003A7CAA"/>
    <w:rsid w:val="003B0A8D"/>
    <w:rsid w:val="003B31E7"/>
    <w:rsid w:val="003B3500"/>
    <w:rsid w:val="003C03A8"/>
    <w:rsid w:val="003C2383"/>
    <w:rsid w:val="003C3352"/>
    <w:rsid w:val="003C6A9E"/>
    <w:rsid w:val="003D1A62"/>
    <w:rsid w:val="003D2018"/>
    <w:rsid w:val="003D2A77"/>
    <w:rsid w:val="003D4006"/>
    <w:rsid w:val="003D4E61"/>
    <w:rsid w:val="003E4969"/>
    <w:rsid w:val="003E754B"/>
    <w:rsid w:val="003F2C87"/>
    <w:rsid w:val="003F5A8C"/>
    <w:rsid w:val="003F5F75"/>
    <w:rsid w:val="003F751A"/>
    <w:rsid w:val="003F770A"/>
    <w:rsid w:val="00401106"/>
    <w:rsid w:val="00401C8B"/>
    <w:rsid w:val="004045AB"/>
    <w:rsid w:val="00412578"/>
    <w:rsid w:val="00413A69"/>
    <w:rsid w:val="0041412F"/>
    <w:rsid w:val="004151DC"/>
    <w:rsid w:val="004170AE"/>
    <w:rsid w:val="00417A3E"/>
    <w:rsid w:val="004214E8"/>
    <w:rsid w:val="004224FE"/>
    <w:rsid w:val="004309F3"/>
    <w:rsid w:val="00432127"/>
    <w:rsid w:val="00432E03"/>
    <w:rsid w:val="004347A0"/>
    <w:rsid w:val="00435B25"/>
    <w:rsid w:val="00444B08"/>
    <w:rsid w:val="00444DF8"/>
    <w:rsid w:val="004457A3"/>
    <w:rsid w:val="004471F7"/>
    <w:rsid w:val="00450F50"/>
    <w:rsid w:val="004513E9"/>
    <w:rsid w:val="004519FE"/>
    <w:rsid w:val="00452F76"/>
    <w:rsid w:val="004547F8"/>
    <w:rsid w:val="00456AEA"/>
    <w:rsid w:val="0045713A"/>
    <w:rsid w:val="0045746E"/>
    <w:rsid w:val="00461595"/>
    <w:rsid w:val="00462DF9"/>
    <w:rsid w:val="00464749"/>
    <w:rsid w:val="0046494A"/>
    <w:rsid w:val="00465163"/>
    <w:rsid w:val="00470AAC"/>
    <w:rsid w:val="0047103C"/>
    <w:rsid w:val="00471175"/>
    <w:rsid w:val="00474C32"/>
    <w:rsid w:val="00476508"/>
    <w:rsid w:val="004777CF"/>
    <w:rsid w:val="00477AEB"/>
    <w:rsid w:val="00480A14"/>
    <w:rsid w:val="00483680"/>
    <w:rsid w:val="004845FA"/>
    <w:rsid w:val="00484CBC"/>
    <w:rsid w:val="0049133E"/>
    <w:rsid w:val="00491AC7"/>
    <w:rsid w:val="00491E67"/>
    <w:rsid w:val="004929F8"/>
    <w:rsid w:val="00497B4D"/>
    <w:rsid w:val="004A0396"/>
    <w:rsid w:val="004A1230"/>
    <w:rsid w:val="004A19B9"/>
    <w:rsid w:val="004A42DF"/>
    <w:rsid w:val="004A6C7A"/>
    <w:rsid w:val="004A6FBA"/>
    <w:rsid w:val="004B157F"/>
    <w:rsid w:val="004B2ABF"/>
    <w:rsid w:val="004B508F"/>
    <w:rsid w:val="004B58DD"/>
    <w:rsid w:val="004B6AC6"/>
    <w:rsid w:val="004B6BA6"/>
    <w:rsid w:val="004B76DB"/>
    <w:rsid w:val="004C1D75"/>
    <w:rsid w:val="004C201F"/>
    <w:rsid w:val="004C277F"/>
    <w:rsid w:val="004C4618"/>
    <w:rsid w:val="004D0B87"/>
    <w:rsid w:val="004D20FD"/>
    <w:rsid w:val="004D4676"/>
    <w:rsid w:val="004D4A9B"/>
    <w:rsid w:val="004D4F93"/>
    <w:rsid w:val="004D5524"/>
    <w:rsid w:val="004D5BFB"/>
    <w:rsid w:val="004D6BDE"/>
    <w:rsid w:val="004D71E8"/>
    <w:rsid w:val="004E239A"/>
    <w:rsid w:val="004E2D2E"/>
    <w:rsid w:val="004E3345"/>
    <w:rsid w:val="004E357C"/>
    <w:rsid w:val="004E6781"/>
    <w:rsid w:val="004E6A8A"/>
    <w:rsid w:val="004E6AF6"/>
    <w:rsid w:val="004F3ED2"/>
    <w:rsid w:val="004F4F17"/>
    <w:rsid w:val="004F6CA1"/>
    <w:rsid w:val="004F7872"/>
    <w:rsid w:val="005016A2"/>
    <w:rsid w:val="00502FDF"/>
    <w:rsid w:val="005048F1"/>
    <w:rsid w:val="005066CF"/>
    <w:rsid w:val="00507BAB"/>
    <w:rsid w:val="00510DD8"/>
    <w:rsid w:val="00511467"/>
    <w:rsid w:val="00513783"/>
    <w:rsid w:val="00517E8C"/>
    <w:rsid w:val="005255E2"/>
    <w:rsid w:val="00530B22"/>
    <w:rsid w:val="00533DF1"/>
    <w:rsid w:val="00533E0F"/>
    <w:rsid w:val="00534654"/>
    <w:rsid w:val="00536B84"/>
    <w:rsid w:val="00540922"/>
    <w:rsid w:val="005447DE"/>
    <w:rsid w:val="00546B9C"/>
    <w:rsid w:val="005503EC"/>
    <w:rsid w:val="00552328"/>
    <w:rsid w:val="0055406F"/>
    <w:rsid w:val="00554637"/>
    <w:rsid w:val="005553BA"/>
    <w:rsid w:val="00556F7C"/>
    <w:rsid w:val="00561267"/>
    <w:rsid w:val="00561C37"/>
    <w:rsid w:val="00561EF3"/>
    <w:rsid w:val="00564813"/>
    <w:rsid w:val="00564C99"/>
    <w:rsid w:val="00570031"/>
    <w:rsid w:val="005746C7"/>
    <w:rsid w:val="00575995"/>
    <w:rsid w:val="00576578"/>
    <w:rsid w:val="0058393D"/>
    <w:rsid w:val="00583FE8"/>
    <w:rsid w:val="0058542C"/>
    <w:rsid w:val="00590BF0"/>
    <w:rsid w:val="0059216F"/>
    <w:rsid w:val="00592202"/>
    <w:rsid w:val="00593E8B"/>
    <w:rsid w:val="00596C42"/>
    <w:rsid w:val="00597CB3"/>
    <w:rsid w:val="005A3D1F"/>
    <w:rsid w:val="005A4621"/>
    <w:rsid w:val="005A5C75"/>
    <w:rsid w:val="005B20AD"/>
    <w:rsid w:val="005B2F9D"/>
    <w:rsid w:val="005B71EC"/>
    <w:rsid w:val="005C4297"/>
    <w:rsid w:val="005C5EBC"/>
    <w:rsid w:val="005C6D6E"/>
    <w:rsid w:val="005D0AEA"/>
    <w:rsid w:val="005D22AB"/>
    <w:rsid w:val="005D25CD"/>
    <w:rsid w:val="005D25D3"/>
    <w:rsid w:val="005D25DC"/>
    <w:rsid w:val="005D2E51"/>
    <w:rsid w:val="005D4905"/>
    <w:rsid w:val="005D728B"/>
    <w:rsid w:val="005E0844"/>
    <w:rsid w:val="005E7427"/>
    <w:rsid w:val="005E7598"/>
    <w:rsid w:val="005F3743"/>
    <w:rsid w:val="00601F41"/>
    <w:rsid w:val="0060498D"/>
    <w:rsid w:val="00606A89"/>
    <w:rsid w:val="006108B6"/>
    <w:rsid w:val="00615E6B"/>
    <w:rsid w:val="006172E1"/>
    <w:rsid w:val="0062083D"/>
    <w:rsid w:val="006245DF"/>
    <w:rsid w:val="0063379E"/>
    <w:rsid w:val="006351A9"/>
    <w:rsid w:val="00636B4C"/>
    <w:rsid w:val="00637B3D"/>
    <w:rsid w:val="00640326"/>
    <w:rsid w:val="006414A2"/>
    <w:rsid w:val="00642C66"/>
    <w:rsid w:val="006441DA"/>
    <w:rsid w:val="00644333"/>
    <w:rsid w:val="00644A07"/>
    <w:rsid w:val="006514DC"/>
    <w:rsid w:val="006521A6"/>
    <w:rsid w:val="006532B1"/>
    <w:rsid w:val="006539C0"/>
    <w:rsid w:val="00654B70"/>
    <w:rsid w:val="00654C97"/>
    <w:rsid w:val="0065518B"/>
    <w:rsid w:val="00656851"/>
    <w:rsid w:val="00662135"/>
    <w:rsid w:val="0066473B"/>
    <w:rsid w:val="00671307"/>
    <w:rsid w:val="00671385"/>
    <w:rsid w:val="00675130"/>
    <w:rsid w:val="00681BEF"/>
    <w:rsid w:val="006879DC"/>
    <w:rsid w:val="0069137D"/>
    <w:rsid w:val="00692CBB"/>
    <w:rsid w:val="00693120"/>
    <w:rsid w:val="006A2245"/>
    <w:rsid w:val="006A3170"/>
    <w:rsid w:val="006A6719"/>
    <w:rsid w:val="006B6326"/>
    <w:rsid w:val="006B63B4"/>
    <w:rsid w:val="006C059E"/>
    <w:rsid w:val="006C1271"/>
    <w:rsid w:val="006C320A"/>
    <w:rsid w:val="006C38AF"/>
    <w:rsid w:val="006C75F0"/>
    <w:rsid w:val="006D271D"/>
    <w:rsid w:val="006D7431"/>
    <w:rsid w:val="006D7502"/>
    <w:rsid w:val="006E0B56"/>
    <w:rsid w:val="006E12D2"/>
    <w:rsid w:val="006E2439"/>
    <w:rsid w:val="006E3E2B"/>
    <w:rsid w:val="006E4DF2"/>
    <w:rsid w:val="006E7031"/>
    <w:rsid w:val="006F0A77"/>
    <w:rsid w:val="006F1EF5"/>
    <w:rsid w:val="006F3024"/>
    <w:rsid w:val="006F5E15"/>
    <w:rsid w:val="006F711F"/>
    <w:rsid w:val="00704F4B"/>
    <w:rsid w:val="00705281"/>
    <w:rsid w:val="00711CF3"/>
    <w:rsid w:val="007130CA"/>
    <w:rsid w:val="00714D60"/>
    <w:rsid w:val="0072080C"/>
    <w:rsid w:val="00720BBD"/>
    <w:rsid w:val="007214F4"/>
    <w:rsid w:val="00722BCD"/>
    <w:rsid w:val="00726111"/>
    <w:rsid w:val="00726C35"/>
    <w:rsid w:val="0072743F"/>
    <w:rsid w:val="00727AA3"/>
    <w:rsid w:val="00731351"/>
    <w:rsid w:val="00731C07"/>
    <w:rsid w:val="00732812"/>
    <w:rsid w:val="00734113"/>
    <w:rsid w:val="00735AF3"/>
    <w:rsid w:val="00737B27"/>
    <w:rsid w:val="00740659"/>
    <w:rsid w:val="00740D8C"/>
    <w:rsid w:val="00741895"/>
    <w:rsid w:val="00742658"/>
    <w:rsid w:val="00742CB7"/>
    <w:rsid w:val="007435F2"/>
    <w:rsid w:val="0074572A"/>
    <w:rsid w:val="00745FE2"/>
    <w:rsid w:val="0074759A"/>
    <w:rsid w:val="007519FF"/>
    <w:rsid w:val="0075288E"/>
    <w:rsid w:val="00755076"/>
    <w:rsid w:val="007551B0"/>
    <w:rsid w:val="00755F94"/>
    <w:rsid w:val="00760F37"/>
    <w:rsid w:val="007623AA"/>
    <w:rsid w:val="00771AD1"/>
    <w:rsid w:val="00771C5B"/>
    <w:rsid w:val="007746ED"/>
    <w:rsid w:val="0078336C"/>
    <w:rsid w:val="00783782"/>
    <w:rsid w:val="00783966"/>
    <w:rsid w:val="00783C2E"/>
    <w:rsid w:val="00784689"/>
    <w:rsid w:val="007868C8"/>
    <w:rsid w:val="0079026D"/>
    <w:rsid w:val="00792F01"/>
    <w:rsid w:val="00793E5B"/>
    <w:rsid w:val="00797324"/>
    <w:rsid w:val="007A019F"/>
    <w:rsid w:val="007A0E01"/>
    <w:rsid w:val="007A2177"/>
    <w:rsid w:val="007A6B97"/>
    <w:rsid w:val="007A7CFA"/>
    <w:rsid w:val="007B290C"/>
    <w:rsid w:val="007B331E"/>
    <w:rsid w:val="007B3DEC"/>
    <w:rsid w:val="007B7877"/>
    <w:rsid w:val="007B79CA"/>
    <w:rsid w:val="007C0552"/>
    <w:rsid w:val="007C24EA"/>
    <w:rsid w:val="007C51D2"/>
    <w:rsid w:val="007C7960"/>
    <w:rsid w:val="007D0A4B"/>
    <w:rsid w:val="007D41CF"/>
    <w:rsid w:val="007D4E81"/>
    <w:rsid w:val="007D5358"/>
    <w:rsid w:val="007D71E2"/>
    <w:rsid w:val="007E12EE"/>
    <w:rsid w:val="007E2266"/>
    <w:rsid w:val="007F060E"/>
    <w:rsid w:val="007F2225"/>
    <w:rsid w:val="007F52DB"/>
    <w:rsid w:val="00800FDF"/>
    <w:rsid w:val="00801A1F"/>
    <w:rsid w:val="00801DAE"/>
    <w:rsid w:val="00802740"/>
    <w:rsid w:val="00804058"/>
    <w:rsid w:val="00807105"/>
    <w:rsid w:val="00810EFE"/>
    <w:rsid w:val="00811690"/>
    <w:rsid w:val="00817901"/>
    <w:rsid w:val="00821C75"/>
    <w:rsid w:val="00822285"/>
    <w:rsid w:val="00822FF4"/>
    <w:rsid w:val="00823112"/>
    <w:rsid w:val="008274D2"/>
    <w:rsid w:val="0082777C"/>
    <w:rsid w:val="00830367"/>
    <w:rsid w:val="00834323"/>
    <w:rsid w:val="00834F34"/>
    <w:rsid w:val="0083533C"/>
    <w:rsid w:val="00835FB9"/>
    <w:rsid w:val="00840D5E"/>
    <w:rsid w:val="0084229A"/>
    <w:rsid w:val="008431DF"/>
    <w:rsid w:val="00845B20"/>
    <w:rsid w:val="008460E2"/>
    <w:rsid w:val="00846C24"/>
    <w:rsid w:val="00847794"/>
    <w:rsid w:val="008507EE"/>
    <w:rsid w:val="00850AB1"/>
    <w:rsid w:val="008552F1"/>
    <w:rsid w:val="00855D27"/>
    <w:rsid w:val="00856395"/>
    <w:rsid w:val="00857A44"/>
    <w:rsid w:val="008603F6"/>
    <w:rsid w:val="00860943"/>
    <w:rsid w:val="008617B4"/>
    <w:rsid w:val="00862F45"/>
    <w:rsid w:val="00864F2C"/>
    <w:rsid w:val="00866036"/>
    <w:rsid w:val="008660D9"/>
    <w:rsid w:val="00870C7B"/>
    <w:rsid w:val="00871E4A"/>
    <w:rsid w:val="008738C0"/>
    <w:rsid w:val="00875A86"/>
    <w:rsid w:val="00877964"/>
    <w:rsid w:val="008841DA"/>
    <w:rsid w:val="008844BC"/>
    <w:rsid w:val="00886024"/>
    <w:rsid w:val="008863EF"/>
    <w:rsid w:val="00890D8F"/>
    <w:rsid w:val="00890DEB"/>
    <w:rsid w:val="00896F39"/>
    <w:rsid w:val="00897AA6"/>
    <w:rsid w:val="00897ACD"/>
    <w:rsid w:val="00897DB7"/>
    <w:rsid w:val="008A5B3A"/>
    <w:rsid w:val="008A6383"/>
    <w:rsid w:val="008A79B2"/>
    <w:rsid w:val="008B367C"/>
    <w:rsid w:val="008B3A79"/>
    <w:rsid w:val="008B3D84"/>
    <w:rsid w:val="008B5E6E"/>
    <w:rsid w:val="008B60F6"/>
    <w:rsid w:val="008B7DFC"/>
    <w:rsid w:val="008B7DFF"/>
    <w:rsid w:val="008C4B5B"/>
    <w:rsid w:val="008D0894"/>
    <w:rsid w:val="008D1884"/>
    <w:rsid w:val="008D1A13"/>
    <w:rsid w:val="008D1BC6"/>
    <w:rsid w:val="008D2442"/>
    <w:rsid w:val="008D431D"/>
    <w:rsid w:val="008D4AB1"/>
    <w:rsid w:val="008D6C3A"/>
    <w:rsid w:val="008D7F73"/>
    <w:rsid w:val="008E6A6A"/>
    <w:rsid w:val="008E6CE7"/>
    <w:rsid w:val="008F2EED"/>
    <w:rsid w:val="008F4E76"/>
    <w:rsid w:val="008F4EB4"/>
    <w:rsid w:val="008F72DA"/>
    <w:rsid w:val="0090067A"/>
    <w:rsid w:val="00901BB4"/>
    <w:rsid w:val="00903BED"/>
    <w:rsid w:val="00903E53"/>
    <w:rsid w:val="009041F6"/>
    <w:rsid w:val="00910C0D"/>
    <w:rsid w:val="009123FB"/>
    <w:rsid w:val="0091440C"/>
    <w:rsid w:val="0092100C"/>
    <w:rsid w:val="009218C3"/>
    <w:rsid w:val="009236F1"/>
    <w:rsid w:val="00924587"/>
    <w:rsid w:val="00925274"/>
    <w:rsid w:val="009264B8"/>
    <w:rsid w:val="0093071F"/>
    <w:rsid w:val="00935EF5"/>
    <w:rsid w:val="00936529"/>
    <w:rsid w:val="009373BC"/>
    <w:rsid w:val="009400D2"/>
    <w:rsid w:val="00945A02"/>
    <w:rsid w:val="0094696A"/>
    <w:rsid w:val="00957869"/>
    <w:rsid w:val="009606DC"/>
    <w:rsid w:val="00960CF0"/>
    <w:rsid w:val="009615E8"/>
    <w:rsid w:val="00961860"/>
    <w:rsid w:val="00962945"/>
    <w:rsid w:val="009633E3"/>
    <w:rsid w:val="00963786"/>
    <w:rsid w:val="009653C4"/>
    <w:rsid w:val="009661EB"/>
    <w:rsid w:val="0096763D"/>
    <w:rsid w:val="00970400"/>
    <w:rsid w:val="0097399B"/>
    <w:rsid w:val="00980923"/>
    <w:rsid w:val="009809D5"/>
    <w:rsid w:val="00984BE8"/>
    <w:rsid w:val="0098624C"/>
    <w:rsid w:val="00994796"/>
    <w:rsid w:val="009968F6"/>
    <w:rsid w:val="00996C92"/>
    <w:rsid w:val="00997ED0"/>
    <w:rsid w:val="00997EF3"/>
    <w:rsid w:val="009A10DD"/>
    <w:rsid w:val="009A1CEC"/>
    <w:rsid w:val="009A3435"/>
    <w:rsid w:val="009A5988"/>
    <w:rsid w:val="009B2AE3"/>
    <w:rsid w:val="009B54F6"/>
    <w:rsid w:val="009C3432"/>
    <w:rsid w:val="009C3D81"/>
    <w:rsid w:val="009C7296"/>
    <w:rsid w:val="009C77AE"/>
    <w:rsid w:val="009D2BEE"/>
    <w:rsid w:val="009D7026"/>
    <w:rsid w:val="009E0004"/>
    <w:rsid w:val="009E29EF"/>
    <w:rsid w:val="009E74FE"/>
    <w:rsid w:val="009F0185"/>
    <w:rsid w:val="009F20DC"/>
    <w:rsid w:val="009F3A7C"/>
    <w:rsid w:val="009F5348"/>
    <w:rsid w:val="009F6E92"/>
    <w:rsid w:val="00A0295D"/>
    <w:rsid w:val="00A03CAE"/>
    <w:rsid w:val="00A05743"/>
    <w:rsid w:val="00A11EFC"/>
    <w:rsid w:val="00A12D90"/>
    <w:rsid w:val="00A22A7D"/>
    <w:rsid w:val="00A23459"/>
    <w:rsid w:val="00A242DA"/>
    <w:rsid w:val="00A26D3A"/>
    <w:rsid w:val="00A30A60"/>
    <w:rsid w:val="00A30FEB"/>
    <w:rsid w:val="00A31010"/>
    <w:rsid w:val="00A3342C"/>
    <w:rsid w:val="00A334B5"/>
    <w:rsid w:val="00A33D25"/>
    <w:rsid w:val="00A3714E"/>
    <w:rsid w:val="00A37D3A"/>
    <w:rsid w:val="00A37F1C"/>
    <w:rsid w:val="00A41E69"/>
    <w:rsid w:val="00A42EC0"/>
    <w:rsid w:val="00A439AE"/>
    <w:rsid w:val="00A45A73"/>
    <w:rsid w:val="00A47F80"/>
    <w:rsid w:val="00A536D3"/>
    <w:rsid w:val="00A54DD9"/>
    <w:rsid w:val="00A57679"/>
    <w:rsid w:val="00A63236"/>
    <w:rsid w:val="00A63F65"/>
    <w:rsid w:val="00A6522E"/>
    <w:rsid w:val="00A668EF"/>
    <w:rsid w:val="00A71136"/>
    <w:rsid w:val="00A7393B"/>
    <w:rsid w:val="00A74E0C"/>
    <w:rsid w:val="00A76F72"/>
    <w:rsid w:val="00A812E6"/>
    <w:rsid w:val="00A83252"/>
    <w:rsid w:val="00A839D8"/>
    <w:rsid w:val="00A83DB7"/>
    <w:rsid w:val="00A83F82"/>
    <w:rsid w:val="00A846B3"/>
    <w:rsid w:val="00A84E7F"/>
    <w:rsid w:val="00A853F2"/>
    <w:rsid w:val="00A86100"/>
    <w:rsid w:val="00A874EF"/>
    <w:rsid w:val="00A926BF"/>
    <w:rsid w:val="00A94966"/>
    <w:rsid w:val="00A9564D"/>
    <w:rsid w:val="00A96387"/>
    <w:rsid w:val="00AA28E0"/>
    <w:rsid w:val="00AA4F9E"/>
    <w:rsid w:val="00AA5827"/>
    <w:rsid w:val="00AA7D4F"/>
    <w:rsid w:val="00AB15F8"/>
    <w:rsid w:val="00AB2254"/>
    <w:rsid w:val="00AB26D5"/>
    <w:rsid w:val="00AB29A4"/>
    <w:rsid w:val="00AB2B5F"/>
    <w:rsid w:val="00AB418B"/>
    <w:rsid w:val="00AB5465"/>
    <w:rsid w:val="00AB7073"/>
    <w:rsid w:val="00AB7C68"/>
    <w:rsid w:val="00AC25B9"/>
    <w:rsid w:val="00AC35F9"/>
    <w:rsid w:val="00AC7C4D"/>
    <w:rsid w:val="00AD0245"/>
    <w:rsid w:val="00AD0E30"/>
    <w:rsid w:val="00AD17AB"/>
    <w:rsid w:val="00AD17F4"/>
    <w:rsid w:val="00AD33C6"/>
    <w:rsid w:val="00AD42F8"/>
    <w:rsid w:val="00AD4947"/>
    <w:rsid w:val="00AE0A91"/>
    <w:rsid w:val="00AE167A"/>
    <w:rsid w:val="00AF4076"/>
    <w:rsid w:val="00AF4676"/>
    <w:rsid w:val="00AF4810"/>
    <w:rsid w:val="00AF5A1D"/>
    <w:rsid w:val="00AF6596"/>
    <w:rsid w:val="00AF792E"/>
    <w:rsid w:val="00AF7C9A"/>
    <w:rsid w:val="00B012C9"/>
    <w:rsid w:val="00B0377E"/>
    <w:rsid w:val="00B065BA"/>
    <w:rsid w:val="00B0673F"/>
    <w:rsid w:val="00B120B3"/>
    <w:rsid w:val="00B12498"/>
    <w:rsid w:val="00B13DD2"/>
    <w:rsid w:val="00B14637"/>
    <w:rsid w:val="00B1478C"/>
    <w:rsid w:val="00B14BC9"/>
    <w:rsid w:val="00B17E24"/>
    <w:rsid w:val="00B20670"/>
    <w:rsid w:val="00B2417B"/>
    <w:rsid w:val="00B2474A"/>
    <w:rsid w:val="00B31038"/>
    <w:rsid w:val="00B34C65"/>
    <w:rsid w:val="00B3527E"/>
    <w:rsid w:val="00B36A78"/>
    <w:rsid w:val="00B40573"/>
    <w:rsid w:val="00B41681"/>
    <w:rsid w:val="00B43D4B"/>
    <w:rsid w:val="00B51CD0"/>
    <w:rsid w:val="00B529C0"/>
    <w:rsid w:val="00B538C2"/>
    <w:rsid w:val="00B57663"/>
    <w:rsid w:val="00B62CC7"/>
    <w:rsid w:val="00B63352"/>
    <w:rsid w:val="00B6620A"/>
    <w:rsid w:val="00B670EB"/>
    <w:rsid w:val="00B67543"/>
    <w:rsid w:val="00B70D9A"/>
    <w:rsid w:val="00B722F5"/>
    <w:rsid w:val="00B723DB"/>
    <w:rsid w:val="00B72E7E"/>
    <w:rsid w:val="00B767C5"/>
    <w:rsid w:val="00B8015C"/>
    <w:rsid w:val="00B81079"/>
    <w:rsid w:val="00B82237"/>
    <w:rsid w:val="00B83273"/>
    <w:rsid w:val="00B86190"/>
    <w:rsid w:val="00B91F9A"/>
    <w:rsid w:val="00B943A0"/>
    <w:rsid w:val="00B94F5C"/>
    <w:rsid w:val="00B95E88"/>
    <w:rsid w:val="00B96661"/>
    <w:rsid w:val="00B96FBC"/>
    <w:rsid w:val="00B97C73"/>
    <w:rsid w:val="00BA01CF"/>
    <w:rsid w:val="00BA14FC"/>
    <w:rsid w:val="00BA20EF"/>
    <w:rsid w:val="00BA6C7F"/>
    <w:rsid w:val="00BA7E51"/>
    <w:rsid w:val="00BB0094"/>
    <w:rsid w:val="00BB1648"/>
    <w:rsid w:val="00BB1F2C"/>
    <w:rsid w:val="00BB50AC"/>
    <w:rsid w:val="00BB53C3"/>
    <w:rsid w:val="00BB6F30"/>
    <w:rsid w:val="00BC0EAB"/>
    <w:rsid w:val="00BC31C7"/>
    <w:rsid w:val="00BC50FA"/>
    <w:rsid w:val="00BD2DD6"/>
    <w:rsid w:val="00BD3EF0"/>
    <w:rsid w:val="00BD558A"/>
    <w:rsid w:val="00BE011B"/>
    <w:rsid w:val="00BE0F65"/>
    <w:rsid w:val="00BE1989"/>
    <w:rsid w:val="00BE7863"/>
    <w:rsid w:val="00BF2331"/>
    <w:rsid w:val="00BF4B37"/>
    <w:rsid w:val="00C005E5"/>
    <w:rsid w:val="00C00994"/>
    <w:rsid w:val="00C0163B"/>
    <w:rsid w:val="00C04C05"/>
    <w:rsid w:val="00C057BA"/>
    <w:rsid w:val="00C12DAC"/>
    <w:rsid w:val="00C1334E"/>
    <w:rsid w:val="00C13753"/>
    <w:rsid w:val="00C17159"/>
    <w:rsid w:val="00C203FD"/>
    <w:rsid w:val="00C213CF"/>
    <w:rsid w:val="00C22FE4"/>
    <w:rsid w:val="00C23EAF"/>
    <w:rsid w:val="00C24E58"/>
    <w:rsid w:val="00C26F65"/>
    <w:rsid w:val="00C30AF4"/>
    <w:rsid w:val="00C32D96"/>
    <w:rsid w:val="00C32EC4"/>
    <w:rsid w:val="00C34B4E"/>
    <w:rsid w:val="00C36286"/>
    <w:rsid w:val="00C36894"/>
    <w:rsid w:val="00C36EA2"/>
    <w:rsid w:val="00C410A8"/>
    <w:rsid w:val="00C417AF"/>
    <w:rsid w:val="00C42F2F"/>
    <w:rsid w:val="00C45635"/>
    <w:rsid w:val="00C52921"/>
    <w:rsid w:val="00C550F1"/>
    <w:rsid w:val="00C57189"/>
    <w:rsid w:val="00C60AB3"/>
    <w:rsid w:val="00C62597"/>
    <w:rsid w:val="00C6265C"/>
    <w:rsid w:val="00C652AF"/>
    <w:rsid w:val="00C67203"/>
    <w:rsid w:val="00C70A56"/>
    <w:rsid w:val="00C72832"/>
    <w:rsid w:val="00C736DB"/>
    <w:rsid w:val="00C77979"/>
    <w:rsid w:val="00C8094E"/>
    <w:rsid w:val="00C8132B"/>
    <w:rsid w:val="00C81532"/>
    <w:rsid w:val="00C81E85"/>
    <w:rsid w:val="00C86D7D"/>
    <w:rsid w:val="00C91D0B"/>
    <w:rsid w:val="00C931C1"/>
    <w:rsid w:val="00C96DC4"/>
    <w:rsid w:val="00C97AEA"/>
    <w:rsid w:val="00C97BEE"/>
    <w:rsid w:val="00CA05E1"/>
    <w:rsid w:val="00CA1495"/>
    <w:rsid w:val="00CA1B62"/>
    <w:rsid w:val="00CA1E89"/>
    <w:rsid w:val="00CA348E"/>
    <w:rsid w:val="00CA4DC0"/>
    <w:rsid w:val="00CA61F7"/>
    <w:rsid w:val="00CA6852"/>
    <w:rsid w:val="00CA6CA5"/>
    <w:rsid w:val="00CB03F4"/>
    <w:rsid w:val="00CB1098"/>
    <w:rsid w:val="00CB2342"/>
    <w:rsid w:val="00CB3636"/>
    <w:rsid w:val="00CB4520"/>
    <w:rsid w:val="00CB77CF"/>
    <w:rsid w:val="00CC5411"/>
    <w:rsid w:val="00CC5FCE"/>
    <w:rsid w:val="00CC6414"/>
    <w:rsid w:val="00CD03A7"/>
    <w:rsid w:val="00CD0CAF"/>
    <w:rsid w:val="00CD26C7"/>
    <w:rsid w:val="00CD4198"/>
    <w:rsid w:val="00CD7D08"/>
    <w:rsid w:val="00CE13C4"/>
    <w:rsid w:val="00CE282B"/>
    <w:rsid w:val="00CE2C75"/>
    <w:rsid w:val="00CE3AA5"/>
    <w:rsid w:val="00CE7153"/>
    <w:rsid w:val="00CF0F1A"/>
    <w:rsid w:val="00CF1546"/>
    <w:rsid w:val="00CF1918"/>
    <w:rsid w:val="00CF3221"/>
    <w:rsid w:val="00CF364C"/>
    <w:rsid w:val="00CF4E9C"/>
    <w:rsid w:val="00CF6873"/>
    <w:rsid w:val="00CF771C"/>
    <w:rsid w:val="00D0108F"/>
    <w:rsid w:val="00D04FF2"/>
    <w:rsid w:val="00D0586D"/>
    <w:rsid w:val="00D14ECB"/>
    <w:rsid w:val="00D21F05"/>
    <w:rsid w:val="00D22D8A"/>
    <w:rsid w:val="00D234A9"/>
    <w:rsid w:val="00D25382"/>
    <w:rsid w:val="00D26EC4"/>
    <w:rsid w:val="00D3535A"/>
    <w:rsid w:val="00D35D0F"/>
    <w:rsid w:val="00D36DB0"/>
    <w:rsid w:val="00D37FE2"/>
    <w:rsid w:val="00D42144"/>
    <w:rsid w:val="00D4520E"/>
    <w:rsid w:val="00D4664A"/>
    <w:rsid w:val="00D46652"/>
    <w:rsid w:val="00D50624"/>
    <w:rsid w:val="00D514E4"/>
    <w:rsid w:val="00D5231C"/>
    <w:rsid w:val="00D524A5"/>
    <w:rsid w:val="00D55154"/>
    <w:rsid w:val="00D60EA2"/>
    <w:rsid w:val="00D6249B"/>
    <w:rsid w:val="00D627EA"/>
    <w:rsid w:val="00D67AF4"/>
    <w:rsid w:val="00D73192"/>
    <w:rsid w:val="00D7659A"/>
    <w:rsid w:val="00D83950"/>
    <w:rsid w:val="00D84C89"/>
    <w:rsid w:val="00D872A0"/>
    <w:rsid w:val="00D879A0"/>
    <w:rsid w:val="00D90078"/>
    <w:rsid w:val="00D906EF"/>
    <w:rsid w:val="00D91508"/>
    <w:rsid w:val="00D92E5D"/>
    <w:rsid w:val="00D9327C"/>
    <w:rsid w:val="00D93B1A"/>
    <w:rsid w:val="00D94CF8"/>
    <w:rsid w:val="00D979D8"/>
    <w:rsid w:val="00DA1899"/>
    <w:rsid w:val="00DA26DC"/>
    <w:rsid w:val="00DA3CB8"/>
    <w:rsid w:val="00DA6A3C"/>
    <w:rsid w:val="00DA7D2B"/>
    <w:rsid w:val="00DB1CFE"/>
    <w:rsid w:val="00DB2F72"/>
    <w:rsid w:val="00DB3DDD"/>
    <w:rsid w:val="00DB3EF5"/>
    <w:rsid w:val="00DB5E56"/>
    <w:rsid w:val="00DC3D8C"/>
    <w:rsid w:val="00DC4B71"/>
    <w:rsid w:val="00DC7D4D"/>
    <w:rsid w:val="00DD043B"/>
    <w:rsid w:val="00DD089F"/>
    <w:rsid w:val="00DD0D79"/>
    <w:rsid w:val="00DD14B8"/>
    <w:rsid w:val="00DD3057"/>
    <w:rsid w:val="00DD3180"/>
    <w:rsid w:val="00DD54B9"/>
    <w:rsid w:val="00DD6F1A"/>
    <w:rsid w:val="00DE1509"/>
    <w:rsid w:val="00DE4475"/>
    <w:rsid w:val="00DE5595"/>
    <w:rsid w:val="00DE5714"/>
    <w:rsid w:val="00DE733A"/>
    <w:rsid w:val="00DE76B0"/>
    <w:rsid w:val="00DF1028"/>
    <w:rsid w:val="00DF2C67"/>
    <w:rsid w:val="00DF2FFE"/>
    <w:rsid w:val="00E0007D"/>
    <w:rsid w:val="00E04A38"/>
    <w:rsid w:val="00E0511D"/>
    <w:rsid w:val="00E05CC3"/>
    <w:rsid w:val="00E10F10"/>
    <w:rsid w:val="00E10F7F"/>
    <w:rsid w:val="00E13AF8"/>
    <w:rsid w:val="00E22896"/>
    <w:rsid w:val="00E22C3E"/>
    <w:rsid w:val="00E23109"/>
    <w:rsid w:val="00E25568"/>
    <w:rsid w:val="00E26C3B"/>
    <w:rsid w:val="00E30DE2"/>
    <w:rsid w:val="00E33C1B"/>
    <w:rsid w:val="00E41ACF"/>
    <w:rsid w:val="00E43173"/>
    <w:rsid w:val="00E43699"/>
    <w:rsid w:val="00E43C05"/>
    <w:rsid w:val="00E4577D"/>
    <w:rsid w:val="00E45B19"/>
    <w:rsid w:val="00E45C24"/>
    <w:rsid w:val="00E45E6D"/>
    <w:rsid w:val="00E46922"/>
    <w:rsid w:val="00E5226E"/>
    <w:rsid w:val="00E53355"/>
    <w:rsid w:val="00E541B1"/>
    <w:rsid w:val="00E54A79"/>
    <w:rsid w:val="00E54B07"/>
    <w:rsid w:val="00E54DDA"/>
    <w:rsid w:val="00E620B1"/>
    <w:rsid w:val="00E62991"/>
    <w:rsid w:val="00E65512"/>
    <w:rsid w:val="00E65FE5"/>
    <w:rsid w:val="00E664DB"/>
    <w:rsid w:val="00E70FF0"/>
    <w:rsid w:val="00E716CF"/>
    <w:rsid w:val="00E747F2"/>
    <w:rsid w:val="00E75BB7"/>
    <w:rsid w:val="00E75DF3"/>
    <w:rsid w:val="00E77136"/>
    <w:rsid w:val="00E77290"/>
    <w:rsid w:val="00E77A1E"/>
    <w:rsid w:val="00E8035D"/>
    <w:rsid w:val="00E82C03"/>
    <w:rsid w:val="00E877B6"/>
    <w:rsid w:val="00E87C4C"/>
    <w:rsid w:val="00E90E85"/>
    <w:rsid w:val="00E91CA7"/>
    <w:rsid w:val="00E927FF"/>
    <w:rsid w:val="00E94340"/>
    <w:rsid w:val="00E964CB"/>
    <w:rsid w:val="00E978D2"/>
    <w:rsid w:val="00EA12C5"/>
    <w:rsid w:val="00EA53FC"/>
    <w:rsid w:val="00EA6AAF"/>
    <w:rsid w:val="00EB01BB"/>
    <w:rsid w:val="00EB2019"/>
    <w:rsid w:val="00EB2BBF"/>
    <w:rsid w:val="00EB49CD"/>
    <w:rsid w:val="00EB57C0"/>
    <w:rsid w:val="00EB6697"/>
    <w:rsid w:val="00EB7801"/>
    <w:rsid w:val="00EC1143"/>
    <w:rsid w:val="00EC16AD"/>
    <w:rsid w:val="00EC6581"/>
    <w:rsid w:val="00EC696F"/>
    <w:rsid w:val="00ED0100"/>
    <w:rsid w:val="00ED2730"/>
    <w:rsid w:val="00ED2831"/>
    <w:rsid w:val="00ED2F45"/>
    <w:rsid w:val="00ED5FE6"/>
    <w:rsid w:val="00ED7FF0"/>
    <w:rsid w:val="00EE24FC"/>
    <w:rsid w:val="00EE2F60"/>
    <w:rsid w:val="00EE4C1E"/>
    <w:rsid w:val="00EE76F9"/>
    <w:rsid w:val="00EF2C20"/>
    <w:rsid w:val="00EF66DB"/>
    <w:rsid w:val="00F00807"/>
    <w:rsid w:val="00F00D9B"/>
    <w:rsid w:val="00F04F94"/>
    <w:rsid w:val="00F07614"/>
    <w:rsid w:val="00F1199F"/>
    <w:rsid w:val="00F14430"/>
    <w:rsid w:val="00F15294"/>
    <w:rsid w:val="00F15504"/>
    <w:rsid w:val="00F1591D"/>
    <w:rsid w:val="00F16446"/>
    <w:rsid w:val="00F24030"/>
    <w:rsid w:val="00F2411C"/>
    <w:rsid w:val="00F241E8"/>
    <w:rsid w:val="00F2593F"/>
    <w:rsid w:val="00F2616E"/>
    <w:rsid w:val="00F30E1E"/>
    <w:rsid w:val="00F332AA"/>
    <w:rsid w:val="00F34996"/>
    <w:rsid w:val="00F4615E"/>
    <w:rsid w:val="00F46E13"/>
    <w:rsid w:val="00F5016B"/>
    <w:rsid w:val="00F50ED4"/>
    <w:rsid w:val="00F51BBE"/>
    <w:rsid w:val="00F539E1"/>
    <w:rsid w:val="00F5481B"/>
    <w:rsid w:val="00F5565E"/>
    <w:rsid w:val="00F563CC"/>
    <w:rsid w:val="00F64366"/>
    <w:rsid w:val="00F70F7D"/>
    <w:rsid w:val="00F72D4C"/>
    <w:rsid w:val="00F7458B"/>
    <w:rsid w:val="00F757E4"/>
    <w:rsid w:val="00F761D2"/>
    <w:rsid w:val="00F81304"/>
    <w:rsid w:val="00F8244F"/>
    <w:rsid w:val="00F82F07"/>
    <w:rsid w:val="00F8307C"/>
    <w:rsid w:val="00F93B93"/>
    <w:rsid w:val="00F940E1"/>
    <w:rsid w:val="00F95109"/>
    <w:rsid w:val="00F960EB"/>
    <w:rsid w:val="00F973A7"/>
    <w:rsid w:val="00F97FE7"/>
    <w:rsid w:val="00FA45C8"/>
    <w:rsid w:val="00FA5371"/>
    <w:rsid w:val="00FA5A28"/>
    <w:rsid w:val="00FA5B5E"/>
    <w:rsid w:val="00FA692A"/>
    <w:rsid w:val="00FB0F85"/>
    <w:rsid w:val="00FB28AA"/>
    <w:rsid w:val="00FB2BF5"/>
    <w:rsid w:val="00FB46FC"/>
    <w:rsid w:val="00FC2A0F"/>
    <w:rsid w:val="00FC6751"/>
    <w:rsid w:val="00FC75BF"/>
    <w:rsid w:val="00FD02EF"/>
    <w:rsid w:val="00FD32E3"/>
    <w:rsid w:val="00FD4645"/>
    <w:rsid w:val="00FD6724"/>
    <w:rsid w:val="00FD7902"/>
    <w:rsid w:val="00FD7B02"/>
    <w:rsid w:val="00FE17F9"/>
    <w:rsid w:val="00FE61E7"/>
    <w:rsid w:val="00FF0170"/>
    <w:rsid w:val="00FF208B"/>
    <w:rsid w:val="00FF2A31"/>
    <w:rsid w:val="00FF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440CA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semiHidden="1"/>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qFormat="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FA5A28"/>
    <w:rPr>
      <w:sz w:val="24"/>
    </w:rPr>
  </w:style>
  <w:style w:type="paragraph" w:styleId="Heading1">
    <w:name w:val="heading 1"/>
    <w:next w:val="ParagraphText-unnumbered"/>
    <w:qFormat/>
    <w:rsid w:val="00533E0F"/>
    <w:pPr>
      <w:keepNext/>
      <w:pageBreakBefore/>
      <w:spacing w:after="284" w:line="584" w:lineRule="exact"/>
      <w:outlineLvl w:val="0"/>
    </w:pPr>
    <w:rPr>
      <w:b/>
      <w:sz w:val="48"/>
    </w:rPr>
  </w:style>
  <w:style w:type="paragraph" w:styleId="Heading2">
    <w:name w:val="heading 2"/>
    <w:next w:val="ParagraphText-unnumbered"/>
    <w:qFormat/>
    <w:rsid w:val="00533E0F"/>
    <w:pPr>
      <w:keepNext/>
      <w:keepLines/>
      <w:spacing w:before="240" w:after="240" w:line="410" w:lineRule="exact"/>
      <w:outlineLvl w:val="1"/>
    </w:pPr>
    <w:rPr>
      <w:b/>
      <w:sz w:val="33"/>
    </w:rPr>
  </w:style>
  <w:style w:type="paragraph" w:styleId="Heading3">
    <w:name w:val="heading 3"/>
    <w:next w:val="ParagraphText-unnumbered"/>
    <w:qFormat/>
    <w:rsid w:val="00E45E6D"/>
    <w:pPr>
      <w:keepNext/>
      <w:keepLines/>
      <w:spacing w:before="120" w:after="240" w:line="370" w:lineRule="exact"/>
      <w:outlineLvl w:val="2"/>
    </w:pPr>
    <w:rPr>
      <w:b/>
      <w:sz w:val="29"/>
    </w:rPr>
  </w:style>
  <w:style w:type="paragraph" w:styleId="Heading4">
    <w:name w:val="heading 4"/>
    <w:next w:val="ParagraphText-unnumbered"/>
    <w:qFormat/>
    <w:rsid w:val="00533E0F"/>
    <w:pPr>
      <w:keepNext/>
      <w:keepLines/>
      <w:spacing w:before="120" w:after="120" w:line="330" w:lineRule="exact"/>
      <w:outlineLvl w:val="3"/>
    </w:pPr>
    <w:rPr>
      <w:b/>
      <w:sz w:val="25"/>
    </w:rPr>
  </w:style>
  <w:style w:type="paragraph" w:styleId="Heading5">
    <w:name w:val="heading 5"/>
    <w:next w:val="ParagraphText-unnumbered"/>
    <w:qFormat/>
    <w:rsid w:val="00533E0F"/>
    <w:pPr>
      <w:keepNext/>
      <w:keepLines/>
      <w:spacing w:before="120" w:line="324" w:lineRule="exact"/>
      <w:outlineLvl w:val="4"/>
    </w:pPr>
    <w:rPr>
      <w:b/>
      <w:sz w:val="24"/>
    </w:rPr>
  </w:style>
  <w:style w:type="paragraph" w:styleId="Heading6">
    <w:name w:val="heading 6"/>
    <w:basedOn w:val="Heading1"/>
    <w:next w:val="ParagraphText-unnumbered"/>
    <w:uiPriority w:val="99"/>
    <w:semiHidden/>
    <w:rsid w:val="006351A9"/>
    <w:pPr>
      <w:spacing w:before="10280" w:after="0"/>
      <w:outlineLvl w:val="5"/>
    </w:pPr>
    <w:rPr>
      <w:b w:val="0"/>
      <w:sz w:val="24"/>
    </w:rPr>
  </w:style>
  <w:style w:type="paragraph" w:styleId="Heading7">
    <w:name w:val="heading 7"/>
    <w:next w:val="ParagraphText-unnumbered"/>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unnumberedChar">
    <w:name w:val="Paragraph Text - unnumbered Char"/>
    <w:basedOn w:val="DefaultParagraphFont"/>
    <w:link w:val="ParagraphText-unnumbered"/>
    <w:rsid w:val="00EC16AD"/>
    <w:rPr>
      <w:rFonts w:ascii="Arial" w:hAnsi="Arial"/>
      <w:sz w:val="24"/>
    </w:rPr>
  </w:style>
  <w:style w:type="paragraph" w:styleId="TOC1">
    <w:name w:val="toc 1"/>
    <w:uiPriority w:val="39"/>
    <w:qFormat/>
    <w:rsid w:val="0008385D"/>
    <w:pPr>
      <w:tabs>
        <w:tab w:val="right" w:leader="dot" w:pos="9639"/>
      </w:tabs>
      <w:spacing w:before="120" w:after="120"/>
    </w:pPr>
    <w:rPr>
      <w:sz w:val="24"/>
    </w:rPr>
  </w:style>
  <w:style w:type="paragraph" w:customStyle="1" w:styleId="Heading-contents">
    <w:name w:val="Heading - contents"/>
    <w:next w:val="ParagraphText-unnumbered"/>
    <w:uiPriority w:val="1"/>
    <w:rsid w:val="00533E0F"/>
    <w:pPr>
      <w:spacing w:after="360"/>
    </w:pPr>
    <w:rPr>
      <w:b/>
      <w:sz w:val="48"/>
    </w:rPr>
  </w:style>
  <w:style w:type="paragraph" w:customStyle="1" w:styleId="Bulletundernumberedlist">
    <w:name w:val="Bullet (under numbered list)"/>
    <w:uiPriority w:val="1"/>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793E5B"/>
    <w:pPr>
      <w:numPr>
        <w:numId w:val="2"/>
      </w:numPr>
      <w:tabs>
        <w:tab w:val="clear" w:pos="360"/>
      </w:tabs>
      <w:spacing w:after="284" w:line="324" w:lineRule="exact"/>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uiPriority w:val="39"/>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unnumbered"/>
    <w:uiPriority w:val="99"/>
    <w:semiHidden/>
    <w:rsid w:val="007C7960"/>
    <w:rPr>
      <w:b/>
      <w:sz w:val="18"/>
    </w:rPr>
  </w:style>
  <w:style w:type="paragraph" w:styleId="Footer">
    <w:name w:val="footer"/>
    <w:basedOn w:val="ParagraphText-unnumbered"/>
    <w:uiPriority w:val="99"/>
    <w:semiHidden/>
    <w:rsid w:val="00C81E85"/>
    <w:pPr>
      <w:spacing w:after="0"/>
      <w:jc w:val="center"/>
    </w:pPr>
    <w:rPr>
      <w:sz w:val="18"/>
    </w:rPr>
  </w:style>
  <w:style w:type="character" w:styleId="Hyperlink">
    <w:name w:val="Hyperlink"/>
    <w:uiPriority w:val="99"/>
    <w:rsid w:val="00117502"/>
    <w:rPr>
      <w:color w:val="0063BE"/>
      <w:u w:val="single"/>
    </w:rPr>
  </w:style>
  <w:style w:type="paragraph" w:customStyle="1" w:styleId="ParagraphText-unnumbered">
    <w:name w:val="Paragraph Text - unnumbered"/>
    <w:link w:val="ParagraphText-unnumberedChar"/>
    <w:qFormat/>
    <w:rsid w:val="00ED2730"/>
    <w:pPr>
      <w:spacing w:after="284" w:line="324" w:lineRule="exact"/>
    </w:pPr>
    <w:rPr>
      <w:sz w:val="24"/>
    </w:rPr>
  </w:style>
  <w:style w:type="paragraph" w:customStyle="1" w:styleId="Textindented">
    <w:name w:val="Text indented"/>
    <w:uiPriority w:val="1"/>
    <w:qFormat/>
    <w:rsid w:val="00793E5B"/>
    <w:pPr>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unnumbered"/>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unnumbered"/>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qFormat/>
    <w:rsid w:val="00F332AA"/>
    <w:rPr>
      <w:b/>
    </w:rPr>
  </w:style>
  <w:style w:type="character" w:customStyle="1" w:styleId="Italic">
    <w:name w:val="Italic"/>
    <w:basedOn w:val="DefaultParagraphFont"/>
    <w:uiPriority w:val="3"/>
    <w:qFormat/>
    <w:rsid w:val="00F332AA"/>
    <w:rPr>
      <w:i/>
    </w:rPr>
  </w:style>
  <w:style w:type="paragraph" w:customStyle="1" w:styleId="Heading1-numbered">
    <w:name w:val="Heading 1 - numbered"/>
    <w:next w:val="ParagraphText-unnumbered"/>
    <w:qFormat/>
    <w:rsid w:val="00533E0F"/>
    <w:pPr>
      <w:keepNext/>
      <w:pageBreakBefore/>
      <w:numPr>
        <w:numId w:val="3"/>
      </w:numPr>
      <w:spacing w:after="284" w:line="584" w:lineRule="exact"/>
      <w:outlineLvl w:val="0"/>
    </w:pPr>
    <w:rPr>
      <w:b/>
      <w:sz w:val="48"/>
    </w:rPr>
  </w:style>
  <w:style w:type="paragraph" w:customStyle="1" w:styleId="ParagraphText-numbered">
    <w:name w:val="Paragraph Text - numbered"/>
    <w:basedOn w:val="Heading1-numbered"/>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Heading1-numbered"/>
    <w:uiPriority w:val="1"/>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Heading1-numbered"/>
    <w:uiPriority w:val="1"/>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uiPriority w:val="1"/>
    <w:qFormat/>
    <w:rsid w:val="00980923"/>
    <w:pPr>
      <w:keepNext/>
      <w:keepLines/>
      <w:spacing w:before="240" w:after="284" w:line="330" w:lineRule="exact"/>
    </w:pPr>
    <w:rPr>
      <w:b/>
      <w:color w:val="616265"/>
      <w:sz w:val="25"/>
    </w:rPr>
  </w:style>
  <w:style w:type="paragraph" w:customStyle="1" w:styleId="Heading2-notforToC">
    <w:name w:val="Heading 2 - not for ToC"/>
    <w:uiPriority w:val="1"/>
    <w:rsid w:val="00654C97"/>
    <w:pPr>
      <w:spacing w:before="240" w:after="240" w:line="410" w:lineRule="exact"/>
    </w:pPr>
    <w:rPr>
      <w:b/>
      <w:sz w:val="33"/>
      <w:lang w:eastAsia="en-US"/>
    </w:rPr>
  </w:style>
  <w:style w:type="paragraph" w:customStyle="1" w:styleId="Heading3-notforToC">
    <w:name w:val="Heading 3 - not for ToC"/>
    <w:uiPriority w:val="1"/>
    <w:rsid w:val="00654C97"/>
    <w:pPr>
      <w:spacing w:before="240" w:after="240" w:line="3700" w:lineRule="exact"/>
    </w:pPr>
    <w:rPr>
      <w:b/>
      <w:sz w:val="29"/>
    </w:rPr>
  </w:style>
  <w:style w:type="paragraph" w:customStyle="1" w:styleId="Footnote">
    <w:name w:val="Footnote"/>
    <w:uiPriority w:val="1"/>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qFormat/>
    <w:rsid w:val="0090067A"/>
    <w:pPr>
      <w:spacing w:after="480"/>
    </w:pPr>
    <w:rPr>
      <w:rFonts w:cs="Arial"/>
      <w:sz w:val="56"/>
      <w:szCs w:val="60"/>
    </w:rPr>
  </w:style>
  <w:style w:type="paragraph" w:customStyle="1" w:styleId="Reportsubtitle">
    <w:name w:val="Report subtitle"/>
    <w:basedOn w:val="cover-othertext"/>
    <w:uiPriority w:val="1"/>
    <w:qFormat/>
    <w:rsid w:val="00726C35"/>
    <w:pPr>
      <w:spacing w:after="960" w:line="240" w:lineRule="auto"/>
    </w:pPr>
    <w:rPr>
      <w:rFonts w:cs="Arial"/>
      <w:b/>
      <w:sz w:val="36"/>
      <w:szCs w:val="36"/>
    </w:rPr>
  </w:style>
  <w:style w:type="paragraph" w:customStyle="1" w:styleId="Text-boxed">
    <w:name w:val="Text - boxed"/>
    <w:basedOn w:val="ParagraphText-unnumbered"/>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qFormat/>
    <w:rsid w:val="0008385D"/>
    <w:pPr>
      <w:tabs>
        <w:tab w:val="right" w:leader="dot" w:pos="9639"/>
      </w:tabs>
      <w:spacing w:after="100"/>
      <w:ind w:left="221"/>
    </w:pPr>
    <w:rPr>
      <w:noProof/>
    </w:rPr>
  </w:style>
  <w:style w:type="paragraph" w:customStyle="1" w:styleId="Bullet-sub">
    <w:name w:val="Bullet-sub"/>
    <w:uiPriority w:val="1"/>
    <w:qFormat/>
    <w:rsid w:val="00793E5B"/>
    <w:pPr>
      <w:numPr>
        <w:numId w:val="4"/>
      </w:numPr>
      <w:spacing w:after="284" w:line="324" w:lineRule="exact"/>
      <w:ind w:left="850" w:hanging="425"/>
    </w:pPr>
    <w:rPr>
      <w:sz w:val="24"/>
    </w:rPr>
  </w:style>
  <w:style w:type="paragraph" w:customStyle="1" w:styleId="Bulletundernumberedparagraph">
    <w:name w:val="Bullet (under numbered paragraph)"/>
    <w:basedOn w:val="Bulletundernumberedlist"/>
    <w:uiPriority w:val="1"/>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greenborder">
    <w:name w:val="Boxed text - green border"/>
    <w:basedOn w:val="ParagraphText-unnumbered"/>
    <w:uiPriority w:val="1"/>
    <w:qFormat/>
    <w:rsid w:val="00D514E4"/>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unnumbered"/>
    <w:uiPriority w:val="1"/>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uiPriority w:val="1"/>
    <w:qFormat/>
    <w:rsid w:val="00D514E4"/>
    <w:pPr>
      <w:spacing w:line="324" w:lineRule="exact"/>
    </w:pPr>
    <w:rPr>
      <w:color w:val="000000" w:themeColor="text1"/>
    </w:rPr>
  </w:style>
  <w:style w:type="numbering" w:customStyle="1" w:styleId="Numberedlist-075">
    <w:name w:val="Numbered list - 0.75"/>
    <w:uiPriority w:val="99"/>
    <w:rsid w:val="005D25D3"/>
    <w:pPr>
      <w:numPr>
        <w:numId w:val="5"/>
      </w:numPr>
    </w:pPr>
  </w:style>
  <w:style w:type="paragraph" w:customStyle="1" w:styleId="Bullet-numberedlist">
    <w:name w:val="Bullet - numbered list"/>
    <w:basedOn w:val="ParagraphText-unnumbered"/>
    <w:uiPriority w:val="1"/>
    <w:qFormat/>
    <w:rsid w:val="00CF3221"/>
    <w:pPr>
      <w:numPr>
        <w:numId w:val="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rsid w:val="00D979D8"/>
    <w:pPr>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aliases w:val="Footnote Text Char Char,Footnote Text Char Char Char Char,f Char Char,f Char Char Char Char Char Char,f Char Char Char Char Char,f Char Char Char Char, Char,single space,Footnote Text Char2 Char,Footnote Text Char1 Char Char,fn,AD,Char,f"/>
    <w:basedOn w:val="Normal"/>
    <w:link w:val="FootnoteTextChar"/>
    <w:uiPriority w:val="99"/>
    <w:qFormat/>
    <w:rsid w:val="005D25DC"/>
    <w:rPr>
      <w:sz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 Char Char,single space Char,fn Char,AD Char,f Char"/>
    <w:basedOn w:val="DefaultParagraphFont"/>
    <w:link w:val="FootnoteText"/>
    <w:uiPriority w:val="1"/>
    <w:rsid w:val="005D25DC"/>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uiPriority w:val="99"/>
    <w:qFormat/>
    <w:rsid w:val="005D25DC"/>
    <w:rPr>
      <w:vertAlign w:val="superscript"/>
    </w:rPr>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L"/>
    <w:basedOn w:val="Normal"/>
    <w:uiPriority w:val="34"/>
    <w:qFormat/>
    <w:rsid w:val="004170AE"/>
    <w:pPr>
      <w:spacing w:after="240"/>
      <w:ind w:left="720"/>
      <w:contextualSpacing/>
    </w:pPr>
  </w:style>
  <w:style w:type="character" w:styleId="CommentReference">
    <w:name w:val="annotation reference"/>
    <w:basedOn w:val="DefaultParagraphFont"/>
    <w:uiPriority w:val="99"/>
    <w:semiHidden/>
    <w:rsid w:val="00C410A8"/>
    <w:rPr>
      <w:sz w:val="16"/>
      <w:szCs w:val="16"/>
    </w:rPr>
  </w:style>
  <w:style w:type="paragraph" w:styleId="CommentText">
    <w:name w:val="annotation text"/>
    <w:basedOn w:val="Normal"/>
    <w:link w:val="CommentTextChar"/>
    <w:uiPriority w:val="99"/>
    <w:rsid w:val="00C410A8"/>
    <w:rPr>
      <w:sz w:val="20"/>
    </w:rPr>
  </w:style>
  <w:style w:type="character" w:customStyle="1" w:styleId="CommentTextChar">
    <w:name w:val="Comment Text Char"/>
    <w:basedOn w:val="DefaultParagraphFont"/>
    <w:link w:val="CommentText"/>
    <w:uiPriority w:val="99"/>
    <w:semiHidden/>
    <w:rsid w:val="00C410A8"/>
  </w:style>
  <w:style w:type="paragraph" w:styleId="CommentSubject">
    <w:name w:val="annotation subject"/>
    <w:basedOn w:val="CommentText"/>
    <w:next w:val="CommentText"/>
    <w:link w:val="CommentSubjectChar"/>
    <w:uiPriority w:val="99"/>
    <w:semiHidden/>
    <w:rsid w:val="00C410A8"/>
    <w:rPr>
      <w:b/>
      <w:bCs/>
    </w:rPr>
  </w:style>
  <w:style w:type="character" w:customStyle="1" w:styleId="CommentSubjectChar">
    <w:name w:val="Comment Subject Char"/>
    <w:basedOn w:val="CommentTextChar"/>
    <w:link w:val="CommentSubject"/>
    <w:uiPriority w:val="99"/>
    <w:semiHidden/>
    <w:rsid w:val="00C410A8"/>
    <w:rPr>
      <w:b/>
      <w:bCs/>
    </w:rPr>
  </w:style>
  <w:style w:type="character" w:styleId="Strong">
    <w:name w:val="Strong"/>
    <w:basedOn w:val="DefaultParagraphFont"/>
    <w:uiPriority w:val="22"/>
    <w:qFormat/>
    <w:rsid w:val="00FF208B"/>
    <w:rPr>
      <w:b/>
      <w:bCs/>
    </w:rPr>
  </w:style>
  <w:style w:type="table" w:styleId="TableGridLight">
    <w:name w:val="Grid Table Light"/>
    <w:basedOn w:val="TableNormal"/>
    <w:uiPriority w:val="40"/>
    <w:rsid w:val="00FF208B"/>
    <w:rPr>
      <w:rFonts w:ascii="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FA5371"/>
    <w:rPr>
      <w:color w:val="2B579A"/>
      <w:shd w:val="clear" w:color="auto" w:fill="E1DFDD"/>
    </w:rPr>
  </w:style>
  <w:style w:type="paragraph" w:styleId="Revision">
    <w:name w:val="Revision"/>
    <w:hidden/>
    <w:uiPriority w:val="99"/>
    <w:semiHidden/>
    <w:rsid w:val="00CF36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10115">
      <w:bodyDiv w:val="1"/>
      <w:marLeft w:val="0"/>
      <w:marRight w:val="0"/>
      <w:marTop w:val="0"/>
      <w:marBottom w:val="0"/>
      <w:divBdr>
        <w:top w:val="none" w:sz="0" w:space="0" w:color="auto"/>
        <w:left w:val="none" w:sz="0" w:space="0" w:color="auto"/>
        <w:bottom w:val="none" w:sz="0" w:space="0" w:color="auto"/>
        <w:right w:val="none" w:sz="0" w:space="0" w:color="auto"/>
      </w:divBdr>
    </w:div>
    <w:div w:id="344672099">
      <w:bodyDiv w:val="1"/>
      <w:marLeft w:val="0"/>
      <w:marRight w:val="0"/>
      <w:marTop w:val="0"/>
      <w:marBottom w:val="0"/>
      <w:divBdr>
        <w:top w:val="none" w:sz="0" w:space="0" w:color="auto"/>
        <w:left w:val="none" w:sz="0" w:space="0" w:color="auto"/>
        <w:bottom w:val="none" w:sz="0" w:space="0" w:color="auto"/>
        <w:right w:val="none" w:sz="0" w:space="0" w:color="auto"/>
      </w:divBdr>
    </w:div>
    <w:div w:id="504592001">
      <w:bodyDiv w:val="1"/>
      <w:marLeft w:val="0"/>
      <w:marRight w:val="0"/>
      <w:marTop w:val="0"/>
      <w:marBottom w:val="0"/>
      <w:divBdr>
        <w:top w:val="none" w:sz="0" w:space="0" w:color="auto"/>
        <w:left w:val="none" w:sz="0" w:space="0" w:color="auto"/>
        <w:bottom w:val="none" w:sz="0" w:space="0" w:color="auto"/>
        <w:right w:val="none" w:sz="0" w:space="0" w:color="auto"/>
      </w:divBdr>
    </w:div>
    <w:div w:id="512114753">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84676424">
      <w:bodyDiv w:val="1"/>
      <w:marLeft w:val="0"/>
      <w:marRight w:val="0"/>
      <w:marTop w:val="0"/>
      <w:marBottom w:val="0"/>
      <w:divBdr>
        <w:top w:val="none" w:sz="0" w:space="0" w:color="auto"/>
        <w:left w:val="none" w:sz="0" w:space="0" w:color="auto"/>
        <w:bottom w:val="none" w:sz="0" w:space="0" w:color="auto"/>
        <w:right w:val="none" w:sz="0" w:space="0" w:color="auto"/>
      </w:divBdr>
      <w:divsChild>
        <w:div w:id="929316976">
          <w:marLeft w:val="446"/>
          <w:marRight w:val="0"/>
          <w:marTop w:val="0"/>
          <w:marBottom w:val="0"/>
          <w:divBdr>
            <w:top w:val="none" w:sz="0" w:space="0" w:color="auto"/>
            <w:left w:val="none" w:sz="0" w:space="0" w:color="auto"/>
            <w:bottom w:val="none" w:sz="0" w:space="0" w:color="auto"/>
            <w:right w:val="none" w:sz="0" w:space="0" w:color="auto"/>
          </w:divBdr>
        </w:div>
      </w:divsChild>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15620271">
      <w:bodyDiv w:val="1"/>
      <w:marLeft w:val="0"/>
      <w:marRight w:val="0"/>
      <w:marTop w:val="0"/>
      <w:marBottom w:val="0"/>
      <w:divBdr>
        <w:top w:val="none" w:sz="0" w:space="0" w:color="auto"/>
        <w:left w:val="none" w:sz="0" w:space="0" w:color="auto"/>
        <w:bottom w:val="none" w:sz="0" w:space="0" w:color="auto"/>
        <w:right w:val="none" w:sz="0" w:space="0" w:color="auto"/>
      </w:divBdr>
      <w:divsChild>
        <w:div w:id="290793399">
          <w:marLeft w:val="547"/>
          <w:marRight w:val="0"/>
          <w:marTop w:val="0"/>
          <w:marBottom w:val="240"/>
          <w:divBdr>
            <w:top w:val="none" w:sz="0" w:space="0" w:color="auto"/>
            <w:left w:val="none" w:sz="0" w:space="0" w:color="auto"/>
            <w:bottom w:val="none" w:sz="0" w:space="0" w:color="auto"/>
            <w:right w:val="none" w:sz="0" w:space="0" w:color="auto"/>
          </w:divBdr>
        </w:div>
      </w:divsChild>
    </w:div>
    <w:div w:id="744840754">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807434328">
      <w:bodyDiv w:val="1"/>
      <w:marLeft w:val="0"/>
      <w:marRight w:val="0"/>
      <w:marTop w:val="0"/>
      <w:marBottom w:val="0"/>
      <w:divBdr>
        <w:top w:val="none" w:sz="0" w:space="0" w:color="auto"/>
        <w:left w:val="none" w:sz="0" w:space="0" w:color="auto"/>
        <w:bottom w:val="none" w:sz="0" w:space="0" w:color="auto"/>
        <w:right w:val="none" w:sz="0" w:space="0" w:color="auto"/>
      </w:divBdr>
      <w:divsChild>
        <w:div w:id="410394491">
          <w:marLeft w:val="0"/>
          <w:marRight w:val="0"/>
          <w:marTop w:val="0"/>
          <w:marBottom w:val="0"/>
          <w:divBdr>
            <w:top w:val="none" w:sz="0" w:space="0" w:color="auto"/>
            <w:left w:val="none" w:sz="0" w:space="0" w:color="auto"/>
            <w:bottom w:val="none" w:sz="0" w:space="0" w:color="auto"/>
            <w:right w:val="none" w:sz="0" w:space="0" w:color="auto"/>
          </w:divBdr>
        </w:div>
        <w:div w:id="1043478453">
          <w:marLeft w:val="0"/>
          <w:marRight w:val="0"/>
          <w:marTop w:val="0"/>
          <w:marBottom w:val="0"/>
          <w:divBdr>
            <w:top w:val="none" w:sz="0" w:space="0" w:color="auto"/>
            <w:left w:val="none" w:sz="0" w:space="0" w:color="auto"/>
            <w:bottom w:val="none" w:sz="0" w:space="0" w:color="auto"/>
            <w:right w:val="none" w:sz="0" w:space="0" w:color="auto"/>
          </w:divBdr>
        </w:div>
        <w:div w:id="1397169879">
          <w:marLeft w:val="0"/>
          <w:marRight w:val="0"/>
          <w:marTop w:val="0"/>
          <w:marBottom w:val="0"/>
          <w:divBdr>
            <w:top w:val="none" w:sz="0" w:space="0" w:color="auto"/>
            <w:left w:val="none" w:sz="0" w:space="0" w:color="auto"/>
            <w:bottom w:val="none" w:sz="0" w:space="0" w:color="auto"/>
            <w:right w:val="none" w:sz="0" w:space="0" w:color="auto"/>
          </w:divBdr>
        </w:div>
      </w:divsChild>
    </w:div>
    <w:div w:id="928851490">
      <w:bodyDiv w:val="1"/>
      <w:marLeft w:val="0"/>
      <w:marRight w:val="0"/>
      <w:marTop w:val="0"/>
      <w:marBottom w:val="0"/>
      <w:divBdr>
        <w:top w:val="none" w:sz="0" w:space="0" w:color="auto"/>
        <w:left w:val="none" w:sz="0" w:space="0" w:color="auto"/>
        <w:bottom w:val="none" w:sz="0" w:space="0" w:color="auto"/>
        <w:right w:val="none" w:sz="0" w:space="0" w:color="auto"/>
      </w:divBdr>
    </w:div>
    <w:div w:id="1175456651">
      <w:bodyDiv w:val="1"/>
      <w:marLeft w:val="0"/>
      <w:marRight w:val="0"/>
      <w:marTop w:val="0"/>
      <w:marBottom w:val="0"/>
      <w:divBdr>
        <w:top w:val="none" w:sz="0" w:space="0" w:color="auto"/>
        <w:left w:val="none" w:sz="0" w:space="0" w:color="auto"/>
        <w:bottom w:val="none" w:sz="0" w:space="0" w:color="auto"/>
        <w:right w:val="none" w:sz="0" w:space="0" w:color="auto"/>
      </w:divBdr>
    </w:div>
    <w:div w:id="1457523935">
      <w:bodyDiv w:val="1"/>
      <w:marLeft w:val="0"/>
      <w:marRight w:val="0"/>
      <w:marTop w:val="0"/>
      <w:marBottom w:val="0"/>
      <w:divBdr>
        <w:top w:val="none" w:sz="0" w:space="0" w:color="auto"/>
        <w:left w:val="none" w:sz="0" w:space="0" w:color="auto"/>
        <w:bottom w:val="none" w:sz="0" w:space="0" w:color="auto"/>
        <w:right w:val="none" w:sz="0" w:space="0" w:color="auto"/>
      </w:divBdr>
    </w:div>
    <w:div w:id="1493644545">
      <w:bodyDiv w:val="1"/>
      <w:marLeft w:val="0"/>
      <w:marRight w:val="0"/>
      <w:marTop w:val="0"/>
      <w:marBottom w:val="0"/>
      <w:divBdr>
        <w:top w:val="none" w:sz="0" w:space="0" w:color="auto"/>
        <w:left w:val="none" w:sz="0" w:space="0" w:color="auto"/>
        <w:bottom w:val="none" w:sz="0" w:space="0" w:color="auto"/>
        <w:right w:val="none" w:sz="0" w:space="0" w:color="auto"/>
      </w:divBdr>
      <w:divsChild>
        <w:div w:id="1436250292">
          <w:marLeft w:val="547"/>
          <w:marRight w:val="0"/>
          <w:marTop w:val="0"/>
          <w:marBottom w:val="240"/>
          <w:divBdr>
            <w:top w:val="none" w:sz="0" w:space="0" w:color="auto"/>
            <w:left w:val="none" w:sz="0" w:space="0" w:color="auto"/>
            <w:bottom w:val="none" w:sz="0" w:space="0" w:color="auto"/>
            <w:right w:val="none" w:sz="0" w:space="0" w:color="auto"/>
          </w:divBdr>
        </w:div>
      </w:divsChild>
    </w:div>
    <w:div w:id="1684891751">
      <w:bodyDiv w:val="1"/>
      <w:marLeft w:val="0"/>
      <w:marRight w:val="0"/>
      <w:marTop w:val="0"/>
      <w:marBottom w:val="0"/>
      <w:divBdr>
        <w:top w:val="none" w:sz="0" w:space="0" w:color="auto"/>
        <w:left w:val="none" w:sz="0" w:space="0" w:color="auto"/>
        <w:bottom w:val="none" w:sz="0" w:space="0" w:color="auto"/>
        <w:right w:val="none" w:sz="0" w:space="0" w:color="auto"/>
      </w:divBdr>
      <w:divsChild>
        <w:div w:id="744454145">
          <w:marLeft w:val="547"/>
          <w:marRight w:val="0"/>
          <w:marTop w:val="0"/>
          <w:marBottom w:val="240"/>
          <w:divBdr>
            <w:top w:val="none" w:sz="0" w:space="0" w:color="auto"/>
            <w:left w:val="none" w:sz="0" w:space="0" w:color="auto"/>
            <w:bottom w:val="none" w:sz="0" w:space="0" w:color="auto"/>
            <w:right w:val="none" w:sz="0" w:space="0" w:color="auto"/>
          </w:divBdr>
        </w:div>
      </w:divsChild>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58688165">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923442005">
      <w:bodyDiv w:val="1"/>
      <w:marLeft w:val="0"/>
      <w:marRight w:val="0"/>
      <w:marTop w:val="0"/>
      <w:marBottom w:val="0"/>
      <w:divBdr>
        <w:top w:val="none" w:sz="0" w:space="0" w:color="auto"/>
        <w:left w:val="none" w:sz="0" w:space="0" w:color="auto"/>
        <w:bottom w:val="none" w:sz="0" w:space="0" w:color="auto"/>
        <w:right w:val="none" w:sz="0" w:space="0" w:color="auto"/>
      </w:divBdr>
    </w:div>
    <w:div w:id="2019890640">
      <w:bodyDiv w:val="1"/>
      <w:marLeft w:val="0"/>
      <w:marRight w:val="0"/>
      <w:marTop w:val="0"/>
      <w:marBottom w:val="0"/>
      <w:divBdr>
        <w:top w:val="none" w:sz="0" w:space="0" w:color="auto"/>
        <w:left w:val="none" w:sz="0" w:space="0" w:color="auto"/>
        <w:bottom w:val="none" w:sz="0" w:space="0" w:color="auto"/>
        <w:right w:val="none" w:sz="0" w:space="0" w:color="auto"/>
      </w:divBdr>
      <w:divsChild>
        <w:div w:id="563413058">
          <w:marLeft w:val="274"/>
          <w:marRight w:val="0"/>
          <w:marTop w:val="53"/>
          <w:marBottom w:val="0"/>
          <w:divBdr>
            <w:top w:val="none" w:sz="0" w:space="0" w:color="auto"/>
            <w:left w:val="none" w:sz="0" w:space="0" w:color="auto"/>
            <w:bottom w:val="none" w:sz="0" w:space="0" w:color="auto"/>
            <w:right w:val="none" w:sz="0" w:space="0" w:color="auto"/>
          </w:divBdr>
        </w:div>
        <w:div w:id="1015038335">
          <w:marLeft w:val="274"/>
          <w:marRight w:val="0"/>
          <w:marTop w:val="53"/>
          <w:marBottom w:val="0"/>
          <w:divBdr>
            <w:top w:val="none" w:sz="0" w:space="0" w:color="auto"/>
            <w:left w:val="none" w:sz="0" w:space="0" w:color="auto"/>
            <w:bottom w:val="none" w:sz="0" w:space="0" w:color="auto"/>
            <w:right w:val="none" w:sz="0" w:space="0" w:color="auto"/>
          </w:divBdr>
        </w:div>
      </w:divsChild>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flemingfund.org/grants-funding/global-projects/" TargetMode="External"/><Relationship Id="rId26" Type="http://schemas.openxmlformats.org/officeDocument/2006/relationships/hyperlink" Target="https://researchonline.lshtm.ac.uk/id/eprint/4574689/" TargetMode="External"/><Relationship Id="rId39" Type="http://schemas.openxmlformats.org/officeDocument/2006/relationships/hyperlink" Target="https://www.gov.uk/government/publications/fleming-fund-annual-review-2019" TargetMode="External"/><Relationship Id="rId3" Type="http://schemas.openxmlformats.org/officeDocument/2006/relationships/customXml" Target="../customXml/item3.xml"/><Relationship Id="rId21" Type="http://schemas.openxmlformats.org/officeDocument/2006/relationships/hyperlink" Target="https://www.who.int/antimicrobial-resistance/interagency-coordination-group/en/" TargetMode="External"/><Relationship Id="rId34" Type="http://schemas.openxmlformats.org/officeDocument/2006/relationships/hyperlink" Target="https://bmcmedicine.biomedcentral.com/articles/10.1186/s12916-019-1412-8"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lemingfund.org/grants-funding/fellowships/" TargetMode="External"/><Relationship Id="rId25" Type="http://schemas.openxmlformats.org/officeDocument/2006/relationships/hyperlink" Target="https://www.flemingfund.org/about-us/our-aims/" TargetMode="External"/><Relationship Id="rId33" Type="http://schemas.openxmlformats.org/officeDocument/2006/relationships/hyperlink" Target="https://bmcmedicine.biomedcentral.com/articles/10.1186/s12916-019-1443-1" TargetMode="External"/><Relationship Id="rId38" Type="http://schemas.openxmlformats.org/officeDocument/2006/relationships/hyperlink" Target="https://www.flemingfund.org/publications/to-understand-why-bacteria-behaves-in-a-particular-way-you-need-genomics/" TargetMode="External"/><Relationship Id="rId2" Type="http://schemas.openxmlformats.org/officeDocument/2006/relationships/customXml" Target="../customXml/item2.xml"/><Relationship Id="rId16" Type="http://schemas.openxmlformats.org/officeDocument/2006/relationships/hyperlink" Target="https://www.flemingfund.org/grants-funding/regional-grants/" TargetMode="External"/><Relationship Id="rId20" Type="http://schemas.openxmlformats.org/officeDocument/2006/relationships/hyperlink" Target="https://amr-review.org/" TargetMode="External"/><Relationship Id="rId29" Type="http://schemas.openxmlformats.org/officeDocument/2006/relationships/hyperlink" Target="https://www.flemingfund.org/publications/fleming-fund-online-amr-cours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lemingfund.org/grants/2-8-whole-genome-sequencing/" TargetMode="External"/><Relationship Id="rId32" Type="http://schemas.openxmlformats.org/officeDocument/2006/relationships/hyperlink" Target="https://www.thelancet.com/journals/lancet/article/PIIS0140-6736(19)32989-7/fulltext" TargetMode="External"/><Relationship Id="rId37" Type="http://schemas.openxmlformats.org/officeDocument/2006/relationships/hyperlink" Target="https://pubmed.ncbi.nlm.nih.gov/30922309/?from_term=Moore+CE&amp;from_sort=date&amp;from_page=2&amp;from_pos=10" TargetMode="External"/><Relationship Id="rId40"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flemingfund.org/grants-funding/country-grants/" TargetMode="External"/><Relationship Id="rId23" Type="http://schemas.openxmlformats.org/officeDocument/2006/relationships/hyperlink" Target="https://www.flemingfund.org/our-approach/measuring-progress/" TargetMode="External"/><Relationship Id="rId28" Type="http://schemas.openxmlformats.org/officeDocument/2006/relationships/image" Target="cid:image010.png@01D7257A.07666D70" TargetMode="External"/><Relationship Id="rId36" Type="http://schemas.openxmlformats.org/officeDocument/2006/relationships/hyperlink" Target="https://science.sciencemag.org/content/365/6459/1251.long" TargetMode="External"/><Relationship Id="rId10" Type="http://schemas.openxmlformats.org/officeDocument/2006/relationships/endnotes" Target="endnotes.xml"/><Relationship Id="rId19" Type="http://schemas.openxmlformats.org/officeDocument/2006/relationships/hyperlink" Target="https://www.who.int/antimicrobial-resistance/global-action-plan/en/" TargetMode="External"/><Relationship Id="rId31" Type="http://schemas.openxmlformats.org/officeDocument/2006/relationships/hyperlink" Target="https://www.sciencedirect.com/science/journal/136952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publications/uk-5-year-action-plan-for-antimicrobial-resistance-2019-to-2024" TargetMode="External"/><Relationship Id="rId27" Type="http://schemas.openxmlformats.org/officeDocument/2006/relationships/image" Target="media/image2.png"/><Relationship Id="rId30" Type="http://schemas.openxmlformats.org/officeDocument/2006/relationships/hyperlink" Target="https://www.sciencedirect.com/science/article/pii/S136952742030117X" TargetMode="External"/><Relationship Id="rId35" Type="http://schemas.openxmlformats.org/officeDocument/2006/relationships/hyperlink" Target="https://www.thelancet.com/pdfs/journals/laninf/PIIS1473-3099(19)30276-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C09D15C37A045ABD3AA965BDF4171" ma:contentTypeVersion="12" ma:contentTypeDescription="Create a new document." ma:contentTypeScope="" ma:versionID="83c856a64e68a0036a253e125a090aec">
  <xsd:schema xmlns:xsd="http://www.w3.org/2001/XMLSchema" xmlns:xs="http://www.w3.org/2001/XMLSchema" xmlns:p="http://schemas.microsoft.com/office/2006/metadata/properties" xmlns:ns3="8cc20530-06dc-4406-8c2c-3ade2740e145" xmlns:ns4="2fea5551-7d60-423e-85dc-7b91b33a5210" targetNamespace="http://schemas.microsoft.com/office/2006/metadata/properties" ma:root="true" ma:fieldsID="65deb060deccac63eb5bd95010e17bd1" ns3:_="" ns4:_="">
    <xsd:import namespace="8cc20530-06dc-4406-8c2c-3ade2740e145"/>
    <xsd:import namespace="2fea5551-7d60-423e-85dc-7b91b33a52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0530-06dc-4406-8c2c-3ade2740e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a5551-7d60-423e-85dc-7b91b33a52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B801-E82A-47C6-A169-3B5F93F70F6F}">
  <ds:schemaRefs>
    <ds:schemaRef ds:uri="8cc20530-06dc-4406-8c2c-3ade2740e14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2fea5551-7d60-423e-85dc-7b91b33a5210"/>
    <ds:schemaRef ds:uri="http://www.w3.org/XML/1998/namespace"/>
    <ds:schemaRef ds:uri="http://purl.org/dc/dcmitype/"/>
  </ds:schemaRefs>
</ds:datastoreItem>
</file>

<file path=customXml/itemProps2.xml><?xml version="1.0" encoding="utf-8"?>
<ds:datastoreItem xmlns:ds="http://schemas.openxmlformats.org/officeDocument/2006/customXml" ds:itemID="{8E4D2BFA-F2F3-47AF-AC9C-AFF987B00587}">
  <ds:schemaRefs>
    <ds:schemaRef ds:uri="http://schemas.microsoft.com/sharepoint/v3/contenttype/forms"/>
  </ds:schemaRefs>
</ds:datastoreItem>
</file>

<file path=customXml/itemProps3.xml><?xml version="1.0" encoding="utf-8"?>
<ds:datastoreItem xmlns:ds="http://schemas.openxmlformats.org/officeDocument/2006/customXml" ds:itemID="{D0B9C057-459E-4C76-86FE-159783330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0530-06dc-4406-8c2c-3ade2740e145"/>
    <ds:schemaRef ds:uri="2fea5551-7d60-423e-85dc-7b91b33a5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5E331-9EC7-4C62-AD3F-BF82C8ED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12055</Words>
  <Characters>68716</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80610</CharactersWithSpaces>
  <SharedDoc>false</SharedDoc>
  <HLinks>
    <vt:vector size="132" baseType="variant">
      <vt:variant>
        <vt:i4>2424868</vt:i4>
      </vt:variant>
      <vt:variant>
        <vt:i4>63</vt:i4>
      </vt:variant>
      <vt:variant>
        <vt:i4>0</vt:i4>
      </vt:variant>
      <vt:variant>
        <vt:i4>5</vt:i4>
      </vt:variant>
      <vt:variant>
        <vt:lpwstr>https://www.gov.uk/government/publications/fleming-fund-annual-review-2019</vt:lpwstr>
      </vt:variant>
      <vt:variant>
        <vt:lpwstr/>
      </vt:variant>
      <vt:variant>
        <vt:i4>7471140</vt:i4>
      </vt:variant>
      <vt:variant>
        <vt:i4>60</vt:i4>
      </vt:variant>
      <vt:variant>
        <vt:i4>0</vt:i4>
      </vt:variant>
      <vt:variant>
        <vt:i4>5</vt:i4>
      </vt:variant>
      <vt:variant>
        <vt:lpwstr>https://www.flemingfund.org/publications/to-understand-why-bacteria-behaves-in-a-particular-way-you-need-genomics/</vt:lpwstr>
      </vt:variant>
      <vt:variant>
        <vt:lpwstr/>
      </vt:variant>
      <vt:variant>
        <vt:i4>983071</vt:i4>
      </vt:variant>
      <vt:variant>
        <vt:i4>57</vt:i4>
      </vt:variant>
      <vt:variant>
        <vt:i4>0</vt:i4>
      </vt:variant>
      <vt:variant>
        <vt:i4>5</vt:i4>
      </vt:variant>
      <vt:variant>
        <vt:lpwstr>https://pubmed.ncbi.nlm.nih.gov/30922309/?from_term=Moore+CE&amp;from_sort=date&amp;from_page=2&amp;from_pos=10</vt:lpwstr>
      </vt:variant>
      <vt:variant>
        <vt:lpwstr/>
      </vt:variant>
      <vt:variant>
        <vt:i4>655449</vt:i4>
      </vt:variant>
      <vt:variant>
        <vt:i4>54</vt:i4>
      </vt:variant>
      <vt:variant>
        <vt:i4>0</vt:i4>
      </vt:variant>
      <vt:variant>
        <vt:i4>5</vt:i4>
      </vt:variant>
      <vt:variant>
        <vt:lpwstr>https://science.sciencemag.org/content/365/6459/1251.long</vt:lpwstr>
      </vt:variant>
      <vt:variant>
        <vt:lpwstr/>
      </vt:variant>
      <vt:variant>
        <vt:i4>2162735</vt:i4>
      </vt:variant>
      <vt:variant>
        <vt:i4>51</vt:i4>
      </vt:variant>
      <vt:variant>
        <vt:i4>0</vt:i4>
      </vt:variant>
      <vt:variant>
        <vt:i4>5</vt:i4>
      </vt:variant>
      <vt:variant>
        <vt:lpwstr>https://www.thelancet.com/pdfs/journals/laninf/PIIS1473-3099(19)30276-2.pdf</vt:lpwstr>
      </vt:variant>
      <vt:variant>
        <vt:lpwstr/>
      </vt:variant>
      <vt:variant>
        <vt:i4>4915204</vt:i4>
      </vt:variant>
      <vt:variant>
        <vt:i4>48</vt:i4>
      </vt:variant>
      <vt:variant>
        <vt:i4>0</vt:i4>
      </vt:variant>
      <vt:variant>
        <vt:i4>5</vt:i4>
      </vt:variant>
      <vt:variant>
        <vt:lpwstr>https://bmcmedicine.biomedcentral.com/articles/10.1186/s12916-019-1412-8</vt:lpwstr>
      </vt:variant>
      <vt:variant>
        <vt:lpwstr/>
      </vt:variant>
      <vt:variant>
        <vt:i4>4390913</vt:i4>
      </vt:variant>
      <vt:variant>
        <vt:i4>45</vt:i4>
      </vt:variant>
      <vt:variant>
        <vt:i4>0</vt:i4>
      </vt:variant>
      <vt:variant>
        <vt:i4>5</vt:i4>
      </vt:variant>
      <vt:variant>
        <vt:lpwstr>https://bmcmedicine.biomedcentral.com/articles/10.1186/s12916-019-1443-1</vt:lpwstr>
      </vt:variant>
      <vt:variant>
        <vt:lpwstr/>
      </vt:variant>
      <vt:variant>
        <vt:i4>3866659</vt:i4>
      </vt:variant>
      <vt:variant>
        <vt:i4>42</vt:i4>
      </vt:variant>
      <vt:variant>
        <vt:i4>0</vt:i4>
      </vt:variant>
      <vt:variant>
        <vt:i4>5</vt:i4>
      </vt:variant>
      <vt:variant>
        <vt:lpwstr>https://www.thelancet.com/journals/lancet/article/PIIS0140-6736(19)32989-7/fulltext</vt:lpwstr>
      </vt:variant>
      <vt:variant>
        <vt:lpwstr/>
      </vt:variant>
      <vt:variant>
        <vt:i4>2293806</vt:i4>
      </vt:variant>
      <vt:variant>
        <vt:i4>39</vt:i4>
      </vt:variant>
      <vt:variant>
        <vt:i4>0</vt:i4>
      </vt:variant>
      <vt:variant>
        <vt:i4>5</vt:i4>
      </vt:variant>
      <vt:variant>
        <vt:lpwstr>https://www.sciencedirect.com/science/journal/13695274</vt:lpwstr>
      </vt:variant>
      <vt:variant>
        <vt:lpwstr/>
      </vt:variant>
      <vt:variant>
        <vt:i4>6291570</vt:i4>
      </vt:variant>
      <vt:variant>
        <vt:i4>36</vt:i4>
      </vt:variant>
      <vt:variant>
        <vt:i4>0</vt:i4>
      </vt:variant>
      <vt:variant>
        <vt:i4>5</vt:i4>
      </vt:variant>
      <vt:variant>
        <vt:lpwstr>https://www.sciencedirect.com/science/article/pii/S136952742030117X</vt:lpwstr>
      </vt:variant>
      <vt:variant>
        <vt:lpwstr/>
      </vt:variant>
      <vt:variant>
        <vt:i4>196635</vt:i4>
      </vt:variant>
      <vt:variant>
        <vt:i4>33</vt:i4>
      </vt:variant>
      <vt:variant>
        <vt:i4>0</vt:i4>
      </vt:variant>
      <vt:variant>
        <vt:i4>5</vt:i4>
      </vt:variant>
      <vt:variant>
        <vt:lpwstr>https://researchonline.lshtm.ac.uk/id/eprint/4574689/</vt:lpwstr>
      </vt:variant>
      <vt:variant>
        <vt:lpwstr/>
      </vt:variant>
      <vt:variant>
        <vt:i4>2818102</vt:i4>
      </vt:variant>
      <vt:variant>
        <vt:i4>30</vt:i4>
      </vt:variant>
      <vt:variant>
        <vt:i4>0</vt:i4>
      </vt:variant>
      <vt:variant>
        <vt:i4>5</vt:i4>
      </vt:variant>
      <vt:variant>
        <vt:lpwstr>https://www.flemingfund.org/about-us/our-aims/</vt:lpwstr>
      </vt:variant>
      <vt:variant>
        <vt:lpwstr/>
      </vt:variant>
      <vt:variant>
        <vt:i4>8192037</vt:i4>
      </vt:variant>
      <vt:variant>
        <vt:i4>27</vt:i4>
      </vt:variant>
      <vt:variant>
        <vt:i4>0</vt:i4>
      </vt:variant>
      <vt:variant>
        <vt:i4>5</vt:i4>
      </vt:variant>
      <vt:variant>
        <vt:lpwstr>https://www.flemingfund.org/grants/2-8-whole-genome-sequencing/</vt:lpwstr>
      </vt:variant>
      <vt:variant>
        <vt:lpwstr/>
      </vt:variant>
      <vt:variant>
        <vt:i4>4784223</vt:i4>
      </vt:variant>
      <vt:variant>
        <vt:i4>24</vt:i4>
      </vt:variant>
      <vt:variant>
        <vt:i4>0</vt:i4>
      </vt:variant>
      <vt:variant>
        <vt:i4>5</vt:i4>
      </vt:variant>
      <vt:variant>
        <vt:lpwstr>https://www.flemingfund.org/our-approach/measuring-progress/</vt:lpwstr>
      </vt:variant>
      <vt:variant>
        <vt:lpwstr/>
      </vt:variant>
      <vt:variant>
        <vt:i4>6553661</vt:i4>
      </vt:variant>
      <vt:variant>
        <vt:i4>21</vt:i4>
      </vt:variant>
      <vt:variant>
        <vt:i4>0</vt:i4>
      </vt:variant>
      <vt:variant>
        <vt:i4>5</vt:i4>
      </vt:variant>
      <vt:variant>
        <vt:lpwstr>https://www.gov.uk/government/publications/uk-5-year-action-plan-for-antimicrobial-resistance-2019-to-2024</vt:lpwstr>
      </vt:variant>
      <vt:variant>
        <vt:lpwstr/>
      </vt:variant>
      <vt:variant>
        <vt:i4>6750245</vt:i4>
      </vt:variant>
      <vt:variant>
        <vt:i4>18</vt:i4>
      </vt:variant>
      <vt:variant>
        <vt:i4>0</vt:i4>
      </vt:variant>
      <vt:variant>
        <vt:i4>5</vt:i4>
      </vt:variant>
      <vt:variant>
        <vt:lpwstr>https://www.who.int/antimicrobial-resistance/interagency-coordination-group/en/</vt:lpwstr>
      </vt:variant>
      <vt:variant>
        <vt:lpwstr/>
      </vt:variant>
      <vt:variant>
        <vt:i4>2228334</vt:i4>
      </vt:variant>
      <vt:variant>
        <vt:i4>15</vt:i4>
      </vt:variant>
      <vt:variant>
        <vt:i4>0</vt:i4>
      </vt:variant>
      <vt:variant>
        <vt:i4>5</vt:i4>
      </vt:variant>
      <vt:variant>
        <vt:lpwstr>https://amr-review.org/</vt:lpwstr>
      </vt:variant>
      <vt:variant>
        <vt:lpwstr/>
      </vt:variant>
      <vt:variant>
        <vt:i4>8257593</vt:i4>
      </vt:variant>
      <vt:variant>
        <vt:i4>12</vt:i4>
      </vt:variant>
      <vt:variant>
        <vt:i4>0</vt:i4>
      </vt:variant>
      <vt:variant>
        <vt:i4>5</vt:i4>
      </vt:variant>
      <vt:variant>
        <vt:lpwstr>https://www.who.int/antimicrobial-resistance/global-action-plan/en/</vt:lpwstr>
      </vt:variant>
      <vt:variant>
        <vt:lpwstr/>
      </vt:variant>
      <vt:variant>
        <vt:i4>7929911</vt:i4>
      </vt:variant>
      <vt:variant>
        <vt:i4>9</vt:i4>
      </vt:variant>
      <vt:variant>
        <vt:i4>0</vt:i4>
      </vt:variant>
      <vt:variant>
        <vt:i4>5</vt:i4>
      </vt:variant>
      <vt:variant>
        <vt:lpwstr>https://www.flemingfund.org/grants-funding/global-projects/</vt:lpwstr>
      </vt:variant>
      <vt:variant>
        <vt:lpwstr/>
      </vt:variant>
      <vt:variant>
        <vt:i4>3735613</vt:i4>
      </vt:variant>
      <vt:variant>
        <vt:i4>6</vt:i4>
      </vt:variant>
      <vt:variant>
        <vt:i4>0</vt:i4>
      </vt:variant>
      <vt:variant>
        <vt:i4>5</vt:i4>
      </vt:variant>
      <vt:variant>
        <vt:lpwstr>https://www.flemingfund.org/grants-funding/fellowships/</vt:lpwstr>
      </vt:variant>
      <vt:variant>
        <vt:lpwstr/>
      </vt:variant>
      <vt:variant>
        <vt:i4>7077927</vt:i4>
      </vt:variant>
      <vt:variant>
        <vt:i4>3</vt:i4>
      </vt:variant>
      <vt:variant>
        <vt:i4>0</vt:i4>
      </vt:variant>
      <vt:variant>
        <vt:i4>5</vt:i4>
      </vt:variant>
      <vt:variant>
        <vt:lpwstr>https://www.flemingfund.org/grants-funding/regional-grants/</vt:lpwstr>
      </vt:variant>
      <vt:variant>
        <vt:lpwstr/>
      </vt:variant>
      <vt:variant>
        <vt:i4>7536746</vt:i4>
      </vt:variant>
      <vt:variant>
        <vt:i4>0</vt:i4>
      </vt:variant>
      <vt:variant>
        <vt:i4>0</vt:i4>
      </vt:variant>
      <vt:variant>
        <vt:i4>5</vt:i4>
      </vt:variant>
      <vt:variant>
        <vt:lpwstr>https://www.flemingfund.org/grants-funding/country-grants/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2021-06-22T16:28:00Z</dcterms:created>
  <dcterms:modified xsi:type="dcterms:W3CDTF">2021-06-22T16:28:00Z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0x0101008CCC09D15C37A045ABD3AA965BDF4171</vt:lpwstr>
  </property>
</Properties>
</file>