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B9721" w14:textId="77777777" w:rsidR="00DD0F61" w:rsidRPr="00474ADA" w:rsidRDefault="004B0E8F" w:rsidP="00DD0F61">
      <w:pPr>
        <w:ind w:right="-142"/>
        <w:rPr>
          <w:b/>
        </w:rPr>
      </w:pPr>
      <w:bookmarkStart w:id="0" w:name="_GoBack"/>
      <w:bookmarkEnd w:id="0"/>
      <w:r w:rsidRPr="00474ADA">
        <w:rPr>
          <w:b/>
        </w:rPr>
        <w:t xml:space="preserve">ADDENDUM TO BUSINESS CASE </w:t>
      </w:r>
      <w:r w:rsidR="00B21C1A">
        <w:rPr>
          <w:b/>
        </w:rPr>
        <w:t xml:space="preserve">INCLUDING </w:t>
      </w:r>
      <w:r w:rsidRPr="00474ADA">
        <w:rPr>
          <w:b/>
        </w:rPr>
        <w:t>FOR BRIDGE FUNDING AND SCALE-UP COST EXTENSIONS</w:t>
      </w:r>
    </w:p>
    <w:p w14:paraId="0D8193F3" w14:textId="77777777" w:rsidR="000E0FAC" w:rsidRPr="00474ADA" w:rsidRDefault="000E0FAC" w:rsidP="00DD0F61">
      <w:pPr>
        <w:ind w:left="-900" w:firstLine="758"/>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4451"/>
      </w:tblGrid>
      <w:tr w:rsidR="007C3DE0" w:rsidRPr="00474ADA" w14:paraId="15A82AA6" w14:textId="77777777" w:rsidTr="003336C6">
        <w:tc>
          <w:tcPr>
            <w:tcW w:w="4754" w:type="dxa"/>
            <w:tcBorders>
              <w:right w:val="nil"/>
            </w:tcBorders>
            <w:shd w:val="clear" w:color="auto" w:fill="D9D9D9"/>
          </w:tcPr>
          <w:p w14:paraId="3F158547" w14:textId="77777777" w:rsidR="00183C2E" w:rsidRPr="003336C6" w:rsidRDefault="00183C2E" w:rsidP="00867BBD">
            <w:pPr>
              <w:spacing w:before="40" w:after="40"/>
              <w:rPr>
                <w:b/>
              </w:rPr>
            </w:pPr>
            <w:r w:rsidRPr="003336C6">
              <w:rPr>
                <w:b/>
              </w:rPr>
              <w:t>SUMMARY INFORMATION</w:t>
            </w:r>
          </w:p>
        </w:tc>
        <w:tc>
          <w:tcPr>
            <w:tcW w:w="5083" w:type="dxa"/>
            <w:tcBorders>
              <w:left w:val="nil"/>
            </w:tcBorders>
            <w:shd w:val="clear" w:color="auto" w:fill="D9D9D9"/>
          </w:tcPr>
          <w:p w14:paraId="37A6D0E1" w14:textId="77777777" w:rsidR="00183C2E" w:rsidRPr="003336C6" w:rsidRDefault="00183C2E" w:rsidP="00867BBD">
            <w:pPr>
              <w:spacing w:before="40" w:after="40"/>
              <w:rPr>
                <w:b/>
              </w:rPr>
            </w:pPr>
          </w:p>
        </w:tc>
      </w:tr>
      <w:tr w:rsidR="00B04C00" w:rsidRPr="00474ADA" w14:paraId="48BF6C2D" w14:textId="77777777" w:rsidTr="003336C6">
        <w:tc>
          <w:tcPr>
            <w:tcW w:w="4754" w:type="dxa"/>
            <w:shd w:val="clear" w:color="auto" w:fill="auto"/>
          </w:tcPr>
          <w:p w14:paraId="6F78CCC9" w14:textId="77777777" w:rsidR="00183C2E" w:rsidRPr="00474ADA" w:rsidRDefault="00B04C00" w:rsidP="00867BBD">
            <w:pPr>
              <w:spacing w:before="40" w:after="40"/>
            </w:pPr>
            <w:r w:rsidRPr="00474ADA">
              <w:t>Project Name</w:t>
            </w:r>
          </w:p>
        </w:tc>
        <w:tc>
          <w:tcPr>
            <w:tcW w:w="5083" w:type="dxa"/>
            <w:shd w:val="clear" w:color="auto" w:fill="auto"/>
          </w:tcPr>
          <w:p w14:paraId="08553ADA" w14:textId="4D2310A8" w:rsidR="00B04C00" w:rsidRPr="003336C6" w:rsidRDefault="001650AF" w:rsidP="00867BBD">
            <w:pPr>
              <w:spacing w:before="40" w:after="40"/>
              <w:rPr>
                <w:b/>
              </w:rPr>
            </w:pPr>
            <w:r>
              <w:rPr>
                <w:b/>
              </w:rPr>
              <w:t xml:space="preserve">UK </w:t>
            </w:r>
            <w:r w:rsidR="006B4BC7">
              <w:rPr>
                <w:b/>
              </w:rPr>
              <w:t xml:space="preserve">Blue Carbon Fund </w:t>
            </w:r>
          </w:p>
        </w:tc>
      </w:tr>
      <w:tr w:rsidR="00B04C00" w:rsidRPr="00474ADA" w14:paraId="79D202DE" w14:textId="77777777" w:rsidTr="003336C6">
        <w:tc>
          <w:tcPr>
            <w:tcW w:w="4754" w:type="dxa"/>
            <w:shd w:val="clear" w:color="auto" w:fill="auto"/>
          </w:tcPr>
          <w:p w14:paraId="72A5CFEA" w14:textId="77777777" w:rsidR="00183C2E" w:rsidRPr="00474ADA" w:rsidRDefault="00B04C00" w:rsidP="00867BBD">
            <w:pPr>
              <w:spacing w:before="40" w:after="40"/>
            </w:pPr>
            <w:r w:rsidRPr="00474ADA">
              <w:t>Country or region targeted</w:t>
            </w:r>
          </w:p>
        </w:tc>
        <w:tc>
          <w:tcPr>
            <w:tcW w:w="5083" w:type="dxa"/>
            <w:shd w:val="clear" w:color="auto" w:fill="auto"/>
          </w:tcPr>
          <w:p w14:paraId="5E262E7B" w14:textId="77777777" w:rsidR="00B04C00" w:rsidRPr="003336C6" w:rsidRDefault="00B04C00" w:rsidP="00867BBD">
            <w:pPr>
              <w:spacing w:before="40" w:after="40"/>
              <w:rPr>
                <w:b/>
              </w:rPr>
            </w:pPr>
          </w:p>
        </w:tc>
      </w:tr>
      <w:tr w:rsidR="00B04C00" w:rsidRPr="00474ADA" w14:paraId="15DC0FFB" w14:textId="77777777" w:rsidTr="003336C6">
        <w:tc>
          <w:tcPr>
            <w:tcW w:w="4754" w:type="dxa"/>
            <w:shd w:val="clear" w:color="auto" w:fill="auto"/>
          </w:tcPr>
          <w:p w14:paraId="08C4E4DB" w14:textId="77777777" w:rsidR="00183C2E" w:rsidRPr="00474ADA" w:rsidRDefault="00B04C00" w:rsidP="00867BBD">
            <w:pPr>
              <w:spacing w:before="40" w:after="40"/>
            </w:pPr>
            <w:r w:rsidRPr="00474ADA">
              <w:t>Type of cost extension</w:t>
            </w:r>
            <w:r w:rsidR="00B21C1A">
              <w:t xml:space="preserve"> (if applicable)</w:t>
            </w:r>
          </w:p>
        </w:tc>
        <w:tc>
          <w:tcPr>
            <w:tcW w:w="5083" w:type="dxa"/>
            <w:shd w:val="clear" w:color="auto" w:fill="auto"/>
          </w:tcPr>
          <w:p w14:paraId="048C4FBF" w14:textId="77777777" w:rsidR="00B04C00" w:rsidRPr="003336C6" w:rsidRDefault="007A5ADD" w:rsidP="00867BBD">
            <w:pPr>
              <w:spacing w:before="40" w:after="40"/>
              <w:rPr>
                <w:b/>
              </w:rPr>
            </w:pPr>
            <w:r>
              <w:rPr>
                <w:b/>
              </w:rPr>
              <w:t>Cost extension</w:t>
            </w:r>
          </w:p>
        </w:tc>
      </w:tr>
      <w:tr w:rsidR="00B04C00" w:rsidRPr="00474ADA" w14:paraId="16734C4B" w14:textId="77777777" w:rsidTr="003336C6">
        <w:tc>
          <w:tcPr>
            <w:tcW w:w="4754" w:type="dxa"/>
            <w:shd w:val="clear" w:color="auto" w:fill="auto"/>
          </w:tcPr>
          <w:p w14:paraId="365DCF80" w14:textId="77777777" w:rsidR="00183C2E" w:rsidRPr="00474ADA" w:rsidRDefault="00B04C00" w:rsidP="00867BBD">
            <w:pPr>
              <w:spacing w:before="40" w:after="40"/>
            </w:pPr>
            <w:r w:rsidRPr="00474ADA">
              <w:t>Original project budget</w:t>
            </w:r>
          </w:p>
        </w:tc>
        <w:tc>
          <w:tcPr>
            <w:tcW w:w="5083" w:type="dxa"/>
            <w:shd w:val="clear" w:color="auto" w:fill="auto"/>
          </w:tcPr>
          <w:p w14:paraId="47EE27A2" w14:textId="77777777" w:rsidR="00B04C00" w:rsidRPr="003336C6" w:rsidRDefault="00B04C00" w:rsidP="00867BBD">
            <w:pPr>
              <w:spacing w:before="40" w:after="40"/>
              <w:rPr>
                <w:b/>
              </w:rPr>
            </w:pPr>
          </w:p>
        </w:tc>
      </w:tr>
      <w:tr w:rsidR="00183C2E" w:rsidRPr="00474ADA" w14:paraId="22D57FAE" w14:textId="77777777" w:rsidTr="003336C6">
        <w:tc>
          <w:tcPr>
            <w:tcW w:w="4754" w:type="dxa"/>
            <w:shd w:val="clear" w:color="auto" w:fill="auto"/>
          </w:tcPr>
          <w:p w14:paraId="604295F0" w14:textId="77777777" w:rsidR="00183C2E" w:rsidRPr="00474ADA" w:rsidRDefault="00183C2E" w:rsidP="00867BBD">
            <w:pPr>
              <w:spacing w:before="40" w:after="40"/>
            </w:pPr>
            <w:r w:rsidRPr="00474ADA">
              <w:t>Original project start and end dates</w:t>
            </w:r>
          </w:p>
        </w:tc>
        <w:tc>
          <w:tcPr>
            <w:tcW w:w="5083" w:type="dxa"/>
            <w:shd w:val="clear" w:color="auto" w:fill="auto"/>
          </w:tcPr>
          <w:p w14:paraId="757EF6F8" w14:textId="77777777" w:rsidR="00183C2E" w:rsidRPr="003336C6" w:rsidRDefault="00183C2E" w:rsidP="00867BBD">
            <w:pPr>
              <w:spacing w:before="40" w:after="40"/>
              <w:rPr>
                <w:b/>
              </w:rPr>
            </w:pPr>
          </w:p>
        </w:tc>
      </w:tr>
      <w:tr w:rsidR="00B04C00" w:rsidRPr="00474ADA" w14:paraId="42303DEB" w14:textId="77777777" w:rsidTr="003336C6">
        <w:tc>
          <w:tcPr>
            <w:tcW w:w="4754" w:type="dxa"/>
            <w:shd w:val="clear" w:color="auto" w:fill="auto"/>
          </w:tcPr>
          <w:p w14:paraId="73900C27" w14:textId="77777777" w:rsidR="00183C2E" w:rsidRPr="00474ADA" w:rsidRDefault="00DF445F" w:rsidP="00867BBD">
            <w:pPr>
              <w:spacing w:before="40" w:after="40"/>
            </w:pPr>
            <w:r w:rsidRPr="00474ADA">
              <w:t>Cost extension value</w:t>
            </w:r>
            <w:r w:rsidR="00B21C1A">
              <w:t xml:space="preserve"> (if applicable)</w:t>
            </w:r>
          </w:p>
        </w:tc>
        <w:tc>
          <w:tcPr>
            <w:tcW w:w="5083" w:type="dxa"/>
            <w:shd w:val="clear" w:color="auto" w:fill="auto"/>
          </w:tcPr>
          <w:p w14:paraId="782F1B1E" w14:textId="6FA11C26" w:rsidR="00B04C00" w:rsidRPr="00840A5C" w:rsidRDefault="006B4BC7" w:rsidP="00867BBD">
            <w:pPr>
              <w:spacing w:before="40" w:after="40"/>
              <w:rPr>
                <w:b/>
              </w:rPr>
            </w:pPr>
            <w:r w:rsidRPr="00840A5C">
              <w:rPr>
                <w:b/>
              </w:rPr>
              <w:t>£2</w:t>
            </w:r>
            <w:r w:rsidR="00B056A5" w:rsidRPr="00840A5C">
              <w:rPr>
                <w:b/>
              </w:rPr>
              <w:t>0</w:t>
            </w:r>
            <w:r w:rsidRPr="00840A5C">
              <w:rPr>
                <w:b/>
              </w:rPr>
              <w:t>0,000</w:t>
            </w:r>
          </w:p>
        </w:tc>
      </w:tr>
      <w:tr w:rsidR="00B04C00" w:rsidRPr="00474ADA" w14:paraId="1B73D034" w14:textId="77777777" w:rsidTr="003336C6">
        <w:tc>
          <w:tcPr>
            <w:tcW w:w="4754" w:type="dxa"/>
            <w:shd w:val="clear" w:color="auto" w:fill="auto"/>
          </w:tcPr>
          <w:p w14:paraId="4FC42920" w14:textId="77777777" w:rsidR="00183C2E" w:rsidRPr="00474ADA" w:rsidRDefault="00183C2E" w:rsidP="00867BBD">
            <w:pPr>
              <w:spacing w:before="40" w:after="40"/>
            </w:pPr>
            <w:r w:rsidRPr="00474ADA">
              <w:t>New project end date</w:t>
            </w:r>
            <w:r w:rsidR="00B21C1A">
              <w:t xml:space="preserve"> (if applicable)</w:t>
            </w:r>
          </w:p>
        </w:tc>
        <w:tc>
          <w:tcPr>
            <w:tcW w:w="5083" w:type="dxa"/>
            <w:shd w:val="clear" w:color="auto" w:fill="auto"/>
          </w:tcPr>
          <w:p w14:paraId="336A98C7" w14:textId="77777777" w:rsidR="00B04C00" w:rsidRPr="003336C6" w:rsidRDefault="00B04C00" w:rsidP="00867BBD">
            <w:pPr>
              <w:spacing w:before="40" w:after="40"/>
              <w:rPr>
                <w:b/>
              </w:rPr>
            </w:pPr>
          </w:p>
        </w:tc>
      </w:tr>
      <w:tr w:rsidR="00183C2E" w:rsidRPr="00474ADA" w14:paraId="1C65EA55" w14:textId="77777777" w:rsidTr="003336C6">
        <w:tc>
          <w:tcPr>
            <w:tcW w:w="4754" w:type="dxa"/>
            <w:shd w:val="clear" w:color="auto" w:fill="auto"/>
          </w:tcPr>
          <w:p w14:paraId="4507206D" w14:textId="77777777" w:rsidR="00183C2E" w:rsidRPr="00474ADA" w:rsidRDefault="00183C2E" w:rsidP="00867BBD">
            <w:pPr>
              <w:spacing w:before="40" w:after="40"/>
            </w:pPr>
            <w:r w:rsidRPr="00474ADA">
              <w:t>Business Case Quest Document No.</w:t>
            </w:r>
          </w:p>
        </w:tc>
        <w:tc>
          <w:tcPr>
            <w:tcW w:w="5083" w:type="dxa"/>
            <w:shd w:val="clear" w:color="auto" w:fill="auto"/>
          </w:tcPr>
          <w:p w14:paraId="3D73BEA7" w14:textId="77777777" w:rsidR="00183C2E" w:rsidRPr="003336C6" w:rsidRDefault="00183C2E" w:rsidP="00867BBD">
            <w:pPr>
              <w:spacing w:before="40" w:after="40"/>
              <w:rPr>
                <w:b/>
              </w:rPr>
            </w:pPr>
          </w:p>
        </w:tc>
      </w:tr>
    </w:tbl>
    <w:p w14:paraId="0CDB744E" w14:textId="77777777" w:rsidR="00DD0F61" w:rsidRPr="00474ADA" w:rsidRDefault="00DD0F61" w:rsidP="00FD111C">
      <w:pPr>
        <w:rPr>
          <w:b/>
        </w:rPr>
      </w:pPr>
    </w:p>
    <w:tbl>
      <w:tblPr>
        <w:tblpPr w:leftFromText="180" w:rightFromText="180" w:vertAnchor="text" w:horzAnchor="page" w:tblpX="972" w:tblpY="25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DD0F61" w:rsidRPr="00474ADA" w14:paraId="3D9A467B" w14:textId="77777777" w:rsidTr="00DD0F61">
        <w:trPr>
          <w:trHeight w:val="465"/>
          <w:tblHeader/>
        </w:trPr>
        <w:tc>
          <w:tcPr>
            <w:tcW w:w="10065" w:type="dxa"/>
            <w:shd w:val="pct10" w:color="auto" w:fill="auto"/>
          </w:tcPr>
          <w:p w14:paraId="5A099B5E" w14:textId="77777777" w:rsidR="00DD0F61" w:rsidRPr="00474ADA" w:rsidRDefault="00DD0F61" w:rsidP="00867BBD">
            <w:pPr>
              <w:spacing w:before="40" w:after="40"/>
              <w:jc w:val="center"/>
            </w:pPr>
            <w:r w:rsidRPr="00474ADA">
              <w:rPr>
                <w:b/>
              </w:rPr>
              <w:t>INFORMATION</w:t>
            </w:r>
          </w:p>
        </w:tc>
      </w:tr>
      <w:tr w:rsidR="002E34BF" w:rsidRPr="00474ADA" w14:paraId="17B52796" w14:textId="77777777" w:rsidTr="00867BBD">
        <w:trPr>
          <w:trHeight w:val="383"/>
        </w:trPr>
        <w:tc>
          <w:tcPr>
            <w:tcW w:w="10065" w:type="dxa"/>
            <w:tcBorders>
              <w:bottom w:val="dashSmallGap" w:sz="4" w:space="0" w:color="auto"/>
            </w:tcBorders>
            <w:shd w:val="clear" w:color="auto" w:fill="F2F2F2"/>
          </w:tcPr>
          <w:p w14:paraId="628EB4A6" w14:textId="77777777" w:rsidR="002E34BF" w:rsidRDefault="002E34BF" w:rsidP="00867BBD">
            <w:pPr>
              <w:spacing w:before="40" w:after="120"/>
              <w:rPr>
                <w:b/>
              </w:rPr>
            </w:pPr>
            <w:r>
              <w:rPr>
                <w:b/>
              </w:rPr>
              <w:t>What is the project’s purpose?</w:t>
            </w:r>
          </w:p>
        </w:tc>
      </w:tr>
      <w:tr w:rsidR="002E34BF" w:rsidRPr="00474ADA" w14:paraId="237814EC" w14:textId="77777777" w:rsidTr="002E34BF">
        <w:trPr>
          <w:trHeight w:val="504"/>
        </w:trPr>
        <w:tc>
          <w:tcPr>
            <w:tcW w:w="10065" w:type="dxa"/>
            <w:tcBorders>
              <w:bottom w:val="dashSmallGap" w:sz="4" w:space="0" w:color="auto"/>
            </w:tcBorders>
            <w:shd w:val="clear" w:color="auto" w:fill="auto"/>
          </w:tcPr>
          <w:p w14:paraId="1BBC72D2" w14:textId="77777777" w:rsidR="002E34BF" w:rsidRDefault="002E34BF" w:rsidP="00DD0F61">
            <w:pPr>
              <w:rPr>
                <w:b/>
              </w:rPr>
            </w:pPr>
          </w:p>
          <w:p w14:paraId="278DA726" w14:textId="71FF9F6E" w:rsidR="00EF7126" w:rsidRPr="008E444B" w:rsidRDefault="00EF7126" w:rsidP="00EF7126">
            <w:r w:rsidRPr="008E444B">
              <w:t xml:space="preserve">Defra’s </w:t>
            </w:r>
            <w:r w:rsidR="00D741E8">
              <w:t xml:space="preserve">UK </w:t>
            </w:r>
            <w:r w:rsidRPr="008E444B">
              <w:t xml:space="preserve">Blue Carbon </w:t>
            </w:r>
            <w:r w:rsidR="00D741E8">
              <w:t xml:space="preserve">Fund </w:t>
            </w:r>
            <w:r w:rsidRPr="008E444B">
              <w:t>Programme aims to produce a transformational change in the conservation of mangroves by developing and embedding operational blue carbon markets across Latin America</w:t>
            </w:r>
            <w:r w:rsidR="00760B47">
              <w:t xml:space="preserve"> and the </w:t>
            </w:r>
            <w:r w:rsidR="002E02C6">
              <w:t>Caribbean</w:t>
            </w:r>
            <w:r w:rsidRPr="008E444B">
              <w:t xml:space="preserve"> that provide local communities with a sustainable income and assist in moving low-income countries towards low-emission, climate-resilient development. </w:t>
            </w:r>
          </w:p>
          <w:p w14:paraId="005233E0" w14:textId="77777777" w:rsidR="00862261" w:rsidRPr="008E444B" w:rsidRDefault="00862261" w:rsidP="00EF7126"/>
          <w:p w14:paraId="6C9CCE65" w14:textId="7694332C" w:rsidR="00EF7126" w:rsidRPr="008E444B" w:rsidRDefault="00EF7126" w:rsidP="00EF7126">
            <w:pPr>
              <w:rPr>
                <w:rFonts w:cstheme="minorHAnsi"/>
              </w:rPr>
            </w:pPr>
            <w:r w:rsidRPr="008E444B">
              <w:rPr>
                <w:rFonts w:cstheme="minorHAnsi"/>
              </w:rPr>
              <w:t xml:space="preserve">The program will mobilise strategic public and private sector investments in the blue carbon sector, funding projects in sectors such as sustainable aquaculture, coastal zone management and eco-tourism that target the main drivers of mangrove degradation and barriers to mangrove conservation. This will ensure the sustainable management of mangrove forests and accelerate sustainable development in key mangrove-focused countries in </w:t>
            </w:r>
            <w:r w:rsidR="00760B47">
              <w:rPr>
                <w:rFonts w:cstheme="minorHAnsi"/>
              </w:rPr>
              <w:t xml:space="preserve">Latin America and the Caribbean. </w:t>
            </w:r>
          </w:p>
          <w:p w14:paraId="56A6F778" w14:textId="77777777" w:rsidR="00EF7126" w:rsidRPr="004C5667" w:rsidRDefault="00EF7126" w:rsidP="00EF7126">
            <w:pPr>
              <w:rPr>
                <w:rFonts w:cstheme="minorHAnsi"/>
              </w:rPr>
            </w:pPr>
          </w:p>
          <w:p w14:paraId="5E70ABB5" w14:textId="77777777" w:rsidR="002E34BF" w:rsidRDefault="002E34BF" w:rsidP="00EF7126">
            <w:pPr>
              <w:rPr>
                <w:b/>
              </w:rPr>
            </w:pPr>
          </w:p>
        </w:tc>
      </w:tr>
      <w:tr w:rsidR="00DD0F61" w:rsidRPr="00474ADA" w14:paraId="0F35CF94" w14:textId="77777777" w:rsidTr="00867BBD">
        <w:trPr>
          <w:trHeight w:val="217"/>
        </w:trPr>
        <w:tc>
          <w:tcPr>
            <w:tcW w:w="10065" w:type="dxa"/>
            <w:tcBorders>
              <w:bottom w:val="dashSmallGap" w:sz="4" w:space="0" w:color="auto"/>
            </w:tcBorders>
            <w:shd w:val="clear" w:color="auto" w:fill="F2F2F2"/>
          </w:tcPr>
          <w:p w14:paraId="50C7773A" w14:textId="77777777" w:rsidR="00DD0F61" w:rsidRPr="00474ADA" w:rsidRDefault="005E126E" w:rsidP="00867BBD">
            <w:pPr>
              <w:spacing w:before="40" w:after="120"/>
              <w:rPr>
                <w:b/>
              </w:rPr>
            </w:pPr>
            <w:r>
              <w:rPr>
                <w:b/>
              </w:rPr>
              <w:t>What is the objective of the cost extension</w:t>
            </w:r>
            <w:r w:rsidR="00B21C1A">
              <w:rPr>
                <w:b/>
              </w:rPr>
              <w:t xml:space="preserve"> or other changes</w:t>
            </w:r>
            <w:r>
              <w:rPr>
                <w:b/>
              </w:rPr>
              <w:t>?</w:t>
            </w:r>
          </w:p>
        </w:tc>
      </w:tr>
      <w:tr w:rsidR="00DD0F61" w:rsidRPr="00474ADA" w14:paraId="7BF3B1BE" w14:textId="77777777" w:rsidTr="000C0420">
        <w:trPr>
          <w:trHeight w:val="1053"/>
        </w:trPr>
        <w:tc>
          <w:tcPr>
            <w:tcW w:w="10065" w:type="dxa"/>
            <w:tcBorders>
              <w:top w:val="dashSmallGap" w:sz="4" w:space="0" w:color="auto"/>
            </w:tcBorders>
            <w:shd w:val="clear" w:color="auto" w:fill="auto"/>
          </w:tcPr>
          <w:p w14:paraId="1E691CA3" w14:textId="77777777" w:rsidR="00DA628A" w:rsidRDefault="00DA628A" w:rsidP="00DD0F61">
            <w:pPr>
              <w:rPr>
                <w:b/>
              </w:rPr>
            </w:pPr>
          </w:p>
          <w:p w14:paraId="417C51B6" w14:textId="2E7C14B3" w:rsidR="00EF7126" w:rsidRPr="008E444B" w:rsidRDefault="00EF7126" w:rsidP="00EF7126">
            <w:pPr>
              <w:rPr>
                <w:rFonts w:cstheme="minorHAnsi"/>
              </w:rPr>
            </w:pPr>
            <w:r w:rsidRPr="008E444B">
              <w:rPr>
                <w:rFonts w:cstheme="minorHAnsi"/>
              </w:rPr>
              <w:t xml:space="preserve">This cost extension will help to build our understanding of interventions that are effective in protecting and enhancing biodiversity, and </w:t>
            </w:r>
            <w:r w:rsidR="007B1790" w:rsidRPr="008E444B">
              <w:rPr>
                <w:rFonts w:cstheme="minorHAnsi"/>
              </w:rPr>
              <w:t xml:space="preserve">improve </w:t>
            </w:r>
            <w:r w:rsidRPr="008E444B">
              <w:rPr>
                <w:rFonts w:cstheme="minorHAnsi"/>
              </w:rPr>
              <w:t>our understanding of extreme situations such as ecosystems tipping into new regimes.</w:t>
            </w:r>
            <w:r w:rsidR="001650AF">
              <w:rPr>
                <w:rFonts w:cstheme="minorHAnsi"/>
              </w:rPr>
              <w:t xml:space="preserve"> This work is complementary to the objectives of the Blue Carbon Fund; it will help us to better understand the value of nature, including mangroves, on biodiversity. </w:t>
            </w:r>
            <w:r w:rsidRPr="008E444B">
              <w:rPr>
                <w:rFonts w:cstheme="minorHAnsi"/>
              </w:rPr>
              <w:t>The work will provide important evidence that will inform design of future Defra ODA programmes</w:t>
            </w:r>
            <w:r w:rsidR="00EA7A06">
              <w:rPr>
                <w:rFonts w:cstheme="minorHAnsi"/>
              </w:rPr>
              <w:t xml:space="preserve"> similar to this one</w:t>
            </w:r>
            <w:r w:rsidRPr="008E444B">
              <w:rPr>
                <w:rFonts w:cstheme="minorHAnsi"/>
              </w:rPr>
              <w:t xml:space="preserve">, and will also directly inform the independent Review on the Economics of Biodiversity, led by Professor Sir Partha Dasgupta, commissioned by HM Treasury in spring 2019. </w:t>
            </w:r>
          </w:p>
          <w:p w14:paraId="59578B4E" w14:textId="77777777" w:rsidR="00EF7126" w:rsidRPr="008E444B" w:rsidRDefault="00EF7126" w:rsidP="00EF7126">
            <w:pPr>
              <w:rPr>
                <w:rFonts w:cstheme="minorHAnsi"/>
              </w:rPr>
            </w:pPr>
          </w:p>
          <w:p w14:paraId="0E882786" w14:textId="77777777" w:rsidR="00EF7126" w:rsidRPr="008E444B" w:rsidRDefault="00EF7126" w:rsidP="00EF7126">
            <w:pPr>
              <w:rPr>
                <w:rFonts w:cstheme="minorHAnsi"/>
                <w:i/>
                <w:iCs/>
              </w:rPr>
            </w:pPr>
            <w:r w:rsidRPr="008E444B">
              <w:rPr>
                <w:rFonts w:cstheme="minorHAnsi"/>
                <w:i/>
                <w:iCs/>
              </w:rPr>
              <w:t>Background</w:t>
            </w:r>
          </w:p>
          <w:p w14:paraId="186100A5" w14:textId="77777777" w:rsidR="00EF7126" w:rsidRPr="008E444B" w:rsidRDefault="00EF7126" w:rsidP="00EF7126">
            <w:pPr>
              <w:rPr>
                <w:rFonts w:cstheme="minorHAnsi"/>
              </w:rPr>
            </w:pPr>
          </w:p>
          <w:p w14:paraId="5C627FEC" w14:textId="77777777" w:rsidR="00EF7126" w:rsidRPr="008E444B" w:rsidRDefault="00EF7126" w:rsidP="00EF7126">
            <w:pPr>
              <w:rPr>
                <w:rFonts w:cstheme="minorHAnsi"/>
              </w:rPr>
            </w:pPr>
            <w:r w:rsidRPr="008E444B">
              <w:rPr>
                <w:rFonts w:cstheme="minorHAnsi"/>
              </w:rPr>
              <w:t xml:space="preserve">The UK’s 25 Year Environment Plan sets out that we will leave our environment in a better state than we found it, and that the UK is committed to being a global leader on halting biodiversity loss internationally. Under the Plan we commit to developing an ambitious new </w:t>
            </w:r>
            <w:r w:rsidRPr="008E444B">
              <w:rPr>
                <w:rFonts w:cstheme="minorHAnsi"/>
              </w:rPr>
              <w:lastRenderedPageBreak/>
              <w:t>post-2020 global framework under the UN Convention on Biological Diversity, which will deliver transformational change and support countries in halting biodiversity loss.</w:t>
            </w:r>
          </w:p>
          <w:p w14:paraId="49D27399" w14:textId="77777777" w:rsidR="00EF7126" w:rsidRPr="008E444B" w:rsidRDefault="00EF7126" w:rsidP="00EF7126">
            <w:pPr>
              <w:rPr>
                <w:rFonts w:cstheme="minorHAnsi"/>
              </w:rPr>
            </w:pPr>
          </w:p>
          <w:p w14:paraId="29A99FE2" w14:textId="77777777" w:rsidR="00EF7126" w:rsidRPr="008E444B" w:rsidRDefault="00EF7126" w:rsidP="00EF7126">
            <w:pPr>
              <w:rPr>
                <w:rFonts w:cstheme="minorHAnsi"/>
              </w:rPr>
            </w:pPr>
            <w:r w:rsidRPr="008E444B">
              <w:rPr>
                <w:rFonts w:cstheme="minorHAnsi"/>
              </w:rPr>
              <w:t xml:space="preserve">Biodiversity loss and ecosystem collapse is among the top global risks to society, and the planet is facing its sixth mass extinction. </w:t>
            </w:r>
            <w:r w:rsidRPr="008E444B">
              <w:rPr>
                <w:rFonts w:cstheme="minorHAnsi"/>
                <w:shd w:val="clear" w:color="auto" w:fill="FFFFFF"/>
              </w:rPr>
              <w:t>Almost one million animal and plant species are at risk of extinction. Land degradation has reduced the productivity of 23% of the global land surface, between US$235-577 billion in annual global crops are at risk from pollinator loss and 100-300 million people are at increased risk of floods and hurricanes because of loss of coastal habitats and protection</w:t>
            </w:r>
            <w:r w:rsidRPr="008E444B">
              <w:rPr>
                <w:rStyle w:val="FootnoteReference"/>
                <w:rFonts w:cstheme="minorHAnsi"/>
                <w:shd w:val="clear" w:color="auto" w:fill="FFFFFF"/>
              </w:rPr>
              <w:footnoteReference w:id="1"/>
            </w:r>
            <w:r w:rsidRPr="008E444B">
              <w:rPr>
                <w:rFonts w:cstheme="minorHAnsi"/>
                <w:shd w:val="clear" w:color="auto" w:fill="FFFFFF"/>
              </w:rPr>
              <w:t xml:space="preserve">. </w:t>
            </w:r>
            <w:r w:rsidR="00EA7A06" w:rsidRPr="004C5667">
              <w:t xml:space="preserve"> According to the IUCN more than one in six mangrove species are now in danger of extinction and 40% of species are considered threatened</w:t>
            </w:r>
            <w:r w:rsidR="00EA7A06" w:rsidRPr="004C5667">
              <w:rPr>
                <w:rStyle w:val="FootnoteReference"/>
              </w:rPr>
              <w:footnoteReference w:id="2"/>
            </w:r>
            <w:r w:rsidR="00EA7A06" w:rsidRPr="004C5667">
              <w:t>.</w:t>
            </w:r>
          </w:p>
          <w:p w14:paraId="6B6758C5" w14:textId="77777777" w:rsidR="00EF7126" w:rsidRPr="008E444B" w:rsidRDefault="00EF7126" w:rsidP="00EF7126">
            <w:pPr>
              <w:rPr>
                <w:rFonts w:cstheme="minorHAnsi"/>
              </w:rPr>
            </w:pPr>
          </w:p>
          <w:p w14:paraId="76C57C31" w14:textId="77777777" w:rsidR="00EF7126" w:rsidRPr="008E444B" w:rsidRDefault="00EF7126" w:rsidP="00EF7126">
            <w:pPr>
              <w:rPr>
                <w:rFonts w:cstheme="minorHAnsi"/>
              </w:rPr>
            </w:pPr>
            <w:r w:rsidRPr="008E444B">
              <w:rPr>
                <w:rFonts w:cstheme="minorHAnsi"/>
              </w:rPr>
              <w:t>The loss of biodiversity severely undermines our ability to achie</w:t>
            </w:r>
            <w:r w:rsidR="007B1790" w:rsidRPr="008E444B">
              <w:rPr>
                <w:rFonts w:cstheme="minorHAnsi"/>
              </w:rPr>
              <w:t>ve</w:t>
            </w:r>
            <w:r w:rsidRPr="008E444B">
              <w:rPr>
                <w:rFonts w:cstheme="minorHAnsi"/>
              </w:rPr>
              <w:t xml:space="preserve"> several of the Sustainable Development Goals. While much of the human population depends on natural capital to meet its livelihood needs, the poorest depend disproportionately on biodiversity for their subsistence needs, both in terms of income and insurance against risk</w:t>
            </w:r>
            <w:r w:rsidRPr="008E444B">
              <w:rPr>
                <w:rStyle w:val="FootnoteReference"/>
                <w:rFonts w:cstheme="minorHAnsi"/>
              </w:rPr>
              <w:footnoteReference w:id="3"/>
            </w:r>
            <w:r w:rsidRPr="008E444B">
              <w:rPr>
                <w:rFonts w:cstheme="minorHAnsi"/>
              </w:rPr>
              <w:t xml:space="preserve">. Biodiversity protection is fundamental to achieving poverty reduction, food and water security, and economic sustainability. </w:t>
            </w:r>
          </w:p>
          <w:p w14:paraId="113A631B" w14:textId="77777777" w:rsidR="00EF7126" w:rsidRPr="008E444B" w:rsidRDefault="00EF7126" w:rsidP="00EF7126">
            <w:pPr>
              <w:rPr>
                <w:rFonts w:cstheme="minorHAnsi"/>
              </w:rPr>
            </w:pPr>
          </w:p>
          <w:p w14:paraId="07F8CDAA" w14:textId="77777777" w:rsidR="00EF7126" w:rsidRPr="008E444B" w:rsidRDefault="00EF7126" w:rsidP="00EF7126">
            <w:pPr>
              <w:rPr>
                <w:rFonts w:cstheme="minorHAnsi"/>
              </w:rPr>
            </w:pPr>
            <w:r w:rsidRPr="008E444B">
              <w:rPr>
                <w:rFonts w:cstheme="minorHAnsi"/>
              </w:rPr>
              <w:t>Biodiversity and nature more broadly are part of the solution in simultaneously delivering against a number of international and UK policy objectives, including the UK’s net zero target by 2050, SDGs, what will be agreed as the post-2020 framework in the CBD COP15, the Paris climate targets, and the Sendai framework on Disaster Risk Reduction. For example, experts predict that “Nature Based Solutions” could deliver 37% of cost-effective CO2 mitigation by 2030</w:t>
            </w:r>
            <w:r w:rsidRPr="008E444B">
              <w:rPr>
                <w:rStyle w:val="FootnoteReference"/>
                <w:rFonts w:cstheme="minorHAnsi"/>
              </w:rPr>
              <w:footnoteReference w:id="4"/>
            </w:r>
            <w:r w:rsidRPr="008E444B">
              <w:rPr>
                <w:rFonts w:cstheme="minorHAnsi"/>
              </w:rPr>
              <w:t>, helping to meet biodiversity, climate change and disaster risk reduction targets, and indirectly contributing to additional SDGs.</w:t>
            </w:r>
          </w:p>
          <w:p w14:paraId="6EF6B7D7" w14:textId="77777777" w:rsidR="00EF7126" w:rsidRPr="008E444B" w:rsidRDefault="00EF7126" w:rsidP="00EF7126"/>
          <w:p w14:paraId="09F79F15" w14:textId="77777777" w:rsidR="00351EFD" w:rsidRPr="008E444B" w:rsidRDefault="00351EFD" w:rsidP="00351EFD">
            <w:r w:rsidRPr="008E444B">
              <w:t>An independent review on the Economics of Biodiversity was commissioned by HM Treasury in spring 2019 and is being led by Sir Professor Partha Dasgupta. The Review is global in scope and its aims are to assess the economic value of biodiversity, to assess the economic costs and risks of biodiversity loss and to identify actions that will simultaneously enhance biodiversity and deliver economic prosperity. The Review will report ahead of the CBD COP15 in Kunming, China, in October 2020. The primary audiences for the review are economic and finance policy and decision makers, both public and private.</w:t>
            </w:r>
          </w:p>
          <w:p w14:paraId="7B9E925C" w14:textId="77777777" w:rsidR="00351EFD" w:rsidRPr="008E444B" w:rsidRDefault="00351EFD" w:rsidP="00351EFD"/>
          <w:p w14:paraId="0D61DA4C" w14:textId="021079F3" w:rsidR="00351EFD" w:rsidRPr="008E444B" w:rsidRDefault="00351EFD" w:rsidP="00351EFD">
            <w:r w:rsidRPr="008E444B">
              <w:t>The Inter-American Development Bank</w:t>
            </w:r>
            <w:r w:rsidR="001650AF">
              <w:t xml:space="preserve"> (IDB)</w:t>
            </w:r>
            <w:r w:rsidRPr="008E444B">
              <w:t xml:space="preserve"> has a wealth of experience in the areas of biodiversity, ecosystem services and natural resources, examples of their work in this space include (but are not limited to):</w:t>
            </w:r>
          </w:p>
          <w:p w14:paraId="7E004749" w14:textId="77777777" w:rsidR="00351EFD" w:rsidRPr="008E444B" w:rsidRDefault="00351EFD" w:rsidP="00351EFD">
            <w:pPr>
              <w:pStyle w:val="ListParagraph"/>
              <w:numPr>
                <w:ilvl w:val="0"/>
                <w:numId w:val="36"/>
              </w:numPr>
              <w:spacing w:after="160" w:line="259" w:lineRule="auto"/>
            </w:pPr>
            <w:r w:rsidRPr="008E444B">
              <w:t>The Biodiversity and Ecosystems Services (BES) Programme that aimed to mainstream the value of biodiversity and ecosystem services into key economic sectors, invest in conservation, strengthen environmental governance, and promote private sector innovation in environmental protection.</w:t>
            </w:r>
          </w:p>
          <w:p w14:paraId="6BBBA5C4" w14:textId="77777777" w:rsidR="00351EFD" w:rsidRPr="008E444B" w:rsidRDefault="00351EFD" w:rsidP="00351EFD">
            <w:pPr>
              <w:pStyle w:val="ListParagraph"/>
              <w:numPr>
                <w:ilvl w:val="0"/>
                <w:numId w:val="36"/>
              </w:numPr>
              <w:spacing w:after="160" w:line="259" w:lineRule="auto"/>
            </w:pPr>
            <w:r w:rsidRPr="008E444B">
              <w:t xml:space="preserve">The Natural Capital Lab which aims to drive innovation in finance for biodiversity, ecosystems and conservation and test new blended public-private solutions: </w:t>
            </w:r>
            <w:hyperlink r:id="rId12" w:history="1">
              <w:r w:rsidRPr="008E444B">
                <w:rPr>
                  <w:rStyle w:val="Hyperlink"/>
                </w:rPr>
                <w:t>https://www.iadb.org/en/environment/natural-capital-lab</w:t>
              </w:r>
            </w:hyperlink>
          </w:p>
          <w:p w14:paraId="18D33FED" w14:textId="77777777" w:rsidR="00351EFD" w:rsidRPr="001650AF" w:rsidRDefault="00351EFD" w:rsidP="00351EFD">
            <w:pPr>
              <w:pStyle w:val="ListParagraph"/>
              <w:numPr>
                <w:ilvl w:val="0"/>
                <w:numId w:val="36"/>
              </w:numPr>
              <w:spacing w:after="160" w:line="259" w:lineRule="auto"/>
            </w:pPr>
            <w:r w:rsidRPr="008E444B">
              <w:lastRenderedPageBreak/>
              <w:t xml:space="preserve">Development and use of an ‘integrated economic-environmental modelling’ (IEEM) framework that aims to integrate environmental and economic impact analysis to help decision makers more accurately analyse the current and potential impacts of a policy </w:t>
            </w:r>
            <w:r w:rsidRPr="001650AF">
              <w:t>or investment decision on both economic and environmental indicators.</w:t>
            </w:r>
          </w:p>
          <w:p w14:paraId="7B4813FA" w14:textId="013B683E" w:rsidR="00351EFD" w:rsidRPr="001650AF" w:rsidRDefault="00351EFD" w:rsidP="00351EFD">
            <w:r w:rsidRPr="001650AF">
              <w:t xml:space="preserve">This cost extension </w:t>
            </w:r>
            <w:r w:rsidR="00760B47" w:rsidRPr="00160709">
              <w:t xml:space="preserve">complements, but is separate to, the </w:t>
            </w:r>
            <w:r w:rsidR="001650AF" w:rsidRPr="00160709">
              <w:t>aims of</w:t>
            </w:r>
            <w:r w:rsidR="00760B47" w:rsidRPr="00160709">
              <w:t xml:space="preserve"> the Blue Carbon Fund; it does not</w:t>
            </w:r>
            <w:r w:rsidR="00760B47" w:rsidRPr="001650AF">
              <w:t xml:space="preserve"> </w:t>
            </w:r>
            <w:r w:rsidRPr="001650AF">
              <w:t>extend the scope of the</w:t>
            </w:r>
            <w:r w:rsidR="002F19F4" w:rsidRPr="001650AF">
              <w:t xml:space="preserve"> Blue Carbon</w:t>
            </w:r>
            <w:r w:rsidRPr="001650AF">
              <w:t xml:space="preserve"> programme</w:t>
            </w:r>
            <w:r w:rsidR="00760B47" w:rsidRPr="00160709">
              <w:t>.</w:t>
            </w:r>
            <w:r w:rsidRPr="001650AF">
              <w:t xml:space="preserve"> </w:t>
            </w:r>
            <w:r w:rsidR="001650AF" w:rsidRPr="00160709">
              <w:t>The project will</w:t>
            </w:r>
            <w:r w:rsidR="001650AF" w:rsidRPr="001650AF">
              <w:t xml:space="preserve"> </w:t>
            </w:r>
            <w:r w:rsidRPr="001650AF">
              <w:t>increase our understanding of what works and why, in relation to reducing biodiversity loss and environmental degradation</w:t>
            </w:r>
            <w:r w:rsidR="001648ED" w:rsidRPr="001650AF">
              <w:t>, with a particular reference to mangroves</w:t>
            </w:r>
            <w:r w:rsidRPr="001650AF">
              <w:t>.</w:t>
            </w:r>
            <w:r w:rsidRPr="001650AF">
              <w:rPr>
                <w:i/>
                <w:iCs/>
              </w:rPr>
              <w:t xml:space="preserve"> </w:t>
            </w:r>
            <w:r w:rsidRPr="001650AF">
              <w:t>This work will inform future ODA spend but also directly contribute to the Economics of Biodiversity Review’s evidence base and inform the Review’s recommendations by:</w:t>
            </w:r>
          </w:p>
          <w:p w14:paraId="17335675" w14:textId="77777777" w:rsidR="00351EFD" w:rsidRPr="001650AF" w:rsidRDefault="00351EFD" w:rsidP="00351EFD">
            <w:pPr>
              <w:pStyle w:val="ListParagraph"/>
              <w:numPr>
                <w:ilvl w:val="0"/>
                <w:numId w:val="37"/>
              </w:numPr>
              <w:spacing w:after="160" w:line="259" w:lineRule="auto"/>
            </w:pPr>
            <w:r w:rsidRPr="001650AF">
              <w:t>Improving our understanding about what works well in terms of mainstreaming natural capital and biodiversity considerations into development and infrastructure planning.</w:t>
            </w:r>
          </w:p>
          <w:p w14:paraId="27888B11" w14:textId="77777777" w:rsidR="00351EFD" w:rsidRPr="001650AF" w:rsidRDefault="00351EFD" w:rsidP="00351EFD">
            <w:pPr>
              <w:pStyle w:val="ListParagraph"/>
              <w:numPr>
                <w:ilvl w:val="0"/>
                <w:numId w:val="37"/>
              </w:numPr>
              <w:spacing w:after="160" w:line="259" w:lineRule="auto"/>
            </w:pPr>
            <w:r w:rsidRPr="001650AF">
              <w:t xml:space="preserve">Developing an understanding of state-of-the-art financial innovations that help to reduce biodiversity loss. </w:t>
            </w:r>
          </w:p>
          <w:p w14:paraId="3C4BC65F" w14:textId="77777777" w:rsidR="00351EFD" w:rsidRPr="008E444B" w:rsidRDefault="00EE2F87" w:rsidP="00351EFD">
            <w:pPr>
              <w:pStyle w:val="ListParagraph"/>
              <w:numPr>
                <w:ilvl w:val="0"/>
                <w:numId w:val="37"/>
              </w:numPr>
              <w:spacing w:after="160" w:line="259" w:lineRule="auto"/>
            </w:pPr>
            <w:r w:rsidRPr="001650AF">
              <w:t>B</w:t>
            </w:r>
            <w:r w:rsidR="00CA52DF" w:rsidRPr="001650AF">
              <w:t xml:space="preserve">etter </w:t>
            </w:r>
            <w:r w:rsidR="00351EFD" w:rsidRPr="001650AF">
              <w:t>understand</w:t>
            </w:r>
            <w:r w:rsidRPr="001650AF">
              <w:t>ing</w:t>
            </w:r>
            <w:r w:rsidR="00351EFD" w:rsidRPr="001650AF">
              <w:t xml:space="preserve"> the consequences of ecosystems tipping</w:t>
            </w:r>
            <w:r w:rsidR="00351EFD" w:rsidRPr="008E444B">
              <w:t xml:space="preserve"> into new regimes</w:t>
            </w:r>
            <w:r w:rsidR="00D8768A" w:rsidRPr="008E444B">
              <w:t xml:space="preserve"> on ecosystem functions</w:t>
            </w:r>
            <w:r w:rsidR="00B62796" w:rsidRPr="008E444B">
              <w:t xml:space="preserve"> and on local economies.</w:t>
            </w:r>
          </w:p>
          <w:p w14:paraId="78FC23BB" w14:textId="40114DEC" w:rsidR="00351EFD" w:rsidRPr="00474ADA" w:rsidRDefault="00351EFD" w:rsidP="001648ED">
            <w:pPr>
              <w:rPr>
                <w:b/>
              </w:rPr>
            </w:pPr>
            <w:r w:rsidRPr="008E444B">
              <w:t xml:space="preserve">The UK is well placed to commission this work which </w:t>
            </w:r>
            <w:r w:rsidR="002F19F4" w:rsidRPr="008E444B">
              <w:t>will contribute to</w:t>
            </w:r>
            <w:r w:rsidRPr="008E444B">
              <w:t xml:space="preserve"> UK leadership on environment and climate change, </w:t>
            </w:r>
            <w:r w:rsidR="002F19F4" w:rsidRPr="008E444B">
              <w:t xml:space="preserve">the Dasgupta </w:t>
            </w:r>
            <w:r w:rsidR="007B1790" w:rsidRPr="008E444B">
              <w:t xml:space="preserve">Economics of Biodiversity </w:t>
            </w:r>
            <w:r w:rsidR="002F19F4" w:rsidRPr="008E444B">
              <w:t>Review, the UK’s presidency of the</w:t>
            </w:r>
            <w:r w:rsidRPr="008E444B">
              <w:t xml:space="preserve"> UNFCCC COP26 in 2020,</w:t>
            </w:r>
            <w:r w:rsidR="005A2D28" w:rsidRPr="008E444B">
              <w:t xml:space="preserve"> </w:t>
            </w:r>
            <w:r w:rsidRPr="008E444B">
              <w:t>achieving net zero emissions by 2050, doubling UK International Climate Finance to £11.6bn between 2021/22-2025/26</w:t>
            </w:r>
            <w:r w:rsidR="001648ED">
              <w:t xml:space="preserve"> and wider greening of ODA.</w:t>
            </w:r>
            <w:r w:rsidR="001648ED" w:rsidRPr="008E444B" w:rsidDel="001648ED">
              <w:t xml:space="preserve"> </w:t>
            </w:r>
          </w:p>
        </w:tc>
      </w:tr>
      <w:tr w:rsidR="00DD0F61" w:rsidRPr="00474ADA" w14:paraId="6D27E4EB" w14:textId="77777777" w:rsidTr="00867BBD">
        <w:trPr>
          <w:trHeight w:val="375"/>
        </w:trPr>
        <w:tc>
          <w:tcPr>
            <w:tcW w:w="10065" w:type="dxa"/>
            <w:tcBorders>
              <w:bottom w:val="dashSmallGap" w:sz="4" w:space="0" w:color="auto"/>
            </w:tcBorders>
            <w:shd w:val="clear" w:color="auto" w:fill="F2F2F2"/>
          </w:tcPr>
          <w:p w14:paraId="4EF6CD1E" w14:textId="77777777" w:rsidR="006B22D7" w:rsidRPr="00474ADA" w:rsidRDefault="006C6FCE" w:rsidP="00867BBD">
            <w:pPr>
              <w:spacing w:before="40" w:after="120"/>
              <w:rPr>
                <w:b/>
              </w:rPr>
            </w:pPr>
            <w:r>
              <w:rPr>
                <w:b/>
              </w:rPr>
              <w:lastRenderedPageBreak/>
              <w:t xml:space="preserve">What </w:t>
            </w:r>
            <w:r w:rsidR="002E34BF">
              <w:rPr>
                <w:b/>
              </w:rPr>
              <w:t xml:space="preserve">is the </w:t>
            </w:r>
            <w:r>
              <w:rPr>
                <w:b/>
              </w:rPr>
              <w:t xml:space="preserve">additional </w:t>
            </w:r>
            <w:r w:rsidR="002E34BF">
              <w:rPr>
                <w:b/>
              </w:rPr>
              <w:t>and total support</w:t>
            </w:r>
            <w:r>
              <w:rPr>
                <w:b/>
              </w:rPr>
              <w:t xml:space="preserve"> the UK </w:t>
            </w:r>
            <w:r w:rsidR="002E34BF">
              <w:rPr>
                <w:b/>
              </w:rPr>
              <w:t xml:space="preserve">will </w:t>
            </w:r>
            <w:r>
              <w:rPr>
                <w:b/>
              </w:rPr>
              <w:t>provide?</w:t>
            </w:r>
            <w:r w:rsidR="002E34BF">
              <w:rPr>
                <w:b/>
              </w:rPr>
              <w:t xml:space="preserve"> </w:t>
            </w:r>
          </w:p>
        </w:tc>
      </w:tr>
      <w:tr w:rsidR="006B22D7" w:rsidRPr="00474ADA" w14:paraId="2191756F" w14:textId="77777777" w:rsidTr="006B22D7">
        <w:trPr>
          <w:trHeight w:val="174"/>
        </w:trPr>
        <w:tc>
          <w:tcPr>
            <w:tcW w:w="10065" w:type="dxa"/>
            <w:tcBorders>
              <w:top w:val="dashSmallGap" w:sz="4" w:space="0" w:color="auto"/>
              <w:bottom w:val="dashSmallGap" w:sz="4" w:space="0" w:color="auto"/>
            </w:tcBorders>
            <w:shd w:val="clear" w:color="auto" w:fill="auto"/>
          </w:tcPr>
          <w:p w14:paraId="2E85F03A" w14:textId="77777777" w:rsidR="006B22D7" w:rsidRDefault="006B22D7" w:rsidP="001319CB">
            <w:pPr>
              <w:rPr>
                <w:b/>
              </w:rPr>
            </w:pPr>
          </w:p>
          <w:p w14:paraId="635DA76D" w14:textId="77777777" w:rsidR="00291216" w:rsidRPr="008E444B" w:rsidRDefault="00291216" w:rsidP="00291216">
            <w:r w:rsidRPr="008E444B">
              <w:t xml:space="preserve">The UK will provide an </w:t>
            </w:r>
            <w:r w:rsidRPr="00840A5C">
              <w:t>additional £2</w:t>
            </w:r>
            <w:r w:rsidR="00B056A5" w:rsidRPr="00840A5C">
              <w:t>0</w:t>
            </w:r>
            <w:r w:rsidRPr="00840A5C">
              <w:t xml:space="preserve">0,000 in financial support to carry out this work, bringing the total </w:t>
            </w:r>
            <w:r w:rsidR="00F65527" w:rsidRPr="00840A5C">
              <w:t>financial support to the Blue Carbon Fund Programme to £</w:t>
            </w:r>
            <w:r w:rsidR="002F19F4" w:rsidRPr="00840A5C">
              <w:t>1</w:t>
            </w:r>
            <w:r w:rsidR="00704810" w:rsidRPr="00840A5C">
              <w:t>2</w:t>
            </w:r>
            <w:r w:rsidR="002F19F4" w:rsidRPr="00840A5C">
              <w:t>,</w:t>
            </w:r>
            <w:r w:rsidR="00704810" w:rsidRPr="00840A5C">
              <w:t>95</w:t>
            </w:r>
            <w:r w:rsidR="00361B1A" w:rsidRPr="00840A5C">
              <w:t>0</w:t>
            </w:r>
            <w:r w:rsidR="002F19F4" w:rsidRPr="00840A5C">
              <w:t>,000</w:t>
            </w:r>
          </w:p>
          <w:p w14:paraId="1AECEFF2" w14:textId="77777777" w:rsidR="00527685" w:rsidRDefault="00527685" w:rsidP="007A5ADD">
            <w:pPr>
              <w:rPr>
                <w:bCs/>
              </w:rPr>
            </w:pPr>
          </w:p>
          <w:p w14:paraId="0EBDC73F" w14:textId="77777777" w:rsidR="007A5ADD" w:rsidRPr="00474ADA" w:rsidRDefault="007A5ADD" w:rsidP="007A5ADD">
            <w:pPr>
              <w:rPr>
                <w:b/>
              </w:rPr>
            </w:pPr>
          </w:p>
        </w:tc>
      </w:tr>
      <w:tr w:rsidR="006B22D7" w:rsidRPr="00474ADA" w14:paraId="5BE72709" w14:textId="77777777" w:rsidTr="00867BBD">
        <w:trPr>
          <w:trHeight w:val="252"/>
        </w:trPr>
        <w:tc>
          <w:tcPr>
            <w:tcW w:w="10065" w:type="dxa"/>
            <w:tcBorders>
              <w:top w:val="dashSmallGap" w:sz="4" w:space="0" w:color="auto"/>
              <w:bottom w:val="dashSmallGap" w:sz="4" w:space="0" w:color="auto"/>
            </w:tcBorders>
            <w:shd w:val="pct5" w:color="auto" w:fill="auto"/>
          </w:tcPr>
          <w:p w14:paraId="6452E9FB" w14:textId="77777777" w:rsidR="00474ADA" w:rsidRPr="00474ADA" w:rsidRDefault="006C6FCE" w:rsidP="00867BBD">
            <w:pPr>
              <w:spacing w:before="40" w:after="120"/>
              <w:rPr>
                <w:b/>
              </w:rPr>
            </w:pPr>
            <w:r>
              <w:rPr>
                <w:b/>
              </w:rPr>
              <w:t>What are the expected results?</w:t>
            </w:r>
          </w:p>
        </w:tc>
      </w:tr>
      <w:tr w:rsidR="00DD0F61" w:rsidRPr="00474ADA" w14:paraId="5D61EFA3" w14:textId="77777777" w:rsidTr="006B22D7">
        <w:trPr>
          <w:trHeight w:val="174"/>
        </w:trPr>
        <w:tc>
          <w:tcPr>
            <w:tcW w:w="10065" w:type="dxa"/>
            <w:tcBorders>
              <w:top w:val="dashSmallGap" w:sz="4" w:space="0" w:color="auto"/>
            </w:tcBorders>
            <w:shd w:val="clear" w:color="auto" w:fill="auto"/>
          </w:tcPr>
          <w:p w14:paraId="4DD170D7" w14:textId="77777777" w:rsidR="00DD0F61" w:rsidRPr="00474ADA" w:rsidRDefault="00DD0F61" w:rsidP="006162A7"/>
          <w:p w14:paraId="76E2C982" w14:textId="77777777" w:rsidR="00854FFE" w:rsidRPr="008E444B" w:rsidRDefault="00854FFE" w:rsidP="00854FFE">
            <w:pPr>
              <w:pStyle w:val="ListParagraph"/>
              <w:numPr>
                <w:ilvl w:val="0"/>
                <w:numId w:val="38"/>
              </w:numPr>
              <w:spacing w:after="160" w:line="259" w:lineRule="auto"/>
            </w:pPr>
            <w:r w:rsidRPr="008E444B">
              <w:t>Generate understanding about mainstreaming natural capital and biodiversity considerations into development and infrastructure planning, including:</w:t>
            </w:r>
          </w:p>
          <w:p w14:paraId="75598585" w14:textId="77777777" w:rsidR="00854FFE" w:rsidRPr="008E444B" w:rsidRDefault="00854FFE" w:rsidP="00854FFE">
            <w:pPr>
              <w:pStyle w:val="ListParagraph"/>
              <w:numPr>
                <w:ilvl w:val="1"/>
                <w:numId w:val="38"/>
              </w:numPr>
              <w:spacing w:after="160" w:line="259" w:lineRule="auto"/>
            </w:pPr>
            <w:r w:rsidRPr="008E444B">
              <w:t xml:space="preserve">Develop a report synthesising examples of </w:t>
            </w:r>
            <w:r w:rsidR="002F19F4" w:rsidRPr="008E444B">
              <w:t>initiatives</w:t>
            </w:r>
            <w:r w:rsidRPr="008E444B">
              <w:t xml:space="preserve"> </w:t>
            </w:r>
            <w:r w:rsidR="00A52547" w:rsidRPr="008E444B">
              <w:t xml:space="preserve">that </w:t>
            </w:r>
            <w:r w:rsidRPr="008E444B">
              <w:t xml:space="preserve">mainstream natural capital and biodiversity into development planning, drawing out key lessons, challenges and successes. </w:t>
            </w:r>
            <w:r w:rsidR="001648ED">
              <w:t>Examples including mangroves and/or coastal protection will be considered in the analysis.</w:t>
            </w:r>
          </w:p>
          <w:p w14:paraId="066444EB" w14:textId="77777777" w:rsidR="00854FFE" w:rsidRPr="008E444B" w:rsidRDefault="00854FFE" w:rsidP="00854FFE">
            <w:pPr>
              <w:pStyle w:val="ListParagraph"/>
              <w:numPr>
                <w:ilvl w:val="1"/>
                <w:numId w:val="38"/>
              </w:numPr>
              <w:spacing w:after="160" w:line="259" w:lineRule="auto"/>
            </w:pPr>
            <w:r w:rsidRPr="008E444B">
              <w:t>Production of three case studies that explore in detail examples of how natural capital and biodiversity have been mainstreamed into development planning. The topics or cases should be agreed between IDB</w:t>
            </w:r>
            <w:r w:rsidR="002F19F4" w:rsidRPr="008E444B">
              <w:t>, Defra</w:t>
            </w:r>
            <w:r w:rsidRPr="008E444B">
              <w:t xml:space="preserve"> and the Review Team, but could focus on </w:t>
            </w:r>
            <w:r w:rsidR="001648ED">
              <w:t xml:space="preserve">mangroves/ coastal protection, </w:t>
            </w:r>
            <w:r w:rsidRPr="008E444B">
              <w:t xml:space="preserve">extractives, sustainable cities, development planning in the Bahamas, and infrastructure standards. </w:t>
            </w:r>
          </w:p>
          <w:p w14:paraId="4FB499C0" w14:textId="77777777" w:rsidR="00854FFE" w:rsidRPr="008E444B" w:rsidRDefault="00854FFE" w:rsidP="00854FFE">
            <w:pPr>
              <w:pStyle w:val="ListParagraph"/>
              <w:ind w:left="1440"/>
            </w:pPr>
          </w:p>
          <w:p w14:paraId="5E7B454C" w14:textId="77777777" w:rsidR="00854FFE" w:rsidRPr="008E444B" w:rsidRDefault="00854FFE" w:rsidP="00854FFE">
            <w:pPr>
              <w:pStyle w:val="ListParagraph"/>
              <w:numPr>
                <w:ilvl w:val="0"/>
                <w:numId w:val="38"/>
              </w:numPr>
              <w:spacing w:after="160" w:line="259" w:lineRule="auto"/>
              <w:rPr>
                <w:rFonts w:cstheme="minorBidi"/>
              </w:rPr>
            </w:pPr>
            <w:r w:rsidRPr="008E444B">
              <w:rPr>
                <w:rFonts w:cstheme="minorBidi"/>
              </w:rPr>
              <w:t>Developing an understanding of state-of-the-art financial innovations that help to reduce biodiversity loss.</w:t>
            </w:r>
          </w:p>
          <w:p w14:paraId="3A1E59B0" w14:textId="77777777" w:rsidR="00854FFE" w:rsidRPr="008E444B" w:rsidRDefault="00854FFE" w:rsidP="00854FFE">
            <w:pPr>
              <w:pStyle w:val="ListParagraph"/>
              <w:numPr>
                <w:ilvl w:val="1"/>
                <w:numId w:val="38"/>
              </w:numPr>
              <w:spacing w:after="160" w:line="259" w:lineRule="auto"/>
              <w:rPr>
                <w:rFonts w:cstheme="minorHAnsi"/>
              </w:rPr>
            </w:pPr>
            <w:r w:rsidRPr="008E444B">
              <w:t xml:space="preserve">Develop a report on state-of the art financial innovations in the sector, that may be underway or untested, but that are introducing new financial models into </w:t>
            </w:r>
            <w:r w:rsidRPr="008E444B">
              <w:lastRenderedPageBreak/>
              <w:t>either national budgeting and programming, private investment, or public-private partnerships.</w:t>
            </w:r>
          </w:p>
          <w:p w14:paraId="3963900D" w14:textId="77777777" w:rsidR="00854FFE" w:rsidRPr="008E444B" w:rsidRDefault="00854FFE" w:rsidP="00854FFE">
            <w:pPr>
              <w:pStyle w:val="ListParagraph"/>
              <w:numPr>
                <w:ilvl w:val="1"/>
                <w:numId w:val="38"/>
              </w:numPr>
              <w:spacing w:after="160" w:line="259" w:lineRule="auto"/>
              <w:rPr>
                <w:rFonts w:cstheme="minorHAnsi"/>
              </w:rPr>
            </w:pPr>
            <w:r w:rsidRPr="008E444B">
              <w:t>Produce case studies for three IDB projects that have demonstrated innovative finance models that have worked, delving into the detail of how and why they have worked, and any lessons that may apply for application elsewhere or / and scaling up. The particular green financing examples should be agreed between IDB</w:t>
            </w:r>
            <w:r w:rsidR="002F19F4" w:rsidRPr="008E444B">
              <w:t>, Defra</w:t>
            </w:r>
            <w:r w:rsidRPr="008E444B">
              <w:t xml:space="preserve"> and the Review Team, but could include insurance schemes, habitat banks, and large-scale multi-stakeholder funds.</w:t>
            </w:r>
            <w:r w:rsidR="001648ED">
              <w:t xml:space="preserve">  At least one example will be about mangroves and/or coastal protection.</w:t>
            </w:r>
          </w:p>
          <w:p w14:paraId="3B9A17C4" w14:textId="77777777" w:rsidR="00854FFE" w:rsidRPr="008E444B" w:rsidRDefault="00854FFE" w:rsidP="00854FFE">
            <w:pPr>
              <w:pStyle w:val="ListParagraph"/>
              <w:ind w:left="1440"/>
              <w:rPr>
                <w:rFonts w:cstheme="minorHAnsi"/>
              </w:rPr>
            </w:pPr>
          </w:p>
          <w:p w14:paraId="218E9A43" w14:textId="77777777" w:rsidR="00243E84" w:rsidRPr="008E444B" w:rsidRDefault="00E77166" w:rsidP="00854FFE">
            <w:pPr>
              <w:pStyle w:val="ListParagraph"/>
              <w:numPr>
                <w:ilvl w:val="0"/>
                <w:numId w:val="38"/>
              </w:numPr>
              <w:spacing w:after="160" w:line="259" w:lineRule="auto"/>
              <w:rPr>
                <w:rFonts w:cstheme="minorHAnsi"/>
              </w:rPr>
            </w:pPr>
            <w:r w:rsidRPr="008E444B">
              <w:t xml:space="preserve">Through the </w:t>
            </w:r>
            <w:r w:rsidR="00854FFE" w:rsidRPr="008E444B">
              <w:t>Integrated Economic-Environmental Modelling (IEEM) Platform</w:t>
            </w:r>
            <w:r w:rsidR="00243E84" w:rsidRPr="008E444B">
              <w:t>,</w:t>
            </w:r>
            <w:r w:rsidR="00854FFE" w:rsidRPr="008E444B">
              <w:t xml:space="preserve"> fill an important gap in the economic development literature and practitioner’s toolbox. </w:t>
            </w:r>
          </w:p>
          <w:p w14:paraId="76C0D0EE" w14:textId="77777777" w:rsidR="00243E84" w:rsidRPr="008E444B" w:rsidRDefault="00243E84" w:rsidP="00243E84">
            <w:pPr>
              <w:pStyle w:val="ListParagraph"/>
              <w:spacing w:after="160" w:line="259" w:lineRule="auto"/>
            </w:pPr>
          </w:p>
          <w:p w14:paraId="5E1C3D6F" w14:textId="72E724BB" w:rsidR="00854FFE" w:rsidRPr="008E444B" w:rsidRDefault="00854FFE" w:rsidP="00E02B05">
            <w:pPr>
              <w:pStyle w:val="ListParagraph"/>
              <w:spacing w:after="160" w:line="259" w:lineRule="auto"/>
              <w:rPr>
                <w:rFonts w:cstheme="minorHAnsi"/>
              </w:rPr>
            </w:pPr>
            <w:r w:rsidRPr="008E444B">
              <w:t xml:space="preserve">At the core of IEEM is a future-looking </w:t>
            </w:r>
            <w:r w:rsidR="001648ED">
              <w:t>global trade model (</w:t>
            </w:r>
            <w:r w:rsidRPr="008E444B">
              <w:t>computable general equilibrium</w:t>
            </w:r>
            <w:r w:rsidR="001648ED">
              <w:t>)</w:t>
            </w:r>
            <w:r w:rsidRPr="008E444B">
              <w:t xml:space="preserve"> that enables the analysis of the impact of public policy and investment on </w:t>
            </w:r>
            <w:r w:rsidR="00EB3956" w:rsidRPr="008E444B">
              <w:t xml:space="preserve">economic </w:t>
            </w:r>
            <w:r w:rsidRPr="008E444B">
              <w:t>indicators such as Gross Domestic Product (GDP), income and employment, but also on wealth and natural capital, all in a quantitative, comprehensive and consistent framework. IEEM generates indicators that enable decision-makers to quantitatively assess strategies to achiev</w:t>
            </w:r>
            <w:r w:rsidR="002F19F4" w:rsidRPr="008E444B">
              <w:t>e</w:t>
            </w:r>
            <w:r w:rsidRPr="008E444B">
              <w:t xml:space="preserve"> complex policy goals including the Sustainable Development Goals, </w:t>
            </w:r>
            <w:r w:rsidR="002F19F4" w:rsidRPr="008E444B">
              <w:t xml:space="preserve">national </w:t>
            </w:r>
            <w:r w:rsidRPr="008E444B">
              <w:t xml:space="preserve">green growth targets and decarbonization plans. IEEM’s value-added over a conventional economy-wide </w:t>
            </w:r>
            <w:r w:rsidR="002F19F4" w:rsidRPr="008E444B">
              <w:t xml:space="preserve">modelling </w:t>
            </w:r>
            <w:r w:rsidRPr="008E444B">
              <w:t xml:space="preserve">framework include: (i) </w:t>
            </w:r>
            <w:r w:rsidR="00E3225E" w:rsidRPr="008E444B">
              <w:t xml:space="preserve">integrating environmental </w:t>
            </w:r>
            <w:r w:rsidR="009A7884" w:rsidRPr="008E444B">
              <w:t xml:space="preserve">data (from the </w:t>
            </w:r>
            <w:r w:rsidR="003B5A25" w:rsidRPr="008E444B">
              <w:t xml:space="preserve">System of Environmental-Economic Accounting Central Framework) with </w:t>
            </w:r>
            <w:r w:rsidR="00E3225E" w:rsidRPr="008E444B">
              <w:t xml:space="preserve">economic data </w:t>
            </w:r>
            <w:r w:rsidR="009A7884" w:rsidRPr="008E444B">
              <w:t xml:space="preserve">to </w:t>
            </w:r>
            <w:r w:rsidR="001861B2" w:rsidRPr="008E444B">
              <w:t xml:space="preserve">enable </w:t>
            </w:r>
            <w:r w:rsidR="003B5A25" w:rsidRPr="008E444B">
              <w:t>analysis</w:t>
            </w:r>
            <w:r w:rsidR="001861B2" w:rsidRPr="008E444B">
              <w:t xml:space="preserve"> </w:t>
            </w:r>
            <w:r w:rsidR="00CD0176" w:rsidRPr="008E444B">
              <w:t>of the links between the environment and the economy</w:t>
            </w:r>
            <w:r w:rsidRPr="008E444B">
              <w:t xml:space="preserve">; (ii) IEEM’s environmental modelling modules that capture the specific dynamics of each natural capital asset; (iii) IEEM indicators that reflect impacts on the three dimensions of sustainable development, namely the economy, society and the environment, and; (iv) IEEM’s linkage with geospatial ecosystem services modelling which demonstrates policy impacts on a broad range of ecosystem services values, including regulating and non-market ecosystem services, in a spatially explicit way. </w:t>
            </w:r>
          </w:p>
          <w:p w14:paraId="7C6DB8A4" w14:textId="77777777" w:rsidR="00854FFE" w:rsidRPr="008E444B" w:rsidRDefault="00854FFE" w:rsidP="00854FFE">
            <w:pPr>
              <w:pStyle w:val="ListParagraph"/>
            </w:pPr>
          </w:p>
          <w:p w14:paraId="18516C4F" w14:textId="77777777" w:rsidR="00854FFE" w:rsidRPr="008E444B" w:rsidRDefault="00854FFE" w:rsidP="00854FFE">
            <w:pPr>
              <w:pStyle w:val="ListParagraph"/>
              <w:rPr>
                <w:rFonts w:cstheme="minorHAnsi"/>
              </w:rPr>
            </w:pPr>
            <w:r w:rsidRPr="008E444B">
              <w:t xml:space="preserve">Results under this component include: </w:t>
            </w:r>
          </w:p>
          <w:p w14:paraId="06B4C894" w14:textId="1FB7DB01" w:rsidR="00854FFE" w:rsidRPr="008E444B" w:rsidRDefault="00854FFE" w:rsidP="00854FFE">
            <w:pPr>
              <w:pStyle w:val="ListParagraph"/>
              <w:numPr>
                <w:ilvl w:val="1"/>
                <w:numId w:val="38"/>
              </w:numPr>
              <w:spacing w:after="160" w:line="259" w:lineRule="auto"/>
              <w:rPr>
                <w:rFonts w:cstheme="minorHAnsi"/>
              </w:rPr>
            </w:pPr>
            <w:r w:rsidRPr="008E444B">
              <w:t>A</w:t>
            </w:r>
            <w:r w:rsidR="00DC14F6">
              <w:t xml:space="preserve"> paper</w:t>
            </w:r>
            <w:r w:rsidR="00317D3C">
              <w:t xml:space="preserve"> </w:t>
            </w:r>
            <w:r w:rsidR="00DC14F6">
              <w:t xml:space="preserve">assessing </w:t>
            </w:r>
            <w:r w:rsidRPr="008E444B">
              <w:t xml:space="preserve">the economic, natural capital and ecosystem service impacts of tipping points in the Amazon biome. </w:t>
            </w:r>
            <w:r w:rsidR="00DC14F6">
              <w:t xml:space="preserve">This may focus on climate change’s potential impact on increasing the frequency and intensity of drought and the savannization of some regions of the Amazon; the final scenarios to be implemented will be agreed upon between IDB, HMT and Defra. </w:t>
            </w:r>
            <w:r w:rsidRPr="008E444B">
              <w:t xml:space="preserve">To do so, </w:t>
            </w:r>
            <w:r w:rsidR="00DC14F6">
              <w:t xml:space="preserve">analysis will be conducted for the most economically important countries of the Amazon biome for which reliable economic data exists, namely: Bolivia, Brazil, Colombia and Ecuador. </w:t>
            </w:r>
          </w:p>
          <w:p w14:paraId="15739BB6" w14:textId="6ADF0EED" w:rsidR="00854FFE" w:rsidRPr="008E444B" w:rsidRDefault="00DC14F6" w:rsidP="00840A5C">
            <w:pPr>
              <w:pStyle w:val="ListParagraph"/>
              <w:spacing w:after="160" w:line="259" w:lineRule="auto"/>
              <w:ind w:left="1440"/>
              <w:rPr>
                <w:rFonts w:cstheme="minorHAnsi"/>
              </w:rPr>
            </w:pPr>
            <w:r>
              <w:t>T</w:t>
            </w:r>
            <w:r w:rsidR="0025289D">
              <w:t xml:space="preserve">hree </w:t>
            </w:r>
            <w:r w:rsidR="00854FFE" w:rsidRPr="008E444B">
              <w:t>country case stud</w:t>
            </w:r>
            <w:r w:rsidR="0025289D">
              <w:t>ies</w:t>
            </w:r>
            <w:r w:rsidR="00854FFE" w:rsidRPr="008E444B">
              <w:t xml:space="preserve"> </w:t>
            </w:r>
            <w:r>
              <w:t xml:space="preserve">that examine </w:t>
            </w:r>
            <w:r w:rsidR="00854FFE" w:rsidRPr="008E444B">
              <w:t xml:space="preserve">feedback between economic and ecological systems in a quantitative way. </w:t>
            </w:r>
            <w:r>
              <w:t xml:space="preserve">The focus of case studies will be agreed between IDB, Defra and HMT, but may include economic, natural capital and ecosystem service impacts of Costa Rica’s Decarbonization Plan, and a proposal to expand Colombia’s Payment for Ecosystem Services Programme </w:t>
            </w:r>
          </w:p>
          <w:p w14:paraId="0F2948F9" w14:textId="77777777" w:rsidR="00854FFE" w:rsidRPr="008E444B" w:rsidRDefault="009620C7" w:rsidP="00854FFE">
            <w:pPr>
              <w:pStyle w:val="ListParagraph"/>
              <w:numPr>
                <w:ilvl w:val="1"/>
                <w:numId w:val="38"/>
              </w:numPr>
              <w:spacing w:after="160" w:line="259" w:lineRule="auto"/>
              <w:rPr>
                <w:rFonts w:cstheme="minorHAnsi"/>
              </w:rPr>
            </w:pPr>
            <w:r w:rsidRPr="008E444B">
              <w:t>A report d</w:t>
            </w:r>
            <w:r w:rsidR="00854FFE" w:rsidRPr="008E444B">
              <w:t>emonstrati</w:t>
            </w:r>
            <w:r w:rsidRPr="008E444B">
              <w:t>ng</w:t>
            </w:r>
            <w:r w:rsidR="00854FFE" w:rsidRPr="008E444B">
              <w:t xml:space="preserve"> how natural capital accounts can be integrated into economy-wide analytical frameworks such as IEEM to enhance evidence-based decision-making by integrating natural capital values.</w:t>
            </w:r>
            <w:r w:rsidR="00DC14F6">
              <w:t xml:space="preserve"> </w:t>
            </w:r>
          </w:p>
          <w:p w14:paraId="3DE1203F" w14:textId="77777777" w:rsidR="006B4BC7" w:rsidRPr="008E444B" w:rsidRDefault="006B4BC7" w:rsidP="006B4BC7">
            <w:pPr>
              <w:pStyle w:val="ListParagraph"/>
              <w:spacing w:after="160" w:line="259" w:lineRule="auto"/>
              <w:ind w:left="1440"/>
              <w:rPr>
                <w:rFonts w:cstheme="minorHAnsi"/>
              </w:rPr>
            </w:pPr>
          </w:p>
          <w:p w14:paraId="009ED5AD" w14:textId="0A4C7BCF" w:rsidR="00854FFE" w:rsidRPr="008E444B" w:rsidRDefault="00254EF3" w:rsidP="00854FFE">
            <w:pPr>
              <w:pStyle w:val="ListParagraph"/>
              <w:numPr>
                <w:ilvl w:val="0"/>
                <w:numId w:val="38"/>
              </w:numPr>
              <w:spacing w:after="160" w:line="259" w:lineRule="auto"/>
              <w:rPr>
                <w:rFonts w:cstheme="minorHAnsi"/>
              </w:rPr>
            </w:pPr>
            <w:r w:rsidRPr="008E444B">
              <w:t xml:space="preserve">The </w:t>
            </w:r>
            <w:r w:rsidR="00854FFE" w:rsidRPr="008E444B">
              <w:t xml:space="preserve">IDB technical team </w:t>
            </w:r>
            <w:r w:rsidRPr="008E444B">
              <w:t xml:space="preserve">will </w:t>
            </w:r>
            <w:r w:rsidR="00854FFE" w:rsidRPr="008E444B">
              <w:t xml:space="preserve">explain and disseminate the results to relevant UK HMG teams, including </w:t>
            </w:r>
            <w:r w:rsidR="00DC14F6">
              <w:t xml:space="preserve">within </w:t>
            </w:r>
            <w:r w:rsidR="00854FFE" w:rsidRPr="008E444B">
              <w:t xml:space="preserve">Defra and the HMT Economics of Biodiversity Review Team, during </w:t>
            </w:r>
            <w:r w:rsidR="007B1790" w:rsidRPr="008E444B">
              <w:t xml:space="preserve">one or more </w:t>
            </w:r>
            <w:r w:rsidR="00854FFE" w:rsidRPr="008E444B">
              <w:t>technical mission</w:t>
            </w:r>
            <w:r w:rsidR="007B1790" w:rsidRPr="008E444B">
              <w:t>s</w:t>
            </w:r>
            <w:r w:rsidR="00854FFE" w:rsidRPr="008E444B">
              <w:t>.</w:t>
            </w:r>
            <w:r w:rsidR="007B1790" w:rsidRPr="008E444B">
              <w:t xml:space="preserve"> </w:t>
            </w:r>
            <w:r w:rsidR="00AA097B">
              <w:t xml:space="preserve">The UK Blue Carbon Fund team in Defra will have the opportunity to learn from the work and ask questions of the IDB team.  </w:t>
            </w:r>
            <w:r w:rsidR="007B1790" w:rsidRPr="008E444B">
              <w:t xml:space="preserve">The exact timing of the mission(s) is to be agreed between HMT, Defra and IDB, but is likely to be in between March and May 2020. </w:t>
            </w:r>
            <w:r w:rsidR="00854FFE" w:rsidRPr="008E444B">
              <w:t xml:space="preserve"> </w:t>
            </w:r>
          </w:p>
          <w:p w14:paraId="6877F795" w14:textId="77777777" w:rsidR="005A462C" w:rsidRPr="00474ADA" w:rsidRDefault="005A462C" w:rsidP="00DD0F61">
            <w:pPr>
              <w:rPr>
                <w:b/>
              </w:rPr>
            </w:pPr>
          </w:p>
        </w:tc>
      </w:tr>
      <w:tr w:rsidR="00DD0F61" w:rsidRPr="00474ADA" w14:paraId="71EE2C12" w14:textId="77777777" w:rsidTr="003336C6">
        <w:trPr>
          <w:trHeight w:val="353"/>
        </w:trPr>
        <w:tc>
          <w:tcPr>
            <w:tcW w:w="10065" w:type="dxa"/>
            <w:tcBorders>
              <w:bottom w:val="dashSmallGap" w:sz="4" w:space="0" w:color="auto"/>
            </w:tcBorders>
            <w:shd w:val="clear" w:color="auto" w:fill="F2F2F2"/>
          </w:tcPr>
          <w:p w14:paraId="113323B9" w14:textId="77777777" w:rsidR="00BC1295" w:rsidRPr="00867BBD" w:rsidRDefault="006C6FCE" w:rsidP="00867BBD">
            <w:pPr>
              <w:spacing w:before="40" w:after="120"/>
              <w:rPr>
                <w:b/>
              </w:rPr>
            </w:pPr>
            <w:r>
              <w:rPr>
                <w:b/>
              </w:rPr>
              <w:lastRenderedPageBreak/>
              <w:t>What is the approach to implementation?</w:t>
            </w:r>
          </w:p>
        </w:tc>
      </w:tr>
      <w:tr w:rsidR="00BC1295" w:rsidRPr="00474ADA" w14:paraId="11AF39A7" w14:textId="77777777" w:rsidTr="00BB29F6">
        <w:trPr>
          <w:trHeight w:val="455"/>
        </w:trPr>
        <w:tc>
          <w:tcPr>
            <w:tcW w:w="10065" w:type="dxa"/>
            <w:tcBorders>
              <w:top w:val="dashSmallGap" w:sz="4" w:space="0" w:color="auto"/>
            </w:tcBorders>
            <w:shd w:val="clear" w:color="auto" w:fill="FFFFFF"/>
          </w:tcPr>
          <w:p w14:paraId="591DB3C3" w14:textId="1313C3A8" w:rsidR="00A81B76" w:rsidRPr="008E444B" w:rsidRDefault="00A81B76" w:rsidP="00A81B76">
            <w:pPr>
              <w:rPr>
                <w:b/>
                <w:bCs/>
                <w:sz w:val="22"/>
                <w:szCs w:val="22"/>
              </w:rPr>
            </w:pPr>
          </w:p>
          <w:p w14:paraId="7CE905B5" w14:textId="5F1AB417" w:rsidR="001650AF" w:rsidRDefault="00461D51" w:rsidP="00461D51">
            <w:pPr>
              <w:rPr>
                <w:rFonts w:cstheme="minorHAnsi"/>
                <w:i/>
                <w:iCs/>
              </w:rPr>
            </w:pPr>
            <w:r w:rsidRPr="008E444B">
              <w:rPr>
                <w:rFonts w:cstheme="minorHAnsi"/>
                <w:i/>
                <w:iCs/>
              </w:rPr>
              <w:t>Management and Governance Arrangements</w:t>
            </w:r>
          </w:p>
          <w:p w14:paraId="128CF90D" w14:textId="15843DE9" w:rsidR="001650AF" w:rsidRPr="00160709" w:rsidRDefault="001650AF" w:rsidP="00461D51">
            <w:pPr>
              <w:rPr>
                <w:rFonts w:cstheme="minorHAnsi"/>
                <w:iCs/>
              </w:rPr>
            </w:pPr>
            <w:r>
              <w:rPr>
                <w:rFonts w:cstheme="minorHAnsi"/>
                <w:iCs/>
              </w:rPr>
              <w:t xml:space="preserve">Following the approval of the business case extension proposal, the IDB will prepare a project proposal document setting out the aim and objectives of the project. Defra will be allowed 10 days to approve this, as set out in Section 5 of the Blue Carbon Fund’s admin agreement. Once the project proposal document has been approved, both parties (Defra and the IDB) will sign an amendment to </w:t>
            </w:r>
            <w:r w:rsidR="00CA2DD5">
              <w:rPr>
                <w:rFonts w:cstheme="minorHAnsi"/>
                <w:iCs/>
              </w:rPr>
              <w:t>the disbursement schedule.</w:t>
            </w:r>
          </w:p>
          <w:p w14:paraId="2A5A7C79" w14:textId="77777777" w:rsidR="00461D51" w:rsidRPr="008E444B" w:rsidRDefault="00461D51" w:rsidP="00461D51"/>
          <w:p w14:paraId="6C65E6AD" w14:textId="33366248" w:rsidR="005522BA" w:rsidRDefault="00461D51" w:rsidP="00461D51">
            <w:r w:rsidRPr="008E444B">
              <w:t xml:space="preserve">As with the existing </w:t>
            </w:r>
            <w:r w:rsidR="00E348C6">
              <w:t xml:space="preserve">UK </w:t>
            </w:r>
            <w:r w:rsidRPr="008E444B">
              <w:t xml:space="preserve">Blue Carbon </w:t>
            </w:r>
            <w:r w:rsidR="00E348C6">
              <w:t xml:space="preserve">Fund </w:t>
            </w:r>
            <w:r w:rsidRPr="008E444B">
              <w:t xml:space="preserve">project, the IDB will be responsible for the day to day management of the work. </w:t>
            </w:r>
            <w:r w:rsidR="005522BA">
              <w:t xml:space="preserve">The </w:t>
            </w:r>
            <w:r w:rsidR="00DC0121">
              <w:t xml:space="preserve">same </w:t>
            </w:r>
            <w:r w:rsidR="0078574C">
              <w:t xml:space="preserve">IDB </w:t>
            </w:r>
            <w:r w:rsidR="00DC0121">
              <w:t xml:space="preserve">team who lead UKBCF will be responsible for </w:t>
            </w:r>
            <w:r w:rsidR="0082456A">
              <w:t xml:space="preserve">overall </w:t>
            </w:r>
            <w:r w:rsidR="00DC0121">
              <w:t xml:space="preserve">management of </w:t>
            </w:r>
            <w:r w:rsidR="0082456A">
              <w:t xml:space="preserve">all three parts of the work, liaising with the team leading on implementing the third task (IEEM). </w:t>
            </w:r>
            <w:r w:rsidR="00DC0121">
              <w:t xml:space="preserve"> </w:t>
            </w:r>
          </w:p>
          <w:p w14:paraId="1C4F67F2" w14:textId="77777777" w:rsidR="005522BA" w:rsidRDefault="005522BA" w:rsidP="00461D51"/>
          <w:p w14:paraId="2D537460" w14:textId="6D5BE493" w:rsidR="00461D51" w:rsidRPr="008E444B" w:rsidRDefault="00461D51" w:rsidP="00461D51">
            <w:r w:rsidRPr="008E444B">
              <w:t xml:space="preserve">A member of Defra’s International Strategy analytical team will take an oversight role, through inclusion on a steering group for the work and regular contact with HMT.  HMT’s Dasgupta Review Team will play a leading role to ensure the outcomes are of value to the Review, through regular contact with the </w:t>
            </w:r>
            <w:r w:rsidR="004A4556">
              <w:t xml:space="preserve">relevant </w:t>
            </w:r>
            <w:r w:rsidRPr="008E444B">
              <w:t xml:space="preserve">IDB </w:t>
            </w:r>
            <w:r w:rsidR="004A4556">
              <w:t xml:space="preserve">and Defra </w:t>
            </w:r>
            <w:r w:rsidRPr="008E444B">
              <w:t>team</w:t>
            </w:r>
            <w:r w:rsidR="004A4556">
              <w:t>s</w:t>
            </w:r>
            <w:r w:rsidRPr="008E444B">
              <w:t>.</w:t>
            </w:r>
          </w:p>
          <w:p w14:paraId="75A448F5" w14:textId="77777777" w:rsidR="00461D51" w:rsidRPr="008E444B" w:rsidRDefault="00461D51" w:rsidP="00461D51"/>
          <w:p w14:paraId="3A8FE726" w14:textId="2A3C82C9" w:rsidR="00461D51" w:rsidRDefault="00461D51" w:rsidP="00461D51">
            <w:r w:rsidRPr="008E444B">
              <w:t>IDB will also provide additional content for the Project’s Annual Review for the work set out in this Cost Extension business case. This will be scored against additional indicator</w:t>
            </w:r>
            <w:r w:rsidR="00F41DA3">
              <w:t>s</w:t>
            </w:r>
            <w:r w:rsidRPr="008E444B">
              <w:t xml:space="preserve"> in the project’s log</w:t>
            </w:r>
            <w:r w:rsidR="00CA2DD5">
              <w:t xml:space="preserve"> </w:t>
            </w:r>
            <w:r w:rsidRPr="008E444B">
              <w:t>frame</w:t>
            </w:r>
            <w:r w:rsidR="00C64D48">
              <w:t>, which will need to be amended to reflect this change</w:t>
            </w:r>
            <w:r w:rsidRPr="008E444B">
              <w:t>.</w:t>
            </w:r>
            <w:r w:rsidR="00AA097B">
              <w:t xml:space="preserve">  These indicators are: </w:t>
            </w:r>
          </w:p>
          <w:p w14:paraId="3DA3784B" w14:textId="77777777" w:rsidR="00AA097B" w:rsidRDefault="00AA097B" w:rsidP="00461D51"/>
          <w:p w14:paraId="434AA6C5" w14:textId="77777777" w:rsidR="00AA097B" w:rsidRDefault="00AA097B" w:rsidP="00461D51">
            <w:r>
              <w:t xml:space="preserve">5.1:  </w:t>
            </w:r>
            <w:r w:rsidRPr="00AA097B">
              <w:t>Case studies delivered to time and budget</w:t>
            </w:r>
          </w:p>
          <w:p w14:paraId="21EC9F05" w14:textId="77777777" w:rsidR="00AA097B" w:rsidRPr="008E444B" w:rsidRDefault="00AA097B" w:rsidP="00461D51">
            <w:r>
              <w:t xml:space="preserve">5.2: Modelling work delivered to time and budget </w:t>
            </w:r>
          </w:p>
          <w:p w14:paraId="0D9D5949" w14:textId="77777777" w:rsidR="00461D51" w:rsidRPr="008E444B" w:rsidRDefault="00461D51" w:rsidP="00DD0F61"/>
          <w:p w14:paraId="68771085" w14:textId="211ECD6D" w:rsidR="007660CF" w:rsidRPr="008E444B" w:rsidRDefault="00853C2C" w:rsidP="007660CF">
            <w:pPr>
              <w:rPr>
                <w:rStyle w:val="Hyperlink"/>
                <w:rFonts w:asciiTheme="minorHAnsi" w:hAnsiTheme="minorHAnsi" w:cstheme="minorHAnsi"/>
                <w:color w:val="auto"/>
                <w:u w:val="none"/>
              </w:rPr>
            </w:pPr>
            <w:r w:rsidRPr="008E444B">
              <w:t xml:space="preserve">Gender Equality </w:t>
            </w:r>
            <w:r w:rsidRPr="008E444B">
              <w:rPr>
                <w:i/>
              </w:rPr>
              <w:t>–</w:t>
            </w:r>
            <w:r w:rsidR="007660CF" w:rsidRPr="008E444B">
              <w:rPr>
                <w:rFonts w:asciiTheme="minorHAnsi" w:hAnsiTheme="minorHAnsi" w:cstheme="minorHAnsi"/>
              </w:rPr>
              <w:t xml:space="preserve"> </w:t>
            </w:r>
            <w:r w:rsidR="007660CF" w:rsidRPr="008E444B">
              <w:rPr>
                <w:rStyle w:val="Hyperlink"/>
                <w:color w:val="auto"/>
                <w:u w:val="none"/>
              </w:rPr>
              <w:t>The IDB applies a set of environmental and social safeguard policies and guidelines to projects they finance to help protect against environmental and social harm and to enable borrowers to meet best international practices.  The safeguards and policies focus on; Environment, Natural Disaster Risk Management, Involuntary Resettlement, Indigenous Peoples and Gender Equality (DFID CAA, 2016).</w:t>
            </w:r>
            <w:r w:rsidR="007B1790" w:rsidRPr="008E444B">
              <w:rPr>
                <w:rStyle w:val="Hyperlink"/>
                <w:color w:val="auto"/>
                <w:u w:val="none"/>
              </w:rPr>
              <w:t xml:space="preserve"> </w:t>
            </w:r>
          </w:p>
          <w:p w14:paraId="3AC1B7B3" w14:textId="77777777" w:rsidR="00113758" w:rsidRDefault="00113758" w:rsidP="00DD0F61"/>
          <w:p w14:paraId="34B131C2" w14:textId="77777777" w:rsidR="00CA54A6" w:rsidRPr="001C1432" w:rsidRDefault="00CA54A6" w:rsidP="00CA54A6">
            <w:pPr>
              <w:spacing w:after="240"/>
              <w:jc w:val="both"/>
              <w:rPr>
                <w:b/>
                <w:bCs/>
              </w:rPr>
            </w:pPr>
            <w:r w:rsidRPr="001C1432">
              <w:rPr>
                <w:b/>
                <w:bCs/>
              </w:rPr>
              <w:t>Financial case</w:t>
            </w:r>
          </w:p>
          <w:p w14:paraId="7845CA9C" w14:textId="5B8D0527" w:rsidR="00AB3491" w:rsidRDefault="00820DE0" w:rsidP="00840A5C">
            <w:pPr>
              <w:spacing w:after="240"/>
              <w:jc w:val="both"/>
              <w:rPr>
                <w:bCs/>
              </w:rPr>
            </w:pPr>
            <w:r w:rsidRPr="00840A5C">
              <w:rPr>
                <w:bCs/>
              </w:rPr>
              <w:t xml:space="preserve">The contract will take the form of a </w:t>
            </w:r>
            <w:r>
              <w:rPr>
                <w:bCs/>
              </w:rPr>
              <w:t xml:space="preserve">direct </w:t>
            </w:r>
            <w:r w:rsidRPr="00840A5C">
              <w:rPr>
                <w:bCs/>
              </w:rPr>
              <w:t>grant.</w:t>
            </w:r>
            <w:r>
              <w:rPr>
                <w:bCs/>
              </w:rPr>
              <w:t xml:space="preserve"> </w:t>
            </w:r>
            <w:r w:rsidR="00BB29F6">
              <w:rPr>
                <w:bCs/>
              </w:rPr>
              <w:t xml:space="preserve">Overall, </w:t>
            </w:r>
            <w:r w:rsidR="00CA54A6" w:rsidRPr="00840A5C">
              <w:rPr>
                <w:bCs/>
              </w:rPr>
              <w:t xml:space="preserve">Defra will </w:t>
            </w:r>
            <w:r w:rsidR="00BB29F6">
              <w:rPr>
                <w:bCs/>
              </w:rPr>
              <w:t>invest</w:t>
            </w:r>
            <w:r w:rsidR="00CA54A6" w:rsidRPr="00840A5C">
              <w:rPr>
                <w:bCs/>
              </w:rPr>
              <w:t xml:space="preserve"> £200,000 into this project</w:t>
            </w:r>
            <w:r w:rsidR="00760B47">
              <w:rPr>
                <w:bCs/>
              </w:rPr>
              <w:t>.</w:t>
            </w:r>
            <w:r w:rsidR="002317D6">
              <w:rPr>
                <w:bCs/>
              </w:rPr>
              <w:t xml:space="preserve"> £150,000 will be paid to the IDB before the end of March 2019, using unutilised ODA</w:t>
            </w:r>
            <w:r w:rsidR="0087516E">
              <w:rPr>
                <w:bCs/>
              </w:rPr>
              <w:t xml:space="preserve"> </w:t>
            </w:r>
            <w:r w:rsidR="00C8245C">
              <w:rPr>
                <w:bCs/>
              </w:rPr>
              <w:t>(</w:t>
            </w:r>
            <w:r w:rsidR="0087516E">
              <w:rPr>
                <w:bCs/>
              </w:rPr>
              <w:t>RD</w:t>
            </w:r>
            <w:r w:rsidR="00C8245C">
              <w:rPr>
                <w:bCs/>
              </w:rPr>
              <w:t>EL)</w:t>
            </w:r>
            <w:r w:rsidR="002317D6">
              <w:rPr>
                <w:bCs/>
              </w:rPr>
              <w:t xml:space="preserve"> from the 2019/20 financial year. </w:t>
            </w:r>
            <w:r w:rsidR="002317D6" w:rsidRPr="002317D6">
              <w:rPr>
                <w:bCs/>
              </w:rPr>
              <w:t>£50,000 of ODA is needed in the 2020/21 financial year.</w:t>
            </w:r>
            <w:r w:rsidR="002317D6">
              <w:rPr>
                <w:bCs/>
              </w:rPr>
              <w:t xml:space="preserve"> T</w:t>
            </w:r>
            <w:r w:rsidR="002317D6" w:rsidRPr="00820DE0">
              <w:rPr>
                <w:bCs/>
              </w:rPr>
              <w:t xml:space="preserve">his </w:t>
            </w:r>
            <w:r w:rsidR="00957857">
              <w:rPr>
                <w:bCs/>
              </w:rPr>
              <w:t>need was</w:t>
            </w:r>
            <w:r w:rsidR="002317D6" w:rsidRPr="00820DE0">
              <w:rPr>
                <w:bCs/>
              </w:rPr>
              <w:t xml:space="preserve"> presented to </w:t>
            </w:r>
            <w:r w:rsidR="000E693B">
              <w:rPr>
                <w:bCs/>
              </w:rPr>
              <w:t xml:space="preserve">the </w:t>
            </w:r>
            <w:r w:rsidR="0087516E">
              <w:rPr>
                <w:bCs/>
              </w:rPr>
              <w:t>O</w:t>
            </w:r>
            <w:r w:rsidR="002317D6">
              <w:rPr>
                <w:bCs/>
              </w:rPr>
              <w:t>DA</w:t>
            </w:r>
            <w:r w:rsidR="002317D6" w:rsidRPr="00820DE0">
              <w:rPr>
                <w:bCs/>
              </w:rPr>
              <w:t xml:space="preserve"> Board</w:t>
            </w:r>
            <w:r w:rsidR="0087516E">
              <w:rPr>
                <w:bCs/>
              </w:rPr>
              <w:t xml:space="preserve"> </w:t>
            </w:r>
            <w:r w:rsidR="002317D6" w:rsidRPr="00820DE0">
              <w:rPr>
                <w:bCs/>
              </w:rPr>
              <w:t>in February</w:t>
            </w:r>
            <w:r w:rsidR="00957857">
              <w:rPr>
                <w:bCs/>
              </w:rPr>
              <w:t xml:space="preserve">, and they agreed, in principle and </w:t>
            </w:r>
            <w:r w:rsidR="000E693B">
              <w:rPr>
                <w:bCs/>
              </w:rPr>
              <w:t>pending confirmation of 2020/21 budgets</w:t>
            </w:r>
            <w:r w:rsidR="00957857">
              <w:rPr>
                <w:bCs/>
              </w:rPr>
              <w:t>, that £50,000 of unutilised ODA from the 2020/21 financial year could be utilised for this project.</w:t>
            </w:r>
            <w:r w:rsidR="002317D6">
              <w:rPr>
                <w:bCs/>
              </w:rPr>
              <w:t xml:space="preserve">. </w:t>
            </w:r>
            <w:r w:rsidR="00AB3491">
              <w:rPr>
                <w:bCs/>
              </w:rPr>
              <w:t xml:space="preserve">As the project is primarily around </w:t>
            </w:r>
            <w:r w:rsidR="00AB3491">
              <w:rPr>
                <w:bCs/>
              </w:rPr>
              <w:lastRenderedPageBreak/>
              <w:t xml:space="preserve">research and analysis, the project requires Resource Departmental Expenditure Limit (RDEL) funding.. </w:t>
            </w:r>
          </w:p>
          <w:p w14:paraId="421A7C32" w14:textId="71F57DA8" w:rsidR="007C7A79" w:rsidRPr="00E621E5" w:rsidRDefault="002317D6" w:rsidP="00E621E5">
            <w:pPr>
              <w:spacing w:after="240"/>
              <w:jc w:val="both"/>
              <w:rPr>
                <w:bCs/>
              </w:rPr>
            </w:pPr>
            <w:r>
              <w:rPr>
                <w:bCs/>
              </w:rPr>
              <w:t xml:space="preserve">The IDB will use the first instalment to </w:t>
            </w:r>
            <w:r w:rsidR="00BB29F6">
              <w:rPr>
                <w:bCs/>
              </w:rPr>
              <w:t xml:space="preserve">produce a report setting out preliminary results, and a 15-20 page paper </w:t>
            </w:r>
            <w:r>
              <w:rPr>
                <w:bCs/>
              </w:rPr>
              <w:t>summarising</w:t>
            </w:r>
            <w:r w:rsidR="00BB29F6">
              <w:rPr>
                <w:bCs/>
              </w:rPr>
              <w:t xml:space="preserve"> </w:t>
            </w:r>
            <w:r>
              <w:rPr>
                <w:bCs/>
              </w:rPr>
              <w:t>lessons learned from previous initiatives that have looked to mainstream natural capital and biodiversity in development planning. These outputs will be delivered by the end of March</w:t>
            </w:r>
            <w:r w:rsidR="00AB3491">
              <w:rPr>
                <w:bCs/>
              </w:rPr>
              <w:t xml:space="preserve"> 2020</w:t>
            </w:r>
            <w:r>
              <w:rPr>
                <w:bCs/>
              </w:rPr>
              <w:t xml:space="preserve">. </w:t>
            </w:r>
            <w:r w:rsidR="00C8245C">
              <w:rPr>
                <w:bCs/>
              </w:rPr>
              <w:t>Approximately three quarters of the work will be delivered in the 19/20 financial year, with t</w:t>
            </w:r>
            <w:r w:rsidR="00AB3491">
              <w:rPr>
                <w:bCs/>
              </w:rPr>
              <w:t xml:space="preserve">he second instalment, of £50,000, </w:t>
            </w:r>
            <w:r w:rsidR="00FA4D9E">
              <w:rPr>
                <w:bCs/>
              </w:rPr>
              <w:t>being</w:t>
            </w:r>
            <w:r w:rsidR="00AB3491">
              <w:rPr>
                <w:bCs/>
              </w:rPr>
              <w:t xml:space="preserve"> used to </w:t>
            </w:r>
            <w:r w:rsidR="003A0982">
              <w:rPr>
                <w:bCs/>
              </w:rPr>
              <w:t>produce further</w:t>
            </w:r>
            <w:r w:rsidR="00AB3491">
              <w:rPr>
                <w:bCs/>
              </w:rPr>
              <w:t xml:space="preserve"> analysis, and finalise the report. </w:t>
            </w:r>
          </w:p>
          <w:p w14:paraId="4E374D31" w14:textId="4765B62E" w:rsidR="00BB29F6" w:rsidRDefault="007C7A79" w:rsidP="00E621E5">
            <w:pPr>
              <w:rPr>
                <w:bCs/>
              </w:rPr>
            </w:pPr>
            <w:r>
              <w:rPr>
                <w:bCs/>
              </w:rPr>
              <w:t xml:space="preserve">There is a low risk that the IDB are not able to deliver three quarters of the work in the current financial year, and therefore that some of the work will need to be accounted for in the 2021/22 financial year. Additional funding from the 2021/22 financial year, e.g. additional unutilised ODA, could be called upon if required. The IDB and HMT have provided assurances that the bulk of the work will be completed this financial year. </w:t>
            </w:r>
            <w:r w:rsidR="007B2BB9">
              <w:rPr>
                <w:bCs/>
              </w:rPr>
              <w:t>Further, as this work will feed into a larger piece, led by HMT, the deadlines are largely non-negotiable, and the work must be completed on time</w:t>
            </w:r>
            <w:r w:rsidR="00E60CDF">
              <w:rPr>
                <w:bCs/>
              </w:rPr>
              <w:t xml:space="preserve">. Moreover, there is a risk that the IDB do not deliver the work </w:t>
            </w:r>
            <w:r w:rsidR="007B2BB9">
              <w:rPr>
                <w:bCs/>
              </w:rPr>
              <w:t>to the standard expected. This work will be covered by the existing UK Blue Carbon Fund admin agreement, which states that Defra is able to clawback uncommitted funds.</w:t>
            </w:r>
          </w:p>
          <w:p w14:paraId="704C59BE" w14:textId="37FCA156" w:rsidR="00CA54A6" w:rsidRDefault="00AA097B" w:rsidP="00840A5C">
            <w:pPr>
              <w:spacing w:after="240"/>
              <w:jc w:val="both"/>
              <w:rPr>
                <w:bCs/>
              </w:rPr>
            </w:pPr>
            <w:r w:rsidRPr="00840A5C">
              <w:rPr>
                <w:bCs/>
              </w:rPr>
              <w:t xml:space="preserve"> </w:t>
            </w:r>
          </w:p>
          <w:p w14:paraId="3C1BCDB4" w14:textId="62E5A490" w:rsidR="00CA54A6" w:rsidRPr="00474ADA" w:rsidRDefault="00820DE0" w:rsidP="00602437">
            <w:pPr>
              <w:spacing w:after="240"/>
              <w:jc w:val="both"/>
            </w:pPr>
            <w:r>
              <w:t>Managing public money states that payments should not be made in advance of need. In this case, t</w:t>
            </w:r>
            <w:r w:rsidR="002E7B86" w:rsidRPr="00160709">
              <w:t>he IDB require the first payment of £150</w:t>
            </w:r>
            <w:r w:rsidR="00AB3491">
              <w:t>,000</w:t>
            </w:r>
            <w:r w:rsidR="002E7B86" w:rsidRPr="00160709">
              <w:t xml:space="preserve"> up front, in order to be able to sign a contract with the consultant; they need to have funding in their account to show that they will have liquidity to cover the expected payments. </w:t>
            </w:r>
            <w:r w:rsidR="00D205CE">
              <w:t>(</w:t>
            </w:r>
            <w:r w:rsidR="00AB3491">
              <w:t>This</w:t>
            </w:r>
            <w:r>
              <w:t xml:space="preserve"> is a short project, with final outputs expected by </w:t>
            </w:r>
            <w:r w:rsidR="002F18D1">
              <w:t>May</w:t>
            </w:r>
            <w:r>
              <w:t xml:space="preserve"> 2020.</w:t>
            </w:r>
            <w:r w:rsidR="00D205CE">
              <w:t>)</w:t>
            </w:r>
            <w:r>
              <w:t xml:space="preserve"> We have discussed with the </w:t>
            </w:r>
            <w:r w:rsidR="00B90E6B" w:rsidRPr="00B90E6B">
              <w:t>Financial Re</w:t>
            </w:r>
            <w:r w:rsidR="00B90E6B" w:rsidRPr="00160709">
              <w:t>gularity team</w:t>
            </w:r>
            <w:r>
              <w:t>, and had approval to make th</w:t>
            </w:r>
            <w:r w:rsidR="00602437">
              <w:t>is payment in advance</w:t>
            </w:r>
            <w:r>
              <w:t>.</w:t>
            </w:r>
            <w:r w:rsidR="00B90E6B" w:rsidRPr="00160709">
              <w:t xml:space="preserve"> </w:t>
            </w:r>
            <w:r w:rsidR="00FA4D9E">
              <w:t xml:space="preserve">The IDB usually require payment in advance in order to demonstrate to their Board that they have the liquidity to undertake a project, and get the Board’s approval. Defra have already deposited </w:t>
            </w:r>
            <w:r w:rsidR="00FA4D9E" w:rsidRPr="00602437">
              <w:t>£1,9</w:t>
            </w:r>
            <w:r w:rsidR="00602437" w:rsidRPr="00E621E5">
              <w:t>12</w:t>
            </w:r>
            <w:r w:rsidR="00FA4D9E" w:rsidRPr="00602437">
              <w:t>,</w:t>
            </w:r>
            <w:r w:rsidR="00602437">
              <w:t>144</w:t>
            </w:r>
            <w:r w:rsidR="00FA4D9E">
              <w:t xml:space="preserve"> in the donor balance account for a separate project. Delays in getting this separate project approved have meant that this money has not yet been committed by the IDB, and so the IDB are using £50,000 of this to allow them to form contracts with the consultants needed for the Dasgupta review work. The delays in approving the other project are now almost resolved, and so the IDB Board are set to approve this project in the next few weeks. The IDB therefore require a payment of £50,000 in the 2021/22 financial year, in order to enable them to approve that project. </w:t>
            </w:r>
            <w:r w:rsidR="00D205CE">
              <w:t>The Financial Regularity team have also agreed that this payment can be made in advance.</w:t>
            </w:r>
          </w:p>
        </w:tc>
      </w:tr>
      <w:tr w:rsidR="00BC1295" w:rsidRPr="00474ADA" w14:paraId="568D6150" w14:textId="77777777" w:rsidTr="003336C6">
        <w:trPr>
          <w:trHeight w:val="455"/>
        </w:trPr>
        <w:tc>
          <w:tcPr>
            <w:tcW w:w="10065" w:type="dxa"/>
            <w:tcBorders>
              <w:top w:val="dashSmallGap" w:sz="4" w:space="0" w:color="auto"/>
            </w:tcBorders>
            <w:shd w:val="clear" w:color="auto" w:fill="FFFFFF"/>
          </w:tcPr>
          <w:p w14:paraId="0A43652F" w14:textId="77777777" w:rsidR="00BC1295" w:rsidRPr="00867BBD" w:rsidRDefault="00BC1295" w:rsidP="000C0420">
            <w:pPr>
              <w:spacing w:before="40" w:after="120"/>
              <w:rPr>
                <w:b/>
              </w:rPr>
            </w:pPr>
            <w:r w:rsidRPr="00BC1295">
              <w:rPr>
                <w:b/>
              </w:rPr>
              <w:lastRenderedPageBreak/>
              <w:t>Describe any key changes to the original business case</w:t>
            </w:r>
            <w:r w:rsidR="00D51F8D">
              <w:rPr>
                <w:b/>
              </w:rPr>
              <w:t xml:space="preserve"> including the theory of change or new evidence from ongoing monitoring, evaluation or learning work</w:t>
            </w:r>
            <w:r w:rsidRPr="00BC1295">
              <w:rPr>
                <w:b/>
              </w:rPr>
              <w:t>?</w:t>
            </w:r>
          </w:p>
        </w:tc>
      </w:tr>
      <w:tr w:rsidR="00DD0F61" w:rsidRPr="00474ADA" w14:paraId="792F5683" w14:textId="77777777" w:rsidTr="003336C6">
        <w:trPr>
          <w:trHeight w:val="455"/>
        </w:trPr>
        <w:tc>
          <w:tcPr>
            <w:tcW w:w="10065" w:type="dxa"/>
            <w:tcBorders>
              <w:top w:val="dashSmallGap" w:sz="4" w:space="0" w:color="auto"/>
            </w:tcBorders>
            <w:shd w:val="clear" w:color="auto" w:fill="FFFFFF"/>
          </w:tcPr>
          <w:p w14:paraId="08DB1E78" w14:textId="77777777" w:rsidR="00D43A3E" w:rsidRDefault="00D43A3E" w:rsidP="00DD0F61"/>
          <w:p w14:paraId="592CA45B" w14:textId="77777777" w:rsidR="001317D6" w:rsidRPr="008E444B" w:rsidRDefault="001317D6" w:rsidP="001317D6">
            <w:pPr>
              <w:spacing w:after="240"/>
              <w:jc w:val="both"/>
              <w:rPr>
                <w:b/>
              </w:rPr>
            </w:pPr>
            <w:r w:rsidRPr="008E444B">
              <w:rPr>
                <w:b/>
              </w:rPr>
              <w:t>Economic appraisal and cost benefit analysis</w:t>
            </w:r>
          </w:p>
          <w:p w14:paraId="20AA0AD5" w14:textId="77777777" w:rsidR="001317D6" w:rsidRPr="008E444B" w:rsidRDefault="001317D6" w:rsidP="001317D6">
            <w:pPr>
              <w:spacing w:after="240"/>
              <w:jc w:val="both"/>
            </w:pPr>
            <w:r w:rsidRPr="008E444B">
              <w:t xml:space="preserve">The economic appraisal and cost benefit analysis for the original business case concluded that the project activities would lead to the conservation of 5,570 ha of mangrove, with resulting benefits in terms of carbon stored and coastal protection.  This would result in £11.5 of benefits for every £1 in cost.  </w:t>
            </w:r>
          </w:p>
          <w:p w14:paraId="366E43B4" w14:textId="7C943B1F" w:rsidR="001317D6" w:rsidRDefault="001317D6" w:rsidP="001317D6">
            <w:pPr>
              <w:spacing w:after="240"/>
              <w:jc w:val="both"/>
            </w:pPr>
            <w:r w:rsidRPr="00840A5C">
              <w:t xml:space="preserve">By improving the underlying evidence base for this and other interventions aimed at conserving biodiversity rich habitats, this cost extension is expected to maintain or enhance this ratio of benefits to costs.  Given the size of the additional investment and the nature of the </w:t>
            </w:r>
            <w:r w:rsidR="001650AF" w:rsidRPr="00840A5C">
              <w:t>activities</w:t>
            </w:r>
            <w:r w:rsidRPr="00840A5C">
              <w:t xml:space="preserve">, it is not possible to quantify this improvement, but it is expected to exceed the </w:t>
            </w:r>
            <w:r w:rsidRPr="00840A5C">
              <w:lastRenderedPageBreak/>
              <w:t>£2</w:t>
            </w:r>
            <w:r w:rsidR="00314FFB" w:rsidRPr="00840A5C">
              <w:t>0</w:t>
            </w:r>
            <w:r w:rsidRPr="00840A5C">
              <w:t>0,000 investment cost plus HMT and Defra staff time totalling [0.</w:t>
            </w:r>
            <w:r w:rsidR="00227AE0" w:rsidRPr="00840A5C">
              <w:t>5</w:t>
            </w:r>
            <w:r w:rsidRPr="00840A5C">
              <w:t xml:space="preserve"> FTE- 0.</w:t>
            </w:r>
            <w:r w:rsidR="00227AE0" w:rsidRPr="00840A5C">
              <w:t>3</w:t>
            </w:r>
            <w:r w:rsidRPr="00840A5C">
              <w:t xml:space="preserve"> HMT and 0.2 Defra]</w:t>
            </w:r>
            <w:r w:rsidR="001412CF">
              <w:t xml:space="preserve"> given the potential to drive additional global action to conserve biodiversity</w:t>
            </w:r>
            <w:r w:rsidRPr="00840A5C">
              <w:t>.</w:t>
            </w:r>
            <w:r w:rsidRPr="008E444B">
              <w:t xml:space="preserve">  </w:t>
            </w:r>
          </w:p>
          <w:p w14:paraId="011FDFAC" w14:textId="77777777" w:rsidR="001317D6" w:rsidRPr="008E444B" w:rsidRDefault="001317D6" w:rsidP="001317D6">
            <w:pPr>
              <w:spacing w:after="240"/>
              <w:jc w:val="both"/>
              <w:rPr>
                <w:b/>
              </w:rPr>
            </w:pPr>
            <w:r w:rsidRPr="008E444B">
              <w:rPr>
                <w:b/>
              </w:rPr>
              <w:t>Monitoring and Evaluation</w:t>
            </w:r>
          </w:p>
          <w:p w14:paraId="3ED47F95" w14:textId="18940179" w:rsidR="00DD0F61" w:rsidRPr="00670CE5" w:rsidRDefault="001317D6" w:rsidP="00A1784C">
            <w:pPr>
              <w:spacing w:after="240"/>
              <w:jc w:val="both"/>
            </w:pPr>
            <w:r w:rsidRPr="008E444B">
              <w:t xml:space="preserve">The additional monitoring for this extension will be two indicators in the project </w:t>
            </w:r>
            <w:r w:rsidR="001650AF" w:rsidRPr="008E444B">
              <w:t>log frame</w:t>
            </w:r>
            <w:r w:rsidRPr="008E444B">
              <w:t xml:space="preserve"> assessing whether the work was delivered to cost and budget.  This work should also be assessed, including any synergies with the existing programme, </w:t>
            </w:r>
            <w:r w:rsidR="00A1784C">
              <w:t>in the independent evaluation(s)</w:t>
            </w:r>
            <w:r w:rsidRPr="008E444B">
              <w:t xml:space="preserve"> of the programme</w:t>
            </w:r>
            <w:r w:rsidR="00A1784C">
              <w:t>.</w:t>
            </w:r>
          </w:p>
        </w:tc>
      </w:tr>
    </w:tbl>
    <w:p w14:paraId="2816CDA9" w14:textId="77777777" w:rsidR="007D71C8" w:rsidRPr="00CE595A" w:rsidRDefault="007D71C8" w:rsidP="008D4571">
      <w:pPr>
        <w:rPr>
          <w:b/>
        </w:rPr>
      </w:pPr>
    </w:p>
    <w:sectPr w:rsidR="007D71C8" w:rsidRPr="00CE595A" w:rsidSect="00867BBD">
      <w:headerReference w:type="default" r:id="rId13"/>
      <w:footerReference w:type="even" r:id="rId14"/>
      <w:footerReference w:type="default" r:id="rId15"/>
      <w:pgSz w:w="11906" w:h="16838" w:code="9"/>
      <w:pgMar w:top="1134" w:right="1531" w:bottom="1134" w:left="153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6A3D5A" w16cid:durableId="21ED5920"/>
  <w16cid:commentId w16cid:paraId="54F2ED77" w16cid:durableId="21ED5A1D"/>
  <w16cid:commentId w16cid:paraId="4CA3174E" w16cid:durableId="21ED5921"/>
  <w16cid:commentId w16cid:paraId="3602BEC1" w16cid:durableId="21ED59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C94A6" w14:textId="77777777" w:rsidR="003208B4" w:rsidRDefault="003208B4">
      <w:r>
        <w:separator/>
      </w:r>
    </w:p>
  </w:endnote>
  <w:endnote w:type="continuationSeparator" w:id="0">
    <w:p w14:paraId="0B5788CA" w14:textId="77777777" w:rsidR="003208B4" w:rsidRDefault="0032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F3445" w14:textId="77777777" w:rsidR="00F76AFD" w:rsidRDefault="00F76AFD" w:rsidP="001F17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52B2A" w14:textId="77777777" w:rsidR="00F76AFD" w:rsidRDefault="00F76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A188F" w14:textId="77777777" w:rsidR="00F76AFD" w:rsidRDefault="00F76AFD" w:rsidP="001F17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2B01">
      <w:rPr>
        <w:rStyle w:val="PageNumber"/>
        <w:noProof/>
      </w:rPr>
      <w:t>1</w:t>
    </w:r>
    <w:r>
      <w:rPr>
        <w:rStyle w:val="PageNumber"/>
      </w:rPr>
      <w:fldChar w:fldCharType="end"/>
    </w:r>
  </w:p>
  <w:p w14:paraId="4F7CF081" w14:textId="77777777" w:rsidR="00F76AFD" w:rsidRDefault="00F76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4447C" w14:textId="77777777" w:rsidR="003208B4" w:rsidRDefault="003208B4">
      <w:r>
        <w:separator/>
      </w:r>
    </w:p>
  </w:footnote>
  <w:footnote w:type="continuationSeparator" w:id="0">
    <w:p w14:paraId="72012189" w14:textId="77777777" w:rsidR="003208B4" w:rsidRDefault="003208B4">
      <w:r>
        <w:continuationSeparator/>
      </w:r>
    </w:p>
  </w:footnote>
  <w:footnote w:id="1">
    <w:p w14:paraId="3622212F" w14:textId="77777777" w:rsidR="00EF7126" w:rsidRPr="00E75255" w:rsidRDefault="00EF7126" w:rsidP="00EF7126">
      <w:pPr>
        <w:pStyle w:val="FootnoteText"/>
        <w:rPr>
          <w:sz w:val="16"/>
          <w:szCs w:val="16"/>
        </w:rPr>
      </w:pPr>
      <w:r>
        <w:rPr>
          <w:rStyle w:val="FootnoteReference"/>
        </w:rPr>
        <w:footnoteRef/>
      </w:r>
      <w:r>
        <w:t xml:space="preserve"> </w:t>
      </w:r>
      <w:r w:rsidRPr="00E80876">
        <w:rPr>
          <w:rFonts w:ascii="Helvetica" w:hAnsi="Helvetica" w:cs="Helvetica"/>
          <w:sz w:val="16"/>
          <w:szCs w:val="16"/>
          <w:shd w:val="clear" w:color="auto" w:fill="FFFFFF"/>
        </w:rPr>
        <w:t xml:space="preserve">IPBES (2019) The global assessment report on biodiversity and ecosystem services of the Intergovernmental Science-Policy Platform on Biodiversity and Ecosystem Services (IPBES): </w:t>
      </w:r>
      <w:hyperlink r:id="rId1" w:history="1">
        <w:r w:rsidRPr="00E80876">
          <w:rPr>
            <w:rStyle w:val="Hyperlink"/>
            <w:rFonts w:ascii="Helvetica" w:hAnsi="Helvetica" w:cs="Helvetica"/>
            <w:sz w:val="16"/>
            <w:szCs w:val="16"/>
          </w:rPr>
          <w:t>https://www.ipbes.net/global-assessment-report-biodiversity-ecosystem-services</w:t>
        </w:r>
      </w:hyperlink>
    </w:p>
  </w:footnote>
  <w:footnote w:id="2">
    <w:p w14:paraId="565FC956" w14:textId="77777777" w:rsidR="00EA7A06" w:rsidRPr="001A5EC1" w:rsidRDefault="00EA7A06" w:rsidP="00EA7A06">
      <w:pPr>
        <w:pStyle w:val="FootnoteText"/>
        <w:rPr>
          <w:sz w:val="16"/>
          <w:szCs w:val="16"/>
        </w:rPr>
      </w:pPr>
      <w:r w:rsidRPr="000A404E">
        <w:rPr>
          <w:rStyle w:val="FootnoteReference"/>
          <w:sz w:val="16"/>
        </w:rPr>
        <w:footnoteRef/>
      </w:r>
      <w:r w:rsidRPr="000A404E">
        <w:rPr>
          <w:sz w:val="16"/>
        </w:rPr>
        <w:t xml:space="preserve"> https</w:t>
      </w:r>
      <w:r w:rsidRPr="001A5EC1">
        <w:rPr>
          <w:sz w:val="16"/>
          <w:szCs w:val="16"/>
        </w:rPr>
        <w:t>://www.iucn.org/content/mangrove-forests-worldwide-decline</w:t>
      </w:r>
    </w:p>
  </w:footnote>
  <w:footnote w:id="3">
    <w:p w14:paraId="33BBCA1A" w14:textId="77777777" w:rsidR="00EF7126" w:rsidRPr="00754213" w:rsidRDefault="00EF7126" w:rsidP="00EF7126">
      <w:pPr>
        <w:pStyle w:val="FootnoteText"/>
        <w:rPr>
          <w:rFonts w:ascii="Helvetica" w:hAnsi="Helvetica" w:cs="Helvetica"/>
          <w:sz w:val="16"/>
          <w:szCs w:val="16"/>
        </w:rPr>
      </w:pPr>
      <w:r w:rsidRPr="00754213">
        <w:rPr>
          <w:rStyle w:val="FootnoteReference"/>
          <w:rFonts w:ascii="Helvetica" w:hAnsi="Helvetica" w:cs="Helvetica"/>
        </w:rPr>
        <w:footnoteRef/>
      </w:r>
      <w:r w:rsidRPr="00754213">
        <w:rPr>
          <w:rFonts w:ascii="Helvetica" w:hAnsi="Helvetica" w:cs="Helvetica"/>
        </w:rPr>
        <w:t xml:space="preserve"> </w:t>
      </w:r>
      <w:r w:rsidRPr="00754213">
        <w:rPr>
          <w:rFonts w:ascii="Helvetica" w:hAnsi="Helvetica" w:cs="Helvetica"/>
          <w:sz w:val="16"/>
          <w:szCs w:val="16"/>
        </w:rPr>
        <w:t xml:space="preserve">Linking biodiversity Conservation and Poverty Alleviation: A State of Knowledge Review, Secretariat of the Convention on Biological Diversity </w:t>
      </w:r>
      <w:hyperlink r:id="rId2" w:history="1">
        <w:r w:rsidRPr="00754213">
          <w:rPr>
            <w:rStyle w:val="Hyperlink"/>
            <w:rFonts w:ascii="Helvetica" w:hAnsi="Helvetica" w:cs="Helvetica"/>
            <w:sz w:val="16"/>
            <w:szCs w:val="16"/>
          </w:rPr>
          <w:t>https://www.cbd.int/doc/publications/cbd-ts-55-en.pdf</w:t>
        </w:r>
      </w:hyperlink>
    </w:p>
  </w:footnote>
  <w:footnote w:id="4">
    <w:p w14:paraId="46450376" w14:textId="77777777" w:rsidR="00EF7126" w:rsidRPr="00E80876" w:rsidRDefault="00EF7126" w:rsidP="00EF7126">
      <w:pPr>
        <w:pStyle w:val="FootnoteText"/>
        <w:rPr>
          <w:b/>
          <w:bCs/>
        </w:rPr>
      </w:pPr>
      <w:r>
        <w:rPr>
          <w:rStyle w:val="FootnoteReference"/>
        </w:rPr>
        <w:footnoteRef/>
      </w:r>
      <w:r>
        <w:t xml:space="preserve"> </w:t>
      </w:r>
      <w:r w:rsidRPr="00E80876">
        <w:rPr>
          <w:rFonts w:ascii="Helvetica" w:hAnsi="Helvetica" w:cs="Helvetica"/>
          <w:sz w:val="16"/>
          <w:szCs w:val="16"/>
        </w:rPr>
        <w:t xml:space="preserve">The Nature Conservancy’s study on Natural Climate Solutions (Oct 2017): </w:t>
      </w:r>
      <w:hyperlink r:id="rId3" w:history="1">
        <w:r w:rsidRPr="00E80876">
          <w:rPr>
            <w:rStyle w:val="Hyperlink"/>
            <w:rFonts w:ascii="Helvetica" w:hAnsi="Helvetica" w:cs="Helvetica"/>
            <w:sz w:val="16"/>
            <w:szCs w:val="16"/>
          </w:rPr>
          <w:t>https://www.pnas.org/content/114/44/11645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C88C" w14:textId="2966F9C2" w:rsidR="00CA2DD5" w:rsidRDefault="00CA2DD5" w:rsidP="00160709">
    <w:pPr>
      <w:pStyle w:val="Header"/>
      <w:jc w:val="center"/>
    </w:pPr>
    <w:r>
      <w:t>OFFICIAL SENSITIVE -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13255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437FA"/>
    <w:multiLevelType w:val="hybridMultilevel"/>
    <w:tmpl w:val="4F060534"/>
    <w:lvl w:ilvl="0" w:tplc="3724CF46">
      <w:start w:val="2"/>
      <w:numFmt w:val="bullet"/>
      <w:lvlText w:val="-"/>
      <w:lvlJc w:val="left"/>
      <w:pPr>
        <w:ind w:left="1430" w:hanging="360"/>
      </w:pPr>
      <w:rPr>
        <w:rFonts w:ascii="Arial" w:eastAsia="Times New Roman" w:hAnsi="Aria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 w15:restartNumberingAfterBreak="0">
    <w:nsid w:val="056400F4"/>
    <w:multiLevelType w:val="hybridMultilevel"/>
    <w:tmpl w:val="AD3A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66EAB"/>
    <w:multiLevelType w:val="hybridMultilevel"/>
    <w:tmpl w:val="BDA625A2"/>
    <w:lvl w:ilvl="0" w:tplc="C66A4B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E6CD2"/>
    <w:multiLevelType w:val="hybridMultilevel"/>
    <w:tmpl w:val="E5D24D1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5" w15:restartNumberingAfterBreak="0">
    <w:nsid w:val="0E0214A7"/>
    <w:multiLevelType w:val="hybridMultilevel"/>
    <w:tmpl w:val="1D6075AC"/>
    <w:lvl w:ilvl="0" w:tplc="5BA41B00">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90872"/>
    <w:multiLevelType w:val="hybridMultilevel"/>
    <w:tmpl w:val="61C8B50A"/>
    <w:lvl w:ilvl="0" w:tplc="8A9AD2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84473"/>
    <w:multiLevelType w:val="hybridMultilevel"/>
    <w:tmpl w:val="5B204A7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8" w15:restartNumberingAfterBreak="0">
    <w:nsid w:val="15593B19"/>
    <w:multiLevelType w:val="hybridMultilevel"/>
    <w:tmpl w:val="CD6AE6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BF29A7"/>
    <w:multiLevelType w:val="hybridMultilevel"/>
    <w:tmpl w:val="65F2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6046D"/>
    <w:multiLevelType w:val="hybridMultilevel"/>
    <w:tmpl w:val="C9E63270"/>
    <w:lvl w:ilvl="0" w:tplc="7F74FC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91ED0"/>
    <w:multiLevelType w:val="hybridMultilevel"/>
    <w:tmpl w:val="8A2413D0"/>
    <w:lvl w:ilvl="0" w:tplc="5BA41B00">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31088"/>
    <w:multiLevelType w:val="hybridMultilevel"/>
    <w:tmpl w:val="C672B426"/>
    <w:lvl w:ilvl="0" w:tplc="1A80F1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2C3906"/>
    <w:multiLevelType w:val="hybridMultilevel"/>
    <w:tmpl w:val="BE7A09B4"/>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4" w15:restartNumberingAfterBreak="0">
    <w:nsid w:val="32C02229"/>
    <w:multiLevelType w:val="multilevel"/>
    <w:tmpl w:val="6218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A719C8"/>
    <w:multiLevelType w:val="hybridMultilevel"/>
    <w:tmpl w:val="CDF4B2C2"/>
    <w:lvl w:ilvl="0" w:tplc="0F22DF60">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7D76CB7"/>
    <w:multiLevelType w:val="hybridMultilevel"/>
    <w:tmpl w:val="EB08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B21C2"/>
    <w:multiLevelType w:val="hybridMultilevel"/>
    <w:tmpl w:val="05DE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F3E0D"/>
    <w:multiLevelType w:val="hybridMultilevel"/>
    <w:tmpl w:val="D2B6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D0C92"/>
    <w:multiLevelType w:val="hybridMultilevel"/>
    <w:tmpl w:val="D166F1CA"/>
    <w:lvl w:ilvl="0" w:tplc="3724CF46">
      <w:start w:val="2"/>
      <w:numFmt w:val="bullet"/>
      <w:lvlText w:val="-"/>
      <w:lvlJc w:val="left"/>
      <w:pPr>
        <w:ind w:left="1430" w:hanging="360"/>
      </w:pPr>
      <w:rPr>
        <w:rFonts w:ascii="Arial" w:eastAsia="Times New Roman" w:hAnsi="Aria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0" w15:restartNumberingAfterBreak="0">
    <w:nsid w:val="41121300"/>
    <w:multiLevelType w:val="hybridMultilevel"/>
    <w:tmpl w:val="C098F800"/>
    <w:lvl w:ilvl="0" w:tplc="5BA41B00">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952DE1"/>
    <w:multiLevelType w:val="hybridMultilevel"/>
    <w:tmpl w:val="1C2AEE0E"/>
    <w:lvl w:ilvl="0" w:tplc="260C1822">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2" w15:restartNumberingAfterBreak="0">
    <w:nsid w:val="4C0654F3"/>
    <w:multiLevelType w:val="hybridMultilevel"/>
    <w:tmpl w:val="544690DE"/>
    <w:lvl w:ilvl="0" w:tplc="08090001">
      <w:start w:val="1"/>
      <w:numFmt w:val="bullet"/>
      <w:lvlText w:val=""/>
      <w:lvlJc w:val="left"/>
      <w:pPr>
        <w:ind w:left="2564" w:hanging="360"/>
      </w:pPr>
      <w:rPr>
        <w:rFonts w:ascii="Symbol" w:hAnsi="Symbol" w:hint="default"/>
      </w:rPr>
    </w:lvl>
    <w:lvl w:ilvl="1" w:tplc="08090003" w:tentative="1">
      <w:start w:val="1"/>
      <w:numFmt w:val="bullet"/>
      <w:lvlText w:val="o"/>
      <w:lvlJc w:val="left"/>
      <w:pPr>
        <w:ind w:left="3284" w:hanging="360"/>
      </w:pPr>
      <w:rPr>
        <w:rFonts w:ascii="Courier New" w:hAnsi="Courier New" w:cs="Courier New" w:hint="default"/>
      </w:rPr>
    </w:lvl>
    <w:lvl w:ilvl="2" w:tplc="08090005" w:tentative="1">
      <w:start w:val="1"/>
      <w:numFmt w:val="bullet"/>
      <w:lvlText w:val=""/>
      <w:lvlJc w:val="left"/>
      <w:pPr>
        <w:ind w:left="4004" w:hanging="360"/>
      </w:pPr>
      <w:rPr>
        <w:rFonts w:ascii="Wingdings" w:hAnsi="Wingdings" w:hint="default"/>
      </w:rPr>
    </w:lvl>
    <w:lvl w:ilvl="3" w:tplc="08090001" w:tentative="1">
      <w:start w:val="1"/>
      <w:numFmt w:val="bullet"/>
      <w:lvlText w:val=""/>
      <w:lvlJc w:val="left"/>
      <w:pPr>
        <w:ind w:left="4724" w:hanging="360"/>
      </w:pPr>
      <w:rPr>
        <w:rFonts w:ascii="Symbol" w:hAnsi="Symbol" w:hint="default"/>
      </w:rPr>
    </w:lvl>
    <w:lvl w:ilvl="4" w:tplc="08090003" w:tentative="1">
      <w:start w:val="1"/>
      <w:numFmt w:val="bullet"/>
      <w:lvlText w:val="o"/>
      <w:lvlJc w:val="left"/>
      <w:pPr>
        <w:ind w:left="5444" w:hanging="360"/>
      </w:pPr>
      <w:rPr>
        <w:rFonts w:ascii="Courier New" w:hAnsi="Courier New" w:cs="Courier New" w:hint="default"/>
      </w:rPr>
    </w:lvl>
    <w:lvl w:ilvl="5" w:tplc="08090005" w:tentative="1">
      <w:start w:val="1"/>
      <w:numFmt w:val="bullet"/>
      <w:lvlText w:val=""/>
      <w:lvlJc w:val="left"/>
      <w:pPr>
        <w:ind w:left="6164" w:hanging="360"/>
      </w:pPr>
      <w:rPr>
        <w:rFonts w:ascii="Wingdings" w:hAnsi="Wingdings" w:hint="default"/>
      </w:rPr>
    </w:lvl>
    <w:lvl w:ilvl="6" w:tplc="08090001" w:tentative="1">
      <w:start w:val="1"/>
      <w:numFmt w:val="bullet"/>
      <w:lvlText w:val=""/>
      <w:lvlJc w:val="left"/>
      <w:pPr>
        <w:ind w:left="6884" w:hanging="360"/>
      </w:pPr>
      <w:rPr>
        <w:rFonts w:ascii="Symbol" w:hAnsi="Symbol" w:hint="default"/>
      </w:rPr>
    </w:lvl>
    <w:lvl w:ilvl="7" w:tplc="08090003" w:tentative="1">
      <w:start w:val="1"/>
      <w:numFmt w:val="bullet"/>
      <w:lvlText w:val="o"/>
      <w:lvlJc w:val="left"/>
      <w:pPr>
        <w:ind w:left="7604" w:hanging="360"/>
      </w:pPr>
      <w:rPr>
        <w:rFonts w:ascii="Courier New" w:hAnsi="Courier New" w:cs="Courier New" w:hint="default"/>
      </w:rPr>
    </w:lvl>
    <w:lvl w:ilvl="8" w:tplc="08090005" w:tentative="1">
      <w:start w:val="1"/>
      <w:numFmt w:val="bullet"/>
      <w:lvlText w:val=""/>
      <w:lvlJc w:val="left"/>
      <w:pPr>
        <w:ind w:left="8324" w:hanging="360"/>
      </w:pPr>
      <w:rPr>
        <w:rFonts w:ascii="Wingdings" w:hAnsi="Wingdings" w:hint="default"/>
      </w:rPr>
    </w:lvl>
  </w:abstractNum>
  <w:abstractNum w:abstractNumId="23" w15:restartNumberingAfterBreak="0">
    <w:nsid w:val="4F8B5A1A"/>
    <w:multiLevelType w:val="hybridMultilevel"/>
    <w:tmpl w:val="BBF2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3157A"/>
    <w:multiLevelType w:val="hybridMultilevel"/>
    <w:tmpl w:val="3C6453D2"/>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5" w15:restartNumberingAfterBreak="0">
    <w:nsid w:val="5BE76E99"/>
    <w:multiLevelType w:val="hybridMultilevel"/>
    <w:tmpl w:val="6B3A2A36"/>
    <w:lvl w:ilvl="0" w:tplc="3724CF4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E81461"/>
    <w:multiLevelType w:val="hybridMultilevel"/>
    <w:tmpl w:val="1196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AD4625"/>
    <w:multiLevelType w:val="hybridMultilevel"/>
    <w:tmpl w:val="A38496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0A556A"/>
    <w:multiLevelType w:val="hybridMultilevel"/>
    <w:tmpl w:val="FB3CD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F956CE4"/>
    <w:multiLevelType w:val="hybridMultilevel"/>
    <w:tmpl w:val="47D40CF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0" w15:restartNumberingAfterBreak="0">
    <w:nsid w:val="730B3708"/>
    <w:multiLevelType w:val="hybridMultilevel"/>
    <w:tmpl w:val="FD2C2E4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1" w15:restartNumberingAfterBreak="0">
    <w:nsid w:val="73D92E55"/>
    <w:multiLevelType w:val="hybridMultilevel"/>
    <w:tmpl w:val="38E88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49A1529"/>
    <w:multiLevelType w:val="hybridMultilevel"/>
    <w:tmpl w:val="F28C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F79BB"/>
    <w:multiLevelType w:val="hybridMultilevel"/>
    <w:tmpl w:val="9524FBC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4" w15:restartNumberingAfterBreak="0">
    <w:nsid w:val="78F23372"/>
    <w:multiLevelType w:val="hybridMultilevel"/>
    <w:tmpl w:val="2B3A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64318F"/>
    <w:multiLevelType w:val="hybridMultilevel"/>
    <w:tmpl w:val="D934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862546"/>
    <w:multiLevelType w:val="hybridMultilevel"/>
    <w:tmpl w:val="34EE18EA"/>
    <w:lvl w:ilvl="0" w:tplc="5BA41B00">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DE4BF7"/>
    <w:multiLevelType w:val="hybridMultilevel"/>
    <w:tmpl w:val="1504A6D2"/>
    <w:lvl w:ilvl="0" w:tplc="5BA41B00">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FC35FA"/>
    <w:multiLevelType w:val="hybridMultilevel"/>
    <w:tmpl w:val="FDE4A0E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abstractNumId w:val="0"/>
  </w:num>
  <w:num w:numId="2">
    <w:abstractNumId w:val="25"/>
  </w:num>
  <w:num w:numId="3">
    <w:abstractNumId w:val="2"/>
  </w:num>
  <w:num w:numId="4">
    <w:abstractNumId w:val="34"/>
  </w:num>
  <w:num w:numId="5">
    <w:abstractNumId w:val="26"/>
  </w:num>
  <w:num w:numId="6">
    <w:abstractNumId w:val="17"/>
  </w:num>
  <w:num w:numId="7">
    <w:abstractNumId w:val="10"/>
  </w:num>
  <w:num w:numId="8">
    <w:abstractNumId w:val="20"/>
  </w:num>
  <w:num w:numId="9">
    <w:abstractNumId w:val="36"/>
  </w:num>
  <w:num w:numId="10">
    <w:abstractNumId w:val="5"/>
  </w:num>
  <w:num w:numId="11">
    <w:abstractNumId w:val="37"/>
  </w:num>
  <w:num w:numId="12">
    <w:abstractNumId w:val="11"/>
  </w:num>
  <w:num w:numId="13">
    <w:abstractNumId w:val="14"/>
  </w:num>
  <w:num w:numId="14">
    <w:abstractNumId w:val="12"/>
  </w:num>
  <w:num w:numId="15">
    <w:abstractNumId w:val="21"/>
  </w:num>
  <w:num w:numId="16">
    <w:abstractNumId w:val="4"/>
  </w:num>
  <w:num w:numId="17">
    <w:abstractNumId w:val="29"/>
  </w:num>
  <w:num w:numId="18">
    <w:abstractNumId w:val="22"/>
  </w:num>
  <w:num w:numId="19">
    <w:abstractNumId w:val="38"/>
  </w:num>
  <w:num w:numId="20">
    <w:abstractNumId w:val="30"/>
  </w:num>
  <w:num w:numId="21">
    <w:abstractNumId w:val="33"/>
  </w:num>
  <w:num w:numId="22">
    <w:abstractNumId w:val="13"/>
  </w:num>
  <w:num w:numId="23">
    <w:abstractNumId w:val="7"/>
  </w:num>
  <w:num w:numId="24">
    <w:abstractNumId w:val="24"/>
  </w:num>
  <w:num w:numId="25">
    <w:abstractNumId w:val="19"/>
  </w:num>
  <w:num w:numId="26">
    <w:abstractNumId w:val="1"/>
  </w:num>
  <w:num w:numId="27">
    <w:abstractNumId w:val="9"/>
  </w:num>
  <w:num w:numId="28">
    <w:abstractNumId w:val="32"/>
  </w:num>
  <w:num w:numId="29">
    <w:abstractNumId w:val="28"/>
  </w:num>
  <w:num w:numId="30">
    <w:abstractNumId w:val="8"/>
  </w:num>
  <w:num w:numId="31">
    <w:abstractNumId w:val="31"/>
  </w:num>
  <w:num w:numId="32">
    <w:abstractNumId w:val="35"/>
  </w:num>
  <w:num w:numId="33">
    <w:abstractNumId w:val="23"/>
  </w:num>
  <w:num w:numId="34">
    <w:abstractNumId w:val="16"/>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
  </w:num>
  <w:num w:numId="38">
    <w:abstractNumId w:val="27"/>
  </w:num>
  <w:num w:numId="39">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43"/>
    <w:rsid w:val="000017BC"/>
    <w:rsid w:val="00001A16"/>
    <w:rsid w:val="00002018"/>
    <w:rsid w:val="00002234"/>
    <w:rsid w:val="00003B01"/>
    <w:rsid w:val="00005011"/>
    <w:rsid w:val="000061A6"/>
    <w:rsid w:val="00007E4F"/>
    <w:rsid w:val="0001010D"/>
    <w:rsid w:val="00012AB2"/>
    <w:rsid w:val="00012B7A"/>
    <w:rsid w:val="00015DD8"/>
    <w:rsid w:val="00020B57"/>
    <w:rsid w:val="0002132A"/>
    <w:rsid w:val="00023322"/>
    <w:rsid w:val="00024C5E"/>
    <w:rsid w:val="00024F1E"/>
    <w:rsid w:val="0002580B"/>
    <w:rsid w:val="00027617"/>
    <w:rsid w:val="0002782D"/>
    <w:rsid w:val="00032405"/>
    <w:rsid w:val="00033846"/>
    <w:rsid w:val="00033C5D"/>
    <w:rsid w:val="00034F24"/>
    <w:rsid w:val="00035CFA"/>
    <w:rsid w:val="00037876"/>
    <w:rsid w:val="000402FD"/>
    <w:rsid w:val="00045606"/>
    <w:rsid w:val="000460D4"/>
    <w:rsid w:val="00050292"/>
    <w:rsid w:val="00050C6E"/>
    <w:rsid w:val="00051204"/>
    <w:rsid w:val="000530AA"/>
    <w:rsid w:val="0005405B"/>
    <w:rsid w:val="00054A11"/>
    <w:rsid w:val="0005549B"/>
    <w:rsid w:val="00055962"/>
    <w:rsid w:val="00055C71"/>
    <w:rsid w:val="00055CFF"/>
    <w:rsid w:val="000571F7"/>
    <w:rsid w:val="00057A02"/>
    <w:rsid w:val="0006000B"/>
    <w:rsid w:val="00060FE7"/>
    <w:rsid w:val="00061969"/>
    <w:rsid w:val="00062642"/>
    <w:rsid w:val="0006358F"/>
    <w:rsid w:val="00063F36"/>
    <w:rsid w:val="000640E0"/>
    <w:rsid w:val="00065530"/>
    <w:rsid w:val="00065FA5"/>
    <w:rsid w:val="000661B0"/>
    <w:rsid w:val="000705E3"/>
    <w:rsid w:val="00071D7F"/>
    <w:rsid w:val="00072F48"/>
    <w:rsid w:val="00073BDE"/>
    <w:rsid w:val="00074C80"/>
    <w:rsid w:val="00076174"/>
    <w:rsid w:val="00076715"/>
    <w:rsid w:val="00080E5C"/>
    <w:rsid w:val="0008167C"/>
    <w:rsid w:val="000817F1"/>
    <w:rsid w:val="00081C60"/>
    <w:rsid w:val="00082ABC"/>
    <w:rsid w:val="00083BC4"/>
    <w:rsid w:val="00087F43"/>
    <w:rsid w:val="00090FD8"/>
    <w:rsid w:val="000919F5"/>
    <w:rsid w:val="00093B6B"/>
    <w:rsid w:val="00093BD3"/>
    <w:rsid w:val="0009490F"/>
    <w:rsid w:val="00097F32"/>
    <w:rsid w:val="000A0264"/>
    <w:rsid w:val="000A0462"/>
    <w:rsid w:val="000A2E47"/>
    <w:rsid w:val="000A45AE"/>
    <w:rsid w:val="000A580E"/>
    <w:rsid w:val="000A7070"/>
    <w:rsid w:val="000A7BA2"/>
    <w:rsid w:val="000B385A"/>
    <w:rsid w:val="000B493C"/>
    <w:rsid w:val="000B4FE5"/>
    <w:rsid w:val="000B63BE"/>
    <w:rsid w:val="000B6FE4"/>
    <w:rsid w:val="000B7B83"/>
    <w:rsid w:val="000C0420"/>
    <w:rsid w:val="000C16A0"/>
    <w:rsid w:val="000C17DE"/>
    <w:rsid w:val="000C1D2F"/>
    <w:rsid w:val="000C2142"/>
    <w:rsid w:val="000C2363"/>
    <w:rsid w:val="000C2E9E"/>
    <w:rsid w:val="000C2EE1"/>
    <w:rsid w:val="000C3C01"/>
    <w:rsid w:val="000C607E"/>
    <w:rsid w:val="000C78DB"/>
    <w:rsid w:val="000D09BE"/>
    <w:rsid w:val="000D237F"/>
    <w:rsid w:val="000D254E"/>
    <w:rsid w:val="000D2DF9"/>
    <w:rsid w:val="000D34A7"/>
    <w:rsid w:val="000D3975"/>
    <w:rsid w:val="000D3D5D"/>
    <w:rsid w:val="000D6B84"/>
    <w:rsid w:val="000D6E5C"/>
    <w:rsid w:val="000D7B4A"/>
    <w:rsid w:val="000E0372"/>
    <w:rsid w:val="000E0FAC"/>
    <w:rsid w:val="000E1E8B"/>
    <w:rsid w:val="000E50EE"/>
    <w:rsid w:val="000E693B"/>
    <w:rsid w:val="000F0398"/>
    <w:rsid w:val="000F176F"/>
    <w:rsid w:val="000F2F7A"/>
    <w:rsid w:val="000F33BA"/>
    <w:rsid w:val="000F3F42"/>
    <w:rsid w:val="000F4FDC"/>
    <w:rsid w:val="000F6D8B"/>
    <w:rsid w:val="000F70D2"/>
    <w:rsid w:val="00100875"/>
    <w:rsid w:val="0010218B"/>
    <w:rsid w:val="0010230D"/>
    <w:rsid w:val="0010295C"/>
    <w:rsid w:val="00106B36"/>
    <w:rsid w:val="00106BD2"/>
    <w:rsid w:val="00107F4A"/>
    <w:rsid w:val="00110B00"/>
    <w:rsid w:val="001118DB"/>
    <w:rsid w:val="00112A71"/>
    <w:rsid w:val="00113758"/>
    <w:rsid w:val="001157A5"/>
    <w:rsid w:val="0011648A"/>
    <w:rsid w:val="0011714F"/>
    <w:rsid w:val="00117695"/>
    <w:rsid w:val="00117826"/>
    <w:rsid w:val="00121AF2"/>
    <w:rsid w:val="00123010"/>
    <w:rsid w:val="001235D2"/>
    <w:rsid w:val="00124481"/>
    <w:rsid w:val="0012670E"/>
    <w:rsid w:val="00126D50"/>
    <w:rsid w:val="0012747C"/>
    <w:rsid w:val="0012771E"/>
    <w:rsid w:val="00127721"/>
    <w:rsid w:val="001317D6"/>
    <w:rsid w:val="001319CB"/>
    <w:rsid w:val="00133907"/>
    <w:rsid w:val="00135C95"/>
    <w:rsid w:val="00137382"/>
    <w:rsid w:val="001379AC"/>
    <w:rsid w:val="00140E7D"/>
    <w:rsid w:val="00141291"/>
    <w:rsid w:val="001412CF"/>
    <w:rsid w:val="0014283B"/>
    <w:rsid w:val="00143126"/>
    <w:rsid w:val="001434C0"/>
    <w:rsid w:val="00145E51"/>
    <w:rsid w:val="0014615B"/>
    <w:rsid w:val="00146ED6"/>
    <w:rsid w:val="00147BDA"/>
    <w:rsid w:val="001508C3"/>
    <w:rsid w:val="0015106A"/>
    <w:rsid w:val="00151665"/>
    <w:rsid w:val="00151CB8"/>
    <w:rsid w:val="00152892"/>
    <w:rsid w:val="0015408F"/>
    <w:rsid w:val="0015496D"/>
    <w:rsid w:val="001549BD"/>
    <w:rsid w:val="001572DF"/>
    <w:rsid w:val="00157D9F"/>
    <w:rsid w:val="00160709"/>
    <w:rsid w:val="00160BC9"/>
    <w:rsid w:val="00161CCA"/>
    <w:rsid w:val="00162012"/>
    <w:rsid w:val="00162BBE"/>
    <w:rsid w:val="001648ED"/>
    <w:rsid w:val="001650AF"/>
    <w:rsid w:val="00165526"/>
    <w:rsid w:val="00166FEE"/>
    <w:rsid w:val="001675AF"/>
    <w:rsid w:val="001716B1"/>
    <w:rsid w:val="001717D6"/>
    <w:rsid w:val="00172EF9"/>
    <w:rsid w:val="00174275"/>
    <w:rsid w:val="00175A0D"/>
    <w:rsid w:val="00177FC0"/>
    <w:rsid w:val="00180A53"/>
    <w:rsid w:val="00181A64"/>
    <w:rsid w:val="00182319"/>
    <w:rsid w:val="00183C2E"/>
    <w:rsid w:val="001841A9"/>
    <w:rsid w:val="00184D6C"/>
    <w:rsid w:val="00184D91"/>
    <w:rsid w:val="001850E5"/>
    <w:rsid w:val="001861B2"/>
    <w:rsid w:val="00186617"/>
    <w:rsid w:val="00186FA4"/>
    <w:rsid w:val="00187706"/>
    <w:rsid w:val="00187B12"/>
    <w:rsid w:val="0019055B"/>
    <w:rsid w:val="00194273"/>
    <w:rsid w:val="001A1815"/>
    <w:rsid w:val="001A2196"/>
    <w:rsid w:val="001A35CF"/>
    <w:rsid w:val="001A3706"/>
    <w:rsid w:val="001A4588"/>
    <w:rsid w:val="001A7748"/>
    <w:rsid w:val="001B1ABD"/>
    <w:rsid w:val="001B23A8"/>
    <w:rsid w:val="001B2C5C"/>
    <w:rsid w:val="001B3655"/>
    <w:rsid w:val="001B3762"/>
    <w:rsid w:val="001B3D66"/>
    <w:rsid w:val="001B4A8A"/>
    <w:rsid w:val="001B4E8E"/>
    <w:rsid w:val="001B7659"/>
    <w:rsid w:val="001B77E5"/>
    <w:rsid w:val="001B7E0C"/>
    <w:rsid w:val="001C1432"/>
    <w:rsid w:val="001C331D"/>
    <w:rsid w:val="001C4BFF"/>
    <w:rsid w:val="001C728B"/>
    <w:rsid w:val="001D0562"/>
    <w:rsid w:val="001D07E5"/>
    <w:rsid w:val="001D0873"/>
    <w:rsid w:val="001D091D"/>
    <w:rsid w:val="001D14CA"/>
    <w:rsid w:val="001D18C6"/>
    <w:rsid w:val="001D4B2B"/>
    <w:rsid w:val="001D580A"/>
    <w:rsid w:val="001D7357"/>
    <w:rsid w:val="001E0CD7"/>
    <w:rsid w:val="001E0FBE"/>
    <w:rsid w:val="001E183B"/>
    <w:rsid w:val="001E49B0"/>
    <w:rsid w:val="001E5406"/>
    <w:rsid w:val="001E5BBD"/>
    <w:rsid w:val="001F0AE6"/>
    <w:rsid w:val="001F17AA"/>
    <w:rsid w:val="001F2F4D"/>
    <w:rsid w:val="001F3B30"/>
    <w:rsid w:val="001F4456"/>
    <w:rsid w:val="001F51EE"/>
    <w:rsid w:val="001F76C9"/>
    <w:rsid w:val="00200B0D"/>
    <w:rsid w:val="00202452"/>
    <w:rsid w:val="00206E06"/>
    <w:rsid w:val="00207CC8"/>
    <w:rsid w:val="002103F8"/>
    <w:rsid w:val="002107C8"/>
    <w:rsid w:val="00210862"/>
    <w:rsid w:val="00211D9B"/>
    <w:rsid w:val="00212FEE"/>
    <w:rsid w:val="00215A94"/>
    <w:rsid w:val="0021644B"/>
    <w:rsid w:val="00216674"/>
    <w:rsid w:val="00216CD5"/>
    <w:rsid w:val="00216F54"/>
    <w:rsid w:val="00217FFE"/>
    <w:rsid w:val="0022538A"/>
    <w:rsid w:val="00226984"/>
    <w:rsid w:val="00227AE0"/>
    <w:rsid w:val="0023124B"/>
    <w:rsid w:val="002317D6"/>
    <w:rsid w:val="00232A65"/>
    <w:rsid w:val="0023301F"/>
    <w:rsid w:val="002335F1"/>
    <w:rsid w:val="002344A8"/>
    <w:rsid w:val="002374FD"/>
    <w:rsid w:val="00237EDE"/>
    <w:rsid w:val="002428B6"/>
    <w:rsid w:val="002429B2"/>
    <w:rsid w:val="00243E84"/>
    <w:rsid w:val="00244353"/>
    <w:rsid w:val="0024591E"/>
    <w:rsid w:val="002469B9"/>
    <w:rsid w:val="002479CB"/>
    <w:rsid w:val="00250A78"/>
    <w:rsid w:val="00250AE2"/>
    <w:rsid w:val="00250B60"/>
    <w:rsid w:val="002512A5"/>
    <w:rsid w:val="0025161F"/>
    <w:rsid w:val="0025289D"/>
    <w:rsid w:val="002548C9"/>
    <w:rsid w:val="00254EF3"/>
    <w:rsid w:val="00256FE4"/>
    <w:rsid w:val="00261A20"/>
    <w:rsid w:val="00261FDF"/>
    <w:rsid w:val="002620DF"/>
    <w:rsid w:val="00262FAC"/>
    <w:rsid w:val="00264E8C"/>
    <w:rsid w:val="00264FA9"/>
    <w:rsid w:val="00266CE5"/>
    <w:rsid w:val="0026718E"/>
    <w:rsid w:val="00267643"/>
    <w:rsid w:val="00267FB9"/>
    <w:rsid w:val="002704E6"/>
    <w:rsid w:val="002714F8"/>
    <w:rsid w:val="00272645"/>
    <w:rsid w:val="002727D6"/>
    <w:rsid w:val="00274EA9"/>
    <w:rsid w:val="00275AB6"/>
    <w:rsid w:val="00281D1B"/>
    <w:rsid w:val="00285DAF"/>
    <w:rsid w:val="0028651F"/>
    <w:rsid w:val="00286F76"/>
    <w:rsid w:val="00290467"/>
    <w:rsid w:val="00290660"/>
    <w:rsid w:val="00290A57"/>
    <w:rsid w:val="00291216"/>
    <w:rsid w:val="00292CF5"/>
    <w:rsid w:val="00293B16"/>
    <w:rsid w:val="00293BB0"/>
    <w:rsid w:val="0029483D"/>
    <w:rsid w:val="002957B8"/>
    <w:rsid w:val="0029747F"/>
    <w:rsid w:val="002A0500"/>
    <w:rsid w:val="002A0564"/>
    <w:rsid w:val="002A30A3"/>
    <w:rsid w:val="002A407E"/>
    <w:rsid w:val="002A4AA0"/>
    <w:rsid w:val="002A5155"/>
    <w:rsid w:val="002A5562"/>
    <w:rsid w:val="002A5DB8"/>
    <w:rsid w:val="002A5FEB"/>
    <w:rsid w:val="002A6024"/>
    <w:rsid w:val="002A6C44"/>
    <w:rsid w:val="002A6D43"/>
    <w:rsid w:val="002A6F07"/>
    <w:rsid w:val="002B0429"/>
    <w:rsid w:val="002B0534"/>
    <w:rsid w:val="002B06A7"/>
    <w:rsid w:val="002B1104"/>
    <w:rsid w:val="002B19DF"/>
    <w:rsid w:val="002B1EDB"/>
    <w:rsid w:val="002B2588"/>
    <w:rsid w:val="002B2EA6"/>
    <w:rsid w:val="002B30E8"/>
    <w:rsid w:val="002B34ED"/>
    <w:rsid w:val="002B3956"/>
    <w:rsid w:val="002B4074"/>
    <w:rsid w:val="002B4238"/>
    <w:rsid w:val="002B45BE"/>
    <w:rsid w:val="002B61EA"/>
    <w:rsid w:val="002B65F5"/>
    <w:rsid w:val="002C010B"/>
    <w:rsid w:val="002C0B9B"/>
    <w:rsid w:val="002C11C6"/>
    <w:rsid w:val="002C1CDD"/>
    <w:rsid w:val="002C2231"/>
    <w:rsid w:val="002C2454"/>
    <w:rsid w:val="002C5E43"/>
    <w:rsid w:val="002C6F93"/>
    <w:rsid w:val="002D0C57"/>
    <w:rsid w:val="002D1F7F"/>
    <w:rsid w:val="002E02C6"/>
    <w:rsid w:val="002E11A0"/>
    <w:rsid w:val="002E34BF"/>
    <w:rsid w:val="002E35A3"/>
    <w:rsid w:val="002E55F6"/>
    <w:rsid w:val="002E6C88"/>
    <w:rsid w:val="002E78B7"/>
    <w:rsid w:val="002E7B86"/>
    <w:rsid w:val="002F01C4"/>
    <w:rsid w:val="002F18D1"/>
    <w:rsid w:val="002F19F4"/>
    <w:rsid w:val="002F227B"/>
    <w:rsid w:val="002F26B1"/>
    <w:rsid w:val="002F34D2"/>
    <w:rsid w:val="002F3D4F"/>
    <w:rsid w:val="002F3D71"/>
    <w:rsid w:val="002F461A"/>
    <w:rsid w:val="002F5C73"/>
    <w:rsid w:val="002F631F"/>
    <w:rsid w:val="002F6D71"/>
    <w:rsid w:val="002F7089"/>
    <w:rsid w:val="00300BCE"/>
    <w:rsid w:val="00300F6D"/>
    <w:rsid w:val="00301149"/>
    <w:rsid w:val="0030250E"/>
    <w:rsid w:val="00304DD5"/>
    <w:rsid w:val="0030726F"/>
    <w:rsid w:val="00307EC4"/>
    <w:rsid w:val="00310043"/>
    <w:rsid w:val="003107FC"/>
    <w:rsid w:val="00311048"/>
    <w:rsid w:val="00311FDC"/>
    <w:rsid w:val="00312239"/>
    <w:rsid w:val="00314FFB"/>
    <w:rsid w:val="003175C0"/>
    <w:rsid w:val="00317D3C"/>
    <w:rsid w:val="00320705"/>
    <w:rsid w:val="003208B4"/>
    <w:rsid w:val="003220E3"/>
    <w:rsid w:val="00322A22"/>
    <w:rsid w:val="003251F8"/>
    <w:rsid w:val="00326E01"/>
    <w:rsid w:val="003270FA"/>
    <w:rsid w:val="00331619"/>
    <w:rsid w:val="0033217E"/>
    <w:rsid w:val="00332ECC"/>
    <w:rsid w:val="003336C6"/>
    <w:rsid w:val="00334A4F"/>
    <w:rsid w:val="0033513D"/>
    <w:rsid w:val="00335307"/>
    <w:rsid w:val="00336D6F"/>
    <w:rsid w:val="00341D85"/>
    <w:rsid w:val="00343465"/>
    <w:rsid w:val="00344F79"/>
    <w:rsid w:val="00345347"/>
    <w:rsid w:val="003459EC"/>
    <w:rsid w:val="003505F2"/>
    <w:rsid w:val="00351464"/>
    <w:rsid w:val="00351832"/>
    <w:rsid w:val="00351A28"/>
    <w:rsid w:val="00351EFD"/>
    <w:rsid w:val="003527D9"/>
    <w:rsid w:val="00352D18"/>
    <w:rsid w:val="00352FEB"/>
    <w:rsid w:val="003541F9"/>
    <w:rsid w:val="003556E5"/>
    <w:rsid w:val="00355BDB"/>
    <w:rsid w:val="00356C65"/>
    <w:rsid w:val="003571AE"/>
    <w:rsid w:val="00357A8E"/>
    <w:rsid w:val="00357B03"/>
    <w:rsid w:val="00360C41"/>
    <w:rsid w:val="00360F95"/>
    <w:rsid w:val="0036141D"/>
    <w:rsid w:val="00361B1A"/>
    <w:rsid w:val="00364E87"/>
    <w:rsid w:val="00373138"/>
    <w:rsid w:val="00373910"/>
    <w:rsid w:val="00375111"/>
    <w:rsid w:val="003773CB"/>
    <w:rsid w:val="003813C7"/>
    <w:rsid w:val="00381831"/>
    <w:rsid w:val="0038201F"/>
    <w:rsid w:val="003828F2"/>
    <w:rsid w:val="0038607C"/>
    <w:rsid w:val="00387319"/>
    <w:rsid w:val="00387339"/>
    <w:rsid w:val="0038760E"/>
    <w:rsid w:val="00390C87"/>
    <w:rsid w:val="00391D94"/>
    <w:rsid w:val="00394BAE"/>
    <w:rsid w:val="0039512C"/>
    <w:rsid w:val="00397C56"/>
    <w:rsid w:val="003A092B"/>
    <w:rsid w:val="003A0982"/>
    <w:rsid w:val="003A173E"/>
    <w:rsid w:val="003A1C3A"/>
    <w:rsid w:val="003A1E8E"/>
    <w:rsid w:val="003A578F"/>
    <w:rsid w:val="003A62AF"/>
    <w:rsid w:val="003A74F4"/>
    <w:rsid w:val="003B029A"/>
    <w:rsid w:val="003B098F"/>
    <w:rsid w:val="003B0E2A"/>
    <w:rsid w:val="003B175B"/>
    <w:rsid w:val="003B1ED3"/>
    <w:rsid w:val="003B2E99"/>
    <w:rsid w:val="003B2FB4"/>
    <w:rsid w:val="003B359F"/>
    <w:rsid w:val="003B470B"/>
    <w:rsid w:val="003B4F7E"/>
    <w:rsid w:val="003B5A25"/>
    <w:rsid w:val="003B79AF"/>
    <w:rsid w:val="003C0032"/>
    <w:rsid w:val="003C1362"/>
    <w:rsid w:val="003C2462"/>
    <w:rsid w:val="003C2B4C"/>
    <w:rsid w:val="003C33C4"/>
    <w:rsid w:val="003C35CB"/>
    <w:rsid w:val="003C39CB"/>
    <w:rsid w:val="003C4557"/>
    <w:rsid w:val="003C4BEB"/>
    <w:rsid w:val="003C503C"/>
    <w:rsid w:val="003C53AD"/>
    <w:rsid w:val="003C5D29"/>
    <w:rsid w:val="003C661A"/>
    <w:rsid w:val="003C6D52"/>
    <w:rsid w:val="003D07C0"/>
    <w:rsid w:val="003D1749"/>
    <w:rsid w:val="003D2802"/>
    <w:rsid w:val="003D32BA"/>
    <w:rsid w:val="003D3DF0"/>
    <w:rsid w:val="003D3E55"/>
    <w:rsid w:val="003D41AA"/>
    <w:rsid w:val="003D4AE1"/>
    <w:rsid w:val="003D4FE8"/>
    <w:rsid w:val="003D615F"/>
    <w:rsid w:val="003D64B5"/>
    <w:rsid w:val="003D6B2E"/>
    <w:rsid w:val="003D7733"/>
    <w:rsid w:val="003E195A"/>
    <w:rsid w:val="003E3ED9"/>
    <w:rsid w:val="003E7332"/>
    <w:rsid w:val="003F0BF3"/>
    <w:rsid w:val="003F14D9"/>
    <w:rsid w:val="003F1AAB"/>
    <w:rsid w:val="003F1E0D"/>
    <w:rsid w:val="003F36F6"/>
    <w:rsid w:val="003F43D6"/>
    <w:rsid w:val="004017AC"/>
    <w:rsid w:val="00402520"/>
    <w:rsid w:val="00402D96"/>
    <w:rsid w:val="00403E7C"/>
    <w:rsid w:val="00404CCF"/>
    <w:rsid w:val="0040668B"/>
    <w:rsid w:val="004106C7"/>
    <w:rsid w:val="0041238A"/>
    <w:rsid w:val="00412503"/>
    <w:rsid w:val="00412AE3"/>
    <w:rsid w:val="0041383A"/>
    <w:rsid w:val="0041647E"/>
    <w:rsid w:val="004164EB"/>
    <w:rsid w:val="0041744E"/>
    <w:rsid w:val="00420F4E"/>
    <w:rsid w:val="00422B45"/>
    <w:rsid w:val="00423F06"/>
    <w:rsid w:val="00424488"/>
    <w:rsid w:val="0042553D"/>
    <w:rsid w:val="00425B79"/>
    <w:rsid w:val="0043049D"/>
    <w:rsid w:val="00432080"/>
    <w:rsid w:val="004324C3"/>
    <w:rsid w:val="00433523"/>
    <w:rsid w:val="00433A3F"/>
    <w:rsid w:val="00433D14"/>
    <w:rsid w:val="00434600"/>
    <w:rsid w:val="00434944"/>
    <w:rsid w:val="0043656A"/>
    <w:rsid w:val="0043667A"/>
    <w:rsid w:val="00436E5C"/>
    <w:rsid w:val="00440CD6"/>
    <w:rsid w:val="004410FF"/>
    <w:rsid w:val="00441AB4"/>
    <w:rsid w:val="00442B89"/>
    <w:rsid w:val="00447B89"/>
    <w:rsid w:val="004517FC"/>
    <w:rsid w:val="004547E9"/>
    <w:rsid w:val="00454C0D"/>
    <w:rsid w:val="004558D1"/>
    <w:rsid w:val="004567EE"/>
    <w:rsid w:val="004575AE"/>
    <w:rsid w:val="00460272"/>
    <w:rsid w:val="00460991"/>
    <w:rsid w:val="00461275"/>
    <w:rsid w:val="00461D51"/>
    <w:rsid w:val="00464169"/>
    <w:rsid w:val="0046728F"/>
    <w:rsid w:val="00467CDF"/>
    <w:rsid w:val="004702E1"/>
    <w:rsid w:val="0047042F"/>
    <w:rsid w:val="00470E00"/>
    <w:rsid w:val="00471D3B"/>
    <w:rsid w:val="0047207D"/>
    <w:rsid w:val="004724A7"/>
    <w:rsid w:val="00474ADA"/>
    <w:rsid w:val="00476851"/>
    <w:rsid w:val="004828CE"/>
    <w:rsid w:val="00483E11"/>
    <w:rsid w:val="00485054"/>
    <w:rsid w:val="004852A6"/>
    <w:rsid w:val="00491C06"/>
    <w:rsid w:val="00491C4B"/>
    <w:rsid w:val="00492334"/>
    <w:rsid w:val="00493499"/>
    <w:rsid w:val="0049398A"/>
    <w:rsid w:val="004960F3"/>
    <w:rsid w:val="00496A18"/>
    <w:rsid w:val="00497852"/>
    <w:rsid w:val="004A2B49"/>
    <w:rsid w:val="004A4556"/>
    <w:rsid w:val="004A5E88"/>
    <w:rsid w:val="004A76E6"/>
    <w:rsid w:val="004A79A0"/>
    <w:rsid w:val="004B007F"/>
    <w:rsid w:val="004B0E8F"/>
    <w:rsid w:val="004B35E5"/>
    <w:rsid w:val="004B77F4"/>
    <w:rsid w:val="004B7D4E"/>
    <w:rsid w:val="004C0E32"/>
    <w:rsid w:val="004C18C6"/>
    <w:rsid w:val="004C3C08"/>
    <w:rsid w:val="004C41C5"/>
    <w:rsid w:val="004C529B"/>
    <w:rsid w:val="004C5695"/>
    <w:rsid w:val="004C5DB2"/>
    <w:rsid w:val="004C6555"/>
    <w:rsid w:val="004C694F"/>
    <w:rsid w:val="004C6D43"/>
    <w:rsid w:val="004C7928"/>
    <w:rsid w:val="004D088A"/>
    <w:rsid w:val="004D0A13"/>
    <w:rsid w:val="004D215D"/>
    <w:rsid w:val="004D2D4F"/>
    <w:rsid w:val="004D3487"/>
    <w:rsid w:val="004D52BE"/>
    <w:rsid w:val="004D5428"/>
    <w:rsid w:val="004D6F99"/>
    <w:rsid w:val="004E0467"/>
    <w:rsid w:val="004E0C4D"/>
    <w:rsid w:val="004E1947"/>
    <w:rsid w:val="004E1E73"/>
    <w:rsid w:val="004E3E9B"/>
    <w:rsid w:val="004E5D80"/>
    <w:rsid w:val="004E6F43"/>
    <w:rsid w:val="004E72D7"/>
    <w:rsid w:val="004E770B"/>
    <w:rsid w:val="004E7951"/>
    <w:rsid w:val="004F25A7"/>
    <w:rsid w:val="004F2AD9"/>
    <w:rsid w:val="004F4123"/>
    <w:rsid w:val="004F6D3C"/>
    <w:rsid w:val="004F744D"/>
    <w:rsid w:val="00500B36"/>
    <w:rsid w:val="00502E7B"/>
    <w:rsid w:val="00502F32"/>
    <w:rsid w:val="0050686A"/>
    <w:rsid w:val="0050783C"/>
    <w:rsid w:val="005102ED"/>
    <w:rsid w:val="00510CF3"/>
    <w:rsid w:val="00512650"/>
    <w:rsid w:val="0051418E"/>
    <w:rsid w:val="00515750"/>
    <w:rsid w:val="0051604C"/>
    <w:rsid w:val="005170E4"/>
    <w:rsid w:val="0051764B"/>
    <w:rsid w:val="00521737"/>
    <w:rsid w:val="00521F34"/>
    <w:rsid w:val="005237D0"/>
    <w:rsid w:val="00523A4C"/>
    <w:rsid w:val="00523B4D"/>
    <w:rsid w:val="005241C9"/>
    <w:rsid w:val="00524519"/>
    <w:rsid w:val="005265AF"/>
    <w:rsid w:val="00527685"/>
    <w:rsid w:val="005276C9"/>
    <w:rsid w:val="00527AD2"/>
    <w:rsid w:val="00530106"/>
    <w:rsid w:val="0053052E"/>
    <w:rsid w:val="0053067D"/>
    <w:rsid w:val="00531DE7"/>
    <w:rsid w:val="005322DC"/>
    <w:rsid w:val="00532FE0"/>
    <w:rsid w:val="0053382C"/>
    <w:rsid w:val="00533BCE"/>
    <w:rsid w:val="0053427D"/>
    <w:rsid w:val="005342BA"/>
    <w:rsid w:val="00534E41"/>
    <w:rsid w:val="005352B7"/>
    <w:rsid w:val="0053544F"/>
    <w:rsid w:val="00535941"/>
    <w:rsid w:val="00540C29"/>
    <w:rsid w:val="00540F6D"/>
    <w:rsid w:val="00541FDB"/>
    <w:rsid w:val="00542B7B"/>
    <w:rsid w:val="00542EE5"/>
    <w:rsid w:val="005444B2"/>
    <w:rsid w:val="00545A7A"/>
    <w:rsid w:val="00546257"/>
    <w:rsid w:val="005466B6"/>
    <w:rsid w:val="0054715A"/>
    <w:rsid w:val="005479F7"/>
    <w:rsid w:val="005501A2"/>
    <w:rsid w:val="00550269"/>
    <w:rsid w:val="00550719"/>
    <w:rsid w:val="00550A56"/>
    <w:rsid w:val="005522BA"/>
    <w:rsid w:val="0055269D"/>
    <w:rsid w:val="005539B3"/>
    <w:rsid w:val="005543C5"/>
    <w:rsid w:val="00554E23"/>
    <w:rsid w:val="0055556D"/>
    <w:rsid w:val="00556134"/>
    <w:rsid w:val="005563F6"/>
    <w:rsid w:val="00556525"/>
    <w:rsid w:val="00556B22"/>
    <w:rsid w:val="00556B7F"/>
    <w:rsid w:val="005570FC"/>
    <w:rsid w:val="0056012D"/>
    <w:rsid w:val="0056051B"/>
    <w:rsid w:val="00562C44"/>
    <w:rsid w:val="005632D9"/>
    <w:rsid w:val="00565D58"/>
    <w:rsid w:val="00565EF2"/>
    <w:rsid w:val="00567427"/>
    <w:rsid w:val="00567EEB"/>
    <w:rsid w:val="005729BB"/>
    <w:rsid w:val="00573E9A"/>
    <w:rsid w:val="00575D4D"/>
    <w:rsid w:val="00576FE8"/>
    <w:rsid w:val="00577C80"/>
    <w:rsid w:val="00582090"/>
    <w:rsid w:val="005820AC"/>
    <w:rsid w:val="005823F9"/>
    <w:rsid w:val="00586E1F"/>
    <w:rsid w:val="00587B1E"/>
    <w:rsid w:val="005900F6"/>
    <w:rsid w:val="00592507"/>
    <w:rsid w:val="005929CB"/>
    <w:rsid w:val="00594918"/>
    <w:rsid w:val="00594BBB"/>
    <w:rsid w:val="00594D00"/>
    <w:rsid w:val="0059570E"/>
    <w:rsid w:val="005A2D28"/>
    <w:rsid w:val="005A389B"/>
    <w:rsid w:val="005A462C"/>
    <w:rsid w:val="005A61F7"/>
    <w:rsid w:val="005B1A9A"/>
    <w:rsid w:val="005B2334"/>
    <w:rsid w:val="005B34BF"/>
    <w:rsid w:val="005B4786"/>
    <w:rsid w:val="005B7096"/>
    <w:rsid w:val="005B7274"/>
    <w:rsid w:val="005B7962"/>
    <w:rsid w:val="005C1836"/>
    <w:rsid w:val="005C1C69"/>
    <w:rsid w:val="005C31EC"/>
    <w:rsid w:val="005C43D4"/>
    <w:rsid w:val="005C4493"/>
    <w:rsid w:val="005C44A2"/>
    <w:rsid w:val="005C5326"/>
    <w:rsid w:val="005C55CF"/>
    <w:rsid w:val="005C5719"/>
    <w:rsid w:val="005C5BF6"/>
    <w:rsid w:val="005C6F2D"/>
    <w:rsid w:val="005C7006"/>
    <w:rsid w:val="005C7E51"/>
    <w:rsid w:val="005D04EA"/>
    <w:rsid w:val="005D07FB"/>
    <w:rsid w:val="005D0C3C"/>
    <w:rsid w:val="005D0F8C"/>
    <w:rsid w:val="005D247E"/>
    <w:rsid w:val="005D3791"/>
    <w:rsid w:val="005E120B"/>
    <w:rsid w:val="005E126E"/>
    <w:rsid w:val="005E2AD2"/>
    <w:rsid w:val="005E2D73"/>
    <w:rsid w:val="005E4BC6"/>
    <w:rsid w:val="005E4F20"/>
    <w:rsid w:val="005E5EE9"/>
    <w:rsid w:val="005E6196"/>
    <w:rsid w:val="005F2A2B"/>
    <w:rsid w:val="005F4D81"/>
    <w:rsid w:val="005F4EE7"/>
    <w:rsid w:val="005F5740"/>
    <w:rsid w:val="005F5B9A"/>
    <w:rsid w:val="005F6C4D"/>
    <w:rsid w:val="005F7659"/>
    <w:rsid w:val="00601544"/>
    <w:rsid w:val="00602437"/>
    <w:rsid w:val="00602C5A"/>
    <w:rsid w:val="00603BE3"/>
    <w:rsid w:val="00604B05"/>
    <w:rsid w:val="00610CAB"/>
    <w:rsid w:val="006122FB"/>
    <w:rsid w:val="006131A0"/>
    <w:rsid w:val="00613A47"/>
    <w:rsid w:val="006162A7"/>
    <w:rsid w:val="00616491"/>
    <w:rsid w:val="00617144"/>
    <w:rsid w:val="00617AA2"/>
    <w:rsid w:val="00620630"/>
    <w:rsid w:val="00620933"/>
    <w:rsid w:val="00620D50"/>
    <w:rsid w:val="00621351"/>
    <w:rsid w:val="00622EC4"/>
    <w:rsid w:val="0062359E"/>
    <w:rsid w:val="00624B52"/>
    <w:rsid w:val="00624EAC"/>
    <w:rsid w:val="00626491"/>
    <w:rsid w:val="00626C69"/>
    <w:rsid w:val="00627758"/>
    <w:rsid w:val="00630095"/>
    <w:rsid w:val="00631260"/>
    <w:rsid w:val="006315EF"/>
    <w:rsid w:val="00633EFD"/>
    <w:rsid w:val="006343F4"/>
    <w:rsid w:val="00634A81"/>
    <w:rsid w:val="0063701A"/>
    <w:rsid w:val="00637FEA"/>
    <w:rsid w:val="00640B78"/>
    <w:rsid w:val="00641227"/>
    <w:rsid w:val="0064157C"/>
    <w:rsid w:val="00641D11"/>
    <w:rsid w:val="00641D92"/>
    <w:rsid w:val="006423A9"/>
    <w:rsid w:val="00643312"/>
    <w:rsid w:val="006443B1"/>
    <w:rsid w:val="00644412"/>
    <w:rsid w:val="00646268"/>
    <w:rsid w:val="00647856"/>
    <w:rsid w:val="00650110"/>
    <w:rsid w:val="006512EF"/>
    <w:rsid w:val="00651ED6"/>
    <w:rsid w:val="006528D2"/>
    <w:rsid w:val="00652FF5"/>
    <w:rsid w:val="0065443F"/>
    <w:rsid w:val="00654A66"/>
    <w:rsid w:val="00655808"/>
    <w:rsid w:val="0065658C"/>
    <w:rsid w:val="006574EA"/>
    <w:rsid w:val="00657816"/>
    <w:rsid w:val="006608AC"/>
    <w:rsid w:val="00661774"/>
    <w:rsid w:val="006624E9"/>
    <w:rsid w:val="00664DCC"/>
    <w:rsid w:val="00664F03"/>
    <w:rsid w:val="00665F02"/>
    <w:rsid w:val="00667223"/>
    <w:rsid w:val="00670006"/>
    <w:rsid w:val="00670701"/>
    <w:rsid w:val="0067097D"/>
    <w:rsid w:val="00670CE5"/>
    <w:rsid w:val="0067120B"/>
    <w:rsid w:val="00671F68"/>
    <w:rsid w:val="006746F1"/>
    <w:rsid w:val="006755B1"/>
    <w:rsid w:val="006755B6"/>
    <w:rsid w:val="00676B0C"/>
    <w:rsid w:val="00677E14"/>
    <w:rsid w:val="006807D5"/>
    <w:rsid w:val="00682A04"/>
    <w:rsid w:val="00686053"/>
    <w:rsid w:val="00686477"/>
    <w:rsid w:val="00687188"/>
    <w:rsid w:val="00687A84"/>
    <w:rsid w:val="00692067"/>
    <w:rsid w:val="006923D3"/>
    <w:rsid w:val="0069242D"/>
    <w:rsid w:val="006958DB"/>
    <w:rsid w:val="006959FF"/>
    <w:rsid w:val="00696DB3"/>
    <w:rsid w:val="006971FC"/>
    <w:rsid w:val="006A1772"/>
    <w:rsid w:val="006A5E48"/>
    <w:rsid w:val="006A5E5B"/>
    <w:rsid w:val="006A5F47"/>
    <w:rsid w:val="006A7C3E"/>
    <w:rsid w:val="006B22D7"/>
    <w:rsid w:val="006B34EF"/>
    <w:rsid w:val="006B4098"/>
    <w:rsid w:val="006B4BC7"/>
    <w:rsid w:val="006B4E88"/>
    <w:rsid w:val="006B58F6"/>
    <w:rsid w:val="006B6112"/>
    <w:rsid w:val="006B66F8"/>
    <w:rsid w:val="006B6AA0"/>
    <w:rsid w:val="006C04F6"/>
    <w:rsid w:val="006C32B5"/>
    <w:rsid w:val="006C3698"/>
    <w:rsid w:val="006C3D61"/>
    <w:rsid w:val="006C41B3"/>
    <w:rsid w:val="006C52F9"/>
    <w:rsid w:val="006C55E2"/>
    <w:rsid w:val="006C68A8"/>
    <w:rsid w:val="006C6FCE"/>
    <w:rsid w:val="006D0247"/>
    <w:rsid w:val="006D0735"/>
    <w:rsid w:val="006D095C"/>
    <w:rsid w:val="006D1448"/>
    <w:rsid w:val="006D1D3F"/>
    <w:rsid w:val="006D4B44"/>
    <w:rsid w:val="006D4EC8"/>
    <w:rsid w:val="006D50A8"/>
    <w:rsid w:val="006D6473"/>
    <w:rsid w:val="006D67D5"/>
    <w:rsid w:val="006E0056"/>
    <w:rsid w:val="006E4353"/>
    <w:rsid w:val="006E4B60"/>
    <w:rsid w:val="006E55AA"/>
    <w:rsid w:val="006F0C3A"/>
    <w:rsid w:val="006F0F23"/>
    <w:rsid w:val="006F3515"/>
    <w:rsid w:val="006F4DD6"/>
    <w:rsid w:val="006F519E"/>
    <w:rsid w:val="006F5808"/>
    <w:rsid w:val="006F5FB5"/>
    <w:rsid w:val="006F6A02"/>
    <w:rsid w:val="00700305"/>
    <w:rsid w:val="007013D8"/>
    <w:rsid w:val="0070258E"/>
    <w:rsid w:val="00702AA2"/>
    <w:rsid w:val="00703293"/>
    <w:rsid w:val="00703FB7"/>
    <w:rsid w:val="007040D9"/>
    <w:rsid w:val="00704810"/>
    <w:rsid w:val="00704C42"/>
    <w:rsid w:val="00705668"/>
    <w:rsid w:val="00706B6F"/>
    <w:rsid w:val="00706F80"/>
    <w:rsid w:val="00707770"/>
    <w:rsid w:val="007103BD"/>
    <w:rsid w:val="00710F00"/>
    <w:rsid w:val="007113F0"/>
    <w:rsid w:val="007138BB"/>
    <w:rsid w:val="00713F85"/>
    <w:rsid w:val="0071498F"/>
    <w:rsid w:val="00715482"/>
    <w:rsid w:val="00715BD9"/>
    <w:rsid w:val="00720BE2"/>
    <w:rsid w:val="00721996"/>
    <w:rsid w:val="00721A75"/>
    <w:rsid w:val="00722C6A"/>
    <w:rsid w:val="00723350"/>
    <w:rsid w:val="0072434B"/>
    <w:rsid w:val="00724C78"/>
    <w:rsid w:val="00724D51"/>
    <w:rsid w:val="00726FF6"/>
    <w:rsid w:val="00730657"/>
    <w:rsid w:val="0073235B"/>
    <w:rsid w:val="007348F7"/>
    <w:rsid w:val="007374BA"/>
    <w:rsid w:val="00737B49"/>
    <w:rsid w:val="007423CA"/>
    <w:rsid w:val="007431EA"/>
    <w:rsid w:val="0074398C"/>
    <w:rsid w:val="007467DD"/>
    <w:rsid w:val="007474AA"/>
    <w:rsid w:val="00750663"/>
    <w:rsid w:val="00750805"/>
    <w:rsid w:val="00751BDB"/>
    <w:rsid w:val="00755EFE"/>
    <w:rsid w:val="00756BD2"/>
    <w:rsid w:val="0075742E"/>
    <w:rsid w:val="007605DF"/>
    <w:rsid w:val="00760B47"/>
    <w:rsid w:val="00760DE3"/>
    <w:rsid w:val="00762031"/>
    <w:rsid w:val="00763189"/>
    <w:rsid w:val="00765593"/>
    <w:rsid w:val="00765765"/>
    <w:rsid w:val="007660CF"/>
    <w:rsid w:val="007666A9"/>
    <w:rsid w:val="00766BB3"/>
    <w:rsid w:val="007672BF"/>
    <w:rsid w:val="007701FD"/>
    <w:rsid w:val="00772C67"/>
    <w:rsid w:val="00774732"/>
    <w:rsid w:val="0077611A"/>
    <w:rsid w:val="007774DD"/>
    <w:rsid w:val="00781719"/>
    <w:rsid w:val="00782F71"/>
    <w:rsid w:val="00784523"/>
    <w:rsid w:val="007856E9"/>
    <w:rsid w:val="0078574C"/>
    <w:rsid w:val="00785CCD"/>
    <w:rsid w:val="00786017"/>
    <w:rsid w:val="00786664"/>
    <w:rsid w:val="00786C02"/>
    <w:rsid w:val="0078718C"/>
    <w:rsid w:val="00787EE5"/>
    <w:rsid w:val="00787F21"/>
    <w:rsid w:val="0079257D"/>
    <w:rsid w:val="007932A1"/>
    <w:rsid w:val="00793922"/>
    <w:rsid w:val="00793EB2"/>
    <w:rsid w:val="00794916"/>
    <w:rsid w:val="00794C5F"/>
    <w:rsid w:val="00797879"/>
    <w:rsid w:val="007A1649"/>
    <w:rsid w:val="007A3F07"/>
    <w:rsid w:val="007A5ADD"/>
    <w:rsid w:val="007B1608"/>
    <w:rsid w:val="007B1790"/>
    <w:rsid w:val="007B2296"/>
    <w:rsid w:val="007B26E3"/>
    <w:rsid w:val="007B27A0"/>
    <w:rsid w:val="007B2BB9"/>
    <w:rsid w:val="007B31B9"/>
    <w:rsid w:val="007B4E82"/>
    <w:rsid w:val="007B50BF"/>
    <w:rsid w:val="007B6CC5"/>
    <w:rsid w:val="007C000B"/>
    <w:rsid w:val="007C015E"/>
    <w:rsid w:val="007C0E5A"/>
    <w:rsid w:val="007C3DE0"/>
    <w:rsid w:val="007C4CD6"/>
    <w:rsid w:val="007C4EF1"/>
    <w:rsid w:val="007C56C9"/>
    <w:rsid w:val="007C58B5"/>
    <w:rsid w:val="007C644A"/>
    <w:rsid w:val="007C6933"/>
    <w:rsid w:val="007C7363"/>
    <w:rsid w:val="007C7459"/>
    <w:rsid w:val="007C7A79"/>
    <w:rsid w:val="007C7DEF"/>
    <w:rsid w:val="007D113F"/>
    <w:rsid w:val="007D1352"/>
    <w:rsid w:val="007D25E2"/>
    <w:rsid w:val="007D270E"/>
    <w:rsid w:val="007D3DA2"/>
    <w:rsid w:val="007D47D8"/>
    <w:rsid w:val="007D5874"/>
    <w:rsid w:val="007D6C3A"/>
    <w:rsid w:val="007D71C8"/>
    <w:rsid w:val="007D7662"/>
    <w:rsid w:val="007E14FA"/>
    <w:rsid w:val="007E19E8"/>
    <w:rsid w:val="007E1CB2"/>
    <w:rsid w:val="007E570D"/>
    <w:rsid w:val="007E5CC1"/>
    <w:rsid w:val="007E70E8"/>
    <w:rsid w:val="007E781F"/>
    <w:rsid w:val="007F033C"/>
    <w:rsid w:val="007F0C69"/>
    <w:rsid w:val="007F0F81"/>
    <w:rsid w:val="007F1F66"/>
    <w:rsid w:val="007F7040"/>
    <w:rsid w:val="0080079D"/>
    <w:rsid w:val="008027B3"/>
    <w:rsid w:val="008057BD"/>
    <w:rsid w:val="00806188"/>
    <w:rsid w:val="008073B4"/>
    <w:rsid w:val="00814371"/>
    <w:rsid w:val="008144A7"/>
    <w:rsid w:val="00814AAB"/>
    <w:rsid w:val="008174E1"/>
    <w:rsid w:val="008174EF"/>
    <w:rsid w:val="00817B99"/>
    <w:rsid w:val="008200B3"/>
    <w:rsid w:val="00820DE0"/>
    <w:rsid w:val="0082134E"/>
    <w:rsid w:val="00821976"/>
    <w:rsid w:val="0082397D"/>
    <w:rsid w:val="0082456A"/>
    <w:rsid w:val="00824FD7"/>
    <w:rsid w:val="00825B15"/>
    <w:rsid w:val="008261EB"/>
    <w:rsid w:val="00827D36"/>
    <w:rsid w:val="008302CB"/>
    <w:rsid w:val="00832EB7"/>
    <w:rsid w:val="00833146"/>
    <w:rsid w:val="0083392B"/>
    <w:rsid w:val="00835669"/>
    <w:rsid w:val="00836193"/>
    <w:rsid w:val="00840A5C"/>
    <w:rsid w:val="00843660"/>
    <w:rsid w:val="00843AD2"/>
    <w:rsid w:val="00845CA4"/>
    <w:rsid w:val="00845D29"/>
    <w:rsid w:val="00852C9D"/>
    <w:rsid w:val="00853C2C"/>
    <w:rsid w:val="00854FFE"/>
    <w:rsid w:val="00857675"/>
    <w:rsid w:val="0085786F"/>
    <w:rsid w:val="00862261"/>
    <w:rsid w:val="0086337C"/>
    <w:rsid w:val="00866923"/>
    <w:rsid w:val="00867BBD"/>
    <w:rsid w:val="00870E61"/>
    <w:rsid w:val="00870EC1"/>
    <w:rsid w:val="008714F8"/>
    <w:rsid w:val="00872759"/>
    <w:rsid w:val="0087389B"/>
    <w:rsid w:val="0087516E"/>
    <w:rsid w:val="008759B7"/>
    <w:rsid w:val="00876911"/>
    <w:rsid w:val="00876BE3"/>
    <w:rsid w:val="00877C03"/>
    <w:rsid w:val="008809DB"/>
    <w:rsid w:val="0088376A"/>
    <w:rsid w:val="008839CF"/>
    <w:rsid w:val="00884675"/>
    <w:rsid w:val="00886D8A"/>
    <w:rsid w:val="0088724F"/>
    <w:rsid w:val="00890255"/>
    <w:rsid w:val="0089111C"/>
    <w:rsid w:val="00892797"/>
    <w:rsid w:val="00895EBC"/>
    <w:rsid w:val="00896B8A"/>
    <w:rsid w:val="00897652"/>
    <w:rsid w:val="00897704"/>
    <w:rsid w:val="00897A4A"/>
    <w:rsid w:val="008A2C83"/>
    <w:rsid w:val="008A2FC9"/>
    <w:rsid w:val="008A3371"/>
    <w:rsid w:val="008A4BE1"/>
    <w:rsid w:val="008A4FA7"/>
    <w:rsid w:val="008B044E"/>
    <w:rsid w:val="008B11C2"/>
    <w:rsid w:val="008B2C4F"/>
    <w:rsid w:val="008B2C52"/>
    <w:rsid w:val="008B5C9F"/>
    <w:rsid w:val="008C0797"/>
    <w:rsid w:val="008C2019"/>
    <w:rsid w:val="008C331F"/>
    <w:rsid w:val="008C3A8F"/>
    <w:rsid w:val="008C43A1"/>
    <w:rsid w:val="008C4B01"/>
    <w:rsid w:val="008C6F7B"/>
    <w:rsid w:val="008D256B"/>
    <w:rsid w:val="008D2730"/>
    <w:rsid w:val="008D30D6"/>
    <w:rsid w:val="008D3A52"/>
    <w:rsid w:val="008D4571"/>
    <w:rsid w:val="008D55F9"/>
    <w:rsid w:val="008D5A7C"/>
    <w:rsid w:val="008D60B2"/>
    <w:rsid w:val="008D7454"/>
    <w:rsid w:val="008D768D"/>
    <w:rsid w:val="008D7A92"/>
    <w:rsid w:val="008D7BAD"/>
    <w:rsid w:val="008D7CB8"/>
    <w:rsid w:val="008D7FAA"/>
    <w:rsid w:val="008E259B"/>
    <w:rsid w:val="008E2724"/>
    <w:rsid w:val="008E2DC0"/>
    <w:rsid w:val="008E3A33"/>
    <w:rsid w:val="008E444B"/>
    <w:rsid w:val="008E6DE8"/>
    <w:rsid w:val="008E7482"/>
    <w:rsid w:val="008E7DBB"/>
    <w:rsid w:val="008F0442"/>
    <w:rsid w:val="008F056D"/>
    <w:rsid w:val="008F0A5E"/>
    <w:rsid w:val="008F1CF9"/>
    <w:rsid w:val="008F3007"/>
    <w:rsid w:val="008F358C"/>
    <w:rsid w:val="008F5A2B"/>
    <w:rsid w:val="00904179"/>
    <w:rsid w:val="00905EC0"/>
    <w:rsid w:val="0090623B"/>
    <w:rsid w:val="0090642F"/>
    <w:rsid w:val="00907326"/>
    <w:rsid w:val="00907B45"/>
    <w:rsid w:val="00910333"/>
    <w:rsid w:val="00910EE6"/>
    <w:rsid w:val="00911C24"/>
    <w:rsid w:val="00915CE2"/>
    <w:rsid w:val="0091637E"/>
    <w:rsid w:val="00916720"/>
    <w:rsid w:val="00917C46"/>
    <w:rsid w:val="0092003E"/>
    <w:rsid w:val="00920363"/>
    <w:rsid w:val="009208DD"/>
    <w:rsid w:val="00921707"/>
    <w:rsid w:val="009222DD"/>
    <w:rsid w:val="00922A2C"/>
    <w:rsid w:val="00924F9E"/>
    <w:rsid w:val="0092685F"/>
    <w:rsid w:val="00927E60"/>
    <w:rsid w:val="00927EBA"/>
    <w:rsid w:val="00932540"/>
    <w:rsid w:val="00932E20"/>
    <w:rsid w:val="00934C90"/>
    <w:rsid w:val="009353ED"/>
    <w:rsid w:val="00935632"/>
    <w:rsid w:val="00936852"/>
    <w:rsid w:val="00936D3E"/>
    <w:rsid w:val="00940A57"/>
    <w:rsid w:val="00940E03"/>
    <w:rsid w:val="009424E9"/>
    <w:rsid w:val="00942790"/>
    <w:rsid w:val="009436B7"/>
    <w:rsid w:val="00943DF4"/>
    <w:rsid w:val="00947E62"/>
    <w:rsid w:val="009503B4"/>
    <w:rsid w:val="00950B47"/>
    <w:rsid w:val="00950CF4"/>
    <w:rsid w:val="00951652"/>
    <w:rsid w:val="00951746"/>
    <w:rsid w:val="00952192"/>
    <w:rsid w:val="009537C6"/>
    <w:rsid w:val="00954377"/>
    <w:rsid w:val="00954A14"/>
    <w:rsid w:val="00954ACF"/>
    <w:rsid w:val="0095502F"/>
    <w:rsid w:val="00955271"/>
    <w:rsid w:val="009576E3"/>
    <w:rsid w:val="00957857"/>
    <w:rsid w:val="00957CB7"/>
    <w:rsid w:val="00961BB7"/>
    <w:rsid w:val="009620C7"/>
    <w:rsid w:val="00962754"/>
    <w:rsid w:val="0096377F"/>
    <w:rsid w:val="009637D2"/>
    <w:rsid w:val="00964569"/>
    <w:rsid w:val="00965326"/>
    <w:rsid w:val="0096632B"/>
    <w:rsid w:val="00966377"/>
    <w:rsid w:val="00966609"/>
    <w:rsid w:val="00970957"/>
    <w:rsid w:val="0097172C"/>
    <w:rsid w:val="009735D7"/>
    <w:rsid w:val="009738A1"/>
    <w:rsid w:val="00974322"/>
    <w:rsid w:val="00974A55"/>
    <w:rsid w:val="0097562D"/>
    <w:rsid w:val="0098091B"/>
    <w:rsid w:val="00981E56"/>
    <w:rsid w:val="0098275E"/>
    <w:rsid w:val="00983B12"/>
    <w:rsid w:val="00983CE7"/>
    <w:rsid w:val="009843ED"/>
    <w:rsid w:val="00984873"/>
    <w:rsid w:val="00984F9E"/>
    <w:rsid w:val="00986C1E"/>
    <w:rsid w:val="009909AA"/>
    <w:rsid w:val="009910D7"/>
    <w:rsid w:val="00991A69"/>
    <w:rsid w:val="009921E9"/>
    <w:rsid w:val="009929D3"/>
    <w:rsid w:val="00993F67"/>
    <w:rsid w:val="009962B6"/>
    <w:rsid w:val="00997B25"/>
    <w:rsid w:val="009A0571"/>
    <w:rsid w:val="009A0A3E"/>
    <w:rsid w:val="009A3CC1"/>
    <w:rsid w:val="009A443C"/>
    <w:rsid w:val="009A69AC"/>
    <w:rsid w:val="009A6C79"/>
    <w:rsid w:val="009A7884"/>
    <w:rsid w:val="009A7FF7"/>
    <w:rsid w:val="009B091F"/>
    <w:rsid w:val="009B2A22"/>
    <w:rsid w:val="009B3580"/>
    <w:rsid w:val="009B437D"/>
    <w:rsid w:val="009B48A7"/>
    <w:rsid w:val="009B4AFB"/>
    <w:rsid w:val="009B4FC2"/>
    <w:rsid w:val="009B65EB"/>
    <w:rsid w:val="009B6AD3"/>
    <w:rsid w:val="009B6DC8"/>
    <w:rsid w:val="009B7948"/>
    <w:rsid w:val="009B7DB2"/>
    <w:rsid w:val="009C0392"/>
    <w:rsid w:val="009C0E2C"/>
    <w:rsid w:val="009C15D1"/>
    <w:rsid w:val="009C16B9"/>
    <w:rsid w:val="009C22D5"/>
    <w:rsid w:val="009C35AE"/>
    <w:rsid w:val="009C35E2"/>
    <w:rsid w:val="009C3B2B"/>
    <w:rsid w:val="009C3CC3"/>
    <w:rsid w:val="009C49CE"/>
    <w:rsid w:val="009C4D82"/>
    <w:rsid w:val="009C6694"/>
    <w:rsid w:val="009D13E0"/>
    <w:rsid w:val="009D2282"/>
    <w:rsid w:val="009D2B7E"/>
    <w:rsid w:val="009D5103"/>
    <w:rsid w:val="009E040C"/>
    <w:rsid w:val="009E0DEA"/>
    <w:rsid w:val="009E1D04"/>
    <w:rsid w:val="009E3A8B"/>
    <w:rsid w:val="009E537B"/>
    <w:rsid w:val="009E5F47"/>
    <w:rsid w:val="009E718F"/>
    <w:rsid w:val="009F0346"/>
    <w:rsid w:val="009F245C"/>
    <w:rsid w:val="009F4405"/>
    <w:rsid w:val="009F4739"/>
    <w:rsid w:val="009F48D5"/>
    <w:rsid w:val="009F5419"/>
    <w:rsid w:val="009F5DBD"/>
    <w:rsid w:val="009F685A"/>
    <w:rsid w:val="009F7403"/>
    <w:rsid w:val="009F7C23"/>
    <w:rsid w:val="00A00703"/>
    <w:rsid w:val="00A01297"/>
    <w:rsid w:val="00A01365"/>
    <w:rsid w:val="00A01E99"/>
    <w:rsid w:val="00A03D93"/>
    <w:rsid w:val="00A041F2"/>
    <w:rsid w:val="00A05732"/>
    <w:rsid w:val="00A06977"/>
    <w:rsid w:val="00A10769"/>
    <w:rsid w:val="00A10ACE"/>
    <w:rsid w:val="00A12A56"/>
    <w:rsid w:val="00A15B60"/>
    <w:rsid w:val="00A1784C"/>
    <w:rsid w:val="00A20EBA"/>
    <w:rsid w:val="00A21151"/>
    <w:rsid w:val="00A2299A"/>
    <w:rsid w:val="00A236D5"/>
    <w:rsid w:val="00A24260"/>
    <w:rsid w:val="00A25803"/>
    <w:rsid w:val="00A25E24"/>
    <w:rsid w:val="00A27EB6"/>
    <w:rsid w:val="00A27ECE"/>
    <w:rsid w:val="00A3116D"/>
    <w:rsid w:val="00A32362"/>
    <w:rsid w:val="00A32983"/>
    <w:rsid w:val="00A32D44"/>
    <w:rsid w:val="00A363DD"/>
    <w:rsid w:val="00A36CAD"/>
    <w:rsid w:val="00A40461"/>
    <w:rsid w:val="00A40532"/>
    <w:rsid w:val="00A40808"/>
    <w:rsid w:val="00A45156"/>
    <w:rsid w:val="00A455AB"/>
    <w:rsid w:val="00A46538"/>
    <w:rsid w:val="00A46B2D"/>
    <w:rsid w:val="00A47B73"/>
    <w:rsid w:val="00A50670"/>
    <w:rsid w:val="00A50724"/>
    <w:rsid w:val="00A51614"/>
    <w:rsid w:val="00A52547"/>
    <w:rsid w:val="00A52F1F"/>
    <w:rsid w:val="00A536B3"/>
    <w:rsid w:val="00A541A3"/>
    <w:rsid w:val="00A549BC"/>
    <w:rsid w:val="00A54B11"/>
    <w:rsid w:val="00A55131"/>
    <w:rsid w:val="00A55BE0"/>
    <w:rsid w:val="00A55F4B"/>
    <w:rsid w:val="00A56686"/>
    <w:rsid w:val="00A6010F"/>
    <w:rsid w:val="00A60321"/>
    <w:rsid w:val="00A609B0"/>
    <w:rsid w:val="00A67F41"/>
    <w:rsid w:val="00A72FB9"/>
    <w:rsid w:val="00A737C4"/>
    <w:rsid w:val="00A74038"/>
    <w:rsid w:val="00A7403C"/>
    <w:rsid w:val="00A74448"/>
    <w:rsid w:val="00A74878"/>
    <w:rsid w:val="00A749E4"/>
    <w:rsid w:val="00A74A24"/>
    <w:rsid w:val="00A74A72"/>
    <w:rsid w:val="00A75851"/>
    <w:rsid w:val="00A762D4"/>
    <w:rsid w:val="00A80073"/>
    <w:rsid w:val="00A81280"/>
    <w:rsid w:val="00A81B76"/>
    <w:rsid w:val="00A83420"/>
    <w:rsid w:val="00A84341"/>
    <w:rsid w:val="00A85A17"/>
    <w:rsid w:val="00A86EF4"/>
    <w:rsid w:val="00A907CE"/>
    <w:rsid w:val="00A90B71"/>
    <w:rsid w:val="00A90D51"/>
    <w:rsid w:val="00A916C3"/>
    <w:rsid w:val="00A91B21"/>
    <w:rsid w:val="00A92FAE"/>
    <w:rsid w:val="00A939D0"/>
    <w:rsid w:val="00A93A45"/>
    <w:rsid w:val="00A94196"/>
    <w:rsid w:val="00A97842"/>
    <w:rsid w:val="00AA097B"/>
    <w:rsid w:val="00AA0E8B"/>
    <w:rsid w:val="00AA0EF7"/>
    <w:rsid w:val="00AA291D"/>
    <w:rsid w:val="00AA2A75"/>
    <w:rsid w:val="00AA4109"/>
    <w:rsid w:val="00AA45BD"/>
    <w:rsid w:val="00AA5E92"/>
    <w:rsid w:val="00AA6D13"/>
    <w:rsid w:val="00AA792C"/>
    <w:rsid w:val="00AA7ACD"/>
    <w:rsid w:val="00AA7EDF"/>
    <w:rsid w:val="00AB1199"/>
    <w:rsid w:val="00AB198B"/>
    <w:rsid w:val="00AB1AE7"/>
    <w:rsid w:val="00AB3491"/>
    <w:rsid w:val="00AC0D12"/>
    <w:rsid w:val="00AC1286"/>
    <w:rsid w:val="00AC1B4D"/>
    <w:rsid w:val="00AC485D"/>
    <w:rsid w:val="00AC4FD3"/>
    <w:rsid w:val="00AC5F94"/>
    <w:rsid w:val="00AC74EB"/>
    <w:rsid w:val="00AD0F58"/>
    <w:rsid w:val="00AD1710"/>
    <w:rsid w:val="00AD3CD3"/>
    <w:rsid w:val="00AD3F4E"/>
    <w:rsid w:val="00AD4C1C"/>
    <w:rsid w:val="00AD4DB7"/>
    <w:rsid w:val="00AD55BB"/>
    <w:rsid w:val="00AD73BD"/>
    <w:rsid w:val="00AD7DAC"/>
    <w:rsid w:val="00AE0AA6"/>
    <w:rsid w:val="00AE0F9C"/>
    <w:rsid w:val="00AE1AB0"/>
    <w:rsid w:val="00AE3EBA"/>
    <w:rsid w:val="00AE5372"/>
    <w:rsid w:val="00AE55DD"/>
    <w:rsid w:val="00AE583B"/>
    <w:rsid w:val="00AE6D19"/>
    <w:rsid w:val="00AE6FA6"/>
    <w:rsid w:val="00AF12B8"/>
    <w:rsid w:val="00AF1640"/>
    <w:rsid w:val="00AF2FBE"/>
    <w:rsid w:val="00AF4392"/>
    <w:rsid w:val="00AF5548"/>
    <w:rsid w:val="00AF58A7"/>
    <w:rsid w:val="00AF59E8"/>
    <w:rsid w:val="00AF633D"/>
    <w:rsid w:val="00AF65C1"/>
    <w:rsid w:val="00AF6DA1"/>
    <w:rsid w:val="00B01B68"/>
    <w:rsid w:val="00B030CA"/>
    <w:rsid w:val="00B0482E"/>
    <w:rsid w:val="00B04C00"/>
    <w:rsid w:val="00B05568"/>
    <w:rsid w:val="00B056A5"/>
    <w:rsid w:val="00B06566"/>
    <w:rsid w:val="00B06EDC"/>
    <w:rsid w:val="00B07AC7"/>
    <w:rsid w:val="00B1066D"/>
    <w:rsid w:val="00B11280"/>
    <w:rsid w:val="00B11AEA"/>
    <w:rsid w:val="00B11AFD"/>
    <w:rsid w:val="00B1240F"/>
    <w:rsid w:val="00B13B61"/>
    <w:rsid w:val="00B14D7A"/>
    <w:rsid w:val="00B16251"/>
    <w:rsid w:val="00B16595"/>
    <w:rsid w:val="00B168A9"/>
    <w:rsid w:val="00B168D6"/>
    <w:rsid w:val="00B20683"/>
    <w:rsid w:val="00B21C1A"/>
    <w:rsid w:val="00B22DDE"/>
    <w:rsid w:val="00B231B3"/>
    <w:rsid w:val="00B23BC2"/>
    <w:rsid w:val="00B249B5"/>
    <w:rsid w:val="00B25856"/>
    <w:rsid w:val="00B25A8C"/>
    <w:rsid w:val="00B25C25"/>
    <w:rsid w:val="00B25EFC"/>
    <w:rsid w:val="00B2676F"/>
    <w:rsid w:val="00B27607"/>
    <w:rsid w:val="00B30D34"/>
    <w:rsid w:val="00B30D3C"/>
    <w:rsid w:val="00B31C7C"/>
    <w:rsid w:val="00B31F84"/>
    <w:rsid w:val="00B33536"/>
    <w:rsid w:val="00B342AC"/>
    <w:rsid w:val="00B34A97"/>
    <w:rsid w:val="00B36DE7"/>
    <w:rsid w:val="00B37DEB"/>
    <w:rsid w:val="00B37EF7"/>
    <w:rsid w:val="00B4056F"/>
    <w:rsid w:val="00B4252C"/>
    <w:rsid w:val="00B43BDA"/>
    <w:rsid w:val="00B45798"/>
    <w:rsid w:val="00B4621B"/>
    <w:rsid w:val="00B46BD4"/>
    <w:rsid w:val="00B472BC"/>
    <w:rsid w:val="00B50009"/>
    <w:rsid w:val="00B52017"/>
    <w:rsid w:val="00B522FB"/>
    <w:rsid w:val="00B535F5"/>
    <w:rsid w:val="00B54F55"/>
    <w:rsid w:val="00B57B8D"/>
    <w:rsid w:val="00B612D1"/>
    <w:rsid w:val="00B61E34"/>
    <w:rsid w:val="00B62037"/>
    <w:rsid w:val="00B62796"/>
    <w:rsid w:val="00B62F3A"/>
    <w:rsid w:val="00B6488B"/>
    <w:rsid w:val="00B64B09"/>
    <w:rsid w:val="00B64F29"/>
    <w:rsid w:val="00B65D43"/>
    <w:rsid w:val="00B662DA"/>
    <w:rsid w:val="00B673A0"/>
    <w:rsid w:val="00B72090"/>
    <w:rsid w:val="00B722D2"/>
    <w:rsid w:val="00B7274E"/>
    <w:rsid w:val="00B74E83"/>
    <w:rsid w:val="00B7602E"/>
    <w:rsid w:val="00B7743B"/>
    <w:rsid w:val="00B778BE"/>
    <w:rsid w:val="00B80B06"/>
    <w:rsid w:val="00B81CDF"/>
    <w:rsid w:val="00B81FB8"/>
    <w:rsid w:val="00B83275"/>
    <w:rsid w:val="00B83C3B"/>
    <w:rsid w:val="00B854FA"/>
    <w:rsid w:val="00B8673B"/>
    <w:rsid w:val="00B8768B"/>
    <w:rsid w:val="00B90717"/>
    <w:rsid w:val="00B907AD"/>
    <w:rsid w:val="00B90E6B"/>
    <w:rsid w:val="00B92305"/>
    <w:rsid w:val="00B94C52"/>
    <w:rsid w:val="00B94EB7"/>
    <w:rsid w:val="00B97204"/>
    <w:rsid w:val="00B97512"/>
    <w:rsid w:val="00B975E3"/>
    <w:rsid w:val="00BA09A3"/>
    <w:rsid w:val="00BA1262"/>
    <w:rsid w:val="00BA1870"/>
    <w:rsid w:val="00BA352E"/>
    <w:rsid w:val="00BA6747"/>
    <w:rsid w:val="00BB1CFF"/>
    <w:rsid w:val="00BB29F6"/>
    <w:rsid w:val="00BB3903"/>
    <w:rsid w:val="00BB39FA"/>
    <w:rsid w:val="00BB4401"/>
    <w:rsid w:val="00BB637B"/>
    <w:rsid w:val="00BB746F"/>
    <w:rsid w:val="00BC1295"/>
    <w:rsid w:val="00BC12CC"/>
    <w:rsid w:val="00BC1603"/>
    <w:rsid w:val="00BC26CC"/>
    <w:rsid w:val="00BC2B4F"/>
    <w:rsid w:val="00BC38A6"/>
    <w:rsid w:val="00BC3C00"/>
    <w:rsid w:val="00BC401B"/>
    <w:rsid w:val="00BC42E2"/>
    <w:rsid w:val="00BC42FD"/>
    <w:rsid w:val="00BC5401"/>
    <w:rsid w:val="00BC6E22"/>
    <w:rsid w:val="00BC6E39"/>
    <w:rsid w:val="00BC7515"/>
    <w:rsid w:val="00BC7D65"/>
    <w:rsid w:val="00BD02C7"/>
    <w:rsid w:val="00BD060D"/>
    <w:rsid w:val="00BD13F5"/>
    <w:rsid w:val="00BD1825"/>
    <w:rsid w:val="00BD1BB7"/>
    <w:rsid w:val="00BD2DA4"/>
    <w:rsid w:val="00BD30AB"/>
    <w:rsid w:val="00BD55B6"/>
    <w:rsid w:val="00BD5769"/>
    <w:rsid w:val="00BD5B64"/>
    <w:rsid w:val="00BD7405"/>
    <w:rsid w:val="00BE05ED"/>
    <w:rsid w:val="00BE55D0"/>
    <w:rsid w:val="00BE7FC7"/>
    <w:rsid w:val="00BF18C5"/>
    <w:rsid w:val="00BF306D"/>
    <w:rsid w:val="00BF31D8"/>
    <w:rsid w:val="00BF345D"/>
    <w:rsid w:val="00BF348E"/>
    <w:rsid w:val="00BF4381"/>
    <w:rsid w:val="00BF51ED"/>
    <w:rsid w:val="00BF6221"/>
    <w:rsid w:val="00BF7093"/>
    <w:rsid w:val="00C0097A"/>
    <w:rsid w:val="00C01675"/>
    <w:rsid w:val="00C02162"/>
    <w:rsid w:val="00C03D1F"/>
    <w:rsid w:val="00C05025"/>
    <w:rsid w:val="00C103A7"/>
    <w:rsid w:val="00C1068B"/>
    <w:rsid w:val="00C11795"/>
    <w:rsid w:val="00C11953"/>
    <w:rsid w:val="00C11E16"/>
    <w:rsid w:val="00C120E1"/>
    <w:rsid w:val="00C121F1"/>
    <w:rsid w:val="00C12B57"/>
    <w:rsid w:val="00C12CD6"/>
    <w:rsid w:val="00C12F71"/>
    <w:rsid w:val="00C1320A"/>
    <w:rsid w:val="00C15AFA"/>
    <w:rsid w:val="00C160FD"/>
    <w:rsid w:val="00C162CA"/>
    <w:rsid w:val="00C16DFB"/>
    <w:rsid w:val="00C2053D"/>
    <w:rsid w:val="00C211B3"/>
    <w:rsid w:val="00C21481"/>
    <w:rsid w:val="00C219A4"/>
    <w:rsid w:val="00C21F55"/>
    <w:rsid w:val="00C23991"/>
    <w:rsid w:val="00C26557"/>
    <w:rsid w:val="00C3088B"/>
    <w:rsid w:val="00C309A3"/>
    <w:rsid w:val="00C30C1F"/>
    <w:rsid w:val="00C32300"/>
    <w:rsid w:val="00C3260A"/>
    <w:rsid w:val="00C35071"/>
    <w:rsid w:val="00C35AEB"/>
    <w:rsid w:val="00C35B4F"/>
    <w:rsid w:val="00C361E3"/>
    <w:rsid w:val="00C369E4"/>
    <w:rsid w:val="00C44B82"/>
    <w:rsid w:val="00C44EB2"/>
    <w:rsid w:val="00C44F4A"/>
    <w:rsid w:val="00C46EC4"/>
    <w:rsid w:val="00C470D9"/>
    <w:rsid w:val="00C47EC7"/>
    <w:rsid w:val="00C52C48"/>
    <w:rsid w:val="00C54E3A"/>
    <w:rsid w:val="00C555A1"/>
    <w:rsid w:val="00C5565C"/>
    <w:rsid w:val="00C600B8"/>
    <w:rsid w:val="00C61853"/>
    <w:rsid w:val="00C61A22"/>
    <w:rsid w:val="00C61C5D"/>
    <w:rsid w:val="00C627C8"/>
    <w:rsid w:val="00C63332"/>
    <w:rsid w:val="00C63D15"/>
    <w:rsid w:val="00C64D48"/>
    <w:rsid w:val="00C65665"/>
    <w:rsid w:val="00C6620A"/>
    <w:rsid w:val="00C66FE3"/>
    <w:rsid w:val="00C727C8"/>
    <w:rsid w:val="00C73980"/>
    <w:rsid w:val="00C73C36"/>
    <w:rsid w:val="00C74895"/>
    <w:rsid w:val="00C75698"/>
    <w:rsid w:val="00C767B6"/>
    <w:rsid w:val="00C7763F"/>
    <w:rsid w:val="00C7765B"/>
    <w:rsid w:val="00C77F7A"/>
    <w:rsid w:val="00C807D7"/>
    <w:rsid w:val="00C80CAB"/>
    <w:rsid w:val="00C81A1E"/>
    <w:rsid w:val="00C82275"/>
    <w:rsid w:val="00C8245C"/>
    <w:rsid w:val="00C84BCA"/>
    <w:rsid w:val="00C8674A"/>
    <w:rsid w:val="00C87191"/>
    <w:rsid w:val="00C90E94"/>
    <w:rsid w:val="00C90F5F"/>
    <w:rsid w:val="00C92528"/>
    <w:rsid w:val="00C92C83"/>
    <w:rsid w:val="00C935C1"/>
    <w:rsid w:val="00C94ADF"/>
    <w:rsid w:val="00C95C24"/>
    <w:rsid w:val="00C96CA5"/>
    <w:rsid w:val="00C9791B"/>
    <w:rsid w:val="00CA1850"/>
    <w:rsid w:val="00CA1DBF"/>
    <w:rsid w:val="00CA221C"/>
    <w:rsid w:val="00CA2DD5"/>
    <w:rsid w:val="00CA4316"/>
    <w:rsid w:val="00CA52DF"/>
    <w:rsid w:val="00CA54A6"/>
    <w:rsid w:val="00CA55DA"/>
    <w:rsid w:val="00CA59F9"/>
    <w:rsid w:val="00CA6288"/>
    <w:rsid w:val="00CA7C27"/>
    <w:rsid w:val="00CA7D2A"/>
    <w:rsid w:val="00CA7DD0"/>
    <w:rsid w:val="00CA7F43"/>
    <w:rsid w:val="00CB008B"/>
    <w:rsid w:val="00CB0B78"/>
    <w:rsid w:val="00CB0C5B"/>
    <w:rsid w:val="00CB5BD1"/>
    <w:rsid w:val="00CB75EC"/>
    <w:rsid w:val="00CB7AEB"/>
    <w:rsid w:val="00CC1ED7"/>
    <w:rsid w:val="00CC2023"/>
    <w:rsid w:val="00CC2DB0"/>
    <w:rsid w:val="00CC308D"/>
    <w:rsid w:val="00CC4C82"/>
    <w:rsid w:val="00CC56EC"/>
    <w:rsid w:val="00CC5D0F"/>
    <w:rsid w:val="00CC6D10"/>
    <w:rsid w:val="00CD0176"/>
    <w:rsid w:val="00CD1555"/>
    <w:rsid w:val="00CD1C38"/>
    <w:rsid w:val="00CD6CD7"/>
    <w:rsid w:val="00CE137A"/>
    <w:rsid w:val="00CE54EA"/>
    <w:rsid w:val="00CE595A"/>
    <w:rsid w:val="00CE6E90"/>
    <w:rsid w:val="00CE72C1"/>
    <w:rsid w:val="00CF0382"/>
    <w:rsid w:val="00CF1A09"/>
    <w:rsid w:val="00CF6B87"/>
    <w:rsid w:val="00CF6F6A"/>
    <w:rsid w:val="00CF73D5"/>
    <w:rsid w:val="00D00394"/>
    <w:rsid w:val="00D00484"/>
    <w:rsid w:val="00D010DF"/>
    <w:rsid w:val="00D018B1"/>
    <w:rsid w:val="00D0196B"/>
    <w:rsid w:val="00D025C2"/>
    <w:rsid w:val="00D040F4"/>
    <w:rsid w:val="00D1013A"/>
    <w:rsid w:val="00D133FC"/>
    <w:rsid w:val="00D1478D"/>
    <w:rsid w:val="00D14F0C"/>
    <w:rsid w:val="00D15241"/>
    <w:rsid w:val="00D157BE"/>
    <w:rsid w:val="00D15F83"/>
    <w:rsid w:val="00D160E6"/>
    <w:rsid w:val="00D205CE"/>
    <w:rsid w:val="00D20D92"/>
    <w:rsid w:val="00D24771"/>
    <w:rsid w:val="00D24ED5"/>
    <w:rsid w:val="00D2688A"/>
    <w:rsid w:val="00D26A8A"/>
    <w:rsid w:val="00D321E4"/>
    <w:rsid w:val="00D3272C"/>
    <w:rsid w:val="00D36D26"/>
    <w:rsid w:val="00D37EF3"/>
    <w:rsid w:val="00D41027"/>
    <w:rsid w:val="00D41131"/>
    <w:rsid w:val="00D41311"/>
    <w:rsid w:val="00D42AFB"/>
    <w:rsid w:val="00D43614"/>
    <w:rsid w:val="00D43A3E"/>
    <w:rsid w:val="00D44AE4"/>
    <w:rsid w:val="00D45FBD"/>
    <w:rsid w:val="00D46171"/>
    <w:rsid w:val="00D46486"/>
    <w:rsid w:val="00D46A57"/>
    <w:rsid w:val="00D47C78"/>
    <w:rsid w:val="00D47EE1"/>
    <w:rsid w:val="00D5132A"/>
    <w:rsid w:val="00D51F8D"/>
    <w:rsid w:val="00D53593"/>
    <w:rsid w:val="00D53A32"/>
    <w:rsid w:val="00D53A9C"/>
    <w:rsid w:val="00D53DB3"/>
    <w:rsid w:val="00D53DEE"/>
    <w:rsid w:val="00D54B65"/>
    <w:rsid w:val="00D56B93"/>
    <w:rsid w:val="00D575D6"/>
    <w:rsid w:val="00D578A4"/>
    <w:rsid w:val="00D608DE"/>
    <w:rsid w:val="00D60925"/>
    <w:rsid w:val="00D6171B"/>
    <w:rsid w:val="00D61F6B"/>
    <w:rsid w:val="00D63009"/>
    <w:rsid w:val="00D64C70"/>
    <w:rsid w:val="00D672AC"/>
    <w:rsid w:val="00D67555"/>
    <w:rsid w:val="00D71750"/>
    <w:rsid w:val="00D719C3"/>
    <w:rsid w:val="00D72149"/>
    <w:rsid w:val="00D73F09"/>
    <w:rsid w:val="00D741E8"/>
    <w:rsid w:val="00D75160"/>
    <w:rsid w:val="00D751FA"/>
    <w:rsid w:val="00D7572A"/>
    <w:rsid w:val="00D7657C"/>
    <w:rsid w:val="00D8055D"/>
    <w:rsid w:val="00D80F37"/>
    <w:rsid w:val="00D81F9A"/>
    <w:rsid w:val="00D835A8"/>
    <w:rsid w:val="00D840B6"/>
    <w:rsid w:val="00D8547D"/>
    <w:rsid w:val="00D8768A"/>
    <w:rsid w:val="00D87D1B"/>
    <w:rsid w:val="00D92293"/>
    <w:rsid w:val="00D949DC"/>
    <w:rsid w:val="00D94FB3"/>
    <w:rsid w:val="00D95AF4"/>
    <w:rsid w:val="00D970E0"/>
    <w:rsid w:val="00DA17E6"/>
    <w:rsid w:val="00DA5BEB"/>
    <w:rsid w:val="00DA628A"/>
    <w:rsid w:val="00DA6947"/>
    <w:rsid w:val="00DA7F7C"/>
    <w:rsid w:val="00DB0377"/>
    <w:rsid w:val="00DB05FD"/>
    <w:rsid w:val="00DB0D94"/>
    <w:rsid w:val="00DB0F29"/>
    <w:rsid w:val="00DB20D6"/>
    <w:rsid w:val="00DB22D6"/>
    <w:rsid w:val="00DB4C30"/>
    <w:rsid w:val="00DB5E07"/>
    <w:rsid w:val="00DB63F0"/>
    <w:rsid w:val="00DB6A3C"/>
    <w:rsid w:val="00DB6C50"/>
    <w:rsid w:val="00DB7363"/>
    <w:rsid w:val="00DB7888"/>
    <w:rsid w:val="00DC0121"/>
    <w:rsid w:val="00DC0B7C"/>
    <w:rsid w:val="00DC14F6"/>
    <w:rsid w:val="00DC4A97"/>
    <w:rsid w:val="00DC559C"/>
    <w:rsid w:val="00DC6ADC"/>
    <w:rsid w:val="00DC78FE"/>
    <w:rsid w:val="00DC7AFB"/>
    <w:rsid w:val="00DD0F61"/>
    <w:rsid w:val="00DD1845"/>
    <w:rsid w:val="00DD40F0"/>
    <w:rsid w:val="00DD49D4"/>
    <w:rsid w:val="00DD4CF1"/>
    <w:rsid w:val="00DD64BC"/>
    <w:rsid w:val="00DD77C8"/>
    <w:rsid w:val="00DD7DA1"/>
    <w:rsid w:val="00DE0815"/>
    <w:rsid w:val="00DE0E5B"/>
    <w:rsid w:val="00DE13F2"/>
    <w:rsid w:val="00DE45A7"/>
    <w:rsid w:val="00DE4734"/>
    <w:rsid w:val="00DE498E"/>
    <w:rsid w:val="00DE4DBA"/>
    <w:rsid w:val="00DE5540"/>
    <w:rsid w:val="00DE5994"/>
    <w:rsid w:val="00DE7B22"/>
    <w:rsid w:val="00DE7CF4"/>
    <w:rsid w:val="00DF069A"/>
    <w:rsid w:val="00DF2519"/>
    <w:rsid w:val="00DF2F7B"/>
    <w:rsid w:val="00DF34E1"/>
    <w:rsid w:val="00DF41C1"/>
    <w:rsid w:val="00DF41E5"/>
    <w:rsid w:val="00DF445F"/>
    <w:rsid w:val="00DF6480"/>
    <w:rsid w:val="00E02B05"/>
    <w:rsid w:val="00E04227"/>
    <w:rsid w:val="00E057C2"/>
    <w:rsid w:val="00E059E8"/>
    <w:rsid w:val="00E1143E"/>
    <w:rsid w:val="00E1215F"/>
    <w:rsid w:val="00E12CF7"/>
    <w:rsid w:val="00E14562"/>
    <w:rsid w:val="00E14926"/>
    <w:rsid w:val="00E22BA2"/>
    <w:rsid w:val="00E23C11"/>
    <w:rsid w:val="00E2459C"/>
    <w:rsid w:val="00E259FC"/>
    <w:rsid w:val="00E26EF0"/>
    <w:rsid w:val="00E27DE7"/>
    <w:rsid w:val="00E3225E"/>
    <w:rsid w:val="00E34523"/>
    <w:rsid w:val="00E3456F"/>
    <w:rsid w:val="00E34713"/>
    <w:rsid w:val="00E348C6"/>
    <w:rsid w:val="00E34981"/>
    <w:rsid w:val="00E34A92"/>
    <w:rsid w:val="00E36356"/>
    <w:rsid w:val="00E40A42"/>
    <w:rsid w:val="00E4173C"/>
    <w:rsid w:val="00E42475"/>
    <w:rsid w:val="00E442E1"/>
    <w:rsid w:val="00E46F95"/>
    <w:rsid w:val="00E47809"/>
    <w:rsid w:val="00E514A6"/>
    <w:rsid w:val="00E52164"/>
    <w:rsid w:val="00E52696"/>
    <w:rsid w:val="00E551CE"/>
    <w:rsid w:val="00E574C4"/>
    <w:rsid w:val="00E57695"/>
    <w:rsid w:val="00E57A29"/>
    <w:rsid w:val="00E60CDF"/>
    <w:rsid w:val="00E61699"/>
    <w:rsid w:val="00E61BE2"/>
    <w:rsid w:val="00E621E5"/>
    <w:rsid w:val="00E647E6"/>
    <w:rsid w:val="00E64FD7"/>
    <w:rsid w:val="00E65FA8"/>
    <w:rsid w:val="00E661D3"/>
    <w:rsid w:val="00E6788A"/>
    <w:rsid w:val="00E67D77"/>
    <w:rsid w:val="00E67D85"/>
    <w:rsid w:val="00E70424"/>
    <w:rsid w:val="00E70ECF"/>
    <w:rsid w:val="00E71F9B"/>
    <w:rsid w:val="00E72697"/>
    <w:rsid w:val="00E73A59"/>
    <w:rsid w:val="00E76558"/>
    <w:rsid w:val="00E77166"/>
    <w:rsid w:val="00E77C31"/>
    <w:rsid w:val="00E80ADB"/>
    <w:rsid w:val="00E82B76"/>
    <w:rsid w:val="00E83322"/>
    <w:rsid w:val="00E84BB5"/>
    <w:rsid w:val="00E8516A"/>
    <w:rsid w:val="00E85D64"/>
    <w:rsid w:val="00E8667F"/>
    <w:rsid w:val="00E8781F"/>
    <w:rsid w:val="00E87AB5"/>
    <w:rsid w:val="00E9095A"/>
    <w:rsid w:val="00E9362E"/>
    <w:rsid w:val="00E94BA9"/>
    <w:rsid w:val="00E95086"/>
    <w:rsid w:val="00E952E3"/>
    <w:rsid w:val="00E9575C"/>
    <w:rsid w:val="00E96B7A"/>
    <w:rsid w:val="00EA139E"/>
    <w:rsid w:val="00EA3AB0"/>
    <w:rsid w:val="00EA45AB"/>
    <w:rsid w:val="00EA5898"/>
    <w:rsid w:val="00EA5DDE"/>
    <w:rsid w:val="00EA7A06"/>
    <w:rsid w:val="00EB03DC"/>
    <w:rsid w:val="00EB056A"/>
    <w:rsid w:val="00EB1879"/>
    <w:rsid w:val="00EB2806"/>
    <w:rsid w:val="00EB3374"/>
    <w:rsid w:val="00EB3956"/>
    <w:rsid w:val="00EB4BAC"/>
    <w:rsid w:val="00EB4E68"/>
    <w:rsid w:val="00EB5369"/>
    <w:rsid w:val="00EB7726"/>
    <w:rsid w:val="00EB7BE7"/>
    <w:rsid w:val="00EC1BEA"/>
    <w:rsid w:val="00EC2B01"/>
    <w:rsid w:val="00EC6488"/>
    <w:rsid w:val="00EC6848"/>
    <w:rsid w:val="00ED1A64"/>
    <w:rsid w:val="00ED28C1"/>
    <w:rsid w:val="00ED2A57"/>
    <w:rsid w:val="00ED3857"/>
    <w:rsid w:val="00ED5805"/>
    <w:rsid w:val="00ED764A"/>
    <w:rsid w:val="00ED7ABB"/>
    <w:rsid w:val="00EE011C"/>
    <w:rsid w:val="00EE1133"/>
    <w:rsid w:val="00EE118E"/>
    <w:rsid w:val="00EE1D51"/>
    <w:rsid w:val="00EE23A2"/>
    <w:rsid w:val="00EE2F87"/>
    <w:rsid w:val="00EE2FC2"/>
    <w:rsid w:val="00EE34FB"/>
    <w:rsid w:val="00EE3570"/>
    <w:rsid w:val="00EE50F3"/>
    <w:rsid w:val="00EE6FAC"/>
    <w:rsid w:val="00EE7268"/>
    <w:rsid w:val="00EF1F6C"/>
    <w:rsid w:val="00EF2347"/>
    <w:rsid w:val="00EF3DAA"/>
    <w:rsid w:val="00EF6790"/>
    <w:rsid w:val="00EF7126"/>
    <w:rsid w:val="00EF799B"/>
    <w:rsid w:val="00EF7C50"/>
    <w:rsid w:val="00F0064A"/>
    <w:rsid w:val="00F00FC9"/>
    <w:rsid w:val="00F017B2"/>
    <w:rsid w:val="00F01953"/>
    <w:rsid w:val="00F01FD9"/>
    <w:rsid w:val="00F02522"/>
    <w:rsid w:val="00F02916"/>
    <w:rsid w:val="00F02FEA"/>
    <w:rsid w:val="00F03052"/>
    <w:rsid w:val="00F036F8"/>
    <w:rsid w:val="00F04501"/>
    <w:rsid w:val="00F05DF5"/>
    <w:rsid w:val="00F065DC"/>
    <w:rsid w:val="00F0794A"/>
    <w:rsid w:val="00F07E33"/>
    <w:rsid w:val="00F12185"/>
    <w:rsid w:val="00F201B1"/>
    <w:rsid w:val="00F20843"/>
    <w:rsid w:val="00F22776"/>
    <w:rsid w:val="00F249DA"/>
    <w:rsid w:val="00F25149"/>
    <w:rsid w:val="00F257F0"/>
    <w:rsid w:val="00F25B55"/>
    <w:rsid w:val="00F25CAC"/>
    <w:rsid w:val="00F25E94"/>
    <w:rsid w:val="00F27AAF"/>
    <w:rsid w:val="00F30F98"/>
    <w:rsid w:val="00F31304"/>
    <w:rsid w:val="00F321F5"/>
    <w:rsid w:val="00F3329D"/>
    <w:rsid w:val="00F33C36"/>
    <w:rsid w:val="00F3588E"/>
    <w:rsid w:val="00F36C42"/>
    <w:rsid w:val="00F37EFD"/>
    <w:rsid w:val="00F41125"/>
    <w:rsid w:val="00F41A56"/>
    <w:rsid w:val="00F41D4A"/>
    <w:rsid w:val="00F41DA3"/>
    <w:rsid w:val="00F444CE"/>
    <w:rsid w:val="00F44B0E"/>
    <w:rsid w:val="00F45524"/>
    <w:rsid w:val="00F469C9"/>
    <w:rsid w:val="00F46DED"/>
    <w:rsid w:val="00F46E75"/>
    <w:rsid w:val="00F508D8"/>
    <w:rsid w:val="00F5356B"/>
    <w:rsid w:val="00F56D4E"/>
    <w:rsid w:val="00F57048"/>
    <w:rsid w:val="00F5787D"/>
    <w:rsid w:val="00F61BD5"/>
    <w:rsid w:val="00F62A17"/>
    <w:rsid w:val="00F63072"/>
    <w:rsid w:val="00F63114"/>
    <w:rsid w:val="00F6380A"/>
    <w:rsid w:val="00F65527"/>
    <w:rsid w:val="00F65C67"/>
    <w:rsid w:val="00F661B0"/>
    <w:rsid w:val="00F669DE"/>
    <w:rsid w:val="00F67CF2"/>
    <w:rsid w:val="00F67E12"/>
    <w:rsid w:val="00F705FE"/>
    <w:rsid w:val="00F70772"/>
    <w:rsid w:val="00F70DB1"/>
    <w:rsid w:val="00F711AB"/>
    <w:rsid w:val="00F72D14"/>
    <w:rsid w:val="00F72DF0"/>
    <w:rsid w:val="00F73D19"/>
    <w:rsid w:val="00F74C71"/>
    <w:rsid w:val="00F75032"/>
    <w:rsid w:val="00F769A7"/>
    <w:rsid w:val="00F76AFD"/>
    <w:rsid w:val="00F77A8B"/>
    <w:rsid w:val="00F81F28"/>
    <w:rsid w:val="00F82DB0"/>
    <w:rsid w:val="00F83D85"/>
    <w:rsid w:val="00F83E7F"/>
    <w:rsid w:val="00F85C7F"/>
    <w:rsid w:val="00F86829"/>
    <w:rsid w:val="00F878AC"/>
    <w:rsid w:val="00F87D48"/>
    <w:rsid w:val="00F908F9"/>
    <w:rsid w:val="00F90BC7"/>
    <w:rsid w:val="00F937FE"/>
    <w:rsid w:val="00F93C7F"/>
    <w:rsid w:val="00F94D7B"/>
    <w:rsid w:val="00F95981"/>
    <w:rsid w:val="00F9677E"/>
    <w:rsid w:val="00FA211B"/>
    <w:rsid w:val="00FA4D9E"/>
    <w:rsid w:val="00FA5A52"/>
    <w:rsid w:val="00FA6D14"/>
    <w:rsid w:val="00FB200A"/>
    <w:rsid w:val="00FB21CC"/>
    <w:rsid w:val="00FB278E"/>
    <w:rsid w:val="00FB62B9"/>
    <w:rsid w:val="00FC01D7"/>
    <w:rsid w:val="00FC07DB"/>
    <w:rsid w:val="00FC20E7"/>
    <w:rsid w:val="00FC2FDC"/>
    <w:rsid w:val="00FC41B2"/>
    <w:rsid w:val="00FC4318"/>
    <w:rsid w:val="00FC4627"/>
    <w:rsid w:val="00FC5071"/>
    <w:rsid w:val="00FC5A79"/>
    <w:rsid w:val="00FC6611"/>
    <w:rsid w:val="00FC778B"/>
    <w:rsid w:val="00FD0010"/>
    <w:rsid w:val="00FD0E30"/>
    <w:rsid w:val="00FD1075"/>
    <w:rsid w:val="00FD111C"/>
    <w:rsid w:val="00FD1C8D"/>
    <w:rsid w:val="00FD5D5A"/>
    <w:rsid w:val="00FD660F"/>
    <w:rsid w:val="00FD6799"/>
    <w:rsid w:val="00FD6B0F"/>
    <w:rsid w:val="00FD75D4"/>
    <w:rsid w:val="00FD7621"/>
    <w:rsid w:val="00FE056F"/>
    <w:rsid w:val="00FE1371"/>
    <w:rsid w:val="00FE305A"/>
    <w:rsid w:val="00FE6447"/>
    <w:rsid w:val="00FE6F73"/>
    <w:rsid w:val="00FF0023"/>
    <w:rsid w:val="00FF0F11"/>
    <w:rsid w:val="00FF1782"/>
    <w:rsid w:val="00FF19E3"/>
    <w:rsid w:val="00FF3927"/>
    <w:rsid w:val="00FF42BC"/>
    <w:rsid w:val="00FF44F5"/>
    <w:rsid w:val="00FF67FD"/>
    <w:rsid w:val="00FF7B62"/>
    <w:rsid w:val="00FF7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E3952"/>
  <w15:docId w15:val="{13112982-953E-4208-9CE9-E2353AB7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EB2"/>
    <w:rPr>
      <w:rFonts w:ascii="Arial" w:hAnsi="Arial" w:cs="Arial"/>
      <w:sz w:val="24"/>
      <w:szCs w:val="24"/>
      <w:lang w:eastAsia="en-US"/>
    </w:rPr>
  </w:style>
  <w:style w:type="paragraph" w:styleId="Heading1">
    <w:name w:val="heading 1"/>
    <w:basedOn w:val="Normal"/>
    <w:next w:val="Normal"/>
    <w:link w:val="Heading1Char"/>
    <w:qFormat/>
    <w:rsid w:val="00B54F55"/>
    <w:pPr>
      <w:keepNext/>
      <w:spacing w:before="240" w:after="60"/>
      <w:outlineLvl w:val="0"/>
    </w:pPr>
    <w:rPr>
      <w:b/>
      <w:bCs/>
      <w:kern w:val="32"/>
      <w:sz w:val="32"/>
      <w:szCs w:val="32"/>
    </w:rPr>
  </w:style>
  <w:style w:type="paragraph" w:styleId="Heading2">
    <w:name w:val="heading 2"/>
    <w:basedOn w:val="Normal"/>
    <w:next w:val="Normal"/>
    <w:qFormat/>
    <w:rsid w:val="00B54F55"/>
    <w:pPr>
      <w:keepNext/>
      <w:spacing w:before="240" w:after="60"/>
      <w:outlineLvl w:val="1"/>
    </w:pPr>
    <w:rPr>
      <w:b/>
      <w:bCs/>
      <w:i/>
      <w:iCs/>
      <w:sz w:val="28"/>
      <w:szCs w:val="28"/>
    </w:rPr>
  </w:style>
  <w:style w:type="paragraph" w:styleId="Heading3">
    <w:name w:val="heading 3"/>
    <w:basedOn w:val="Normal"/>
    <w:next w:val="Normal"/>
    <w:qFormat/>
    <w:rsid w:val="00A32362"/>
    <w:pPr>
      <w:keepNext/>
      <w:spacing w:before="240" w:after="60"/>
      <w:outlineLvl w:val="2"/>
    </w:pPr>
    <w:rPr>
      <w:b/>
      <w:bCs/>
      <w:sz w:val="26"/>
      <w:szCs w:val="26"/>
    </w:rPr>
  </w:style>
  <w:style w:type="paragraph" w:styleId="Heading4">
    <w:name w:val="heading 4"/>
    <w:basedOn w:val="Normal"/>
    <w:next w:val="Normal"/>
    <w:qFormat/>
    <w:rsid w:val="00491C4B"/>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491C4B"/>
  </w:style>
  <w:style w:type="paragraph" w:customStyle="1" w:styleId="HorizontalLine">
    <w:name w:val="Horizontal Line"/>
    <w:basedOn w:val="Normal"/>
    <w:rsid w:val="00491C4B"/>
  </w:style>
  <w:style w:type="paragraph" w:customStyle="1" w:styleId="ParagraphImageWrapLeft">
    <w:name w:val="Paragraph Image Wrap Left"/>
    <w:basedOn w:val="Normal"/>
    <w:rsid w:val="00491C4B"/>
  </w:style>
  <w:style w:type="paragraph" w:customStyle="1" w:styleId="ParagraphImageWrapRight">
    <w:name w:val="Paragraph Image Wrap Right"/>
    <w:basedOn w:val="Normal"/>
    <w:rsid w:val="00491C4B"/>
  </w:style>
  <w:style w:type="paragraph" w:customStyle="1" w:styleId="Summary">
    <w:name w:val="Summary"/>
    <w:basedOn w:val="Normal"/>
    <w:rsid w:val="00491C4B"/>
    <w:pPr>
      <w:spacing w:after="77"/>
      <w:ind w:left="129" w:right="129"/>
    </w:pPr>
    <w:rPr>
      <w:rFonts w:ascii="Verdana" w:hAnsi="Verdana"/>
      <w:color w:val="666666"/>
      <w:sz w:val="15"/>
      <w:szCs w:val="15"/>
      <w:lang w:eastAsia="en-GB"/>
    </w:rPr>
  </w:style>
  <w:style w:type="table" w:customStyle="1" w:styleId="TableDFID">
    <w:name w:val="Table DFID"/>
    <w:basedOn w:val="TableNormal"/>
    <w:rsid w:val="00491C4B"/>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491C4B"/>
  </w:style>
  <w:style w:type="paragraph" w:customStyle="1" w:styleId="TableDFIDStart">
    <w:name w:val="Table DFID Start"/>
    <w:basedOn w:val="Normal"/>
    <w:rsid w:val="00491C4B"/>
  </w:style>
  <w:style w:type="paragraph" w:customStyle="1" w:styleId="TableHeadings">
    <w:name w:val="Table Headings"/>
    <w:basedOn w:val="Normal"/>
    <w:rsid w:val="00491C4B"/>
    <w:pPr>
      <w:spacing w:after="79"/>
    </w:pPr>
    <w:rPr>
      <w:b/>
      <w:bCs/>
      <w:color w:val="FFFFFF"/>
      <w:szCs w:val="20"/>
      <w:lang w:eastAsia="en-GB"/>
    </w:rPr>
  </w:style>
  <w:style w:type="table" w:customStyle="1" w:styleId="TableLayout">
    <w:name w:val="Table Layout"/>
    <w:basedOn w:val="TableNormal"/>
    <w:rsid w:val="00491C4B"/>
    <w:tblPr/>
  </w:style>
  <w:style w:type="paragraph" w:customStyle="1" w:styleId="Char">
    <w:name w:val="Char"/>
    <w:basedOn w:val="Normal"/>
    <w:rsid w:val="00C44EB2"/>
    <w:pPr>
      <w:spacing w:after="160" w:line="240" w:lineRule="exact"/>
    </w:pPr>
    <w:rPr>
      <w:rFonts w:ascii="Verdana" w:hAnsi="Verdana" w:cs="Times New Roman"/>
      <w:sz w:val="20"/>
      <w:szCs w:val="20"/>
      <w:lang w:val="en-US"/>
    </w:rPr>
  </w:style>
  <w:style w:type="table" w:styleId="TableGrid">
    <w:name w:val="Table Grid"/>
    <w:basedOn w:val="TableNormal"/>
    <w:rsid w:val="00F3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7454"/>
    <w:rPr>
      <w:rFonts w:ascii="Tahoma" w:hAnsi="Tahoma" w:cs="Tahoma"/>
      <w:sz w:val="16"/>
      <w:szCs w:val="16"/>
    </w:rPr>
  </w:style>
  <w:style w:type="paragraph" w:customStyle="1" w:styleId="Char0">
    <w:name w:val="Char"/>
    <w:basedOn w:val="Normal"/>
    <w:rsid w:val="00D3272C"/>
    <w:pPr>
      <w:spacing w:after="160" w:line="240" w:lineRule="exact"/>
    </w:pPr>
    <w:rPr>
      <w:rFonts w:ascii="Verdana" w:hAnsi="Verdana" w:cs="Times New Roman"/>
      <w:sz w:val="20"/>
      <w:szCs w:val="20"/>
      <w:lang w:val="en-US"/>
    </w:rPr>
  </w:style>
  <w:style w:type="character" w:styleId="CommentReference">
    <w:name w:val="annotation reference"/>
    <w:uiPriority w:val="99"/>
    <w:semiHidden/>
    <w:rsid w:val="00A32362"/>
    <w:rPr>
      <w:sz w:val="16"/>
      <w:szCs w:val="16"/>
    </w:rPr>
  </w:style>
  <w:style w:type="paragraph" w:styleId="CommentText">
    <w:name w:val="annotation text"/>
    <w:basedOn w:val="Normal"/>
    <w:link w:val="CommentTextChar"/>
    <w:uiPriority w:val="99"/>
    <w:semiHidden/>
    <w:rsid w:val="00A32362"/>
    <w:rPr>
      <w:rFonts w:cs="Times New Roman"/>
      <w:sz w:val="20"/>
      <w:szCs w:val="20"/>
    </w:rPr>
  </w:style>
  <w:style w:type="paragraph" w:styleId="ListBullet">
    <w:name w:val="List Bullet"/>
    <w:basedOn w:val="Normal"/>
    <w:rsid w:val="00312239"/>
    <w:pPr>
      <w:numPr>
        <w:numId w:val="1"/>
      </w:numPr>
    </w:pPr>
    <w:rPr>
      <w:rFonts w:cs="Times New Roman"/>
    </w:rPr>
  </w:style>
  <w:style w:type="character" w:customStyle="1" w:styleId="Heading1Char">
    <w:name w:val="Heading 1 Char"/>
    <w:link w:val="Heading1"/>
    <w:locked/>
    <w:rsid w:val="00B54F55"/>
    <w:rPr>
      <w:rFonts w:ascii="Arial" w:hAnsi="Arial" w:cs="Arial"/>
      <w:b/>
      <w:bCs/>
      <w:kern w:val="32"/>
      <w:sz w:val="32"/>
      <w:szCs w:val="32"/>
      <w:lang w:val="en-GB" w:eastAsia="en-US" w:bidi="ar-SA"/>
    </w:rPr>
  </w:style>
  <w:style w:type="paragraph" w:styleId="CommentSubject">
    <w:name w:val="annotation subject"/>
    <w:basedOn w:val="CommentText"/>
    <w:next w:val="CommentText"/>
    <w:semiHidden/>
    <w:rsid w:val="00E259FC"/>
    <w:rPr>
      <w:rFonts w:cs="Arial"/>
      <w:b/>
      <w:bCs/>
    </w:rPr>
  </w:style>
  <w:style w:type="paragraph" w:styleId="Footer">
    <w:name w:val="footer"/>
    <w:basedOn w:val="Normal"/>
    <w:rsid w:val="001118DB"/>
    <w:pPr>
      <w:tabs>
        <w:tab w:val="center" w:pos="4153"/>
        <w:tab w:val="right" w:pos="8306"/>
      </w:tabs>
    </w:pPr>
  </w:style>
  <w:style w:type="character" w:styleId="PageNumber">
    <w:name w:val="page number"/>
    <w:basedOn w:val="DefaultParagraphFont"/>
    <w:rsid w:val="001118DB"/>
  </w:style>
  <w:style w:type="paragraph" w:styleId="FootnoteText">
    <w:name w:val="footnote text"/>
    <w:aliases w:val="single space,footnote text,ft,Footnote Text Char Char Char Char Char Char Char Char Char Char,FOOTNOTES,fn,ADB,WB-Fußnotentext,Footnote,Fußnote,WB-Fuﬂnotentext,Fuﬂnote,ALTS FOOTNOTE,Geneva 9,Font: Geneva 9,Boston 10,f,Footnote Text Char1"/>
    <w:basedOn w:val="Normal"/>
    <w:link w:val="FootnoteTextChar"/>
    <w:uiPriority w:val="99"/>
    <w:qFormat/>
    <w:rsid w:val="00DE45A7"/>
    <w:rPr>
      <w:rFonts w:cs="Times New Roman"/>
      <w:sz w:val="20"/>
      <w:szCs w:val="20"/>
      <w:lang w:val="en-US"/>
    </w:rPr>
  </w:style>
  <w:style w:type="character" w:customStyle="1" w:styleId="FootnoteTextChar">
    <w:name w:val="Footnote Text Char"/>
    <w:aliases w:val="single space Char,footnote text Char,ft Char,Footnote Text Char Char Char Char Char Char Char Char Char Char Char,FOOTNOTES Char,fn Char,ADB Char,WB-Fußnotentext Char,Footnote Char,Fußnote Char,WB-Fuﬂnotentext Char,Fuﬂnote Char,f Char"/>
    <w:link w:val="FootnoteText"/>
    <w:uiPriority w:val="99"/>
    <w:rsid w:val="00DE45A7"/>
    <w:rPr>
      <w:rFonts w:ascii="Arial" w:hAnsi="Arial"/>
      <w:lang w:val="en-US" w:eastAsia="en-US"/>
    </w:rPr>
  </w:style>
  <w:style w:type="character" w:styleId="FootnoteReference">
    <w:name w:val="footnote reference"/>
    <w:aliases w:val="BVI fnr,BVI fnr Car Car,BVI fnr Car,BVI fnr Car Car Car Car,BVI fnr Car Car Car Car Char,BVI fnr Char,BVI fnr Car Car Char,BVI fnr Car Char,BVI fnr Car Car Car Car Char Char Char,ftref,16 Point,Superscript 6 Point,Ref,de nota al pie"/>
    <w:link w:val="BVIfnrChar1CharCharCharCharChar"/>
    <w:uiPriority w:val="99"/>
    <w:qFormat/>
    <w:rsid w:val="00DE45A7"/>
    <w:rPr>
      <w:vertAlign w:val="superscript"/>
    </w:rPr>
  </w:style>
  <w:style w:type="paragraph" w:styleId="EndnoteText">
    <w:name w:val="endnote text"/>
    <w:basedOn w:val="Normal"/>
    <w:link w:val="EndnoteTextChar"/>
    <w:rsid w:val="00DE45A7"/>
    <w:rPr>
      <w:rFonts w:cs="Times New Roman"/>
      <w:sz w:val="20"/>
      <w:szCs w:val="20"/>
    </w:rPr>
  </w:style>
  <w:style w:type="character" w:customStyle="1" w:styleId="EndnoteTextChar">
    <w:name w:val="Endnote Text Char"/>
    <w:link w:val="EndnoteText"/>
    <w:rsid w:val="00DE45A7"/>
    <w:rPr>
      <w:rFonts w:ascii="Arial" w:hAnsi="Arial"/>
      <w:lang w:eastAsia="en-US"/>
    </w:rPr>
  </w:style>
  <w:style w:type="character" w:styleId="EndnoteReference">
    <w:name w:val="endnote reference"/>
    <w:rsid w:val="00DE45A7"/>
    <w:rPr>
      <w:vertAlign w:val="superscript"/>
    </w:rPr>
  </w:style>
  <w:style w:type="paragraph" w:styleId="ListParagraph">
    <w:name w:val="List Paragraph"/>
    <w:aliases w:val="Dot pt,No Spacing1,List Paragraph Char Char Char,Indicator Text,List Paragraph1,Numbered Para 1,List Paragraph12,Bullet Points,MAIN CONTENT,Bullet 1,Colorful List - Accent 11,F5 List Paragraph,References,Evidence on Demand bullet points"/>
    <w:basedOn w:val="Normal"/>
    <w:link w:val="ListParagraphChar"/>
    <w:uiPriority w:val="34"/>
    <w:qFormat/>
    <w:rsid w:val="00AD1710"/>
    <w:pPr>
      <w:ind w:left="720"/>
      <w:contextualSpacing/>
    </w:p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34"/>
    <w:qFormat/>
    <w:locked/>
    <w:rsid w:val="006C32B5"/>
    <w:rPr>
      <w:rFonts w:ascii="Arial" w:hAnsi="Arial" w:cs="Arial"/>
      <w:sz w:val="24"/>
      <w:szCs w:val="24"/>
      <w:lang w:eastAsia="en-US"/>
    </w:rPr>
  </w:style>
  <w:style w:type="character" w:styleId="Hyperlink">
    <w:name w:val="Hyperlink"/>
    <w:basedOn w:val="DefaultParagraphFont"/>
    <w:uiPriority w:val="99"/>
    <w:unhideWhenUsed/>
    <w:rsid w:val="00FE1371"/>
    <w:rPr>
      <w:color w:val="0000FF" w:themeColor="hyperlink"/>
      <w:u w:val="single"/>
    </w:rPr>
  </w:style>
  <w:style w:type="character" w:customStyle="1" w:styleId="CommentTextChar">
    <w:name w:val="Comment Text Char"/>
    <w:basedOn w:val="DefaultParagraphFont"/>
    <w:link w:val="CommentText"/>
    <w:uiPriority w:val="99"/>
    <w:semiHidden/>
    <w:rsid w:val="00351EFD"/>
    <w:rPr>
      <w:rFonts w:ascii="Arial" w:hAnsi="Arial"/>
      <w:lang w:eastAsia="en-US"/>
    </w:rPr>
  </w:style>
  <w:style w:type="character" w:styleId="FollowedHyperlink">
    <w:name w:val="FollowedHyperlink"/>
    <w:basedOn w:val="DefaultParagraphFont"/>
    <w:semiHidden/>
    <w:unhideWhenUsed/>
    <w:rsid w:val="00EF7126"/>
    <w:rPr>
      <w:color w:val="800080" w:themeColor="followedHyperlink"/>
      <w:u w:val="single"/>
    </w:rPr>
  </w:style>
  <w:style w:type="paragraph" w:styleId="Revision">
    <w:name w:val="Revision"/>
    <w:hidden/>
    <w:uiPriority w:val="99"/>
    <w:semiHidden/>
    <w:rsid w:val="00EB3956"/>
    <w:rPr>
      <w:rFonts w:ascii="Arial" w:hAnsi="Arial" w:cs="Arial"/>
      <w:sz w:val="24"/>
      <w:szCs w:val="24"/>
      <w:lang w:eastAsia="en-US"/>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EA7A06"/>
    <w:pPr>
      <w:spacing w:after="160" w:line="240" w:lineRule="exact"/>
      <w:jc w:val="both"/>
    </w:pPr>
    <w:rPr>
      <w:rFonts w:ascii="Times New Roman" w:hAnsi="Times New Roman" w:cs="Times New Roman"/>
      <w:sz w:val="20"/>
      <w:szCs w:val="20"/>
      <w:vertAlign w:val="superscript"/>
      <w:lang w:eastAsia="en-GB"/>
    </w:rPr>
  </w:style>
  <w:style w:type="paragraph" w:styleId="Header">
    <w:name w:val="header"/>
    <w:basedOn w:val="Normal"/>
    <w:link w:val="HeaderChar"/>
    <w:unhideWhenUsed/>
    <w:rsid w:val="00CA2DD5"/>
    <w:pPr>
      <w:tabs>
        <w:tab w:val="center" w:pos="4513"/>
        <w:tab w:val="right" w:pos="9026"/>
      </w:tabs>
    </w:pPr>
  </w:style>
  <w:style w:type="character" w:customStyle="1" w:styleId="HeaderChar">
    <w:name w:val="Header Char"/>
    <w:basedOn w:val="DefaultParagraphFont"/>
    <w:link w:val="Header"/>
    <w:rsid w:val="00CA2D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5345">
      <w:bodyDiv w:val="1"/>
      <w:marLeft w:val="0"/>
      <w:marRight w:val="0"/>
      <w:marTop w:val="0"/>
      <w:marBottom w:val="0"/>
      <w:divBdr>
        <w:top w:val="none" w:sz="0" w:space="0" w:color="auto"/>
        <w:left w:val="none" w:sz="0" w:space="0" w:color="auto"/>
        <w:bottom w:val="none" w:sz="0" w:space="0" w:color="auto"/>
        <w:right w:val="none" w:sz="0" w:space="0" w:color="auto"/>
      </w:divBdr>
    </w:div>
    <w:div w:id="212618593">
      <w:bodyDiv w:val="1"/>
      <w:marLeft w:val="0"/>
      <w:marRight w:val="0"/>
      <w:marTop w:val="0"/>
      <w:marBottom w:val="0"/>
      <w:divBdr>
        <w:top w:val="none" w:sz="0" w:space="0" w:color="auto"/>
        <w:left w:val="none" w:sz="0" w:space="0" w:color="auto"/>
        <w:bottom w:val="none" w:sz="0" w:space="0" w:color="auto"/>
        <w:right w:val="none" w:sz="0" w:space="0" w:color="auto"/>
      </w:divBdr>
    </w:div>
    <w:div w:id="305017912">
      <w:bodyDiv w:val="1"/>
      <w:marLeft w:val="0"/>
      <w:marRight w:val="0"/>
      <w:marTop w:val="0"/>
      <w:marBottom w:val="0"/>
      <w:divBdr>
        <w:top w:val="none" w:sz="0" w:space="0" w:color="auto"/>
        <w:left w:val="none" w:sz="0" w:space="0" w:color="auto"/>
        <w:bottom w:val="none" w:sz="0" w:space="0" w:color="auto"/>
        <w:right w:val="none" w:sz="0" w:space="0" w:color="auto"/>
      </w:divBdr>
    </w:div>
    <w:div w:id="356547900">
      <w:bodyDiv w:val="1"/>
      <w:marLeft w:val="0"/>
      <w:marRight w:val="0"/>
      <w:marTop w:val="0"/>
      <w:marBottom w:val="0"/>
      <w:divBdr>
        <w:top w:val="none" w:sz="0" w:space="0" w:color="auto"/>
        <w:left w:val="none" w:sz="0" w:space="0" w:color="auto"/>
        <w:bottom w:val="none" w:sz="0" w:space="0" w:color="auto"/>
        <w:right w:val="none" w:sz="0" w:space="0" w:color="auto"/>
      </w:divBdr>
    </w:div>
    <w:div w:id="657929668">
      <w:bodyDiv w:val="1"/>
      <w:marLeft w:val="0"/>
      <w:marRight w:val="0"/>
      <w:marTop w:val="0"/>
      <w:marBottom w:val="0"/>
      <w:divBdr>
        <w:top w:val="none" w:sz="0" w:space="0" w:color="auto"/>
        <w:left w:val="none" w:sz="0" w:space="0" w:color="auto"/>
        <w:bottom w:val="none" w:sz="0" w:space="0" w:color="auto"/>
        <w:right w:val="none" w:sz="0" w:space="0" w:color="auto"/>
      </w:divBdr>
    </w:div>
    <w:div w:id="662272544">
      <w:bodyDiv w:val="1"/>
      <w:marLeft w:val="0"/>
      <w:marRight w:val="0"/>
      <w:marTop w:val="0"/>
      <w:marBottom w:val="0"/>
      <w:divBdr>
        <w:top w:val="none" w:sz="0" w:space="0" w:color="auto"/>
        <w:left w:val="none" w:sz="0" w:space="0" w:color="auto"/>
        <w:bottom w:val="none" w:sz="0" w:space="0" w:color="auto"/>
        <w:right w:val="none" w:sz="0" w:space="0" w:color="auto"/>
      </w:divBdr>
    </w:div>
    <w:div w:id="691342367">
      <w:bodyDiv w:val="1"/>
      <w:marLeft w:val="0"/>
      <w:marRight w:val="0"/>
      <w:marTop w:val="0"/>
      <w:marBottom w:val="0"/>
      <w:divBdr>
        <w:top w:val="none" w:sz="0" w:space="0" w:color="auto"/>
        <w:left w:val="none" w:sz="0" w:space="0" w:color="auto"/>
        <w:bottom w:val="none" w:sz="0" w:space="0" w:color="auto"/>
        <w:right w:val="none" w:sz="0" w:space="0" w:color="auto"/>
      </w:divBdr>
    </w:div>
    <w:div w:id="778376055">
      <w:bodyDiv w:val="1"/>
      <w:marLeft w:val="0"/>
      <w:marRight w:val="0"/>
      <w:marTop w:val="0"/>
      <w:marBottom w:val="0"/>
      <w:divBdr>
        <w:top w:val="none" w:sz="0" w:space="0" w:color="auto"/>
        <w:left w:val="none" w:sz="0" w:space="0" w:color="auto"/>
        <w:bottom w:val="none" w:sz="0" w:space="0" w:color="auto"/>
        <w:right w:val="none" w:sz="0" w:space="0" w:color="auto"/>
      </w:divBdr>
    </w:div>
    <w:div w:id="1028290243">
      <w:bodyDiv w:val="1"/>
      <w:marLeft w:val="0"/>
      <w:marRight w:val="0"/>
      <w:marTop w:val="0"/>
      <w:marBottom w:val="0"/>
      <w:divBdr>
        <w:top w:val="none" w:sz="0" w:space="0" w:color="auto"/>
        <w:left w:val="none" w:sz="0" w:space="0" w:color="auto"/>
        <w:bottom w:val="none" w:sz="0" w:space="0" w:color="auto"/>
        <w:right w:val="none" w:sz="0" w:space="0" w:color="auto"/>
      </w:divBdr>
    </w:div>
    <w:div w:id="1366179032">
      <w:bodyDiv w:val="1"/>
      <w:marLeft w:val="0"/>
      <w:marRight w:val="0"/>
      <w:marTop w:val="0"/>
      <w:marBottom w:val="0"/>
      <w:divBdr>
        <w:top w:val="none" w:sz="0" w:space="0" w:color="auto"/>
        <w:left w:val="none" w:sz="0" w:space="0" w:color="auto"/>
        <w:bottom w:val="none" w:sz="0" w:space="0" w:color="auto"/>
        <w:right w:val="none" w:sz="0" w:space="0" w:color="auto"/>
      </w:divBdr>
    </w:div>
    <w:div w:id="1496997179">
      <w:bodyDiv w:val="1"/>
      <w:marLeft w:val="0"/>
      <w:marRight w:val="0"/>
      <w:marTop w:val="0"/>
      <w:marBottom w:val="0"/>
      <w:divBdr>
        <w:top w:val="none" w:sz="0" w:space="0" w:color="auto"/>
        <w:left w:val="none" w:sz="0" w:space="0" w:color="auto"/>
        <w:bottom w:val="none" w:sz="0" w:space="0" w:color="auto"/>
        <w:right w:val="none" w:sz="0" w:space="0" w:color="auto"/>
      </w:divBdr>
    </w:div>
    <w:div w:id="1515147668">
      <w:bodyDiv w:val="1"/>
      <w:marLeft w:val="0"/>
      <w:marRight w:val="0"/>
      <w:marTop w:val="0"/>
      <w:marBottom w:val="0"/>
      <w:divBdr>
        <w:top w:val="none" w:sz="0" w:space="0" w:color="auto"/>
        <w:left w:val="none" w:sz="0" w:space="0" w:color="auto"/>
        <w:bottom w:val="none" w:sz="0" w:space="0" w:color="auto"/>
        <w:right w:val="none" w:sz="0" w:space="0" w:color="auto"/>
      </w:divBdr>
    </w:div>
    <w:div w:id="1596670893">
      <w:bodyDiv w:val="1"/>
      <w:marLeft w:val="0"/>
      <w:marRight w:val="0"/>
      <w:marTop w:val="0"/>
      <w:marBottom w:val="0"/>
      <w:divBdr>
        <w:top w:val="none" w:sz="0" w:space="0" w:color="auto"/>
        <w:left w:val="none" w:sz="0" w:space="0" w:color="auto"/>
        <w:bottom w:val="none" w:sz="0" w:space="0" w:color="auto"/>
        <w:right w:val="none" w:sz="0" w:space="0" w:color="auto"/>
      </w:divBdr>
    </w:div>
    <w:div w:id="1723289375">
      <w:bodyDiv w:val="1"/>
      <w:marLeft w:val="0"/>
      <w:marRight w:val="0"/>
      <w:marTop w:val="0"/>
      <w:marBottom w:val="0"/>
      <w:divBdr>
        <w:top w:val="none" w:sz="0" w:space="0" w:color="auto"/>
        <w:left w:val="none" w:sz="0" w:space="0" w:color="auto"/>
        <w:bottom w:val="none" w:sz="0" w:space="0" w:color="auto"/>
        <w:right w:val="none" w:sz="0" w:space="0" w:color="auto"/>
      </w:divBdr>
    </w:div>
    <w:div w:id="1755854738">
      <w:bodyDiv w:val="1"/>
      <w:marLeft w:val="0"/>
      <w:marRight w:val="0"/>
      <w:marTop w:val="0"/>
      <w:marBottom w:val="0"/>
      <w:divBdr>
        <w:top w:val="none" w:sz="0" w:space="0" w:color="auto"/>
        <w:left w:val="none" w:sz="0" w:space="0" w:color="auto"/>
        <w:bottom w:val="none" w:sz="0" w:space="0" w:color="auto"/>
        <w:right w:val="none" w:sz="0" w:space="0" w:color="auto"/>
      </w:divBdr>
    </w:div>
    <w:div w:id="197663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adb.org/en/environment/natural-capital-la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nas.org/content/114/44/11645" TargetMode="External"/><Relationship Id="rId2" Type="http://schemas.openxmlformats.org/officeDocument/2006/relationships/hyperlink" Target="https://www.cbd.int/doc/publications/cbd-ts-55-en.pdf" TargetMode="External"/><Relationship Id="rId1" Type="http://schemas.openxmlformats.org/officeDocument/2006/relationships/hyperlink" Target="https://www.ipbes.net/global-assessment-report-biodiversity-ecosystem-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haredDFIDTemplateFolder\Project%20Management\Addendum%20to%20Business%20Cas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_EmailFrom xmlns="0f50e317-d97a-4d4b-be23-be7479f90fa5"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dlc_EmailTo xmlns="0f50e317-d97a-4d4b-be23-be7479f90fa5" xsi:nil="true"/>
    <dlc_EmailSubject xmlns="0f50e317-d97a-4d4b-be23-be7479f90fa5" xsi:nil="true"/>
    <Topic xmlns="662745e8-e224-48e8-a2e3-254862b8c2f5">ICF</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8</Value>
      <Value>7</Value>
      <Value>6</Value>
    </TaxCatchAll>
    <dlc_EmailReceivedUTC xmlns="0f50e317-d97a-4d4b-be23-be7479f90fa5"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lc_EmailCC xmlns="0f50e317-d97a-4d4b-be23-be7479f90fa5" xsi:nil="true"/>
    <bcb1675984d34ae3a1ed6b6e433c98de xmlns="0f50e317-d97a-4d4b-be23-be7479f90fa5">
      <Terms xmlns="http://schemas.microsoft.com/office/infopath/2007/PartnerControls"/>
    </bcb1675984d34ae3a1ed6b6e433c98de>
    <Team xmlns="662745e8-e224-48e8-a2e3-254862b8c2f5">International</Team>
    <dlc_EmailSentUTC xmlns="0f50e317-d97a-4d4b-be23-be7479f90fa5" xsi:nil="true"/>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peb8f3fab875401ca34a9f28cac46400 xmlns="0f50e317-d97a-4d4b-be23-be7479f90fa5">
      <Terms xmlns="http://schemas.microsoft.com/office/infopath/2007/PartnerControls"/>
    </peb8f3fab875401ca34a9f28cac46400>
  </documentManagement>
</p:properties>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8C4BB38A08EB6B49842241CEB79A1730" ma:contentTypeVersion="78" ma:contentTypeDescription="new Document or upload" ma:contentTypeScope="" ma:versionID="c2d3d197bc3f59e8e7922d2e1276b2de">
  <xsd:schema xmlns:xsd="http://www.w3.org/2001/XMLSchema" xmlns:xs="http://www.w3.org/2001/XMLSchema" xmlns:p="http://schemas.microsoft.com/office/2006/metadata/properties" xmlns:ns2="0f50e317-d97a-4d4b-be23-be7479f90fa5" xmlns:ns3="662745e8-e224-48e8-a2e3-254862b8c2f5" xmlns:ns4="74475ecf-4183-41e0-a90f-db912eadf13f" targetNamespace="http://schemas.microsoft.com/office/2006/metadata/properties" ma:root="true" ma:fieldsID="e1fd6c2ee2790689261c3ebb2da55d92" ns2:_="" ns3:_="" ns4:_="">
    <xsd:import namespace="0f50e317-d97a-4d4b-be23-be7479f90fa5"/>
    <xsd:import namespace="662745e8-e224-48e8-a2e3-254862b8c2f5"/>
    <xsd:import namespace="74475ecf-4183-41e0-a90f-db912eadf13f"/>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0e317-d97a-4d4b-be23-be7479f90fa5"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International" ma:internalName="Team">
      <xsd:simpleType>
        <xsd:restriction base="dms:Text"/>
      </xsd:simpleType>
    </xsd:element>
    <xsd:element name="Topic" ma:index="18" nillable="true" ma:displayName="Topic" ma:default="ICF"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6aa36ca5-392a-411c-bda6-8ea3e20f0f8b}" ma:internalName="TaxCatchAllLabel" ma:readOnly="false" ma:showField="CatchAllDataLabel" ma:web="0f50e317-d97a-4d4b-be23-be7479f90fa5">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6aa36ca5-392a-411c-bda6-8ea3e20f0f8b}" ma:internalName="TaxCatchAll" ma:readOnly="false" ma:showField="CatchAllData" ma:web="0f50e317-d97a-4d4b-be23-be7479f90f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75ecf-4183-41e0-a90f-db912eadf13f"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AutoTags" ma:index="39" nillable="true" ma:displayName="Tags" ma:internalName="MediaServiceAutoTags"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DateTaken" ma:index="43" nillable="true" ma:displayName="MediaServiceDateTaken" ma:hidden="true" ma:internalName="MediaServiceDateTaken"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45FA-C137-4C99-B636-C3534C6EABFE}">
  <ds:schemaRefs>
    <ds:schemaRef ds:uri="74475ecf-4183-41e0-a90f-db912eadf13f"/>
    <ds:schemaRef ds:uri="http://purl.org/dc/elements/1.1/"/>
    <ds:schemaRef ds:uri="http://www.w3.org/XML/1998/namespace"/>
    <ds:schemaRef ds:uri="662745e8-e224-48e8-a2e3-254862b8c2f5"/>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f50e317-d97a-4d4b-be23-be7479f90fa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8A158C8-DD46-4034-B6A4-2442A963163E}">
  <ds:schemaRefs>
    <ds:schemaRef ds:uri="Microsoft.SharePoint.Taxonomy.ContentTypeSync"/>
  </ds:schemaRefs>
</ds:datastoreItem>
</file>

<file path=customXml/itemProps3.xml><?xml version="1.0" encoding="utf-8"?>
<ds:datastoreItem xmlns:ds="http://schemas.openxmlformats.org/officeDocument/2006/customXml" ds:itemID="{B4146AE9-EB6A-493F-BB9A-EF8083FA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0e317-d97a-4d4b-be23-be7479f90fa5"/>
    <ds:schemaRef ds:uri="662745e8-e224-48e8-a2e3-254862b8c2f5"/>
    <ds:schemaRef ds:uri="74475ecf-4183-41e0-a90f-db912eadf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9443B-AA0C-4BF8-B8B9-0F087C4E13A5}">
  <ds:schemaRefs>
    <ds:schemaRef ds:uri="http://schemas.microsoft.com/sharepoint/v3/contenttype/forms"/>
  </ds:schemaRefs>
</ds:datastoreItem>
</file>

<file path=customXml/itemProps5.xml><?xml version="1.0" encoding="utf-8"?>
<ds:datastoreItem xmlns:ds="http://schemas.openxmlformats.org/officeDocument/2006/customXml" ds:itemID="{6E671DD9-B11A-4119-942C-FDBCE7E7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Addendum to Business Case form</Template>
  <TotalTime>0</TotalTime>
  <Pages>7</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Template_Addendum to the Business Case</vt:lpstr>
    </vt:vector>
  </TitlesOfParts>
  <Company>DFID</Company>
  <LinksUpToDate>false</LinksUpToDate>
  <CharactersWithSpaces>18912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Template_Addendum to the Business Case</dc:title>
  <dc:creator>Syed, Sehr - HMT</dc:creator>
  <cp:lastModifiedBy>Henderson, Antony (DEFRA)</cp:lastModifiedBy>
  <cp:revision>2</cp:revision>
  <cp:lastPrinted>2013-07-24T14:34:00Z</cp:lastPrinted>
  <dcterms:created xsi:type="dcterms:W3CDTF">2020-06-05T13:44:00Z</dcterms:created>
  <dcterms:modified xsi:type="dcterms:W3CDTF">2020-06-05T13:44:00Z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Document Type">
    <vt:lpwstr>Addendum to the Business Case</vt:lpwstr>
  </property>
  <property fmtid="{D5CDD505-2E9C-101B-9397-08002B2CF9AE}" pid="3" name="ContentTypeId">
    <vt:lpwstr>0x010100A5BF1C78D9F64B679A5EBDE1C6598EBC01008C4BB38A08EB6B49842241CEB79A1730</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