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B3AE" w14:textId="1F313549" w:rsidR="006F3AE7" w:rsidRPr="00227210" w:rsidRDefault="002F3488" w:rsidP="00227210">
      <w:pPr>
        <w:pStyle w:val="Heading2"/>
        <w:jc w:val="center"/>
        <w:rPr>
          <w:i w:val="0"/>
        </w:rPr>
      </w:pPr>
      <w:r>
        <w:rPr>
          <w:i w:val="0"/>
        </w:rPr>
        <w:t xml:space="preserve">Eco. Business </w:t>
      </w:r>
      <w:r w:rsidR="006F3AE7" w:rsidRPr="00227210">
        <w:rPr>
          <w:i w:val="0"/>
        </w:rPr>
        <w:t>Annual Review</w:t>
      </w:r>
      <w:r w:rsidR="009A5EAD" w:rsidRPr="00227210">
        <w:rPr>
          <w:i w:val="0"/>
        </w:rPr>
        <w:t xml:space="preserve"> </w:t>
      </w:r>
      <w:r w:rsidR="006F3AE7" w:rsidRPr="00227210">
        <w:rPr>
          <w:i w:val="0"/>
        </w:rPr>
        <w:t>– 2020</w:t>
      </w:r>
      <w:r>
        <w:rPr>
          <w:i w:val="0"/>
        </w:rPr>
        <w:t xml:space="preserve"> Performance</w:t>
      </w:r>
    </w:p>
    <w:p w14:paraId="4F1FFEFD" w14:textId="77777777" w:rsidR="006F3AE7" w:rsidRPr="00F70DBE" w:rsidRDefault="006F3AE7" w:rsidP="006F3AE7">
      <w:pPr>
        <w:rPr>
          <w:b/>
          <w:sz w:val="22"/>
          <w:szCs w:val="22"/>
        </w:rPr>
      </w:pPr>
    </w:p>
    <w:tbl>
      <w:tblPr>
        <w:tblStyle w:val="TableGrid"/>
        <w:tblW w:w="0" w:type="auto"/>
        <w:tblLook w:val="04A0" w:firstRow="1" w:lastRow="0" w:firstColumn="1" w:lastColumn="0" w:noHBand="0" w:noVBand="1"/>
      </w:tblPr>
      <w:tblGrid>
        <w:gridCol w:w="3964"/>
        <w:gridCol w:w="2410"/>
        <w:gridCol w:w="2642"/>
      </w:tblGrid>
      <w:tr w:rsidR="006F3AE7" w:rsidRPr="00F70DBE" w14:paraId="47F4281E" w14:textId="77777777" w:rsidTr="0116275A">
        <w:trPr>
          <w:trHeight w:val="407"/>
        </w:trPr>
        <w:tc>
          <w:tcPr>
            <w:tcW w:w="9016" w:type="dxa"/>
            <w:gridSpan w:val="3"/>
            <w:tcBorders>
              <w:top w:val="single" w:sz="4" w:space="0" w:color="auto"/>
              <w:left w:val="single" w:sz="4" w:space="0" w:color="auto"/>
              <w:bottom w:val="dotted" w:sz="2" w:space="0" w:color="000000" w:themeColor="text1"/>
              <w:right w:val="single" w:sz="4" w:space="0" w:color="auto"/>
            </w:tcBorders>
          </w:tcPr>
          <w:p w14:paraId="19861584" w14:textId="1859B268" w:rsidR="006F3AE7" w:rsidRPr="00CC6489" w:rsidRDefault="006F3AE7" w:rsidP="00FD6297">
            <w:pPr>
              <w:rPr>
                <w:b/>
                <w:sz w:val="20"/>
                <w:szCs w:val="22"/>
              </w:rPr>
            </w:pPr>
            <w:r w:rsidRPr="00CC6489">
              <w:rPr>
                <w:b/>
                <w:sz w:val="20"/>
                <w:szCs w:val="22"/>
              </w:rPr>
              <w:t xml:space="preserve">Title:  </w:t>
            </w:r>
            <w:r w:rsidR="002F3488" w:rsidRPr="002F3488">
              <w:rPr>
                <w:bCs/>
                <w:sz w:val="20"/>
                <w:szCs w:val="22"/>
              </w:rPr>
              <w:t>Eco. Business Fund (EBF)</w:t>
            </w:r>
          </w:p>
        </w:tc>
      </w:tr>
      <w:tr w:rsidR="006F3AE7" w:rsidRPr="00F70DBE" w14:paraId="0D529975" w14:textId="77777777" w:rsidTr="0116275A">
        <w:trPr>
          <w:trHeight w:val="413"/>
        </w:trPr>
        <w:tc>
          <w:tcPr>
            <w:tcW w:w="6374" w:type="dxa"/>
            <w:gridSpan w:val="2"/>
            <w:tcBorders>
              <w:top w:val="dotted" w:sz="2" w:space="0" w:color="000000" w:themeColor="text1"/>
              <w:left w:val="single" w:sz="4" w:space="0" w:color="000000" w:themeColor="text1"/>
              <w:bottom w:val="dotted" w:sz="2" w:space="0" w:color="000000" w:themeColor="text1"/>
              <w:right w:val="dotted" w:sz="2" w:space="0" w:color="000000" w:themeColor="text1"/>
            </w:tcBorders>
            <w:hideMark/>
          </w:tcPr>
          <w:p w14:paraId="7CB3E574" w14:textId="11927ED7" w:rsidR="006F3AE7" w:rsidRPr="00CC6489" w:rsidRDefault="006F3AE7" w:rsidP="0F40B7D6">
            <w:pPr>
              <w:rPr>
                <w:b/>
                <w:bCs/>
                <w:sz w:val="20"/>
                <w:szCs w:val="20"/>
              </w:rPr>
            </w:pPr>
            <w:r w:rsidRPr="0F40B7D6">
              <w:rPr>
                <w:b/>
                <w:bCs/>
                <w:sz w:val="20"/>
                <w:szCs w:val="20"/>
              </w:rPr>
              <w:t xml:space="preserve">Programme Value £ (full life): </w:t>
            </w:r>
            <w:r w:rsidR="002F3488" w:rsidRPr="0F40B7D6">
              <w:rPr>
                <w:sz w:val="20"/>
                <w:szCs w:val="20"/>
              </w:rPr>
              <w:t>£32.6 million</w:t>
            </w:r>
          </w:p>
        </w:tc>
        <w:tc>
          <w:tcPr>
            <w:tcW w:w="2642" w:type="dxa"/>
            <w:tcBorders>
              <w:top w:val="dotted" w:sz="2" w:space="0" w:color="000000" w:themeColor="text1"/>
              <w:left w:val="dotted" w:sz="2" w:space="0" w:color="000000" w:themeColor="text1"/>
              <w:bottom w:val="dotted" w:sz="2" w:space="0" w:color="000000" w:themeColor="text1"/>
              <w:right w:val="single" w:sz="4" w:space="0" w:color="000000" w:themeColor="text1"/>
            </w:tcBorders>
            <w:hideMark/>
          </w:tcPr>
          <w:p w14:paraId="1C769C30" w14:textId="6B96786C" w:rsidR="006F3AE7" w:rsidRPr="00CC6489" w:rsidRDefault="006F3AE7" w:rsidP="00FD6297">
            <w:pPr>
              <w:rPr>
                <w:b/>
                <w:sz w:val="20"/>
                <w:szCs w:val="22"/>
              </w:rPr>
            </w:pPr>
            <w:r w:rsidRPr="00CC6489">
              <w:rPr>
                <w:b/>
                <w:sz w:val="20"/>
                <w:szCs w:val="22"/>
              </w:rPr>
              <w:t xml:space="preserve">Review </w:t>
            </w:r>
            <w:r w:rsidR="002816BC">
              <w:rPr>
                <w:b/>
                <w:sz w:val="20"/>
                <w:szCs w:val="22"/>
              </w:rPr>
              <w:t>d</w:t>
            </w:r>
            <w:r w:rsidRPr="00CC6489">
              <w:rPr>
                <w:b/>
                <w:sz w:val="20"/>
                <w:szCs w:val="22"/>
              </w:rPr>
              <w:t>ate:</w:t>
            </w:r>
            <w:r w:rsidRPr="002F3488">
              <w:rPr>
                <w:bCs/>
                <w:sz w:val="20"/>
                <w:szCs w:val="22"/>
              </w:rPr>
              <w:t xml:space="preserve"> </w:t>
            </w:r>
            <w:r w:rsidR="002F3488" w:rsidRPr="002F3488">
              <w:rPr>
                <w:bCs/>
                <w:sz w:val="20"/>
                <w:szCs w:val="22"/>
              </w:rPr>
              <w:t>2021</w:t>
            </w:r>
          </w:p>
        </w:tc>
      </w:tr>
      <w:tr w:rsidR="006F3AE7" w:rsidRPr="00F70DBE" w14:paraId="7BCDC10B" w14:textId="77777777" w:rsidTr="0116275A">
        <w:trPr>
          <w:trHeight w:val="300"/>
        </w:trPr>
        <w:tc>
          <w:tcPr>
            <w:tcW w:w="3964" w:type="dxa"/>
            <w:tcBorders>
              <w:top w:val="dotted" w:sz="2" w:space="0" w:color="000000" w:themeColor="text1"/>
              <w:left w:val="single" w:sz="4" w:space="0" w:color="auto"/>
              <w:bottom w:val="single" w:sz="4" w:space="0" w:color="auto"/>
              <w:right w:val="dotted" w:sz="2" w:space="0" w:color="000000" w:themeColor="text1"/>
            </w:tcBorders>
          </w:tcPr>
          <w:p w14:paraId="34D5E3F0" w14:textId="46FE9E9C" w:rsidR="006F3AE7" w:rsidRPr="00CC6489" w:rsidRDefault="006F3AE7" w:rsidP="00FD6297">
            <w:pPr>
              <w:rPr>
                <w:b/>
                <w:sz w:val="20"/>
                <w:szCs w:val="22"/>
              </w:rPr>
            </w:pPr>
            <w:r w:rsidRPr="00CC6489">
              <w:rPr>
                <w:b/>
                <w:sz w:val="20"/>
                <w:szCs w:val="22"/>
              </w:rPr>
              <w:t xml:space="preserve">Programme Code: </w:t>
            </w:r>
            <w:r w:rsidR="002F3488" w:rsidRPr="002F3488">
              <w:rPr>
                <w:sz w:val="20"/>
                <w:szCs w:val="22"/>
              </w:rPr>
              <w:t>GB-GOV-GB-7-P00052-ICF-P0003-ECO.B</w:t>
            </w:r>
          </w:p>
          <w:p w14:paraId="0C963E24" w14:textId="77777777" w:rsidR="006F3AE7" w:rsidRPr="00CC6489" w:rsidRDefault="006F3AE7" w:rsidP="00FD6297">
            <w:pPr>
              <w:rPr>
                <w:b/>
                <w:sz w:val="20"/>
                <w:szCs w:val="22"/>
              </w:rPr>
            </w:pPr>
          </w:p>
        </w:tc>
        <w:tc>
          <w:tcPr>
            <w:tcW w:w="2410" w:type="dxa"/>
            <w:tcBorders>
              <w:top w:val="dotted" w:sz="2" w:space="0" w:color="000000" w:themeColor="text1"/>
              <w:left w:val="dotted" w:sz="2" w:space="0" w:color="000000" w:themeColor="text1"/>
              <w:bottom w:val="single" w:sz="4" w:space="0" w:color="000000" w:themeColor="text1"/>
              <w:right w:val="dotted" w:sz="2" w:space="0" w:color="000000" w:themeColor="text1"/>
            </w:tcBorders>
            <w:hideMark/>
          </w:tcPr>
          <w:p w14:paraId="72F40D92" w14:textId="35A23275" w:rsidR="006F3AE7" w:rsidRDefault="7E8CE7A4" w:rsidP="0116275A">
            <w:pPr>
              <w:rPr>
                <w:sz w:val="20"/>
                <w:szCs w:val="20"/>
              </w:rPr>
            </w:pPr>
            <w:r w:rsidRPr="0116275A">
              <w:rPr>
                <w:b/>
                <w:bCs/>
                <w:sz w:val="20"/>
                <w:szCs w:val="20"/>
              </w:rPr>
              <w:t>AMP (Aid Management Platform)</w:t>
            </w:r>
            <w:r w:rsidR="06A60E9D" w:rsidRPr="0116275A">
              <w:rPr>
                <w:b/>
                <w:bCs/>
                <w:sz w:val="20"/>
                <w:szCs w:val="20"/>
              </w:rPr>
              <w:t xml:space="preserve"> start d</w:t>
            </w:r>
            <w:r w:rsidR="006F3AE7" w:rsidRPr="0116275A">
              <w:rPr>
                <w:b/>
                <w:bCs/>
                <w:sz w:val="20"/>
                <w:szCs w:val="20"/>
              </w:rPr>
              <w:t>ate:</w:t>
            </w:r>
            <w:r w:rsidR="006F3AE7" w:rsidRPr="0116275A">
              <w:rPr>
                <w:sz w:val="20"/>
                <w:szCs w:val="20"/>
              </w:rPr>
              <w:t xml:space="preserve"> </w:t>
            </w:r>
          </w:p>
          <w:p w14:paraId="691B88B9" w14:textId="620B9D4B" w:rsidR="002F3488" w:rsidRPr="002F3488" w:rsidRDefault="002F3488" w:rsidP="002F3488">
            <w:pPr>
              <w:rPr>
                <w:bCs/>
                <w:sz w:val="20"/>
                <w:szCs w:val="22"/>
              </w:rPr>
            </w:pPr>
            <w:r w:rsidRPr="002F3488">
              <w:rPr>
                <w:bCs/>
                <w:sz w:val="20"/>
                <w:szCs w:val="22"/>
              </w:rPr>
              <w:t xml:space="preserve">Fund inception: January 2015 </w:t>
            </w:r>
          </w:p>
          <w:p w14:paraId="60590C0E" w14:textId="77777777" w:rsidR="002F3488" w:rsidRPr="002F3488" w:rsidRDefault="002F3488" w:rsidP="002F3488">
            <w:pPr>
              <w:rPr>
                <w:bCs/>
                <w:sz w:val="20"/>
                <w:szCs w:val="22"/>
              </w:rPr>
            </w:pPr>
            <w:r w:rsidRPr="002F3488">
              <w:rPr>
                <w:bCs/>
                <w:sz w:val="20"/>
                <w:szCs w:val="22"/>
              </w:rPr>
              <w:t xml:space="preserve">Promissory Note (£20m): December 2015 </w:t>
            </w:r>
          </w:p>
          <w:p w14:paraId="7ADA9748" w14:textId="460CA04B" w:rsidR="002F3488" w:rsidRPr="00CC6489" w:rsidRDefault="00C7E9BB" w:rsidP="0116275A">
            <w:pPr>
              <w:rPr>
                <w:b/>
                <w:bCs/>
                <w:sz w:val="20"/>
                <w:szCs w:val="20"/>
              </w:rPr>
            </w:pPr>
            <w:r w:rsidRPr="0116275A">
              <w:rPr>
                <w:sz w:val="20"/>
                <w:szCs w:val="20"/>
              </w:rPr>
              <w:t xml:space="preserve">Further </w:t>
            </w:r>
            <w:r w:rsidR="002F3488" w:rsidRPr="0116275A">
              <w:rPr>
                <w:sz w:val="20"/>
                <w:szCs w:val="20"/>
              </w:rPr>
              <w:t>investment (£12.6m): December 2019</w:t>
            </w:r>
          </w:p>
        </w:tc>
        <w:tc>
          <w:tcPr>
            <w:tcW w:w="2642" w:type="dxa"/>
            <w:tcBorders>
              <w:top w:val="dotted" w:sz="2" w:space="0" w:color="000000" w:themeColor="text1"/>
              <w:left w:val="dotted" w:sz="2" w:space="0" w:color="000000" w:themeColor="text1"/>
              <w:bottom w:val="single" w:sz="4" w:space="0" w:color="auto"/>
              <w:right w:val="single" w:sz="4" w:space="0" w:color="auto"/>
            </w:tcBorders>
            <w:hideMark/>
          </w:tcPr>
          <w:p w14:paraId="3BD0E029" w14:textId="77777777" w:rsidR="006F3AE7" w:rsidRDefault="002816BC" w:rsidP="00FD6297">
            <w:pPr>
              <w:rPr>
                <w:sz w:val="20"/>
              </w:rPr>
            </w:pPr>
            <w:r>
              <w:rPr>
                <w:b/>
                <w:sz w:val="20"/>
                <w:szCs w:val="22"/>
              </w:rPr>
              <w:t>AMP end d</w:t>
            </w:r>
            <w:r w:rsidR="006F3AE7" w:rsidRPr="00CC6489">
              <w:rPr>
                <w:b/>
                <w:sz w:val="20"/>
                <w:szCs w:val="22"/>
              </w:rPr>
              <w:t>ate:</w:t>
            </w:r>
            <w:r w:rsidR="006F3AE7" w:rsidRPr="00CC6489">
              <w:rPr>
                <w:sz w:val="20"/>
              </w:rPr>
              <w:t xml:space="preserve"> </w:t>
            </w:r>
          </w:p>
          <w:p w14:paraId="2EEAABCE" w14:textId="5E7C05D1" w:rsidR="002F3488" w:rsidRPr="002F3488" w:rsidRDefault="002F3488" w:rsidP="00FD6297">
            <w:pPr>
              <w:rPr>
                <w:bCs/>
                <w:sz w:val="20"/>
                <w:szCs w:val="22"/>
              </w:rPr>
            </w:pPr>
            <w:r w:rsidRPr="002F3488">
              <w:rPr>
                <w:bCs/>
                <w:sz w:val="20"/>
                <w:szCs w:val="22"/>
              </w:rPr>
              <w:t>Provision for the Department for Environment, Food and Rural Affairs (Defra) investment to be returned in December 2030 and 2035</w:t>
            </w:r>
            <w:r>
              <w:rPr>
                <w:bCs/>
                <w:sz w:val="20"/>
                <w:szCs w:val="22"/>
              </w:rPr>
              <w:t xml:space="preserve"> respectively</w:t>
            </w:r>
          </w:p>
        </w:tc>
      </w:tr>
    </w:tbl>
    <w:p w14:paraId="1F73C094" w14:textId="77777777" w:rsidR="006F3AE7" w:rsidRPr="00F70DBE" w:rsidRDefault="006F3AE7" w:rsidP="006F3AE7">
      <w:pPr>
        <w:rPr>
          <w:b/>
          <w:sz w:val="22"/>
          <w:szCs w:val="22"/>
        </w:rPr>
      </w:pPr>
    </w:p>
    <w:p w14:paraId="36AFB1BA" w14:textId="77777777" w:rsidR="006F3AE7" w:rsidRPr="00CC6489" w:rsidRDefault="006F3AE7" w:rsidP="006F3AE7">
      <w:pPr>
        <w:rPr>
          <w:b/>
          <w:sz w:val="22"/>
          <w:szCs w:val="22"/>
        </w:rPr>
      </w:pPr>
      <w:r w:rsidRPr="00CC6489">
        <w:rPr>
          <w:b/>
          <w:sz w:val="22"/>
          <w:szCs w:val="22"/>
        </w:rPr>
        <w:t xml:space="preserve">Summary of Programme Performance </w:t>
      </w:r>
    </w:p>
    <w:tbl>
      <w:tblPr>
        <w:tblStyle w:val="TableGrid"/>
        <w:tblW w:w="0" w:type="auto"/>
        <w:tblLook w:val="04A0" w:firstRow="1" w:lastRow="0" w:firstColumn="1" w:lastColumn="0" w:noHBand="0" w:noVBand="1"/>
      </w:tblPr>
      <w:tblGrid>
        <w:gridCol w:w="2059"/>
        <w:gridCol w:w="1107"/>
        <w:gridCol w:w="1106"/>
        <w:gridCol w:w="1106"/>
        <w:gridCol w:w="1106"/>
      </w:tblGrid>
      <w:tr w:rsidR="002F3488" w:rsidRPr="00CC6489" w14:paraId="3FAAC49F" w14:textId="77777777" w:rsidTr="2B03FCAC">
        <w:tc>
          <w:tcPr>
            <w:tcW w:w="205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D41FCBF" w14:textId="77777777" w:rsidR="002F3488" w:rsidRPr="00CC6489" w:rsidRDefault="002F3488" w:rsidP="00FD6297">
            <w:pPr>
              <w:rPr>
                <w:sz w:val="20"/>
                <w:szCs w:val="22"/>
              </w:rPr>
            </w:pPr>
            <w:r w:rsidRPr="00CC6489">
              <w:rPr>
                <w:sz w:val="20"/>
                <w:szCs w:val="22"/>
              </w:rPr>
              <w:t>Year</w:t>
            </w:r>
          </w:p>
        </w:tc>
        <w:tc>
          <w:tcPr>
            <w:tcW w:w="1107" w:type="dxa"/>
            <w:tcBorders>
              <w:top w:val="single" w:sz="4" w:space="0" w:color="auto"/>
              <w:left w:val="single" w:sz="4" w:space="0" w:color="auto"/>
              <w:bottom w:val="single" w:sz="4" w:space="0" w:color="auto"/>
              <w:right w:val="single" w:sz="4" w:space="0" w:color="auto"/>
            </w:tcBorders>
          </w:tcPr>
          <w:p w14:paraId="3789EC80" w14:textId="212A38CC" w:rsidR="002F3488" w:rsidRPr="00CC6489" w:rsidRDefault="002F3488" w:rsidP="002F3488">
            <w:pPr>
              <w:jc w:val="center"/>
              <w:rPr>
                <w:b/>
                <w:sz w:val="20"/>
                <w:szCs w:val="22"/>
              </w:rPr>
            </w:pPr>
            <w:r>
              <w:rPr>
                <w:b/>
                <w:sz w:val="20"/>
                <w:szCs w:val="22"/>
              </w:rPr>
              <w:t>2017</w:t>
            </w:r>
          </w:p>
        </w:tc>
        <w:tc>
          <w:tcPr>
            <w:tcW w:w="1106" w:type="dxa"/>
            <w:tcBorders>
              <w:top w:val="single" w:sz="4" w:space="0" w:color="auto"/>
              <w:left w:val="single" w:sz="4" w:space="0" w:color="auto"/>
              <w:bottom w:val="single" w:sz="4" w:space="0" w:color="auto"/>
              <w:right w:val="single" w:sz="4" w:space="0" w:color="auto"/>
            </w:tcBorders>
          </w:tcPr>
          <w:p w14:paraId="4142BE6C" w14:textId="2B645EC0" w:rsidR="002F3488" w:rsidRPr="00CC6489" w:rsidRDefault="002F3488" w:rsidP="002F3488">
            <w:pPr>
              <w:jc w:val="center"/>
              <w:rPr>
                <w:b/>
                <w:sz w:val="20"/>
                <w:szCs w:val="22"/>
              </w:rPr>
            </w:pPr>
            <w:r>
              <w:rPr>
                <w:b/>
                <w:sz w:val="20"/>
                <w:szCs w:val="22"/>
              </w:rPr>
              <w:t>2018</w:t>
            </w:r>
          </w:p>
        </w:tc>
        <w:tc>
          <w:tcPr>
            <w:tcW w:w="1106" w:type="dxa"/>
            <w:tcBorders>
              <w:top w:val="single" w:sz="4" w:space="0" w:color="auto"/>
              <w:left w:val="single" w:sz="4" w:space="0" w:color="auto"/>
              <w:bottom w:val="single" w:sz="4" w:space="0" w:color="auto"/>
              <w:right w:val="single" w:sz="4" w:space="0" w:color="auto"/>
            </w:tcBorders>
          </w:tcPr>
          <w:p w14:paraId="388FF97F" w14:textId="60B6ACC9" w:rsidR="002F3488" w:rsidRPr="00CC6489" w:rsidRDefault="002F3488" w:rsidP="002F3488">
            <w:pPr>
              <w:jc w:val="center"/>
              <w:rPr>
                <w:b/>
                <w:sz w:val="20"/>
                <w:szCs w:val="22"/>
              </w:rPr>
            </w:pPr>
            <w:r>
              <w:rPr>
                <w:b/>
                <w:sz w:val="20"/>
                <w:szCs w:val="22"/>
              </w:rPr>
              <w:t>2019</w:t>
            </w:r>
          </w:p>
        </w:tc>
        <w:tc>
          <w:tcPr>
            <w:tcW w:w="806" w:type="dxa"/>
            <w:tcBorders>
              <w:top w:val="single" w:sz="4" w:space="0" w:color="auto"/>
              <w:left w:val="single" w:sz="4" w:space="0" w:color="auto"/>
              <w:bottom w:val="single" w:sz="4" w:space="0" w:color="auto"/>
              <w:right w:val="single" w:sz="4" w:space="0" w:color="auto"/>
            </w:tcBorders>
          </w:tcPr>
          <w:p w14:paraId="066342D3" w14:textId="7A4E5E3C" w:rsidR="002F3488" w:rsidRPr="00CC6489" w:rsidRDefault="002F3488" w:rsidP="00FD6297">
            <w:pPr>
              <w:rPr>
                <w:b/>
                <w:sz w:val="20"/>
                <w:szCs w:val="22"/>
              </w:rPr>
            </w:pPr>
            <w:r>
              <w:rPr>
                <w:b/>
                <w:sz w:val="20"/>
                <w:szCs w:val="22"/>
              </w:rPr>
              <w:t>2020</w:t>
            </w:r>
          </w:p>
        </w:tc>
      </w:tr>
      <w:tr w:rsidR="002F3488" w:rsidRPr="00CC6489" w14:paraId="07C3274D" w14:textId="77777777" w:rsidTr="2B03FCAC">
        <w:tc>
          <w:tcPr>
            <w:tcW w:w="205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545D41E" w14:textId="2FC46EB2" w:rsidR="002F3488" w:rsidRPr="00CC6489" w:rsidRDefault="002F3488" w:rsidP="00FD6297">
            <w:pPr>
              <w:rPr>
                <w:sz w:val="20"/>
                <w:szCs w:val="22"/>
              </w:rPr>
            </w:pPr>
            <w:r w:rsidRPr="00CC6489">
              <w:rPr>
                <w:sz w:val="20"/>
                <w:szCs w:val="22"/>
              </w:rPr>
              <w:t>Overall Output Score</w:t>
            </w:r>
          </w:p>
        </w:tc>
        <w:tc>
          <w:tcPr>
            <w:tcW w:w="1107" w:type="dxa"/>
            <w:tcBorders>
              <w:top w:val="single" w:sz="4" w:space="0" w:color="auto"/>
              <w:left w:val="single" w:sz="4" w:space="0" w:color="auto"/>
              <w:bottom w:val="single" w:sz="4" w:space="0" w:color="auto"/>
              <w:right w:val="single" w:sz="4" w:space="0" w:color="auto"/>
            </w:tcBorders>
          </w:tcPr>
          <w:p w14:paraId="32E739E6" w14:textId="2B822221" w:rsidR="002F3488" w:rsidRPr="00CC6489" w:rsidRDefault="002F3488" w:rsidP="002F3488">
            <w:pPr>
              <w:jc w:val="center"/>
              <w:rPr>
                <w:b/>
                <w:sz w:val="20"/>
                <w:szCs w:val="22"/>
              </w:rPr>
            </w:pPr>
            <w:r>
              <w:rPr>
                <w:b/>
                <w:sz w:val="20"/>
                <w:szCs w:val="22"/>
              </w:rPr>
              <w:t>A</w:t>
            </w:r>
          </w:p>
        </w:tc>
        <w:tc>
          <w:tcPr>
            <w:tcW w:w="1106" w:type="dxa"/>
            <w:tcBorders>
              <w:top w:val="single" w:sz="4" w:space="0" w:color="auto"/>
              <w:left w:val="single" w:sz="4" w:space="0" w:color="auto"/>
              <w:bottom w:val="single" w:sz="4" w:space="0" w:color="auto"/>
              <w:right w:val="single" w:sz="4" w:space="0" w:color="auto"/>
            </w:tcBorders>
          </w:tcPr>
          <w:p w14:paraId="6BA4EC77" w14:textId="3A64090E" w:rsidR="002F3488" w:rsidRPr="00CC6489" w:rsidRDefault="002F3488" w:rsidP="002F3488">
            <w:pPr>
              <w:jc w:val="center"/>
              <w:rPr>
                <w:b/>
                <w:sz w:val="20"/>
                <w:szCs w:val="22"/>
              </w:rPr>
            </w:pPr>
            <w:r>
              <w:rPr>
                <w:b/>
                <w:sz w:val="20"/>
                <w:szCs w:val="22"/>
              </w:rPr>
              <w:t>A</w:t>
            </w:r>
          </w:p>
        </w:tc>
        <w:tc>
          <w:tcPr>
            <w:tcW w:w="1106" w:type="dxa"/>
            <w:tcBorders>
              <w:top w:val="single" w:sz="4" w:space="0" w:color="auto"/>
              <w:left w:val="single" w:sz="4" w:space="0" w:color="auto"/>
              <w:bottom w:val="single" w:sz="4" w:space="0" w:color="auto"/>
              <w:right w:val="single" w:sz="4" w:space="0" w:color="auto"/>
            </w:tcBorders>
          </w:tcPr>
          <w:p w14:paraId="31108F1C" w14:textId="13DDB7AD" w:rsidR="002F3488" w:rsidRPr="00CC6489" w:rsidRDefault="002F3488" w:rsidP="2B03FCAC">
            <w:pPr>
              <w:jc w:val="center"/>
              <w:rPr>
                <w:b/>
                <w:bCs/>
                <w:sz w:val="20"/>
                <w:szCs w:val="20"/>
              </w:rPr>
            </w:pPr>
            <w:r w:rsidRPr="2B03FCAC">
              <w:rPr>
                <w:b/>
                <w:bCs/>
                <w:sz w:val="20"/>
                <w:szCs w:val="20"/>
              </w:rPr>
              <w:t>A+</w:t>
            </w:r>
          </w:p>
        </w:tc>
        <w:tc>
          <w:tcPr>
            <w:tcW w:w="806" w:type="dxa"/>
            <w:tcBorders>
              <w:top w:val="single" w:sz="4" w:space="0" w:color="auto"/>
              <w:left w:val="single" w:sz="4" w:space="0" w:color="auto"/>
              <w:bottom w:val="single" w:sz="4" w:space="0" w:color="auto"/>
              <w:right w:val="single" w:sz="4" w:space="0" w:color="auto"/>
            </w:tcBorders>
          </w:tcPr>
          <w:p w14:paraId="634F0501" w14:textId="0EFB03A2" w:rsidR="002F3488" w:rsidRPr="00CC6489" w:rsidRDefault="11AB4159" w:rsidP="0116275A">
            <w:pPr>
              <w:rPr>
                <w:b/>
                <w:bCs/>
                <w:sz w:val="20"/>
                <w:szCs w:val="20"/>
              </w:rPr>
            </w:pPr>
            <w:r w:rsidRPr="0116275A">
              <w:rPr>
                <w:b/>
                <w:bCs/>
                <w:sz w:val="20"/>
                <w:szCs w:val="20"/>
              </w:rPr>
              <w:t>A</w:t>
            </w:r>
          </w:p>
        </w:tc>
      </w:tr>
      <w:tr w:rsidR="002F3488" w:rsidRPr="00CC6489" w14:paraId="29305AB3" w14:textId="77777777" w:rsidTr="2B03FCAC">
        <w:trPr>
          <w:trHeight w:val="309"/>
        </w:trPr>
        <w:tc>
          <w:tcPr>
            <w:tcW w:w="205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4C76BE5" w14:textId="77777777" w:rsidR="002F3488" w:rsidRPr="00CC6489" w:rsidRDefault="002F3488" w:rsidP="00FD6297">
            <w:pPr>
              <w:rPr>
                <w:sz w:val="20"/>
                <w:szCs w:val="22"/>
              </w:rPr>
            </w:pPr>
            <w:r w:rsidRPr="00CC6489">
              <w:rPr>
                <w:sz w:val="20"/>
                <w:szCs w:val="22"/>
              </w:rPr>
              <w:t>Risk Rating</w:t>
            </w:r>
            <w:r w:rsidRPr="00CC6489">
              <w:rPr>
                <w:sz w:val="22"/>
              </w:rPr>
              <w:t xml:space="preserve"> </w:t>
            </w:r>
          </w:p>
        </w:tc>
        <w:tc>
          <w:tcPr>
            <w:tcW w:w="1107" w:type="dxa"/>
            <w:tcBorders>
              <w:top w:val="single" w:sz="4" w:space="0" w:color="auto"/>
              <w:left w:val="single" w:sz="4" w:space="0" w:color="auto"/>
              <w:bottom w:val="single" w:sz="4" w:space="0" w:color="auto"/>
              <w:right w:val="single" w:sz="4" w:space="0" w:color="auto"/>
            </w:tcBorders>
          </w:tcPr>
          <w:p w14:paraId="51830F80" w14:textId="15798CE8" w:rsidR="002F3488" w:rsidRPr="00CC6489" w:rsidRDefault="002F3488" w:rsidP="002F3488">
            <w:pPr>
              <w:jc w:val="center"/>
              <w:rPr>
                <w:b/>
                <w:sz w:val="20"/>
                <w:szCs w:val="22"/>
              </w:rPr>
            </w:pPr>
            <w:r>
              <w:rPr>
                <w:b/>
                <w:sz w:val="20"/>
                <w:szCs w:val="22"/>
              </w:rPr>
              <w:t>Moderate</w:t>
            </w:r>
          </w:p>
        </w:tc>
        <w:tc>
          <w:tcPr>
            <w:tcW w:w="1106" w:type="dxa"/>
            <w:tcBorders>
              <w:top w:val="single" w:sz="4" w:space="0" w:color="auto"/>
              <w:left w:val="single" w:sz="4" w:space="0" w:color="auto"/>
              <w:bottom w:val="single" w:sz="4" w:space="0" w:color="auto"/>
              <w:right w:val="single" w:sz="4" w:space="0" w:color="auto"/>
            </w:tcBorders>
          </w:tcPr>
          <w:p w14:paraId="2BF67D24" w14:textId="6B0D00E8" w:rsidR="002F3488" w:rsidRPr="00CC6489" w:rsidRDefault="002F3488" w:rsidP="002F3488">
            <w:pPr>
              <w:jc w:val="center"/>
              <w:rPr>
                <w:b/>
                <w:sz w:val="20"/>
                <w:szCs w:val="22"/>
              </w:rPr>
            </w:pPr>
            <w:r>
              <w:rPr>
                <w:b/>
                <w:sz w:val="20"/>
                <w:szCs w:val="22"/>
              </w:rPr>
              <w:t>Moderate</w:t>
            </w:r>
          </w:p>
        </w:tc>
        <w:tc>
          <w:tcPr>
            <w:tcW w:w="1106" w:type="dxa"/>
            <w:tcBorders>
              <w:top w:val="single" w:sz="4" w:space="0" w:color="auto"/>
              <w:left w:val="single" w:sz="4" w:space="0" w:color="auto"/>
              <w:bottom w:val="single" w:sz="4" w:space="0" w:color="auto"/>
              <w:right w:val="single" w:sz="4" w:space="0" w:color="auto"/>
            </w:tcBorders>
          </w:tcPr>
          <w:p w14:paraId="2A2B872D" w14:textId="6CE8BA84" w:rsidR="002F3488" w:rsidRPr="00CC6489" w:rsidRDefault="002F3488" w:rsidP="002F3488">
            <w:pPr>
              <w:jc w:val="center"/>
              <w:rPr>
                <w:b/>
                <w:sz w:val="20"/>
                <w:szCs w:val="22"/>
              </w:rPr>
            </w:pPr>
            <w:r>
              <w:rPr>
                <w:b/>
                <w:sz w:val="20"/>
                <w:szCs w:val="22"/>
              </w:rPr>
              <w:t>Moderate</w:t>
            </w:r>
          </w:p>
        </w:tc>
        <w:tc>
          <w:tcPr>
            <w:tcW w:w="806" w:type="dxa"/>
            <w:tcBorders>
              <w:top w:val="single" w:sz="4" w:space="0" w:color="auto"/>
              <w:left w:val="single" w:sz="4" w:space="0" w:color="auto"/>
              <w:bottom w:val="single" w:sz="4" w:space="0" w:color="auto"/>
              <w:right w:val="single" w:sz="4" w:space="0" w:color="auto"/>
            </w:tcBorders>
          </w:tcPr>
          <w:p w14:paraId="62ED8C8E" w14:textId="5E16DB38" w:rsidR="002F3488" w:rsidRPr="00CC6489" w:rsidRDefault="53C26ACB" w:rsidP="0116275A">
            <w:pPr>
              <w:rPr>
                <w:b/>
                <w:bCs/>
                <w:sz w:val="20"/>
                <w:szCs w:val="20"/>
              </w:rPr>
            </w:pPr>
            <w:r w:rsidRPr="0116275A">
              <w:rPr>
                <w:b/>
                <w:bCs/>
                <w:sz w:val="20"/>
                <w:szCs w:val="20"/>
              </w:rPr>
              <w:t>Moderate</w:t>
            </w:r>
          </w:p>
        </w:tc>
      </w:tr>
    </w:tbl>
    <w:p w14:paraId="3F14494A" w14:textId="77777777" w:rsidR="006F3AE7" w:rsidRDefault="006F3AE7" w:rsidP="006F3AE7">
      <w:pPr>
        <w:rPr>
          <w:b/>
          <w:sz w:val="22"/>
          <w:szCs w:val="22"/>
        </w:rPr>
      </w:pPr>
    </w:p>
    <w:tbl>
      <w:tblPr>
        <w:tblStyle w:val="TableGrid"/>
        <w:tblW w:w="0" w:type="auto"/>
        <w:tblInd w:w="-5" w:type="dxa"/>
        <w:tblLook w:val="04A0" w:firstRow="1" w:lastRow="0" w:firstColumn="1" w:lastColumn="0" w:noHBand="0" w:noVBand="1"/>
      </w:tblPr>
      <w:tblGrid>
        <w:gridCol w:w="3969"/>
        <w:gridCol w:w="5052"/>
      </w:tblGrid>
      <w:tr w:rsidR="006F3AE7" w:rsidRPr="00F70DBE" w14:paraId="5ED04B8A" w14:textId="77777777" w:rsidTr="0116275A">
        <w:trPr>
          <w:trHeight w:val="355"/>
        </w:trPr>
        <w:tc>
          <w:tcPr>
            <w:tcW w:w="3969" w:type="dxa"/>
            <w:shd w:val="clear" w:color="auto" w:fill="B4C6E7" w:themeFill="accent1" w:themeFillTint="66"/>
            <w:hideMark/>
          </w:tcPr>
          <w:p w14:paraId="084C6192" w14:textId="77777777" w:rsidR="006F3AE7" w:rsidRPr="00F70DBE" w:rsidRDefault="006F3AE7" w:rsidP="00CC6489">
            <w:pPr>
              <w:rPr>
                <w:rFonts w:cs="Arial"/>
                <w:sz w:val="20"/>
                <w:szCs w:val="20"/>
              </w:rPr>
            </w:pPr>
            <w:proofErr w:type="spellStart"/>
            <w:r w:rsidRPr="00F70DBE">
              <w:rPr>
                <w:rFonts w:cs="Arial"/>
                <w:bCs/>
                <w:sz w:val="20"/>
                <w:szCs w:val="20"/>
              </w:rPr>
              <w:t>DevTracker</w:t>
            </w:r>
            <w:proofErr w:type="spellEnd"/>
            <w:r w:rsidRPr="00F70DBE">
              <w:rPr>
                <w:rFonts w:cs="Arial"/>
                <w:bCs/>
                <w:sz w:val="20"/>
                <w:szCs w:val="20"/>
              </w:rPr>
              <w:t xml:space="preserve"> Link to Business Case: </w:t>
            </w:r>
          </w:p>
        </w:tc>
        <w:tc>
          <w:tcPr>
            <w:tcW w:w="5052" w:type="dxa"/>
          </w:tcPr>
          <w:p w14:paraId="7547CEAA" w14:textId="77777777" w:rsidR="006F3AE7" w:rsidRPr="00F70DBE" w:rsidRDefault="006F3AE7" w:rsidP="00FD6297">
            <w:pPr>
              <w:rPr>
                <w:rFonts w:cs="Arial"/>
                <w:b/>
                <w:sz w:val="22"/>
                <w:szCs w:val="22"/>
              </w:rPr>
            </w:pPr>
          </w:p>
        </w:tc>
      </w:tr>
      <w:tr w:rsidR="006F3AE7" w:rsidRPr="00F70DBE" w14:paraId="1BE27F98" w14:textId="77777777" w:rsidTr="0116275A">
        <w:trPr>
          <w:trHeight w:val="403"/>
        </w:trPr>
        <w:tc>
          <w:tcPr>
            <w:tcW w:w="3969" w:type="dxa"/>
            <w:shd w:val="clear" w:color="auto" w:fill="B4C6E7" w:themeFill="accent1" w:themeFillTint="66"/>
            <w:hideMark/>
          </w:tcPr>
          <w:p w14:paraId="77EEC9AB" w14:textId="21B976EE" w:rsidR="006F3AE7" w:rsidRPr="00F70DBE" w:rsidRDefault="006F3AE7" w:rsidP="00CC6489">
            <w:pPr>
              <w:rPr>
                <w:rFonts w:cs="Arial"/>
                <w:bCs/>
                <w:i/>
                <w:sz w:val="20"/>
                <w:szCs w:val="20"/>
              </w:rPr>
            </w:pPr>
            <w:proofErr w:type="spellStart"/>
            <w:r w:rsidRPr="00F70DBE">
              <w:rPr>
                <w:rFonts w:cs="Arial"/>
                <w:bCs/>
                <w:sz w:val="20"/>
                <w:szCs w:val="20"/>
              </w:rPr>
              <w:t>DevTracker</w:t>
            </w:r>
            <w:proofErr w:type="spellEnd"/>
            <w:r w:rsidRPr="00F70DBE">
              <w:rPr>
                <w:rFonts w:cs="Arial"/>
                <w:bCs/>
                <w:sz w:val="20"/>
                <w:szCs w:val="20"/>
              </w:rPr>
              <w:t xml:space="preserve"> Link to </w:t>
            </w:r>
            <w:r>
              <w:rPr>
                <w:rFonts w:cs="Arial"/>
                <w:bCs/>
                <w:sz w:val="20"/>
                <w:szCs w:val="20"/>
              </w:rPr>
              <w:t>results framework</w:t>
            </w:r>
            <w:r w:rsidRPr="00F70DBE">
              <w:rPr>
                <w:rFonts w:cs="Arial"/>
                <w:bCs/>
                <w:sz w:val="20"/>
                <w:szCs w:val="20"/>
              </w:rPr>
              <w:t xml:space="preserve">: </w:t>
            </w:r>
          </w:p>
        </w:tc>
        <w:tc>
          <w:tcPr>
            <w:tcW w:w="5052" w:type="dxa"/>
          </w:tcPr>
          <w:p w14:paraId="1EBB8B7A" w14:textId="77777777" w:rsidR="006F3AE7" w:rsidRPr="00F70DBE" w:rsidRDefault="006F3AE7" w:rsidP="00FD6297">
            <w:pPr>
              <w:rPr>
                <w:rFonts w:cs="Arial"/>
                <w:b/>
                <w:sz w:val="22"/>
                <w:szCs w:val="22"/>
              </w:rPr>
            </w:pPr>
          </w:p>
        </w:tc>
      </w:tr>
    </w:tbl>
    <w:p w14:paraId="22403C63" w14:textId="77777777" w:rsidR="003507A1" w:rsidRDefault="003507A1" w:rsidP="0F40B7D6">
      <w:pPr>
        <w:rPr>
          <w:color w:val="FF0000"/>
          <w:sz w:val="20"/>
          <w:szCs w:val="20"/>
        </w:rPr>
      </w:pPr>
    </w:p>
    <w:p w14:paraId="2FEBAAA9" w14:textId="612BBFBD" w:rsidR="006F3AE7" w:rsidRPr="00CE0979" w:rsidRDefault="006F3AE7" w:rsidP="0116275A">
      <w:pPr>
        <w:pBdr>
          <w:top w:val="single" w:sz="4" w:space="1" w:color="auto"/>
          <w:left w:val="single" w:sz="4" w:space="4" w:color="auto"/>
          <w:bottom w:val="single" w:sz="4" w:space="1" w:color="auto"/>
          <w:right w:val="single" w:sz="4" w:space="4" w:color="auto"/>
        </w:pBdr>
        <w:shd w:val="clear" w:color="auto" w:fill="D9E2F3" w:themeFill="accent1" w:themeFillTint="33"/>
        <w:rPr>
          <w:b/>
          <w:bCs/>
          <w:color w:val="FF0000"/>
          <w:sz w:val="28"/>
          <w:szCs w:val="28"/>
        </w:rPr>
      </w:pPr>
      <w:r w:rsidRPr="0116275A">
        <w:rPr>
          <w:b/>
          <w:bCs/>
          <w:sz w:val="28"/>
          <w:szCs w:val="28"/>
        </w:rPr>
        <w:t>A. SUMMARY AND OVERVIEW</w:t>
      </w:r>
    </w:p>
    <w:p w14:paraId="7EFEDAB3" w14:textId="77777777" w:rsidR="006F3AE7" w:rsidRDefault="006F3AE7" w:rsidP="0F40B7D6">
      <w:pPr>
        <w:rPr>
          <w:b/>
          <w:bCs/>
          <w:color w:val="FF0000"/>
          <w:sz w:val="22"/>
          <w:szCs w:val="22"/>
        </w:rPr>
      </w:pPr>
    </w:p>
    <w:p w14:paraId="121905E8" w14:textId="767583E3" w:rsidR="006F3AE7" w:rsidRDefault="006F3AE7" w:rsidP="0F40B7D6">
      <w:pPr>
        <w:rPr>
          <w:rFonts w:cs="Arial"/>
          <w:color w:val="FF0000"/>
          <w:sz w:val="20"/>
          <w:szCs w:val="20"/>
        </w:rPr>
      </w:pPr>
      <w:r w:rsidRPr="49CFF048">
        <w:rPr>
          <w:b/>
          <w:bCs/>
          <w:sz w:val="22"/>
          <w:szCs w:val="22"/>
        </w:rPr>
        <w:t>Description of programme</w:t>
      </w:r>
    </w:p>
    <w:p w14:paraId="7806BCB7" w14:textId="508E729C" w:rsidR="006F3AE7" w:rsidRDefault="006F3AE7" w:rsidP="0F40B7D6">
      <w:pPr>
        <w:rPr>
          <w:color w:val="FF0000"/>
        </w:rPr>
      </w:pPr>
    </w:p>
    <w:p w14:paraId="6244D3A1" w14:textId="232D49C9" w:rsidR="006F3AE7" w:rsidRDefault="77C1829C" w:rsidP="0A369C09">
      <w:pPr>
        <w:jc w:val="both"/>
        <w:rPr>
          <w:rFonts w:ascii="Calibri" w:eastAsia="Calibri" w:hAnsi="Calibri" w:cs="Calibri"/>
          <w:sz w:val="22"/>
          <w:szCs w:val="22"/>
        </w:rPr>
      </w:pPr>
      <w:r w:rsidRPr="0A369C09">
        <w:rPr>
          <w:rFonts w:ascii="Calibri" w:eastAsia="Calibri" w:hAnsi="Calibri" w:cs="Calibri"/>
          <w:sz w:val="22"/>
          <w:szCs w:val="22"/>
        </w:rPr>
        <w:t xml:space="preserve">The </w:t>
      </w:r>
      <w:proofErr w:type="spellStart"/>
      <w:r w:rsidR="00D65F55">
        <w:rPr>
          <w:rFonts w:ascii="Calibri" w:eastAsia="Calibri" w:hAnsi="Calibri" w:cs="Calibri"/>
          <w:sz w:val="22"/>
          <w:szCs w:val="22"/>
        </w:rPr>
        <w:t>e</w:t>
      </w:r>
      <w:r w:rsidR="00336345" w:rsidRPr="0A369C09">
        <w:rPr>
          <w:rFonts w:ascii="Calibri" w:eastAsia="Calibri" w:hAnsi="Calibri" w:cs="Calibri"/>
          <w:sz w:val="22"/>
          <w:szCs w:val="22"/>
        </w:rPr>
        <w:t>co.business</w:t>
      </w:r>
      <w:proofErr w:type="spellEnd"/>
      <w:r w:rsidR="00336345" w:rsidRPr="0A369C09">
        <w:rPr>
          <w:rFonts w:ascii="Calibri" w:eastAsia="Calibri" w:hAnsi="Calibri" w:cs="Calibri"/>
          <w:sz w:val="22"/>
          <w:szCs w:val="22"/>
        </w:rPr>
        <w:t xml:space="preserve"> Fund (</w:t>
      </w:r>
      <w:r w:rsidRPr="0A369C09">
        <w:rPr>
          <w:rFonts w:ascii="Calibri" w:eastAsia="Calibri" w:hAnsi="Calibri" w:cs="Calibri"/>
          <w:sz w:val="22"/>
          <w:szCs w:val="22"/>
        </w:rPr>
        <w:t>EBF</w:t>
      </w:r>
      <w:r w:rsidR="00336345" w:rsidRPr="0A369C09">
        <w:rPr>
          <w:rFonts w:ascii="Calibri" w:eastAsia="Calibri" w:hAnsi="Calibri" w:cs="Calibri"/>
          <w:sz w:val="22"/>
          <w:szCs w:val="22"/>
        </w:rPr>
        <w:t>)</w:t>
      </w:r>
      <w:r w:rsidRPr="0A369C09">
        <w:rPr>
          <w:rFonts w:ascii="Calibri" w:eastAsia="Calibri" w:hAnsi="Calibri" w:cs="Calibri"/>
          <w:sz w:val="22"/>
          <w:szCs w:val="22"/>
        </w:rPr>
        <w:t xml:space="preserve"> was set up in December 2014 by </w:t>
      </w:r>
      <w:proofErr w:type="spellStart"/>
      <w:r w:rsidRPr="0A369C09">
        <w:rPr>
          <w:rFonts w:ascii="Calibri" w:eastAsia="Calibri" w:hAnsi="Calibri" w:cs="Calibri"/>
          <w:sz w:val="22"/>
          <w:szCs w:val="22"/>
        </w:rPr>
        <w:t>KfW</w:t>
      </w:r>
      <w:proofErr w:type="spellEnd"/>
      <w:r w:rsidRPr="0A369C09">
        <w:rPr>
          <w:rFonts w:ascii="Calibri" w:eastAsia="Calibri" w:hAnsi="Calibri" w:cs="Calibri"/>
          <w:sz w:val="22"/>
          <w:szCs w:val="22"/>
        </w:rPr>
        <w:t xml:space="preserve">, the German Development Bank, Conservation International and </w:t>
      </w:r>
      <w:r w:rsidR="5DC88948" w:rsidRPr="0A369C09">
        <w:rPr>
          <w:rFonts w:ascii="Calibri" w:eastAsia="Calibri" w:hAnsi="Calibri" w:cs="Calibri"/>
          <w:sz w:val="22"/>
          <w:szCs w:val="22"/>
        </w:rPr>
        <w:t xml:space="preserve">Finance in Motion </w:t>
      </w:r>
      <w:r w:rsidR="7E63A613" w:rsidRPr="0A369C09">
        <w:rPr>
          <w:rFonts w:ascii="Calibri" w:eastAsia="Calibri" w:hAnsi="Calibri" w:cs="Calibri"/>
          <w:sz w:val="22"/>
          <w:szCs w:val="22"/>
        </w:rPr>
        <w:t>(</w:t>
      </w:r>
      <w:proofErr w:type="spellStart"/>
      <w:r w:rsidRPr="0A369C09">
        <w:rPr>
          <w:rFonts w:ascii="Calibri" w:eastAsia="Calibri" w:hAnsi="Calibri" w:cs="Calibri"/>
          <w:sz w:val="22"/>
          <w:szCs w:val="22"/>
        </w:rPr>
        <w:t>FiM</w:t>
      </w:r>
      <w:proofErr w:type="spellEnd"/>
      <w:r w:rsidR="72A0B238" w:rsidRPr="0A369C09">
        <w:rPr>
          <w:rFonts w:ascii="Calibri" w:eastAsia="Calibri" w:hAnsi="Calibri" w:cs="Calibri"/>
          <w:sz w:val="22"/>
          <w:szCs w:val="22"/>
        </w:rPr>
        <w:t xml:space="preserve"> – the Fund</w:t>
      </w:r>
      <w:r w:rsidR="005215E1" w:rsidRPr="0A369C09">
        <w:rPr>
          <w:rFonts w:ascii="Calibri" w:eastAsia="Calibri" w:hAnsi="Calibri" w:cs="Calibri"/>
          <w:sz w:val="22"/>
          <w:szCs w:val="22"/>
        </w:rPr>
        <w:t xml:space="preserve"> </w:t>
      </w:r>
      <w:r w:rsidR="004C6315" w:rsidRPr="0A369C09">
        <w:rPr>
          <w:rFonts w:ascii="Calibri" w:eastAsia="Calibri" w:hAnsi="Calibri" w:cs="Calibri"/>
          <w:sz w:val="22"/>
          <w:szCs w:val="22"/>
        </w:rPr>
        <w:t>Advisor</w:t>
      </w:r>
      <w:r w:rsidR="3791D91F" w:rsidRPr="0A369C09">
        <w:rPr>
          <w:rFonts w:ascii="Calibri" w:eastAsia="Calibri" w:hAnsi="Calibri" w:cs="Calibri"/>
          <w:sz w:val="22"/>
          <w:szCs w:val="22"/>
        </w:rPr>
        <w:t>)</w:t>
      </w:r>
      <w:r w:rsidRPr="0A369C09">
        <w:rPr>
          <w:rFonts w:ascii="Calibri" w:eastAsia="Calibri" w:hAnsi="Calibri" w:cs="Calibri"/>
          <w:sz w:val="22"/>
          <w:szCs w:val="22"/>
        </w:rPr>
        <w:t xml:space="preserve">. The EBF´s mission is to promote business and consumption practices that contribute to biodiversity conservation, to the sustainable use of natural resources, mitigation of climate change and adaptation to climate change impacts. The Fund has </w:t>
      </w:r>
      <w:r w:rsidR="7C72F408" w:rsidRPr="0A369C09">
        <w:rPr>
          <w:rFonts w:ascii="Calibri" w:eastAsia="Calibri" w:hAnsi="Calibri" w:cs="Calibri"/>
          <w:sz w:val="22"/>
          <w:szCs w:val="22"/>
        </w:rPr>
        <w:t xml:space="preserve">two sub-funds, one </w:t>
      </w:r>
      <w:r w:rsidR="002762F6" w:rsidRPr="0A369C09">
        <w:rPr>
          <w:rFonts w:ascii="Calibri" w:eastAsia="Calibri" w:hAnsi="Calibri" w:cs="Calibri"/>
          <w:sz w:val="22"/>
          <w:szCs w:val="22"/>
        </w:rPr>
        <w:t>for</w:t>
      </w:r>
      <w:r w:rsidRPr="0A369C09">
        <w:rPr>
          <w:rFonts w:ascii="Calibri" w:eastAsia="Calibri" w:hAnsi="Calibri" w:cs="Calibri"/>
          <w:sz w:val="22"/>
          <w:szCs w:val="22"/>
        </w:rPr>
        <w:t xml:space="preserve"> Latin America and Caribbean (LAC)</w:t>
      </w:r>
      <w:r w:rsidR="3F239255" w:rsidRPr="0A369C09">
        <w:rPr>
          <w:rFonts w:ascii="Calibri" w:eastAsia="Calibri" w:hAnsi="Calibri" w:cs="Calibri"/>
          <w:sz w:val="22"/>
          <w:szCs w:val="22"/>
        </w:rPr>
        <w:t xml:space="preserve"> and </w:t>
      </w:r>
      <w:r w:rsidR="1CF3603C" w:rsidRPr="0A369C09">
        <w:rPr>
          <w:rFonts w:ascii="Calibri" w:eastAsia="Calibri" w:hAnsi="Calibri" w:cs="Calibri"/>
          <w:sz w:val="22"/>
          <w:szCs w:val="22"/>
        </w:rPr>
        <w:t xml:space="preserve">the other </w:t>
      </w:r>
      <w:r w:rsidR="002762F6" w:rsidRPr="0A369C09">
        <w:rPr>
          <w:rFonts w:ascii="Calibri" w:eastAsia="Calibri" w:hAnsi="Calibri" w:cs="Calibri"/>
          <w:sz w:val="22"/>
          <w:szCs w:val="22"/>
        </w:rPr>
        <w:t>for</w:t>
      </w:r>
      <w:r w:rsidR="1CF3603C" w:rsidRPr="0A369C09">
        <w:rPr>
          <w:rFonts w:ascii="Calibri" w:eastAsia="Calibri" w:hAnsi="Calibri" w:cs="Calibri"/>
          <w:sz w:val="22"/>
          <w:szCs w:val="22"/>
        </w:rPr>
        <w:t xml:space="preserve"> </w:t>
      </w:r>
      <w:r w:rsidR="3F239255" w:rsidRPr="0A369C09">
        <w:rPr>
          <w:rFonts w:ascii="Calibri" w:eastAsia="Calibri" w:hAnsi="Calibri" w:cs="Calibri"/>
          <w:sz w:val="22"/>
          <w:szCs w:val="22"/>
        </w:rPr>
        <w:t>Sub-Saharan Africa (SSA)</w:t>
      </w:r>
      <w:r w:rsidR="7700E697" w:rsidRPr="0A369C09">
        <w:rPr>
          <w:rFonts w:ascii="Calibri" w:eastAsia="Calibri" w:hAnsi="Calibri" w:cs="Calibri"/>
          <w:sz w:val="22"/>
          <w:szCs w:val="22"/>
        </w:rPr>
        <w:t xml:space="preserve">, which was launched </w:t>
      </w:r>
      <w:r w:rsidR="000C288B" w:rsidRPr="0A369C09">
        <w:rPr>
          <w:rFonts w:ascii="Calibri" w:eastAsia="Calibri" w:hAnsi="Calibri" w:cs="Calibri"/>
          <w:sz w:val="22"/>
          <w:szCs w:val="22"/>
        </w:rPr>
        <w:t>mid-2019</w:t>
      </w:r>
      <w:r w:rsidR="00FC3F7E" w:rsidRPr="0A369C09">
        <w:rPr>
          <w:rFonts w:ascii="Calibri" w:eastAsia="Calibri" w:hAnsi="Calibri" w:cs="Calibri"/>
          <w:sz w:val="22"/>
          <w:szCs w:val="22"/>
        </w:rPr>
        <w:t>.</w:t>
      </w:r>
      <w:r w:rsidRPr="0A369C09">
        <w:rPr>
          <w:rFonts w:ascii="Calibri" w:eastAsia="Calibri" w:hAnsi="Calibri" w:cs="Calibri"/>
          <w:sz w:val="22"/>
          <w:szCs w:val="22"/>
        </w:rPr>
        <w:t xml:space="preserve"> </w:t>
      </w:r>
      <w:r w:rsidR="42A7B312" w:rsidRPr="0A369C09">
        <w:rPr>
          <w:rFonts w:ascii="Calibri" w:eastAsia="Calibri" w:hAnsi="Calibri" w:cs="Calibri"/>
          <w:sz w:val="22"/>
          <w:szCs w:val="22"/>
        </w:rPr>
        <w:t>Defra’s investment is in the LAC sub-fund</w:t>
      </w:r>
      <w:r w:rsidR="0A11A37F" w:rsidRPr="0A369C09">
        <w:rPr>
          <w:rFonts w:ascii="Calibri" w:eastAsia="Calibri" w:hAnsi="Calibri" w:cs="Calibri"/>
          <w:sz w:val="22"/>
          <w:szCs w:val="22"/>
        </w:rPr>
        <w:t>.</w:t>
      </w:r>
      <w:r w:rsidRPr="0A369C09">
        <w:rPr>
          <w:rFonts w:ascii="Calibri" w:eastAsia="Calibri" w:hAnsi="Calibri" w:cs="Calibri"/>
          <w:sz w:val="22"/>
          <w:szCs w:val="22"/>
        </w:rPr>
        <w:t xml:space="preserve"> </w:t>
      </w:r>
      <w:proofErr w:type="spellStart"/>
      <w:r w:rsidRPr="0A369C09">
        <w:rPr>
          <w:rFonts w:ascii="Calibri" w:eastAsia="Calibri" w:hAnsi="Calibri" w:cs="Calibri"/>
          <w:sz w:val="22"/>
          <w:szCs w:val="22"/>
        </w:rPr>
        <w:t>FiM</w:t>
      </w:r>
      <w:proofErr w:type="spellEnd"/>
      <w:r w:rsidRPr="0A369C09">
        <w:rPr>
          <w:rFonts w:ascii="Calibri" w:eastAsia="Calibri" w:hAnsi="Calibri" w:cs="Calibri"/>
          <w:sz w:val="22"/>
          <w:szCs w:val="22"/>
        </w:rPr>
        <w:t xml:space="preserve"> acts as an advisor </w:t>
      </w:r>
      <w:r w:rsidR="38377E05" w:rsidRPr="0A369C09">
        <w:rPr>
          <w:rFonts w:ascii="Calibri" w:eastAsia="Calibri" w:hAnsi="Calibri" w:cs="Calibri"/>
          <w:sz w:val="22"/>
          <w:szCs w:val="22"/>
        </w:rPr>
        <w:t>to</w:t>
      </w:r>
      <w:r w:rsidR="0C885410" w:rsidRPr="0A369C09">
        <w:rPr>
          <w:rFonts w:ascii="Calibri" w:eastAsia="Calibri" w:hAnsi="Calibri" w:cs="Calibri"/>
          <w:sz w:val="22"/>
          <w:szCs w:val="22"/>
        </w:rPr>
        <w:t xml:space="preserve"> </w:t>
      </w:r>
      <w:r w:rsidRPr="0A369C09">
        <w:rPr>
          <w:rFonts w:ascii="Calibri" w:eastAsia="Calibri" w:hAnsi="Calibri" w:cs="Calibri"/>
          <w:sz w:val="22"/>
          <w:szCs w:val="22"/>
        </w:rPr>
        <w:t>the</w:t>
      </w:r>
      <w:r w:rsidR="7BFFEFFB" w:rsidRPr="0A369C09">
        <w:rPr>
          <w:rFonts w:ascii="Calibri" w:eastAsia="Calibri" w:hAnsi="Calibri" w:cs="Calibri"/>
          <w:sz w:val="22"/>
          <w:szCs w:val="22"/>
        </w:rPr>
        <w:t xml:space="preserve"> Board of Directors – the independent panel </w:t>
      </w:r>
      <w:r w:rsidR="00D602EA" w:rsidRPr="0A369C09">
        <w:rPr>
          <w:rFonts w:ascii="Calibri" w:eastAsia="Calibri" w:hAnsi="Calibri" w:cs="Calibri"/>
          <w:sz w:val="22"/>
          <w:szCs w:val="22"/>
        </w:rPr>
        <w:t xml:space="preserve">nominated by </w:t>
      </w:r>
      <w:r w:rsidR="7BFFEFFB" w:rsidRPr="0A369C09">
        <w:rPr>
          <w:rFonts w:ascii="Calibri" w:eastAsia="Calibri" w:hAnsi="Calibri" w:cs="Calibri"/>
          <w:sz w:val="22"/>
          <w:szCs w:val="22"/>
        </w:rPr>
        <w:t xml:space="preserve">the </w:t>
      </w:r>
      <w:r w:rsidR="00D602EA" w:rsidRPr="0A369C09">
        <w:rPr>
          <w:rFonts w:ascii="Calibri" w:eastAsia="Calibri" w:hAnsi="Calibri" w:cs="Calibri"/>
          <w:sz w:val="22"/>
          <w:szCs w:val="22"/>
        </w:rPr>
        <w:t>Fund’s</w:t>
      </w:r>
      <w:r w:rsidR="7BFFEFFB" w:rsidRPr="0A369C09">
        <w:rPr>
          <w:rFonts w:ascii="Calibri" w:eastAsia="Calibri" w:hAnsi="Calibri" w:cs="Calibri"/>
          <w:sz w:val="22"/>
          <w:szCs w:val="22"/>
        </w:rPr>
        <w:t xml:space="preserve"> shareholders</w:t>
      </w:r>
      <w:r w:rsidR="5DD3F2A6" w:rsidRPr="0A369C09">
        <w:rPr>
          <w:rFonts w:ascii="Calibri" w:eastAsia="Calibri" w:hAnsi="Calibri" w:cs="Calibri"/>
          <w:sz w:val="22"/>
          <w:szCs w:val="22"/>
        </w:rPr>
        <w:t xml:space="preserve">. The Board </w:t>
      </w:r>
      <w:r w:rsidR="00D602EA" w:rsidRPr="0A369C09">
        <w:rPr>
          <w:rFonts w:ascii="Calibri" w:eastAsia="Calibri" w:hAnsi="Calibri" w:cs="Calibri"/>
          <w:sz w:val="22"/>
          <w:szCs w:val="22"/>
        </w:rPr>
        <w:t xml:space="preserve">has the ultimate decision-making authority, </w:t>
      </w:r>
      <w:r w:rsidR="5DD3F2A6" w:rsidRPr="0A369C09">
        <w:rPr>
          <w:rFonts w:ascii="Calibri" w:eastAsia="Calibri" w:hAnsi="Calibri" w:cs="Calibri"/>
          <w:sz w:val="22"/>
          <w:szCs w:val="22"/>
        </w:rPr>
        <w:t>provide</w:t>
      </w:r>
      <w:r w:rsidR="00EF1707" w:rsidRPr="0A369C09">
        <w:rPr>
          <w:rFonts w:ascii="Calibri" w:eastAsia="Calibri" w:hAnsi="Calibri" w:cs="Calibri"/>
          <w:sz w:val="22"/>
          <w:szCs w:val="22"/>
        </w:rPr>
        <w:t>s</w:t>
      </w:r>
      <w:r w:rsidR="78B22251" w:rsidRPr="0A369C09">
        <w:rPr>
          <w:rFonts w:ascii="Calibri" w:eastAsia="Calibri" w:hAnsi="Calibri" w:cs="Calibri"/>
          <w:sz w:val="22"/>
          <w:szCs w:val="22"/>
        </w:rPr>
        <w:t xml:space="preserve"> scrutiny </w:t>
      </w:r>
      <w:r w:rsidR="7BFFEFFB" w:rsidRPr="0A369C09">
        <w:rPr>
          <w:rFonts w:ascii="Calibri" w:eastAsia="Calibri" w:hAnsi="Calibri" w:cs="Calibri"/>
          <w:sz w:val="22"/>
          <w:szCs w:val="22"/>
        </w:rPr>
        <w:t>for investment</w:t>
      </w:r>
      <w:r w:rsidR="459C4F7B" w:rsidRPr="0A369C09">
        <w:rPr>
          <w:rFonts w:ascii="Calibri" w:eastAsia="Calibri" w:hAnsi="Calibri" w:cs="Calibri"/>
          <w:sz w:val="22"/>
          <w:szCs w:val="22"/>
        </w:rPr>
        <w:t xml:space="preserve">s, </w:t>
      </w:r>
      <w:r w:rsidR="00D602EA" w:rsidRPr="0A369C09">
        <w:rPr>
          <w:rFonts w:ascii="Calibri" w:eastAsia="Calibri" w:hAnsi="Calibri" w:cs="Calibri"/>
          <w:sz w:val="22"/>
          <w:szCs w:val="22"/>
        </w:rPr>
        <w:t>and decides on</w:t>
      </w:r>
      <w:r w:rsidR="459C4F7B" w:rsidRPr="0A369C09">
        <w:rPr>
          <w:rFonts w:ascii="Calibri" w:eastAsia="Calibri" w:hAnsi="Calibri" w:cs="Calibri"/>
          <w:sz w:val="22"/>
          <w:szCs w:val="22"/>
        </w:rPr>
        <w:t xml:space="preserve"> projects</w:t>
      </w:r>
      <w:r w:rsidR="7BFFEFFB" w:rsidRPr="0A369C09">
        <w:rPr>
          <w:rFonts w:ascii="Calibri" w:eastAsia="Calibri" w:hAnsi="Calibri" w:cs="Calibri"/>
          <w:sz w:val="22"/>
          <w:szCs w:val="22"/>
        </w:rPr>
        <w:t xml:space="preserve"> and strategic </w:t>
      </w:r>
      <w:r w:rsidR="000947B2" w:rsidRPr="0A369C09">
        <w:rPr>
          <w:rFonts w:ascii="Calibri" w:eastAsia="Calibri" w:hAnsi="Calibri" w:cs="Calibri"/>
          <w:sz w:val="22"/>
          <w:szCs w:val="22"/>
        </w:rPr>
        <w:t xml:space="preserve">matters </w:t>
      </w:r>
      <w:r w:rsidR="7BFFEFFB" w:rsidRPr="0A369C09">
        <w:rPr>
          <w:rFonts w:ascii="Calibri" w:eastAsia="Calibri" w:hAnsi="Calibri" w:cs="Calibri"/>
          <w:sz w:val="22"/>
          <w:szCs w:val="22"/>
        </w:rPr>
        <w:t>for the Fund.</w:t>
      </w:r>
    </w:p>
    <w:p w14:paraId="0DB67E5D" w14:textId="2AEB0E5A" w:rsidR="006F3AE7" w:rsidRDefault="006F3AE7" w:rsidP="0A369C09">
      <w:pPr>
        <w:jc w:val="both"/>
      </w:pPr>
    </w:p>
    <w:p w14:paraId="7FE12AA1" w14:textId="32284FDB" w:rsidR="767DBBC2" w:rsidRDefault="767DBBC2" w:rsidP="0A369C09">
      <w:pPr>
        <w:jc w:val="both"/>
        <w:rPr>
          <w:rFonts w:ascii="Calibri" w:eastAsia="Calibri" w:hAnsi="Calibri" w:cs="Calibri"/>
          <w:sz w:val="22"/>
          <w:szCs w:val="22"/>
        </w:rPr>
      </w:pPr>
      <w:r w:rsidRPr="0A369C09">
        <w:rPr>
          <w:rFonts w:ascii="Calibri" w:eastAsia="Calibri" w:hAnsi="Calibri" w:cs="Calibri"/>
          <w:sz w:val="22"/>
          <w:szCs w:val="22"/>
        </w:rPr>
        <w:t xml:space="preserve">This is the fourth Annual Review (AR) of EBF. The performance of the programme has been assessed both qualitatively and quantitively against the logical framework, which contains </w:t>
      </w:r>
      <w:r w:rsidR="3002FFD4" w:rsidRPr="0A369C09">
        <w:rPr>
          <w:rFonts w:ascii="Calibri" w:eastAsia="Calibri" w:hAnsi="Calibri" w:cs="Calibri"/>
          <w:sz w:val="22"/>
          <w:szCs w:val="22"/>
        </w:rPr>
        <w:t xml:space="preserve">annual </w:t>
      </w:r>
      <w:r w:rsidRPr="0A369C09">
        <w:rPr>
          <w:rFonts w:ascii="Calibri" w:eastAsia="Calibri" w:hAnsi="Calibri" w:cs="Calibri"/>
          <w:sz w:val="22"/>
          <w:szCs w:val="22"/>
        </w:rPr>
        <w:t xml:space="preserve">targets. In addition to </w:t>
      </w:r>
      <w:r w:rsidR="4ED8F99C" w:rsidRPr="0A369C09">
        <w:rPr>
          <w:rFonts w:ascii="Calibri" w:eastAsia="Calibri" w:hAnsi="Calibri" w:cs="Calibri"/>
          <w:sz w:val="22"/>
          <w:szCs w:val="22"/>
        </w:rPr>
        <w:t>ARs</w:t>
      </w:r>
      <w:r w:rsidRPr="0A369C09">
        <w:rPr>
          <w:rFonts w:ascii="Calibri" w:eastAsia="Calibri" w:hAnsi="Calibri" w:cs="Calibri"/>
          <w:sz w:val="22"/>
          <w:szCs w:val="22"/>
        </w:rPr>
        <w:t xml:space="preserve">, performance reviews are undertaken by </w:t>
      </w:r>
      <w:proofErr w:type="spellStart"/>
      <w:r w:rsidRPr="0A369C09">
        <w:rPr>
          <w:rFonts w:ascii="Calibri" w:eastAsia="Calibri" w:hAnsi="Calibri" w:cs="Calibri"/>
          <w:sz w:val="22"/>
          <w:szCs w:val="22"/>
        </w:rPr>
        <w:t>FiM</w:t>
      </w:r>
      <w:proofErr w:type="spellEnd"/>
      <w:r w:rsidR="009439F8">
        <w:rPr>
          <w:rFonts w:ascii="Calibri" w:eastAsia="Calibri" w:hAnsi="Calibri" w:cs="Calibri"/>
          <w:sz w:val="22"/>
          <w:szCs w:val="22"/>
        </w:rPr>
        <w:t>,</w:t>
      </w:r>
      <w:r w:rsidRPr="0A369C09">
        <w:rPr>
          <w:rFonts w:ascii="Calibri" w:eastAsia="Calibri" w:hAnsi="Calibri" w:cs="Calibri"/>
          <w:sz w:val="22"/>
          <w:szCs w:val="22"/>
        </w:rPr>
        <w:t xml:space="preserve"> </w:t>
      </w:r>
      <w:r w:rsidR="009439F8">
        <w:rPr>
          <w:rFonts w:ascii="Calibri" w:eastAsia="Calibri" w:hAnsi="Calibri" w:cs="Calibri"/>
          <w:sz w:val="22"/>
          <w:szCs w:val="22"/>
        </w:rPr>
        <w:t>t</w:t>
      </w:r>
      <w:r w:rsidRPr="0A369C09">
        <w:rPr>
          <w:rFonts w:ascii="Calibri" w:eastAsia="Calibri" w:hAnsi="Calibri" w:cs="Calibri"/>
          <w:sz w:val="22"/>
          <w:szCs w:val="22"/>
        </w:rPr>
        <w:t>he programme delivery partner. These are reported quarterly to an independent Board of Directors, where Defra sits as an observer. A financial report of the EBF is independently audited annually.</w:t>
      </w:r>
    </w:p>
    <w:p w14:paraId="5339BD8A" w14:textId="77777777" w:rsidR="006F3AE7" w:rsidRDefault="006F3AE7" w:rsidP="0116275A">
      <w:pPr>
        <w:rPr>
          <w:b/>
          <w:bCs/>
          <w:sz w:val="22"/>
          <w:szCs w:val="22"/>
        </w:rPr>
      </w:pPr>
    </w:p>
    <w:p w14:paraId="69294281" w14:textId="4DA745C4" w:rsidR="006F3AE7" w:rsidRPr="00F70DBE" w:rsidRDefault="006F3AE7" w:rsidP="0116275A">
      <w:pPr>
        <w:rPr>
          <w:rFonts w:cs="Arial"/>
          <w:sz w:val="20"/>
          <w:szCs w:val="20"/>
        </w:rPr>
      </w:pPr>
      <w:r w:rsidRPr="0116275A">
        <w:rPr>
          <w:rFonts w:cs="Arial"/>
          <w:b/>
          <w:bCs/>
          <w:sz w:val="22"/>
          <w:szCs w:val="22"/>
        </w:rPr>
        <w:t>Summary supporting narrative for the overall score in this review</w:t>
      </w:r>
    </w:p>
    <w:p w14:paraId="6EE933DD" w14:textId="77777777" w:rsidR="006F3AE7" w:rsidRDefault="006F3AE7" w:rsidP="0F40B7D6">
      <w:pPr>
        <w:rPr>
          <w:b/>
          <w:bCs/>
          <w:color w:val="FF0000"/>
          <w:sz w:val="22"/>
          <w:szCs w:val="22"/>
        </w:rPr>
      </w:pPr>
    </w:p>
    <w:p w14:paraId="7574A237" w14:textId="70865B1F" w:rsidR="7D2B332A" w:rsidRDefault="7D2B332A" w:rsidP="5E73B91F">
      <w:pPr>
        <w:rPr>
          <w:rFonts w:ascii="Calibri" w:eastAsia="Calibri" w:hAnsi="Calibri" w:cs="Calibri"/>
          <w:sz w:val="22"/>
          <w:szCs w:val="22"/>
          <w:u w:val="single"/>
        </w:rPr>
      </w:pPr>
      <w:r w:rsidRPr="5E73B91F">
        <w:rPr>
          <w:rFonts w:ascii="Calibri" w:eastAsia="Calibri" w:hAnsi="Calibri" w:cs="Calibri"/>
          <w:sz w:val="22"/>
          <w:szCs w:val="22"/>
          <w:u w:val="single"/>
        </w:rPr>
        <w:t>Summary of progress since January 2020</w:t>
      </w:r>
    </w:p>
    <w:p w14:paraId="148C2E36" w14:textId="16A8C0A3" w:rsidR="5E73B91F" w:rsidRDefault="5E73B91F" w:rsidP="5E73B91F"/>
    <w:p w14:paraId="24535D85" w14:textId="276F4291" w:rsidR="7D2B332A" w:rsidRDefault="5FBE769D" w:rsidP="72ECE0DE">
      <w:pPr>
        <w:jc w:val="both"/>
        <w:rPr>
          <w:rFonts w:ascii="Calibri" w:eastAsia="Calibri" w:hAnsi="Calibri" w:cs="Calibri"/>
          <w:sz w:val="22"/>
          <w:szCs w:val="22"/>
        </w:rPr>
      </w:pPr>
      <w:r w:rsidRPr="72ECE0DE">
        <w:rPr>
          <w:rFonts w:ascii="Calibri" w:eastAsia="Calibri" w:hAnsi="Calibri" w:cs="Calibri"/>
          <w:sz w:val="22"/>
          <w:szCs w:val="22"/>
        </w:rPr>
        <w:t xml:space="preserve">The LAC </w:t>
      </w:r>
      <w:r w:rsidR="0F81911D" w:rsidRPr="72ECE0DE">
        <w:rPr>
          <w:rFonts w:ascii="Calibri" w:eastAsia="Calibri" w:hAnsi="Calibri" w:cs="Calibri"/>
          <w:sz w:val="22"/>
          <w:szCs w:val="22"/>
        </w:rPr>
        <w:t xml:space="preserve">sub fund expanded further into the Andean region and Central America, with the first investment in Guatemala, and large investments in Honduras, </w:t>
      </w:r>
      <w:r w:rsidR="5FAAD1C2" w:rsidRPr="72ECE0DE">
        <w:rPr>
          <w:rFonts w:ascii="Calibri" w:eastAsia="Calibri" w:hAnsi="Calibri" w:cs="Calibri"/>
          <w:sz w:val="22"/>
          <w:szCs w:val="22"/>
        </w:rPr>
        <w:t>El Salvador,</w:t>
      </w:r>
      <w:r w:rsidR="0F81911D" w:rsidRPr="72ECE0DE">
        <w:rPr>
          <w:rFonts w:ascii="Calibri" w:eastAsia="Calibri" w:hAnsi="Calibri" w:cs="Calibri"/>
          <w:sz w:val="22"/>
          <w:szCs w:val="22"/>
        </w:rPr>
        <w:t xml:space="preserve"> and Costa Rica.</w:t>
      </w:r>
      <w:r w:rsidR="27538203" w:rsidRPr="72ECE0DE">
        <w:rPr>
          <w:rFonts w:ascii="Calibri" w:eastAsia="Calibri" w:hAnsi="Calibri" w:cs="Calibri"/>
          <w:sz w:val="22"/>
          <w:szCs w:val="22"/>
        </w:rPr>
        <w:t xml:space="preserve"> The fund now operates across 8 countries </w:t>
      </w:r>
      <w:r w:rsidR="3C0904E6" w:rsidRPr="72ECE0DE">
        <w:rPr>
          <w:rFonts w:ascii="Calibri" w:eastAsia="Calibri" w:hAnsi="Calibri" w:cs="Calibri"/>
          <w:sz w:val="22"/>
          <w:szCs w:val="22"/>
        </w:rPr>
        <w:t xml:space="preserve">(7 as of 2019) </w:t>
      </w:r>
      <w:r w:rsidR="27538203" w:rsidRPr="72ECE0DE">
        <w:rPr>
          <w:rFonts w:ascii="Calibri" w:eastAsia="Calibri" w:hAnsi="Calibri" w:cs="Calibri"/>
          <w:sz w:val="22"/>
          <w:szCs w:val="22"/>
        </w:rPr>
        <w:t>and 22 Partner Institutions</w:t>
      </w:r>
      <w:r w:rsidR="5AAB4B57" w:rsidRPr="72ECE0DE">
        <w:rPr>
          <w:rFonts w:ascii="Calibri" w:eastAsia="Calibri" w:hAnsi="Calibri" w:cs="Calibri"/>
          <w:sz w:val="22"/>
          <w:szCs w:val="22"/>
        </w:rPr>
        <w:t xml:space="preserve"> </w:t>
      </w:r>
      <w:r w:rsidR="00346412" w:rsidRPr="72ECE0DE">
        <w:rPr>
          <w:rFonts w:ascii="Calibri" w:eastAsia="Calibri" w:hAnsi="Calibri" w:cs="Calibri"/>
          <w:sz w:val="22"/>
          <w:szCs w:val="22"/>
        </w:rPr>
        <w:t xml:space="preserve">(PIs) </w:t>
      </w:r>
      <w:r w:rsidR="5AAB4B57" w:rsidRPr="72ECE0DE">
        <w:rPr>
          <w:rFonts w:ascii="Calibri" w:eastAsia="Calibri" w:hAnsi="Calibri" w:cs="Calibri"/>
          <w:sz w:val="22"/>
          <w:szCs w:val="22"/>
        </w:rPr>
        <w:t>(19 as of 2019)</w:t>
      </w:r>
      <w:r w:rsidR="27538203" w:rsidRPr="72ECE0DE">
        <w:rPr>
          <w:rFonts w:ascii="Calibri" w:eastAsia="Calibri" w:hAnsi="Calibri" w:cs="Calibri"/>
          <w:sz w:val="22"/>
          <w:szCs w:val="22"/>
        </w:rPr>
        <w:t>.</w:t>
      </w:r>
      <w:r w:rsidR="0F81911D" w:rsidRPr="72ECE0DE">
        <w:rPr>
          <w:rFonts w:ascii="Calibri" w:eastAsia="Calibri" w:hAnsi="Calibri" w:cs="Calibri"/>
          <w:sz w:val="22"/>
          <w:szCs w:val="22"/>
        </w:rPr>
        <w:t xml:space="preserve"> The Sub-Fund closed its first direct investment in 2020, supporting sustainable shrimp production in Ecuador. Through the work of the Fund and the Development Facility (described below), at the end of 2020, 8.8 million tons of CO</w:t>
      </w:r>
      <w:r w:rsidR="0F81911D" w:rsidRPr="0004643D">
        <w:rPr>
          <w:rFonts w:ascii="Calibri" w:eastAsia="Calibri" w:hAnsi="Calibri" w:cs="Calibri"/>
          <w:sz w:val="22"/>
          <w:szCs w:val="22"/>
          <w:vertAlign w:val="subscript"/>
        </w:rPr>
        <w:t>2</w:t>
      </w:r>
      <w:r w:rsidR="0004643D">
        <w:rPr>
          <w:rFonts w:ascii="Calibri" w:eastAsia="Calibri" w:hAnsi="Calibri" w:cs="Calibri"/>
          <w:sz w:val="22"/>
          <w:szCs w:val="22"/>
        </w:rPr>
        <w:t xml:space="preserve"> (absolute)</w:t>
      </w:r>
      <w:r w:rsidR="0F81911D" w:rsidRPr="72ECE0DE">
        <w:rPr>
          <w:rFonts w:ascii="Calibri" w:eastAsia="Calibri" w:hAnsi="Calibri" w:cs="Calibri"/>
          <w:sz w:val="22"/>
          <w:szCs w:val="22"/>
        </w:rPr>
        <w:t xml:space="preserve"> were stored through agroforestry activities, 4.5 million m</w:t>
      </w:r>
      <w:r w:rsidR="0F81911D" w:rsidRPr="72ECE0DE">
        <w:rPr>
          <w:rFonts w:ascii="Calibri" w:eastAsia="Calibri" w:hAnsi="Calibri" w:cs="Calibri"/>
          <w:sz w:val="22"/>
          <w:szCs w:val="22"/>
          <w:vertAlign w:val="superscript"/>
        </w:rPr>
        <w:t>3</w:t>
      </w:r>
      <w:r w:rsidR="0F81911D" w:rsidRPr="72ECE0DE">
        <w:rPr>
          <w:rFonts w:ascii="Calibri" w:eastAsia="Calibri" w:hAnsi="Calibri" w:cs="Calibri"/>
          <w:sz w:val="22"/>
          <w:szCs w:val="22"/>
        </w:rPr>
        <w:t xml:space="preserve"> of water were saved, 430,000 hectares of farmland were under sustainable management, and 37,000 </w:t>
      </w:r>
      <w:r w:rsidR="0F81911D" w:rsidRPr="72ECE0DE">
        <w:rPr>
          <w:rFonts w:ascii="Calibri" w:eastAsia="Calibri" w:hAnsi="Calibri" w:cs="Calibri"/>
          <w:sz w:val="22"/>
          <w:szCs w:val="22"/>
        </w:rPr>
        <w:lastRenderedPageBreak/>
        <w:t>litres of herbicide use was avoided.</w:t>
      </w:r>
      <w:r w:rsidR="42B7BE53" w:rsidRPr="72ECE0DE">
        <w:rPr>
          <w:rFonts w:ascii="Calibri" w:eastAsia="Calibri" w:hAnsi="Calibri" w:cs="Calibri"/>
          <w:sz w:val="22"/>
          <w:szCs w:val="22"/>
        </w:rPr>
        <w:t xml:space="preserve"> </w:t>
      </w:r>
      <w:r w:rsidR="3BABB678" w:rsidRPr="72ECE0DE">
        <w:rPr>
          <w:rFonts w:ascii="Calibri" w:eastAsia="Calibri" w:hAnsi="Calibri" w:cs="Calibri"/>
          <w:sz w:val="22"/>
          <w:szCs w:val="22"/>
        </w:rPr>
        <w:t>To note for CO</w:t>
      </w:r>
      <w:r w:rsidR="3BABB678" w:rsidRPr="0004643D">
        <w:rPr>
          <w:rFonts w:ascii="Calibri" w:eastAsia="Calibri" w:hAnsi="Calibri" w:cs="Calibri"/>
          <w:sz w:val="22"/>
          <w:szCs w:val="22"/>
          <w:vertAlign w:val="subscript"/>
        </w:rPr>
        <w:t>2</w:t>
      </w:r>
      <w:r w:rsidR="3BABB678" w:rsidRPr="72ECE0DE">
        <w:rPr>
          <w:rFonts w:ascii="Calibri" w:eastAsia="Calibri" w:hAnsi="Calibri" w:cs="Calibri"/>
          <w:sz w:val="22"/>
          <w:szCs w:val="22"/>
        </w:rPr>
        <w:t xml:space="preserve"> the fund measures both absolute and net </w:t>
      </w:r>
      <w:r w:rsidR="1D2C7A1C" w:rsidRPr="72ECE0DE">
        <w:rPr>
          <w:rFonts w:ascii="Calibri" w:eastAsia="Calibri" w:hAnsi="Calibri" w:cs="Calibri"/>
          <w:sz w:val="22"/>
          <w:szCs w:val="22"/>
        </w:rPr>
        <w:t>CO</w:t>
      </w:r>
      <w:r w:rsidR="1D2C7A1C" w:rsidRPr="0004643D">
        <w:rPr>
          <w:rFonts w:ascii="Calibri" w:eastAsia="Calibri" w:hAnsi="Calibri" w:cs="Calibri"/>
          <w:sz w:val="22"/>
          <w:szCs w:val="22"/>
          <w:vertAlign w:val="subscript"/>
        </w:rPr>
        <w:t>2</w:t>
      </w:r>
      <w:r w:rsidR="3BABB678" w:rsidRPr="72ECE0DE">
        <w:rPr>
          <w:rFonts w:ascii="Calibri" w:eastAsia="Calibri" w:hAnsi="Calibri" w:cs="Calibri"/>
          <w:sz w:val="22"/>
          <w:szCs w:val="22"/>
        </w:rPr>
        <w:t xml:space="preserve"> storage. The above figure refers to absolute storage</w:t>
      </w:r>
      <w:r w:rsidR="366C0C70" w:rsidRPr="72ECE0DE">
        <w:rPr>
          <w:rFonts w:ascii="Calibri" w:eastAsia="Calibri" w:hAnsi="Calibri" w:cs="Calibri"/>
          <w:sz w:val="22"/>
          <w:szCs w:val="22"/>
        </w:rPr>
        <w:t>.</w:t>
      </w:r>
    </w:p>
    <w:p w14:paraId="422DF9EC" w14:textId="14AC795A" w:rsidR="0116275A" w:rsidRDefault="0116275A" w:rsidP="0116275A">
      <w:pPr>
        <w:jc w:val="both"/>
        <w:rPr>
          <w:rFonts w:ascii="Calibri" w:eastAsia="Calibri" w:hAnsi="Calibri" w:cs="Calibri"/>
          <w:sz w:val="22"/>
          <w:szCs w:val="22"/>
        </w:rPr>
      </w:pPr>
    </w:p>
    <w:p w14:paraId="43D22ADF" w14:textId="766A64E5" w:rsidR="0F25C8FC" w:rsidRDefault="6F12DE35" w:rsidP="7FD91A77">
      <w:pPr>
        <w:jc w:val="both"/>
        <w:rPr>
          <w:rFonts w:ascii="Calibri" w:eastAsia="Calibri" w:hAnsi="Calibri" w:cs="Calibri"/>
          <w:sz w:val="22"/>
          <w:szCs w:val="22"/>
        </w:rPr>
      </w:pPr>
      <w:r w:rsidRPr="2BE51E91">
        <w:rPr>
          <w:rFonts w:asciiTheme="minorHAnsi" w:eastAsiaTheme="minorEastAsia" w:hAnsiTheme="minorHAnsi" w:cstheme="minorBidi"/>
          <w:sz w:val="22"/>
          <w:szCs w:val="22"/>
        </w:rPr>
        <w:t>The outstanding portfolio</w:t>
      </w:r>
      <w:r w:rsidR="05DD26AF" w:rsidRPr="2BE51E91">
        <w:rPr>
          <w:rFonts w:asciiTheme="minorHAnsi" w:eastAsiaTheme="minorEastAsia" w:hAnsiTheme="minorHAnsi" w:cstheme="minorBidi"/>
          <w:sz w:val="22"/>
          <w:szCs w:val="22"/>
        </w:rPr>
        <w:t xml:space="preserve"> (principal value)</w:t>
      </w:r>
      <w:r w:rsidRPr="2BE51E91">
        <w:rPr>
          <w:rFonts w:asciiTheme="minorHAnsi" w:eastAsiaTheme="minorEastAsia" w:hAnsiTheme="minorHAnsi" w:cstheme="minorBidi"/>
          <w:sz w:val="22"/>
          <w:szCs w:val="22"/>
        </w:rPr>
        <w:t xml:space="preserve"> had </w:t>
      </w:r>
      <w:r w:rsidR="6DB76976" w:rsidRPr="2BE51E91">
        <w:rPr>
          <w:rFonts w:asciiTheme="minorHAnsi" w:eastAsiaTheme="minorEastAsia" w:hAnsiTheme="minorHAnsi" w:cstheme="minorBidi"/>
          <w:sz w:val="22"/>
          <w:szCs w:val="22"/>
        </w:rPr>
        <w:t xml:space="preserve">increased </w:t>
      </w:r>
      <w:r w:rsidRPr="2BE51E91">
        <w:rPr>
          <w:rFonts w:asciiTheme="minorHAnsi" w:eastAsiaTheme="minorEastAsia" w:hAnsiTheme="minorHAnsi" w:cstheme="minorBidi"/>
          <w:sz w:val="22"/>
          <w:szCs w:val="22"/>
        </w:rPr>
        <w:t xml:space="preserve">from US Dollar (USD) </w:t>
      </w:r>
      <w:r w:rsidR="017CD9F1" w:rsidRPr="006D6F0F">
        <w:rPr>
          <w:rFonts w:ascii="Calibri" w:eastAsia="Calibri" w:hAnsi="Calibri" w:cs="Calibri"/>
          <w:sz w:val="22"/>
          <w:szCs w:val="22"/>
        </w:rPr>
        <w:t>331.1</w:t>
      </w:r>
      <w:r w:rsidRPr="006D6F0F">
        <w:rPr>
          <w:rFonts w:ascii="Calibri" w:eastAsia="Calibri" w:hAnsi="Calibri" w:cs="Calibri"/>
          <w:sz w:val="22"/>
          <w:szCs w:val="22"/>
        </w:rPr>
        <w:t>m</w:t>
      </w:r>
      <w:r w:rsidR="68442EF7" w:rsidRPr="006D6F0F">
        <w:rPr>
          <w:rFonts w:ascii="Calibri" w:eastAsia="Calibri" w:hAnsi="Calibri" w:cs="Calibri"/>
          <w:sz w:val="22"/>
          <w:szCs w:val="22"/>
        </w:rPr>
        <w:t xml:space="preserve"> at the end of 2019</w:t>
      </w:r>
      <w:r w:rsidRPr="006D6F0F">
        <w:rPr>
          <w:rFonts w:ascii="Calibri" w:eastAsia="Calibri" w:hAnsi="Calibri" w:cs="Calibri"/>
          <w:sz w:val="22"/>
          <w:szCs w:val="22"/>
        </w:rPr>
        <w:t xml:space="preserve"> t</w:t>
      </w:r>
      <w:r w:rsidRPr="2BE51E91">
        <w:rPr>
          <w:rFonts w:ascii="Calibri" w:eastAsia="Calibri" w:hAnsi="Calibri" w:cs="Calibri"/>
          <w:sz w:val="22"/>
          <w:szCs w:val="22"/>
        </w:rPr>
        <w:t>o USD 394.9m</w:t>
      </w:r>
      <w:r w:rsidR="209627D7" w:rsidRPr="2BE51E91">
        <w:rPr>
          <w:rFonts w:ascii="Calibri" w:eastAsia="Calibri" w:hAnsi="Calibri" w:cs="Calibri"/>
          <w:sz w:val="22"/>
          <w:szCs w:val="22"/>
        </w:rPr>
        <w:t xml:space="preserve"> </w:t>
      </w:r>
      <w:r w:rsidR="209627D7" w:rsidRPr="2BE51E91">
        <w:rPr>
          <w:rFonts w:asciiTheme="minorHAnsi" w:eastAsiaTheme="minorEastAsia" w:hAnsiTheme="minorHAnsi" w:cstheme="minorBidi"/>
          <w:sz w:val="22"/>
          <w:szCs w:val="22"/>
        </w:rPr>
        <w:t>at the end of 2020</w:t>
      </w:r>
      <w:r w:rsidR="78EA9BC2" w:rsidRPr="2BE51E91">
        <w:rPr>
          <w:rFonts w:ascii="Calibri" w:eastAsia="Calibri" w:hAnsi="Calibri" w:cs="Calibri"/>
          <w:sz w:val="22"/>
          <w:szCs w:val="22"/>
        </w:rPr>
        <w:t>. On top of th</w:t>
      </w:r>
      <w:r w:rsidR="1D67CB64" w:rsidRPr="2BE51E91">
        <w:rPr>
          <w:rFonts w:ascii="Calibri" w:eastAsia="Calibri" w:hAnsi="Calibri" w:cs="Calibri"/>
          <w:sz w:val="22"/>
          <w:szCs w:val="22"/>
        </w:rPr>
        <w:t>e USD</w:t>
      </w:r>
      <w:r w:rsidR="78EA9BC2" w:rsidRPr="2BE51E91">
        <w:rPr>
          <w:rFonts w:ascii="Calibri" w:eastAsia="Calibri" w:hAnsi="Calibri" w:cs="Calibri"/>
          <w:sz w:val="22"/>
          <w:szCs w:val="22"/>
        </w:rPr>
        <w:t xml:space="preserve"> 39</w:t>
      </w:r>
      <w:r w:rsidR="60CE200C" w:rsidRPr="2BE51E91">
        <w:rPr>
          <w:rFonts w:ascii="Calibri" w:eastAsia="Calibri" w:hAnsi="Calibri" w:cs="Calibri"/>
          <w:sz w:val="22"/>
          <w:szCs w:val="22"/>
        </w:rPr>
        <w:t>4.9</w:t>
      </w:r>
      <w:r w:rsidR="78EA9BC2" w:rsidRPr="2BE51E91">
        <w:rPr>
          <w:rFonts w:ascii="Calibri" w:eastAsia="Calibri" w:hAnsi="Calibri" w:cs="Calibri"/>
          <w:sz w:val="22"/>
          <w:szCs w:val="22"/>
        </w:rPr>
        <w:t>m, the balance of outstanding exposures offloaded</w:t>
      </w:r>
      <w:r w:rsidR="3F8FA31C" w:rsidRPr="2BE51E91">
        <w:rPr>
          <w:rFonts w:ascii="Calibri" w:eastAsia="Calibri" w:hAnsi="Calibri" w:cs="Calibri"/>
          <w:sz w:val="22"/>
          <w:szCs w:val="22"/>
        </w:rPr>
        <w:t xml:space="preserve"> (sold)</w:t>
      </w:r>
      <w:r w:rsidR="78EA9BC2" w:rsidRPr="2BE51E91">
        <w:rPr>
          <w:rFonts w:ascii="Calibri" w:eastAsia="Calibri" w:hAnsi="Calibri" w:cs="Calibri"/>
          <w:sz w:val="22"/>
          <w:szCs w:val="22"/>
        </w:rPr>
        <w:t xml:space="preserve"> to Calvert</w:t>
      </w:r>
      <w:r w:rsidR="4562DA35" w:rsidRPr="2BE51E91">
        <w:rPr>
          <w:rFonts w:ascii="Calibri" w:eastAsia="Calibri" w:hAnsi="Calibri" w:cs="Calibri"/>
          <w:sz w:val="22"/>
          <w:szCs w:val="22"/>
        </w:rPr>
        <w:t xml:space="preserve"> Impact Capital</w:t>
      </w:r>
      <w:r w:rsidR="78EA9BC2" w:rsidRPr="2BE51E91">
        <w:rPr>
          <w:rFonts w:ascii="Calibri" w:eastAsia="Calibri" w:hAnsi="Calibri" w:cs="Calibri"/>
          <w:sz w:val="22"/>
          <w:szCs w:val="22"/>
        </w:rPr>
        <w:t xml:space="preserve"> </w:t>
      </w:r>
      <w:r w:rsidR="5EA37693" w:rsidRPr="2BE51E91">
        <w:rPr>
          <w:rFonts w:ascii="Calibri" w:eastAsia="Calibri" w:hAnsi="Calibri" w:cs="Calibri"/>
          <w:sz w:val="22"/>
          <w:szCs w:val="22"/>
        </w:rPr>
        <w:t xml:space="preserve">totalled </w:t>
      </w:r>
      <w:r w:rsidR="78EA9BC2" w:rsidRPr="2BE51E91">
        <w:rPr>
          <w:rFonts w:ascii="Calibri" w:eastAsia="Calibri" w:hAnsi="Calibri" w:cs="Calibri"/>
          <w:sz w:val="22"/>
          <w:szCs w:val="22"/>
        </w:rPr>
        <w:t xml:space="preserve">USD 37.9m at </w:t>
      </w:r>
      <w:r w:rsidR="5D5E9A20" w:rsidRPr="2BE51E91">
        <w:rPr>
          <w:rFonts w:ascii="Calibri" w:eastAsia="Calibri" w:hAnsi="Calibri" w:cs="Calibri"/>
          <w:sz w:val="22"/>
          <w:szCs w:val="22"/>
        </w:rPr>
        <w:t xml:space="preserve">year end </w:t>
      </w:r>
      <w:r w:rsidR="78EA9BC2" w:rsidRPr="2BE51E91">
        <w:rPr>
          <w:rFonts w:ascii="Calibri" w:eastAsia="Calibri" w:hAnsi="Calibri" w:cs="Calibri"/>
          <w:sz w:val="22"/>
          <w:szCs w:val="22"/>
        </w:rPr>
        <w:t>2020</w:t>
      </w:r>
      <w:r w:rsidR="60EF3AFB" w:rsidRPr="2BE51E91">
        <w:rPr>
          <w:rFonts w:ascii="Calibri" w:eastAsia="Calibri" w:hAnsi="Calibri" w:cs="Calibri"/>
          <w:sz w:val="22"/>
          <w:szCs w:val="22"/>
        </w:rPr>
        <w:t xml:space="preserve"> (see output 4 for detail)</w:t>
      </w:r>
      <w:r w:rsidR="78EA9BC2" w:rsidRPr="2BE51E91">
        <w:rPr>
          <w:rFonts w:ascii="Calibri" w:eastAsia="Calibri" w:hAnsi="Calibri" w:cs="Calibri"/>
          <w:sz w:val="22"/>
          <w:szCs w:val="22"/>
        </w:rPr>
        <w:t xml:space="preserve">. </w:t>
      </w:r>
      <w:r w:rsidR="4EED665E" w:rsidRPr="2BE51E91">
        <w:rPr>
          <w:rFonts w:ascii="Calibri" w:eastAsia="Calibri" w:hAnsi="Calibri" w:cs="Calibri"/>
          <w:sz w:val="22"/>
          <w:szCs w:val="22"/>
        </w:rPr>
        <w:t>Hence, there</w:t>
      </w:r>
      <w:r w:rsidR="78EA9BC2" w:rsidRPr="2BE51E91">
        <w:rPr>
          <w:rFonts w:ascii="Calibri" w:eastAsia="Calibri" w:hAnsi="Calibri" w:cs="Calibri"/>
          <w:sz w:val="22"/>
          <w:szCs w:val="22"/>
        </w:rPr>
        <w:t xml:space="preserve"> was growth in the portfolio in 2020 of USD +62m (</w:t>
      </w:r>
      <w:r w:rsidR="762BC7C6" w:rsidRPr="2BE51E91">
        <w:rPr>
          <w:rFonts w:ascii="Calibri" w:eastAsia="Calibri" w:hAnsi="Calibri" w:cs="Calibri"/>
          <w:sz w:val="22"/>
          <w:szCs w:val="22"/>
        </w:rPr>
        <w:t xml:space="preserve">and </w:t>
      </w:r>
      <w:r w:rsidR="78EA9BC2" w:rsidRPr="2BE51E91">
        <w:rPr>
          <w:rFonts w:ascii="Calibri" w:eastAsia="Calibri" w:hAnsi="Calibri" w:cs="Calibri"/>
          <w:sz w:val="22"/>
          <w:szCs w:val="22"/>
        </w:rPr>
        <w:t>USD +99.8m if there had been no exposures offloaded to Calvert</w:t>
      </w:r>
      <w:r w:rsidR="55959821" w:rsidRPr="2BE51E91">
        <w:rPr>
          <w:rFonts w:ascii="Calibri" w:eastAsia="Calibri" w:hAnsi="Calibri" w:cs="Calibri"/>
          <w:sz w:val="22"/>
          <w:szCs w:val="22"/>
        </w:rPr>
        <w:t>)</w:t>
      </w:r>
      <w:r w:rsidR="529C1658" w:rsidRPr="2BE51E91">
        <w:rPr>
          <w:rFonts w:ascii="Calibri" w:eastAsia="Calibri" w:hAnsi="Calibri" w:cs="Calibri"/>
          <w:sz w:val="22"/>
          <w:szCs w:val="22"/>
        </w:rPr>
        <w:t>. The t</w:t>
      </w:r>
      <w:r w:rsidR="529C1658" w:rsidRPr="2BE51E91">
        <w:rPr>
          <w:rFonts w:asciiTheme="minorHAnsi" w:eastAsiaTheme="minorEastAsia" w:hAnsiTheme="minorHAnsi" w:cstheme="minorBidi"/>
          <w:sz w:val="22"/>
          <w:szCs w:val="22"/>
        </w:rPr>
        <w:t>otal cumulative</w:t>
      </w:r>
      <w:r w:rsidR="70E58233" w:rsidRPr="2BE51E91">
        <w:rPr>
          <w:rFonts w:asciiTheme="minorHAnsi" w:eastAsiaTheme="minorEastAsia" w:hAnsiTheme="minorHAnsi" w:cstheme="minorBidi"/>
          <w:sz w:val="22"/>
          <w:szCs w:val="22"/>
        </w:rPr>
        <w:t xml:space="preserve"> disbursements</w:t>
      </w:r>
      <w:r w:rsidR="529C1658" w:rsidRPr="2BE51E91">
        <w:rPr>
          <w:rFonts w:asciiTheme="minorHAnsi" w:eastAsiaTheme="minorEastAsia" w:hAnsiTheme="minorHAnsi" w:cstheme="minorBidi"/>
          <w:sz w:val="22"/>
          <w:szCs w:val="22"/>
        </w:rPr>
        <w:t xml:space="preserve"> since fund inception up to the end of 2020 was USD 5</w:t>
      </w:r>
      <w:r w:rsidR="5B681ABE" w:rsidRPr="2BE51E91">
        <w:rPr>
          <w:rFonts w:asciiTheme="minorHAnsi" w:eastAsiaTheme="minorEastAsia" w:hAnsiTheme="minorHAnsi" w:cstheme="minorBidi"/>
          <w:sz w:val="22"/>
          <w:szCs w:val="22"/>
        </w:rPr>
        <w:t>84</w:t>
      </w:r>
      <w:r w:rsidR="529C1658" w:rsidRPr="2BE51E91">
        <w:rPr>
          <w:rFonts w:asciiTheme="minorHAnsi" w:eastAsiaTheme="minorEastAsia" w:hAnsiTheme="minorHAnsi" w:cstheme="minorBidi"/>
          <w:sz w:val="22"/>
          <w:szCs w:val="22"/>
        </w:rPr>
        <w:t>.</w:t>
      </w:r>
      <w:r w:rsidR="140F5BF3" w:rsidRPr="2BE51E91">
        <w:rPr>
          <w:rFonts w:asciiTheme="minorHAnsi" w:eastAsiaTheme="minorEastAsia" w:hAnsiTheme="minorHAnsi" w:cstheme="minorBidi"/>
          <w:sz w:val="22"/>
          <w:szCs w:val="22"/>
        </w:rPr>
        <w:t>4</w:t>
      </w:r>
      <w:r w:rsidR="529C1658" w:rsidRPr="2BE51E91">
        <w:rPr>
          <w:rFonts w:asciiTheme="minorHAnsi" w:eastAsiaTheme="minorEastAsia" w:hAnsiTheme="minorHAnsi" w:cstheme="minorBidi"/>
          <w:sz w:val="22"/>
          <w:szCs w:val="22"/>
        </w:rPr>
        <w:t xml:space="preserve"> million.</w:t>
      </w:r>
    </w:p>
    <w:p w14:paraId="6B2F2DEB" w14:textId="3A0D4F23" w:rsidR="0F25C8FC" w:rsidRDefault="0F25C8FC" w:rsidP="0A369C09">
      <w:pPr>
        <w:jc w:val="both"/>
      </w:pPr>
    </w:p>
    <w:p w14:paraId="7A2972F9" w14:textId="384893FB" w:rsidR="0F25C8FC" w:rsidRDefault="6F12DE35" w:rsidP="0116275A">
      <w:pPr>
        <w:jc w:val="both"/>
        <w:rPr>
          <w:rFonts w:ascii="Calibri" w:eastAsia="Calibri" w:hAnsi="Calibri" w:cs="Calibri"/>
          <w:sz w:val="22"/>
          <w:szCs w:val="22"/>
        </w:rPr>
      </w:pPr>
      <w:r w:rsidRPr="078C476B">
        <w:rPr>
          <w:rFonts w:ascii="Calibri" w:eastAsia="Calibri" w:hAnsi="Calibri" w:cs="Calibri"/>
          <w:sz w:val="22"/>
          <w:szCs w:val="22"/>
        </w:rPr>
        <w:t xml:space="preserve">The EBF has USD </w:t>
      </w:r>
      <w:r w:rsidR="65A4CF86" w:rsidRPr="078C476B">
        <w:rPr>
          <w:rFonts w:ascii="Calibri" w:eastAsia="Calibri" w:hAnsi="Calibri" w:cs="Calibri"/>
          <w:sz w:val="22"/>
          <w:szCs w:val="22"/>
        </w:rPr>
        <w:t>$</w:t>
      </w:r>
      <w:r w:rsidRPr="078C476B">
        <w:rPr>
          <w:rFonts w:ascii="Calibri" w:eastAsia="Calibri" w:hAnsi="Calibri" w:cs="Calibri"/>
          <w:sz w:val="22"/>
          <w:szCs w:val="22"/>
        </w:rPr>
        <w:t xml:space="preserve">494.4m in committed funding and since inception has disbursed 21,447 sub loans (USD </w:t>
      </w:r>
      <w:r w:rsidR="0C14DE98" w:rsidRPr="078C476B">
        <w:rPr>
          <w:rFonts w:ascii="Calibri" w:eastAsia="Calibri" w:hAnsi="Calibri" w:cs="Calibri"/>
          <w:sz w:val="22"/>
          <w:szCs w:val="22"/>
        </w:rPr>
        <w:t>$</w:t>
      </w:r>
      <w:r w:rsidRPr="078C476B">
        <w:rPr>
          <w:rFonts w:ascii="Calibri" w:eastAsia="Calibri" w:hAnsi="Calibri" w:cs="Calibri"/>
          <w:sz w:val="22"/>
          <w:szCs w:val="22"/>
        </w:rPr>
        <w:t>1,862m).</w:t>
      </w:r>
      <w:r w:rsidR="683FF17F" w:rsidRPr="078C476B">
        <w:rPr>
          <w:rFonts w:ascii="Calibri" w:eastAsia="Calibri" w:hAnsi="Calibri" w:cs="Calibri"/>
          <w:sz w:val="22"/>
          <w:szCs w:val="22"/>
        </w:rPr>
        <w:t xml:space="preserve"> The fund is now a recognised financier and knowledgeable partner in a range of sustainably focussed activities in a large and </w:t>
      </w:r>
      <w:proofErr w:type="spellStart"/>
      <w:r w:rsidR="683FF17F" w:rsidRPr="078C476B">
        <w:rPr>
          <w:rFonts w:ascii="Calibri" w:eastAsia="Calibri" w:hAnsi="Calibri" w:cs="Calibri"/>
          <w:sz w:val="22"/>
          <w:szCs w:val="22"/>
        </w:rPr>
        <w:t>sectorally</w:t>
      </w:r>
      <w:proofErr w:type="spellEnd"/>
      <w:r w:rsidR="683FF17F" w:rsidRPr="078C476B">
        <w:rPr>
          <w:rFonts w:ascii="Calibri" w:eastAsia="Calibri" w:hAnsi="Calibri" w:cs="Calibri"/>
          <w:sz w:val="22"/>
          <w:szCs w:val="22"/>
        </w:rPr>
        <w:t xml:space="preserve"> diverse region.   </w:t>
      </w:r>
    </w:p>
    <w:p w14:paraId="70F72EE1" w14:textId="4AC3512E" w:rsidR="0116275A" w:rsidRDefault="0116275A" w:rsidP="0116275A">
      <w:pPr>
        <w:jc w:val="both"/>
        <w:rPr>
          <w:rFonts w:ascii="Calibri" w:eastAsia="Calibri" w:hAnsi="Calibri" w:cs="Calibri"/>
          <w:sz w:val="22"/>
          <w:szCs w:val="22"/>
        </w:rPr>
      </w:pPr>
    </w:p>
    <w:p w14:paraId="12C201B6" w14:textId="4AE73E33" w:rsidR="7D2B332A" w:rsidRDefault="7D2B332A" w:rsidP="0A369C09">
      <w:pPr>
        <w:jc w:val="both"/>
      </w:pPr>
      <w:r w:rsidRPr="0A369C09">
        <w:rPr>
          <w:rFonts w:ascii="Calibri" w:eastAsia="Calibri" w:hAnsi="Calibri" w:cs="Calibri"/>
          <w:sz w:val="22"/>
          <w:szCs w:val="22"/>
          <w:u w:val="single"/>
        </w:rPr>
        <w:t>The Development Facility</w:t>
      </w:r>
    </w:p>
    <w:p w14:paraId="5AE6EB18" w14:textId="58156A8C" w:rsidR="5E73B91F" w:rsidRDefault="7D2B332A" w:rsidP="00336345">
      <w:pPr>
        <w:jc w:val="both"/>
        <w:rPr>
          <w:rFonts w:ascii="Calibri" w:eastAsia="Calibri" w:hAnsi="Calibri" w:cs="Calibri"/>
          <w:sz w:val="22"/>
          <w:szCs w:val="22"/>
        </w:rPr>
      </w:pPr>
      <w:r w:rsidRPr="0116275A">
        <w:rPr>
          <w:rFonts w:ascii="Calibri" w:eastAsia="Calibri" w:hAnsi="Calibri" w:cs="Calibri"/>
          <w:sz w:val="22"/>
          <w:szCs w:val="22"/>
        </w:rPr>
        <w:t xml:space="preserve">The Development Facility (DF) is a separate entity that sits alongside the EBF’s investment portfolio. The DF provides grant finance directed at Technical Assistance </w:t>
      </w:r>
      <w:r w:rsidR="3347FA2E" w:rsidRPr="0116275A">
        <w:rPr>
          <w:rFonts w:ascii="Calibri" w:eastAsia="Calibri" w:hAnsi="Calibri" w:cs="Calibri"/>
          <w:sz w:val="22"/>
          <w:szCs w:val="22"/>
        </w:rPr>
        <w:t xml:space="preserve">(TA) </w:t>
      </w:r>
      <w:r w:rsidRPr="0116275A">
        <w:rPr>
          <w:rFonts w:ascii="Calibri" w:eastAsia="Calibri" w:hAnsi="Calibri" w:cs="Calibri"/>
          <w:sz w:val="22"/>
          <w:szCs w:val="22"/>
        </w:rPr>
        <w:t xml:space="preserve">projects. Typical examples of these projects include promoting environmentally sustainable land-use practices within small businesses to enable environmental sustainability standards to be achieved, sponsoring events, running capacity building workshops, embedding lending practices and/or implementing Environmental and Social Management Systems (ESMS). In 2020 the DF spent USD 3.9m on 73 individual projects. This is described further in output </w:t>
      </w:r>
      <w:r w:rsidR="30BF8A13" w:rsidRPr="0116275A">
        <w:rPr>
          <w:rFonts w:ascii="Calibri" w:eastAsia="Calibri" w:hAnsi="Calibri" w:cs="Calibri"/>
          <w:sz w:val="22"/>
          <w:szCs w:val="22"/>
        </w:rPr>
        <w:t>3.</w:t>
      </w:r>
    </w:p>
    <w:p w14:paraId="5EDE4CE7" w14:textId="515B6C16" w:rsidR="0116275A" w:rsidRDefault="0116275A" w:rsidP="00336345">
      <w:pPr>
        <w:jc w:val="both"/>
      </w:pPr>
    </w:p>
    <w:p w14:paraId="58827B03" w14:textId="36612968" w:rsidR="2AD696A2" w:rsidRDefault="7E1DB785" w:rsidP="00336345">
      <w:pPr>
        <w:jc w:val="both"/>
        <w:rPr>
          <w:rFonts w:ascii="Calibri" w:eastAsia="Calibri" w:hAnsi="Calibri" w:cs="Calibri"/>
          <w:sz w:val="22"/>
          <w:szCs w:val="22"/>
        </w:rPr>
      </w:pPr>
      <w:r w:rsidRPr="2BE51E91">
        <w:rPr>
          <w:rFonts w:ascii="Calibri" w:eastAsia="Calibri" w:hAnsi="Calibri" w:cs="Calibri"/>
          <w:sz w:val="22"/>
          <w:szCs w:val="22"/>
        </w:rPr>
        <w:t>The above demonstrates that investment into the EBF continues to positively contribute to Defra’s and Her Majesty’s Government (HMG) strategic climate objectives.</w:t>
      </w:r>
      <w:r w:rsidR="3697AD52" w:rsidRPr="2BE51E91">
        <w:rPr>
          <w:rFonts w:ascii="Calibri" w:eastAsia="Calibri" w:hAnsi="Calibri" w:cs="Calibri"/>
          <w:sz w:val="22"/>
          <w:szCs w:val="22"/>
        </w:rPr>
        <w:t xml:space="preserve"> </w:t>
      </w:r>
    </w:p>
    <w:p w14:paraId="1F3A07FD" w14:textId="77777777" w:rsidR="006F3AE7" w:rsidRDefault="006F3AE7" w:rsidP="0F40B7D6">
      <w:pPr>
        <w:spacing w:before="40" w:after="40"/>
        <w:rPr>
          <w:rFonts w:cs="Arial"/>
          <w:color w:val="FF0000"/>
          <w:sz w:val="20"/>
          <w:szCs w:val="20"/>
        </w:rPr>
      </w:pPr>
    </w:p>
    <w:p w14:paraId="04BFBDAA" w14:textId="70DF1E2A" w:rsidR="006F3AE7" w:rsidRPr="003F2B98" w:rsidRDefault="006F3AE7" w:rsidP="0116275A">
      <w:pPr>
        <w:tabs>
          <w:tab w:val="left" w:pos="6915"/>
          <w:tab w:val="left" w:pos="9495"/>
        </w:tabs>
        <w:rPr>
          <w:rFonts w:cs="Arial"/>
          <w:sz w:val="20"/>
          <w:szCs w:val="20"/>
        </w:rPr>
      </w:pPr>
      <w:r w:rsidRPr="0116275A">
        <w:rPr>
          <w:b/>
          <w:bCs/>
          <w:sz w:val="22"/>
          <w:szCs w:val="22"/>
        </w:rPr>
        <w:t xml:space="preserve">Major lessons and recommendations for the year ahead </w:t>
      </w:r>
    </w:p>
    <w:p w14:paraId="4ADBC453" w14:textId="77777777" w:rsidR="006F3AE7" w:rsidRPr="00F70DBE" w:rsidRDefault="006F3AE7" w:rsidP="0F40B7D6">
      <w:pPr>
        <w:tabs>
          <w:tab w:val="left" w:pos="6915"/>
          <w:tab w:val="left" w:pos="9495"/>
        </w:tabs>
        <w:jc w:val="both"/>
        <w:rPr>
          <w:color w:val="FF0000"/>
          <w:sz w:val="22"/>
          <w:szCs w:val="22"/>
        </w:rPr>
      </w:pPr>
    </w:p>
    <w:p w14:paraId="5C3B85DD" w14:textId="577A16EB" w:rsidR="00445566" w:rsidRDefault="00445566" w:rsidP="72ECE0DE">
      <w:pPr>
        <w:pStyle w:val="ListParagraph"/>
        <w:numPr>
          <w:ilvl w:val="0"/>
          <w:numId w:val="37"/>
        </w:numPr>
        <w:jc w:val="both"/>
        <w:rPr>
          <w:rFonts w:asciiTheme="minorHAnsi" w:hAnsiTheme="minorHAnsi" w:cstheme="minorBidi"/>
          <w:sz w:val="22"/>
          <w:szCs w:val="22"/>
        </w:rPr>
      </w:pPr>
      <w:r w:rsidRPr="72ECE0DE">
        <w:rPr>
          <w:rFonts w:asciiTheme="minorHAnsi" w:hAnsiTheme="minorHAnsi" w:cstheme="minorBidi"/>
          <w:sz w:val="22"/>
          <w:szCs w:val="22"/>
        </w:rPr>
        <w:t>The Fund should engage with Defra over the next year to aid understanding of why output indicator 1.2 was</w:t>
      </w:r>
      <w:r w:rsidR="13854B30" w:rsidRPr="72ECE0DE">
        <w:rPr>
          <w:rFonts w:asciiTheme="minorHAnsi" w:hAnsiTheme="minorHAnsi" w:cstheme="minorBidi"/>
          <w:sz w:val="22"/>
          <w:szCs w:val="22"/>
        </w:rPr>
        <w:t xml:space="preserve"> marginally</w:t>
      </w:r>
      <w:r w:rsidRPr="72ECE0DE">
        <w:rPr>
          <w:rFonts w:asciiTheme="minorHAnsi" w:hAnsiTheme="minorHAnsi" w:cstheme="minorBidi"/>
          <w:sz w:val="22"/>
          <w:szCs w:val="22"/>
        </w:rPr>
        <w:t xml:space="preserve"> not met, provide an indication of future commodity development and discuss steps to ensure the 2021 target is achieved.</w:t>
      </w:r>
    </w:p>
    <w:p w14:paraId="3AD5DF80" w14:textId="095AD7FE" w:rsidR="6B82F27C" w:rsidRDefault="1A556205" w:rsidP="078C476B">
      <w:pPr>
        <w:pStyle w:val="ListParagraph"/>
        <w:numPr>
          <w:ilvl w:val="0"/>
          <w:numId w:val="37"/>
        </w:numPr>
        <w:jc w:val="both"/>
        <w:rPr>
          <w:rFonts w:asciiTheme="minorHAnsi" w:eastAsiaTheme="minorEastAsia" w:hAnsiTheme="minorHAnsi" w:cstheme="minorBidi"/>
          <w:sz w:val="22"/>
          <w:szCs w:val="22"/>
        </w:rPr>
      </w:pPr>
      <w:r w:rsidRPr="72ECE0DE">
        <w:rPr>
          <w:rFonts w:asciiTheme="minorHAnsi" w:eastAsiaTheme="minorEastAsia" w:hAnsiTheme="minorHAnsi" w:cstheme="minorBidi"/>
          <w:sz w:val="22"/>
          <w:szCs w:val="22"/>
        </w:rPr>
        <w:t xml:space="preserve">Considering current Defra </w:t>
      </w:r>
      <w:proofErr w:type="spellStart"/>
      <w:r w:rsidR="00855688" w:rsidRPr="72ECE0DE">
        <w:rPr>
          <w:rFonts w:asciiTheme="minorHAnsi" w:eastAsiaTheme="minorEastAsia" w:hAnsiTheme="minorHAnsi" w:cstheme="minorBidi"/>
          <w:sz w:val="22"/>
          <w:szCs w:val="22"/>
        </w:rPr>
        <w:t>logframe</w:t>
      </w:r>
      <w:proofErr w:type="spellEnd"/>
      <w:r w:rsidRPr="72ECE0DE">
        <w:rPr>
          <w:rFonts w:asciiTheme="minorHAnsi" w:eastAsiaTheme="minorEastAsia" w:hAnsiTheme="minorHAnsi" w:cstheme="minorBidi"/>
          <w:sz w:val="22"/>
          <w:szCs w:val="22"/>
        </w:rPr>
        <w:t xml:space="preserve"> targets are set to 2022</w:t>
      </w:r>
      <w:r w:rsidR="20BBF869" w:rsidRPr="72ECE0DE">
        <w:rPr>
          <w:rFonts w:asciiTheme="minorHAnsi" w:eastAsiaTheme="minorEastAsia" w:hAnsiTheme="minorHAnsi" w:cstheme="minorBidi"/>
          <w:sz w:val="22"/>
          <w:szCs w:val="22"/>
        </w:rPr>
        <w:t>, it is recommended that Defra</w:t>
      </w:r>
      <w:r w:rsidR="69AE1CC7" w:rsidRPr="72ECE0DE">
        <w:rPr>
          <w:rFonts w:asciiTheme="minorHAnsi" w:eastAsiaTheme="minorEastAsia" w:hAnsiTheme="minorHAnsi" w:cstheme="minorBidi"/>
          <w:sz w:val="22"/>
          <w:szCs w:val="22"/>
        </w:rPr>
        <w:t xml:space="preserve"> w</w:t>
      </w:r>
      <w:r w:rsidR="18B81086" w:rsidRPr="72ECE0DE">
        <w:rPr>
          <w:rFonts w:asciiTheme="minorHAnsi" w:eastAsiaTheme="minorEastAsia" w:hAnsiTheme="minorHAnsi" w:cstheme="minorBidi"/>
          <w:sz w:val="22"/>
          <w:szCs w:val="22"/>
        </w:rPr>
        <w:t xml:space="preserve">ork with the fund to </w:t>
      </w:r>
      <w:r w:rsidR="00235B12" w:rsidRPr="72ECE0DE">
        <w:rPr>
          <w:rFonts w:asciiTheme="minorHAnsi" w:eastAsiaTheme="minorEastAsia" w:hAnsiTheme="minorHAnsi" w:cstheme="minorBidi"/>
          <w:sz w:val="22"/>
          <w:szCs w:val="22"/>
        </w:rPr>
        <w:t>produce future</w:t>
      </w:r>
      <w:r w:rsidR="18B81086" w:rsidRPr="72ECE0DE">
        <w:rPr>
          <w:rFonts w:asciiTheme="minorHAnsi" w:eastAsiaTheme="minorEastAsia" w:hAnsiTheme="minorHAnsi" w:cstheme="minorBidi"/>
          <w:sz w:val="22"/>
          <w:szCs w:val="22"/>
        </w:rPr>
        <w:t xml:space="preserve"> targets/projections in the </w:t>
      </w:r>
      <w:proofErr w:type="spellStart"/>
      <w:r w:rsidR="18B81086" w:rsidRPr="72ECE0DE">
        <w:rPr>
          <w:rFonts w:asciiTheme="minorHAnsi" w:eastAsiaTheme="minorEastAsia" w:hAnsiTheme="minorHAnsi" w:cstheme="minorBidi"/>
          <w:sz w:val="22"/>
          <w:szCs w:val="22"/>
        </w:rPr>
        <w:t>logframe</w:t>
      </w:r>
      <w:proofErr w:type="spellEnd"/>
      <w:r w:rsidR="18B81086" w:rsidRPr="72ECE0DE">
        <w:rPr>
          <w:rFonts w:asciiTheme="minorHAnsi" w:eastAsiaTheme="minorEastAsia" w:hAnsiTheme="minorHAnsi" w:cstheme="minorBidi"/>
          <w:sz w:val="22"/>
          <w:szCs w:val="22"/>
        </w:rPr>
        <w:t xml:space="preserve"> to </w:t>
      </w:r>
      <w:r w:rsidR="0C70B778" w:rsidRPr="72ECE0DE">
        <w:rPr>
          <w:rFonts w:asciiTheme="minorHAnsi" w:eastAsiaTheme="minorEastAsia" w:hAnsiTheme="minorHAnsi" w:cstheme="minorBidi"/>
          <w:sz w:val="22"/>
          <w:szCs w:val="22"/>
        </w:rPr>
        <w:t>assess the expected progress of the fund</w:t>
      </w:r>
      <w:r w:rsidR="354C1565" w:rsidRPr="72ECE0DE">
        <w:rPr>
          <w:rFonts w:asciiTheme="minorHAnsi" w:eastAsiaTheme="minorEastAsia" w:hAnsiTheme="minorHAnsi" w:cstheme="minorBidi"/>
          <w:sz w:val="22"/>
          <w:szCs w:val="22"/>
        </w:rPr>
        <w:t>.</w:t>
      </w:r>
      <w:r w:rsidR="4022CE3B" w:rsidRPr="72ECE0DE">
        <w:rPr>
          <w:rFonts w:asciiTheme="minorHAnsi" w:eastAsiaTheme="minorEastAsia" w:hAnsiTheme="minorHAnsi" w:cstheme="minorBidi"/>
          <w:sz w:val="22"/>
          <w:szCs w:val="22"/>
        </w:rPr>
        <w:t xml:space="preserve"> </w:t>
      </w:r>
      <w:r w:rsidR="354C1565" w:rsidRPr="72ECE0DE">
        <w:rPr>
          <w:rFonts w:asciiTheme="minorHAnsi" w:eastAsiaTheme="minorEastAsia" w:hAnsiTheme="minorHAnsi" w:cstheme="minorBidi"/>
          <w:sz w:val="22"/>
          <w:szCs w:val="22"/>
        </w:rPr>
        <w:t xml:space="preserve">For </w:t>
      </w:r>
      <w:r w:rsidR="3A95C352" w:rsidRPr="72ECE0DE">
        <w:rPr>
          <w:rFonts w:asciiTheme="minorHAnsi" w:eastAsiaTheme="minorEastAsia" w:hAnsiTheme="minorHAnsi" w:cstheme="minorBidi"/>
          <w:sz w:val="22"/>
          <w:szCs w:val="22"/>
        </w:rPr>
        <w:t>outcome indica</w:t>
      </w:r>
      <w:r w:rsidR="5E374273" w:rsidRPr="72ECE0DE">
        <w:rPr>
          <w:rFonts w:asciiTheme="minorHAnsi" w:eastAsiaTheme="minorEastAsia" w:hAnsiTheme="minorHAnsi" w:cstheme="minorBidi"/>
          <w:sz w:val="22"/>
          <w:szCs w:val="22"/>
        </w:rPr>
        <w:t>t</w:t>
      </w:r>
      <w:r w:rsidR="3A95C352" w:rsidRPr="72ECE0DE">
        <w:rPr>
          <w:rFonts w:asciiTheme="minorHAnsi" w:eastAsiaTheme="minorEastAsia" w:hAnsiTheme="minorHAnsi" w:cstheme="minorBidi"/>
          <w:sz w:val="22"/>
          <w:szCs w:val="22"/>
        </w:rPr>
        <w:t>ors 1.5 and 1.6</w:t>
      </w:r>
      <w:r w:rsidR="6712631E" w:rsidRPr="72ECE0DE">
        <w:rPr>
          <w:rFonts w:asciiTheme="minorHAnsi" w:eastAsiaTheme="minorEastAsia" w:hAnsiTheme="minorHAnsi" w:cstheme="minorBidi"/>
          <w:sz w:val="22"/>
          <w:szCs w:val="22"/>
        </w:rPr>
        <w:t xml:space="preserve"> which correspond with ICF </w:t>
      </w:r>
      <w:r w:rsidR="5B2F2126" w:rsidRPr="72ECE0DE">
        <w:rPr>
          <w:rFonts w:asciiTheme="minorHAnsi" w:eastAsiaTheme="minorEastAsia" w:hAnsiTheme="minorHAnsi" w:cstheme="minorBidi"/>
          <w:sz w:val="22"/>
          <w:szCs w:val="22"/>
        </w:rPr>
        <w:t>KPIs (Key Performance Indictors)</w:t>
      </w:r>
      <w:r w:rsidR="6712631E" w:rsidRPr="72ECE0DE">
        <w:rPr>
          <w:rFonts w:asciiTheme="minorHAnsi" w:eastAsiaTheme="minorEastAsia" w:hAnsiTheme="minorHAnsi" w:cstheme="minorBidi"/>
          <w:sz w:val="22"/>
          <w:szCs w:val="22"/>
        </w:rPr>
        <w:t xml:space="preserve"> 11 and 12 we recommend recalcu</w:t>
      </w:r>
      <w:r w:rsidR="60FDFFAF" w:rsidRPr="72ECE0DE">
        <w:rPr>
          <w:rFonts w:asciiTheme="minorHAnsi" w:eastAsiaTheme="minorEastAsia" w:hAnsiTheme="minorHAnsi" w:cstheme="minorBidi"/>
          <w:sz w:val="22"/>
          <w:szCs w:val="22"/>
        </w:rPr>
        <w:t>la</w:t>
      </w:r>
      <w:r w:rsidR="6712631E" w:rsidRPr="72ECE0DE">
        <w:rPr>
          <w:rFonts w:asciiTheme="minorHAnsi" w:eastAsiaTheme="minorEastAsia" w:hAnsiTheme="minorHAnsi" w:cstheme="minorBidi"/>
          <w:sz w:val="22"/>
          <w:szCs w:val="22"/>
        </w:rPr>
        <w:t xml:space="preserve">ting the targets </w:t>
      </w:r>
      <w:r w:rsidR="27579238" w:rsidRPr="72ECE0DE">
        <w:rPr>
          <w:rFonts w:asciiTheme="minorHAnsi" w:eastAsiaTheme="minorEastAsia" w:hAnsiTheme="minorHAnsi" w:cstheme="minorBidi"/>
          <w:sz w:val="22"/>
          <w:szCs w:val="22"/>
        </w:rPr>
        <w:t xml:space="preserve">in line with the updated 2019 </w:t>
      </w:r>
      <w:r w:rsidR="6712631E" w:rsidRPr="72ECE0DE">
        <w:rPr>
          <w:rFonts w:asciiTheme="minorHAnsi" w:eastAsiaTheme="minorEastAsia" w:hAnsiTheme="minorHAnsi" w:cstheme="minorBidi"/>
          <w:sz w:val="22"/>
          <w:szCs w:val="22"/>
        </w:rPr>
        <w:t>methodology</w:t>
      </w:r>
      <w:r w:rsidR="0A72DD64" w:rsidRPr="72ECE0DE">
        <w:rPr>
          <w:rFonts w:asciiTheme="minorHAnsi" w:eastAsiaTheme="minorEastAsia" w:hAnsiTheme="minorHAnsi" w:cstheme="minorBidi"/>
          <w:sz w:val="22"/>
          <w:szCs w:val="22"/>
        </w:rPr>
        <w:t xml:space="preserve"> for the calculation of Defra attr</w:t>
      </w:r>
      <w:r w:rsidR="4B505725" w:rsidRPr="72ECE0DE">
        <w:rPr>
          <w:rFonts w:asciiTheme="minorHAnsi" w:eastAsiaTheme="minorEastAsia" w:hAnsiTheme="minorHAnsi" w:cstheme="minorBidi"/>
          <w:sz w:val="22"/>
          <w:szCs w:val="22"/>
        </w:rPr>
        <w:t>i</w:t>
      </w:r>
      <w:r w:rsidR="0A72DD64" w:rsidRPr="72ECE0DE">
        <w:rPr>
          <w:rFonts w:asciiTheme="minorHAnsi" w:eastAsiaTheme="minorEastAsia" w:hAnsiTheme="minorHAnsi" w:cstheme="minorBidi"/>
          <w:sz w:val="22"/>
          <w:szCs w:val="22"/>
        </w:rPr>
        <w:t>b</w:t>
      </w:r>
      <w:r w:rsidR="11ACAF66" w:rsidRPr="72ECE0DE">
        <w:rPr>
          <w:rFonts w:asciiTheme="minorHAnsi" w:eastAsiaTheme="minorEastAsia" w:hAnsiTheme="minorHAnsi" w:cstheme="minorBidi"/>
          <w:sz w:val="22"/>
          <w:szCs w:val="22"/>
        </w:rPr>
        <w:t>u</w:t>
      </w:r>
      <w:r w:rsidR="0A72DD64" w:rsidRPr="72ECE0DE">
        <w:rPr>
          <w:rFonts w:asciiTheme="minorHAnsi" w:eastAsiaTheme="minorEastAsia" w:hAnsiTheme="minorHAnsi" w:cstheme="minorBidi"/>
          <w:sz w:val="22"/>
          <w:szCs w:val="22"/>
        </w:rPr>
        <w:t>tion to these results. This will ensure consistency and allow Defra to track its contribution to the fund more accurately.</w:t>
      </w:r>
      <w:r w:rsidR="00A11BA1" w:rsidRPr="72ECE0DE">
        <w:rPr>
          <w:rFonts w:asciiTheme="minorHAnsi" w:eastAsiaTheme="minorEastAsia" w:hAnsiTheme="minorHAnsi" w:cstheme="minorBidi"/>
          <w:sz w:val="22"/>
          <w:szCs w:val="22"/>
        </w:rPr>
        <w:t xml:space="preserve"> </w:t>
      </w:r>
      <w:r w:rsidR="00235B12" w:rsidRPr="72ECE0DE">
        <w:rPr>
          <w:rFonts w:asciiTheme="minorHAnsi" w:eastAsiaTheme="minorEastAsia" w:hAnsiTheme="minorHAnsi" w:cstheme="minorBidi"/>
          <w:sz w:val="22"/>
          <w:szCs w:val="22"/>
        </w:rPr>
        <w:t>It may also be advisable for</w:t>
      </w:r>
      <w:r w:rsidR="00A11BA1" w:rsidRPr="72ECE0DE">
        <w:rPr>
          <w:rFonts w:asciiTheme="minorHAnsi" w:eastAsiaTheme="minorEastAsia" w:hAnsiTheme="minorHAnsi" w:cstheme="minorBidi"/>
          <w:sz w:val="22"/>
          <w:szCs w:val="22"/>
        </w:rPr>
        <w:t xml:space="preserve"> the Fund </w:t>
      </w:r>
      <w:r w:rsidR="00235B12" w:rsidRPr="72ECE0DE">
        <w:rPr>
          <w:rFonts w:asciiTheme="minorHAnsi" w:eastAsiaTheme="minorEastAsia" w:hAnsiTheme="minorHAnsi" w:cstheme="minorBidi"/>
          <w:sz w:val="22"/>
          <w:szCs w:val="22"/>
        </w:rPr>
        <w:t xml:space="preserve">to </w:t>
      </w:r>
      <w:r w:rsidR="00A11BA1" w:rsidRPr="72ECE0DE">
        <w:rPr>
          <w:rFonts w:asciiTheme="minorHAnsi" w:eastAsiaTheme="minorEastAsia" w:hAnsiTheme="minorHAnsi" w:cstheme="minorBidi"/>
          <w:sz w:val="22"/>
          <w:szCs w:val="22"/>
        </w:rPr>
        <w:t xml:space="preserve">work with Defra to revise Defra’s </w:t>
      </w:r>
      <w:proofErr w:type="spellStart"/>
      <w:r w:rsidR="00A11BA1" w:rsidRPr="72ECE0DE">
        <w:rPr>
          <w:rFonts w:asciiTheme="minorHAnsi" w:eastAsiaTheme="minorEastAsia" w:hAnsiTheme="minorHAnsi" w:cstheme="minorBidi"/>
          <w:sz w:val="22"/>
          <w:szCs w:val="22"/>
        </w:rPr>
        <w:t>logframe</w:t>
      </w:r>
      <w:proofErr w:type="spellEnd"/>
      <w:r w:rsidR="00A11BA1" w:rsidRPr="72ECE0DE">
        <w:rPr>
          <w:rFonts w:asciiTheme="minorHAnsi" w:eastAsiaTheme="minorEastAsia" w:hAnsiTheme="minorHAnsi" w:cstheme="minorBidi"/>
          <w:sz w:val="22"/>
          <w:szCs w:val="22"/>
        </w:rPr>
        <w:t xml:space="preserve"> targets upwards for output indicators 2.1 and 2.2 to account for the fact that the 2022 targets have already been exceeded and to continue to build on the success of the fund in this area.</w:t>
      </w:r>
    </w:p>
    <w:p w14:paraId="38DE7A93" w14:textId="15070206" w:rsidR="00445566" w:rsidRPr="00445566" w:rsidRDefault="00445566" w:rsidP="00445566">
      <w:pPr>
        <w:pStyle w:val="ListParagraph"/>
        <w:numPr>
          <w:ilvl w:val="0"/>
          <w:numId w:val="37"/>
        </w:numPr>
        <w:jc w:val="both"/>
        <w:rPr>
          <w:rFonts w:asciiTheme="minorHAnsi" w:eastAsiaTheme="minorEastAsia" w:hAnsiTheme="minorHAnsi" w:cstheme="minorBidi"/>
          <w:sz w:val="22"/>
          <w:szCs w:val="22"/>
        </w:rPr>
      </w:pPr>
      <w:r w:rsidRPr="72ECE0DE">
        <w:rPr>
          <w:rFonts w:asciiTheme="minorHAnsi" w:eastAsiaTheme="minorEastAsia" w:hAnsiTheme="minorHAnsi" w:cstheme="minorBidi"/>
          <w:sz w:val="22"/>
          <w:szCs w:val="22"/>
        </w:rPr>
        <w:t>The Fund should continue to develop the pipeline and secure approval from the Development Facility Committee for TA projects for 2021 in order to achieve the target for 3.1 and continue to provide high quality, consistent TA across projects and to PIs.</w:t>
      </w:r>
    </w:p>
    <w:p w14:paraId="263C16F3" w14:textId="78CFFA3E" w:rsidR="00F63B08" w:rsidRPr="009439F8" w:rsidRDefault="5FC82FDC" w:rsidP="0A369C09">
      <w:pPr>
        <w:pStyle w:val="ListParagraph"/>
        <w:numPr>
          <w:ilvl w:val="0"/>
          <w:numId w:val="37"/>
        </w:numPr>
        <w:spacing w:after="0"/>
        <w:jc w:val="both"/>
        <w:rPr>
          <w:rFonts w:asciiTheme="minorHAnsi" w:eastAsiaTheme="minorEastAsia" w:hAnsiTheme="minorHAnsi" w:cstheme="minorBidi"/>
          <w:szCs w:val="24"/>
        </w:rPr>
      </w:pPr>
      <w:r w:rsidRPr="72ECE0DE">
        <w:rPr>
          <w:rFonts w:asciiTheme="minorHAnsi" w:eastAsiaTheme="minorEastAsia" w:hAnsiTheme="minorHAnsi" w:cstheme="minorBidi"/>
          <w:sz w:val="22"/>
          <w:szCs w:val="22"/>
        </w:rPr>
        <w:t>Defra should undertak</w:t>
      </w:r>
      <w:r w:rsidR="00F63B08" w:rsidRPr="72ECE0DE">
        <w:rPr>
          <w:rFonts w:asciiTheme="minorHAnsi" w:eastAsiaTheme="minorEastAsia" w:hAnsiTheme="minorHAnsi" w:cstheme="minorBidi"/>
          <w:sz w:val="22"/>
          <w:szCs w:val="22"/>
        </w:rPr>
        <w:t>e</w:t>
      </w:r>
      <w:r w:rsidRPr="72ECE0DE">
        <w:rPr>
          <w:rFonts w:asciiTheme="minorHAnsi" w:eastAsiaTheme="minorEastAsia" w:hAnsiTheme="minorHAnsi" w:cstheme="minorBidi"/>
          <w:sz w:val="22"/>
          <w:szCs w:val="22"/>
        </w:rPr>
        <w:t xml:space="preserve"> further work to consider best practice for impact investment funds in measuring biodiversity impacts, working with the fund managers and other industry practitioners.  </w:t>
      </w:r>
    </w:p>
    <w:p w14:paraId="5D57652A" w14:textId="5DC006FF" w:rsidR="5FC82FDC" w:rsidRDefault="5FC82FDC" w:rsidP="25160688">
      <w:pPr>
        <w:pStyle w:val="ListParagraph"/>
        <w:numPr>
          <w:ilvl w:val="0"/>
          <w:numId w:val="37"/>
        </w:numPr>
        <w:spacing w:after="0"/>
        <w:jc w:val="both"/>
        <w:rPr>
          <w:rFonts w:asciiTheme="minorHAnsi" w:eastAsiaTheme="minorEastAsia" w:hAnsiTheme="minorHAnsi" w:cstheme="minorBidi"/>
        </w:rPr>
      </w:pPr>
      <w:r w:rsidRPr="72ECE0DE">
        <w:rPr>
          <w:rFonts w:asciiTheme="minorHAnsi" w:eastAsiaTheme="minorEastAsia" w:hAnsiTheme="minorHAnsi" w:cstheme="minorBidi"/>
          <w:sz w:val="22"/>
          <w:szCs w:val="22"/>
        </w:rPr>
        <w:t>Defra should undertake an external evaluation of the programme’s performance</w:t>
      </w:r>
      <w:r w:rsidR="1D8190AA" w:rsidRPr="72ECE0DE">
        <w:rPr>
          <w:rFonts w:asciiTheme="minorHAnsi" w:eastAsiaTheme="minorEastAsia" w:hAnsiTheme="minorHAnsi" w:cstheme="minorBidi"/>
          <w:sz w:val="22"/>
          <w:szCs w:val="22"/>
        </w:rPr>
        <w:t xml:space="preserve"> since initial investment, as </w:t>
      </w:r>
      <w:r w:rsidR="2E86EF33" w:rsidRPr="72ECE0DE">
        <w:rPr>
          <w:rFonts w:asciiTheme="minorHAnsi" w:eastAsiaTheme="minorEastAsia" w:hAnsiTheme="minorHAnsi" w:cstheme="minorBidi"/>
          <w:sz w:val="22"/>
          <w:szCs w:val="22"/>
        </w:rPr>
        <w:t xml:space="preserve">referenced </w:t>
      </w:r>
      <w:r w:rsidR="1D8190AA" w:rsidRPr="72ECE0DE">
        <w:rPr>
          <w:rFonts w:asciiTheme="minorHAnsi" w:eastAsiaTheme="minorEastAsia" w:hAnsiTheme="minorHAnsi" w:cstheme="minorBidi"/>
          <w:sz w:val="22"/>
          <w:szCs w:val="22"/>
        </w:rPr>
        <w:t xml:space="preserve">in the </w:t>
      </w:r>
      <w:r w:rsidR="74B86B27" w:rsidRPr="72ECE0DE">
        <w:rPr>
          <w:rFonts w:asciiTheme="minorHAnsi" w:eastAsiaTheme="minorEastAsia" w:hAnsiTheme="minorHAnsi" w:cstheme="minorBidi"/>
          <w:sz w:val="22"/>
          <w:szCs w:val="22"/>
        </w:rPr>
        <w:t xml:space="preserve">Annex 3 of </w:t>
      </w:r>
      <w:r w:rsidR="585CED78" w:rsidRPr="72ECE0DE">
        <w:rPr>
          <w:rFonts w:asciiTheme="minorHAnsi" w:eastAsiaTheme="minorEastAsia" w:hAnsiTheme="minorHAnsi" w:cstheme="minorBidi"/>
          <w:sz w:val="22"/>
          <w:szCs w:val="22"/>
        </w:rPr>
        <w:t xml:space="preserve">the Subscription Agreement. </w:t>
      </w:r>
      <w:r w:rsidR="28A48AF1" w:rsidRPr="72ECE0DE">
        <w:rPr>
          <w:rFonts w:asciiTheme="minorHAnsi" w:eastAsiaTheme="minorEastAsia" w:hAnsiTheme="minorHAnsi" w:cstheme="minorBidi"/>
          <w:sz w:val="22"/>
          <w:szCs w:val="22"/>
        </w:rPr>
        <w:t>The extern</w:t>
      </w:r>
      <w:r w:rsidR="5EA9A5E5" w:rsidRPr="72ECE0DE">
        <w:rPr>
          <w:rFonts w:asciiTheme="minorHAnsi" w:eastAsiaTheme="minorEastAsia" w:hAnsiTheme="minorHAnsi" w:cstheme="minorBidi"/>
          <w:sz w:val="22"/>
          <w:szCs w:val="22"/>
        </w:rPr>
        <w:t>al evaluation should consider how the fund is progressing towards its outcomes and final impact through its activities and outputs.</w:t>
      </w:r>
    </w:p>
    <w:p w14:paraId="20A6504B" w14:textId="472CFBEE" w:rsidR="00B57739" w:rsidRDefault="09C1BC82" w:rsidP="078C476B">
      <w:pPr>
        <w:pStyle w:val="ListParagraph"/>
        <w:numPr>
          <w:ilvl w:val="0"/>
          <w:numId w:val="37"/>
        </w:numPr>
        <w:jc w:val="both"/>
        <w:rPr>
          <w:rFonts w:asciiTheme="minorHAnsi" w:eastAsiaTheme="minorEastAsia" w:hAnsiTheme="minorHAnsi" w:cstheme="minorBidi"/>
          <w:sz w:val="22"/>
          <w:szCs w:val="22"/>
        </w:rPr>
      </w:pPr>
      <w:r w:rsidRPr="72ECE0DE">
        <w:rPr>
          <w:rFonts w:asciiTheme="minorHAnsi" w:eastAsiaTheme="minorEastAsia" w:hAnsiTheme="minorHAnsi" w:cstheme="minorBidi"/>
          <w:sz w:val="22"/>
          <w:szCs w:val="22"/>
        </w:rPr>
        <w:t xml:space="preserve">A key priority for Defra International Climate Finance/ODA funding going forwards is </w:t>
      </w:r>
      <w:r w:rsidR="00F63B08" w:rsidRPr="72ECE0DE">
        <w:rPr>
          <w:rFonts w:asciiTheme="minorHAnsi" w:eastAsiaTheme="minorEastAsia" w:hAnsiTheme="minorHAnsi" w:cstheme="minorBidi"/>
          <w:sz w:val="22"/>
          <w:szCs w:val="22"/>
        </w:rPr>
        <w:t xml:space="preserve">supporting </w:t>
      </w:r>
      <w:r w:rsidRPr="72ECE0DE">
        <w:rPr>
          <w:rFonts w:asciiTheme="minorHAnsi" w:eastAsiaTheme="minorEastAsia" w:hAnsiTheme="minorHAnsi" w:cstheme="minorBidi"/>
          <w:sz w:val="22"/>
          <w:szCs w:val="22"/>
        </w:rPr>
        <w:t>gender equality</w:t>
      </w:r>
      <w:r w:rsidR="00F63B08" w:rsidRPr="72ECE0DE">
        <w:rPr>
          <w:rFonts w:asciiTheme="minorHAnsi" w:eastAsiaTheme="minorEastAsia" w:hAnsiTheme="minorHAnsi" w:cstheme="minorBidi"/>
          <w:sz w:val="22"/>
          <w:szCs w:val="22"/>
        </w:rPr>
        <w:t xml:space="preserve"> and empowerment</w:t>
      </w:r>
      <w:r w:rsidR="7063E69F" w:rsidRPr="72ECE0DE">
        <w:rPr>
          <w:rFonts w:asciiTheme="minorHAnsi" w:eastAsiaTheme="minorEastAsia" w:hAnsiTheme="minorHAnsi" w:cstheme="minorBidi"/>
          <w:sz w:val="22"/>
          <w:szCs w:val="22"/>
        </w:rPr>
        <w:t xml:space="preserve">. </w:t>
      </w:r>
      <w:r w:rsidR="248FAC35" w:rsidRPr="72ECE0DE">
        <w:rPr>
          <w:rFonts w:asciiTheme="minorHAnsi" w:eastAsiaTheme="minorEastAsia" w:hAnsiTheme="minorHAnsi" w:cstheme="minorBidi"/>
          <w:sz w:val="22"/>
          <w:szCs w:val="22"/>
        </w:rPr>
        <w:t>It is noted that EBF plan to develop a gender strategy for the fund</w:t>
      </w:r>
      <w:r w:rsidR="6D05A426" w:rsidRPr="72ECE0DE">
        <w:rPr>
          <w:rFonts w:asciiTheme="minorHAnsi" w:eastAsiaTheme="minorEastAsia" w:hAnsiTheme="minorHAnsi" w:cstheme="minorBidi"/>
          <w:sz w:val="22"/>
          <w:szCs w:val="22"/>
        </w:rPr>
        <w:t xml:space="preserve"> </w:t>
      </w:r>
      <w:r w:rsidR="248FAC35" w:rsidRPr="72ECE0DE">
        <w:rPr>
          <w:rFonts w:asciiTheme="minorHAnsi" w:eastAsiaTheme="minorEastAsia" w:hAnsiTheme="minorHAnsi" w:cstheme="minorBidi"/>
          <w:sz w:val="22"/>
          <w:szCs w:val="22"/>
        </w:rPr>
        <w:t>to expand the work it has achieved to date and encompass additional strategies to address climate change by supporting female empowerment from a financial perspective. I</w:t>
      </w:r>
      <w:r w:rsidRPr="72ECE0DE">
        <w:rPr>
          <w:rFonts w:asciiTheme="minorHAnsi" w:eastAsiaTheme="minorEastAsia" w:hAnsiTheme="minorHAnsi" w:cstheme="minorBidi"/>
          <w:sz w:val="22"/>
          <w:szCs w:val="22"/>
        </w:rPr>
        <w:t xml:space="preserve">t is recommended that Defra work with EBF to </w:t>
      </w:r>
      <w:r w:rsidR="79F29473" w:rsidRPr="72ECE0DE">
        <w:rPr>
          <w:rFonts w:asciiTheme="minorHAnsi" w:eastAsiaTheme="minorEastAsia" w:hAnsiTheme="minorHAnsi" w:cstheme="minorBidi"/>
          <w:sz w:val="22"/>
          <w:szCs w:val="22"/>
        </w:rPr>
        <w:t>help develop the gender strategy that is being developed.</w:t>
      </w:r>
      <w:r w:rsidR="595FBAB5" w:rsidRPr="72ECE0DE">
        <w:rPr>
          <w:rFonts w:asciiTheme="minorHAnsi" w:eastAsiaTheme="minorEastAsia" w:hAnsiTheme="minorHAnsi" w:cstheme="minorBidi"/>
          <w:sz w:val="22"/>
          <w:szCs w:val="22"/>
        </w:rPr>
        <w:t xml:space="preserve"> </w:t>
      </w:r>
    </w:p>
    <w:p w14:paraId="5B0C6A76" w14:textId="67D8D223" w:rsidR="006F3AE7" w:rsidRPr="00F70DBE" w:rsidRDefault="006F3AE7" w:rsidP="0116275A">
      <w:pPr>
        <w:pStyle w:val="Heading2"/>
        <w:pBdr>
          <w:top w:val="single" w:sz="4" w:space="1" w:color="auto"/>
          <w:left w:val="single" w:sz="4" w:space="4" w:color="auto"/>
          <w:bottom w:val="single" w:sz="4" w:space="1" w:color="auto"/>
          <w:right w:val="single" w:sz="4" w:space="4" w:color="auto"/>
        </w:pBdr>
        <w:shd w:val="clear" w:color="auto" w:fill="D9E2F3" w:themeFill="accent1" w:themeFillTint="33"/>
        <w:spacing w:before="0"/>
        <w:rPr>
          <w:i w:val="0"/>
        </w:rPr>
      </w:pPr>
      <w:r w:rsidRPr="0116275A">
        <w:rPr>
          <w:i w:val="0"/>
        </w:rPr>
        <w:lastRenderedPageBreak/>
        <w:t>B: THEORY OF CHANGE AND PROGRESS TOWARDS OUTCOMES</w:t>
      </w:r>
    </w:p>
    <w:p w14:paraId="065D0850" w14:textId="77777777" w:rsidR="006F3AE7" w:rsidRDefault="006F3AE7" w:rsidP="0F40B7D6">
      <w:pPr>
        <w:rPr>
          <w:rFonts w:cs="Arial"/>
          <w:b/>
          <w:bCs/>
          <w:color w:val="FF0000"/>
          <w:sz w:val="22"/>
          <w:szCs w:val="22"/>
        </w:rPr>
      </w:pPr>
    </w:p>
    <w:p w14:paraId="2399A9CA" w14:textId="554D87E8" w:rsidR="4C599AC9" w:rsidRDefault="4C599AC9" w:rsidP="00D03E98">
      <w:pPr>
        <w:jc w:val="both"/>
        <w:rPr>
          <w:rFonts w:asciiTheme="minorHAnsi" w:eastAsiaTheme="minorEastAsia" w:hAnsiTheme="minorHAnsi" w:cstheme="minorBidi"/>
          <w:sz w:val="22"/>
          <w:szCs w:val="22"/>
        </w:rPr>
      </w:pPr>
      <w:r w:rsidRPr="0116275A">
        <w:rPr>
          <w:rFonts w:ascii="Calibri" w:eastAsia="Calibri" w:hAnsi="Calibri" w:cs="Calibri"/>
          <w:color w:val="000000" w:themeColor="text1"/>
          <w:sz w:val="22"/>
          <w:szCs w:val="22"/>
        </w:rPr>
        <w:t xml:space="preserve">EBF manages its impact based on a Theory of Change </w:t>
      </w:r>
      <w:r w:rsidR="672FD594" w:rsidRPr="0116275A">
        <w:rPr>
          <w:rFonts w:ascii="Calibri" w:eastAsia="Calibri" w:hAnsi="Calibri" w:cs="Calibri"/>
          <w:color w:val="000000" w:themeColor="text1"/>
          <w:sz w:val="22"/>
          <w:szCs w:val="22"/>
        </w:rPr>
        <w:t>(</w:t>
      </w:r>
      <w:proofErr w:type="spellStart"/>
      <w:r w:rsidR="672FD594" w:rsidRPr="0116275A">
        <w:rPr>
          <w:rFonts w:ascii="Calibri" w:eastAsia="Calibri" w:hAnsi="Calibri" w:cs="Calibri"/>
          <w:color w:val="000000" w:themeColor="text1"/>
          <w:sz w:val="22"/>
          <w:szCs w:val="22"/>
        </w:rPr>
        <w:t>ToC</w:t>
      </w:r>
      <w:proofErr w:type="spellEnd"/>
      <w:r w:rsidR="672FD594" w:rsidRPr="0116275A">
        <w:rPr>
          <w:rFonts w:ascii="Calibri" w:eastAsia="Calibri" w:hAnsi="Calibri" w:cs="Calibri"/>
          <w:color w:val="000000" w:themeColor="text1"/>
          <w:sz w:val="22"/>
          <w:szCs w:val="22"/>
        </w:rPr>
        <w:t xml:space="preserve">) </w:t>
      </w:r>
      <w:r w:rsidRPr="0116275A">
        <w:rPr>
          <w:rFonts w:ascii="Calibri" w:eastAsia="Calibri" w:hAnsi="Calibri" w:cs="Calibri"/>
          <w:color w:val="000000" w:themeColor="text1"/>
          <w:sz w:val="22"/>
          <w:szCs w:val="22"/>
        </w:rPr>
        <w:t xml:space="preserve">and in alignment with the </w:t>
      </w:r>
      <w:hyperlink r:id="rId11">
        <w:r w:rsidRPr="0116275A">
          <w:rPr>
            <w:rStyle w:val="Hyperlink"/>
            <w:rFonts w:ascii="Calibri" w:eastAsia="Calibri" w:hAnsi="Calibri" w:cs="Calibri"/>
            <w:sz w:val="22"/>
            <w:szCs w:val="22"/>
          </w:rPr>
          <w:t>Operating Principles for Impact Management</w:t>
        </w:r>
      </w:hyperlink>
      <w:r w:rsidR="56D3C222" w:rsidRPr="0116275A">
        <w:rPr>
          <w:rFonts w:ascii="Calibri" w:eastAsia="Calibri" w:hAnsi="Calibri" w:cs="Calibri"/>
          <w:color w:val="000000" w:themeColor="text1"/>
          <w:sz w:val="22"/>
          <w:szCs w:val="22"/>
        </w:rPr>
        <w:t xml:space="preserve">. </w:t>
      </w:r>
      <w:r w:rsidRPr="0116275A">
        <w:rPr>
          <w:rFonts w:asciiTheme="minorHAnsi" w:eastAsiaTheme="minorEastAsia" w:hAnsiTheme="minorHAnsi" w:cstheme="minorBidi"/>
          <w:sz w:val="22"/>
          <w:szCs w:val="22"/>
        </w:rPr>
        <w:t xml:space="preserve">The </w:t>
      </w:r>
      <w:proofErr w:type="spellStart"/>
      <w:r w:rsidR="7A9B9ECE" w:rsidRPr="0116275A">
        <w:rPr>
          <w:rFonts w:asciiTheme="minorHAnsi" w:eastAsiaTheme="minorEastAsia" w:hAnsiTheme="minorHAnsi" w:cstheme="minorBidi"/>
          <w:sz w:val="22"/>
          <w:szCs w:val="22"/>
        </w:rPr>
        <w:t>ToC</w:t>
      </w:r>
      <w:proofErr w:type="spellEnd"/>
      <w:r w:rsidRPr="0116275A">
        <w:rPr>
          <w:rFonts w:asciiTheme="minorHAnsi" w:eastAsiaTheme="minorEastAsia" w:hAnsiTheme="minorHAnsi" w:cstheme="minorBidi"/>
          <w:sz w:val="22"/>
          <w:szCs w:val="22"/>
        </w:rPr>
        <w:t xml:space="preserve"> </w:t>
      </w:r>
      <w:r w:rsidR="4AD7F4BC" w:rsidRPr="0116275A">
        <w:rPr>
          <w:rFonts w:asciiTheme="minorHAnsi" w:eastAsiaTheme="minorEastAsia" w:hAnsiTheme="minorHAnsi" w:cstheme="minorBidi"/>
          <w:sz w:val="22"/>
          <w:szCs w:val="22"/>
        </w:rPr>
        <w:t xml:space="preserve">considers four levels – activities, outputs, </w:t>
      </w:r>
      <w:r w:rsidR="01BC79A5" w:rsidRPr="0116275A">
        <w:rPr>
          <w:rFonts w:asciiTheme="minorHAnsi" w:eastAsiaTheme="minorEastAsia" w:hAnsiTheme="minorHAnsi" w:cstheme="minorBidi"/>
          <w:sz w:val="22"/>
          <w:szCs w:val="22"/>
        </w:rPr>
        <w:t>outcomes,</w:t>
      </w:r>
      <w:r w:rsidR="4AD7F4BC" w:rsidRPr="0116275A">
        <w:rPr>
          <w:rFonts w:asciiTheme="minorHAnsi" w:eastAsiaTheme="minorEastAsia" w:hAnsiTheme="minorHAnsi" w:cstheme="minorBidi"/>
          <w:sz w:val="22"/>
          <w:szCs w:val="22"/>
        </w:rPr>
        <w:t xml:space="preserve"> and final impact. </w:t>
      </w:r>
      <w:r w:rsidR="3032A77D" w:rsidRPr="0116275A">
        <w:rPr>
          <w:rFonts w:asciiTheme="minorHAnsi" w:eastAsiaTheme="minorEastAsia" w:hAnsiTheme="minorHAnsi" w:cstheme="minorBidi"/>
          <w:sz w:val="22"/>
          <w:szCs w:val="22"/>
        </w:rPr>
        <w:t xml:space="preserve">Some elements of the </w:t>
      </w:r>
      <w:proofErr w:type="spellStart"/>
      <w:r w:rsidR="3032A77D" w:rsidRPr="0116275A">
        <w:rPr>
          <w:rFonts w:asciiTheme="minorHAnsi" w:eastAsiaTheme="minorEastAsia" w:hAnsiTheme="minorHAnsi" w:cstheme="minorBidi"/>
          <w:sz w:val="22"/>
          <w:szCs w:val="22"/>
        </w:rPr>
        <w:t>T</w:t>
      </w:r>
      <w:r w:rsidR="3058DEDA" w:rsidRPr="0116275A">
        <w:rPr>
          <w:rFonts w:asciiTheme="minorHAnsi" w:eastAsiaTheme="minorEastAsia" w:hAnsiTheme="minorHAnsi" w:cstheme="minorBidi"/>
          <w:sz w:val="22"/>
          <w:szCs w:val="22"/>
        </w:rPr>
        <w:t>oC</w:t>
      </w:r>
      <w:proofErr w:type="spellEnd"/>
      <w:r w:rsidR="3032A77D" w:rsidRPr="0116275A">
        <w:rPr>
          <w:rFonts w:asciiTheme="minorHAnsi" w:eastAsiaTheme="minorEastAsia" w:hAnsiTheme="minorHAnsi" w:cstheme="minorBidi"/>
          <w:sz w:val="22"/>
          <w:szCs w:val="22"/>
        </w:rPr>
        <w:t xml:space="preserve"> are directly controlled by the </w:t>
      </w:r>
      <w:r w:rsidR="6BF7E545" w:rsidRPr="0116275A">
        <w:rPr>
          <w:rFonts w:asciiTheme="minorHAnsi" w:eastAsiaTheme="minorEastAsia" w:hAnsiTheme="minorHAnsi" w:cstheme="minorBidi"/>
          <w:sz w:val="22"/>
          <w:szCs w:val="22"/>
        </w:rPr>
        <w:t>F</w:t>
      </w:r>
      <w:r w:rsidR="3032A77D" w:rsidRPr="0116275A">
        <w:rPr>
          <w:rFonts w:asciiTheme="minorHAnsi" w:eastAsiaTheme="minorEastAsia" w:hAnsiTheme="minorHAnsi" w:cstheme="minorBidi"/>
          <w:sz w:val="22"/>
          <w:szCs w:val="22"/>
        </w:rPr>
        <w:t>und</w:t>
      </w:r>
      <w:r w:rsidR="5489654D" w:rsidRPr="0116275A">
        <w:rPr>
          <w:rFonts w:asciiTheme="minorHAnsi" w:eastAsiaTheme="minorEastAsia" w:hAnsiTheme="minorHAnsi" w:cstheme="minorBidi"/>
          <w:sz w:val="22"/>
          <w:szCs w:val="22"/>
        </w:rPr>
        <w:t>, for examp</w:t>
      </w:r>
      <w:r w:rsidR="76929539" w:rsidRPr="0116275A">
        <w:rPr>
          <w:rFonts w:asciiTheme="minorHAnsi" w:eastAsiaTheme="minorEastAsia" w:hAnsiTheme="minorHAnsi" w:cstheme="minorBidi"/>
          <w:sz w:val="22"/>
          <w:szCs w:val="22"/>
        </w:rPr>
        <w:t>l</w:t>
      </w:r>
      <w:r w:rsidR="5489654D" w:rsidRPr="0116275A">
        <w:rPr>
          <w:rFonts w:asciiTheme="minorHAnsi" w:eastAsiaTheme="minorEastAsia" w:hAnsiTheme="minorHAnsi" w:cstheme="minorBidi"/>
          <w:sz w:val="22"/>
          <w:szCs w:val="22"/>
        </w:rPr>
        <w:t xml:space="preserve">e </w:t>
      </w:r>
      <w:r w:rsidR="37B5ACD4" w:rsidRPr="0116275A">
        <w:rPr>
          <w:rFonts w:asciiTheme="minorHAnsi" w:eastAsiaTheme="minorEastAsia" w:hAnsiTheme="minorHAnsi" w:cstheme="minorBidi"/>
          <w:sz w:val="22"/>
          <w:szCs w:val="22"/>
        </w:rPr>
        <w:t>raising public and private capital</w:t>
      </w:r>
      <w:r w:rsidR="5489654D" w:rsidRPr="0116275A">
        <w:rPr>
          <w:rFonts w:asciiTheme="minorHAnsi" w:eastAsiaTheme="minorEastAsia" w:hAnsiTheme="minorHAnsi" w:cstheme="minorBidi"/>
          <w:sz w:val="22"/>
          <w:szCs w:val="22"/>
        </w:rPr>
        <w:t xml:space="preserve"> </w:t>
      </w:r>
      <w:r w:rsidR="0AF727FB" w:rsidRPr="0116275A">
        <w:rPr>
          <w:rFonts w:asciiTheme="minorHAnsi" w:eastAsiaTheme="minorEastAsia" w:hAnsiTheme="minorHAnsi" w:cstheme="minorBidi"/>
          <w:sz w:val="22"/>
          <w:szCs w:val="22"/>
        </w:rPr>
        <w:t>or providing technical assistance to financial institutions (</w:t>
      </w:r>
      <w:r w:rsidR="7AF81BC7" w:rsidRPr="0116275A">
        <w:rPr>
          <w:rFonts w:asciiTheme="minorHAnsi" w:eastAsiaTheme="minorEastAsia" w:hAnsiTheme="minorHAnsi" w:cstheme="minorBidi"/>
          <w:sz w:val="22"/>
          <w:szCs w:val="22"/>
        </w:rPr>
        <w:t>a</w:t>
      </w:r>
      <w:r w:rsidR="3032A77D" w:rsidRPr="0116275A">
        <w:rPr>
          <w:rFonts w:asciiTheme="minorHAnsi" w:eastAsiaTheme="minorEastAsia" w:hAnsiTheme="minorHAnsi" w:cstheme="minorBidi"/>
          <w:sz w:val="22"/>
          <w:szCs w:val="22"/>
        </w:rPr>
        <w:t>ctivities and outputs)</w:t>
      </w:r>
      <w:r w:rsidR="1F9D342C" w:rsidRPr="0116275A">
        <w:rPr>
          <w:rFonts w:asciiTheme="minorHAnsi" w:eastAsiaTheme="minorEastAsia" w:hAnsiTheme="minorHAnsi" w:cstheme="minorBidi"/>
          <w:sz w:val="22"/>
          <w:szCs w:val="22"/>
        </w:rPr>
        <w:t>.</w:t>
      </w:r>
      <w:r w:rsidR="3032A77D" w:rsidRPr="0116275A">
        <w:rPr>
          <w:rFonts w:asciiTheme="minorHAnsi" w:eastAsiaTheme="minorEastAsia" w:hAnsiTheme="minorHAnsi" w:cstheme="minorBidi"/>
          <w:sz w:val="22"/>
          <w:szCs w:val="22"/>
        </w:rPr>
        <w:t xml:space="preserve"> </w:t>
      </w:r>
      <w:r w:rsidR="2D3CA85F" w:rsidRPr="0116275A">
        <w:rPr>
          <w:rFonts w:asciiTheme="minorHAnsi" w:eastAsiaTheme="minorEastAsia" w:hAnsiTheme="minorHAnsi" w:cstheme="minorBidi"/>
          <w:sz w:val="22"/>
          <w:szCs w:val="22"/>
        </w:rPr>
        <w:t>H</w:t>
      </w:r>
      <w:r w:rsidR="3032A77D" w:rsidRPr="0116275A">
        <w:rPr>
          <w:rFonts w:asciiTheme="minorHAnsi" w:eastAsiaTheme="minorEastAsia" w:hAnsiTheme="minorHAnsi" w:cstheme="minorBidi"/>
          <w:sz w:val="22"/>
          <w:szCs w:val="22"/>
        </w:rPr>
        <w:t>owever</w:t>
      </w:r>
      <w:r w:rsidR="2FDD78D7" w:rsidRPr="0116275A">
        <w:rPr>
          <w:rFonts w:asciiTheme="minorHAnsi" w:eastAsiaTheme="minorEastAsia" w:hAnsiTheme="minorHAnsi" w:cstheme="minorBidi"/>
          <w:sz w:val="22"/>
          <w:szCs w:val="22"/>
        </w:rPr>
        <w:t>,</w:t>
      </w:r>
      <w:r w:rsidR="7C0C51C2" w:rsidRPr="0116275A">
        <w:rPr>
          <w:rFonts w:asciiTheme="minorHAnsi" w:eastAsiaTheme="minorEastAsia" w:hAnsiTheme="minorHAnsi" w:cstheme="minorBidi"/>
          <w:sz w:val="22"/>
          <w:szCs w:val="22"/>
        </w:rPr>
        <w:t xml:space="preserve"> some are a result of </w:t>
      </w:r>
      <w:r w:rsidR="3032A77D" w:rsidRPr="0116275A">
        <w:rPr>
          <w:rFonts w:asciiTheme="minorHAnsi" w:eastAsiaTheme="minorEastAsia" w:hAnsiTheme="minorHAnsi" w:cstheme="minorBidi"/>
          <w:sz w:val="22"/>
          <w:szCs w:val="22"/>
        </w:rPr>
        <w:t>both the fund and external factors</w:t>
      </w:r>
      <w:r w:rsidR="640A9B8F" w:rsidRPr="0116275A">
        <w:rPr>
          <w:rFonts w:asciiTheme="minorHAnsi" w:eastAsiaTheme="minorEastAsia" w:hAnsiTheme="minorHAnsi" w:cstheme="minorBidi"/>
          <w:sz w:val="22"/>
          <w:szCs w:val="22"/>
        </w:rPr>
        <w:t>, for example</w:t>
      </w:r>
      <w:r w:rsidR="1DF33EC9" w:rsidRPr="0116275A">
        <w:rPr>
          <w:rFonts w:asciiTheme="minorHAnsi" w:eastAsiaTheme="minorEastAsia" w:hAnsiTheme="minorHAnsi" w:cstheme="minorBidi"/>
          <w:sz w:val="22"/>
          <w:szCs w:val="22"/>
        </w:rPr>
        <w:t xml:space="preserve"> an increased integration of sustainability considerations in investment and production practices</w:t>
      </w:r>
      <w:r w:rsidR="3032A77D" w:rsidRPr="0116275A">
        <w:rPr>
          <w:rFonts w:asciiTheme="minorHAnsi" w:eastAsiaTheme="minorEastAsia" w:hAnsiTheme="minorHAnsi" w:cstheme="minorBidi"/>
          <w:sz w:val="22"/>
          <w:szCs w:val="22"/>
        </w:rPr>
        <w:t xml:space="preserve"> </w:t>
      </w:r>
      <w:r w:rsidR="2976E273" w:rsidRPr="0116275A">
        <w:rPr>
          <w:rFonts w:asciiTheme="minorHAnsi" w:eastAsiaTheme="minorEastAsia" w:hAnsiTheme="minorHAnsi" w:cstheme="minorBidi"/>
          <w:sz w:val="22"/>
          <w:szCs w:val="22"/>
        </w:rPr>
        <w:t xml:space="preserve">in the short term and scaling sustainable investment and production practices in the long term </w:t>
      </w:r>
      <w:r w:rsidR="3032A77D" w:rsidRPr="0116275A">
        <w:rPr>
          <w:rFonts w:asciiTheme="minorHAnsi" w:eastAsiaTheme="minorEastAsia" w:hAnsiTheme="minorHAnsi" w:cstheme="minorBidi"/>
          <w:sz w:val="22"/>
          <w:szCs w:val="22"/>
        </w:rPr>
        <w:t>(</w:t>
      </w:r>
      <w:r w:rsidR="68CF2CFD" w:rsidRPr="0116275A">
        <w:rPr>
          <w:rFonts w:asciiTheme="minorHAnsi" w:eastAsiaTheme="minorEastAsia" w:hAnsiTheme="minorHAnsi" w:cstheme="minorBidi"/>
          <w:sz w:val="22"/>
          <w:szCs w:val="22"/>
        </w:rPr>
        <w:t>e.g.,</w:t>
      </w:r>
      <w:r w:rsidR="2B9627DC" w:rsidRPr="0116275A">
        <w:rPr>
          <w:rFonts w:asciiTheme="minorHAnsi" w:eastAsiaTheme="minorEastAsia" w:hAnsiTheme="minorHAnsi" w:cstheme="minorBidi"/>
          <w:sz w:val="22"/>
          <w:szCs w:val="22"/>
        </w:rPr>
        <w:t xml:space="preserve"> </w:t>
      </w:r>
      <w:r w:rsidR="3032A77D" w:rsidRPr="0116275A">
        <w:rPr>
          <w:rFonts w:asciiTheme="minorHAnsi" w:eastAsiaTheme="minorEastAsia" w:hAnsiTheme="minorHAnsi" w:cstheme="minorBidi"/>
          <w:sz w:val="22"/>
          <w:szCs w:val="22"/>
        </w:rPr>
        <w:t>outcomes</w:t>
      </w:r>
      <w:r w:rsidR="4BD12E27" w:rsidRPr="0116275A">
        <w:rPr>
          <w:rFonts w:asciiTheme="minorHAnsi" w:eastAsiaTheme="minorEastAsia" w:hAnsiTheme="minorHAnsi" w:cstheme="minorBidi"/>
          <w:sz w:val="22"/>
          <w:szCs w:val="22"/>
        </w:rPr>
        <w:t xml:space="preserve"> and</w:t>
      </w:r>
      <w:r w:rsidR="3032A77D" w:rsidRPr="0116275A">
        <w:rPr>
          <w:rFonts w:asciiTheme="minorHAnsi" w:eastAsiaTheme="minorEastAsia" w:hAnsiTheme="minorHAnsi" w:cstheme="minorBidi"/>
          <w:sz w:val="22"/>
          <w:szCs w:val="22"/>
        </w:rPr>
        <w:t xml:space="preserve"> final impacts).</w:t>
      </w:r>
      <w:r w:rsidR="141F54E6" w:rsidRPr="0116275A">
        <w:rPr>
          <w:rFonts w:asciiTheme="minorHAnsi" w:eastAsiaTheme="minorEastAsia" w:hAnsiTheme="minorHAnsi" w:cstheme="minorBidi"/>
          <w:sz w:val="22"/>
          <w:szCs w:val="22"/>
        </w:rPr>
        <w:t xml:space="preserve"> </w:t>
      </w:r>
    </w:p>
    <w:p w14:paraId="1D3D3FE6" w14:textId="30535E9D" w:rsidR="49CFF048" w:rsidRDefault="49CFF048" w:rsidP="00D03E98">
      <w:pPr>
        <w:jc w:val="both"/>
        <w:rPr>
          <w:rFonts w:asciiTheme="minorHAnsi" w:eastAsiaTheme="minorEastAsia" w:hAnsiTheme="minorHAnsi" w:cstheme="minorBidi"/>
          <w:sz w:val="22"/>
          <w:szCs w:val="22"/>
        </w:rPr>
      </w:pPr>
    </w:p>
    <w:p w14:paraId="01F0035E" w14:textId="7DE19E31" w:rsidR="58B4D773" w:rsidRDefault="58B4D773" w:rsidP="00D03E98">
      <w:pPr>
        <w:jc w:val="both"/>
        <w:rPr>
          <w:rFonts w:asciiTheme="minorHAnsi" w:eastAsiaTheme="minorEastAsia" w:hAnsiTheme="minorHAnsi" w:cstheme="minorBidi"/>
          <w:color w:val="000000" w:themeColor="text1"/>
          <w:sz w:val="22"/>
          <w:szCs w:val="22"/>
          <w:lang w:val="en-US"/>
        </w:rPr>
      </w:pPr>
      <w:r w:rsidRPr="0116275A">
        <w:rPr>
          <w:rFonts w:asciiTheme="minorHAnsi" w:eastAsiaTheme="minorEastAsia" w:hAnsiTheme="minorHAnsi" w:cstheme="minorBidi"/>
          <w:sz w:val="22"/>
          <w:szCs w:val="22"/>
        </w:rPr>
        <w:t>G</w:t>
      </w:r>
      <w:r w:rsidR="14170D5C" w:rsidRPr="0116275A">
        <w:rPr>
          <w:rFonts w:asciiTheme="minorHAnsi" w:eastAsiaTheme="minorEastAsia" w:hAnsiTheme="minorHAnsi" w:cstheme="minorBidi"/>
          <w:sz w:val="22"/>
          <w:szCs w:val="22"/>
        </w:rPr>
        <w:t xml:space="preserve">iven the nature of the fund (lending to financial </w:t>
      </w:r>
      <w:r w:rsidR="2F73AD38" w:rsidRPr="0116275A">
        <w:rPr>
          <w:rFonts w:asciiTheme="minorHAnsi" w:eastAsiaTheme="minorEastAsia" w:hAnsiTheme="minorHAnsi" w:cstheme="minorBidi"/>
          <w:sz w:val="22"/>
          <w:szCs w:val="22"/>
        </w:rPr>
        <w:t>institutions</w:t>
      </w:r>
      <w:r w:rsidR="14170D5C" w:rsidRPr="0116275A">
        <w:rPr>
          <w:rFonts w:asciiTheme="minorHAnsi" w:eastAsiaTheme="minorEastAsia" w:hAnsiTheme="minorHAnsi" w:cstheme="minorBidi"/>
          <w:sz w:val="22"/>
          <w:szCs w:val="22"/>
        </w:rPr>
        <w:t xml:space="preserve"> who then on-lend to end borrowers) and</w:t>
      </w:r>
      <w:r w:rsidR="3032A77D" w:rsidRPr="0116275A">
        <w:rPr>
          <w:rFonts w:asciiTheme="minorHAnsi" w:eastAsiaTheme="minorEastAsia" w:hAnsiTheme="minorHAnsi" w:cstheme="minorBidi"/>
          <w:sz w:val="22"/>
          <w:szCs w:val="22"/>
        </w:rPr>
        <w:t xml:space="preserve"> the complex environments in which the fund’s investees and stakeholders operate in</w:t>
      </w:r>
      <w:r w:rsidR="68A0E7AA" w:rsidRPr="0116275A">
        <w:rPr>
          <w:rFonts w:asciiTheme="minorHAnsi" w:eastAsiaTheme="minorEastAsia" w:hAnsiTheme="minorHAnsi" w:cstheme="minorBidi"/>
          <w:sz w:val="22"/>
          <w:szCs w:val="22"/>
        </w:rPr>
        <w:t>,</w:t>
      </w:r>
      <w:r w:rsidR="4F078666" w:rsidRPr="0116275A">
        <w:rPr>
          <w:rFonts w:asciiTheme="minorHAnsi" w:eastAsiaTheme="minorEastAsia" w:hAnsiTheme="minorHAnsi" w:cstheme="minorBidi"/>
          <w:sz w:val="22"/>
          <w:szCs w:val="22"/>
        </w:rPr>
        <w:t xml:space="preserve"> the </w:t>
      </w:r>
      <w:r w:rsidR="2AEDC358" w:rsidRPr="0116275A">
        <w:rPr>
          <w:rFonts w:asciiTheme="minorHAnsi" w:eastAsiaTheme="minorEastAsia" w:hAnsiTheme="minorHAnsi" w:cstheme="minorBidi"/>
          <w:sz w:val="22"/>
          <w:szCs w:val="22"/>
        </w:rPr>
        <w:t xml:space="preserve">EBF </w:t>
      </w:r>
      <w:r w:rsidR="4F078666" w:rsidRPr="0116275A">
        <w:rPr>
          <w:rFonts w:asciiTheme="minorHAnsi" w:eastAsiaTheme="minorEastAsia" w:hAnsiTheme="minorHAnsi" w:cstheme="minorBidi"/>
          <w:sz w:val="22"/>
          <w:szCs w:val="22"/>
        </w:rPr>
        <w:t>does not attribute the total change happening at outcome and final impact level exclusively to the Fund’s contributions.</w:t>
      </w:r>
      <w:r w:rsidR="3032A77D" w:rsidRPr="0116275A">
        <w:rPr>
          <w:rFonts w:asciiTheme="minorHAnsi" w:eastAsiaTheme="minorEastAsia" w:hAnsiTheme="minorHAnsi" w:cstheme="minorBidi"/>
          <w:sz w:val="22"/>
          <w:szCs w:val="22"/>
        </w:rPr>
        <w:t xml:space="preserve"> </w:t>
      </w:r>
      <w:r w:rsidR="0BAFDEDA" w:rsidRPr="0116275A">
        <w:rPr>
          <w:rFonts w:asciiTheme="minorHAnsi" w:eastAsiaTheme="minorEastAsia" w:hAnsiTheme="minorHAnsi" w:cstheme="minorBidi"/>
          <w:sz w:val="22"/>
          <w:szCs w:val="22"/>
        </w:rPr>
        <w:t xml:space="preserve">Instead, the </w:t>
      </w:r>
      <w:proofErr w:type="spellStart"/>
      <w:r w:rsidR="6822D060" w:rsidRPr="0116275A">
        <w:rPr>
          <w:rFonts w:asciiTheme="minorHAnsi" w:eastAsiaTheme="minorEastAsia" w:hAnsiTheme="minorHAnsi" w:cstheme="minorBidi"/>
          <w:sz w:val="22"/>
          <w:szCs w:val="22"/>
        </w:rPr>
        <w:t>ToC</w:t>
      </w:r>
      <w:proofErr w:type="spellEnd"/>
      <w:r w:rsidR="6822D060" w:rsidRPr="0116275A">
        <w:rPr>
          <w:rFonts w:asciiTheme="minorHAnsi" w:eastAsiaTheme="minorEastAsia" w:hAnsiTheme="minorHAnsi" w:cstheme="minorBidi"/>
          <w:sz w:val="22"/>
          <w:szCs w:val="22"/>
        </w:rPr>
        <w:t xml:space="preserve"> focuses on the processes that are likely to be triggered by the Fund’s activities and how these lead to the </w:t>
      </w:r>
      <w:r w:rsidR="6D1239D6" w:rsidRPr="0116275A">
        <w:rPr>
          <w:rFonts w:asciiTheme="minorHAnsi" w:eastAsiaTheme="minorEastAsia" w:hAnsiTheme="minorHAnsi" w:cstheme="minorBidi"/>
          <w:sz w:val="22"/>
          <w:szCs w:val="22"/>
        </w:rPr>
        <w:t xml:space="preserve">final </w:t>
      </w:r>
      <w:r w:rsidR="6822D060" w:rsidRPr="0116275A">
        <w:rPr>
          <w:rFonts w:asciiTheme="minorHAnsi" w:eastAsiaTheme="minorEastAsia" w:hAnsiTheme="minorHAnsi" w:cstheme="minorBidi"/>
          <w:sz w:val="22"/>
          <w:szCs w:val="22"/>
        </w:rPr>
        <w:t>environmental and socio-economic impacts</w:t>
      </w:r>
      <w:r w:rsidR="62BE8368" w:rsidRPr="0116275A">
        <w:rPr>
          <w:rFonts w:asciiTheme="minorHAnsi" w:eastAsiaTheme="minorEastAsia" w:hAnsiTheme="minorHAnsi" w:cstheme="minorBidi"/>
          <w:sz w:val="22"/>
          <w:szCs w:val="22"/>
        </w:rPr>
        <w:t>. This</w:t>
      </w:r>
      <w:r w:rsidR="5BE80ED4" w:rsidRPr="0116275A">
        <w:rPr>
          <w:rFonts w:asciiTheme="minorHAnsi" w:eastAsiaTheme="minorEastAsia" w:hAnsiTheme="minorHAnsi" w:cstheme="minorBidi"/>
          <w:sz w:val="22"/>
          <w:szCs w:val="22"/>
        </w:rPr>
        <w:t xml:space="preserve"> causal analysis draws on</w:t>
      </w:r>
      <w:r w:rsidR="6822D060" w:rsidRPr="0116275A">
        <w:rPr>
          <w:rFonts w:asciiTheme="minorHAnsi" w:eastAsiaTheme="minorEastAsia" w:hAnsiTheme="minorHAnsi" w:cstheme="minorBidi"/>
          <w:sz w:val="22"/>
          <w:szCs w:val="22"/>
        </w:rPr>
        <w:t xml:space="preserve"> evidence </w:t>
      </w:r>
      <w:r w:rsidR="2C3420CC" w:rsidRPr="0116275A">
        <w:rPr>
          <w:rFonts w:asciiTheme="minorHAnsi" w:eastAsiaTheme="minorEastAsia" w:hAnsiTheme="minorHAnsi" w:cstheme="minorBidi"/>
          <w:sz w:val="22"/>
          <w:szCs w:val="22"/>
        </w:rPr>
        <w:t xml:space="preserve">from financial institutions, industry networks, international institutions, </w:t>
      </w:r>
      <w:r w:rsidR="0FDCCCDB" w:rsidRPr="0116275A">
        <w:rPr>
          <w:rFonts w:asciiTheme="minorHAnsi" w:eastAsiaTheme="minorEastAsia" w:hAnsiTheme="minorHAnsi" w:cstheme="minorBidi"/>
          <w:sz w:val="22"/>
          <w:szCs w:val="22"/>
        </w:rPr>
        <w:t>academia,</w:t>
      </w:r>
      <w:r w:rsidR="2C3420CC" w:rsidRPr="0116275A">
        <w:rPr>
          <w:rFonts w:asciiTheme="minorHAnsi" w:eastAsiaTheme="minorEastAsia" w:hAnsiTheme="minorHAnsi" w:cstheme="minorBidi"/>
          <w:sz w:val="22"/>
          <w:szCs w:val="22"/>
        </w:rPr>
        <w:t xml:space="preserve"> and conservation organisations. A det</w:t>
      </w:r>
      <w:r w:rsidR="379200CE" w:rsidRPr="0116275A">
        <w:rPr>
          <w:rFonts w:asciiTheme="minorHAnsi" w:eastAsiaTheme="minorEastAsia" w:hAnsiTheme="minorHAnsi" w:cstheme="minorBidi"/>
          <w:sz w:val="22"/>
          <w:szCs w:val="22"/>
        </w:rPr>
        <w:t>a</w:t>
      </w:r>
      <w:r w:rsidR="2C3420CC" w:rsidRPr="0116275A">
        <w:rPr>
          <w:rFonts w:asciiTheme="minorHAnsi" w:eastAsiaTheme="minorEastAsia" w:hAnsiTheme="minorHAnsi" w:cstheme="minorBidi"/>
          <w:sz w:val="22"/>
          <w:szCs w:val="22"/>
        </w:rPr>
        <w:t xml:space="preserve">iled description of </w:t>
      </w:r>
      <w:r w:rsidR="4F1AE20C" w:rsidRPr="0116275A">
        <w:rPr>
          <w:rFonts w:asciiTheme="minorHAnsi" w:eastAsiaTheme="minorEastAsia" w:hAnsiTheme="minorHAnsi" w:cstheme="minorBidi"/>
          <w:sz w:val="22"/>
          <w:szCs w:val="22"/>
        </w:rPr>
        <w:t xml:space="preserve">the </w:t>
      </w:r>
      <w:proofErr w:type="spellStart"/>
      <w:r w:rsidR="4F1AE20C" w:rsidRPr="0116275A">
        <w:rPr>
          <w:rFonts w:asciiTheme="minorHAnsi" w:eastAsiaTheme="minorEastAsia" w:hAnsiTheme="minorHAnsi" w:cstheme="minorBidi"/>
          <w:sz w:val="22"/>
          <w:szCs w:val="22"/>
        </w:rPr>
        <w:t>ToC</w:t>
      </w:r>
      <w:proofErr w:type="spellEnd"/>
      <w:r w:rsidR="4F1AE20C" w:rsidRPr="0116275A">
        <w:rPr>
          <w:rFonts w:asciiTheme="minorHAnsi" w:eastAsiaTheme="minorEastAsia" w:hAnsiTheme="minorHAnsi" w:cstheme="minorBidi"/>
          <w:sz w:val="22"/>
          <w:szCs w:val="22"/>
        </w:rPr>
        <w:t xml:space="preserve"> can be found </w:t>
      </w:r>
      <w:hyperlink r:id="rId12">
        <w:r w:rsidR="67C45C8D" w:rsidRPr="0116275A">
          <w:rPr>
            <w:rStyle w:val="Hyperlink"/>
            <w:rFonts w:asciiTheme="minorHAnsi" w:eastAsiaTheme="minorEastAsia" w:hAnsiTheme="minorHAnsi" w:cstheme="minorBidi"/>
            <w:sz w:val="22"/>
            <w:szCs w:val="22"/>
            <w:lang w:val="en-US"/>
          </w:rPr>
          <w:t>here</w:t>
        </w:r>
        <w:r w:rsidR="54FD464E" w:rsidRPr="0116275A">
          <w:rPr>
            <w:rStyle w:val="Hyperlink"/>
            <w:rFonts w:asciiTheme="minorHAnsi" w:eastAsiaTheme="minorEastAsia" w:hAnsiTheme="minorHAnsi" w:cstheme="minorBidi"/>
            <w:sz w:val="22"/>
            <w:szCs w:val="22"/>
            <w:lang w:val="en-US"/>
          </w:rPr>
          <w:t>.</w:t>
        </w:r>
      </w:hyperlink>
    </w:p>
    <w:p w14:paraId="0D75A73B" w14:textId="46DF1B4E" w:rsidR="49CFF048" w:rsidRDefault="49CFF048" w:rsidP="00D03E98">
      <w:pPr>
        <w:jc w:val="both"/>
        <w:rPr>
          <w:lang w:val="en-US"/>
        </w:rPr>
      </w:pPr>
    </w:p>
    <w:p w14:paraId="53F085FA" w14:textId="3BE0FF80" w:rsidR="3A39FD51" w:rsidRDefault="3A39FD51" w:rsidP="00D03E98">
      <w:pPr>
        <w:jc w:val="both"/>
        <w:rPr>
          <w:rFonts w:asciiTheme="minorHAnsi" w:eastAsiaTheme="minorEastAsia" w:hAnsiTheme="minorHAnsi" w:cstheme="minorBidi"/>
          <w:sz w:val="22"/>
          <w:szCs w:val="22"/>
          <w:lang w:val="en-US"/>
        </w:rPr>
      </w:pPr>
      <w:r w:rsidRPr="49CFF048">
        <w:rPr>
          <w:rFonts w:asciiTheme="minorHAnsi" w:eastAsiaTheme="minorEastAsia" w:hAnsiTheme="minorHAnsi" w:cstheme="minorBidi"/>
          <w:sz w:val="22"/>
          <w:szCs w:val="22"/>
          <w:lang w:val="en-US"/>
        </w:rPr>
        <w:t xml:space="preserve">The Fund’s </w:t>
      </w:r>
      <w:hyperlink r:id="rId13" w:history="1">
        <w:r w:rsidR="004C616D" w:rsidRPr="004C616D">
          <w:rPr>
            <w:rStyle w:val="Hyperlink"/>
            <w:rFonts w:asciiTheme="minorHAnsi" w:hAnsiTheme="minorHAnsi" w:cstheme="minorHAnsi"/>
            <w:sz w:val="22"/>
            <w:szCs w:val="22"/>
          </w:rPr>
          <w:t>Impact Framework</w:t>
        </w:r>
        <w:r w:rsidR="004C616D" w:rsidRPr="004C616D">
          <w:rPr>
            <w:rStyle w:val="Hyperlink"/>
            <w:sz w:val="22"/>
            <w:szCs w:val="22"/>
          </w:rPr>
          <w:t xml:space="preserve"> </w:t>
        </w:r>
      </w:hyperlink>
      <w:r w:rsidR="004C616D" w:rsidRPr="004C616D">
        <w:rPr>
          <w:rFonts w:asciiTheme="minorHAnsi" w:eastAsiaTheme="minorEastAsia" w:hAnsiTheme="minorHAnsi" w:cstheme="minorBidi"/>
          <w:sz w:val="20"/>
          <w:szCs w:val="20"/>
          <w:lang w:val="en-US"/>
        </w:rPr>
        <w:t xml:space="preserve"> </w:t>
      </w:r>
      <w:r w:rsidRPr="49CFF048">
        <w:rPr>
          <w:rFonts w:asciiTheme="minorHAnsi" w:eastAsiaTheme="minorEastAsia" w:hAnsiTheme="minorHAnsi" w:cstheme="minorBidi"/>
          <w:sz w:val="22"/>
          <w:szCs w:val="22"/>
          <w:lang w:val="en-US"/>
        </w:rPr>
        <w:t>complement</w:t>
      </w:r>
      <w:r w:rsidR="781981D2" w:rsidRPr="49CFF048">
        <w:rPr>
          <w:rFonts w:asciiTheme="minorHAnsi" w:eastAsiaTheme="minorEastAsia" w:hAnsiTheme="minorHAnsi" w:cstheme="minorBidi"/>
          <w:sz w:val="22"/>
          <w:szCs w:val="22"/>
          <w:lang w:val="en-US"/>
        </w:rPr>
        <w:t xml:space="preserve">s the </w:t>
      </w:r>
      <w:proofErr w:type="spellStart"/>
      <w:r w:rsidR="781981D2" w:rsidRPr="49CFF048">
        <w:rPr>
          <w:rFonts w:asciiTheme="minorHAnsi" w:eastAsiaTheme="minorEastAsia" w:hAnsiTheme="minorHAnsi" w:cstheme="minorBidi"/>
          <w:sz w:val="22"/>
          <w:szCs w:val="22"/>
          <w:lang w:val="en-US"/>
        </w:rPr>
        <w:t>ToC</w:t>
      </w:r>
      <w:proofErr w:type="spellEnd"/>
      <w:r w:rsidR="781981D2" w:rsidRPr="49CFF048">
        <w:rPr>
          <w:rFonts w:asciiTheme="minorHAnsi" w:eastAsiaTheme="minorEastAsia" w:hAnsiTheme="minorHAnsi" w:cstheme="minorBidi"/>
          <w:sz w:val="22"/>
          <w:szCs w:val="22"/>
          <w:lang w:val="en-US"/>
        </w:rPr>
        <w:t xml:space="preserve"> and</w:t>
      </w:r>
      <w:r w:rsidRPr="49CFF048">
        <w:rPr>
          <w:rFonts w:asciiTheme="minorHAnsi" w:eastAsiaTheme="minorEastAsia" w:hAnsiTheme="minorHAnsi" w:cstheme="minorBidi"/>
          <w:sz w:val="22"/>
          <w:szCs w:val="22"/>
          <w:lang w:val="en-US"/>
        </w:rPr>
        <w:t xml:space="preserve"> </w:t>
      </w:r>
      <w:r w:rsidR="3F1B2CDA" w:rsidRPr="49CFF048">
        <w:rPr>
          <w:rFonts w:asciiTheme="minorHAnsi" w:eastAsiaTheme="minorEastAsia" w:hAnsiTheme="minorHAnsi" w:cstheme="minorBidi"/>
          <w:sz w:val="22"/>
          <w:szCs w:val="22"/>
          <w:lang w:val="en-US"/>
        </w:rPr>
        <w:t>illustrates</w:t>
      </w:r>
      <w:r w:rsidRPr="49CFF048">
        <w:rPr>
          <w:rFonts w:asciiTheme="minorHAnsi" w:eastAsiaTheme="minorEastAsia" w:hAnsiTheme="minorHAnsi" w:cstheme="minorBidi"/>
          <w:sz w:val="22"/>
          <w:szCs w:val="22"/>
          <w:lang w:val="en-US"/>
        </w:rPr>
        <w:t xml:space="preserve"> how the Fund </w:t>
      </w:r>
      <w:r w:rsidR="4A42A692" w:rsidRPr="49CFF048">
        <w:rPr>
          <w:rFonts w:asciiTheme="minorHAnsi" w:eastAsiaTheme="minorEastAsia" w:hAnsiTheme="minorHAnsi" w:cstheme="minorBidi"/>
          <w:sz w:val="22"/>
          <w:szCs w:val="22"/>
          <w:lang w:val="en-US"/>
        </w:rPr>
        <w:t>meets its objectives b</w:t>
      </w:r>
      <w:r w:rsidRPr="49CFF048">
        <w:rPr>
          <w:rFonts w:asciiTheme="minorHAnsi" w:eastAsiaTheme="minorEastAsia" w:hAnsiTheme="minorHAnsi" w:cstheme="minorBidi"/>
          <w:sz w:val="22"/>
          <w:szCs w:val="22"/>
          <w:lang w:val="en-US"/>
        </w:rPr>
        <w:t>y connecting actions to defined outcomes and final impacts</w:t>
      </w:r>
      <w:r w:rsidR="4356C952" w:rsidRPr="49CFF048">
        <w:rPr>
          <w:rFonts w:asciiTheme="minorHAnsi" w:eastAsiaTheme="minorEastAsia" w:hAnsiTheme="minorHAnsi" w:cstheme="minorBidi"/>
          <w:sz w:val="22"/>
          <w:szCs w:val="22"/>
          <w:lang w:val="en-US"/>
        </w:rPr>
        <w:t>. It also maps out</w:t>
      </w:r>
      <w:r w:rsidRPr="49CFF048">
        <w:rPr>
          <w:rFonts w:asciiTheme="minorHAnsi" w:eastAsiaTheme="minorEastAsia" w:hAnsiTheme="minorHAnsi" w:cstheme="minorBidi"/>
          <w:sz w:val="22"/>
          <w:szCs w:val="22"/>
          <w:lang w:val="en-US"/>
        </w:rPr>
        <w:t xml:space="preserve"> how progress is measured and reported</w:t>
      </w:r>
      <w:r w:rsidR="4B72616D" w:rsidRPr="49CFF048">
        <w:rPr>
          <w:rFonts w:asciiTheme="minorHAnsi" w:eastAsiaTheme="minorEastAsia" w:hAnsiTheme="minorHAnsi" w:cstheme="minorBidi"/>
          <w:sz w:val="22"/>
          <w:szCs w:val="22"/>
          <w:lang w:val="en-US"/>
        </w:rPr>
        <w:t>.</w:t>
      </w:r>
    </w:p>
    <w:p w14:paraId="3EEDD1F5" w14:textId="5CDD40CF" w:rsidR="5E73B91F" w:rsidRDefault="5E73B91F" w:rsidP="5E73B91F">
      <w:pPr>
        <w:rPr>
          <w:b/>
          <w:bCs/>
          <w:color w:val="FF0000"/>
        </w:rPr>
      </w:pPr>
    </w:p>
    <w:p w14:paraId="7C2169FB" w14:textId="35E1BA27" w:rsidR="153AD499" w:rsidRDefault="153AD499" w:rsidP="49CFF048">
      <w:pPr>
        <w:pStyle w:val="Normal1"/>
        <w:spacing w:after="120"/>
        <w:jc w:val="both"/>
        <w:rPr>
          <w:rFonts w:asciiTheme="minorHAnsi" w:eastAsiaTheme="minorEastAsia" w:hAnsiTheme="minorHAnsi" w:cstheme="minorBidi"/>
          <w:b/>
          <w:bCs/>
          <w:color w:val="000000" w:themeColor="text1"/>
        </w:rPr>
      </w:pPr>
      <w:r w:rsidRPr="49CFF048">
        <w:rPr>
          <w:rFonts w:asciiTheme="minorHAnsi" w:eastAsiaTheme="minorEastAsia" w:hAnsiTheme="minorHAnsi" w:cstheme="minorBidi"/>
          <w:b/>
          <w:bCs/>
          <w:color w:val="000000" w:themeColor="text1"/>
        </w:rPr>
        <w:t xml:space="preserve">Annual outcome assessment  </w:t>
      </w:r>
    </w:p>
    <w:p w14:paraId="6EAFEC15" w14:textId="2D94CE1F" w:rsidR="153AD499" w:rsidRDefault="70C8B9D6" w:rsidP="0116275A">
      <w:pPr>
        <w:pStyle w:val="Normal1"/>
        <w:spacing w:after="120"/>
        <w:jc w:val="both"/>
        <w:rPr>
          <w:rFonts w:asciiTheme="minorHAnsi" w:eastAsiaTheme="minorEastAsia" w:hAnsiTheme="minorHAnsi" w:cstheme="minorBidi"/>
          <w:color w:val="000000" w:themeColor="text1"/>
          <w:sz w:val="22"/>
          <w:szCs w:val="22"/>
        </w:rPr>
      </w:pPr>
      <w:r w:rsidRPr="55167995">
        <w:rPr>
          <w:rFonts w:asciiTheme="minorHAnsi" w:eastAsiaTheme="minorEastAsia" w:hAnsiTheme="minorHAnsi" w:cstheme="minorBidi"/>
          <w:color w:val="000000" w:themeColor="text1"/>
          <w:sz w:val="22"/>
          <w:szCs w:val="22"/>
        </w:rPr>
        <w:t xml:space="preserve">In </w:t>
      </w:r>
      <w:r w:rsidR="00D5118A">
        <w:rPr>
          <w:rFonts w:asciiTheme="minorHAnsi" w:eastAsiaTheme="minorEastAsia" w:hAnsiTheme="minorHAnsi" w:cstheme="minorBidi"/>
          <w:color w:val="000000" w:themeColor="text1"/>
          <w:sz w:val="22"/>
          <w:szCs w:val="22"/>
        </w:rPr>
        <w:t>D</w:t>
      </w:r>
      <w:r w:rsidRPr="55167995">
        <w:rPr>
          <w:rFonts w:asciiTheme="minorHAnsi" w:eastAsiaTheme="minorEastAsia" w:hAnsiTheme="minorHAnsi" w:cstheme="minorBidi"/>
          <w:color w:val="000000" w:themeColor="text1"/>
          <w:sz w:val="22"/>
          <w:szCs w:val="22"/>
        </w:rPr>
        <w:t xml:space="preserve">efra’s logical framework for the EBF, </w:t>
      </w:r>
      <w:r w:rsidR="7FB11B1D" w:rsidRPr="55167995">
        <w:rPr>
          <w:rFonts w:asciiTheme="minorHAnsi" w:eastAsiaTheme="minorEastAsia" w:hAnsiTheme="minorHAnsi" w:cstheme="minorBidi"/>
          <w:color w:val="000000" w:themeColor="text1"/>
          <w:sz w:val="22"/>
          <w:szCs w:val="22"/>
        </w:rPr>
        <w:t>o</w:t>
      </w:r>
      <w:r w:rsidR="39D9ABAA" w:rsidRPr="55167995">
        <w:rPr>
          <w:rFonts w:asciiTheme="minorHAnsi" w:eastAsiaTheme="minorEastAsia" w:hAnsiTheme="minorHAnsi" w:cstheme="minorBidi"/>
          <w:color w:val="000000" w:themeColor="text1"/>
          <w:sz w:val="22"/>
          <w:szCs w:val="22"/>
        </w:rPr>
        <w:t xml:space="preserve">utcome indicators are defined as: </w:t>
      </w:r>
    </w:p>
    <w:p w14:paraId="301D58A6" w14:textId="6E4EBDEC" w:rsidR="153AD499" w:rsidRDefault="153AD499" w:rsidP="0116275A">
      <w:pPr>
        <w:pStyle w:val="Normal1"/>
        <w:numPr>
          <w:ilvl w:val="0"/>
          <w:numId w:val="6"/>
        </w:numPr>
        <w:spacing w:after="120"/>
        <w:jc w:val="both"/>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color w:val="000000" w:themeColor="text1"/>
          <w:sz w:val="22"/>
          <w:szCs w:val="22"/>
        </w:rPr>
        <w:t xml:space="preserve">EBF's success in contributing to biodiversity conservation, the sustainable use of natural resources and climate change adaptation and mitigation; and this success creating an incentive for others to also act towards these goals. </w:t>
      </w:r>
    </w:p>
    <w:p w14:paraId="42B09D96" w14:textId="1D5C8F3B" w:rsidR="000F6F42" w:rsidRDefault="153AD499" w:rsidP="000F6F42">
      <w:pPr>
        <w:pStyle w:val="Normal1"/>
        <w:numPr>
          <w:ilvl w:val="0"/>
          <w:numId w:val="6"/>
        </w:numPr>
        <w:spacing w:after="120"/>
        <w:jc w:val="both"/>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color w:val="000000" w:themeColor="text1"/>
          <w:sz w:val="22"/>
          <w:szCs w:val="22"/>
        </w:rPr>
        <w:t xml:space="preserve">Level of behavioural change embedded in downstream lenders and </w:t>
      </w:r>
      <w:r w:rsidR="50F6A87F" w:rsidRPr="0116275A">
        <w:rPr>
          <w:rFonts w:asciiTheme="minorHAnsi" w:eastAsiaTheme="minorEastAsia" w:hAnsiTheme="minorHAnsi" w:cstheme="minorBidi"/>
          <w:color w:val="000000" w:themeColor="text1"/>
          <w:sz w:val="22"/>
          <w:szCs w:val="22"/>
        </w:rPr>
        <w:t>Financial Institutions</w:t>
      </w:r>
      <w:r w:rsidR="78224D52" w:rsidRPr="0116275A">
        <w:rPr>
          <w:rFonts w:asciiTheme="minorHAnsi" w:eastAsiaTheme="minorEastAsia" w:hAnsiTheme="minorHAnsi" w:cstheme="minorBidi"/>
          <w:color w:val="000000" w:themeColor="text1"/>
          <w:sz w:val="22"/>
          <w:szCs w:val="22"/>
        </w:rPr>
        <w:t xml:space="preserve"> (</w:t>
      </w:r>
      <w:r w:rsidR="78224D52" w:rsidRPr="0116275A">
        <w:rPr>
          <w:rFonts w:ascii="Calibri" w:eastAsia="Calibri" w:hAnsi="Calibri" w:cs="Calibri"/>
          <w:color w:val="000000" w:themeColor="text1"/>
          <w:sz w:val="22"/>
          <w:szCs w:val="22"/>
        </w:rPr>
        <w:t>FIs</w:t>
      </w:r>
      <w:r w:rsidR="50F6A87F" w:rsidRPr="0116275A">
        <w:rPr>
          <w:rFonts w:asciiTheme="minorHAnsi" w:eastAsiaTheme="minorEastAsia" w:hAnsiTheme="minorHAnsi" w:cstheme="minorBidi"/>
          <w:color w:val="000000" w:themeColor="text1"/>
          <w:sz w:val="22"/>
          <w:szCs w:val="22"/>
        </w:rPr>
        <w:t>)</w:t>
      </w:r>
      <w:r w:rsidRPr="0116275A">
        <w:rPr>
          <w:rFonts w:asciiTheme="minorHAnsi" w:eastAsiaTheme="minorEastAsia" w:hAnsiTheme="minorHAnsi" w:cstheme="minorBidi"/>
          <w:color w:val="000000" w:themeColor="text1"/>
          <w:sz w:val="22"/>
          <w:szCs w:val="22"/>
        </w:rPr>
        <w:t xml:space="preserve">. </w:t>
      </w:r>
    </w:p>
    <w:tbl>
      <w:tblPr>
        <w:tblStyle w:val="TableGrid"/>
        <w:tblW w:w="0" w:type="auto"/>
        <w:tblLook w:val="04A0" w:firstRow="1" w:lastRow="0" w:firstColumn="1" w:lastColumn="0" w:noHBand="0" w:noVBand="1"/>
      </w:tblPr>
      <w:tblGrid>
        <w:gridCol w:w="2364"/>
        <w:gridCol w:w="2233"/>
        <w:gridCol w:w="2204"/>
        <w:gridCol w:w="2215"/>
      </w:tblGrid>
      <w:tr w:rsidR="008E3A03" w14:paraId="1D8E53D3" w14:textId="77777777" w:rsidTr="72ECE0DE">
        <w:tc>
          <w:tcPr>
            <w:tcW w:w="2364" w:type="dxa"/>
          </w:tcPr>
          <w:p w14:paraId="71825B01" w14:textId="5AB31C00" w:rsidR="008E3A03" w:rsidRPr="00776129" w:rsidRDefault="6CDAB24D"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color w:val="000000" w:themeColor="text1"/>
                <w:sz w:val="22"/>
                <w:szCs w:val="22"/>
              </w:rPr>
              <w:t>Outcome</w:t>
            </w:r>
          </w:p>
        </w:tc>
        <w:tc>
          <w:tcPr>
            <w:tcW w:w="2233" w:type="dxa"/>
          </w:tcPr>
          <w:p w14:paraId="30EA35CB" w14:textId="2DF333ED"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0855688">
              <w:rPr>
                <w:rFonts w:asciiTheme="minorHAnsi" w:hAnsiTheme="minorHAnsi" w:cstheme="minorBidi"/>
                <w:color w:val="000000" w:themeColor="text1"/>
                <w:sz w:val="22"/>
                <w:szCs w:val="22"/>
              </w:rPr>
              <w:t>Outcome indicator (all results cumulative)</w:t>
            </w:r>
          </w:p>
        </w:tc>
        <w:tc>
          <w:tcPr>
            <w:tcW w:w="2204" w:type="dxa"/>
          </w:tcPr>
          <w:p w14:paraId="241E6D1D" w14:textId="72B693F4" w:rsidR="008E3A03" w:rsidRPr="003572FD" w:rsidRDefault="007B5875" w:rsidP="078C476B">
            <w:pPr>
              <w:pStyle w:val="Normal1"/>
              <w:spacing w:after="120"/>
              <w:jc w:val="both"/>
              <w:rPr>
                <w:rFonts w:asciiTheme="minorHAnsi" w:eastAsiaTheme="minorEastAsia" w:hAnsiTheme="minorHAnsi" w:cstheme="minorBidi"/>
                <w:color w:val="000000" w:themeColor="text1"/>
                <w:sz w:val="22"/>
                <w:szCs w:val="22"/>
              </w:rPr>
            </w:pPr>
            <w:r>
              <w:rPr>
                <w:rFonts w:asciiTheme="minorHAnsi" w:hAnsiTheme="minorHAnsi" w:cstheme="minorBidi"/>
                <w:color w:val="000000" w:themeColor="text1"/>
                <w:sz w:val="22"/>
                <w:szCs w:val="22"/>
              </w:rPr>
              <w:t>Milestone 2020 (Defra review)</w:t>
            </w:r>
          </w:p>
        </w:tc>
        <w:tc>
          <w:tcPr>
            <w:tcW w:w="2215" w:type="dxa"/>
          </w:tcPr>
          <w:p w14:paraId="3E4CA623" w14:textId="0FD72BA0"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hAnsiTheme="minorHAnsi" w:cstheme="minorBidi"/>
                <w:color w:val="000000" w:themeColor="text1"/>
                <w:sz w:val="22"/>
                <w:szCs w:val="22"/>
              </w:rPr>
              <w:t>Achieved 2020 (fund level)</w:t>
            </w:r>
          </w:p>
        </w:tc>
      </w:tr>
      <w:tr w:rsidR="008E3A03" w14:paraId="4A6E41BF" w14:textId="77777777" w:rsidTr="72ECE0DE">
        <w:tc>
          <w:tcPr>
            <w:tcW w:w="2364" w:type="dxa"/>
            <w:vMerge w:val="restart"/>
          </w:tcPr>
          <w:p w14:paraId="546EB264" w14:textId="77777777" w:rsidR="008E3A03" w:rsidRPr="003572FD" w:rsidRDefault="6CDAB24D" w:rsidP="078C476B">
            <w:pPr>
              <w:pStyle w:val="ListParagraph"/>
              <w:numPr>
                <w:ilvl w:val="0"/>
                <w:numId w:val="38"/>
              </w:numPr>
              <w:spacing w:before="120" w:after="0" w:line="276" w:lineRule="auto"/>
              <w:jc w:val="both"/>
              <w:rPr>
                <w:rFonts w:asciiTheme="minorHAnsi" w:hAnsiTheme="minorHAnsi" w:cstheme="minorBidi"/>
                <w:color w:val="000000" w:themeColor="text1"/>
                <w:sz w:val="22"/>
                <w:szCs w:val="22"/>
              </w:rPr>
            </w:pPr>
            <w:r w:rsidRPr="078C476B">
              <w:rPr>
                <w:rFonts w:asciiTheme="minorHAnsi" w:hAnsiTheme="minorHAnsi" w:cstheme="minorBidi"/>
                <w:sz w:val="22"/>
                <w:szCs w:val="22"/>
              </w:rPr>
              <w:t>EBF's success in contributing to biodiversity conservation, the sustainable use of natural resources and climate change adaptation and mitigation; and this success creating an incentive for others to also act towards these goals.</w:t>
            </w:r>
          </w:p>
          <w:p w14:paraId="78328796" w14:textId="77777777" w:rsidR="008E3A03" w:rsidRPr="003572FD" w:rsidRDefault="008E3A03" w:rsidP="000F6F42">
            <w:pPr>
              <w:pStyle w:val="Normal1"/>
              <w:spacing w:after="120"/>
              <w:jc w:val="both"/>
              <w:rPr>
                <w:rFonts w:asciiTheme="minorHAnsi" w:eastAsiaTheme="minorEastAsia" w:hAnsiTheme="minorHAnsi" w:cstheme="minorHAnsi"/>
                <w:color w:val="000000" w:themeColor="text1"/>
                <w:sz w:val="22"/>
                <w:szCs w:val="22"/>
              </w:rPr>
            </w:pPr>
          </w:p>
        </w:tc>
        <w:tc>
          <w:tcPr>
            <w:tcW w:w="2233" w:type="dxa"/>
          </w:tcPr>
          <w:p w14:paraId="45887FB3" w14:textId="1FA5CCEE"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hAnsiTheme="minorHAnsi" w:cstheme="minorBidi"/>
                <w:sz w:val="22"/>
                <w:szCs w:val="22"/>
              </w:rPr>
              <w:t>1.1 Amount of water savings entirely or partly attributable to the intervention of the EBF</w:t>
            </w:r>
            <w:r w:rsidRPr="078C476B">
              <w:rPr>
                <w:rFonts w:asciiTheme="minorHAnsi" w:hAnsiTheme="minorHAnsi" w:cstheme="minorBidi"/>
                <w:color w:val="000000" w:themeColor="text1"/>
                <w:sz w:val="22"/>
                <w:szCs w:val="22"/>
              </w:rPr>
              <w:t xml:space="preserve"> (millions of cubic metres)</w:t>
            </w:r>
          </w:p>
        </w:tc>
        <w:tc>
          <w:tcPr>
            <w:tcW w:w="2204" w:type="dxa"/>
          </w:tcPr>
          <w:p w14:paraId="2097D9C2" w14:textId="4F6DEF67" w:rsidR="008E3A03" w:rsidRPr="00776129" w:rsidRDefault="6D497AF7"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color w:val="000000" w:themeColor="text1"/>
                <w:sz w:val="22"/>
                <w:szCs w:val="22"/>
              </w:rPr>
              <w:t>7.5</w:t>
            </w:r>
          </w:p>
        </w:tc>
        <w:tc>
          <w:tcPr>
            <w:tcW w:w="2215" w:type="dxa"/>
          </w:tcPr>
          <w:p w14:paraId="7C89B83F" w14:textId="26863D99" w:rsidR="008E3A03" w:rsidRPr="00E401EE" w:rsidRDefault="3CC469BA" w:rsidP="078C476B">
            <w:pPr>
              <w:pStyle w:val="Normal1"/>
              <w:spacing w:after="120"/>
              <w:jc w:val="both"/>
              <w:rPr>
                <w:rFonts w:asciiTheme="minorHAnsi" w:eastAsiaTheme="minorEastAsia" w:hAnsiTheme="minorHAnsi" w:cstheme="minorBidi"/>
                <w:color w:val="000000" w:themeColor="text1"/>
                <w:sz w:val="22"/>
                <w:szCs w:val="22"/>
              </w:rPr>
            </w:pPr>
            <w:r w:rsidRPr="72ECE0DE">
              <w:rPr>
                <w:rFonts w:asciiTheme="minorHAnsi" w:eastAsiaTheme="minorEastAsia" w:hAnsiTheme="minorHAnsi" w:cstheme="minorBidi"/>
                <w:color w:val="000000" w:themeColor="text1"/>
                <w:sz w:val="22"/>
                <w:szCs w:val="22"/>
              </w:rPr>
              <w:t>4.5</w:t>
            </w:r>
          </w:p>
        </w:tc>
      </w:tr>
      <w:tr w:rsidR="008E3A03" w14:paraId="1AB23636" w14:textId="77777777" w:rsidTr="72ECE0DE">
        <w:tc>
          <w:tcPr>
            <w:tcW w:w="2364" w:type="dxa"/>
            <w:vMerge/>
          </w:tcPr>
          <w:p w14:paraId="02DD15C8" w14:textId="77777777" w:rsidR="008E3A03" w:rsidRPr="001663EC" w:rsidRDefault="008E3A03" w:rsidP="000F6F42">
            <w:pPr>
              <w:pStyle w:val="Normal1"/>
              <w:spacing w:after="120"/>
              <w:jc w:val="both"/>
              <w:rPr>
                <w:rFonts w:asciiTheme="minorHAnsi" w:eastAsiaTheme="minorEastAsia" w:hAnsiTheme="minorHAnsi" w:cstheme="minorHAnsi"/>
                <w:color w:val="000000" w:themeColor="text1"/>
                <w:sz w:val="22"/>
                <w:szCs w:val="22"/>
              </w:rPr>
            </w:pPr>
          </w:p>
        </w:tc>
        <w:tc>
          <w:tcPr>
            <w:tcW w:w="2233" w:type="dxa"/>
          </w:tcPr>
          <w:p w14:paraId="76994184" w14:textId="742FBA8E"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hAnsiTheme="minorHAnsi" w:cstheme="minorBidi"/>
                <w:color w:val="auto"/>
                <w:sz w:val="22"/>
                <w:szCs w:val="22"/>
              </w:rPr>
              <w:t>1.2 Level of funding provided by FIs to businesses that adopt sustainable practices</w:t>
            </w:r>
            <w:r w:rsidRPr="078C476B">
              <w:rPr>
                <w:rFonts w:asciiTheme="minorHAnsi" w:hAnsiTheme="minorHAnsi" w:cstheme="minorBidi"/>
                <w:sz w:val="22"/>
                <w:szCs w:val="22"/>
              </w:rPr>
              <w:t xml:space="preserve"> </w:t>
            </w:r>
            <w:r w:rsidR="6D497AF7" w:rsidRPr="078C476B">
              <w:rPr>
                <w:rFonts w:asciiTheme="minorHAnsi" w:hAnsiTheme="minorHAnsi" w:cstheme="minorBidi"/>
                <w:sz w:val="22"/>
                <w:szCs w:val="22"/>
              </w:rPr>
              <w:t>(</w:t>
            </w:r>
            <w:r w:rsidRPr="078C476B">
              <w:rPr>
                <w:rFonts w:asciiTheme="minorHAnsi" w:hAnsiTheme="minorHAnsi" w:cstheme="minorBidi"/>
                <w:sz w:val="22"/>
                <w:szCs w:val="22"/>
              </w:rPr>
              <w:t>M $USD)</w:t>
            </w:r>
          </w:p>
        </w:tc>
        <w:tc>
          <w:tcPr>
            <w:tcW w:w="2204" w:type="dxa"/>
          </w:tcPr>
          <w:p w14:paraId="70735712" w14:textId="78A158B4" w:rsidR="008E3A03" w:rsidRPr="00776129" w:rsidRDefault="6D497AF7"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color w:val="000000" w:themeColor="text1"/>
                <w:sz w:val="22"/>
                <w:szCs w:val="22"/>
              </w:rPr>
              <w:t>1000</w:t>
            </w:r>
          </w:p>
        </w:tc>
        <w:tc>
          <w:tcPr>
            <w:tcW w:w="2215" w:type="dxa"/>
          </w:tcPr>
          <w:p w14:paraId="13E03086" w14:textId="35EC924C" w:rsidR="008E3A03" w:rsidRPr="00E401EE" w:rsidRDefault="6D497AF7"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color w:val="000000" w:themeColor="text1"/>
                <w:sz w:val="22"/>
                <w:szCs w:val="22"/>
              </w:rPr>
              <w:t>1862</w:t>
            </w:r>
          </w:p>
        </w:tc>
      </w:tr>
      <w:tr w:rsidR="008E3A03" w14:paraId="6E648677" w14:textId="77777777" w:rsidTr="72ECE0DE">
        <w:tc>
          <w:tcPr>
            <w:tcW w:w="2364" w:type="dxa"/>
            <w:vMerge/>
          </w:tcPr>
          <w:p w14:paraId="41D66B91" w14:textId="77777777" w:rsidR="008E3A03" w:rsidRPr="001663EC" w:rsidRDefault="008E3A03" w:rsidP="000F6F42">
            <w:pPr>
              <w:pStyle w:val="Normal1"/>
              <w:spacing w:after="120"/>
              <w:jc w:val="both"/>
              <w:rPr>
                <w:rFonts w:asciiTheme="minorHAnsi" w:eastAsiaTheme="minorEastAsia" w:hAnsiTheme="minorHAnsi" w:cstheme="minorHAnsi"/>
                <w:color w:val="000000" w:themeColor="text1"/>
                <w:sz w:val="22"/>
                <w:szCs w:val="22"/>
              </w:rPr>
            </w:pPr>
          </w:p>
        </w:tc>
        <w:tc>
          <w:tcPr>
            <w:tcW w:w="2233" w:type="dxa"/>
          </w:tcPr>
          <w:p w14:paraId="59E96B1F" w14:textId="2C6E6163"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hAnsiTheme="minorHAnsi" w:cstheme="minorBidi"/>
                <w:color w:val="auto"/>
                <w:sz w:val="22"/>
                <w:szCs w:val="22"/>
              </w:rPr>
              <w:t>1.3 Land sustainably managed through the EBF's portfolio (Ha)</w:t>
            </w:r>
          </w:p>
        </w:tc>
        <w:tc>
          <w:tcPr>
            <w:tcW w:w="2204" w:type="dxa"/>
          </w:tcPr>
          <w:p w14:paraId="6ABF6F1B" w14:textId="74A6D58C" w:rsidR="008E3A03" w:rsidRPr="00776129" w:rsidRDefault="6D497AF7"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color w:val="000000" w:themeColor="text1"/>
                <w:sz w:val="22"/>
                <w:szCs w:val="22"/>
              </w:rPr>
              <w:t>250, 000</w:t>
            </w:r>
          </w:p>
        </w:tc>
        <w:tc>
          <w:tcPr>
            <w:tcW w:w="2215" w:type="dxa"/>
          </w:tcPr>
          <w:p w14:paraId="4D165FC2" w14:textId="2E97272F" w:rsidR="008E3A03" w:rsidRPr="00776129" w:rsidRDefault="6D497AF7"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color w:val="000000" w:themeColor="text1"/>
                <w:sz w:val="22"/>
                <w:szCs w:val="22"/>
              </w:rPr>
              <w:t>430, 000</w:t>
            </w:r>
          </w:p>
        </w:tc>
      </w:tr>
      <w:tr w:rsidR="008E3A03" w14:paraId="72DF915C" w14:textId="77777777" w:rsidTr="72ECE0DE">
        <w:tc>
          <w:tcPr>
            <w:tcW w:w="2364" w:type="dxa"/>
            <w:vMerge/>
          </w:tcPr>
          <w:p w14:paraId="21878023" w14:textId="77777777" w:rsidR="008E3A03" w:rsidRPr="001663EC" w:rsidRDefault="008E3A03" w:rsidP="000F6F42">
            <w:pPr>
              <w:pStyle w:val="Normal1"/>
              <w:spacing w:after="120"/>
              <w:jc w:val="both"/>
              <w:rPr>
                <w:rFonts w:asciiTheme="minorHAnsi" w:eastAsiaTheme="minorEastAsia" w:hAnsiTheme="minorHAnsi" w:cstheme="minorHAnsi"/>
                <w:color w:val="000000" w:themeColor="text1"/>
                <w:sz w:val="22"/>
                <w:szCs w:val="22"/>
              </w:rPr>
            </w:pPr>
          </w:p>
        </w:tc>
        <w:tc>
          <w:tcPr>
            <w:tcW w:w="2233" w:type="dxa"/>
          </w:tcPr>
          <w:p w14:paraId="664B90C2" w14:textId="54A95820"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hAnsiTheme="minorHAnsi" w:cstheme="minorBidi"/>
                <w:color w:val="auto"/>
                <w:sz w:val="22"/>
                <w:szCs w:val="22"/>
              </w:rPr>
              <w:t>1.4 Land held by sub-borrowers committed to deforestation-free activities in EBF portfolio (Ha)</w:t>
            </w:r>
          </w:p>
        </w:tc>
        <w:tc>
          <w:tcPr>
            <w:tcW w:w="2204" w:type="dxa"/>
          </w:tcPr>
          <w:p w14:paraId="7BFD5EB4" w14:textId="6B43AE47" w:rsidR="008E3A03" w:rsidRPr="00776129" w:rsidRDefault="6D497AF7"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color w:val="000000" w:themeColor="text1"/>
                <w:sz w:val="22"/>
                <w:szCs w:val="22"/>
              </w:rPr>
              <w:t>200, 000</w:t>
            </w:r>
          </w:p>
        </w:tc>
        <w:tc>
          <w:tcPr>
            <w:tcW w:w="2215" w:type="dxa"/>
          </w:tcPr>
          <w:p w14:paraId="422725BD" w14:textId="6D88D2DA" w:rsidR="008E3A03" w:rsidRPr="00776129" w:rsidRDefault="6D497AF7"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color w:val="000000" w:themeColor="text1"/>
                <w:sz w:val="22"/>
                <w:szCs w:val="22"/>
              </w:rPr>
              <w:t>260, 000</w:t>
            </w:r>
          </w:p>
        </w:tc>
      </w:tr>
      <w:tr w:rsidR="008E3A03" w14:paraId="2A546DAA" w14:textId="77777777" w:rsidTr="72ECE0DE">
        <w:tc>
          <w:tcPr>
            <w:tcW w:w="2364" w:type="dxa"/>
            <w:vMerge/>
          </w:tcPr>
          <w:p w14:paraId="05D85E20" w14:textId="77777777" w:rsidR="008E3A03" w:rsidRPr="001663EC" w:rsidRDefault="008E3A03" w:rsidP="000F6F42">
            <w:pPr>
              <w:pStyle w:val="Normal1"/>
              <w:spacing w:after="120"/>
              <w:jc w:val="both"/>
              <w:rPr>
                <w:rFonts w:asciiTheme="minorHAnsi" w:eastAsiaTheme="minorEastAsia" w:hAnsiTheme="minorHAnsi" w:cstheme="minorHAnsi"/>
                <w:color w:val="000000" w:themeColor="text1"/>
                <w:sz w:val="22"/>
                <w:szCs w:val="22"/>
              </w:rPr>
            </w:pPr>
          </w:p>
        </w:tc>
        <w:tc>
          <w:tcPr>
            <w:tcW w:w="2233" w:type="dxa"/>
          </w:tcPr>
          <w:p w14:paraId="589FB416" w14:textId="6DBDECBA"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hAnsiTheme="minorHAnsi" w:cstheme="minorBidi"/>
                <w:color w:val="auto"/>
                <w:sz w:val="22"/>
                <w:szCs w:val="22"/>
              </w:rPr>
              <w:t xml:space="preserve">1.5 ICF KPI 12: Volume of private finance </w:t>
            </w:r>
            <w:r w:rsidRPr="078C476B">
              <w:rPr>
                <w:rFonts w:asciiTheme="minorHAnsi" w:hAnsiTheme="minorHAnsi" w:cstheme="minorBidi"/>
                <w:color w:val="auto"/>
                <w:sz w:val="22"/>
                <w:szCs w:val="22"/>
              </w:rPr>
              <w:lastRenderedPageBreak/>
              <w:t>mobilised for climate change purposes as a result of ICF funding</w:t>
            </w:r>
            <w:r w:rsidRPr="078C476B">
              <w:rPr>
                <w:rFonts w:asciiTheme="minorHAnsi" w:hAnsiTheme="minorHAnsi" w:cstheme="minorBidi"/>
                <w:sz w:val="22"/>
                <w:szCs w:val="22"/>
              </w:rPr>
              <w:t xml:space="preserve"> (M $USD)</w:t>
            </w:r>
          </w:p>
        </w:tc>
        <w:tc>
          <w:tcPr>
            <w:tcW w:w="2204" w:type="dxa"/>
          </w:tcPr>
          <w:p w14:paraId="01CC8E42" w14:textId="6156F704" w:rsidR="008E3A03" w:rsidRPr="00776129" w:rsidRDefault="00C85F87" w:rsidP="078C476B">
            <w:pPr>
              <w:pStyle w:val="Normal1"/>
              <w:spacing w:after="120"/>
              <w:jc w:val="both"/>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lastRenderedPageBreak/>
              <w:t>n/a</w:t>
            </w:r>
          </w:p>
        </w:tc>
        <w:tc>
          <w:tcPr>
            <w:tcW w:w="2215" w:type="dxa"/>
          </w:tcPr>
          <w:p w14:paraId="1F7A1A6C" w14:textId="5D3910AB" w:rsidR="008E3A03" w:rsidRPr="00776129" w:rsidRDefault="00C85F87" w:rsidP="078C476B">
            <w:pPr>
              <w:pStyle w:val="Normal1"/>
              <w:spacing w:after="120"/>
              <w:jc w:val="both"/>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n/a</w:t>
            </w:r>
          </w:p>
        </w:tc>
      </w:tr>
      <w:tr w:rsidR="008E3A03" w14:paraId="653F57B2" w14:textId="77777777" w:rsidTr="72ECE0DE">
        <w:tc>
          <w:tcPr>
            <w:tcW w:w="2364" w:type="dxa"/>
            <w:vMerge/>
          </w:tcPr>
          <w:p w14:paraId="03FFE7BB" w14:textId="77777777" w:rsidR="008E3A03" w:rsidRPr="001663EC" w:rsidRDefault="008E3A03" w:rsidP="000F6F42">
            <w:pPr>
              <w:pStyle w:val="Normal1"/>
              <w:spacing w:after="120"/>
              <w:jc w:val="both"/>
              <w:rPr>
                <w:rFonts w:asciiTheme="minorHAnsi" w:eastAsiaTheme="minorEastAsia" w:hAnsiTheme="minorHAnsi" w:cstheme="minorHAnsi"/>
                <w:color w:val="000000" w:themeColor="text1"/>
                <w:sz w:val="22"/>
                <w:szCs w:val="22"/>
              </w:rPr>
            </w:pPr>
          </w:p>
        </w:tc>
        <w:tc>
          <w:tcPr>
            <w:tcW w:w="2233" w:type="dxa"/>
          </w:tcPr>
          <w:p w14:paraId="0B69A3AA" w14:textId="2C5C9337"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hAnsiTheme="minorHAnsi" w:cstheme="minorBidi"/>
                <w:color w:val="auto"/>
                <w:sz w:val="22"/>
                <w:szCs w:val="22"/>
              </w:rPr>
              <w:t>1.6 ICF KPI 11: Volume of public finance mobilised for climate change purposes as a result of ICF funding</w:t>
            </w:r>
            <w:r w:rsidRPr="078C476B">
              <w:rPr>
                <w:rFonts w:asciiTheme="minorHAnsi" w:hAnsiTheme="minorHAnsi" w:cstheme="minorBidi"/>
                <w:sz w:val="22"/>
                <w:szCs w:val="22"/>
              </w:rPr>
              <w:t xml:space="preserve"> (M $USD)</w:t>
            </w:r>
          </w:p>
        </w:tc>
        <w:tc>
          <w:tcPr>
            <w:tcW w:w="2204" w:type="dxa"/>
          </w:tcPr>
          <w:p w14:paraId="6EB8631B" w14:textId="71416096" w:rsidR="008E3A03" w:rsidRPr="00776129" w:rsidRDefault="00C85F87" w:rsidP="078C476B">
            <w:pPr>
              <w:pStyle w:val="Normal1"/>
              <w:spacing w:after="120"/>
              <w:jc w:val="both"/>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n/a</w:t>
            </w:r>
          </w:p>
        </w:tc>
        <w:tc>
          <w:tcPr>
            <w:tcW w:w="2215" w:type="dxa"/>
          </w:tcPr>
          <w:p w14:paraId="32BF0569" w14:textId="094D2802" w:rsidR="008E3A03" w:rsidRPr="00467A79" w:rsidRDefault="00C85F87" w:rsidP="078C476B">
            <w:pPr>
              <w:pStyle w:val="Normal1"/>
              <w:spacing w:after="120"/>
              <w:jc w:val="both"/>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n/a</w:t>
            </w:r>
          </w:p>
        </w:tc>
      </w:tr>
      <w:tr w:rsidR="008E3A03" w14:paraId="727A0B63" w14:textId="77777777" w:rsidTr="72ECE0DE">
        <w:tc>
          <w:tcPr>
            <w:tcW w:w="2364" w:type="dxa"/>
            <w:vMerge/>
          </w:tcPr>
          <w:p w14:paraId="4A143D9A" w14:textId="77777777" w:rsidR="008E3A03" w:rsidRPr="001663EC" w:rsidRDefault="008E3A03" w:rsidP="000F6F42">
            <w:pPr>
              <w:pStyle w:val="Normal1"/>
              <w:spacing w:after="120"/>
              <w:jc w:val="both"/>
              <w:rPr>
                <w:rFonts w:asciiTheme="minorHAnsi" w:eastAsiaTheme="minorEastAsia" w:hAnsiTheme="minorHAnsi" w:cstheme="minorHAnsi"/>
                <w:color w:val="000000" w:themeColor="text1"/>
                <w:sz w:val="22"/>
                <w:szCs w:val="22"/>
              </w:rPr>
            </w:pPr>
          </w:p>
        </w:tc>
        <w:tc>
          <w:tcPr>
            <w:tcW w:w="2233" w:type="dxa"/>
          </w:tcPr>
          <w:p w14:paraId="058C130B" w14:textId="27719E66"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hAnsiTheme="minorHAnsi" w:cstheme="minorBidi"/>
                <w:color w:val="000000" w:themeColor="text1"/>
                <w:sz w:val="22"/>
                <w:szCs w:val="22"/>
              </w:rPr>
              <w:t>1.7 Number of jobs supported by sub-borrowers as a result of EBF support†</w:t>
            </w:r>
          </w:p>
        </w:tc>
        <w:tc>
          <w:tcPr>
            <w:tcW w:w="2204" w:type="dxa"/>
          </w:tcPr>
          <w:p w14:paraId="69C33528" w14:textId="50DB37C3" w:rsidR="008E3A03" w:rsidRPr="00776129" w:rsidRDefault="6D497AF7"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color w:val="000000" w:themeColor="text1"/>
                <w:sz w:val="22"/>
                <w:szCs w:val="22"/>
              </w:rPr>
              <w:t>400, 000</w:t>
            </w:r>
          </w:p>
        </w:tc>
        <w:tc>
          <w:tcPr>
            <w:tcW w:w="2215" w:type="dxa"/>
          </w:tcPr>
          <w:p w14:paraId="00DB2729" w14:textId="536FED08" w:rsidR="008E3A03" w:rsidRPr="00467A79" w:rsidRDefault="6D497AF7"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color w:val="000000" w:themeColor="text1"/>
                <w:sz w:val="22"/>
                <w:szCs w:val="22"/>
              </w:rPr>
              <w:t>452, 000</w:t>
            </w:r>
          </w:p>
        </w:tc>
      </w:tr>
      <w:tr w:rsidR="008E3A03" w14:paraId="048B13DF" w14:textId="77777777" w:rsidTr="72ECE0DE">
        <w:tc>
          <w:tcPr>
            <w:tcW w:w="2364" w:type="dxa"/>
            <w:vMerge/>
          </w:tcPr>
          <w:p w14:paraId="046706C5" w14:textId="77777777" w:rsidR="008E3A03" w:rsidRPr="001663EC" w:rsidRDefault="008E3A03" w:rsidP="000F6F42">
            <w:pPr>
              <w:pStyle w:val="Normal1"/>
              <w:spacing w:after="120"/>
              <w:jc w:val="both"/>
              <w:rPr>
                <w:rFonts w:asciiTheme="minorHAnsi" w:eastAsiaTheme="minorEastAsia" w:hAnsiTheme="minorHAnsi" w:cstheme="minorHAnsi"/>
                <w:color w:val="000000" w:themeColor="text1"/>
                <w:sz w:val="22"/>
                <w:szCs w:val="22"/>
              </w:rPr>
            </w:pPr>
          </w:p>
        </w:tc>
        <w:tc>
          <w:tcPr>
            <w:tcW w:w="2233" w:type="dxa"/>
          </w:tcPr>
          <w:p w14:paraId="7F7B6BE9" w14:textId="5CF12AA1"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0855688">
              <w:rPr>
                <w:rFonts w:asciiTheme="minorHAnsi" w:hAnsiTheme="minorHAnsi" w:cstheme="minorBidi"/>
                <w:color w:val="000000" w:themeColor="text1"/>
                <w:sz w:val="22"/>
                <w:szCs w:val="22"/>
              </w:rPr>
              <w:t>1.8 ICF KPI 6: Net CO</w:t>
            </w:r>
            <w:r w:rsidRPr="0004643D">
              <w:rPr>
                <w:rFonts w:asciiTheme="minorHAnsi" w:hAnsiTheme="minorHAnsi" w:cstheme="minorBidi"/>
                <w:color w:val="000000" w:themeColor="text1"/>
                <w:sz w:val="22"/>
                <w:szCs w:val="22"/>
                <w:vertAlign w:val="subscript"/>
              </w:rPr>
              <w:t>2</w:t>
            </w:r>
            <w:r w:rsidRPr="00855688">
              <w:rPr>
                <w:rFonts w:asciiTheme="minorHAnsi" w:hAnsiTheme="minorHAnsi" w:cstheme="minorBidi"/>
                <w:color w:val="000000" w:themeColor="text1"/>
                <w:sz w:val="22"/>
                <w:szCs w:val="22"/>
              </w:rPr>
              <w:t xml:space="preserve"> sequestration as a result of EBF support to agroforestry (t)</w:t>
            </w:r>
          </w:p>
        </w:tc>
        <w:tc>
          <w:tcPr>
            <w:tcW w:w="2204" w:type="dxa"/>
          </w:tcPr>
          <w:p w14:paraId="3CE7BA43" w14:textId="0ED5334B" w:rsidR="008E3A03" w:rsidRPr="00776129" w:rsidRDefault="6D497AF7" w:rsidP="078C476B">
            <w:pPr>
              <w:pStyle w:val="Normal1"/>
              <w:spacing w:after="120"/>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color w:val="000000" w:themeColor="text1"/>
                <w:sz w:val="22"/>
                <w:szCs w:val="22"/>
              </w:rPr>
              <w:t>1, 000, 000</w:t>
            </w:r>
          </w:p>
        </w:tc>
        <w:tc>
          <w:tcPr>
            <w:tcW w:w="2215" w:type="dxa"/>
          </w:tcPr>
          <w:p w14:paraId="20E1767B" w14:textId="6586F454" w:rsidR="008E3A03" w:rsidRPr="00467A79" w:rsidRDefault="3CC469BA" w:rsidP="078C476B">
            <w:pPr>
              <w:pStyle w:val="Normal1"/>
              <w:spacing w:after="120"/>
              <w:jc w:val="both"/>
              <w:rPr>
                <w:rFonts w:asciiTheme="minorHAnsi" w:eastAsiaTheme="minorEastAsia" w:hAnsiTheme="minorHAnsi" w:cstheme="minorBidi"/>
                <w:color w:val="000000" w:themeColor="text1"/>
                <w:sz w:val="22"/>
                <w:szCs w:val="22"/>
              </w:rPr>
            </w:pPr>
            <w:r w:rsidRPr="72ECE0DE">
              <w:rPr>
                <w:rFonts w:asciiTheme="minorHAnsi" w:eastAsiaTheme="minorEastAsia" w:hAnsiTheme="minorHAnsi" w:cstheme="minorBidi"/>
                <w:color w:val="000000" w:themeColor="text1"/>
                <w:sz w:val="22"/>
                <w:szCs w:val="22"/>
              </w:rPr>
              <w:t>1, 000, 000</w:t>
            </w:r>
          </w:p>
        </w:tc>
      </w:tr>
      <w:tr w:rsidR="008E3A03" w14:paraId="0C15F382" w14:textId="77777777" w:rsidTr="72ECE0DE">
        <w:tc>
          <w:tcPr>
            <w:tcW w:w="2364" w:type="dxa"/>
            <w:vMerge w:val="restart"/>
          </w:tcPr>
          <w:p w14:paraId="6685F48D" w14:textId="4E94E99C"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0855688">
              <w:rPr>
                <w:rFonts w:asciiTheme="minorHAnsi" w:hAnsiTheme="minorHAnsi" w:cstheme="minorBidi"/>
                <w:sz w:val="22"/>
                <w:szCs w:val="22"/>
              </w:rPr>
              <w:t>2. Level of behavioural change embedded in downstream lenders and FIs.</w:t>
            </w:r>
          </w:p>
        </w:tc>
        <w:tc>
          <w:tcPr>
            <w:tcW w:w="2233" w:type="dxa"/>
          </w:tcPr>
          <w:p w14:paraId="3C03BB4F" w14:textId="4564CE04"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0855688">
              <w:rPr>
                <w:rFonts w:asciiTheme="minorHAnsi" w:hAnsiTheme="minorHAnsi" w:cstheme="minorBidi"/>
                <w:color w:val="000000" w:themeColor="text1"/>
                <w:sz w:val="22"/>
                <w:szCs w:val="22"/>
              </w:rPr>
              <w:t>2.1 Number of sub-borrowers supported by EBFs PIs to incorporate sustainable practices</w:t>
            </w:r>
          </w:p>
        </w:tc>
        <w:tc>
          <w:tcPr>
            <w:tcW w:w="2204" w:type="dxa"/>
          </w:tcPr>
          <w:p w14:paraId="7635A9BA" w14:textId="70047AB6" w:rsidR="008E3A03" w:rsidRPr="00776129" w:rsidRDefault="00C85F87" w:rsidP="078C476B">
            <w:pPr>
              <w:pStyle w:val="Normal1"/>
              <w:spacing w:after="120"/>
              <w:jc w:val="both"/>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n/a</w:t>
            </w:r>
          </w:p>
        </w:tc>
        <w:tc>
          <w:tcPr>
            <w:tcW w:w="2215" w:type="dxa"/>
          </w:tcPr>
          <w:p w14:paraId="03BD3138" w14:textId="76E49BD7" w:rsidR="008E3A03" w:rsidRPr="00467A79" w:rsidRDefault="00C85F87" w:rsidP="078C476B">
            <w:pPr>
              <w:pStyle w:val="Normal1"/>
              <w:spacing w:after="120"/>
              <w:jc w:val="both"/>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n/a</w:t>
            </w:r>
          </w:p>
        </w:tc>
      </w:tr>
      <w:tr w:rsidR="008E3A03" w14:paraId="68B23D14" w14:textId="77777777" w:rsidTr="72ECE0DE">
        <w:tc>
          <w:tcPr>
            <w:tcW w:w="2364" w:type="dxa"/>
            <w:vMerge/>
          </w:tcPr>
          <w:p w14:paraId="412B849D" w14:textId="77777777" w:rsidR="008E3A03" w:rsidRPr="001663EC" w:rsidRDefault="008E3A03" w:rsidP="000F6F42">
            <w:pPr>
              <w:pStyle w:val="Normal1"/>
              <w:spacing w:after="120"/>
              <w:jc w:val="both"/>
              <w:rPr>
                <w:rFonts w:asciiTheme="minorHAnsi" w:eastAsiaTheme="minorEastAsia" w:hAnsiTheme="minorHAnsi" w:cstheme="minorHAnsi"/>
                <w:color w:val="000000" w:themeColor="text1"/>
                <w:sz w:val="22"/>
                <w:szCs w:val="22"/>
              </w:rPr>
            </w:pPr>
          </w:p>
        </w:tc>
        <w:tc>
          <w:tcPr>
            <w:tcW w:w="2233" w:type="dxa"/>
          </w:tcPr>
          <w:p w14:paraId="3D8B5254" w14:textId="33484154"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0855688">
              <w:rPr>
                <w:rFonts w:asciiTheme="minorHAnsi" w:hAnsiTheme="minorHAnsi" w:cstheme="minorBidi"/>
                <w:color w:val="000000" w:themeColor="text1"/>
                <w:sz w:val="22"/>
                <w:szCs w:val="22"/>
              </w:rPr>
              <w:t>2.2 Number of FIs that have changed their policies to incorporate sustainability as a qualifier for lending</w:t>
            </w:r>
          </w:p>
        </w:tc>
        <w:tc>
          <w:tcPr>
            <w:tcW w:w="2204" w:type="dxa"/>
          </w:tcPr>
          <w:p w14:paraId="24E22B72" w14:textId="5542E623"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0855688">
              <w:rPr>
                <w:rFonts w:asciiTheme="minorHAnsi" w:hAnsiTheme="minorHAnsi" w:cstheme="minorBidi"/>
                <w:color w:val="000000" w:themeColor="text1"/>
                <w:sz w:val="22"/>
                <w:szCs w:val="22"/>
              </w:rPr>
              <w:t>Qualitative assessment</w:t>
            </w:r>
          </w:p>
        </w:tc>
        <w:tc>
          <w:tcPr>
            <w:tcW w:w="2215" w:type="dxa"/>
          </w:tcPr>
          <w:p w14:paraId="13A98078" w14:textId="77777777" w:rsidR="008E3A03" w:rsidRPr="00776129" w:rsidRDefault="008E3A03" w:rsidP="078C476B">
            <w:pPr>
              <w:pStyle w:val="Normal1"/>
              <w:spacing w:after="120"/>
              <w:jc w:val="both"/>
              <w:rPr>
                <w:rFonts w:asciiTheme="minorHAnsi" w:eastAsiaTheme="minorEastAsia" w:hAnsiTheme="minorHAnsi" w:cstheme="minorBidi"/>
                <w:color w:val="000000" w:themeColor="text1"/>
                <w:sz w:val="22"/>
                <w:szCs w:val="22"/>
              </w:rPr>
            </w:pPr>
          </w:p>
        </w:tc>
      </w:tr>
      <w:tr w:rsidR="008E3A03" w14:paraId="17D1A02D" w14:textId="77777777" w:rsidTr="72ECE0DE">
        <w:tc>
          <w:tcPr>
            <w:tcW w:w="2364" w:type="dxa"/>
            <w:vMerge/>
          </w:tcPr>
          <w:p w14:paraId="18DE1F08" w14:textId="77777777" w:rsidR="008E3A03" w:rsidRPr="001663EC" w:rsidRDefault="008E3A03" w:rsidP="000F6F42">
            <w:pPr>
              <w:pStyle w:val="Normal1"/>
              <w:spacing w:after="120"/>
              <w:jc w:val="both"/>
              <w:rPr>
                <w:rFonts w:asciiTheme="minorHAnsi" w:eastAsiaTheme="minorEastAsia" w:hAnsiTheme="minorHAnsi" w:cstheme="minorHAnsi"/>
                <w:color w:val="000000" w:themeColor="text1"/>
                <w:sz w:val="22"/>
                <w:szCs w:val="22"/>
              </w:rPr>
            </w:pPr>
          </w:p>
        </w:tc>
        <w:tc>
          <w:tcPr>
            <w:tcW w:w="2233" w:type="dxa"/>
          </w:tcPr>
          <w:p w14:paraId="1C592590" w14:textId="20D0264E"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0855688">
              <w:rPr>
                <w:rFonts w:asciiTheme="minorHAnsi" w:hAnsiTheme="minorHAnsi" w:cstheme="minorBidi"/>
                <w:color w:val="000000" w:themeColor="text1"/>
                <w:sz w:val="22"/>
                <w:szCs w:val="22"/>
              </w:rPr>
              <w:t>2.3 The level of sub-borrower staff knowledge of the sustainable policies of their companies</w:t>
            </w:r>
          </w:p>
        </w:tc>
        <w:tc>
          <w:tcPr>
            <w:tcW w:w="2204" w:type="dxa"/>
          </w:tcPr>
          <w:p w14:paraId="2302CCDF" w14:textId="7BD7625D"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0855688">
              <w:rPr>
                <w:rFonts w:asciiTheme="minorHAnsi" w:hAnsiTheme="minorHAnsi" w:cstheme="minorBidi"/>
                <w:color w:val="000000" w:themeColor="text1"/>
                <w:sz w:val="22"/>
                <w:szCs w:val="22"/>
              </w:rPr>
              <w:t>Qualitative assessment</w:t>
            </w:r>
          </w:p>
        </w:tc>
        <w:tc>
          <w:tcPr>
            <w:tcW w:w="2215" w:type="dxa"/>
          </w:tcPr>
          <w:p w14:paraId="3D7A4C65" w14:textId="77777777" w:rsidR="008E3A03" w:rsidRPr="00776129" w:rsidRDefault="008E3A03" w:rsidP="078C476B">
            <w:pPr>
              <w:pStyle w:val="Normal1"/>
              <w:spacing w:after="120"/>
              <w:jc w:val="both"/>
              <w:rPr>
                <w:rFonts w:asciiTheme="minorHAnsi" w:eastAsiaTheme="minorEastAsia" w:hAnsiTheme="minorHAnsi" w:cstheme="minorBidi"/>
                <w:color w:val="000000" w:themeColor="text1"/>
                <w:sz w:val="22"/>
                <w:szCs w:val="22"/>
              </w:rPr>
            </w:pPr>
          </w:p>
        </w:tc>
      </w:tr>
      <w:tr w:rsidR="008E3A03" w14:paraId="6398B371" w14:textId="77777777" w:rsidTr="72ECE0DE">
        <w:tc>
          <w:tcPr>
            <w:tcW w:w="2364" w:type="dxa"/>
            <w:vMerge/>
          </w:tcPr>
          <w:p w14:paraId="5FFA9DE3" w14:textId="77777777" w:rsidR="008E3A03" w:rsidRPr="001663EC" w:rsidRDefault="008E3A03" w:rsidP="000F6F42">
            <w:pPr>
              <w:pStyle w:val="Normal1"/>
              <w:spacing w:after="120"/>
              <w:jc w:val="both"/>
              <w:rPr>
                <w:rFonts w:asciiTheme="minorHAnsi" w:eastAsiaTheme="minorEastAsia" w:hAnsiTheme="minorHAnsi" w:cstheme="minorHAnsi"/>
                <w:color w:val="000000" w:themeColor="text1"/>
                <w:sz w:val="22"/>
                <w:szCs w:val="22"/>
              </w:rPr>
            </w:pPr>
          </w:p>
        </w:tc>
        <w:tc>
          <w:tcPr>
            <w:tcW w:w="2233" w:type="dxa"/>
          </w:tcPr>
          <w:p w14:paraId="2C87E881" w14:textId="1D9F9127"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0855688">
              <w:rPr>
                <w:rFonts w:asciiTheme="minorHAnsi" w:hAnsiTheme="minorHAnsi" w:cstheme="minorBidi"/>
                <w:color w:val="000000" w:themeColor="text1"/>
                <w:sz w:val="22"/>
                <w:szCs w:val="22"/>
              </w:rPr>
              <w:t>2.4 The level of FI staff knowledge of the sustainable lending policies of their institutions</w:t>
            </w:r>
          </w:p>
        </w:tc>
        <w:tc>
          <w:tcPr>
            <w:tcW w:w="2204" w:type="dxa"/>
          </w:tcPr>
          <w:p w14:paraId="74EF6AF0" w14:textId="1945ABAC" w:rsidR="008E3A03" w:rsidRPr="003572FD" w:rsidRDefault="6CDAB24D" w:rsidP="078C476B">
            <w:pPr>
              <w:pStyle w:val="Normal1"/>
              <w:spacing w:after="120"/>
              <w:jc w:val="both"/>
              <w:rPr>
                <w:rFonts w:asciiTheme="minorHAnsi" w:eastAsiaTheme="minorEastAsia" w:hAnsiTheme="minorHAnsi" w:cstheme="minorBidi"/>
                <w:color w:val="000000" w:themeColor="text1"/>
                <w:sz w:val="22"/>
                <w:szCs w:val="22"/>
              </w:rPr>
            </w:pPr>
            <w:r w:rsidRPr="00855688">
              <w:rPr>
                <w:rFonts w:asciiTheme="minorHAnsi" w:hAnsiTheme="minorHAnsi" w:cstheme="minorBidi"/>
                <w:color w:val="000000" w:themeColor="text1"/>
                <w:sz w:val="22"/>
                <w:szCs w:val="22"/>
              </w:rPr>
              <w:t>Qualitative assessment</w:t>
            </w:r>
          </w:p>
        </w:tc>
        <w:tc>
          <w:tcPr>
            <w:tcW w:w="2215" w:type="dxa"/>
          </w:tcPr>
          <w:p w14:paraId="1FE65D5E" w14:textId="77777777" w:rsidR="008E3A03" w:rsidRPr="00776129" w:rsidRDefault="008E3A03" w:rsidP="078C476B">
            <w:pPr>
              <w:pStyle w:val="Normal1"/>
              <w:spacing w:after="120"/>
              <w:jc w:val="both"/>
              <w:rPr>
                <w:rFonts w:asciiTheme="minorHAnsi" w:eastAsiaTheme="minorEastAsia" w:hAnsiTheme="minorHAnsi" w:cstheme="minorBidi"/>
                <w:color w:val="000000" w:themeColor="text1"/>
                <w:sz w:val="22"/>
                <w:szCs w:val="22"/>
              </w:rPr>
            </w:pPr>
          </w:p>
        </w:tc>
      </w:tr>
    </w:tbl>
    <w:p w14:paraId="02EF931E" w14:textId="77777777" w:rsidR="000F6F42" w:rsidRPr="000F6F42" w:rsidRDefault="000F6F42" w:rsidP="000F6F42">
      <w:pPr>
        <w:pStyle w:val="Normal1"/>
        <w:spacing w:after="120"/>
        <w:jc w:val="both"/>
        <w:rPr>
          <w:rFonts w:asciiTheme="minorHAnsi" w:eastAsiaTheme="minorEastAsia" w:hAnsiTheme="minorHAnsi" w:cstheme="minorBidi"/>
          <w:color w:val="000000" w:themeColor="text1"/>
          <w:sz w:val="22"/>
          <w:szCs w:val="22"/>
        </w:rPr>
      </w:pPr>
    </w:p>
    <w:p w14:paraId="5861F666" w14:textId="02B2544B" w:rsidR="153AD499" w:rsidRDefault="153AD499" w:rsidP="0116275A">
      <w:pPr>
        <w:pStyle w:val="Normal1"/>
        <w:spacing w:after="120"/>
        <w:jc w:val="both"/>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color w:val="000000" w:themeColor="text1"/>
          <w:sz w:val="22"/>
          <w:szCs w:val="22"/>
        </w:rPr>
        <w:t xml:space="preserve">Progress on Outcome </w:t>
      </w:r>
      <w:r w:rsidR="033C48FF" w:rsidRPr="0116275A">
        <w:rPr>
          <w:rFonts w:asciiTheme="minorHAnsi" w:eastAsiaTheme="minorEastAsia" w:hAnsiTheme="minorHAnsi" w:cstheme="minorBidi"/>
          <w:color w:val="000000" w:themeColor="text1"/>
          <w:sz w:val="22"/>
          <w:szCs w:val="22"/>
        </w:rPr>
        <w:t>targets</w:t>
      </w:r>
      <w:r w:rsidRPr="0116275A">
        <w:rPr>
          <w:rFonts w:asciiTheme="minorHAnsi" w:eastAsiaTheme="minorEastAsia" w:hAnsiTheme="minorHAnsi" w:cstheme="minorBidi"/>
          <w:color w:val="000000" w:themeColor="text1"/>
          <w:sz w:val="22"/>
          <w:szCs w:val="22"/>
        </w:rPr>
        <w:t xml:space="preserve">: </w:t>
      </w:r>
    </w:p>
    <w:p w14:paraId="1732A9D0" w14:textId="135AA423" w:rsidR="00C85F87" w:rsidRDefault="422BB45F" w:rsidP="00C85F87">
      <w:pPr>
        <w:jc w:val="both"/>
        <w:rPr>
          <w:rFonts w:ascii="Calibri" w:eastAsia="Calibri" w:hAnsi="Calibri" w:cs="Calibri"/>
          <w:color w:val="000000" w:themeColor="text1"/>
          <w:sz w:val="22"/>
          <w:szCs w:val="22"/>
        </w:rPr>
      </w:pPr>
      <w:r w:rsidRPr="0DC8EF17">
        <w:rPr>
          <w:rFonts w:ascii="Calibri" w:eastAsia="Calibri" w:hAnsi="Calibri" w:cs="Calibri"/>
          <w:color w:val="000000" w:themeColor="text1"/>
          <w:sz w:val="22"/>
          <w:szCs w:val="22"/>
        </w:rPr>
        <w:t xml:space="preserve">Through the work of the Fund and the DF by the end of 2020 </w:t>
      </w:r>
      <w:r w:rsidR="15B90CF6" w:rsidRPr="0DC8EF17">
        <w:rPr>
          <w:rFonts w:ascii="Calibri" w:eastAsia="Calibri" w:hAnsi="Calibri" w:cs="Calibri"/>
          <w:color w:val="000000" w:themeColor="text1"/>
          <w:sz w:val="22"/>
          <w:szCs w:val="22"/>
        </w:rPr>
        <w:t>1</w:t>
      </w:r>
      <w:r w:rsidRPr="0DC8EF17">
        <w:rPr>
          <w:rFonts w:ascii="Calibri" w:eastAsia="Calibri" w:hAnsi="Calibri" w:cs="Calibri"/>
          <w:color w:val="000000" w:themeColor="text1"/>
          <w:sz w:val="22"/>
          <w:szCs w:val="22"/>
        </w:rPr>
        <w:t xml:space="preserve"> million tons of </w:t>
      </w:r>
      <w:r w:rsidR="72D7BDC8" w:rsidRPr="0DC8EF17">
        <w:rPr>
          <w:rFonts w:ascii="Calibri" w:eastAsia="Calibri" w:hAnsi="Calibri" w:cs="Calibri"/>
          <w:color w:val="000000" w:themeColor="text1"/>
          <w:sz w:val="22"/>
          <w:szCs w:val="22"/>
        </w:rPr>
        <w:t xml:space="preserve">net </w:t>
      </w:r>
      <w:r w:rsidRPr="0DC8EF17">
        <w:rPr>
          <w:rFonts w:ascii="Calibri" w:eastAsia="Calibri" w:hAnsi="Calibri" w:cs="Calibri"/>
          <w:color w:val="000000" w:themeColor="text1"/>
          <w:sz w:val="22"/>
          <w:szCs w:val="22"/>
        </w:rPr>
        <w:t>CO</w:t>
      </w:r>
      <w:r w:rsidRPr="0004643D">
        <w:rPr>
          <w:rFonts w:ascii="Calibri" w:eastAsia="Calibri" w:hAnsi="Calibri" w:cs="Calibri"/>
          <w:color w:val="000000" w:themeColor="text1"/>
          <w:sz w:val="22"/>
          <w:szCs w:val="22"/>
          <w:vertAlign w:val="subscript"/>
        </w:rPr>
        <w:t>2</w:t>
      </w:r>
      <w:r w:rsidRPr="0DC8EF17">
        <w:rPr>
          <w:rFonts w:ascii="Calibri" w:eastAsia="Calibri" w:hAnsi="Calibri" w:cs="Calibri"/>
          <w:color w:val="000000" w:themeColor="text1"/>
          <w:sz w:val="22"/>
          <w:szCs w:val="22"/>
        </w:rPr>
        <w:t xml:space="preserve"> were stored through agroforestry activities</w:t>
      </w:r>
      <w:r w:rsidR="000444F7">
        <w:rPr>
          <w:rFonts w:ascii="Calibri" w:eastAsia="Calibri" w:hAnsi="Calibri" w:cs="Calibri"/>
          <w:color w:val="000000" w:themeColor="text1"/>
          <w:sz w:val="22"/>
          <w:szCs w:val="22"/>
        </w:rPr>
        <w:t xml:space="preserve"> (8.8m tonnes absolute)</w:t>
      </w:r>
      <w:r w:rsidRPr="0DC8EF17">
        <w:rPr>
          <w:rFonts w:ascii="Calibri" w:eastAsia="Calibri" w:hAnsi="Calibri" w:cs="Calibri"/>
          <w:color w:val="000000" w:themeColor="text1"/>
          <w:sz w:val="22"/>
          <w:szCs w:val="22"/>
        </w:rPr>
        <w:t>, 4.5 million m</w:t>
      </w:r>
      <w:r w:rsidRPr="000444F7">
        <w:rPr>
          <w:rFonts w:ascii="Calibri" w:eastAsia="Calibri" w:hAnsi="Calibri" w:cs="Calibri"/>
          <w:color w:val="000000" w:themeColor="text1"/>
          <w:sz w:val="22"/>
          <w:szCs w:val="22"/>
          <w:vertAlign w:val="superscript"/>
        </w:rPr>
        <w:t>3</w:t>
      </w:r>
      <w:r w:rsidRPr="0DC8EF17">
        <w:rPr>
          <w:rFonts w:ascii="Calibri" w:eastAsia="Calibri" w:hAnsi="Calibri" w:cs="Calibri"/>
          <w:color w:val="000000" w:themeColor="text1"/>
          <w:sz w:val="22"/>
          <w:szCs w:val="22"/>
        </w:rPr>
        <w:t xml:space="preserve"> of water were saved, 430,000 hectares of farmland were under sustainable management</w:t>
      </w:r>
      <w:r w:rsidR="00D03E98" w:rsidRPr="0DC8EF17">
        <w:rPr>
          <w:rFonts w:ascii="Calibri" w:eastAsia="Calibri" w:hAnsi="Calibri" w:cs="Calibri"/>
          <w:color w:val="000000" w:themeColor="text1"/>
          <w:sz w:val="22"/>
          <w:szCs w:val="22"/>
        </w:rPr>
        <w:t xml:space="preserve"> (a significant increase on 2019 due to the increase in new FIs starting to report)</w:t>
      </w:r>
      <w:r w:rsidRPr="0DC8EF17">
        <w:rPr>
          <w:rFonts w:ascii="Calibri" w:eastAsia="Calibri" w:hAnsi="Calibri" w:cs="Calibri"/>
          <w:color w:val="000000" w:themeColor="text1"/>
          <w:sz w:val="22"/>
          <w:szCs w:val="22"/>
        </w:rPr>
        <w:t>, and 37,000 litres of herbicide use was avoided.</w:t>
      </w:r>
      <w:r w:rsidR="00C85F87" w:rsidRPr="0DC8EF17">
        <w:rPr>
          <w:rFonts w:ascii="Calibri" w:eastAsia="Calibri" w:hAnsi="Calibri" w:cs="Calibri"/>
          <w:color w:val="000000" w:themeColor="text1"/>
          <w:sz w:val="22"/>
          <w:szCs w:val="22"/>
        </w:rPr>
        <w:t xml:space="preserve"> For outcome 1.1 it is important to note that water savings are occurred when financing specific measures. Since the financing follows market demand, exact results are challenging to forecast.</w:t>
      </w:r>
    </w:p>
    <w:p w14:paraId="343231DE" w14:textId="0DA9502E" w:rsidR="5374BA41" w:rsidRDefault="5374BA41" w:rsidP="00D03E98">
      <w:pPr>
        <w:jc w:val="both"/>
        <w:rPr>
          <w:rFonts w:ascii="Calibri" w:eastAsia="Calibri" w:hAnsi="Calibri" w:cs="Calibri"/>
          <w:color w:val="444444"/>
          <w:sz w:val="22"/>
          <w:szCs w:val="22"/>
        </w:rPr>
      </w:pPr>
    </w:p>
    <w:p w14:paraId="45693853" w14:textId="30EAB62D" w:rsidR="0116275A" w:rsidRDefault="0116275A" w:rsidP="00D03E98">
      <w:pPr>
        <w:jc w:val="both"/>
        <w:rPr>
          <w:rFonts w:asciiTheme="minorHAnsi" w:eastAsiaTheme="minorEastAsia" w:hAnsiTheme="minorHAnsi" w:cstheme="minorBidi"/>
          <w:sz w:val="22"/>
          <w:szCs w:val="22"/>
        </w:rPr>
      </w:pPr>
    </w:p>
    <w:p w14:paraId="7CA5116C" w14:textId="76CB278B" w:rsidR="153AD499" w:rsidRDefault="153AD499" w:rsidP="00D03E98">
      <w:pPr>
        <w:jc w:val="both"/>
        <w:rPr>
          <w:rFonts w:ascii="Calibri" w:eastAsia="Calibri" w:hAnsi="Calibri" w:cs="Calibri"/>
          <w:color w:val="444444"/>
          <w:sz w:val="22"/>
          <w:szCs w:val="22"/>
        </w:rPr>
      </w:pPr>
      <w:r w:rsidRPr="078C476B">
        <w:rPr>
          <w:rFonts w:asciiTheme="minorHAnsi" w:eastAsiaTheme="minorEastAsia" w:hAnsiTheme="minorHAnsi" w:cstheme="minorBidi"/>
          <w:sz w:val="22"/>
          <w:szCs w:val="22"/>
        </w:rPr>
        <w:t>The</w:t>
      </w:r>
      <w:r w:rsidR="7D30DA8F" w:rsidRPr="078C476B">
        <w:rPr>
          <w:rFonts w:asciiTheme="minorHAnsi" w:eastAsiaTheme="minorEastAsia" w:hAnsiTheme="minorHAnsi" w:cstheme="minorBidi"/>
          <w:sz w:val="22"/>
          <w:szCs w:val="22"/>
        </w:rPr>
        <w:t xml:space="preserve"> Fund </w:t>
      </w:r>
      <w:r w:rsidRPr="078C476B">
        <w:rPr>
          <w:rFonts w:asciiTheme="minorHAnsi" w:eastAsiaTheme="minorEastAsia" w:hAnsiTheme="minorHAnsi" w:cstheme="minorBidi"/>
          <w:sz w:val="22"/>
          <w:szCs w:val="22"/>
        </w:rPr>
        <w:t xml:space="preserve">is </w:t>
      </w:r>
      <w:r w:rsidR="773BE03C" w:rsidRPr="078C476B">
        <w:rPr>
          <w:rFonts w:asciiTheme="minorHAnsi" w:eastAsiaTheme="minorEastAsia" w:hAnsiTheme="minorHAnsi" w:cstheme="minorBidi"/>
          <w:sz w:val="22"/>
          <w:szCs w:val="22"/>
        </w:rPr>
        <w:t>surpassing</w:t>
      </w:r>
      <w:r w:rsidR="39D9ABAA" w:rsidRPr="078C476B">
        <w:rPr>
          <w:rFonts w:asciiTheme="minorHAnsi" w:eastAsiaTheme="minorEastAsia" w:hAnsiTheme="minorHAnsi" w:cstheme="minorBidi"/>
          <w:sz w:val="22"/>
          <w:szCs w:val="22"/>
        </w:rPr>
        <w:t xml:space="preserve"> </w:t>
      </w:r>
      <w:r w:rsidR="57176B22" w:rsidRPr="078C476B">
        <w:rPr>
          <w:rFonts w:asciiTheme="minorHAnsi" w:eastAsiaTheme="minorEastAsia" w:hAnsiTheme="minorHAnsi" w:cstheme="minorBidi"/>
          <w:sz w:val="22"/>
          <w:szCs w:val="22"/>
        </w:rPr>
        <w:t>Defra</w:t>
      </w:r>
      <w:r w:rsidRPr="078C476B">
        <w:rPr>
          <w:rFonts w:asciiTheme="minorHAnsi" w:eastAsiaTheme="minorEastAsia" w:hAnsiTheme="minorHAnsi" w:cstheme="minorBidi"/>
          <w:sz w:val="22"/>
          <w:szCs w:val="22"/>
        </w:rPr>
        <w:t xml:space="preserve"> targets in terms of </w:t>
      </w:r>
      <w:r w:rsidR="295641A0" w:rsidRPr="078C476B">
        <w:rPr>
          <w:rFonts w:asciiTheme="minorHAnsi" w:eastAsiaTheme="minorEastAsia" w:hAnsiTheme="minorHAnsi" w:cstheme="minorBidi"/>
          <w:sz w:val="22"/>
          <w:szCs w:val="22"/>
        </w:rPr>
        <w:t xml:space="preserve">the level of funding provided by FIs to businesses that adopt sustainable practices, </w:t>
      </w:r>
      <w:r w:rsidR="01FC365D" w:rsidRPr="078C476B">
        <w:rPr>
          <w:rFonts w:asciiTheme="minorHAnsi" w:eastAsiaTheme="minorEastAsia" w:hAnsiTheme="minorHAnsi" w:cstheme="minorBidi"/>
          <w:sz w:val="22"/>
          <w:szCs w:val="22"/>
        </w:rPr>
        <w:t>l</w:t>
      </w:r>
      <w:r w:rsidR="295641A0" w:rsidRPr="078C476B">
        <w:rPr>
          <w:rFonts w:asciiTheme="minorHAnsi" w:eastAsiaTheme="minorEastAsia" w:hAnsiTheme="minorHAnsi" w:cstheme="minorBidi"/>
          <w:sz w:val="22"/>
          <w:szCs w:val="22"/>
        </w:rPr>
        <w:t>and sustainably managed through the EBF's portfolio, land held by sub-borrowers committed to deforestation-free activities</w:t>
      </w:r>
      <w:r w:rsidR="5BB22C2B" w:rsidRPr="078C476B">
        <w:rPr>
          <w:rFonts w:asciiTheme="minorHAnsi" w:eastAsiaTheme="minorEastAsia" w:hAnsiTheme="minorHAnsi" w:cstheme="minorBidi"/>
          <w:sz w:val="22"/>
          <w:szCs w:val="22"/>
        </w:rPr>
        <w:t xml:space="preserve">, leveraging private and public finance, </w:t>
      </w:r>
      <w:r w:rsidR="5BB22C2B" w:rsidRPr="078C476B">
        <w:rPr>
          <w:rFonts w:ascii="Calibri" w:eastAsia="Calibri" w:hAnsi="Calibri" w:cs="Calibri"/>
          <w:sz w:val="22"/>
          <w:szCs w:val="22"/>
        </w:rPr>
        <w:t xml:space="preserve">jobs </w:t>
      </w:r>
      <w:r w:rsidR="5BB22C2B" w:rsidRPr="078C476B">
        <w:rPr>
          <w:rFonts w:ascii="Calibri" w:eastAsia="Calibri" w:hAnsi="Calibri" w:cs="Calibri"/>
          <w:sz w:val="22"/>
          <w:szCs w:val="22"/>
        </w:rPr>
        <w:lastRenderedPageBreak/>
        <w:t>supported by sub-borrowers as a result of EBF support</w:t>
      </w:r>
      <w:r w:rsidR="4DB42FCE" w:rsidRPr="078C476B">
        <w:rPr>
          <w:rFonts w:ascii="Calibri" w:eastAsia="Calibri" w:hAnsi="Calibri" w:cs="Calibri"/>
          <w:sz w:val="22"/>
          <w:szCs w:val="22"/>
        </w:rPr>
        <w:t xml:space="preserve"> and sub-borrowers supported by EBFs PIs to incorporate sustainable practices. The</w:t>
      </w:r>
      <w:r w:rsidR="009A18C9" w:rsidRPr="078C476B">
        <w:rPr>
          <w:rFonts w:ascii="Calibri" w:eastAsia="Calibri" w:hAnsi="Calibri" w:cs="Calibri"/>
          <w:sz w:val="22"/>
          <w:szCs w:val="22"/>
        </w:rPr>
        <w:t xml:space="preserve"> target for</w:t>
      </w:r>
      <w:r w:rsidR="4DB42FCE" w:rsidRPr="078C476B">
        <w:rPr>
          <w:rFonts w:ascii="Calibri" w:eastAsia="Calibri" w:hAnsi="Calibri" w:cs="Calibri"/>
          <w:sz w:val="22"/>
          <w:szCs w:val="22"/>
        </w:rPr>
        <w:t xml:space="preserve"> CO</w:t>
      </w:r>
      <w:r w:rsidR="4DB42FCE" w:rsidRPr="0004643D">
        <w:rPr>
          <w:rFonts w:ascii="Calibri" w:eastAsia="Calibri" w:hAnsi="Calibri" w:cs="Calibri"/>
          <w:sz w:val="22"/>
          <w:szCs w:val="22"/>
          <w:vertAlign w:val="subscript"/>
        </w:rPr>
        <w:t>2</w:t>
      </w:r>
      <w:r w:rsidR="4DB42FCE" w:rsidRPr="078C476B">
        <w:rPr>
          <w:rFonts w:ascii="Calibri" w:eastAsia="Calibri" w:hAnsi="Calibri" w:cs="Calibri"/>
          <w:sz w:val="22"/>
          <w:szCs w:val="22"/>
        </w:rPr>
        <w:t xml:space="preserve"> emissions avoided </w:t>
      </w:r>
      <w:r w:rsidR="009A18C9" w:rsidRPr="078C476B">
        <w:rPr>
          <w:rFonts w:ascii="Calibri" w:eastAsia="Calibri" w:hAnsi="Calibri" w:cs="Calibri"/>
          <w:sz w:val="22"/>
          <w:szCs w:val="22"/>
        </w:rPr>
        <w:t>was met exactly</w:t>
      </w:r>
      <w:r w:rsidR="4DB42FCE" w:rsidRPr="078C476B">
        <w:rPr>
          <w:rFonts w:ascii="Calibri" w:eastAsia="Calibri" w:hAnsi="Calibri" w:cs="Calibri"/>
          <w:sz w:val="22"/>
          <w:szCs w:val="22"/>
        </w:rPr>
        <w:t xml:space="preserve"> </w:t>
      </w:r>
      <w:r w:rsidR="009A18C9" w:rsidRPr="078C476B">
        <w:rPr>
          <w:rFonts w:ascii="Calibri" w:eastAsia="Calibri" w:hAnsi="Calibri" w:cs="Calibri"/>
          <w:sz w:val="22"/>
          <w:szCs w:val="22"/>
        </w:rPr>
        <w:t>in 2020</w:t>
      </w:r>
      <w:r w:rsidR="00194B4D" w:rsidRPr="078C476B">
        <w:rPr>
          <w:rFonts w:ascii="Calibri" w:eastAsia="Calibri" w:hAnsi="Calibri" w:cs="Calibri"/>
          <w:sz w:val="22"/>
          <w:szCs w:val="22"/>
        </w:rPr>
        <w:t>, while</w:t>
      </w:r>
      <w:r w:rsidR="009A18C9" w:rsidRPr="078C476B">
        <w:rPr>
          <w:rFonts w:ascii="Calibri" w:eastAsia="Calibri" w:hAnsi="Calibri" w:cs="Calibri"/>
          <w:sz w:val="22"/>
          <w:szCs w:val="22"/>
        </w:rPr>
        <w:t xml:space="preserve"> </w:t>
      </w:r>
      <w:r w:rsidR="4AFDFA31" w:rsidRPr="078C476B">
        <w:rPr>
          <w:rFonts w:ascii="Calibri" w:eastAsia="Calibri" w:hAnsi="Calibri" w:cs="Calibri"/>
          <w:sz w:val="22"/>
          <w:szCs w:val="22"/>
        </w:rPr>
        <w:t>t</w:t>
      </w:r>
      <w:r w:rsidR="4DB42FCE" w:rsidRPr="078C476B">
        <w:rPr>
          <w:rFonts w:ascii="Calibri" w:eastAsia="Calibri" w:hAnsi="Calibri" w:cs="Calibri"/>
          <w:sz w:val="22"/>
          <w:szCs w:val="22"/>
        </w:rPr>
        <w:t>he</w:t>
      </w:r>
      <w:r w:rsidR="009A18C9" w:rsidRPr="078C476B">
        <w:rPr>
          <w:rFonts w:ascii="Calibri" w:eastAsia="Calibri" w:hAnsi="Calibri" w:cs="Calibri"/>
          <w:sz w:val="22"/>
          <w:szCs w:val="22"/>
        </w:rPr>
        <w:t xml:space="preserve"> target for</w:t>
      </w:r>
      <w:r w:rsidR="4DB42FCE" w:rsidRPr="078C476B">
        <w:rPr>
          <w:rFonts w:ascii="Calibri" w:eastAsia="Calibri" w:hAnsi="Calibri" w:cs="Calibri"/>
          <w:sz w:val="22"/>
          <w:szCs w:val="22"/>
        </w:rPr>
        <w:t xml:space="preserve"> water savings attributable to the intervention of the EBF</w:t>
      </w:r>
      <w:r w:rsidR="5BC0E09E" w:rsidRPr="078C476B">
        <w:rPr>
          <w:rFonts w:ascii="Calibri" w:eastAsia="Calibri" w:hAnsi="Calibri" w:cs="Calibri"/>
          <w:sz w:val="22"/>
          <w:szCs w:val="22"/>
        </w:rPr>
        <w:t xml:space="preserve"> was not</w:t>
      </w:r>
      <w:r w:rsidR="009A18C9" w:rsidRPr="078C476B">
        <w:rPr>
          <w:rFonts w:ascii="Calibri" w:eastAsia="Calibri" w:hAnsi="Calibri" w:cs="Calibri"/>
          <w:sz w:val="22"/>
          <w:szCs w:val="22"/>
        </w:rPr>
        <w:t xml:space="preserve"> met</w:t>
      </w:r>
      <w:r w:rsidR="5BC0E09E" w:rsidRPr="078C476B">
        <w:rPr>
          <w:rFonts w:ascii="Calibri" w:eastAsia="Calibri" w:hAnsi="Calibri" w:cs="Calibri"/>
          <w:sz w:val="22"/>
          <w:szCs w:val="22"/>
        </w:rPr>
        <w:t>.</w:t>
      </w:r>
      <w:r w:rsidR="4DB42FCE" w:rsidRPr="078C476B">
        <w:rPr>
          <w:rFonts w:ascii="Calibri" w:eastAsia="Calibri" w:hAnsi="Calibri" w:cs="Calibri"/>
          <w:sz w:val="22"/>
          <w:szCs w:val="22"/>
        </w:rPr>
        <w:t xml:space="preserve"> </w:t>
      </w:r>
    </w:p>
    <w:p w14:paraId="00A6D6C2" w14:textId="197A09E0" w:rsidR="0116275A" w:rsidRDefault="0116275A" w:rsidP="00D03E98">
      <w:pPr>
        <w:pStyle w:val="Normal1"/>
        <w:spacing w:after="120"/>
        <w:jc w:val="both"/>
        <w:rPr>
          <w:rFonts w:asciiTheme="minorHAnsi" w:eastAsiaTheme="minorEastAsia" w:hAnsiTheme="minorHAnsi" w:cstheme="minorBidi"/>
          <w:b/>
          <w:bCs/>
          <w:color w:val="000000" w:themeColor="text1"/>
          <w:sz w:val="22"/>
          <w:szCs w:val="22"/>
        </w:rPr>
      </w:pPr>
    </w:p>
    <w:p w14:paraId="63E852DC" w14:textId="7C924550" w:rsidR="153AD499" w:rsidRDefault="153AD499" w:rsidP="00D03E98">
      <w:pPr>
        <w:pStyle w:val="Normal1"/>
        <w:spacing w:after="120"/>
        <w:jc w:val="both"/>
        <w:rPr>
          <w:rFonts w:asciiTheme="minorHAnsi" w:eastAsiaTheme="minorEastAsia" w:hAnsiTheme="minorHAnsi" w:cstheme="minorBidi"/>
          <w:b/>
          <w:bCs/>
          <w:color w:val="000000" w:themeColor="text1"/>
          <w:sz w:val="22"/>
          <w:szCs w:val="22"/>
        </w:rPr>
      </w:pPr>
      <w:r w:rsidRPr="0116275A">
        <w:rPr>
          <w:rFonts w:asciiTheme="minorHAnsi" w:eastAsiaTheme="minorEastAsia" w:hAnsiTheme="minorHAnsi" w:cstheme="minorBidi"/>
          <w:b/>
          <w:bCs/>
          <w:color w:val="000000" w:themeColor="text1"/>
          <w:sz w:val="22"/>
          <w:szCs w:val="22"/>
        </w:rPr>
        <w:t xml:space="preserve">Outcome 1 – Performance:  </w:t>
      </w:r>
    </w:p>
    <w:p w14:paraId="0048EE5C" w14:textId="56892BFE" w:rsidR="73AFDD7F" w:rsidRDefault="73AFDD7F" w:rsidP="078C476B">
      <w:pPr>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color w:val="000000" w:themeColor="text1"/>
          <w:sz w:val="22"/>
          <w:szCs w:val="22"/>
        </w:rPr>
        <w:t xml:space="preserve">Metrics within </w:t>
      </w:r>
      <w:r w:rsidR="00AF6B0B" w:rsidRPr="078C476B">
        <w:rPr>
          <w:rFonts w:asciiTheme="minorHAnsi" w:eastAsiaTheme="minorEastAsia" w:hAnsiTheme="minorHAnsi" w:cstheme="minorBidi"/>
          <w:color w:val="000000" w:themeColor="text1"/>
          <w:sz w:val="22"/>
          <w:szCs w:val="22"/>
        </w:rPr>
        <w:t>o</w:t>
      </w:r>
      <w:r w:rsidRPr="078C476B">
        <w:rPr>
          <w:rFonts w:asciiTheme="minorHAnsi" w:eastAsiaTheme="minorEastAsia" w:hAnsiTheme="minorHAnsi" w:cstheme="minorBidi"/>
          <w:color w:val="000000" w:themeColor="text1"/>
          <w:sz w:val="22"/>
          <w:szCs w:val="22"/>
        </w:rPr>
        <w:t xml:space="preserve">utcome 1 show </w:t>
      </w:r>
      <w:r w:rsidR="000E4100" w:rsidRPr="078C476B">
        <w:rPr>
          <w:rFonts w:asciiTheme="minorHAnsi" w:eastAsiaTheme="minorEastAsia" w:hAnsiTheme="minorHAnsi" w:cstheme="minorBidi"/>
          <w:color w:val="000000" w:themeColor="text1"/>
          <w:sz w:val="22"/>
          <w:szCs w:val="22"/>
        </w:rPr>
        <w:t>that disbursements to FIs have exceeded the Defra target</w:t>
      </w:r>
      <w:r w:rsidR="2297B18E" w:rsidRPr="078C476B">
        <w:rPr>
          <w:rFonts w:asciiTheme="minorHAnsi" w:eastAsiaTheme="minorEastAsia" w:hAnsiTheme="minorHAnsi" w:cstheme="minorBidi"/>
          <w:color w:val="000000" w:themeColor="text1"/>
          <w:sz w:val="22"/>
          <w:szCs w:val="22"/>
        </w:rPr>
        <w:t>. Additionally</w:t>
      </w:r>
      <w:r w:rsidR="007F5B12" w:rsidRPr="078C476B">
        <w:rPr>
          <w:rFonts w:asciiTheme="minorHAnsi" w:eastAsiaTheme="minorEastAsia" w:hAnsiTheme="minorHAnsi" w:cstheme="minorBidi"/>
          <w:color w:val="000000" w:themeColor="text1"/>
          <w:sz w:val="22"/>
          <w:szCs w:val="22"/>
        </w:rPr>
        <w:t>,</w:t>
      </w:r>
      <w:r w:rsidR="2297B18E" w:rsidRPr="078C476B">
        <w:rPr>
          <w:rFonts w:asciiTheme="minorHAnsi" w:eastAsiaTheme="minorEastAsia" w:hAnsiTheme="minorHAnsi" w:cstheme="minorBidi"/>
          <w:color w:val="000000" w:themeColor="text1"/>
          <w:sz w:val="22"/>
          <w:szCs w:val="22"/>
        </w:rPr>
        <w:t xml:space="preserve"> </w:t>
      </w:r>
      <w:r w:rsidR="04F85372" w:rsidRPr="078C476B">
        <w:rPr>
          <w:rFonts w:asciiTheme="minorHAnsi" w:eastAsiaTheme="minorEastAsia" w:hAnsiTheme="minorHAnsi" w:cstheme="minorBidi"/>
          <w:color w:val="000000" w:themeColor="text1"/>
          <w:sz w:val="22"/>
          <w:szCs w:val="22"/>
        </w:rPr>
        <w:t xml:space="preserve">260,000 (against a target of 200,000) of the total hectares under management are managed under agroforestry, forestry and </w:t>
      </w:r>
      <w:proofErr w:type="spellStart"/>
      <w:r w:rsidR="04F85372" w:rsidRPr="078C476B">
        <w:rPr>
          <w:rFonts w:asciiTheme="minorHAnsi" w:eastAsiaTheme="minorEastAsia" w:hAnsiTheme="minorHAnsi" w:cstheme="minorBidi"/>
          <w:color w:val="000000" w:themeColor="text1"/>
          <w:sz w:val="22"/>
          <w:szCs w:val="22"/>
        </w:rPr>
        <w:t>silvopastoral</w:t>
      </w:r>
      <w:proofErr w:type="spellEnd"/>
      <w:r w:rsidR="04F85372" w:rsidRPr="078C476B">
        <w:rPr>
          <w:rFonts w:asciiTheme="minorHAnsi" w:eastAsiaTheme="minorEastAsia" w:hAnsiTheme="minorHAnsi" w:cstheme="minorBidi"/>
          <w:color w:val="000000" w:themeColor="text1"/>
          <w:sz w:val="22"/>
          <w:szCs w:val="22"/>
        </w:rPr>
        <w:t xml:space="preserve"> systems, thereby supporting maintaining forest cover and contributing to EBF’s commitment to zero deforestation.</w:t>
      </w:r>
      <w:r w:rsidR="00AF6B0B" w:rsidRPr="078C476B">
        <w:rPr>
          <w:rFonts w:asciiTheme="minorHAnsi" w:eastAsiaTheme="minorEastAsia" w:hAnsiTheme="minorHAnsi" w:cstheme="minorBidi"/>
          <w:color w:val="000000" w:themeColor="text1"/>
          <w:sz w:val="22"/>
          <w:szCs w:val="22"/>
        </w:rPr>
        <w:t xml:space="preserve"> </w:t>
      </w:r>
    </w:p>
    <w:p w14:paraId="0B0F69C0" w14:textId="4052653F" w:rsidR="1EE0C08E" w:rsidRDefault="1EE0C08E" w:rsidP="00D03E98">
      <w:pPr>
        <w:jc w:val="both"/>
        <w:rPr>
          <w:color w:val="000000" w:themeColor="text1"/>
          <w:sz w:val="22"/>
          <w:szCs w:val="22"/>
        </w:rPr>
      </w:pPr>
    </w:p>
    <w:p w14:paraId="3BAFB08D" w14:textId="3F7AEDEB" w:rsidR="00C85F87" w:rsidRDefault="4D4F8DD1" w:rsidP="00C86B06">
      <w:pPr>
        <w:pStyle w:val="Normal1"/>
        <w:jc w:val="both"/>
        <w:rPr>
          <w:rFonts w:ascii="Calibri" w:eastAsia="Calibri" w:hAnsi="Calibri" w:cs="Calibri"/>
          <w:color w:val="000000" w:themeColor="text1"/>
          <w:sz w:val="22"/>
          <w:szCs w:val="22"/>
        </w:rPr>
      </w:pPr>
      <w:r w:rsidRPr="5E74AFEB">
        <w:rPr>
          <w:rFonts w:ascii="Calibri" w:eastAsia="Calibri" w:hAnsi="Calibri" w:cs="Calibri"/>
          <w:color w:val="000000" w:themeColor="text1"/>
          <w:sz w:val="22"/>
          <w:szCs w:val="22"/>
        </w:rPr>
        <w:t>Three ICF KPIs have been selected for use at the outcome level</w:t>
      </w:r>
      <w:r w:rsidR="00C85F87">
        <w:rPr>
          <w:rFonts w:ascii="Calibri" w:eastAsia="Calibri" w:hAnsi="Calibri" w:cs="Calibri"/>
          <w:color w:val="000000" w:themeColor="text1"/>
          <w:sz w:val="22"/>
          <w:szCs w:val="22"/>
        </w:rPr>
        <w:t>, KPIs 6, 11 and 12 (Outcomes 1.5, 1.6 and 1.8)</w:t>
      </w:r>
      <w:r w:rsidRPr="5E74AFEB">
        <w:rPr>
          <w:rFonts w:ascii="Calibri" w:eastAsia="Calibri" w:hAnsi="Calibri" w:cs="Calibri"/>
          <w:color w:val="000000" w:themeColor="text1"/>
          <w:sz w:val="22"/>
          <w:szCs w:val="22"/>
        </w:rPr>
        <w:t>.</w:t>
      </w:r>
      <w:r w:rsidR="05950CFD" w:rsidRPr="5E74AFEB">
        <w:rPr>
          <w:rFonts w:ascii="Calibri" w:eastAsia="Calibri" w:hAnsi="Calibri" w:cs="Calibri"/>
          <w:color w:val="000000" w:themeColor="text1"/>
          <w:sz w:val="22"/>
          <w:szCs w:val="22"/>
        </w:rPr>
        <w:t xml:space="preserve"> </w:t>
      </w:r>
      <w:r w:rsidR="00C85F87" w:rsidRPr="00C85F87">
        <w:rPr>
          <w:rFonts w:ascii="Calibri" w:eastAsia="Calibri" w:hAnsi="Calibri" w:cs="Calibri"/>
          <w:color w:val="000000" w:themeColor="text1"/>
          <w:sz w:val="22"/>
          <w:szCs w:val="22"/>
        </w:rPr>
        <w:t>Outcomes 1.5, 1.6 and 2.1 are reported on by the Fund to Defra, but are not published due to their commercially sensitive nature. All three exceeded the targets set for them for 2021</w:t>
      </w:r>
      <w:r w:rsidR="000444F7">
        <w:rPr>
          <w:rFonts w:ascii="Calibri" w:eastAsia="Calibri" w:hAnsi="Calibri" w:cs="Calibri"/>
          <w:color w:val="000000" w:themeColor="text1"/>
          <w:sz w:val="22"/>
          <w:szCs w:val="22"/>
        </w:rPr>
        <w:t>, 2x for KPI 12 and nearly 3x for KPI 11</w:t>
      </w:r>
      <w:r w:rsidR="00C85F87" w:rsidRPr="00C85F87">
        <w:rPr>
          <w:rFonts w:ascii="Calibri" w:eastAsia="Calibri" w:hAnsi="Calibri" w:cs="Calibri"/>
          <w:color w:val="000000" w:themeColor="text1"/>
          <w:sz w:val="22"/>
          <w:szCs w:val="22"/>
        </w:rPr>
        <w:t>.</w:t>
      </w:r>
    </w:p>
    <w:p w14:paraId="6A0632AD" w14:textId="77777777" w:rsidR="00C86B06" w:rsidRDefault="00C86B06" w:rsidP="00C86B06">
      <w:pPr>
        <w:pStyle w:val="Normal1"/>
        <w:jc w:val="both"/>
        <w:rPr>
          <w:rFonts w:ascii="Calibri" w:eastAsia="Calibri" w:hAnsi="Calibri" w:cs="Calibri"/>
          <w:color w:val="000000" w:themeColor="text1"/>
          <w:sz w:val="22"/>
          <w:szCs w:val="22"/>
        </w:rPr>
      </w:pPr>
    </w:p>
    <w:p w14:paraId="5B344CEA" w14:textId="722724F1" w:rsidR="00C86B06" w:rsidRDefault="63F484C9" w:rsidP="00C86B06">
      <w:pPr>
        <w:pStyle w:val="Normal1"/>
        <w:jc w:val="both"/>
        <w:rPr>
          <w:rFonts w:ascii="Calibri" w:eastAsia="Calibri" w:hAnsi="Calibri" w:cs="Calibri"/>
          <w:color w:val="000000" w:themeColor="text1"/>
          <w:sz w:val="22"/>
          <w:szCs w:val="22"/>
        </w:rPr>
      </w:pPr>
      <w:r w:rsidRPr="5E74AFEB">
        <w:rPr>
          <w:rFonts w:ascii="Calibri" w:eastAsia="Calibri" w:hAnsi="Calibri" w:cs="Calibri"/>
          <w:color w:val="000000" w:themeColor="text1"/>
          <w:sz w:val="22"/>
          <w:szCs w:val="22"/>
        </w:rPr>
        <w:t>Additionality is taken into account</w:t>
      </w:r>
      <w:r w:rsidR="6E6BDBE0" w:rsidRPr="5E74AFEB">
        <w:rPr>
          <w:rFonts w:ascii="Calibri" w:eastAsia="Calibri" w:hAnsi="Calibri" w:cs="Calibri"/>
          <w:color w:val="000000" w:themeColor="text1"/>
          <w:sz w:val="22"/>
          <w:szCs w:val="22"/>
        </w:rPr>
        <w:t xml:space="preserve"> by Defra</w:t>
      </w:r>
      <w:r w:rsidRPr="5E74AFEB">
        <w:rPr>
          <w:rFonts w:ascii="Calibri" w:eastAsia="Calibri" w:hAnsi="Calibri" w:cs="Calibri"/>
          <w:color w:val="000000" w:themeColor="text1"/>
          <w:sz w:val="22"/>
          <w:szCs w:val="22"/>
        </w:rPr>
        <w:t xml:space="preserve"> for all interventions funded through ICF. This is to ensure there is a net change in impacts resulting from UK funding, other than the business-as-usual changes that would occur without UK funding. Ideally for most scenarios, the outputs would be compared to a suitable baseline or counterfactual scenario, so as to isolate the impact/additionality of a programme. For most programmes a conservative additionality rate of 50% is applied to the impacts.</w:t>
      </w:r>
    </w:p>
    <w:p w14:paraId="62C121B7" w14:textId="77777777" w:rsidR="00C86B06" w:rsidRPr="00C86B06" w:rsidRDefault="00C86B06" w:rsidP="00C86B06">
      <w:pPr>
        <w:pStyle w:val="Normal1"/>
        <w:jc w:val="both"/>
        <w:rPr>
          <w:rFonts w:ascii="Calibri" w:eastAsia="Calibri" w:hAnsi="Calibri" w:cs="Calibri"/>
          <w:color w:val="000000" w:themeColor="text1"/>
          <w:sz w:val="22"/>
          <w:szCs w:val="22"/>
        </w:rPr>
      </w:pPr>
    </w:p>
    <w:p w14:paraId="42D0297B" w14:textId="366575AE" w:rsidR="59974E1A" w:rsidRDefault="59974E1A" w:rsidP="00C86B06">
      <w:pPr>
        <w:jc w:val="both"/>
        <w:rPr>
          <w:rFonts w:ascii="Calibri" w:eastAsia="Calibri" w:hAnsi="Calibri" w:cs="Calibri"/>
          <w:color w:val="000000" w:themeColor="text1"/>
          <w:sz w:val="22"/>
          <w:szCs w:val="22"/>
        </w:rPr>
      </w:pPr>
      <w:r w:rsidRPr="72ECE0DE">
        <w:rPr>
          <w:rFonts w:ascii="Calibri" w:eastAsia="Calibri" w:hAnsi="Calibri" w:cs="Calibri"/>
          <w:color w:val="000000" w:themeColor="text1"/>
          <w:sz w:val="22"/>
          <w:szCs w:val="22"/>
        </w:rPr>
        <w:t>For KPI 6</w:t>
      </w:r>
      <w:r w:rsidR="00C86B06">
        <w:rPr>
          <w:rFonts w:ascii="Calibri" w:eastAsia="Calibri" w:hAnsi="Calibri" w:cs="Calibri"/>
          <w:color w:val="000000" w:themeColor="text1"/>
          <w:sz w:val="22"/>
          <w:szCs w:val="22"/>
        </w:rPr>
        <w:t>,</w:t>
      </w:r>
      <w:r w:rsidRPr="72ECE0DE">
        <w:rPr>
          <w:rFonts w:ascii="Calibri" w:eastAsia="Calibri" w:hAnsi="Calibri" w:cs="Calibri"/>
          <w:color w:val="000000" w:themeColor="text1"/>
          <w:sz w:val="22"/>
          <w:szCs w:val="22"/>
        </w:rPr>
        <w:t xml:space="preserve"> </w:t>
      </w:r>
      <w:r w:rsidR="7D7B7373" w:rsidRPr="72ECE0DE">
        <w:rPr>
          <w:rFonts w:ascii="Calibri" w:eastAsia="Calibri" w:hAnsi="Calibri" w:cs="Calibri"/>
          <w:color w:val="000000" w:themeColor="text1"/>
          <w:sz w:val="22"/>
          <w:szCs w:val="22"/>
        </w:rPr>
        <w:t xml:space="preserve">EBF calculate this </w:t>
      </w:r>
      <w:r w:rsidR="755E36C3" w:rsidRPr="72ECE0DE">
        <w:rPr>
          <w:rFonts w:ascii="Calibri" w:eastAsia="Calibri" w:hAnsi="Calibri" w:cs="Calibri"/>
          <w:color w:val="000000" w:themeColor="text1"/>
          <w:sz w:val="22"/>
          <w:szCs w:val="22"/>
        </w:rPr>
        <w:t>KPI</w:t>
      </w:r>
      <w:r w:rsidR="5B6A6833" w:rsidRPr="72ECE0DE">
        <w:rPr>
          <w:rFonts w:ascii="Calibri" w:eastAsia="Calibri" w:hAnsi="Calibri" w:cs="Calibri"/>
          <w:color w:val="000000" w:themeColor="text1"/>
          <w:sz w:val="22"/>
          <w:szCs w:val="22"/>
        </w:rPr>
        <w:t xml:space="preserve"> as the difference between absolute CO</w:t>
      </w:r>
      <w:r w:rsidR="5B6A6833" w:rsidRPr="0004643D">
        <w:rPr>
          <w:rFonts w:ascii="Calibri" w:eastAsia="Calibri" w:hAnsi="Calibri" w:cs="Calibri"/>
          <w:color w:val="000000" w:themeColor="text1"/>
          <w:sz w:val="22"/>
          <w:szCs w:val="22"/>
          <w:vertAlign w:val="subscript"/>
        </w:rPr>
        <w:t>2</w:t>
      </w:r>
      <w:r w:rsidR="5B6A6833" w:rsidRPr="72ECE0DE">
        <w:rPr>
          <w:rFonts w:ascii="Calibri" w:eastAsia="Calibri" w:hAnsi="Calibri" w:cs="Calibri"/>
          <w:color w:val="000000" w:themeColor="text1"/>
          <w:sz w:val="22"/>
          <w:szCs w:val="22"/>
        </w:rPr>
        <w:t xml:space="preserve"> sequestration </w:t>
      </w:r>
      <w:r w:rsidR="13F57D02" w:rsidRPr="72ECE0DE">
        <w:rPr>
          <w:rFonts w:ascii="Calibri" w:eastAsia="Calibri" w:hAnsi="Calibri" w:cs="Calibri"/>
          <w:color w:val="000000" w:themeColor="text1"/>
          <w:sz w:val="22"/>
          <w:szCs w:val="22"/>
        </w:rPr>
        <w:t xml:space="preserve">and </w:t>
      </w:r>
      <w:r w:rsidR="5B6A6833" w:rsidRPr="72ECE0DE">
        <w:rPr>
          <w:rFonts w:ascii="Calibri" w:eastAsia="Calibri" w:hAnsi="Calibri" w:cs="Calibri"/>
          <w:color w:val="000000" w:themeColor="text1"/>
          <w:sz w:val="22"/>
          <w:szCs w:val="22"/>
        </w:rPr>
        <w:t>CO</w:t>
      </w:r>
      <w:r w:rsidR="5B6A6833" w:rsidRPr="0004643D">
        <w:rPr>
          <w:rFonts w:ascii="Calibri" w:eastAsia="Calibri" w:hAnsi="Calibri" w:cs="Calibri"/>
          <w:color w:val="000000" w:themeColor="text1"/>
          <w:sz w:val="22"/>
          <w:szCs w:val="22"/>
          <w:vertAlign w:val="subscript"/>
        </w:rPr>
        <w:t>2</w:t>
      </w:r>
      <w:r w:rsidR="5B6A6833" w:rsidRPr="72ECE0DE">
        <w:rPr>
          <w:rFonts w:ascii="Calibri" w:eastAsia="Calibri" w:hAnsi="Calibri" w:cs="Calibri"/>
          <w:color w:val="000000" w:themeColor="text1"/>
          <w:sz w:val="22"/>
          <w:szCs w:val="22"/>
        </w:rPr>
        <w:t xml:space="preserve"> sequestration for a baseline scenario. The baseline scenario estimates CO</w:t>
      </w:r>
      <w:r w:rsidR="5B6A6833" w:rsidRPr="0004643D">
        <w:rPr>
          <w:rFonts w:ascii="Calibri" w:eastAsia="Calibri" w:hAnsi="Calibri" w:cs="Calibri"/>
          <w:color w:val="000000" w:themeColor="text1"/>
          <w:sz w:val="22"/>
          <w:szCs w:val="22"/>
          <w:vertAlign w:val="subscript"/>
        </w:rPr>
        <w:t>2</w:t>
      </w:r>
      <w:r w:rsidR="5B6A6833" w:rsidRPr="72ECE0DE">
        <w:rPr>
          <w:rFonts w:ascii="Calibri" w:eastAsia="Calibri" w:hAnsi="Calibri" w:cs="Calibri"/>
          <w:color w:val="000000" w:themeColor="text1"/>
          <w:sz w:val="22"/>
          <w:szCs w:val="22"/>
        </w:rPr>
        <w:t xml:space="preserve"> sequestration assuming the fund’s investments would not specifically target agroforestry systems but would reflect instead the share of production area of shade and non-shade systems prevailing at country level.</w:t>
      </w:r>
      <w:r w:rsidRPr="72ECE0DE">
        <w:rPr>
          <w:rFonts w:ascii="Calibri" w:eastAsia="Calibri" w:hAnsi="Calibri" w:cs="Calibri"/>
          <w:color w:val="000000" w:themeColor="text1"/>
          <w:sz w:val="22"/>
          <w:szCs w:val="22"/>
        </w:rPr>
        <w:t xml:space="preserve"> This baseline figure changed slightly </w:t>
      </w:r>
      <w:r w:rsidR="6833AC26" w:rsidRPr="72ECE0DE">
        <w:rPr>
          <w:rFonts w:ascii="Calibri" w:eastAsia="Calibri" w:hAnsi="Calibri" w:cs="Calibri"/>
          <w:color w:val="000000" w:themeColor="text1"/>
          <w:sz w:val="22"/>
          <w:szCs w:val="22"/>
        </w:rPr>
        <w:t xml:space="preserve">over time </w:t>
      </w:r>
      <w:r w:rsidRPr="72ECE0DE">
        <w:rPr>
          <w:rFonts w:ascii="Calibri" w:eastAsia="Calibri" w:hAnsi="Calibri" w:cs="Calibri"/>
          <w:color w:val="000000" w:themeColor="text1"/>
          <w:sz w:val="22"/>
          <w:szCs w:val="22"/>
        </w:rPr>
        <w:t xml:space="preserve">with countries </w:t>
      </w:r>
      <w:r w:rsidR="5A2254EB" w:rsidRPr="72ECE0DE">
        <w:rPr>
          <w:rFonts w:ascii="Calibri" w:eastAsia="Calibri" w:hAnsi="Calibri" w:cs="Calibri"/>
          <w:color w:val="000000" w:themeColor="text1"/>
          <w:sz w:val="22"/>
          <w:szCs w:val="22"/>
        </w:rPr>
        <w:t xml:space="preserve">naturally </w:t>
      </w:r>
      <w:r w:rsidRPr="72ECE0DE">
        <w:rPr>
          <w:rFonts w:ascii="Calibri" w:eastAsia="Calibri" w:hAnsi="Calibri" w:cs="Calibri"/>
          <w:color w:val="000000" w:themeColor="text1"/>
          <w:sz w:val="22"/>
          <w:szCs w:val="22"/>
        </w:rPr>
        <w:t>increasing their “under-shade” production</w:t>
      </w:r>
      <w:r w:rsidR="73F0433F" w:rsidRPr="72ECE0DE">
        <w:rPr>
          <w:rFonts w:ascii="Calibri" w:eastAsia="Calibri" w:hAnsi="Calibri" w:cs="Calibri"/>
          <w:color w:val="000000" w:themeColor="text1"/>
          <w:sz w:val="22"/>
          <w:szCs w:val="22"/>
        </w:rPr>
        <w:t xml:space="preserve"> of coffee and cocoa</w:t>
      </w:r>
      <w:r w:rsidRPr="72ECE0DE">
        <w:rPr>
          <w:rFonts w:ascii="Calibri" w:eastAsia="Calibri" w:hAnsi="Calibri" w:cs="Calibri"/>
          <w:color w:val="000000" w:themeColor="text1"/>
          <w:sz w:val="22"/>
          <w:szCs w:val="22"/>
        </w:rPr>
        <w:t>.</w:t>
      </w:r>
    </w:p>
    <w:p w14:paraId="7E7E33C6" w14:textId="6632B9DB" w:rsidR="72ECE0DE" w:rsidRDefault="72ECE0DE" w:rsidP="72ECE0DE">
      <w:pPr>
        <w:jc w:val="both"/>
        <w:rPr>
          <w:rFonts w:ascii="Calibri" w:eastAsia="Calibri" w:hAnsi="Calibri" w:cs="Calibri"/>
          <w:color w:val="000000" w:themeColor="text1"/>
          <w:sz w:val="22"/>
          <w:szCs w:val="22"/>
        </w:rPr>
      </w:pPr>
    </w:p>
    <w:p w14:paraId="30DF15A9" w14:textId="552A8F95" w:rsidR="49CFF048" w:rsidRDefault="49CFF048" w:rsidP="0116275A">
      <w:pPr>
        <w:rPr>
          <w:rFonts w:ascii="Calibri" w:eastAsia="Calibri" w:hAnsi="Calibri" w:cs="Calibri"/>
          <w:color w:val="000000" w:themeColor="text1"/>
          <w:sz w:val="22"/>
          <w:szCs w:val="22"/>
        </w:rPr>
      </w:pPr>
    </w:p>
    <w:p w14:paraId="6D4FBEA5" w14:textId="7267F54B" w:rsidR="65A01929" w:rsidRDefault="65A01929" w:rsidP="0116275A">
      <w:pPr>
        <w:pStyle w:val="Normal1"/>
        <w:spacing w:after="120"/>
        <w:jc w:val="both"/>
        <w:rPr>
          <w:rFonts w:asciiTheme="minorHAnsi" w:eastAsiaTheme="minorEastAsia" w:hAnsiTheme="minorHAnsi" w:cstheme="minorBidi"/>
          <w:b/>
          <w:bCs/>
          <w:color w:val="000000" w:themeColor="text1"/>
          <w:sz w:val="22"/>
          <w:szCs w:val="22"/>
        </w:rPr>
      </w:pPr>
      <w:r w:rsidRPr="0116275A">
        <w:rPr>
          <w:rFonts w:asciiTheme="minorHAnsi" w:eastAsiaTheme="minorEastAsia" w:hAnsiTheme="minorHAnsi" w:cstheme="minorBidi"/>
          <w:b/>
          <w:bCs/>
          <w:color w:val="000000" w:themeColor="text1"/>
          <w:sz w:val="22"/>
          <w:szCs w:val="22"/>
        </w:rPr>
        <w:t xml:space="preserve">Outcome 2 – Performance:  </w:t>
      </w:r>
    </w:p>
    <w:p w14:paraId="09253F8C" w14:textId="66D5D9AA" w:rsidR="404E61C7" w:rsidRPr="008A19B2" w:rsidRDefault="3CFC2958" w:rsidP="006F071F">
      <w:pPr>
        <w:jc w:val="both"/>
        <w:rPr>
          <w:rFonts w:asciiTheme="minorHAnsi" w:eastAsiaTheme="minorEastAsia" w:hAnsiTheme="minorHAnsi" w:cstheme="minorBidi"/>
          <w:color w:val="000000" w:themeColor="text1"/>
          <w:sz w:val="22"/>
          <w:szCs w:val="22"/>
          <w:highlight w:val="lightGray"/>
        </w:rPr>
      </w:pPr>
      <w:r w:rsidRPr="2BE51E91">
        <w:rPr>
          <w:rFonts w:asciiTheme="minorHAnsi" w:eastAsiaTheme="minorEastAsia" w:hAnsiTheme="minorHAnsi" w:cstheme="minorBidi"/>
          <w:color w:val="000000" w:themeColor="text1"/>
          <w:sz w:val="22"/>
          <w:szCs w:val="22"/>
        </w:rPr>
        <w:t>Metrics within Outcome 2 show that</w:t>
      </w:r>
      <w:r w:rsidR="19D28484" w:rsidRPr="2BE51E91">
        <w:rPr>
          <w:rFonts w:asciiTheme="minorHAnsi" w:eastAsiaTheme="minorEastAsia" w:hAnsiTheme="minorHAnsi" w:cstheme="minorBidi"/>
          <w:color w:val="000000" w:themeColor="text1"/>
          <w:sz w:val="22"/>
          <w:szCs w:val="22"/>
        </w:rPr>
        <w:t xml:space="preserve"> the</w:t>
      </w:r>
      <w:r w:rsidR="000E4100">
        <w:rPr>
          <w:rFonts w:asciiTheme="minorHAnsi" w:eastAsiaTheme="minorEastAsia" w:hAnsiTheme="minorHAnsi" w:cstheme="minorBidi"/>
          <w:color w:val="000000" w:themeColor="text1"/>
          <w:sz w:val="22"/>
          <w:szCs w:val="22"/>
        </w:rPr>
        <w:t xml:space="preserve"> number of sub-borrowers is increasing</w:t>
      </w:r>
      <w:r w:rsidR="5A5D6D42" w:rsidRPr="008A19B2">
        <w:rPr>
          <w:rFonts w:asciiTheme="minorHAnsi" w:eastAsiaTheme="minorEastAsia" w:hAnsiTheme="minorHAnsi" w:cstheme="minorBidi"/>
          <w:color w:val="000000" w:themeColor="text1"/>
          <w:sz w:val="22"/>
          <w:szCs w:val="22"/>
          <w:highlight w:val="lightGray"/>
        </w:rPr>
        <w:t>.</w:t>
      </w:r>
    </w:p>
    <w:p w14:paraId="21A589AA" w14:textId="01A83E2D" w:rsidR="0116275A" w:rsidRDefault="0116275A" w:rsidP="006F071F">
      <w:pPr>
        <w:jc w:val="both"/>
        <w:rPr>
          <w:color w:val="000000" w:themeColor="text1"/>
        </w:rPr>
      </w:pPr>
    </w:p>
    <w:p w14:paraId="4D9E0660" w14:textId="77FBC295" w:rsidR="31DFC0EF" w:rsidRDefault="31DFC0EF" w:rsidP="006F071F">
      <w:pPr>
        <w:jc w:val="both"/>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color w:val="000000" w:themeColor="text1"/>
          <w:sz w:val="22"/>
          <w:szCs w:val="22"/>
        </w:rPr>
        <w:t xml:space="preserve">As part of the work of the DF, over 604 bank officers were trained through various projects that assisted 19 PIs from 14 countries to increase financing of sustainable businesses. A total of 394,000 individuals were reached through events and other training activities co-sponsored or fully sponsored by the DF designed to promote sustainability in the region.  </w:t>
      </w:r>
    </w:p>
    <w:p w14:paraId="3F6EA79F" w14:textId="1EA201AF" w:rsidR="49CFF048" w:rsidRDefault="49CFF048" w:rsidP="49CFF048">
      <w:pPr>
        <w:rPr>
          <w:color w:val="000000" w:themeColor="text1"/>
        </w:rPr>
      </w:pPr>
    </w:p>
    <w:p w14:paraId="02F204D2" w14:textId="2FA58027" w:rsidR="46A5C6DE" w:rsidRDefault="46A5C6DE" w:rsidP="5E73B91F">
      <w:r w:rsidRPr="5E73B91F">
        <w:rPr>
          <w:rFonts w:ascii="Calibri" w:eastAsia="Calibri" w:hAnsi="Calibri" w:cs="Calibri"/>
          <w:b/>
          <w:bCs/>
          <w:i/>
          <w:iCs/>
          <w:color w:val="000000" w:themeColor="text1"/>
        </w:rPr>
        <w:t>Output level Summary</w:t>
      </w:r>
    </w:p>
    <w:p w14:paraId="0F7BFCFF" w14:textId="0714DF77" w:rsidR="1849F6FD" w:rsidRDefault="1849F6FD" w:rsidP="5E73B91F">
      <w:pPr>
        <w:spacing w:before="120" w:after="120" w:line="276" w:lineRule="auto"/>
        <w:jc w:val="both"/>
        <w:rPr>
          <w:rFonts w:eastAsia="Arial" w:cs="Arial"/>
        </w:rPr>
      </w:pPr>
      <w:r w:rsidRPr="0116275A">
        <w:rPr>
          <w:rFonts w:ascii="Calibri" w:eastAsia="Calibri" w:hAnsi="Calibri" w:cs="Calibri"/>
          <w:color w:val="000000" w:themeColor="text1"/>
          <w:sz w:val="22"/>
          <w:szCs w:val="22"/>
        </w:rPr>
        <w:t xml:space="preserve">Outputs have been decided based on the objectives of the EBF to promote business and consumption practices that contribute to biodiversity conservation, to the sustainable use of natural resources, and to mitigate climate change and adapt to its impacts. </w:t>
      </w:r>
      <w:r w:rsidR="6A428F3E" w:rsidRPr="0116275A">
        <w:rPr>
          <w:rFonts w:ascii="Calibri" w:eastAsia="Calibri" w:hAnsi="Calibri" w:cs="Calibri"/>
          <w:color w:val="000000" w:themeColor="text1"/>
          <w:sz w:val="22"/>
          <w:szCs w:val="22"/>
        </w:rPr>
        <w:t>Outputs have been weighted in accordance with their importance to the success of the EBF and alignment with Defra ICF’s strategic priorities</w:t>
      </w:r>
      <w:r w:rsidR="56A46FB1" w:rsidRPr="0116275A">
        <w:rPr>
          <w:rFonts w:ascii="Calibri" w:eastAsia="Calibri" w:hAnsi="Calibri" w:cs="Calibri"/>
          <w:color w:val="000000" w:themeColor="text1"/>
          <w:sz w:val="22"/>
          <w:szCs w:val="22"/>
        </w:rPr>
        <w:t xml:space="preserve">. </w:t>
      </w:r>
      <w:r w:rsidRPr="0116275A">
        <w:rPr>
          <w:rFonts w:ascii="Calibri" w:eastAsia="Calibri" w:hAnsi="Calibri" w:cs="Calibri"/>
          <w:color w:val="000000" w:themeColor="text1"/>
          <w:sz w:val="22"/>
          <w:szCs w:val="22"/>
        </w:rPr>
        <w:t>The outputs below include the following progress highlights:</w:t>
      </w:r>
    </w:p>
    <w:tbl>
      <w:tblPr>
        <w:tblStyle w:val="TableGridLight"/>
        <w:tblW w:w="9015" w:type="dxa"/>
        <w:tblLayout w:type="fixed"/>
        <w:tblLook w:val="06A0" w:firstRow="1" w:lastRow="0" w:firstColumn="1" w:lastColumn="0" w:noHBand="1" w:noVBand="1"/>
      </w:tblPr>
      <w:tblGrid>
        <w:gridCol w:w="2254"/>
        <w:gridCol w:w="4829"/>
        <w:gridCol w:w="850"/>
        <w:gridCol w:w="1082"/>
      </w:tblGrid>
      <w:tr w:rsidR="49CFF048" w14:paraId="2A6F4436" w14:textId="77777777" w:rsidTr="00CE5E99">
        <w:tc>
          <w:tcPr>
            <w:tcW w:w="2254" w:type="dxa"/>
          </w:tcPr>
          <w:p w14:paraId="6EBFFF5F" w14:textId="2E46DF7D" w:rsidR="6C1E61AE" w:rsidRDefault="6C1E61AE" w:rsidP="00CE5E99">
            <w:pPr>
              <w:pStyle w:val="Normal1"/>
              <w:rPr>
                <w:rFonts w:ascii="Calibri" w:eastAsia="Calibri" w:hAnsi="Calibri" w:cs="Calibri"/>
                <w:b/>
                <w:bCs/>
                <w:color w:val="000000" w:themeColor="text1"/>
                <w:sz w:val="22"/>
                <w:szCs w:val="22"/>
                <w:lang w:val="en-US"/>
              </w:rPr>
            </w:pPr>
            <w:r w:rsidRPr="49CFF048">
              <w:rPr>
                <w:rFonts w:ascii="Calibri" w:eastAsia="Calibri" w:hAnsi="Calibri" w:cs="Calibri"/>
                <w:b/>
                <w:bCs/>
                <w:color w:val="000000" w:themeColor="text1"/>
                <w:sz w:val="22"/>
                <w:szCs w:val="22"/>
                <w:lang w:val="en-US"/>
              </w:rPr>
              <w:t xml:space="preserve">Output no. </w:t>
            </w:r>
            <w:r w:rsidR="00CE5E99">
              <w:rPr>
                <w:rFonts w:ascii="Calibri" w:eastAsia="Calibri" w:hAnsi="Calibri" w:cs="Calibri"/>
                <w:b/>
                <w:bCs/>
                <w:color w:val="000000" w:themeColor="text1"/>
                <w:sz w:val="22"/>
                <w:szCs w:val="22"/>
                <w:lang w:val="en-US"/>
              </w:rPr>
              <w:t>a</w:t>
            </w:r>
            <w:r w:rsidR="00CE5E99" w:rsidRPr="49CFF048">
              <w:rPr>
                <w:rFonts w:ascii="Calibri" w:eastAsia="Calibri" w:hAnsi="Calibri" w:cs="Calibri"/>
                <w:b/>
                <w:bCs/>
                <w:color w:val="000000" w:themeColor="text1"/>
                <w:sz w:val="22"/>
                <w:szCs w:val="22"/>
                <w:lang w:val="en-US"/>
              </w:rPr>
              <w:t xml:space="preserve">nd </w:t>
            </w:r>
            <w:r w:rsidRPr="49CFF048">
              <w:rPr>
                <w:rFonts w:ascii="Calibri" w:eastAsia="Calibri" w:hAnsi="Calibri" w:cs="Calibri"/>
                <w:b/>
                <w:bCs/>
                <w:color w:val="000000" w:themeColor="text1"/>
                <w:sz w:val="22"/>
                <w:szCs w:val="22"/>
                <w:lang w:val="en-US"/>
              </w:rPr>
              <w:t>description</w:t>
            </w:r>
          </w:p>
        </w:tc>
        <w:tc>
          <w:tcPr>
            <w:tcW w:w="4829" w:type="dxa"/>
          </w:tcPr>
          <w:p w14:paraId="02C67A00" w14:textId="14979EE0" w:rsidR="6C1E61AE" w:rsidRDefault="6C1E61AE" w:rsidP="49CFF048">
            <w:pPr>
              <w:rPr>
                <w:rFonts w:ascii="Calibri" w:eastAsia="Calibri" w:hAnsi="Calibri" w:cs="Calibri"/>
                <w:b/>
                <w:bCs/>
                <w:sz w:val="22"/>
                <w:szCs w:val="22"/>
              </w:rPr>
            </w:pPr>
            <w:r w:rsidRPr="49CFF048">
              <w:rPr>
                <w:rFonts w:ascii="Calibri" w:eastAsia="Calibri" w:hAnsi="Calibri" w:cs="Calibri"/>
                <w:b/>
                <w:bCs/>
                <w:sz w:val="22"/>
                <w:szCs w:val="22"/>
              </w:rPr>
              <w:t>Performance summary</w:t>
            </w:r>
          </w:p>
        </w:tc>
        <w:tc>
          <w:tcPr>
            <w:tcW w:w="850" w:type="dxa"/>
          </w:tcPr>
          <w:p w14:paraId="41B4084D" w14:textId="4DCB3D9E" w:rsidR="6C1E61AE" w:rsidRDefault="6C1E61AE" w:rsidP="49CFF048">
            <w:pPr>
              <w:rPr>
                <w:rFonts w:ascii="Calibri" w:eastAsia="Calibri" w:hAnsi="Calibri" w:cs="Calibri"/>
                <w:b/>
                <w:bCs/>
                <w:sz w:val="22"/>
                <w:szCs w:val="22"/>
              </w:rPr>
            </w:pPr>
            <w:r w:rsidRPr="49CFF048">
              <w:rPr>
                <w:rFonts w:ascii="Calibri" w:eastAsia="Calibri" w:hAnsi="Calibri" w:cs="Calibri"/>
                <w:b/>
                <w:bCs/>
                <w:sz w:val="22"/>
                <w:szCs w:val="22"/>
              </w:rPr>
              <w:t>Score</w:t>
            </w:r>
          </w:p>
        </w:tc>
        <w:tc>
          <w:tcPr>
            <w:tcW w:w="1082" w:type="dxa"/>
          </w:tcPr>
          <w:p w14:paraId="23F3C092" w14:textId="13871EC6" w:rsidR="6C1E61AE" w:rsidRDefault="6C1E61AE" w:rsidP="49CFF048">
            <w:pPr>
              <w:rPr>
                <w:rFonts w:ascii="Calibri" w:eastAsia="Calibri" w:hAnsi="Calibri" w:cs="Calibri"/>
                <w:b/>
                <w:bCs/>
                <w:sz w:val="22"/>
                <w:szCs w:val="22"/>
              </w:rPr>
            </w:pPr>
            <w:r w:rsidRPr="49CFF048">
              <w:rPr>
                <w:rFonts w:ascii="Calibri" w:eastAsia="Calibri" w:hAnsi="Calibri" w:cs="Calibri"/>
                <w:b/>
                <w:bCs/>
                <w:sz w:val="22"/>
                <w:szCs w:val="22"/>
              </w:rPr>
              <w:t>Weight %</w:t>
            </w:r>
          </w:p>
        </w:tc>
      </w:tr>
      <w:tr w:rsidR="5E73B91F" w14:paraId="0E47D1F7" w14:textId="77777777" w:rsidTr="00CE5E99">
        <w:trPr>
          <w:trHeight w:val="4110"/>
        </w:trPr>
        <w:tc>
          <w:tcPr>
            <w:tcW w:w="2254" w:type="dxa"/>
          </w:tcPr>
          <w:p w14:paraId="109A5B04" w14:textId="26F71675" w:rsidR="1849F6FD" w:rsidRDefault="657231CF" w:rsidP="00CE5E99">
            <w:pPr>
              <w:pStyle w:val="Normal1"/>
              <w:tabs>
                <w:tab w:val="left" w:pos="6915"/>
                <w:tab w:val="left" w:pos="9495"/>
              </w:tabs>
              <w:spacing w:after="120"/>
            </w:pPr>
            <w:r w:rsidRPr="2BE51E91">
              <w:rPr>
                <w:rFonts w:ascii="Calibri" w:eastAsia="Calibri" w:hAnsi="Calibri" w:cs="Calibri"/>
                <w:b/>
                <w:bCs/>
                <w:color w:val="000000" w:themeColor="text1"/>
                <w:sz w:val="22"/>
                <w:szCs w:val="22"/>
                <w:lang w:val="en-US"/>
              </w:rPr>
              <w:lastRenderedPageBreak/>
              <w:t>OUTPUT 1:</w:t>
            </w:r>
            <w:r w:rsidRPr="2BE51E91">
              <w:rPr>
                <w:rFonts w:ascii="Calibri" w:eastAsia="Calibri" w:hAnsi="Calibri" w:cs="Calibri"/>
                <w:color w:val="000000" w:themeColor="text1"/>
                <w:sz w:val="22"/>
                <w:szCs w:val="22"/>
                <w:lang w:val="en-US"/>
              </w:rPr>
              <w:t xml:space="preserve"> EBF has a diversified portfolio supporting a range of geographies and sectors. </w:t>
            </w:r>
          </w:p>
        </w:tc>
        <w:tc>
          <w:tcPr>
            <w:tcW w:w="4829" w:type="dxa"/>
          </w:tcPr>
          <w:p w14:paraId="01B863B7" w14:textId="125F5E6D" w:rsidR="6992D0B1" w:rsidRDefault="3296188D" w:rsidP="1E06BAB9">
            <w:pPr>
              <w:pStyle w:val="ListParagraph"/>
              <w:numPr>
                <w:ilvl w:val="0"/>
                <w:numId w:val="4"/>
              </w:numPr>
              <w:rPr>
                <w:rFonts w:asciiTheme="minorHAnsi" w:eastAsiaTheme="minorEastAsia" w:hAnsiTheme="minorHAnsi" w:cstheme="minorBidi"/>
                <w:sz w:val="22"/>
                <w:szCs w:val="22"/>
              </w:rPr>
            </w:pPr>
            <w:r w:rsidRPr="1E06BAB9">
              <w:rPr>
                <w:rFonts w:ascii="Calibri" w:eastAsia="Calibri" w:hAnsi="Calibri" w:cs="Calibri"/>
                <w:sz w:val="22"/>
                <w:szCs w:val="22"/>
              </w:rPr>
              <w:t>There was</w:t>
            </w:r>
            <w:r w:rsidR="35B6E96E" w:rsidRPr="1E06BAB9">
              <w:rPr>
                <w:rFonts w:ascii="Calibri" w:eastAsia="Calibri" w:hAnsi="Calibri" w:cs="Calibri"/>
                <w:sz w:val="22"/>
                <w:szCs w:val="22"/>
              </w:rPr>
              <w:t xml:space="preserve"> an expansion of the EBF portfolio into</w:t>
            </w:r>
            <w:r w:rsidR="35B6E96E" w:rsidRPr="1E06BAB9">
              <w:rPr>
                <w:rFonts w:asciiTheme="minorHAnsi" w:eastAsiaTheme="minorEastAsia" w:hAnsiTheme="minorHAnsi" w:cstheme="minorBidi"/>
                <w:color w:val="000000" w:themeColor="text1"/>
                <w:sz w:val="22"/>
                <w:szCs w:val="22"/>
              </w:rPr>
              <w:t xml:space="preserve"> Guatemala, through </w:t>
            </w:r>
            <w:r w:rsidR="13CD5FF5" w:rsidRPr="1E06BAB9">
              <w:rPr>
                <w:rFonts w:asciiTheme="minorHAnsi" w:eastAsiaTheme="minorEastAsia" w:hAnsiTheme="minorHAnsi" w:cstheme="minorBidi"/>
                <w:color w:val="000000" w:themeColor="text1"/>
                <w:sz w:val="22"/>
                <w:szCs w:val="22"/>
              </w:rPr>
              <w:t>a USD</w:t>
            </w:r>
            <w:r w:rsidR="6201A875" w:rsidRPr="1E06BAB9">
              <w:rPr>
                <w:rFonts w:asciiTheme="minorHAnsi" w:eastAsiaTheme="minorEastAsia" w:hAnsiTheme="minorHAnsi" w:cstheme="minorBidi"/>
                <w:color w:val="000000" w:themeColor="text1"/>
                <w:sz w:val="22"/>
                <w:szCs w:val="22"/>
              </w:rPr>
              <w:t xml:space="preserve"> </w:t>
            </w:r>
            <w:r w:rsidR="13CD5FF5" w:rsidRPr="1E06BAB9">
              <w:rPr>
                <w:rFonts w:asciiTheme="minorHAnsi" w:eastAsiaTheme="minorEastAsia" w:hAnsiTheme="minorHAnsi" w:cstheme="minorBidi"/>
                <w:color w:val="000000" w:themeColor="text1"/>
                <w:sz w:val="22"/>
                <w:szCs w:val="22"/>
              </w:rPr>
              <w:t xml:space="preserve">20 million investment in Banco </w:t>
            </w:r>
            <w:proofErr w:type="spellStart"/>
            <w:r w:rsidR="13CD5FF5" w:rsidRPr="1E06BAB9">
              <w:rPr>
                <w:rFonts w:asciiTheme="minorHAnsi" w:eastAsiaTheme="minorEastAsia" w:hAnsiTheme="minorHAnsi" w:cstheme="minorBidi"/>
                <w:color w:val="000000" w:themeColor="text1"/>
                <w:sz w:val="22"/>
                <w:szCs w:val="22"/>
              </w:rPr>
              <w:t>Agromercantil</w:t>
            </w:r>
            <w:proofErr w:type="spellEnd"/>
            <w:r w:rsidR="13CD5FF5" w:rsidRPr="1E06BAB9">
              <w:rPr>
                <w:rFonts w:asciiTheme="minorHAnsi" w:eastAsiaTheme="minorEastAsia" w:hAnsiTheme="minorHAnsi" w:cstheme="minorBidi"/>
                <w:color w:val="000000" w:themeColor="text1"/>
                <w:sz w:val="22"/>
                <w:szCs w:val="22"/>
              </w:rPr>
              <w:t xml:space="preserve">. </w:t>
            </w:r>
          </w:p>
          <w:p w14:paraId="41F9AA1D" w14:textId="3E660707" w:rsidR="6992D0B1" w:rsidRDefault="5BE7147D" w:rsidP="0116275A">
            <w:pPr>
              <w:pStyle w:val="ListParagraph"/>
              <w:numPr>
                <w:ilvl w:val="0"/>
                <w:numId w:val="4"/>
              </w:numPr>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color w:val="000000" w:themeColor="text1"/>
                <w:sz w:val="22"/>
                <w:szCs w:val="22"/>
              </w:rPr>
              <w:t>EBF</w:t>
            </w:r>
            <w:r w:rsidR="7E885EC4" w:rsidRPr="0116275A">
              <w:rPr>
                <w:rFonts w:asciiTheme="minorHAnsi" w:eastAsiaTheme="minorEastAsia" w:hAnsiTheme="minorHAnsi" w:cstheme="minorBidi"/>
                <w:color w:val="000000" w:themeColor="text1"/>
                <w:sz w:val="22"/>
                <w:szCs w:val="22"/>
              </w:rPr>
              <w:t xml:space="preserve"> has increased the number </w:t>
            </w:r>
            <w:r w:rsidR="00A226FD">
              <w:rPr>
                <w:rFonts w:asciiTheme="minorHAnsi" w:eastAsiaTheme="minorEastAsia" w:hAnsiTheme="minorHAnsi" w:cstheme="minorBidi"/>
                <w:color w:val="000000" w:themeColor="text1"/>
                <w:sz w:val="22"/>
                <w:szCs w:val="22"/>
              </w:rPr>
              <w:t xml:space="preserve">of </w:t>
            </w:r>
            <w:r w:rsidR="7E885EC4" w:rsidRPr="0116275A">
              <w:rPr>
                <w:rFonts w:asciiTheme="minorHAnsi" w:eastAsiaTheme="minorEastAsia" w:hAnsiTheme="minorHAnsi" w:cstheme="minorBidi"/>
                <w:color w:val="000000" w:themeColor="text1"/>
                <w:sz w:val="22"/>
                <w:szCs w:val="22"/>
              </w:rPr>
              <w:t>FIs in its portfolio from 19 to 2</w:t>
            </w:r>
            <w:r w:rsidR="007F5B12">
              <w:rPr>
                <w:rFonts w:asciiTheme="minorHAnsi" w:eastAsiaTheme="minorEastAsia" w:hAnsiTheme="minorHAnsi" w:cstheme="minorBidi"/>
                <w:color w:val="000000" w:themeColor="text1"/>
                <w:sz w:val="22"/>
                <w:szCs w:val="22"/>
              </w:rPr>
              <w:t>2</w:t>
            </w:r>
            <w:r w:rsidR="00421187">
              <w:rPr>
                <w:rFonts w:asciiTheme="minorHAnsi" w:eastAsiaTheme="minorEastAsia" w:hAnsiTheme="minorHAnsi" w:cstheme="minorBidi"/>
                <w:color w:val="000000" w:themeColor="text1"/>
                <w:sz w:val="22"/>
                <w:szCs w:val="22"/>
              </w:rPr>
              <w:t xml:space="preserve"> and </w:t>
            </w:r>
            <w:r w:rsidR="00707379">
              <w:rPr>
                <w:rFonts w:asciiTheme="minorHAnsi" w:eastAsiaTheme="minorEastAsia" w:hAnsiTheme="minorHAnsi" w:cstheme="minorBidi"/>
                <w:color w:val="000000" w:themeColor="text1"/>
                <w:sz w:val="22"/>
                <w:szCs w:val="22"/>
              </w:rPr>
              <w:t>reali</w:t>
            </w:r>
            <w:r w:rsidR="008A19B2">
              <w:rPr>
                <w:rFonts w:asciiTheme="minorHAnsi" w:eastAsiaTheme="minorEastAsia" w:hAnsiTheme="minorHAnsi" w:cstheme="minorBidi"/>
                <w:color w:val="000000" w:themeColor="text1"/>
                <w:sz w:val="22"/>
                <w:szCs w:val="22"/>
              </w:rPr>
              <w:t>s</w:t>
            </w:r>
            <w:r w:rsidR="00707379">
              <w:rPr>
                <w:rFonts w:asciiTheme="minorHAnsi" w:eastAsiaTheme="minorEastAsia" w:hAnsiTheme="minorHAnsi" w:cstheme="minorBidi"/>
                <w:color w:val="000000" w:themeColor="text1"/>
                <w:sz w:val="22"/>
                <w:szCs w:val="22"/>
              </w:rPr>
              <w:t>ed its first direct investment</w:t>
            </w:r>
            <w:r w:rsidR="0C79291E" w:rsidRPr="0116275A">
              <w:rPr>
                <w:rFonts w:asciiTheme="minorHAnsi" w:eastAsiaTheme="minorEastAsia" w:hAnsiTheme="minorHAnsi" w:cstheme="minorBidi"/>
                <w:color w:val="000000" w:themeColor="text1"/>
                <w:sz w:val="22"/>
                <w:szCs w:val="22"/>
              </w:rPr>
              <w:t>.</w:t>
            </w:r>
            <w:r w:rsidR="51E989D1" w:rsidRPr="0116275A">
              <w:rPr>
                <w:rFonts w:asciiTheme="minorHAnsi" w:eastAsiaTheme="minorEastAsia" w:hAnsiTheme="minorHAnsi" w:cstheme="minorBidi"/>
                <w:color w:val="000000" w:themeColor="text1"/>
                <w:sz w:val="22"/>
                <w:szCs w:val="22"/>
              </w:rPr>
              <w:t xml:space="preserve"> </w:t>
            </w:r>
            <w:r w:rsidR="00707379">
              <w:rPr>
                <w:rFonts w:asciiTheme="minorHAnsi" w:eastAsiaTheme="minorEastAsia" w:hAnsiTheme="minorHAnsi" w:cstheme="minorBidi"/>
                <w:color w:val="000000" w:themeColor="text1"/>
                <w:sz w:val="22"/>
                <w:szCs w:val="22"/>
              </w:rPr>
              <w:t>It further engaged</w:t>
            </w:r>
            <w:r w:rsidR="51E989D1" w:rsidRPr="0116275A">
              <w:rPr>
                <w:rFonts w:asciiTheme="minorHAnsi" w:eastAsiaTheme="minorEastAsia" w:hAnsiTheme="minorHAnsi" w:cstheme="minorBidi"/>
                <w:color w:val="000000" w:themeColor="text1"/>
                <w:sz w:val="22"/>
                <w:szCs w:val="22"/>
              </w:rPr>
              <w:t xml:space="preserve"> private sector capital by selling USD 41 million of loans directly from its loan book. Through this innovative transaction, Calvert Impact Capital is directly supporting financing aligned with the Fund’s mission in the region. The freed-up capital is deployed for further disbursements in the region.</w:t>
            </w:r>
          </w:p>
        </w:tc>
        <w:tc>
          <w:tcPr>
            <w:tcW w:w="850" w:type="dxa"/>
          </w:tcPr>
          <w:p w14:paraId="710E22F8" w14:textId="4DF6492D" w:rsidR="49CFF048" w:rsidRDefault="00235B12" w:rsidP="2BE51E91">
            <w:pPr>
              <w:rPr>
                <w:rFonts w:ascii="Calibri" w:eastAsia="Calibri" w:hAnsi="Calibri" w:cs="Calibri"/>
                <w:sz w:val="22"/>
                <w:szCs w:val="22"/>
              </w:rPr>
            </w:pPr>
            <w:r>
              <w:rPr>
                <w:rFonts w:ascii="Calibri" w:eastAsia="Calibri" w:hAnsi="Calibri" w:cs="Calibri"/>
                <w:sz w:val="22"/>
                <w:szCs w:val="22"/>
              </w:rPr>
              <w:t>A</w:t>
            </w:r>
          </w:p>
        </w:tc>
        <w:tc>
          <w:tcPr>
            <w:tcW w:w="1082" w:type="dxa"/>
          </w:tcPr>
          <w:p w14:paraId="33B08EF4" w14:textId="3B681722" w:rsidR="49CFF048" w:rsidRDefault="6226F723" w:rsidP="0116275A">
            <w:pPr>
              <w:rPr>
                <w:rFonts w:ascii="Calibri" w:eastAsia="Calibri" w:hAnsi="Calibri" w:cs="Calibri"/>
                <w:sz w:val="20"/>
                <w:szCs w:val="20"/>
              </w:rPr>
            </w:pPr>
            <w:r w:rsidRPr="0116275A">
              <w:rPr>
                <w:rFonts w:ascii="Calibri" w:eastAsia="Calibri" w:hAnsi="Calibri" w:cs="Calibri"/>
                <w:sz w:val="22"/>
                <w:szCs w:val="22"/>
              </w:rPr>
              <w:t>35%</w:t>
            </w:r>
          </w:p>
        </w:tc>
      </w:tr>
      <w:tr w:rsidR="5E73B91F" w14:paraId="1C651776" w14:textId="77777777" w:rsidTr="00CE5E99">
        <w:trPr>
          <w:trHeight w:val="991"/>
        </w:trPr>
        <w:tc>
          <w:tcPr>
            <w:tcW w:w="2254" w:type="dxa"/>
          </w:tcPr>
          <w:p w14:paraId="3659CF41" w14:textId="75DAAB0D" w:rsidR="1849F6FD" w:rsidRDefault="1849F6FD" w:rsidP="00CE5E99">
            <w:pPr>
              <w:pStyle w:val="Normal1"/>
              <w:tabs>
                <w:tab w:val="left" w:pos="6915"/>
                <w:tab w:val="left" w:pos="9495"/>
              </w:tabs>
              <w:spacing w:after="120"/>
            </w:pPr>
            <w:r w:rsidRPr="5E73B91F">
              <w:rPr>
                <w:rFonts w:ascii="Calibri" w:eastAsia="Calibri" w:hAnsi="Calibri" w:cs="Calibri"/>
                <w:b/>
                <w:bCs/>
                <w:color w:val="000000" w:themeColor="text1"/>
                <w:sz w:val="22"/>
                <w:szCs w:val="22"/>
                <w:lang w:val="en-US"/>
              </w:rPr>
              <w:t xml:space="preserve">OUTPUT 2: </w:t>
            </w:r>
            <w:r w:rsidRPr="5E73B91F">
              <w:rPr>
                <w:rFonts w:ascii="Calibri" w:eastAsia="Calibri" w:hAnsi="Calibri" w:cs="Calibri"/>
                <w:color w:val="000000" w:themeColor="text1"/>
                <w:sz w:val="22"/>
                <w:szCs w:val="22"/>
                <w:lang w:val="en-US"/>
              </w:rPr>
              <w:t>Broad support to sustainability practices reflected in the composition of the portfolio.</w:t>
            </w:r>
          </w:p>
        </w:tc>
        <w:tc>
          <w:tcPr>
            <w:tcW w:w="4829" w:type="dxa"/>
          </w:tcPr>
          <w:p w14:paraId="5EC0748F" w14:textId="7A5F1754" w:rsidR="50C493C2" w:rsidRDefault="4256AB39" w:rsidP="0116275A">
            <w:pPr>
              <w:pStyle w:val="ListParagraph"/>
              <w:numPr>
                <w:ilvl w:val="0"/>
                <w:numId w:val="5"/>
              </w:numPr>
              <w:rPr>
                <w:rFonts w:asciiTheme="minorHAnsi" w:eastAsiaTheme="minorEastAsia" w:hAnsiTheme="minorHAnsi" w:cstheme="minorBidi"/>
                <w:color w:val="000000" w:themeColor="text1"/>
                <w:sz w:val="22"/>
                <w:szCs w:val="22"/>
              </w:rPr>
            </w:pPr>
            <w:r w:rsidRPr="2BE51E91">
              <w:rPr>
                <w:rFonts w:asciiTheme="minorHAnsi" w:eastAsiaTheme="minorEastAsia" w:hAnsiTheme="minorHAnsi" w:cstheme="minorBidi"/>
                <w:color w:val="000000" w:themeColor="text1"/>
                <w:sz w:val="22"/>
                <w:szCs w:val="22"/>
              </w:rPr>
              <w:t>The number of sustainability standards used have increased over the year from 1</w:t>
            </w:r>
            <w:r w:rsidR="2EB37110" w:rsidRPr="2BE51E91">
              <w:rPr>
                <w:rFonts w:asciiTheme="minorHAnsi" w:eastAsiaTheme="minorEastAsia" w:hAnsiTheme="minorHAnsi" w:cstheme="minorBidi"/>
                <w:color w:val="000000" w:themeColor="text1"/>
                <w:sz w:val="22"/>
                <w:szCs w:val="22"/>
              </w:rPr>
              <w:t>5</w:t>
            </w:r>
            <w:r w:rsidRPr="2BE51E91">
              <w:rPr>
                <w:rFonts w:asciiTheme="minorHAnsi" w:eastAsiaTheme="minorEastAsia" w:hAnsiTheme="minorHAnsi" w:cstheme="minorBidi"/>
                <w:color w:val="000000" w:themeColor="text1"/>
                <w:sz w:val="22"/>
                <w:szCs w:val="22"/>
              </w:rPr>
              <w:t xml:space="preserve"> to 22</w:t>
            </w:r>
            <w:r w:rsidR="201B2EA6" w:rsidRPr="2BE51E91">
              <w:rPr>
                <w:rFonts w:asciiTheme="minorHAnsi" w:eastAsiaTheme="minorEastAsia" w:hAnsiTheme="minorHAnsi" w:cstheme="minorBidi"/>
                <w:color w:val="000000" w:themeColor="text1"/>
                <w:sz w:val="22"/>
                <w:szCs w:val="22"/>
              </w:rPr>
              <w:t>, and the number of green list measures has risen from 20 to 32</w:t>
            </w:r>
            <w:r w:rsidRPr="2BE51E91">
              <w:rPr>
                <w:rFonts w:asciiTheme="minorHAnsi" w:eastAsiaTheme="minorEastAsia" w:hAnsiTheme="minorHAnsi" w:cstheme="minorBidi"/>
                <w:color w:val="000000" w:themeColor="text1"/>
                <w:sz w:val="22"/>
                <w:szCs w:val="22"/>
              </w:rPr>
              <w:t>.</w:t>
            </w:r>
            <w:r w:rsidR="61F0A7CD" w:rsidRPr="2BE51E91">
              <w:rPr>
                <w:rFonts w:asciiTheme="minorHAnsi" w:eastAsiaTheme="minorEastAsia" w:hAnsiTheme="minorHAnsi" w:cstheme="minorBidi"/>
                <w:color w:val="000000" w:themeColor="text1"/>
                <w:sz w:val="22"/>
                <w:szCs w:val="22"/>
              </w:rPr>
              <w:t xml:space="preserve"> </w:t>
            </w:r>
          </w:p>
          <w:p w14:paraId="4EC2E9BE" w14:textId="0EBACC18" w:rsidR="50C493C2" w:rsidRDefault="61F0A7CD" w:rsidP="0116275A">
            <w:pPr>
              <w:pStyle w:val="ListParagraph"/>
              <w:numPr>
                <w:ilvl w:val="0"/>
                <w:numId w:val="5"/>
              </w:numPr>
              <w:rPr>
                <w:rFonts w:asciiTheme="minorHAnsi" w:eastAsiaTheme="minorEastAsia" w:hAnsiTheme="minorHAnsi" w:cstheme="minorBidi"/>
                <w:color w:val="000000" w:themeColor="text1"/>
                <w:sz w:val="22"/>
                <w:szCs w:val="22"/>
              </w:rPr>
            </w:pPr>
            <w:r w:rsidRPr="2BE51E91">
              <w:rPr>
                <w:rFonts w:asciiTheme="minorHAnsi" w:eastAsiaTheme="minorEastAsia" w:hAnsiTheme="minorHAnsi" w:cstheme="minorBidi"/>
                <w:color w:val="000000" w:themeColor="text1"/>
                <w:sz w:val="22"/>
                <w:szCs w:val="22"/>
              </w:rPr>
              <w:t>EBFs Partner Institutions disbursed over 7100 sub-loans, amounting to a total of USD 676.7 million in 2020.</w:t>
            </w:r>
          </w:p>
        </w:tc>
        <w:tc>
          <w:tcPr>
            <w:tcW w:w="850" w:type="dxa"/>
          </w:tcPr>
          <w:p w14:paraId="1F39B409" w14:textId="38A7577F" w:rsidR="49CFF048" w:rsidRDefault="122CDAF6" w:rsidP="0116275A">
            <w:pPr>
              <w:rPr>
                <w:rFonts w:ascii="Calibri" w:eastAsia="Calibri" w:hAnsi="Calibri" w:cs="Calibri"/>
                <w:sz w:val="20"/>
                <w:szCs w:val="20"/>
              </w:rPr>
            </w:pPr>
            <w:r w:rsidRPr="2B03FCAC">
              <w:rPr>
                <w:rFonts w:ascii="Calibri" w:eastAsia="Calibri" w:hAnsi="Calibri" w:cs="Calibri"/>
                <w:sz w:val="22"/>
                <w:szCs w:val="22"/>
              </w:rPr>
              <w:t>A+</w:t>
            </w:r>
          </w:p>
          <w:p w14:paraId="2844F3B9" w14:textId="5B3718E0" w:rsidR="49CFF048" w:rsidRDefault="49CFF048" w:rsidP="0116275A">
            <w:pPr>
              <w:rPr>
                <w:color w:val="000000" w:themeColor="text1"/>
              </w:rPr>
            </w:pPr>
          </w:p>
        </w:tc>
        <w:tc>
          <w:tcPr>
            <w:tcW w:w="1082" w:type="dxa"/>
          </w:tcPr>
          <w:p w14:paraId="443A1A66" w14:textId="3B681722" w:rsidR="49CFF048" w:rsidRDefault="157BA0D2" w:rsidP="0116275A">
            <w:pPr>
              <w:rPr>
                <w:rFonts w:ascii="Calibri" w:eastAsia="Calibri" w:hAnsi="Calibri" w:cs="Calibri"/>
                <w:sz w:val="20"/>
                <w:szCs w:val="20"/>
              </w:rPr>
            </w:pPr>
            <w:r w:rsidRPr="0116275A">
              <w:rPr>
                <w:rFonts w:ascii="Calibri" w:eastAsia="Calibri" w:hAnsi="Calibri" w:cs="Calibri"/>
                <w:sz w:val="22"/>
                <w:szCs w:val="22"/>
              </w:rPr>
              <w:t>35%</w:t>
            </w:r>
          </w:p>
          <w:p w14:paraId="17CF7959" w14:textId="22C905D8" w:rsidR="49CFF048" w:rsidRDefault="49CFF048" w:rsidP="0116275A">
            <w:pPr>
              <w:rPr>
                <w:color w:val="000000" w:themeColor="text1"/>
              </w:rPr>
            </w:pPr>
          </w:p>
        </w:tc>
      </w:tr>
      <w:tr w:rsidR="5E73B91F" w14:paraId="588C7E95" w14:textId="77777777" w:rsidTr="00CE5E99">
        <w:tc>
          <w:tcPr>
            <w:tcW w:w="2254" w:type="dxa"/>
          </w:tcPr>
          <w:p w14:paraId="5787B85E" w14:textId="76F94D38" w:rsidR="1849F6FD" w:rsidRDefault="1849F6FD" w:rsidP="00CE5E99">
            <w:pPr>
              <w:pStyle w:val="Normal1"/>
              <w:tabs>
                <w:tab w:val="left" w:pos="6915"/>
                <w:tab w:val="left" w:pos="9495"/>
              </w:tabs>
              <w:spacing w:after="120"/>
              <w:rPr>
                <w:lang w:val="en-US"/>
              </w:rPr>
            </w:pPr>
            <w:r w:rsidRPr="5E73B91F">
              <w:rPr>
                <w:rFonts w:ascii="Calibri" w:eastAsia="Calibri" w:hAnsi="Calibri" w:cs="Calibri"/>
                <w:b/>
                <w:bCs/>
                <w:sz w:val="22"/>
                <w:szCs w:val="22"/>
                <w:lang w:val="en-US"/>
              </w:rPr>
              <w:t>OUTPUT 3:</w:t>
            </w:r>
            <w:r w:rsidRPr="5E73B91F">
              <w:rPr>
                <w:rFonts w:ascii="Calibri" w:eastAsia="Calibri" w:hAnsi="Calibri" w:cs="Calibri"/>
                <w:sz w:val="22"/>
                <w:szCs w:val="22"/>
                <w:lang w:val="en-US"/>
              </w:rPr>
              <w:t xml:space="preserve"> Provision of continuous and sufficient TA.</w:t>
            </w:r>
          </w:p>
        </w:tc>
        <w:tc>
          <w:tcPr>
            <w:tcW w:w="4829" w:type="dxa"/>
          </w:tcPr>
          <w:p w14:paraId="36AF6248" w14:textId="65D90751" w:rsidR="5E73B91F" w:rsidRDefault="70CFD960" w:rsidP="0116275A">
            <w:pPr>
              <w:pStyle w:val="ListParagraph"/>
              <w:numPr>
                <w:ilvl w:val="0"/>
                <w:numId w:val="3"/>
              </w:num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 xml:space="preserve">At the end of 2020, the EBF DF had </w:t>
            </w:r>
            <w:r w:rsidR="1C933762" w:rsidRPr="0116275A">
              <w:rPr>
                <w:rFonts w:asciiTheme="minorHAnsi" w:eastAsiaTheme="minorEastAsia" w:hAnsiTheme="minorHAnsi" w:cstheme="minorBidi"/>
                <w:sz w:val="22"/>
                <w:szCs w:val="22"/>
              </w:rPr>
              <w:t>16 ongoing</w:t>
            </w:r>
            <w:r w:rsidR="16AF4834" w:rsidRPr="0116275A">
              <w:rPr>
                <w:rFonts w:asciiTheme="minorHAnsi" w:eastAsiaTheme="minorEastAsia" w:hAnsiTheme="minorHAnsi" w:cstheme="minorBidi"/>
                <w:sz w:val="22"/>
                <w:szCs w:val="22"/>
              </w:rPr>
              <w:t xml:space="preserve"> or outstanding</w:t>
            </w:r>
            <w:r w:rsidR="252BD141" w:rsidRPr="0116275A">
              <w:rPr>
                <w:rFonts w:asciiTheme="minorHAnsi" w:eastAsiaTheme="minorEastAsia" w:hAnsiTheme="minorHAnsi" w:cstheme="minorBidi"/>
                <w:sz w:val="22"/>
                <w:szCs w:val="22"/>
              </w:rPr>
              <w:t xml:space="preserve"> projects, supporting 15 existing and 2 new </w:t>
            </w:r>
            <w:r w:rsidR="4F2FEF2E" w:rsidRPr="0116275A">
              <w:rPr>
                <w:rFonts w:asciiTheme="minorHAnsi" w:eastAsiaTheme="minorEastAsia" w:hAnsiTheme="minorHAnsi" w:cstheme="minorBidi"/>
                <w:sz w:val="22"/>
                <w:szCs w:val="22"/>
              </w:rPr>
              <w:t>Partner Institutions (</w:t>
            </w:r>
            <w:r w:rsidR="252BD141" w:rsidRPr="0116275A">
              <w:rPr>
                <w:rFonts w:asciiTheme="minorHAnsi" w:eastAsiaTheme="minorEastAsia" w:hAnsiTheme="minorHAnsi" w:cstheme="minorBidi"/>
                <w:sz w:val="22"/>
                <w:szCs w:val="22"/>
              </w:rPr>
              <w:t>PIs</w:t>
            </w:r>
            <w:r w:rsidR="7FD9DC67" w:rsidRPr="0116275A">
              <w:rPr>
                <w:rFonts w:asciiTheme="minorHAnsi" w:eastAsiaTheme="minorEastAsia" w:hAnsiTheme="minorHAnsi" w:cstheme="minorBidi"/>
                <w:sz w:val="22"/>
                <w:szCs w:val="22"/>
              </w:rPr>
              <w:t>)</w:t>
            </w:r>
            <w:r w:rsidR="252BD141" w:rsidRPr="0116275A">
              <w:rPr>
                <w:rFonts w:asciiTheme="minorHAnsi" w:eastAsiaTheme="minorEastAsia" w:hAnsiTheme="minorHAnsi" w:cstheme="minorBidi"/>
                <w:sz w:val="22"/>
                <w:szCs w:val="22"/>
              </w:rPr>
              <w:t>.</w:t>
            </w:r>
          </w:p>
          <w:p w14:paraId="799E8DC1" w14:textId="70DF3845" w:rsidR="5E73B91F" w:rsidRDefault="7F2011B9" w:rsidP="0116275A">
            <w:pPr>
              <w:pStyle w:val="ListParagraph"/>
              <w:numPr>
                <w:ilvl w:val="0"/>
                <w:numId w:val="3"/>
              </w:numPr>
              <w:rPr>
                <w:sz w:val="22"/>
                <w:szCs w:val="22"/>
              </w:rPr>
            </w:pPr>
            <w:r w:rsidRPr="0116275A">
              <w:rPr>
                <w:rFonts w:asciiTheme="minorHAnsi" w:eastAsiaTheme="minorEastAsia" w:hAnsiTheme="minorHAnsi" w:cstheme="minorBidi"/>
                <w:sz w:val="22"/>
                <w:szCs w:val="22"/>
              </w:rPr>
              <w:t>From fund</w:t>
            </w:r>
            <w:r w:rsidR="1FCD9F21" w:rsidRPr="0116275A">
              <w:rPr>
                <w:rFonts w:asciiTheme="minorHAnsi" w:eastAsiaTheme="minorEastAsia" w:hAnsiTheme="minorHAnsi" w:cstheme="minorBidi"/>
                <w:sz w:val="22"/>
                <w:szCs w:val="22"/>
              </w:rPr>
              <w:t xml:space="preserve"> inception </w:t>
            </w:r>
            <w:r w:rsidR="08D52335" w:rsidRPr="0116275A">
              <w:rPr>
                <w:rFonts w:asciiTheme="minorHAnsi" w:eastAsiaTheme="minorEastAsia" w:hAnsiTheme="minorHAnsi" w:cstheme="minorBidi"/>
                <w:sz w:val="22"/>
                <w:szCs w:val="22"/>
              </w:rPr>
              <w:t xml:space="preserve">to the end of 2020 </w:t>
            </w:r>
            <w:r w:rsidR="1FCD9F21" w:rsidRPr="0116275A">
              <w:rPr>
                <w:rFonts w:asciiTheme="minorHAnsi" w:eastAsiaTheme="minorEastAsia" w:hAnsiTheme="minorHAnsi" w:cstheme="minorBidi"/>
                <w:sz w:val="22"/>
                <w:szCs w:val="22"/>
              </w:rPr>
              <w:t xml:space="preserve">the DF has </w:t>
            </w:r>
            <w:r w:rsidR="7BD90F72" w:rsidRPr="0116275A">
              <w:rPr>
                <w:rFonts w:asciiTheme="minorHAnsi" w:eastAsiaTheme="minorEastAsia" w:hAnsiTheme="minorHAnsi" w:cstheme="minorBidi"/>
                <w:sz w:val="22"/>
                <w:szCs w:val="22"/>
              </w:rPr>
              <w:t xml:space="preserve">completed 56 individual TA projects, with a total </w:t>
            </w:r>
            <w:r w:rsidR="1FCD9F21" w:rsidRPr="0116275A">
              <w:rPr>
                <w:rFonts w:asciiTheme="minorHAnsi" w:eastAsiaTheme="minorEastAsia" w:hAnsiTheme="minorHAnsi" w:cstheme="minorBidi"/>
                <w:sz w:val="22"/>
                <w:szCs w:val="22"/>
              </w:rPr>
              <w:t>spen</w:t>
            </w:r>
            <w:r w:rsidR="14779F47" w:rsidRPr="0116275A">
              <w:rPr>
                <w:rFonts w:asciiTheme="minorHAnsi" w:eastAsiaTheme="minorEastAsia" w:hAnsiTheme="minorHAnsi" w:cstheme="minorBidi"/>
                <w:sz w:val="22"/>
                <w:szCs w:val="22"/>
              </w:rPr>
              <w:t>d of</w:t>
            </w:r>
            <w:r w:rsidR="407B2C88" w:rsidRPr="0116275A">
              <w:rPr>
                <w:rFonts w:asciiTheme="minorHAnsi" w:eastAsiaTheme="minorEastAsia" w:hAnsiTheme="minorHAnsi" w:cstheme="minorBidi"/>
                <w:sz w:val="22"/>
                <w:szCs w:val="22"/>
              </w:rPr>
              <w:t xml:space="preserve"> USD 4.11m</w:t>
            </w:r>
            <w:r w:rsidR="41AEA290" w:rsidRPr="0116275A">
              <w:rPr>
                <w:rFonts w:asciiTheme="minorHAnsi" w:eastAsiaTheme="minorEastAsia" w:hAnsiTheme="minorHAnsi" w:cstheme="minorBidi"/>
                <w:sz w:val="22"/>
                <w:szCs w:val="22"/>
              </w:rPr>
              <w:t xml:space="preserve"> on TA.</w:t>
            </w:r>
          </w:p>
        </w:tc>
        <w:tc>
          <w:tcPr>
            <w:tcW w:w="850" w:type="dxa"/>
          </w:tcPr>
          <w:p w14:paraId="6F2E6968" w14:textId="3BD67700" w:rsidR="49CFF048" w:rsidRDefault="2D2E722D" w:rsidP="0116275A">
            <w:pPr>
              <w:rPr>
                <w:rFonts w:ascii="Calibri" w:eastAsia="Calibri" w:hAnsi="Calibri" w:cs="Calibri"/>
                <w:sz w:val="20"/>
                <w:szCs w:val="20"/>
              </w:rPr>
            </w:pPr>
            <w:r w:rsidRPr="0116275A">
              <w:rPr>
                <w:rFonts w:ascii="Calibri" w:eastAsia="Calibri" w:hAnsi="Calibri" w:cs="Calibri"/>
                <w:sz w:val="22"/>
                <w:szCs w:val="22"/>
              </w:rPr>
              <w:t>A</w:t>
            </w:r>
          </w:p>
          <w:p w14:paraId="2D13FF1B" w14:textId="6BCDF87C" w:rsidR="49CFF048" w:rsidRDefault="49CFF048" w:rsidP="0116275A">
            <w:pPr>
              <w:rPr>
                <w:b/>
                <w:bCs/>
                <w:i/>
                <w:iCs/>
                <w:color w:val="000000" w:themeColor="text1"/>
              </w:rPr>
            </w:pPr>
          </w:p>
        </w:tc>
        <w:tc>
          <w:tcPr>
            <w:tcW w:w="1082" w:type="dxa"/>
          </w:tcPr>
          <w:p w14:paraId="1CA49DDD" w14:textId="18FBC81C" w:rsidR="49CFF048" w:rsidRDefault="45CF69D0" w:rsidP="0116275A">
            <w:pPr>
              <w:rPr>
                <w:rFonts w:ascii="Calibri" w:eastAsia="Calibri" w:hAnsi="Calibri" w:cs="Calibri"/>
                <w:sz w:val="20"/>
                <w:szCs w:val="20"/>
              </w:rPr>
            </w:pPr>
            <w:r w:rsidRPr="2BE51E91">
              <w:rPr>
                <w:rFonts w:ascii="Calibri" w:eastAsia="Calibri" w:hAnsi="Calibri" w:cs="Calibri"/>
                <w:sz w:val="22"/>
                <w:szCs w:val="22"/>
              </w:rPr>
              <w:t>15%</w:t>
            </w:r>
          </w:p>
          <w:p w14:paraId="5635E034" w14:textId="392C83AA" w:rsidR="49CFF048" w:rsidRDefault="49CFF048" w:rsidP="0116275A">
            <w:pPr>
              <w:rPr>
                <w:b/>
                <w:bCs/>
                <w:i/>
                <w:iCs/>
                <w:color w:val="000000" w:themeColor="text1"/>
              </w:rPr>
            </w:pPr>
          </w:p>
        </w:tc>
      </w:tr>
      <w:tr w:rsidR="5E73B91F" w14:paraId="49A9A21A" w14:textId="77777777" w:rsidTr="00CE5E99">
        <w:tc>
          <w:tcPr>
            <w:tcW w:w="2254" w:type="dxa"/>
          </w:tcPr>
          <w:p w14:paraId="10938094" w14:textId="67B94565" w:rsidR="1849F6FD" w:rsidRDefault="1849F6FD" w:rsidP="00CE5E99">
            <w:pPr>
              <w:pStyle w:val="Normal1"/>
              <w:tabs>
                <w:tab w:val="left" w:pos="6915"/>
                <w:tab w:val="left" w:pos="9495"/>
              </w:tabs>
              <w:spacing w:after="120"/>
              <w:rPr>
                <w:lang w:val="en-US"/>
              </w:rPr>
            </w:pPr>
            <w:r w:rsidRPr="5E73B91F">
              <w:rPr>
                <w:rFonts w:ascii="Calibri" w:eastAsia="Calibri" w:hAnsi="Calibri" w:cs="Calibri"/>
                <w:b/>
                <w:bCs/>
                <w:sz w:val="22"/>
                <w:szCs w:val="22"/>
                <w:lang w:val="en-US"/>
              </w:rPr>
              <w:t>OUTPUT 4:</w:t>
            </w:r>
            <w:r w:rsidRPr="5E73B91F">
              <w:rPr>
                <w:rFonts w:ascii="Calibri" w:eastAsia="Calibri" w:hAnsi="Calibri" w:cs="Calibri"/>
                <w:sz w:val="22"/>
                <w:szCs w:val="22"/>
                <w:lang w:val="en-US"/>
              </w:rPr>
              <w:t xml:space="preserve"> Improved partnerships and development of activities with other sector stakeholders.</w:t>
            </w:r>
          </w:p>
          <w:p w14:paraId="2FB26203" w14:textId="7E4902EB" w:rsidR="5E73B91F" w:rsidRDefault="5E73B91F" w:rsidP="00CE5E99">
            <w:pPr>
              <w:rPr>
                <w:b/>
                <w:bCs/>
                <w:i/>
                <w:iCs/>
                <w:color w:val="000000" w:themeColor="text1"/>
              </w:rPr>
            </w:pPr>
          </w:p>
        </w:tc>
        <w:tc>
          <w:tcPr>
            <w:tcW w:w="4829" w:type="dxa"/>
          </w:tcPr>
          <w:p w14:paraId="57F87460" w14:textId="42336F34" w:rsidR="5E73B91F" w:rsidRDefault="089F5DB0" w:rsidP="0116275A">
            <w:pPr>
              <w:pStyle w:val="ListParagraph"/>
              <w:numPr>
                <w:ilvl w:val="0"/>
                <w:numId w:val="2"/>
              </w:num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 xml:space="preserve">Over the course of 2020, USD </w:t>
            </w:r>
            <w:r w:rsidR="00492B37">
              <w:rPr>
                <w:rFonts w:asciiTheme="minorHAnsi" w:eastAsiaTheme="minorEastAsia" w:hAnsiTheme="minorHAnsi" w:cstheme="minorBidi"/>
                <w:sz w:val="22"/>
                <w:szCs w:val="22"/>
              </w:rPr>
              <w:t>126</w:t>
            </w:r>
            <w:r w:rsidR="00A53C19" w:rsidRPr="0116275A">
              <w:rPr>
                <w:rFonts w:asciiTheme="minorHAnsi" w:eastAsiaTheme="minorEastAsia" w:hAnsiTheme="minorHAnsi" w:cstheme="minorBidi"/>
                <w:sz w:val="22"/>
                <w:szCs w:val="22"/>
              </w:rPr>
              <w:t xml:space="preserve"> </w:t>
            </w:r>
            <w:r w:rsidRPr="0116275A">
              <w:rPr>
                <w:rFonts w:asciiTheme="minorHAnsi" w:eastAsiaTheme="minorEastAsia" w:hAnsiTheme="minorHAnsi" w:cstheme="minorBidi"/>
                <w:sz w:val="22"/>
                <w:szCs w:val="22"/>
              </w:rPr>
              <w:t>million in additional funding was secured, translating into a total of USD 494.4 million funding available at year end.</w:t>
            </w:r>
          </w:p>
          <w:p w14:paraId="79DD8F5F" w14:textId="3E5A47B9" w:rsidR="5E73B91F" w:rsidRDefault="089F5DB0" w:rsidP="0116275A">
            <w:pPr>
              <w:pStyle w:val="ListParagraph"/>
              <w:numPr>
                <w:ilvl w:val="0"/>
                <w:numId w:val="2"/>
              </w:numPr>
              <w:rPr>
                <w:color w:val="000000" w:themeColor="text1"/>
                <w:sz w:val="22"/>
                <w:szCs w:val="22"/>
              </w:rPr>
            </w:pPr>
            <w:r w:rsidRPr="0116275A">
              <w:rPr>
                <w:rFonts w:asciiTheme="minorHAnsi" w:eastAsiaTheme="minorEastAsia" w:hAnsiTheme="minorHAnsi" w:cstheme="minorBidi"/>
                <w:sz w:val="22"/>
                <w:szCs w:val="22"/>
              </w:rPr>
              <w:t xml:space="preserve">The Fund made its first ever corporate transaction, providing a loan of USD 15 million </w:t>
            </w:r>
            <w:r w:rsidR="4CF96025" w:rsidRPr="0116275A">
              <w:rPr>
                <w:rFonts w:asciiTheme="minorHAnsi" w:eastAsiaTheme="minorEastAsia" w:hAnsiTheme="minorHAnsi" w:cstheme="minorBidi"/>
                <w:sz w:val="22"/>
                <w:szCs w:val="22"/>
              </w:rPr>
              <w:t xml:space="preserve">directly </w:t>
            </w:r>
            <w:r w:rsidRPr="0116275A">
              <w:rPr>
                <w:rFonts w:asciiTheme="minorHAnsi" w:eastAsiaTheme="minorEastAsia" w:hAnsiTheme="minorHAnsi" w:cstheme="minorBidi"/>
                <w:sz w:val="22"/>
                <w:szCs w:val="22"/>
              </w:rPr>
              <w:t>to Industrial Pesquera Santa Priscila, the largest shrimp producer in Ecuador</w:t>
            </w:r>
            <w:r w:rsidR="117CAA8A" w:rsidRPr="0116275A">
              <w:rPr>
                <w:rFonts w:asciiTheme="minorHAnsi" w:eastAsiaTheme="minorEastAsia" w:hAnsiTheme="minorHAnsi" w:cstheme="minorBidi"/>
                <w:sz w:val="22"/>
                <w:szCs w:val="22"/>
              </w:rPr>
              <w:t>.</w:t>
            </w:r>
          </w:p>
        </w:tc>
        <w:tc>
          <w:tcPr>
            <w:tcW w:w="850" w:type="dxa"/>
          </w:tcPr>
          <w:p w14:paraId="5205CF15" w14:textId="3BD67700" w:rsidR="49CFF048" w:rsidRDefault="2D2E722D" w:rsidP="0116275A">
            <w:pPr>
              <w:rPr>
                <w:rFonts w:ascii="Calibri" w:eastAsia="Calibri" w:hAnsi="Calibri" w:cs="Calibri"/>
                <w:sz w:val="20"/>
                <w:szCs w:val="20"/>
              </w:rPr>
            </w:pPr>
            <w:r w:rsidRPr="0116275A">
              <w:rPr>
                <w:rFonts w:ascii="Calibri" w:eastAsia="Calibri" w:hAnsi="Calibri" w:cs="Calibri"/>
                <w:sz w:val="22"/>
                <w:szCs w:val="22"/>
              </w:rPr>
              <w:t>A</w:t>
            </w:r>
          </w:p>
          <w:p w14:paraId="14F93D9B" w14:textId="127AB1C0" w:rsidR="49CFF048" w:rsidRDefault="49CFF048" w:rsidP="0116275A">
            <w:pPr>
              <w:rPr>
                <w:b/>
                <w:bCs/>
                <w:i/>
                <w:iCs/>
                <w:color w:val="000000" w:themeColor="text1"/>
              </w:rPr>
            </w:pPr>
          </w:p>
        </w:tc>
        <w:tc>
          <w:tcPr>
            <w:tcW w:w="1082" w:type="dxa"/>
          </w:tcPr>
          <w:p w14:paraId="720F73D0" w14:textId="471EC412" w:rsidR="49CFF048" w:rsidRDefault="3BEF2031" w:rsidP="0116275A">
            <w:pPr>
              <w:rPr>
                <w:rFonts w:ascii="Calibri" w:eastAsia="Calibri" w:hAnsi="Calibri" w:cs="Calibri"/>
                <w:sz w:val="20"/>
                <w:szCs w:val="20"/>
              </w:rPr>
            </w:pPr>
            <w:r w:rsidRPr="0116275A">
              <w:rPr>
                <w:rFonts w:ascii="Calibri" w:eastAsia="Calibri" w:hAnsi="Calibri" w:cs="Calibri"/>
                <w:sz w:val="22"/>
                <w:szCs w:val="22"/>
              </w:rPr>
              <w:t>15%</w:t>
            </w:r>
          </w:p>
          <w:p w14:paraId="0E53EABB" w14:textId="6F69685B" w:rsidR="49CFF048" w:rsidRDefault="49CFF048" w:rsidP="0116275A">
            <w:pPr>
              <w:rPr>
                <w:b/>
                <w:bCs/>
                <w:i/>
                <w:iCs/>
                <w:color w:val="000000" w:themeColor="text1"/>
              </w:rPr>
            </w:pPr>
          </w:p>
        </w:tc>
      </w:tr>
    </w:tbl>
    <w:p w14:paraId="4E39B44F" w14:textId="708480E8" w:rsidR="5E73B91F" w:rsidRDefault="5E73B91F" w:rsidP="5E73B91F">
      <w:pPr>
        <w:rPr>
          <w:color w:val="FF0000"/>
        </w:rPr>
      </w:pPr>
    </w:p>
    <w:p w14:paraId="5A3C7F9B" w14:textId="38525E21" w:rsidR="006F3AE7" w:rsidRPr="00F70DBE" w:rsidRDefault="006F3AE7" w:rsidP="0116275A">
      <w:pPr>
        <w:rPr>
          <w:rFonts w:cs="Arial"/>
          <w:sz w:val="22"/>
          <w:szCs w:val="22"/>
        </w:rPr>
      </w:pPr>
      <w:r w:rsidRPr="0116275A">
        <w:rPr>
          <w:rFonts w:cs="Arial"/>
          <w:b/>
          <w:bCs/>
          <w:sz w:val="22"/>
          <w:szCs w:val="22"/>
        </w:rPr>
        <w:t>Describe where the programme is on/off track to contribute to the expected outcomes and impact. What action is planned in the year ahead?</w:t>
      </w:r>
      <w:r w:rsidRPr="0116275A">
        <w:rPr>
          <w:rFonts w:cs="Arial"/>
          <w:sz w:val="22"/>
          <w:szCs w:val="22"/>
        </w:rPr>
        <w:t xml:space="preserve"> </w:t>
      </w:r>
    </w:p>
    <w:p w14:paraId="5DF843A9" w14:textId="77777777" w:rsidR="006F3AE7" w:rsidRDefault="006F3AE7" w:rsidP="1EE0C08E">
      <w:pPr>
        <w:rPr>
          <w:color w:val="000000" w:themeColor="text1"/>
          <w:sz w:val="20"/>
          <w:szCs w:val="20"/>
          <w:highlight w:val="yellow"/>
        </w:rPr>
      </w:pPr>
    </w:p>
    <w:p w14:paraId="671405BC" w14:textId="48582AC3" w:rsidR="1BDA6690" w:rsidRDefault="57633EB4" w:rsidP="078C476B">
      <w:pPr>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color w:val="000000" w:themeColor="text1"/>
          <w:sz w:val="22"/>
          <w:szCs w:val="22"/>
        </w:rPr>
        <w:t xml:space="preserve">The programme is on track to contribute to </w:t>
      </w:r>
      <w:r w:rsidR="0ED88AEF" w:rsidRPr="078C476B">
        <w:rPr>
          <w:rFonts w:asciiTheme="minorHAnsi" w:eastAsiaTheme="minorEastAsia" w:hAnsiTheme="minorHAnsi" w:cstheme="minorBidi"/>
          <w:color w:val="000000" w:themeColor="text1"/>
          <w:sz w:val="22"/>
          <w:szCs w:val="22"/>
        </w:rPr>
        <w:t>Defra</w:t>
      </w:r>
      <w:r w:rsidR="002503A6" w:rsidRPr="078C476B">
        <w:rPr>
          <w:rFonts w:asciiTheme="minorHAnsi" w:eastAsiaTheme="minorEastAsia" w:hAnsiTheme="minorHAnsi" w:cstheme="minorBidi"/>
          <w:color w:val="000000" w:themeColor="text1"/>
          <w:sz w:val="22"/>
          <w:szCs w:val="22"/>
        </w:rPr>
        <w:t>’s</w:t>
      </w:r>
      <w:r w:rsidR="0ED88AEF" w:rsidRPr="078C476B">
        <w:rPr>
          <w:rFonts w:asciiTheme="minorHAnsi" w:eastAsiaTheme="minorEastAsia" w:hAnsiTheme="minorHAnsi" w:cstheme="minorBidi"/>
          <w:color w:val="000000" w:themeColor="text1"/>
          <w:sz w:val="22"/>
          <w:szCs w:val="22"/>
        </w:rPr>
        <w:t xml:space="preserve"> </w:t>
      </w:r>
      <w:r w:rsidRPr="078C476B">
        <w:rPr>
          <w:rFonts w:asciiTheme="minorHAnsi" w:eastAsiaTheme="minorEastAsia" w:hAnsiTheme="minorHAnsi" w:cstheme="minorBidi"/>
          <w:color w:val="000000" w:themeColor="text1"/>
          <w:sz w:val="22"/>
          <w:szCs w:val="22"/>
        </w:rPr>
        <w:t xml:space="preserve">expected outcomes and impact. In fact, in many areas targets are being surpassed. </w:t>
      </w:r>
      <w:r w:rsidR="440C3CB0" w:rsidRPr="078C476B">
        <w:rPr>
          <w:rFonts w:asciiTheme="minorHAnsi" w:eastAsiaTheme="minorEastAsia" w:hAnsiTheme="minorHAnsi" w:cstheme="minorBidi"/>
          <w:color w:val="000000" w:themeColor="text1"/>
          <w:sz w:val="22"/>
          <w:szCs w:val="22"/>
        </w:rPr>
        <w:t>I</w:t>
      </w:r>
      <w:r w:rsidR="03A47BAC" w:rsidRPr="078C476B">
        <w:rPr>
          <w:rFonts w:asciiTheme="minorHAnsi" w:eastAsiaTheme="minorEastAsia" w:hAnsiTheme="minorHAnsi" w:cstheme="minorBidi"/>
          <w:color w:val="000000" w:themeColor="text1"/>
          <w:sz w:val="22"/>
          <w:szCs w:val="22"/>
        </w:rPr>
        <w:t xml:space="preserve">t is recommended that Defra work with EBF to revise the targets </w:t>
      </w:r>
      <w:r w:rsidR="1265E54E" w:rsidRPr="078C476B">
        <w:rPr>
          <w:rFonts w:asciiTheme="minorHAnsi" w:eastAsiaTheme="minorEastAsia" w:hAnsiTheme="minorHAnsi" w:cstheme="minorBidi"/>
          <w:color w:val="000000" w:themeColor="text1"/>
          <w:sz w:val="22"/>
          <w:szCs w:val="22"/>
        </w:rPr>
        <w:t xml:space="preserve">in the Defra </w:t>
      </w:r>
      <w:proofErr w:type="spellStart"/>
      <w:r w:rsidR="1265E54E" w:rsidRPr="078C476B">
        <w:rPr>
          <w:rFonts w:asciiTheme="minorHAnsi" w:eastAsiaTheme="minorEastAsia" w:hAnsiTheme="minorHAnsi" w:cstheme="minorBidi"/>
          <w:color w:val="000000" w:themeColor="text1"/>
          <w:sz w:val="22"/>
          <w:szCs w:val="22"/>
        </w:rPr>
        <w:t>logframe</w:t>
      </w:r>
      <w:proofErr w:type="spellEnd"/>
      <w:r w:rsidR="485FB6CE" w:rsidRPr="078C476B">
        <w:rPr>
          <w:rFonts w:asciiTheme="minorHAnsi" w:eastAsiaTheme="minorEastAsia" w:hAnsiTheme="minorHAnsi" w:cstheme="minorBidi"/>
          <w:color w:val="000000" w:themeColor="text1"/>
          <w:sz w:val="22"/>
          <w:szCs w:val="22"/>
        </w:rPr>
        <w:t xml:space="preserve"> </w:t>
      </w:r>
      <w:r w:rsidR="03A47BAC" w:rsidRPr="078C476B">
        <w:rPr>
          <w:rFonts w:asciiTheme="minorHAnsi" w:eastAsiaTheme="minorEastAsia" w:hAnsiTheme="minorHAnsi" w:cstheme="minorBidi"/>
          <w:color w:val="000000" w:themeColor="text1"/>
          <w:sz w:val="22"/>
          <w:szCs w:val="22"/>
        </w:rPr>
        <w:t xml:space="preserve">for the next few years </w:t>
      </w:r>
      <w:r w:rsidR="6DC151B8" w:rsidRPr="078C476B">
        <w:rPr>
          <w:rFonts w:asciiTheme="minorHAnsi" w:eastAsiaTheme="minorEastAsia" w:hAnsiTheme="minorHAnsi" w:cstheme="minorBidi"/>
          <w:color w:val="000000" w:themeColor="text1"/>
          <w:sz w:val="22"/>
          <w:szCs w:val="22"/>
        </w:rPr>
        <w:t xml:space="preserve">upwards in line with the current trend in results. Additionally, this will raise ambition of the fund and hopefully </w:t>
      </w:r>
      <w:r w:rsidR="53362E6E" w:rsidRPr="078C476B">
        <w:rPr>
          <w:rFonts w:asciiTheme="minorHAnsi" w:eastAsiaTheme="minorEastAsia" w:hAnsiTheme="minorHAnsi" w:cstheme="minorBidi"/>
          <w:color w:val="000000" w:themeColor="text1"/>
          <w:sz w:val="22"/>
          <w:szCs w:val="22"/>
        </w:rPr>
        <w:t>lead to greater results at final impact level, evidencing the validity of the theory of change.</w:t>
      </w:r>
      <w:r w:rsidR="6C9C0794" w:rsidRPr="078C476B">
        <w:rPr>
          <w:rFonts w:asciiTheme="minorHAnsi" w:eastAsiaTheme="minorEastAsia" w:hAnsiTheme="minorHAnsi" w:cstheme="minorBidi"/>
          <w:color w:val="000000" w:themeColor="text1"/>
          <w:sz w:val="22"/>
          <w:szCs w:val="22"/>
        </w:rPr>
        <w:t xml:space="preserve"> It must be noted, though, that some indicators are </w:t>
      </w:r>
      <w:r w:rsidR="0AD5D0C4" w:rsidRPr="078C476B">
        <w:rPr>
          <w:rFonts w:asciiTheme="minorHAnsi" w:eastAsiaTheme="minorEastAsia" w:hAnsiTheme="minorHAnsi" w:cstheme="minorBidi"/>
          <w:color w:val="000000" w:themeColor="text1"/>
          <w:sz w:val="22"/>
          <w:szCs w:val="22"/>
        </w:rPr>
        <w:t>difficult</w:t>
      </w:r>
      <w:r w:rsidR="6C9C0794" w:rsidRPr="078C476B">
        <w:rPr>
          <w:rFonts w:asciiTheme="minorHAnsi" w:eastAsiaTheme="minorEastAsia" w:hAnsiTheme="minorHAnsi" w:cstheme="minorBidi"/>
          <w:color w:val="000000" w:themeColor="text1"/>
          <w:sz w:val="22"/>
          <w:szCs w:val="22"/>
        </w:rPr>
        <w:t xml:space="preserve"> to accurately set targets for and are dictated by market conditions and further investment.</w:t>
      </w:r>
      <w:r w:rsidR="586B6491" w:rsidRPr="078C476B">
        <w:rPr>
          <w:rFonts w:asciiTheme="minorHAnsi" w:eastAsiaTheme="minorEastAsia" w:hAnsiTheme="minorHAnsi" w:cstheme="minorBidi"/>
          <w:color w:val="000000" w:themeColor="text1"/>
          <w:sz w:val="22"/>
          <w:szCs w:val="22"/>
        </w:rPr>
        <w:t xml:space="preserve"> </w:t>
      </w:r>
      <w:r w:rsidR="4F9A0760" w:rsidRPr="078C476B">
        <w:rPr>
          <w:rFonts w:asciiTheme="minorHAnsi" w:eastAsiaTheme="minorEastAsia" w:hAnsiTheme="minorHAnsi" w:cstheme="minorBidi"/>
          <w:color w:val="000000" w:themeColor="text1"/>
          <w:sz w:val="22"/>
          <w:szCs w:val="22"/>
        </w:rPr>
        <w:t>Defra will work with the Fund to ensure realistic targets are set based upon the best available evidence.</w:t>
      </w:r>
    </w:p>
    <w:p w14:paraId="1C52ABD4" w14:textId="753B64C2" w:rsidR="1EE0C08E" w:rsidRDefault="1EE0C08E" w:rsidP="006F071F">
      <w:pPr>
        <w:jc w:val="both"/>
        <w:rPr>
          <w:color w:val="000000" w:themeColor="text1"/>
        </w:rPr>
      </w:pPr>
    </w:p>
    <w:p w14:paraId="2E4145D7" w14:textId="47AD0966" w:rsidR="1EE0C08E" w:rsidRDefault="00B823C6" w:rsidP="25160688">
      <w:pPr>
        <w:jc w:val="both"/>
        <w:rPr>
          <w:rFonts w:asciiTheme="minorHAnsi" w:eastAsiaTheme="minorEastAsia" w:hAnsiTheme="minorHAnsi" w:cstheme="minorBidi"/>
          <w:color w:val="FF0000"/>
          <w:sz w:val="22"/>
          <w:szCs w:val="22"/>
        </w:rPr>
      </w:pPr>
      <w:r w:rsidRPr="25160688">
        <w:rPr>
          <w:rFonts w:asciiTheme="minorHAnsi" w:eastAsiaTheme="minorEastAsia" w:hAnsiTheme="minorHAnsi" w:cstheme="minorBidi"/>
          <w:sz w:val="22"/>
          <w:szCs w:val="22"/>
        </w:rPr>
        <w:t>T</w:t>
      </w:r>
      <w:r w:rsidR="39AF9E86" w:rsidRPr="25160688">
        <w:rPr>
          <w:rFonts w:asciiTheme="minorHAnsi" w:eastAsiaTheme="minorEastAsia" w:hAnsiTheme="minorHAnsi" w:cstheme="minorBidi"/>
          <w:sz w:val="22"/>
          <w:szCs w:val="22"/>
        </w:rPr>
        <w:t>he Fund’s strategic pillars are</w:t>
      </w:r>
      <w:r w:rsidRPr="25160688">
        <w:rPr>
          <w:rFonts w:asciiTheme="minorHAnsi" w:eastAsiaTheme="minorEastAsia" w:hAnsiTheme="minorHAnsi" w:cstheme="minorBidi"/>
          <w:sz w:val="22"/>
          <w:szCs w:val="22"/>
        </w:rPr>
        <w:t xml:space="preserve"> </w:t>
      </w:r>
      <w:r w:rsidR="002503A6" w:rsidRPr="25160688">
        <w:rPr>
          <w:rFonts w:asciiTheme="minorHAnsi" w:eastAsiaTheme="minorEastAsia" w:hAnsiTheme="minorHAnsi" w:cstheme="minorBidi"/>
          <w:sz w:val="22"/>
          <w:szCs w:val="22"/>
        </w:rPr>
        <w:t xml:space="preserve">to: </w:t>
      </w:r>
      <w:r w:rsidRPr="25160688">
        <w:rPr>
          <w:rFonts w:asciiTheme="minorHAnsi" w:hAnsiTheme="minorHAnsi" w:cstheme="minorBidi"/>
          <w:sz w:val="22"/>
          <w:szCs w:val="22"/>
        </w:rPr>
        <w:t xml:space="preserve">consolidate success, diversify growth, deliver on impact and </w:t>
      </w:r>
      <w:r w:rsidR="002503A6" w:rsidRPr="25160688">
        <w:rPr>
          <w:rFonts w:asciiTheme="minorHAnsi" w:hAnsiTheme="minorHAnsi" w:cstheme="minorBidi"/>
          <w:sz w:val="22"/>
          <w:szCs w:val="22"/>
        </w:rPr>
        <w:t xml:space="preserve">become </w:t>
      </w:r>
      <w:r w:rsidRPr="25160688">
        <w:rPr>
          <w:rFonts w:asciiTheme="minorHAnsi" w:hAnsiTheme="minorHAnsi" w:cstheme="minorBidi"/>
          <w:sz w:val="22"/>
          <w:szCs w:val="22"/>
        </w:rPr>
        <w:t>an agent of change.</w:t>
      </w:r>
      <w:r w:rsidRPr="25160688">
        <w:rPr>
          <w:sz w:val="22"/>
          <w:szCs w:val="22"/>
        </w:rPr>
        <w:t xml:space="preserve"> </w:t>
      </w:r>
      <w:r w:rsidRPr="25160688">
        <w:rPr>
          <w:rFonts w:asciiTheme="minorHAnsi" w:hAnsiTheme="minorHAnsi" w:cstheme="minorBidi"/>
          <w:sz w:val="22"/>
          <w:szCs w:val="22"/>
        </w:rPr>
        <w:t>F</w:t>
      </w:r>
      <w:r w:rsidRPr="25160688">
        <w:rPr>
          <w:rFonts w:asciiTheme="minorHAnsi" w:eastAsiaTheme="minorEastAsia" w:hAnsiTheme="minorHAnsi" w:cstheme="minorBidi"/>
          <w:sz w:val="22"/>
          <w:szCs w:val="22"/>
        </w:rPr>
        <w:t xml:space="preserve">or 2021 the focus will be on </w:t>
      </w:r>
      <w:r w:rsidR="39AF9E86" w:rsidRPr="25160688">
        <w:rPr>
          <w:rFonts w:asciiTheme="minorHAnsi" w:eastAsiaTheme="minorEastAsia" w:hAnsiTheme="minorHAnsi" w:cstheme="minorBidi"/>
          <w:sz w:val="22"/>
          <w:szCs w:val="22"/>
        </w:rPr>
        <w:t>further portfolio growth</w:t>
      </w:r>
      <w:r w:rsidR="6D545BE6" w:rsidRPr="25160688">
        <w:rPr>
          <w:rFonts w:asciiTheme="minorHAnsi" w:eastAsiaTheme="minorEastAsia" w:hAnsiTheme="minorHAnsi" w:cstheme="minorBidi"/>
          <w:sz w:val="22"/>
          <w:szCs w:val="22"/>
        </w:rPr>
        <w:t xml:space="preserve"> (including more direct investments)</w:t>
      </w:r>
      <w:r w:rsidR="39AF9E86" w:rsidRPr="25160688">
        <w:rPr>
          <w:rFonts w:asciiTheme="minorHAnsi" w:eastAsiaTheme="minorEastAsia" w:hAnsiTheme="minorHAnsi" w:cstheme="minorBidi"/>
          <w:sz w:val="22"/>
          <w:szCs w:val="22"/>
        </w:rPr>
        <w:t xml:space="preserve">, consolidation in existing markets and expansion to new markets, and increasing exposure and knowledge of key Fund sectors. </w:t>
      </w:r>
      <w:r w:rsidRPr="25160688">
        <w:rPr>
          <w:rFonts w:asciiTheme="minorHAnsi" w:eastAsiaTheme="minorEastAsia" w:hAnsiTheme="minorHAnsi" w:cstheme="minorBidi"/>
          <w:sz w:val="22"/>
          <w:szCs w:val="22"/>
        </w:rPr>
        <w:t>T</w:t>
      </w:r>
      <w:r w:rsidR="4135AB9E" w:rsidRPr="25160688">
        <w:rPr>
          <w:rFonts w:asciiTheme="minorHAnsi" w:eastAsiaTheme="minorEastAsia" w:hAnsiTheme="minorHAnsi" w:cstheme="minorBidi"/>
          <w:sz w:val="22"/>
          <w:szCs w:val="22"/>
        </w:rPr>
        <w:t xml:space="preserve">here is </w:t>
      </w:r>
      <w:r w:rsidR="4135AB9E" w:rsidRPr="25160688">
        <w:rPr>
          <w:rFonts w:ascii="Calibri" w:eastAsia="Calibri" w:hAnsi="Calibri" w:cs="Calibri"/>
          <w:color w:val="000000" w:themeColor="text1"/>
          <w:sz w:val="22"/>
          <w:szCs w:val="22"/>
        </w:rPr>
        <w:t>a strong investment pipeline for 2021</w:t>
      </w:r>
      <w:r w:rsidRPr="25160688">
        <w:rPr>
          <w:rFonts w:asciiTheme="minorHAnsi" w:eastAsiaTheme="minorEastAsia" w:hAnsiTheme="minorHAnsi" w:cstheme="minorBidi"/>
          <w:sz w:val="22"/>
          <w:szCs w:val="22"/>
        </w:rPr>
        <w:t>, and t</w:t>
      </w:r>
      <w:r w:rsidR="39AF9E86" w:rsidRPr="25160688">
        <w:rPr>
          <w:rFonts w:asciiTheme="minorHAnsi" w:eastAsiaTheme="minorEastAsia" w:hAnsiTheme="minorHAnsi" w:cstheme="minorBidi"/>
          <w:sz w:val="22"/>
          <w:szCs w:val="22"/>
        </w:rPr>
        <w:t xml:space="preserve">here </w:t>
      </w:r>
      <w:r w:rsidR="39AF9E86" w:rsidRPr="25160688">
        <w:rPr>
          <w:rFonts w:asciiTheme="minorHAnsi" w:eastAsiaTheme="minorEastAsia" w:hAnsiTheme="minorHAnsi" w:cstheme="minorBidi"/>
          <w:sz w:val="22"/>
          <w:szCs w:val="22"/>
        </w:rPr>
        <w:lastRenderedPageBreak/>
        <w:t>are two tranches (USD 18m total) in Senior Notes by ASN Bank maturing in June</w:t>
      </w:r>
      <w:r w:rsidR="577FCC95" w:rsidRPr="25160688">
        <w:rPr>
          <w:rFonts w:asciiTheme="minorHAnsi" w:eastAsiaTheme="minorEastAsia" w:hAnsiTheme="minorHAnsi" w:cstheme="minorBidi"/>
          <w:sz w:val="22"/>
          <w:szCs w:val="22"/>
        </w:rPr>
        <w:t xml:space="preserve"> and </w:t>
      </w:r>
      <w:r w:rsidR="39AF9E86" w:rsidRPr="25160688">
        <w:rPr>
          <w:rFonts w:asciiTheme="minorHAnsi" w:eastAsiaTheme="minorEastAsia" w:hAnsiTheme="minorHAnsi" w:cstheme="minorBidi"/>
          <w:sz w:val="22"/>
          <w:szCs w:val="22"/>
        </w:rPr>
        <w:t>Dec</w:t>
      </w:r>
      <w:r w:rsidR="6DB89762" w:rsidRPr="25160688">
        <w:rPr>
          <w:rFonts w:asciiTheme="minorHAnsi" w:eastAsiaTheme="minorEastAsia" w:hAnsiTheme="minorHAnsi" w:cstheme="minorBidi"/>
          <w:sz w:val="22"/>
          <w:szCs w:val="22"/>
        </w:rPr>
        <w:t>ember</w:t>
      </w:r>
      <w:r w:rsidR="39AF9E86" w:rsidRPr="25160688">
        <w:rPr>
          <w:rFonts w:asciiTheme="minorHAnsi" w:eastAsiaTheme="minorEastAsia" w:hAnsiTheme="minorHAnsi" w:cstheme="minorBidi"/>
          <w:sz w:val="22"/>
          <w:szCs w:val="22"/>
        </w:rPr>
        <w:t xml:space="preserve"> 2021, expected to be </w:t>
      </w:r>
      <w:r w:rsidR="7CBC8883" w:rsidRPr="25160688">
        <w:rPr>
          <w:rFonts w:asciiTheme="minorHAnsi" w:eastAsiaTheme="minorEastAsia" w:hAnsiTheme="minorHAnsi" w:cstheme="minorBidi"/>
          <w:sz w:val="22"/>
          <w:szCs w:val="22"/>
        </w:rPr>
        <w:t>rolled over</w:t>
      </w:r>
      <w:r w:rsidR="39AF9E86" w:rsidRPr="25160688">
        <w:rPr>
          <w:rFonts w:asciiTheme="minorHAnsi" w:eastAsiaTheme="minorEastAsia" w:hAnsiTheme="minorHAnsi" w:cstheme="minorBidi"/>
          <w:sz w:val="22"/>
          <w:szCs w:val="22"/>
        </w:rPr>
        <w:t xml:space="preserve"> jointly </w:t>
      </w:r>
      <w:r w:rsidR="00AB26C5" w:rsidRPr="25160688">
        <w:rPr>
          <w:rFonts w:asciiTheme="minorHAnsi" w:eastAsiaTheme="minorEastAsia" w:hAnsiTheme="minorHAnsi" w:cstheme="minorBidi"/>
          <w:sz w:val="22"/>
          <w:szCs w:val="22"/>
        </w:rPr>
        <w:t>and topped up</w:t>
      </w:r>
      <w:r w:rsidR="39AF9E86" w:rsidRPr="25160688">
        <w:rPr>
          <w:rFonts w:asciiTheme="minorHAnsi" w:eastAsiaTheme="minorEastAsia" w:hAnsiTheme="minorHAnsi" w:cstheme="minorBidi"/>
          <w:sz w:val="22"/>
          <w:szCs w:val="22"/>
        </w:rPr>
        <w:t xml:space="preserve"> in Q3 2021. </w:t>
      </w:r>
      <w:r w:rsidR="008C652B" w:rsidRPr="25160688">
        <w:rPr>
          <w:rFonts w:asciiTheme="minorHAnsi" w:eastAsiaTheme="minorEastAsia" w:hAnsiTheme="minorHAnsi" w:cstheme="minorBidi"/>
          <w:sz w:val="22"/>
          <w:szCs w:val="22"/>
        </w:rPr>
        <w:t xml:space="preserve">Further subscriptions by private investors in Senior and Subordinated notes are expected in </w:t>
      </w:r>
      <w:r w:rsidR="00020EF0" w:rsidRPr="25160688">
        <w:rPr>
          <w:rFonts w:asciiTheme="minorHAnsi" w:eastAsiaTheme="minorEastAsia" w:hAnsiTheme="minorHAnsi" w:cstheme="minorBidi"/>
          <w:sz w:val="22"/>
          <w:szCs w:val="22"/>
        </w:rPr>
        <w:t>H</w:t>
      </w:r>
      <w:r w:rsidR="6A5545DC" w:rsidRPr="25160688">
        <w:rPr>
          <w:rFonts w:asciiTheme="minorHAnsi" w:eastAsiaTheme="minorEastAsia" w:hAnsiTheme="minorHAnsi" w:cstheme="minorBidi"/>
          <w:sz w:val="22"/>
          <w:szCs w:val="22"/>
        </w:rPr>
        <w:t xml:space="preserve">alf </w:t>
      </w:r>
      <w:r w:rsidR="00020EF0" w:rsidRPr="25160688">
        <w:rPr>
          <w:rFonts w:asciiTheme="minorHAnsi" w:eastAsiaTheme="minorEastAsia" w:hAnsiTheme="minorHAnsi" w:cstheme="minorBidi"/>
          <w:sz w:val="22"/>
          <w:szCs w:val="22"/>
        </w:rPr>
        <w:t>2</w:t>
      </w:r>
      <w:r w:rsidR="421F868D" w:rsidRPr="25160688">
        <w:rPr>
          <w:rFonts w:asciiTheme="minorHAnsi" w:eastAsiaTheme="minorEastAsia" w:hAnsiTheme="minorHAnsi" w:cstheme="minorBidi"/>
          <w:sz w:val="22"/>
          <w:szCs w:val="22"/>
        </w:rPr>
        <w:t xml:space="preserve"> (H2)</w:t>
      </w:r>
      <w:r w:rsidR="00020EF0" w:rsidRPr="25160688">
        <w:rPr>
          <w:rFonts w:asciiTheme="minorHAnsi" w:eastAsiaTheme="minorEastAsia" w:hAnsiTheme="minorHAnsi" w:cstheme="minorBidi"/>
          <w:sz w:val="22"/>
          <w:szCs w:val="22"/>
        </w:rPr>
        <w:t xml:space="preserve"> 2021</w:t>
      </w:r>
      <w:r w:rsidR="39AF9E86" w:rsidRPr="00C86B06">
        <w:rPr>
          <w:rFonts w:asciiTheme="minorHAnsi" w:eastAsiaTheme="minorEastAsia" w:hAnsiTheme="minorHAnsi" w:cstheme="minorBidi"/>
          <w:sz w:val="22"/>
          <w:szCs w:val="22"/>
        </w:rPr>
        <w:t>.</w:t>
      </w:r>
      <w:r w:rsidR="49F911BD" w:rsidRPr="00C86B06">
        <w:rPr>
          <w:rFonts w:asciiTheme="minorHAnsi" w:eastAsiaTheme="minorEastAsia" w:hAnsiTheme="minorHAnsi" w:cstheme="minorBidi"/>
          <w:sz w:val="22"/>
          <w:szCs w:val="22"/>
        </w:rPr>
        <w:t xml:space="preserve"> </w:t>
      </w:r>
      <w:r w:rsidR="00C86B06" w:rsidRPr="00C86B06">
        <w:rPr>
          <w:rFonts w:asciiTheme="minorHAnsi" w:eastAsiaTheme="minorEastAsia" w:hAnsiTheme="minorHAnsi" w:cstheme="minorBidi"/>
          <w:sz w:val="22"/>
          <w:szCs w:val="22"/>
        </w:rPr>
        <w:t>Currently the EBF D</w:t>
      </w:r>
      <w:r w:rsidR="00C86B06">
        <w:rPr>
          <w:rFonts w:asciiTheme="minorHAnsi" w:eastAsiaTheme="minorEastAsia" w:hAnsiTheme="minorHAnsi" w:cstheme="minorBidi"/>
          <w:sz w:val="22"/>
          <w:szCs w:val="22"/>
        </w:rPr>
        <w:t xml:space="preserve">evelopment </w:t>
      </w:r>
      <w:r w:rsidR="00C86B06" w:rsidRPr="00C86B06">
        <w:rPr>
          <w:rFonts w:asciiTheme="minorHAnsi" w:eastAsiaTheme="minorEastAsia" w:hAnsiTheme="minorHAnsi" w:cstheme="minorBidi"/>
          <w:sz w:val="22"/>
          <w:szCs w:val="22"/>
        </w:rPr>
        <w:t>F</w:t>
      </w:r>
      <w:r w:rsidR="00C86B06">
        <w:rPr>
          <w:rFonts w:asciiTheme="minorHAnsi" w:eastAsiaTheme="minorEastAsia" w:hAnsiTheme="minorHAnsi" w:cstheme="minorBidi"/>
          <w:sz w:val="22"/>
          <w:szCs w:val="22"/>
        </w:rPr>
        <w:t>acility</w:t>
      </w:r>
      <w:r w:rsidR="00C86B06" w:rsidRPr="00C86B06">
        <w:rPr>
          <w:rFonts w:asciiTheme="minorHAnsi" w:eastAsiaTheme="minorEastAsia" w:hAnsiTheme="minorHAnsi" w:cstheme="minorBidi"/>
          <w:sz w:val="22"/>
          <w:szCs w:val="22"/>
        </w:rPr>
        <w:t xml:space="preserve"> funds technical assistance work in Mexico</w:t>
      </w:r>
      <w:r w:rsidR="00C86B06">
        <w:rPr>
          <w:rFonts w:asciiTheme="minorHAnsi" w:eastAsiaTheme="minorEastAsia" w:hAnsiTheme="minorHAnsi" w:cstheme="minorBidi"/>
          <w:sz w:val="22"/>
          <w:szCs w:val="22"/>
        </w:rPr>
        <w:t xml:space="preserve"> but the main Fund</w:t>
      </w:r>
      <w:r w:rsidR="00C86B06" w:rsidRPr="00C86B06">
        <w:rPr>
          <w:rFonts w:asciiTheme="minorHAnsi" w:eastAsiaTheme="minorEastAsia" w:hAnsiTheme="minorHAnsi" w:cstheme="minorBidi"/>
          <w:sz w:val="22"/>
          <w:szCs w:val="22"/>
        </w:rPr>
        <w:t xml:space="preserve"> has not made investments in Mexico</w:t>
      </w:r>
      <w:r w:rsidR="00C86B06">
        <w:rPr>
          <w:rFonts w:asciiTheme="minorHAnsi" w:eastAsiaTheme="minorEastAsia" w:hAnsiTheme="minorHAnsi" w:cstheme="minorBidi"/>
          <w:sz w:val="22"/>
          <w:szCs w:val="22"/>
        </w:rPr>
        <w:t>; it</w:t>
      </w:r>
      <w:r w:rsidR="00C86B06" w:rsidRPr="00C86B06">
        <w:rPr>
          <w:rFonts w:asciiTheme="minorHAnsi" w:eastAsiaTheme="minorEastAsia" w:hAnsiTheme="minorHAnsi" w:cstheme="minorBidi"/>
          <w:sz w:val="22"/>
          <w:szCs w:val="22"/>
        </w:rPr>
        <w:t xml:space="preserve"> is due to in 2021</w:t>
      </w:r>
      <w:r w:rsidR="4BBB0411" w:rsidRPr="25160688">
        <w:rPr>
          <w:rFonts w:asciiTheme="minorHAnsi" w:eastAsiaTheme="minorEastAsia" w:hAnsiTheme="minorHAnsi" w:cstheme="minorBidi"/>
          <w:sz w:val="22"/>
          <w:szCs w:val="22"/>
        </w:rPr>
        <w:t>. There will be some changes to the EBF</w:t>
      </w:r>
      <w:r w:rsidR="35DCEB3C" w:rsidRPr="25160688">
        <w:rPr>
          <w:rFonts w:asciiTheme="minorHAnsi" w:eastAsiaTheme="minorEastAsia" w:hAnsiTheme="minorHAnsi" w:cstheme="minorBidi"/>
          <w:sz w:val="22"/>
          <w:szCs w:val="22"/>
        </w:rPr>
        <w:t xml:space="preserve"> </w:t>
      </w:r>
      <w:r w:rsidR="3E7CB579" w:rsidRPr="25160688">
        <w:rPr>
          <w:rFonts w:asciiTheme="minorHAnsi" w:eastAsiaTheme="minorEastAsia" w:hAnsiTheme="minorHAnsi" w:cstheme="minorBidi"/>
          <w:sz w:val="22"/>
          <w:szCs w:val="22"/>
        </w:rPr>
        <w:t xml:space="preserve">issue document </w:t>
      </w:r>
      <w:r w:rsidR="000E751B" w:rsidRPr="25160688">
        <w:rPr>
          <w:rFonts w:asciiTheme="minorHAnsi" w:eastAsiaTheme="minorEastAsia" w:hAnsiTheme="minorHAnsi" w:cstheme="minorBidi"/>
          <w:sz w:val="22"/>
          <w:szCs w:val="22"/>
        </w:rPr>
        <w:t xml:space="preserve">proposed </w:t>
      </w:r>
      <w:r w:rsidR="188521EE" w:rsidRPr="25160688">
        <w:rPr>
          <w:rFonts w:asciiTheme="minorHAnsi" w:eastAsiaTheme="minorEastAsia" w:hAnsiTheme="minorHAnsi" w:cstheme="minorBidi"/>
          <w:sz w:val="22"/>
          <w:szCs w:val="22"/>
        </w:rPr>
        <w:t xml:space="preserve">in </w:t>
      </w:r>
      <w:r w:rsidR="000E751B" w:rsidRPr="25160688">
        <w:rPr>
          <w:rFonts w:asciiTheme="minorHAnsi" w:eastAsiaTheme="minorEastAsia" w:hAnsiTheme="minorHAnsi" w:cstheme="minorBidi"/>
          <w:sz w:val="22"/>
          <w:szCs w:val="22"/>
        </w:rPr>
        <w:t xml:space="preserve">H2 </w:t>
      </w:r>
      <w:r w:rsidR="188521EE" w:rsidRPr="25160688">
        <w:rPr>
          <w:rFonts w:asciiTheme="minorHAnsi" w:eastAsiaTheme="minorEastAsia" w:hAnsiTheme="minorHAnsi" w:cstheme="minorBidi"/>
          <w:sz w:val="22"/>
          <w:szCs w:val="22"/>
        </w:rPr>
        <w:t>2021</w:t>
      </w:r>
      <w:r w:rsidR="5CE52F13" w:rsidRPr="25160688">
        <w:rPr>
          <w:rFonts w:asciiTheme="minorHAnsi" w:eastAsiaTheme="minorEastAsia" w:hAnsiTheme="minorHAnsi" w:cstheme="minorBidi"/>
          <w:sz w:val="22"/>
          <w:szCs w:val="22"/>
        </w:rPr>
        <w:t xml:space="preserve"> </w:t>
      </w:r>
      <w:r w:rsidR="4E4DCA0F" w:rsidRPr="25160688">
        <w:rPr>
          <w:rFonts w:asciiTheme="minorHAnsi" w:eastAsiaTheme="minorEastAsia" w:hAnsiTheme="minorHAnsi" w:cstheme="minorBidi"/>
          <w:sz w:val="22"/>
          <w:szCs w:val="22"/>
        </w:rPr>
        <w:t>and t</w:t>
      </w:r>
      <w:r w:rsidR="5CE52F13" w:rsidRPr="25160688">
        <w:rPr>
          <w:rFonts w:asciiTheme="minorHAnsi" w:eastAsiaTheme="minorEastAsia" w:hAnsiTheme="minorHAnsi" w:cstheme="minorBidi"/>
          <w:sz w:val="22"/>
          <w:szCs w:val="22"/>
        </w:rPr>
        <w:t xml:space="preserve">he fund will </w:t>
      </w:r>
      <w:r w:rsidR="000E751B" w:rsidRPr="25160688">
        <w:rPr>
          <w:rFonts w:asciiTheme="minorHAnsi" w:eastAsiaTheme="minorEastAsia" w:hAnsiTheme="minorHAnsi" w:cstheme="minorBidi"/>
          <w:sz w:val="22"/>
          <w:szCs w:val="22"/>
        </w:rPr>
        <w:t xml:space="preserve">continue </w:t>
      </w:r>
      <w:r w:rsidR="5CE52F13" w:rsidRPr="25160688">
        <w:rPr>
          <w:rFonts w:asciiTheme="minorHAnsi" w:eastAsiaTheme="minorEastAsia" w:hAnsiTheme="minorHAnsi" w:cstheme="minorBidi"/>
          <w:sz w:val="22"/>
          <w:szCs w:val="22"/>
        </w:rPr>
        <w:t xml:space="preserve">aligning with the </w:t>
      </w:r>
      <w:r w:rsidR="3E7CB579" w:rsidRPr="25160688">
        <w:rPr>
          <w:rFonts w:asciiTheme="minorHAnsi" w:eastAsiaTheme="minorEastAsia" w:hAnsiTheme="minorHAnsi" w:cstheme="minorBidi"/>
          <w:sz w:val="22"/>
          <w:szCs w:val="22"/>
        </w:rPr>
        <w:t xml:space="preserve">EU </w:t>
      </w:r>
      <w:r w:rsidR="634BC577" w:rsidRPr="25160688">
        <w:rPr>
          <w:rFonts w:asciiTheme="minorHAnsi" w:eastAsiaTheme="minorEastAsia" w:hAnsiTheme="minorHAnsi" w:cstheme="minorBidi"/>
          <w:sz w:val="22"/>
          <w:szCs w:val="22"/>
        </w:rPr>
        <w:t xml:space="preserve">sustainable </w:t>
      </w:r>
      <w:r w:rsidR="3E7CB579" w:rsidRPr="25160688">
        <w:rPr>
          <w:rFonts w:asciiTheme="minorHAnsi" w:eastAsiaTheme="minorEastAsia" w:hAnsiTheme="minorHAnsi" w:cstheme="minorBidi"/>
          <w:sz w:val="22"/>
          <w:szCs w:val="22"/>
        </w:rPr>
        <w:t xml:space="preserve">finance agenda in terms of </w:t>
      </w:r>
      <w:r w:rsidR="0A160ADC" w:rsidRPr="25160688">
        <w:rPr>
          <w:rFonts w:asciiTheme="minorHAnsi" w:eastAsiaTheme="minorEastAsia" w:hAnsiTheme="minorHAnsi" w:cstheme="minorBidi"/>
          <w:sz w:val="22"/>
          <w:szCs w:val="22"/>
        </w:rPr>
        <w:t>continued</w:t>
      </w:r>
      <w:r w:rsidR="3E7CB579" w:rsidRPr="25160688">
        <w:rPr>
          <w:rFonts w:asciiTheme="minorHAnsi" w:eastAsiaTheme="minorEastAsia" w:hAnsiTheme="minorHAnsi" w:cstheme="minorBidi"/>
          <w:sz w:val="22"/>
          <w:szCs w:val="22"/>
        </w:rPr>
        <w:t xml:space="preserve"> </w:t>
      </w:r>
      <w:r w:rsidR="3F571BD2" w:rsidRPr="25160688">
        <w:rPr>
          <w:rFonts w:asciiTheme="minorHAnsi" w:eastAsiaTheme="minorEastAsia" w:hAnsiTheme="minorHAnsi" w:cstheme="minorBidi"/>
          <w:sz w:val="22"/>
          <w:szCs w:val="22"/>
        </w:rPr>
        <w:t>SFDR (Sustainable Finance Disclosure Regulation)</w:t>
      </w:r>
      <w:r w:rsidR="3E7CB579" w:rsidRPr="25160688">
        <w:rPr>
          <w:rFonts w:asciiTheme="minorHAnsi" w:eastAsiaTheme="minorEastAsia" w:hAnsiTheme="minorHAnsi" w:cstheme="minorBidi"/>
          <w:sz w:val="22"/>
          <w:szCs w:val="22"/>
        </w:rPr>
        <w:t xml:space="preserve"> compliance and EU taxonomy monitoring</w:t>
      </w:r>
      <w:r w:rsidR="3F80ED63" w:rsidRPr="25160688">
        <w:rPr>
          <w:rFonts w:asciiTheme="minorHAnsi" w:eastAsiaTheme="minorEastAsia" w:hAnsiTheme="minorHAnsi" w:cstheme="minorBidi"/>
          <w:sz w:val="22"/>
          <w:szCs w:val="22"/>
        </w:rPr>
        <w:t xml:space="preserve">. </w:t>
      </w:r>
    </w:p>
    <w:p w14:paraId="0CDDE794" w14:textId="7A09BADA" w:rsidR="1EE0C08E" w:rsidRDefault="1EE0C08E" w:rsidP="1EE0C08E">
      <w:pPr>
        <w:rPr>
          <w:color w:val="000000" w:themeColor="text1"/>
        </w:rPr>
      </w:pPr>
    </w:p>
    <w:p w14:paraId="4FD91FA4" w14:textId="7CDF113D" w:rsidR="6487E230" w:rsidRDefault="6487E230" w:rsidP="006F071F">
      <w:pPr>
        <w:jc w:val="both"/>
        <w:rPr>
          <w:color w:val="000000" w:themeColor="text1"/>
        </w:rPr>
      </w:pPr>
      <w:r w:rsidRPr="1EE0C08E">
        <w:rPr>
          <w:rFonts w:asciiTheme="minorHAnsi" w:eastAsiaTheme="minorEastAsia" w:hAnsiTheme="minorHAnsi" w:cstheme="minorBidi"/>
          <w:color w:val="000000" w:themeColor="text1"/>
          <w:sz w:val="22"/>
          <w:szCs w:val="22"/>
        </w:rPr>
        <w:t>Despite the impact of covid-19 there are no changes in impact or the timetable of delivery for the programme.</w:t>
      </w:r>
    </w:p>
    <w:p w14:paraId="7140B11B" w14:textId="77D300C0" w:rsidR="1EE0C08E" w:rsidRDefault="1EE0C08E" w:rsidP="1EE0C08E">
      <w:pPr>
        <w:rPr>
          <w:color w:val="000000" w:themeColor="text1"/>
        </w:rPr>
      </w:pPr>
    </w:p>
    <w:p w14:paraId="158DB094" w14:textId="48084878" w:rsidR="006F3AE7" w:rsidRDefault="006F3AE7" w:rsidP="0116275A">
      <w:pPr>
        <w:rPr>
          <w:rFonts w:cs="Arial"/>
          <w:sz w:val="22"/>
          <w:szCs w:val="22"/>
        </w:rPr>
      </w:pPr>
      <w:r w:rsidRPr="0116275A">
        <w:rPr>
          <w:rFonts w:cs="Arial"/>
          <w:b/>
          <w:bCs/>
          <w:sz w:val="22"/>
          <w:szCs w:val="22"/>
          <w:lang w:val="en" w:eastAsia="en-GB"/>
        </w:rPr>
        <w:t xml:space="preserve">Justify whether the </w:t>
      </w:r>
      <w:proofErr w:type="spellStart"/>
      <w:r w:rsidRPr="0116275A">
        <w:rPr>
          <w:rFonts w:cs="Arial"/>
          <w:b/>
          <w:bCs/>
          <w:sz w:val="22"/>
          <w:szCs w:val="22"/>
          <w:lang w:val="en" w:eastAsia="en-GB"/>
        </w:rPr>
        <w:t>programme</w:t>
      </w:r>
      <w:proofErr w:type="spellEnd"/>
      <w:r w:rsidRPr="0116275A">
        <w:rPr>
          <w:rFonts w:cs="Arial"/>
          <w:b/>
          <w:bCs/>
          <w:sz w:val="22"/>
          <w:szCs w:val="22"/>
          <w:lang w:val="en" w:eastAsia="en-GB"/>
        </w:rPr>
        <w:t xml:space="preserve"> should continue, based on its own merits and in the context of the wider portfolio</w:t>
      </w:r>
    </w:p>
    <w:p w14:paraId="77BBDA88" w14:textId="77777777" w:rsidR="006F3AE7" w:rsidRPr="00F70DBE" w:rsidRDefault="006F3AE7" w:rsidP="0F40B7D6">
      <w:pPr>
        <w:rPr>
          <w:rFonts w:cs="Arial"/>
          <w:color w:val="FF0000"/>
          <w:sz w:val="22"/>
          <w:szCs w:val="22"/>
        </w:rPr>
      </w:pPr>
    </w:p>
    <w:p w14:paraId="7CBB7928" w14:textId="4578A161" w:rsidR="006F3AE7" w:rsidRDefault="5D658E52" w:rsidP="25160688">
      <w:pPr>
        <w:jc w:val="both"/>
        <w:rPr>
          <w:rFonts w:asciiTheme="minorHAnsi" w:eastAsiaTheme="minorEastAsia" w:hAnsiTheme="minorHAnsi" w:cstheme="minorBidi"/>
          <w:sz w:val="22"/>
          <w:szCs w:val="22"/>
          <w:lang w:val="en" w:eastAsia="en-GB"/>
        </w:rPr>
      </w:pPr>
      <w:r w:rsidRPr="25160688">
        <w:rPr>
          <w:rFonts w:asciiTheme="minorHAnsi" w:eastAsiaTheme="minorEastAsia" w:hAnsiTheme="minorHAnsi" w:cstheme="minorBidi"/>
          <w:sz w:val="22"/>
          <w:szCs w:val="22"/>
          <w:lang w:val="en" w:eastAsia="en-GB"/>
        </w:rPr>
        <w:t xml:space="preserve">Based on the above analysis of outcome and output achievement, </w:t>
      </w:r>
      <w:proofErr w:type="spellStart"/>
      <w:r w:rsidR="7D4CB136" w:rsidRPr="25160688">
        <w:rPr>
          <w:rFonts w:asciiTheme="minorHAnsi" w:eastAsiaTheme="minorEastAsia" w:hAnsiTheme="minorHAnsi" w:cstheme="minorBidi"/>
          <w:sz w:val="22"/>
          <w:szCs w:val="22"/>
          <w:lang w:val="en" w:eastAsia="en-GB"/>
        </w:rPr>
        <w:t>ToC</w:t>
      </w:r>
      <w:proofErr w:type="spellEnd"/>
      <w:r w:rsidRPr="25160688">
        <w:rPr>
          <w:rFonts w:asciiTheme="minorHAnsi" w:eastAsiaTheme="minorEastAsia" w:hAnsiTheme="minorHAnsi" w:cstheme="minorBidi"/>
          <w:sz w:val="22"/>
          <w:szCs w:val="22"/>
          <w:lang w:val="en" w:eastAsia="en-GB"/>
        </w:rPr>
        <w:t xml:space="preserve"> and </w:t>
      </w:r>
      <w:proofErr w:type="spellStart"/>
      <w:r w:rsidRPr="25160688">
        <w:rPr>
          <w:rFonts w:asciiTheme="minorHAnsi" w:eastAsiaTheme="minorEastAsia" w:hAnsiTheme="minorHAnsi" w:cstheme="minorBidi"/>
          <w:sz w:val="22"/>
          <w:szCs w:val="22"/>
          <w:lang w:val="en" w:eastAsia="en-GB"/>
        </w:rPr>
        <w:t>VfM</w:t>
      </w:r>
      <w:proofErr w:type="spellEnd"/>
      <w:r w:rsidRPr="25160688">
        <w:rPr>
          <w:rFonts w:asciiTheme="minorHAnsi" w:eastAsiaTheme="minorEastAsia" w:hAnsiTheme="minorHAnsi" w:cstheme="minorBidi"/>
          <w:sz w:val="22"/>
          <w:szCs w:val="22"/>
          <w:lang w:val="en" w:eastAsia="en-GB"/>
        </w:rPr>
        <w:t xml:space="preserve"> analysis, </w:t>
      </w:r>
      <w:r w:rsidR="61C88357" w:rsidRPr="25160688">
        <w:rPr>
          <w:rFonts w:asciiTheme="minorHAnsi" w:eastAsiaTheme="minorEastAsia" w:hAnsiTheme="minorHAnsi" w:cstheme="minorBidi"/>
          <w:sz w:val="22"/>
          <w:szCs w:val="22"/>
          <w:lang w:val="en" w:eastAsia="en-GB"/>
        </w:rPr>
        <w:t xml:space="preserve">the </w:t>
      </w:r>
      <w:proofErr w:type="spellStart"/>
      <w:r w:rsidR="61C88357" w:rsidRPr="25160688">
        <w:rPr>
          <w:rFonts w:asciiTheme="minorHAnsi" w:eastAsiaTheme="minorEastAsia" w:hAnsiTheme="minorHAnsi" w:cstheme="minorBidi"/>
          <w:sz w:val="22"/>
          <w:szCs w:val="22"/>
          <w:lang w:val="en" w:eastAsia="en-GB"/>
        </w:rPr>
        <w:t>programme</w:t>
      </w:r>
      <w:proofErr w:type="spellEnd"/>
      <w:r w:rsidR="61C88357" w:rsidRPr="25160688">
        <w:rPr>
          <w:rFonts w:asciiTheme="minorHAnsi" w:eastAsiaTheme="minorEastAsia" w:hAnsiTheme="minorHAnsi" w:cstheme="minorBidi"/>
          <w:sz w:val="22"/>
          <w:szCs w:val="22"/>
          <w:lang w:val="en" w:eastAsia="en-GB"/>
        </w:rPr>
        <w:t xml:space="preserve"> is performing well, continues to represent good </w:t>
      </w:r>
      <w:proofErr w:type="spellStart"/>
      <w:r w:rsidR="61C88357" w:rsidRPr="25160688">
        <w:rPr>
          <w:rFonts w:asciiTheme="minorHAnsi" w:eastAsiaTheme="minorEastAsia" w:hAnsiTheme="minorHAnsi" w:cstheme="minorBidi"/>
          <w:sz w:val="22"/>
          <w:szCs w:val="22"/>
          <w:lang w:val="en" w:eastAsia="en-GB"/>
        </w:rPr>
        <w:t>VfM</w:t>
      </w:r>
      <w:proofErr w:type="spellEnd"/>
      <w:r w:rsidR="61C88357" w:rsidRPr="25160688">
        <w:rPr>
          <w:rFonts w:asciiTheme="minorHAnsi" w:eastAsiaTheme="minorEastAsia" w:hAnsiTheme="minorHAnsi" w:cstheme="minorBidi"/>
          <w:sz w:val="22"/>
          <w:szCs w:val="22"/>
          <w:lang w:val="en" w:eastAsia="en-GB"/>
        </w:rPr>
        <w:t xml:space="preserve"> and </w:t>
      </w:r>
      <w:r w:rsidR="202577D7" w:rsidRPr="25160688">
        <w:rPr>
          <w:rFonts w:asciiTheme="minorHAnsi" w:eastAsiaTheme="minorEastAsia" w:hAnsiTheme="minorHAnsi" w:cstheme="minorBidi"/>
          <w:sz w:val="22"/>
          <w:szCs w:val="22"/>
          <w:lang w:val="en" w:eastAsia="en-GB"/>
        </w:rPr>
        <w:t xml:space="preserve">fits with Defra’s ICF/ODA priorities </w:t>
      </w:r>
      <w:r w:rsidR="00FC619D" w:rsidRPr="25160688">
        <w:rPr>
          <w:rFonts w:asciiTheme="minorHAnsi" w:eastAsiaTheme="minorEastAsia" w:hAnsiTheme="minorHAnsi" w:cstheme="minorBidi"/>
          <w:sz w:val="22"/>
          <w:szCs w:val="22"/>
          <w:lang w:val="en" w:eastAsia="en-GB"/>
        </w:rPr>
        <w:t xml:space="preserve">including </w:t>
      </w:r>
      <w:proofErr w:type="spellStart"/>
      <w:r w:rsidR="00FC619D" w:rsidRPr="25160688">
        <w:rPr>
          <w:rFonts w:asciiTheme="minorHAnsi" w:eastAsiaTheme="minorEastAsia" w:hAnsiTheme="minorHAnsi" w:cstheme="minorBidi"/>
          <w:sz w:val="22"/>
          <w:szCs w:val="22"/>
          <w:lang w:val="en" w:eastAsia="en-GB"/>
        </w:rPr>
        <w:t>mobilising</w:t>
      </w:r>
      <w:proofErr w:type="spellEnd"/>
      <w:r w:rsidR="202577D7" w:rsidRPr="25160688">
        <w:rPr>
          <w:rFonts w:asciiTheme="minorHAnsi" w:eastAsiaTheme="minorEastAsia" w:hAnsiTheme="minorHAnsi" w:cstheme="minorBidi"/>
          <w:sz w:val="22"/>
          <w:szCs w:val="22"/>
          <w:lang w:val="en" w:eastAsia="en-GB"/>
        </w:rPr>
        <w:t xml:space="preserve"> </w:t>
      </w:r>
      <w:r w:rsidR="1821D155" w:rsidRPr="25160688">
        <w:rPr>
          <w:rFonts w:asciiTheme="minorHAnsi" w:eastAsiaTheme="minorEastAsia" w:hAnsiTheme="minorHAnsi" w:cstheme="minorBidi"/>
          <w:sz w:val="22"/>
          <w:szCs w:val="22"/>
          <w:lang w:val="en" w:eastAsia="en-GB"/>
        </w:rPr>
        <w:t>finance for nature</w:t>
      </w:r>
      <w:r w:rsidR="00FC619D" w:rsidRPr="25160688">
        <w:rPr>
          <w:rFonts w:asciiTheme="minorHAnsi" w:eastAsiaTheme="minorEastAsia" w:hAnsiTheme="minorHAnsi" w:cstheme="minorBidi"/>
          <w:sz w:val="22"/>
          <w:szCs w:val="22"/>
          <w:lang w:val="en" w:eastAsia="en-GB"/>
        </w:rPr>
        <w:t xml:space="preserve"> and</w:t>
      </w:r>
      <w:r w:rsidR="0FB15EE8" w:rsidRPr="25160688">
        <w:rPr>
          <w:rFonts w:asciiTheme="minorHAnsi" w:eastAsiaTheme="minorEastAsia" w:hAnsiTheme="minorHAnsi" w:cstheme="minorBidi"/>
          <w:sz w:val="22"/>
          <w:szCs w:val="22"/>
          <w:lang w:val="en" w:eastAsia="en-GB"/>
        </w:rPr>
        <w:t xml:space="preserve"> </w:t>
      </w:r>
      <w:r w:rsidR="00FC619D" w:rsidRPr="25160688">
        <w:rPr>
          <w:rFonts w:asciiTheme="minorHAnsi" w:eastAsiaTheme="minorEastAsia" w:hAnsiTheme="minorHAnsi" w:cstheme="minorBidi"/>
          <w:sz w:val="22"/>
          <w:szCs w:val="22"/>
          <w:lang w:val="en" w:eastAsia="en-GB"/>
        </w:rPr>
        <w:t xml:space="preserve">testing and demonstrating </w:t>
      </w:r>
      <w:r w:rsidR="2EE0C398" w:rsidRPr="25160688">
        <w:rPr>
          <w:rFonts w:asciiTheme="minorHAnsi" w:eastAsiaTheme="minorEastAsia" w:hAnsiTheme="minorHAnsi" w:cstheme="minorBidi"/>
          <w:sz w:val="22"/>
          <w:szCs w:val="22"/>
          <w:lang w:val="en" w:eastAsia="en-GB"/>
        </w:rPr>
        <w:t xml:space="preserve">innovative investment </w:t>
      </w:r>
      <w:r w:rsidR="775EACC3" w:rsidRPr="25160688">
        <w:rPr>
          <w:rFonts w:asciiTheme="minorHAnsi" w:eastAsiaTheme="minorEastAsia" w:hAnsiTheme="minorHAnsi" w:cstheme="minorBidi"/>
          <w:sz w:val="22"/>
          <w:szCs w:val="22"/>
          <w:lang w:val="en" w:eastAsia="en-GB"/>
        </w:rPr>
        <w:t>models i.e. blended finance</w:t>
      </w:r>
      <w:r w:rsidR="2EE0C398" w:rsidRPr="25160688">
        <w:rPr>
          <w:rFonts w:asciiTheme="minorHAnsi" w:eastAsiaTheme="minorEastAsia" w:hAnsiTheme="minorHAnsi" w:cstheme="minorBidi"/>
          <w:sz w:val="22"/>
          <w:szCs w:val="22"/>
          <w:lang w:val="en" w:eastAsia="en-GB"/>
        </w:rPr>
        <w:t xml:space="preserve"> and technical assistance for implementation of sustainable agriculture.</w:t>
      </w:r>
      <w:r w:rsidR="452E0D18" w:rsidRPr="25160688">
        <w:rPr>
          <w:rFonts w:asciiTheme="minorHAnsi" w:eastAsiaTheme="minorEastAsia" w:hAnsiTheme="minorHAnsi" w:cstheme="minorBidi"/>
          <w:sz w:val="22"/>
          <w:szCs w:val="22"/>
          <w:lang w:val="en" w:eastAsia="en-GB"/>
        </w:rPr>
        <w:t xml:space="preserve"> It is also working to address barriers to progress in climate change adaptation and sustain</w:t>
      </w:r>
      <w:r w:rsidR="4989CE1A" w:rsidRPr="25160688">
        <w:rPr>
          <w:rFonts w:asciiTheme="minorHAnsi" w:eastAsiaTheme="minorEastAsia" w:hAnsiTheme="minorHAnsi" w:cstheme="minorBidi"/>
          <w:sz w:val="22"/>
          <w:szCs w:val="22"/>
          <w:lang w:val="en" w:eastAsia="en-GB"/>
        </w:rPr>
        <w:t>a</w:t>
      </w:r>
      <w:r w:rsidR="452E0D18" w:rsidRPr="25160688">
        <w:rPr>
          <w:rFonts w:asciiTheme="minorHAnsi" w:eastAsiaTheme="minorEastAsia" w:hAnsiTheme="minorHAnsi" w:cstheme="minorBidi"/>
          <w:sz w:val="22"/>
          <w:szCs w:val="22"/>
          <w:lang w:val="en" w:eastAsia="en-GB"/>
        </w:rPr>
        <w:t xml:space="preserve">ble </w:t>
      </w:r>
      <w:r w:rsidR="4EAE3F29" w:rsidRPr="25160688">
        <w:rPr>
          <w:rFonts w:asciiTheme="minorHAnsi" w:eastAsiaTheme="minorEastAsia" w:hAnsiTheme="minorHAnsi" w:cstheme="minorBidi"/>
          <w:sz w:val="22"/>
          <w:szCs w:val="22"/>
          <w:lang w:val="en" w:eastAsia="en-GB"/>
        </w:rPr>
        <w:t>livelihoods</w:t>
      </w:r>
      <w:r w:rsidR="2460B989" w:rsidRPr="25160688">
        <w:rPr>
          <w:rFonts w:asciiTheme="minorHAnsi" w:eastAsiaTheme="minorEastAsia" w:hAnsiTheme="minorHAnsi" w:cstheme="minorBidi"/>
          <w:sz w:val="22"/>
          <w:szCs w:val="22"/>
          <w:lang w:val="en" w:eastAsia="en-GB"/>
        </w:rPr>
        <w:t xml:space="preserve"> and transformational change of the financial system.</w:t>
      </w:r>
      <w:r w:rsidR="2FC0AFA9" w:rsidRPr="25160688">
        <w:rPr>
          <w:rFonts w:asciiTheme="minorHAnsi" w:eastAsiaTheme="minorEastAsia" w:hAnsiTheme="minorHAnsi" w:cstheme="minorBidi"/>
          <w:sz w:val="22"/>
          <w:szCs w:val="22"/>
          <w:lang w:val="en" w:eastAsia="en-GB"/>
        </w:rPr>
        <w:t xml:space="preserve"> It is therefore recommended that the </w:t>
      </w:r>
      <w:proofErr w:type="spellStart"/>
      <w:r w:rsidR="2FC0AFA9" w:rsidRPr="25160688">
        <w:rPr>
          <w:rFonts w:asciiTheme="minorHAnsi" w:eastAsiaTheme="minorEastAsia" w:hAnsiTheme="minorHAnsi" w:cstheme="minorBidi"/>
          <w:sz w:val="22"/>
          <w:szCs w:val="22"/>
          <w:lang w:val="en" w:eastAsia="en-GB"/>
        </w:rPr>
        <w:t>programme</w:t>
      </w:r>
      <w:proofErr w:type="spellEnd"/>
      <w:r w:rsidR="2FC0AFA9" w:rsidRPr="25160688">
        <w:rPr>
          <w:rFonts w:asciiTheme="minorHAnsi" w:eastAsiaTheme="minorEastAsia" w:hAnsiTheme="minorHAnsi" w:cstheme="minorBidi"/>
          <w:sz w:val="22"/>
          <w:szCs w:val="22"/>
          <w:lang w:val="en" w:eastAsia="en-GB"/>
        </w:rPr>
        <w:t xml:space="preserve"> continue.</w:t>
      </w:r>
    </w:p>
    <w:p w14:paraId="392C1596" w14:textId="77777777" w:rsidR="00FC619D" w:rsidRDefault="00FC619D" w:rsidP="006F071F">
      <w:pPr>
        <w:jc w:val="both"/>
        <w:rPr>
          <w:rFonts w:asciiTheme="minorHAnsi" w:eastAsiaTheme="minorEastAsia" w:hAnsiTheme="minorHAnsi" w:cstheme="minorBidi"/>
          <w:sz w:val="22"/>
          <w:szCs w:val="22"/>
          <w:lang w:val="en" w:eastAsia="en-GB"/>
        </w:rPr>
      </w:pPr>
    </w:p>
    <w:p w14:paraId="4BD8B491" w14:textId="77777777" w:rsidR="00E75614" w:rsidRDefault="00E75614" w:rsidP="0116275A">
      <w:pPr>
        <w:rPr>
          <w:rFonts w:cs="Arial"/>
          <w:sz w:val="20"/>
          <w:szCs w:val="20"/>
          <w:lang w:val="en" w:eastAsia="en-GB"/>
        </w:rPr>
      </w:pPr>
    </w:p>
    <w:p w14:paraId="2071A61A" w14:textId="29C82A52" w:rsidR="006F3AE7" w:rsidRPr="00F70DBE" w:rsidRDefault="006F3AE7" w:rsidP="0116275A">
      <w:pPr>
        <w:pStyle w:val="Heading2"/>
        <w:pBdr>
          <w:top w:val="single" w:sz="4" w:space="1" w:color="auto"/>
          <w:left w:val="single" w:sz="4" w:space="6" w:color="auto"/>
          <w:bottom w:val="single" w:sz="4" w:space="1" w:color="auto"/>
          <w:right w:val="single" w:sz="4" w:space="4" w:color="auto"/>
        </w:pBdr>
        <w:shd w:val="clear" w:color="auto" w:fill="D9E2F3" w:themeFill="accent1" w:themeFillTint="33"/>
        <w:spacing w:before="0"/>
        <w:rPr>
          <w:b w:val="0"/>
          <w:i w:val="0"/>
          <w:sz w:val="20"/>
          <w:szCs w:val="20"/>
        </w:rPr>
      </w:pPr>
      <w:r w:rsidRPr="0116275A">
        <w:rPr>
          <w:i w:val="0"/>
        </w:rPr>
        <w:t>C. DETAILED OUTPUT SCORING</w:t>
      </w:r>
    </w:p>
    <w:p w14:paraId="42FDE965" w14:textId="77777777" w:rsidR="006F3AE7" w:rsidRDefault="006F3AE7" w:rsidP="0F40B7D6">
      <w:pPr>
        <w:rPr>
          <w:color w:val="FF0000"/>
          <w:sz w:val="22"/>
          <w:szCs w:val="22"/>
        </w:rPr>
      </w:pPr>
    </w:p>
    <w:tbl>
      <w:tblPr>
        <w:tblStyle w:val="TableGrid"/>
        <w:tblW w:w="9356" w:type="dxa"/>
        <w:tblInd w:w="-147" w:type="dxa"/>
        <w:tblLook w:val="04A0" w:firstRow="1" w:lastRow="0" w:firstColumn="1" w:lastColumn="0" w:noHBand="0" w:noVBand="1"/>
      </w:tblPr>
      <w:tblGrid>
        <w:gridCol w:w="1708"/>
        <w:gridCol w:w="616"/>
        <w:gridCol w:w="937"/>
        <w:gridCol w:w="3283"/>
        <w:gridCol w:w="2812"/>
      </w:tblGrid>
      <w:tr w:rsidR="006F3AE7" w:rsidRPr="008A4154" w14:paraId="52E574E6" w14:textId="77777777" w:rsidTr="078C476B">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EF9924" w14:textId="77777777" w:rsidR="006F3AE7" w:rsidRPr="008A4154" w:rsidRDefault="006F3AE7" w:rsidP="1EE0C08E">
            <w:pPr>
              <w:rPr>
                <w:b/>
                <w:bCs/>
                <w:color w:val="000000" w:themeColor="text1"/>
                <w:sz w:val="20"/>
                <w:szCs w:val="20"/>
              </w:rPr>
            </w:pPr>
            <w:r w:rsidRPr="1EE0C08E">
              <w:rPr>
                <w:b/>
                <w:bCs/>
                <w:color w:val="000000" w:themeColor="text1"/>
                <w:sz w:val="20"/>
                <w:szCs w:val="20"/>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D2BE8F" w14:textId="3C8F959E" w:rsidR="006F3AE7" w:rsidRPr="008A4154" w:rsidRDefault="5E6E2E51" w:rsidP="1EE0C08E">
            <w:pPr>
              <w:rPr>
                <w:color w:val="000000" w:themeColor="text1"/>
                <w:sz w:val="20"/>
                <w:szCs w:val="20"/>
              </w:rPr>
            </w:pPr>
            <w:r w:rsidRPr="1EE0C08E">
              <w:rPr>
                <w:color w:val="000000" w:themeColor="text1"/>
                <w:sz w:val="20"/>
                <w:szCs w:val="20"/>
              </w:rPr>
              <w:t>EBF has a diversified portfolio supporting a range of geographies and sectors</w:t>
            </w:r>
          </w:p>
        </w:tc>
      </w:tr>
      <w:tr w:rsidR="006F3AE7" w:rsidRPr="008A4154" w14:paraId="5136958B" w14:textId="77777777" w:rsidTr="078C476B">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C28C9F" w14:textId="77777777" w:rsidR="006F3AE7" w:rsidRPr="008A4154" w:rsidRDefault="006F3AE7" w:rsidP="0116275A">
            <w:pPr>
              <w:rPr>
                <w:color w:val="000000" w:themeColor="text1"/>
                <w:sz w:val="20"/>
                <w:szCs w:val="20"/>
              </w:rPr>
            </w:pPr>
            <w:r w:rsidRPr="0116275A">
              <w:rPr>
                <w:sz w:val="20"/>
                <w:szCs w:val="20"/>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0D998D47" w14:textId="6AD9C09D" w:rsidR="006F3AE7" w:rsidRPr="008A4154" w:rsidRDefault="5D76E0F9" w:rsidP="0116275A">
            <w:pPr>
              <w:rPr>
                <w:color w:val="000000" w:themeColor="text1"/>
                <w:sz w:val="20"/>
                <w:szCs w:val="20"/>
              </w:rPr>
            </w:pPr>
            <w:r w:rsidRPr="0116275A">
              <w:rPr>
                <w:sz w:val="20"/>
                <w:szCs w:val="20"/>
              </w:rPr>
              <w:t>1</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6CD8447" w14:textId="77777777" w:rsidR="006F3AE7" w:rsidRPr="008A4154" w:rsidRDefault="006F3AE7" w:rsidP="0116275A">
            <w:pPr>
              <w:rPr>
                <w:sz w:val="20"/>
                <w:szCs w:val="20"/>
              </w:rPr>
            </w:pPr>
            <w:r w:rsidRPr="0116275A">
              <w:rPr>
                <w:sz w:val="20"/>
                <w:szCs w:val="20"/>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25588D6F" w14:textId="46A11A1E" w:rsidR="006F3AE7" w:rsidRPr="008A4154" w:rsidRDefault="00235B12" w:rsidP="0116275A">
            <w:pPr>
              <w:rPr>
                <w:sz w:val="20"/>
                <w:szCs w:val="20"/>
              </w:rPr>
            </w:pPr>
            <w:r>
              <w:rPr>
                <w:sz w:val="20"/>
                <w:szCs w:val="20"/>
              </w:rPr>
              <w:t>A</w:t>
            </w:r>
          </w:p>
        </w:tc>
      </w:tr>
      <w:tr w:rsidR="006F3AE7" w:rsidRPr="008A4154" w14:paraId="2E063A5F" w14:textId="77777777" w:rsidTr="078C476B">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613D482" w14:textId="77777777" w:rsidR="006F3AE7" w:rsidRPr="008A4154" w:rsidRDefault="006F3AE7" w:rsidP="0116275A">
            <w:pPr>
              <w:rPr>
                <w:sz w:val="20"/>
                <w:szCs w:val="20"/>
              </w:rPr>
            </w:pPr>
            <w:r w:rsidRPr="0116275A">
              <w:rPr>
                <w:sz w:val="20"/>
                <w:szCs w:val="20"/>
              </w:rPr>
              <w:t xml:space="preserve">Impact weighting (%):  </w:t>
            </w:r>
          </w:p>
        </w:tc>
        <w:tc>
          <w:tcPr>
            <w:tcW w:w="937" w:type="dxa"/>
            <w:tcBorders>
              <w:top w:val="single" w:sz="4" w:space="0" w:color="auto"/>
              <w:left w:val="single" w:sz="4" w:space="0" w:color="auto"/>
              <w:bottom w:val="single" w:sz="4" w:space="0" w:color="auto"/>
              <w:right w:val="single" w:sz="4" w:space="0" w:color="auto"/>
            </w:tcBorders>
            <w:hideMark/>
          </w:tcPr>
          <w:p w14:paraId="31CC3EFE" w14:textId="62DC51D5" w:rsidR="006F3AE7" w:rsidRPr="008A4154" w:rsidRDefault="3C9516F0" w:rsidP="0116275A">
            <w:pPr>
              <w:rPr>
                <w:sz w:val="20"/>
                <w:szCs w:val="20"/>
              </w:rPr>
            </w:pPr>
            <w:r w:rsidRPr="0116275A">
              <w:rPr>
                <w:sz w:val="20"/>
                <w:szCs w:val="20"/>
              </w:rPr>
              <w:t>35</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995FDB" w14:textId="2FF2D427" w:rsidR="006F3AE7" w:rsidRPr="008A4154" w:rsidRDefault="006F3AE7" w:rsidP="0116275A">
            <w:pPr>
              <w:rPr>
                <w:sz w:val="20"/>
                <w:szCs w:val="20"/>
              </w:rPr>
            </w:pPr>
            <w:r w:rsidRPr="078C476B">
              <w:rPr>
                <w:sz w:val="20"/>
                <w:szCs w:val="20"/>
              </w:rPr>
              <w:t xml:space="preserve">Weighting revised since last AR? </w:t>
            </w:r>
          </w:p>
        </w:tc>
        <w:tc>
          <w:tcPr>
            <w:tcW w:w="2812" w:type="dxa"/>
            <w:tcBorders>
              <w:top w:val="single" w:sz="4" w:space="0" w:color="auto"/>
              <w:left w:val="single" w:sz="4" w:space="0" w:color="auto"/>
              <w:bottom w:val="single" w:sz="4" w:space="0" w:color="auto"/>
              <w:right w:val="single" w:sz="4" w:space="0" w:color="auto"/>
            </w:tcBorders>
          </w:tcPr>
          <w:p w14:paraId="2DFF1646" w14:textId="3052DAE2" w:rsidR="006F3AE7" w:rsidRPr="008A4154" w:rsidRDefault="4EFCD74E" w:rsidP="0116275A">
            <w:r w:rsidRPr="0116275A">
              <w:rPr>
                <w:sz w:val="20"/>
                <w:szCs w:val="20"/>
              </w:rPr>
              <w:t>No</w:t>
            </w:r>
          </w:p>
        </w:tc>
      </w:tr>
    </w:tbl>
    <w:p w14:paraId="3FFA182B" w14:textId="77777777" w:rsidR="006F3AE7" w:rsidRPr="00F70DBE" w:rsidRDefault="006F3AE7" w:rsidP="0F40B7D6">
      <w:pPr>
        <w:rPr>
          <w:b/>
          <w:bCs/>
          <w:color w:val="FF0000"/>
        </w:rPr>
      </w:pPr>
    </w:p>
    <w:tbl>
      <w:tblPr>
        <w:tblStyle w:val="TableGrid"/>
        <w:tblpPr w:leftFromText="180" w:rightFromText="180" w:vertAnchor="text" w:horzAnchor="page" w:tblpX="1325" w:tblpY="-10"/>
        <w:tblOverlap w:val="never"/>
        <w:tblW w:w="9351" w:type="dxa"/>
        <w:tblLook w:val="04A0" w:firstRow="1" w:lastRow="0" w:firstColumn="1" w:lastColumn="0" w:noHBand="0" w:noVBand="1"/>
      </w:tblPr>
      <w:tblGrid>
        <w:gridCol w:w="5700"/>
        <w:gridCol w:w="1950"/>
        <w:gridCol w:w="1701"/>
      </w:tblGrid>
      <w:tr w:rsidR="006F3AE7" w:rsidRPr="00E548EA" w14:paraId="12589E58" w14:textId="77777777" w:rsidTr="0116275A">
        <w:trPr>
          <w:trHeight w:val="273"/>
        </w:trPr>
        <w:tc>
          <w:tcPr>
            <w:tcW w:w="57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87DF24C" w14:textId="77777777" w:rsidR="006F3AE7" w:rsidRPr="00E548EA" w:rsidRDefault="006F3AE7" w:rsidP="49CFF048">
            <w:pPr>
              <w:rPr>
                <w:b/>
                <w:bCs/>
                <w:sz w:val="20"/>
                <w:szCs w:val="20"/>
              </w:rPr>
            </w:pPr>
            <w:r w:rsidRPr="49CFF048">
              <w:rPr>
                <w:b/>
                <w:bCs/>
                <w:sz w:val="20"/>
                <w:szCs w:val="20"/>
              </w:rPr>
              <w:t>Indicator(s)</w:t>
            </w:r>
          </w:p>
        </w:tc>
        <w:tc>
          <w:tcPr>
            <w:tcW w:w="195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C55528" w14:textId="77777777" w:rsidR="006F3AE7" w:rsidRPr="00E548EA" w:rsidRDefault="006F3AE7" w:rsidP="49CFF048">
            <w:pPr>
              <w:rPr>
                <w:b/>
                <w:bCs/>
                <w:sz w:val="20"/>
                <w:szCs w:val="20"/>
              </w:rPr>
            </w:pPr>
            <w:r w:rsidRPr="49CFF048">
              <w:rPr>
                <w:b/>
                <w:bCs/>
                <w:sz w:val="20"/>
                <w:szCs w:val="20"/>
              </w:rPr>
              <w:t>Milestone(s) for this review</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60A9A3" w14:textId="77777777" w:rsidR="006F3AE7" w:rsidRPr="00E548EA" w:rsidRDefault="006F3AE7" w:rsidP="49CFF048">
            <w:pPr>
              <w:rPr>
                <w:b/>
                <w:bCs/>
                <w:sz w:val="20"/>
                <w:szCs w:val="20"/>
              </w:rPr>
            </w:pPr>
            <w:r w:rsidRPr="49CFF048">
              <w:rPr>
                <w:b/>
                <w:bCs/>
                <w:sz w:val="20"/>
                <w:szCs w:val="20"/>
              </w:rPr>
              <w:t xml:space="preserve">Progress </w:t>
            </w:r>
          </w:p>
        </w:tc>
      </w:tr>
      <w:tr w:rsidR="006F3AE7" w:rsidRPr="00E548EA" w14:paraId="63BE3357" w14:textId="77777777" w:rsidTr="0116275A">
        <w:tc>
          <w:tcPr>
            <w:tcW w:w="5700" w:type="dxa"/>
            <w:tcBorders>
              <w:top w:val="single" w:sz="4" w:space="0" w:color="auto"/>
              <w:left w:val="single" w:sz="4" w:space="0" w:color="auto"/>
              <w:bottom w:val="single" w:sz="4" w:space="0" w:color="auto"/>
              <w:right w:val="single" w:sz="4" w:space="0" w:color="auto"/>
            </w:tcBorders>
          </w:tcPr>
          <w:p w14:paraId="6CBF5E6C" w14:textId="6F3668C5" w:rsidR="006F3AE7" w:rsidRPr="00E548EA" w:rsidRDefault="628B9CA5" w:rsidP="49CFF048">
            <w:pPr>
              <w:rPr>
                <w:rFonts w:ascii="Calibri" w:eastAsia="Calibri" w:hAnsi="Calibri" w:cs="Calibri"/>
                <w:sz w:val="22"/>
                <w:szCs w:val="22"/>
              </w:rPr>
            </w:pPr>
            <w:r w:rsidRPr="49CFF048">
              <w:rPr>
                <w:rFonts w:ascii="Calibri" w:eastAsia="Calibri" w:hAnsi="Calibri" w:cs="Calibri"/>
                <w:sz w:val="22"/>
                <w:szCs w:val="22"/>
              </w:rPr>
              <w:t>1.1 Number of financial institutions in the EBF´s portfolio</w:t>
            </w:r>
          </w:p>
        </w:tc>
        <w:tc>
          <w:tcPr>
            <w:tcW w:w="1950" w:type="dxa"/>
            <w:tcBorders>
              <w:top w:val="single" w:sz="4" w:space="0" w:color="auto"/>
              <w:left w:val="single" w:sz="4" w:space="0" w:color="auto"/>
              <w:bottom w:val="single" w:sz="4" w:space="0" w:color="auto"/>
              <w:right w:val="single" w:sz="4" w:space="0" w:color="auto"/>
            </w:tcBorders>
          </w:tcPr>
          <w:p w14:paraId="049647E1" w14:textId="7812B109" w:rsidR="006F3AE7" w:rsidRPr="00E548EA" w:rsidRDefault="628B9CA5" w:rsidP="49CFF048">
            <w:pPr>
              <w:rPr>
                <w:rFonts w:ascii="Calibri" w:eastAsia="Calibri" w:hAnsi="Calibri" w:cs="Calibri"/>
                <w:sz w:val="22"/>
                <w:szCs w:val="22"/>
              </w:rPr>
            </w:pPr>
            <w:r w:rsidRPr="49CFF048">
              <w:rPr>
                <w:rFonts w:ascii="Calibri" w:eastAsia="Calibri" w:hAnsi="Calibri" w:cs="Calibri"/>
                <w:sz w:val="22"/>
                <w:szCs w:val="22"/>
              </w:rPr>
              <w:t>17</w:t>
            </w:r>
          </w:p>
        </w:tc>
        <w:tc>
          <w:tcPr>
            <w:tcW w:w="1701" w:type="dxa"/>
            <w:tcBorders>
              <w:top w:val="single" w:sz="4" w:space="0" w:color="auto"/>
              <w:left w:val="single" w:sz="4" w:space="0" w:color="auto"/>
              <w:bottom w:val="single" w:sz="4" w:space="0" w:color="auto"/>
              <w:right w:val="single" w:sz="4" w:space="0" w:color="auto"/>
            </w:tcBorders>
          </w:tcPr>
          <w:p w14:paraId="145032EC" w14:textId="72D84460" w:rsidR="006F3AE7" w:rsidRPr="00E548EA" w:rsidRDefault="64509293" w:rsidP="49CFF048">
            <w:pPr>
              <w:rPr>
                <w:rFonts w:ascii="Calibri" w:eastAsia="Calibri" w:hAnsi="Calibri" w:cs="Calibri"/>
                <w:sz w:val="22"/>
                <w:szCs w:val="22"/>
              </w:rPr>
            </w:pPr>
            <w:r w:rsidRPr="1EE0C08E">
              <w:rPr>
                <w:rFonts w:ascii="Calibri" w:eastAsia="Calibri" w:hAnsi="Calibri" w:cs="Calibri"/>
                <w:sz w:val="22"/>
                <w:szCs w:val="22"/>
              </w:rPr>
              <w:t>22</w:t>
            </w:r>
          </w:p>
        </w:tc>
      </w:tr>
      <w:tr w:rsidR="006F3AE7" w:rsidRPr="00E548EA" w14:paraId="723D0A09" w14:textId="77777777" w:rsidTr="0116275A">
        <w:tc>
          <w:tcPr>
            <w:tcW w:w="5700" w:type="dxa"/>
            <w:tcBorders>
              <w:top w:val="single" w:sz="4" w:space="0" w:color="auto"/>
              <w:left w:val="single" w:sz="4" w:space="0" w:color="auto"/>
              <w:bottom w:val="single" w:sz="4" w:space="0" w:color="auto"/>
              <w:right w:val="single" w:sz="4" w:space="0" w:color="auto"/>
            </w:tcBorders>
          </w:tcPr>
          <w:p w14:paraId="12C485DF" w14:textId="44FE65A8" w:rsidR="006F3AE7" w:rsidRPr="00E548EA" w:rsidRDefault="628B9CA5" w:rsidP="49CFF048">
            <w:pPr>
              <w:rPr>
                <w:rFonts w:ascii="Calibri" w:eastAsia="Calibri" w:hAnsi="Calibri" w:cs="Calibri"/>
                <w:sz w:val="22"/>
                <w:szCs w:val="22"/>
              </w:rPr>
            </w:pPr>
            <w:r w:rsidRPr="49CFF048">
              <w:rPr>
                <w:rFonts w:ascii="Calibri" w:eastAsia="Calibri" w:hAnsi="Calibri" w:cs="Calibri"/>
                <w:sz w:val="22"/>
                <w:szCs w:val="22"/>
              </w:rPr>
              <w:t>1.2 Number of commodities supported</w:t>
            </w:r>
          </w:p>
        </w:tc>
        <w:tc>
          <w:tcPr>
            <w:tcW w:w="1950" w:type="dxa"/>
            <w:tcBorders>
              <w:top w:val="single" w:sz="4" w:space="0" w:color="auto"/>
              <w:left w:val="single" w:sz="4" w:space="0" w:color="auto"/>
              <w:bottom w:val="single" w:sz="4" w:space="0" w:color="auto"/>
              <w:right w:val="single" w:sz="4" w:space="0" w:color="auto"/>
            </w:tcBorders>
          </w:tcPr>
          <w:p w14:paraId="185079C1" w14:textId="56AF7FFF" w:rsidR="006F3AE7" w:rsidRPr="00E548EA" w:rsidRDefault="628B9CA5" w:rsidP="49CFF048">
            <w:pPr>
              <w:rPr>
                <w:rFonts w:ascii="Calibri" w:eastAsia="Calibri" w:hAnsi="Calibri" w:cs="Calibri"/>
                <w:sz w:val="22"/>
                <w:szCs w:val="22"/>
              </w:rPr>
            </w:pPr>
            <w:r w:rsidRPr="49CFF048">
              <w:rPr>
                <w:rFonts w:ascii="Calibri" w:eastAsia="Calibri" w:hAnsi="Calibri" w:cs="Calibri"/>
                <w:sz w:val="22"/>
                <w:szCs w:val="22"/>
              </w:rPr>
              <w:t>21</w:t>
            </w:r>
          </w:p>
        </w:tc>
        <w:tc>
          <w:tcPr>
            <w:tcW w:w="1701" w:type="dxa"/>
            <w:tcBorders>
              <w:top w:val="single" w:sz="4" w:space="0" w:color="auto"/>
              <w:left w:val="single" w:sz="4" w:space="0" w:color="auto"/>
              <w:bottom w:val="single" w:sz="4" w:space="0" w:color="auto"/>
              <w:right w:val="single" w:sz="4" w:space="0" w:color="auto"/>
            </w:tcBorders>
          </w:tcPr>
          <w:p w14:paraId="625BAE5D" w14:textId="0B01E670" w:rsidR="006F3AE7" w:rsidRPr="00E548EA" w:rsidRDefault="628B9CA5" w:rsidP="49CFF048">
            <w:pPr>
              <w:rPr>
                <w:rFonts w:ascii="Calibri" w:eastAsia="Calibri" w:hAnsi="Calibri" w:cs="Calibri"/>
                <w:sz w:val="22"/>
                <w:szCs w:val="22"/>
              </w:rPr>
            </w:pPr>
            <w:r w:rsidRPr="49CFF048">
              <w:rPr>
                <w:rFonts w:ascii="Calibri" w:eastAsia="Calibri" w:hAnsi="Calibri" w:cs="Calibri"/>
                <w:sz w:val="22"/>
                <w:szCs w:val="22"/>
              </w:rPr>
              <w:t>20</w:t>
            </w:r>
          </w:p>
        </w:tc>
      </w:tr>
      <w:tr w:rsidR="49CFF048" w14:paraId="3AD4516A" w14:textId="77777777" w:rsidTr="0116275A">
        <w:tc>
          <w:tcPr>
            <w:tcW w:w="5700" w:type="dxa"/>
            <w:tcBorders>
              <w:top w:val="single" w:sz="4" w:space="0" w:color="auto"/>
              <w:left w:val="single" w:sz="4" w:space="0" w:color="auto"/>
              <w:bottom w:val="single" w:sz="4" w:space="0" w:color="auto"/>
              <w:right w:val="single" w:sz="4" w:space="0" w:color="auto"/>
            </w:tcBorders>
          </w:tcPr>
          <w:p w14:paraId="69682DFB" w14:textId="2AC2ED7C" w:rsidR="628B9CA5" w:rsidRDefault="628B9CA5" w:rsidP="49CFF048">
            <w:pPr>
              <w:rPr>
                <w:rFonts w:ascii="Calibri" w:eastAsia="Calibri" w:hAnsi="Calibri" w:cs="Calibri"/>
                <w:sz w:val="22"/>
                <w:szCs w:val="22"/>
              </w:rPr>
            </w:pPr>
            <w:r w:rsidRPr="49CFF048">
              <w:rPr>
                <w:rFonts w:ascii="Calibri" w:eastAsia="Calibri" w:hAnsi="Calibri" w:cs="Calibri"/>
                <w:sz w:val="22"/>
                <w:szCs w:val="22"/>
              </w:rPr>
              <w:t>1.3 Number of countries in which the Fund operates</w:t>
            </w:r>
          </w:p>
        </w:tc>
        <w:tc>
          <w:tcPr>
            <w:tcW w:w="1950" w:type="dxa"/>
            <w:tcBorders>
              <w:top w:val="single" w:sz="4" w:space="0" w:color="auto"/>
              <w:left w:val="single" w:sz="4" w:space="0" w:color="auto"/>
              <w:bottom w:val="single" w:sz="4" w:space="0" w:color="auto"/>
              <w:right w:val="single" w:sz="4" w:space="0" w:color="auto"/>
            </w:tcBorders>
          </w:tcPr>
          <w:p w14:paraId="71D3AEC4" w14:textId="105B7D4F" w:rsidR="628B9CA5" w:rsidRDefault="628B9CA5" w:rsidP="49CFF048">
            <w:pPr>
              <w:rPr>
                <w:rFonts w:ascii="Calibri" w:eastAsia="Calibri" w:hAnsi="Calibri" w:cs="Calibri"/>
                <w:sz w:val="22"/>
                <w:szCs w:val="22"/>
              </w:rPr>
            </w:pPr>
            <w:r w:rsidRPr="49CFF048">
              <w:rPr>
                <w:rFonts w:ascii="Calibri" w:eastAsia="Calibri" w:hAnsi="Calibri" w:cs="Calibri"/>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607D9C88" w14:textId="169A0D58" w:rsidR="628B9CA5" w:rsidRDefault="64509293" w:rsidP="49CFF048">
            <w:pPr>
              <w:rPr>
                <w:rFonts w:ascii="Calibri" w:eastAsia="Calibri" w:hAnsi="Calibri" w:cs="Calibri"/>
                <w:sz w:val="22"/>
                <w:szCs w:val="22"/>
              </w:rPr>
            </w:pPr>
            <w:r w:rsidRPr="1EE0C08E">
              <w:rPr>
                <w:rFonts w:ascii="Calibri" w:eastAsia="Calibri" w:hAnsi="Calibri" w:cs="Calibri"/>
                <w:sz w:val="22"/>
                <w:szCs w:val="22"/>
              </w:rPr>
              <w:t>8</w:t>
            </w:r>
          </w:p>
        </w:tc>
      </w:tr>
    </w:tbl>
    <w:p w14:paraId="1722493B" w14:textId="7E21D735" w:rsidR="41BD7351" w:rsidRDefault="41BD7351" w:rsidP="49CFF048">
      <w:pPr>
        <w:pStyle w:val="Normal1"/>
        <w:spacing w:after="120"/>
        <w:jc w:val="both"/>
        <w:rPr>
          <w:rFonts w:ascii="Calibri" w:eastAsia="Calibri" w:hAnsi="Calibri" w:cs="Calibri"/>
          <w:color w:val="000000" w:themeColor="text1"/>
          <w:sz w:val="22"/>
          <w:szCs w:val="22"/>
        </w:rPr>
      </w:pPr>
      <w:bookmarkStart w:id="0" w:name="_Hlk94778135"/>
      <w:r w:rsidRPr="49CFF048">
        <w:rPr>
          <w:rFonts w:ascii="Calibri" w:eastAsia="Calibri" w:hAnsi="Calibri" w:cs="Calibri"/>
          <w:b/>
          <w:bCs/>
          <w:color w:val="000000" w:themeColor="text1"/>
          <w:sz w:val="22"/>
          <w:szCs w:val="22"/>
        </w:rPr>
        <w:t>Key Points</w:t>
      </w:r>
    </w:p>
    <w:p w14:paraId="43CF2CB7" w14:textId="2FAE52BD" w:rsidR="41BD7351" w:rsidRDefault="41BD7351" w:rsidP="1EE0C08E">
      <w:pPr>
        <w:pStyle w:val="Normal1"/>
        <w:spacing w:after="120"/>
        <w:jc w:val="both"/>
        <w:rPr>
          <w:rFonts w:ascii="Calibri" w:eastAsia="Calibri" w:hAnsi="Calibri" w:cs="Calibri"/>
          <w:color w:val="000000" w:themeColor="text1"/>
          <w:sz w:val="22"/>
          <w:szCs w:val="22"/>
        </w:rPr>
      </w:pPr>
      <w:bookmarkStart w:id="1" w:name="_Hlk94776537"/>
      <w:r w:rsidRPr="1EE0C08E">
        <w:rPr>
          <w:rFonts w:ascii="Calibri" w:eastAsia="Calibri" w:hAnsi="Calibri" w:cs="Calibri"/>
          <w:color w:val="000000" w:themeColor="text1"/>
          <w:sz w:val="22"/>
          <w:szCs w:val="22"/>
        </w:rPr>
        <w:t>There was progress against all the indicators except 1.2 since 2019, with targets exceeded for 1.1 and 1.3.</w:t>
      </w:r>
      <w:r w:rsidR="24CDC041" w:rsidRPr="1EE0C08E">
        <w:rPr>
          <w:rFonts w:ascii="Calibri" w:eastAsia="Calibri" w:hAnsi="Calibri" w:cs="Calibri"/>
          <w:color w:val="000000" w:themeColor="text1"/>
          <w:sz w:val="22"/>
          <w:szCs w:val="22"/>
        </w:rPr>
        <w:t xml:space="preserve"> Targets are on track to be met or have already been exceeded up to 2022.</w:t>
      </w:r>
    </w:p>
    <w:bookmarkEnd w:id="0"/>
    <w:bookmarkEnd w:id="1"/>
    <w:p w14:paraId="6C7F3810" w14:textId="6C3FD6C7" w:rsidR="41BD7351" w:rsidRDefault="41BD7351" w:rsidP="49CFF048">
      <w:pPr>
        <w:jc w:val="both"/>
        <w:rPr>
          <w:rFonts w:asciiTheme="minorHAnsi" w:eastAsiaTheme="minorEastAsia" w:hAnsiTheme="minorHAnsi" w:cstheme="minorBidi"/>
          <w:sz w:val="22"/>
          <w:szCs w:val="22"/>
        </w:rPr>
      </w:pPr>
      <w:r w:rsidRPr="49CFF048">
        <w:rPr>
          <w:rFonts w:asciiTheme="minorHAnsi" w:eastAsiaTheme="minorEastAsia" w:hAnsiTheme="minorHAnsi" w:cstheme="minorBidi"/>
          <w:sz w:val="22"/>
          <w:szCs w:val="22"/>
        </w:rPr>
        <w:t xml:space="preserve">Progress:  </w:t>
      </w:r>
    </w:p>
    <w:p w14:paraId="399149FE" w14:textId="3CBAB0FA" w:rsidR="0825F6F0" w:rsidRDefault="0825F6F0" w:rsidP="49CFF048">
      <w:pPr>
        <w:pStyle w:val="ListParagraph"/>
        <w:numPr>
          <w:ilvl w:val="0"/>
          <w:numId w:val="23"/>
        </w:numPr>
        <w:jc w:val="both"/>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 xml:space="preserve">The number of FIs in </w:t>
      </w:r>
      <w:r w:rsidR="08C54CB6" w:rsidRPr="0116275A">
        <w:rPr>
          <w:rFonts w:asciiTheme="minorHAnsi" w:eastAsiaTheme="minorEastAsia" w:hAnsiTheme="minorHAnsi" w:cstheme="minorBidi"/>
          <w:sz w:val="22"/>
          <w:szCs w:val="22"/>
        </w:rPr>
        <w:t xml:space="preserve">the </w:t>
      </w:r>
      <w:r w:rsidRPr="0116275A">
        <w:rPr>
          <w:rFonts w:asciiTheme="minorHAnsi" w:eastAsiaTheme="minorEastAsia" w:hAnsiTheme="minorHAnsi" w:cstheme="minorBidi"/>
          <w:sz w:val="22"/>
          <w:szCs w:val="22"/>
        </w:rPr>
        <w:t xml:space="preserve">EBF’s portfolio grew </w:t>
      </w:r>
      <w:r w:rsidR="2A9DEF86" w:rsidRPr="0116275A">
        <w:rPr>
          <w:rFonts w:asciiTheme="minorHAnsi" w:eastAsiaTheme="minorEastAsia" w:hAnsiTheme="minorHAnsi" w:cstheme="minorBidi"/>
          <w:sz w:val="22"/>
          <w:szCs w:val="22"/>
        </w:rPr>
        <w:t>during 2020 from 17 to 2</w:t>
      </w:r>
      <w:r w:rsidR="001B7688">
        <w:rPr>
          <w:rFonts w:asciiTheme="minorHAnsi" w:eastAsiaTheme="minorEastAsia" w:hAnsiTheme="minorHAnsi" w:cstheme="minorBidi"/>
          <w:sz w:val="22"/>
          <w:szCs w:val="22"/>
        </w:rPr>
        <w:t>2</w:t>
      </w:r>
      <w:r w:rsidR="2A9DEF86" w:rsidRPr="0116275A">
        <w:rPr>
          <w:rFonts w:asciiTheme="minorHAnsi" w:eastAsiaTheme="minorEastAsia" w:hAnsiTheme="minorHAnsi" w:cstheme="minorBidi"/>
          <w:sz w:val="22"/>
          <w:szCs w:val="22"/>
        </w:rPr>
        <w:t xml:space="preserve">, with the Fund completing ten new investments amounting to a total of USD 167.5 million in </w:t>
      </w:r>
      <w:r w:rsidR="0059286A">
        <w:rPr>
          <w:rFonts w:asciiTheme="minorHAnsi" w:eastAsiaTheme="minorEastAsia" w:hAnsiTheme="minorHAnsi" w:cstheme="minorBidi"/>
          <w:sz w:val="22"/>
          <w:szCs w:val="22"/>
        </w:rPr>
        <w:t xml:space="preserve">commitments, of which USD 150 million was disbursed </w:t>
      </w:r>
      <w:r w:rsidR="00F974F9">
        <w:rPr>
          <w:rFonts w:asciiTheme="minorHAnsi" w:eastAsiaTheme="minorEastAsia" w:hAnsiTheme="minorHAnsi" w:cstheme="minorBidi"/>
          <w:sz w:val="22"/>
          <w:szCs w:val="22"/>
        </w:rPr>
        <w:t xml:space="preserve">immediately </w:t>
      </w:r>
      <w:r w:rsidR="0059286A">
        <w:rPr>
          <w:rFonts w:asciiTheme="minorHAnsi" w:eastAsiaTheme="minorEastAsia" w:hAnsiTheme="minorHAnsi" w:cstheme="minorBidi"/>
          <w:sz w:val="22"/>
          <w:szCs w:val="22"/>
        </w:rPr>
        <w:t>in 2020</w:t>
      </w:r>
      <w:r w:rsidR="2A9DEF86" w:rsidRPr="0116275A">
        <w:rPr>
          <w:rFonts w:asciiTheme="minorHAnsi" w:eastAsiaTheme="minorEastAsia" w:hAnsiTheme="minorHAnsi" w:cstheme="minorBidi"/>
          <w:sz w:val="22"/>
          <w:szCs w:val="22"/>
        </w:rPr>
        <w:t xml:space="preserve">. </w:t>
      </w:r>
    </w:p>
    <w:p w14:paraId="7632E5D5" w14:textId="6E563B69" w:rsidR="3FEE4CB5" w:rsidRDefault="7543E135" w:rsidP="2BE51E91">
      <w:pPr>
        <w:pStyle w:val="ListParagraph"/>
        <w:numPr>
          <w:ilvl w:val="0"/>
          <w:numId w:val="23"/>
        </w:numPr>
        <w:jc w:val="both"/>
        <w:rPr>
          <w:rFonts w:asciiTheme="minorHAnsi" w:eastAsiaTheme="minorEastAsia" w:hAnsiTheme="minorHAnsi" w:cstheme="minorBidi"/>
          <w:sz w:val="22"/>
          <w:szCs w:val="22"/>
        </w:rPr>
      </w:pPr>
      <w:r w:rsidRPr="2BE51E91">
        <w:rPr>
          <w:rFonts w:asciiTheme="minorHAnsi" w:eastAsiaTheme="minorEastAsia" w:hAnsiTheme="minorHAnsi" w:cstheme="minorBidi"/>
          <w:sz w:val="22"/>
          <w:szCs w:val="22"/>
        </w:rPr>
        <w:t xml:space="preserve">The Fund currently channels dedicated financing to local producers via selected local FIs, and in limited cases will provide direct financing for innovative, high-impact businesses and projects. </w:t>
      </w:r>
      <w:r w:rsidR="1019698C" w:rsidRPr="2BE51E91">
        <w:rPr>
          <w:rFonts w:asciiTheme="minorHAnsi" w:eastAsiaTheme="minorEastAsia" w:hAnsiTheme="minorHAnsi" w:cstheme="minorBidi"/>
          <w:sz w:val="22"/>
          <w:szCs w:val="22"/>
        </w:rPr>
        <w:t>One such</w:t>
      </w:r>
      <w:r w:rsidR="065191D7" w:rsidRPr="2BE51E91">
        <w:rPr>
          <w:rFonts w:asciiTheme="minorHAnsi" w:eastAsiaTheme="minorEastAsia" w:hAnsiTheme="minorHAnsi" w:cstheme="minorBidi"/>
          <w:sz w:val="22"/>
          <w:szCs w:val="22"/>
        </w:rPr>
        <w:t xml:space="preserve"> examp</w:t>
      </w:r>
      <w:r w:rsidR="5784A2EB" w:rsidRPr="2BE51E91">
        <w:rPr>
          <w:rFonts w:asciiTheme="minorHAnsi" w:eastAsiaTheme="minorEastAsia" w:hAnsiTheme="minorHAnsi" w:cstheme="minorBidi"/>
          <w:sz w:val="22"/>
          <w:szCs w:val="22"/>
        </w:rPr>
        <w:t>le o</w:t>
      </w:r>
      <w:r w:rsidR="04C37D8B" w:rsidRPr="2BE51E91">
        <w:rPr>
          <w:rFonts w:asciiTheme="minorHAnsi" w:eastAsiaTheme="minorEastAsia" w:hAnsiTheme="minorHAnsi" w:cstheme="minorBidi"/>
          <w:sz w:val="22"/>
          <w:szCs w:val="22"/>
        </w:rPr>
        <w:t>f th</w:t>
      </w:r>
      <w:r w:rsidR="2CAAC9AF" w:rsidRPr="2BE51E91">
        <w:rPr>
          <w:rFonts w:asciiTheme="minorHAnsi" w:eastAsiaTheme="minorEastAsia" w:hAnsiTheme="minorHAnsi" w:cstheme="minorBidi"/>
          <w:sz w:val="22"/>
          <w:szCs w:val="22"/>
        </w:rPr>
        <w:t>e lat</w:t>
      </w:r>
      <w:r w:rsidR="3C91EB58" w:rsidRPr="2BE51E91">
        <w:rPr>
          <w:rFonts w:asciiTheme="minorHAnsi" w:eastAsiaTheme="minorEastAsia" w:hAnsiTheme="minorHAnsi" w:cstheme="minorBidi"/>
          <w:sz w:val="22"/>
          <w:szCs w:val="22"/>
        </w:rPr>
        <w:t xml:space="preserve">ter </w:t>
      </w:r>
      <w:r w:rsidR="30E620AF" w:rsidRPr="2BE51E91">
        <w:rPr>
          <w:rFonts w:asciiTheme="minorHAnsi" w:eastAsiaTheme="minorEastAsia" w:hAnsiTheme="minorHAnsi" w:cstheme="minorBidi"/>
          <w:sz w:val="22"/>
          <w:szCs w:val="22"/>
        </w:rPr>
        <w:t xml:space="preserve">is </w:t>
      </w:r>
      <w:r w:rsidR="1EC3869C" w:rsidRPr="2BE51E91">
        <w:rPr>
          <w:rFonts w:asciiTheme="minorHAnsi" w:eastAsiaTheme="minorEastAsia" w:hAnsiTheme="minorHAnsi" w:cstheme="minorBidi"/>
          <w:sz w:val="22"/>
          <w:szCs w:val="22"/>
        </w:rPr>
        <w:t>t</w:t>
      </w:r>
      <w:r w:rsidR="39345968" w:rsidRPr="2BE51E91">
        <w:rPr>
          <w:rFonts w:asciiTheme="minorHAnsi" w:eastAsiaTheme="minorEastAsia" w:hAnsiTheme="minorHAnsi" w:cstheme="minorBidi"/>
          <w:sz w:val="22"/>
          <w:szCs w:val="22"/>
        </w:rPr>
        <w:t xml:space="preserve">he Fund’s first corporate transaction investment, which was a USD 15 million loan to Industrial Pesquera Santa Priscila, the largest shrimp producer in Ecuador. </w:t>
      </w:r>
      <w:r w:rsidR="751F7C42" w:rsidRPr="2BE51E91">
        <w:rPr>
          <w:rFonts w:asciiTheme="minorHAnsi" w:eastAsiaTheme="minorEastAsia" w:hAnsiTheme="minorHAnsi" w:cstheme="minorBidi"/>
          <w:sz w:val="22"/>
          <w:szCs w:val="22"/>
        </w:rPr>
        <w:t xml:space="preserve"> The</w:t>
      </w:r>
      <w:r w:rsidR="59321EFF" w:rsidRPr="2BE51E91">
        <w:rPr>
          <w:rFonts w:asciiTheme="minorHAnsi" w:eastAsiaTheme="minorEastAsia" w:hAnsiTheme="minorHAnsi" w:cstheme="minorBidi"/>
          <w:sz w:val="22"/>
          <w:szCs w:val="22"/>
        </w:rPr>
        <w:t xml:space="preserve"> loan </w:t>
      </w:r>
      <w:r w:rsidR="751F7C42" w:rsidRPr="2BE51E91">
        <w:rPr>
          <w:rFonts w:asciiTheme="minorHAnsi" w:eastAsiaTheme="minorEastAsia" w:hAnsiTheme="minorHAnsi" w:cstheme="minorBidi"/>
          <w:sz w:val="22"/>
          <w:szCs w:val="22"/>
        </w:rPr>
        <w:t>will be used to implement measures that further reduce the company’s environmental footprint and resource use, as well as support sustainable production</w:t>
      </w:r>
      <w:r w:rsidR="5F99DC90" w:rsidRPr="2BE51E91">
        <w:rPr>
          <w:rFonts w:asciiTheme="minorHAnsi" w:eastAsiaTheme="minorEastAsia" w:hAnsiTheme="minorHAnsi" w:cstheme="minorBidi"/>
          <w:sz w:val="22"/>
          <w:szCs w:val="22"/>
        </w:rPr>
        <w:t xml:space="preserve"> in the aquaculture industry, one of EBF’s four target sectors</w:t>
      </w:r>
      <w:r w:rsidR="57F2B25D" w:rsidRPr="2BE51E91">
        <w:rPr>
          <w:rFonts w:asciiTheme="minorHAnsi" w:eastAsiaTheme="minorEastAsia" w:hAnsiTheme="minorHAnsi" w:cstheme="minorBidi"/>
          <w:sz w:val="22"/>
          <w:szCs w:val="22"/>
        </w:rPr>
        <w:t xml:space="preserve"> (the others being agriculture, </w:t>
      </w:r>
      <w:r w:rsidR="2FEB3C48" w:rsidRPr="2BE51E91">
        <w:rPr>
          <w:rFonts w:asciiTheme="minorHAnsi" w:eastAsiaTheme="minorEastAsia" w:hAnsiTheme="minorHAnsi" w:cstheme="minorBidi"/>
          <w:sz w:val="22"/>
          <w:szCs w:val="22"/>
        </w:rPr>
        <w:t>forestry,</w:t>
      </w:r>
      <w:r w:rsidR="57F2B25D" w:rsidRPr="2BE51E91">
        <w:rPr>
          <w:rFonts w:asciiTheme="minorHAnsi" w:eastAsiaTheme="minorEastAsia" w:hAnsiTheme="minorHAnsi" w:cstheme="minorBidi"/>
          <w:sz w:val="22"/>
          <w:szCs w:val="22"/>
        </w:rPr>
        <w:t xml:space="preserve"> and sustainable tourism).</w:t>
      </w:r>
      <w:r w:rsidR="751F7C42" w:rsidRPr="2BE51E91">
        <w:rPr>
          <w:rFonts w:asciiTheme="minorHAnsi" w:eastAsiaTheme="minorEastAsia" w:hAnsiTheme="minorHAnsi" w:cstheme="minorBidi"/>
          <w:color w:val="FF0000"/>
          <w:sz w:val="22"/>
          <w:szCs w:val="22"/>
        </w:rPr>
        <w:t xml:space="preserve"> </w:t>
      </w:r>
      <w:r w:rsidR="0764DAA5" w:rsidRPr="2BE51E91">
        <w:rPr>
          <w:rFonts w:asciiTheme="minorHAnsi" w:eastAsiaTheme="minorEastAsia" w:hAnsiTheme="minorHAnsi" w:cstheme="minorBidi"/>
          <w:sz w:val="22"/>
          <w:szCs w:val="22"/>
        </w:rPr>
        <w:t>The bracketed figure in the table for 1.1 is the total plus t</w:t>
      </w:r>
      <w:r w:rsidR="7127ABCB" w:rsidRPr="2BE51E91">
        <w:rPr>
          <w:rFonts w:asciiTheme="minorHAnsi" w:eastAsiaTheme="minorEastAsia" w:hAnsiTheme="minorHAnsi" w:cstheme="minorBidi"/>
          <w:sz w:val="22"/>
          <w:szCs w:val="22"/>
        </w:rPr>
        <w:t xml:space="preserve">he </w:t>
      </w:r>
      <w:r w:rsidR="0BEB61F9" w:rsidRPr="2BE51E91">
        <w:rPr>
          <w:rFonts w:asciiTheme="minorHAnsi" w:eastAsiaTheme="minorEastAsia" w:hAnsiTheme="minorHAnsi" w:cstheme="minorBidi"/>
          <w:sz w:val="22"/>
          <w:szCs w:val="22"/>
        </w:rPr>
        <w:t>invest</w:t>
      </w:r>
      <w:r w:rsidR="215963C2" w:rsidRPr="2BE51E91">
        <w:rPr>
          <w:rFonts w:asciiTheme="minorHAnsi" w:eastAsiaTheme="minorEastAsia" w:hAnsiTheme="minorHAnsi" w:cstheme="minorBidi"/>
          <w:sz w:val="22"/>
          <w:szCs w:val="22"/>
        </w:rPr>
        <w:t xml:space="preserve">ment in </w:t>
      </w:r>
      <w:r w:rsidR="62EEAB56" w:rsidRPr="2BE51E91">
        <w:rPr>
          <w:rFonts w:asciiTheme="minorHAnsi" w:eastAsiaTheme="minorEastAsia" w:hAnsiTheme="minorHAnsi" w:cstheme="minorBidi"/>
          <w:sz w:val="22"/>
          <w:szCs w:val="22"/>
        </w:rPr>
        <w:t>Industrial Pesquera Santa Priscila</w:t>
      </w:r>
      <w:r w:rsidR="737D7535" w:rsidRPr="2BE51E91">
        <w:rPr>
          <w:rFonts w:asciiTheme="minorHAnsi" w:eastAsiaTheme="minorEastAsia" w:hAnsiTheme="minorHAnsi" w:cstheme="minorBidi"/>
          <w:sz w:val="22"/>
          <w:szCs w:val="22"/>
        </w:rPr>
        <w:t>.</w:t>
      </w:r>
    </w:p>
    <w:p w14:paraId="1BD70F22" w14:textId="74436D1E" w:rsidR="7E978996" w:rsidRDefault="7E978996" w:rsidP="1EE0C08E">
      <w:pPr>
        <w:pStyle w:val="ListParagraph"/>
        <w:numPr>
          <w:ilvl w:val="0"/>
          <w:numId w:val="23"/>
        </w:numPr>
        <w:jc w:val="both"/>
        <w:rPr>
          <w:rFonts w:ascii="Calibri" w:eastAsia="Calibri" w:hAnsi="Calibri" w:cs="Calibri"/>
          <w:sz w:val="22"/>
          <w:szCs w:val="22"/>
        </w:rPr>
      </w:pPr>
      <w:r w:rsidRPr="0116275A">
        <w:rPr>
          <w:rFonts w:ascii="Calibri" w:eastAsia="Calibri" w:hAnsi="Calibri" w:cs="Calibri"/>
          <w:sz w:val="22"/>
          <w:szCs w:val="22"/>
        </w:rPr>
        <w:t>The commodity most supported in the Fund’s outstanding sub-loan portfolio at the end of 2020 was coffee , which demonst</w:t>
      </w:r>
      <w:r w:rsidR="45663FFD" w:rsidRPr="0116275A">
        <w:rPr>
          <w:rFonts w:ascii="Calibri" w:eastAsia="Calibri" w:hAnsi="Calibri" w:cs="Calibri"/>
          <w:sz w:val="22"/>
          <w:szCs w:val="22"/>
        </w:rPr>
        <w:t>r</w:t>
      </w:r>
      <w:r w:rsidRPr="0116275A">
        <w:rPr>
          <w:rFonts w:ascii="Calibri" w:eastAsia="Calibri" w:hAnsi="Calibri" w:cs="Calibri"/>
          <w:sz w:val="22"/>
          <w:szCs w:val="22"/>
        </w:rPr>
        <w:t xml:space="preserve">ates the success of the </w:t>
      </w:r>
      <w:r w:rsidR="32760C1A" w:rsidRPr="0116275A">
        <w:rPr>
          <w:rFonts w:ascii="Calibri" w:eastAsia="Calibri" w:hAnsi="Calibri" w:cs="Calibri"/>
          <w:sz w:val="22"/>
          <w:szCs w:val="22"/>
        </w:rPr>
        <w:t xml:space="preserve">EBF </w:t>
      </w:r>
      <w:r w:rsidRPr="0116275A">
        <w:rPr>
          <w:rFonts w:ascii="Calibri" w:eastAsia="Calibri" w:hAnsi="Calibri" w:cs="Calibri"/>
          <w:sz w:val="22"/>
          <w:szCs w:val="22"/>
        </w:rPr>
        <w:t xml:space="preserve">in supporting the sustainability </w:t>
      </w:r>
      <w:r w:rsidRPr="0116275A">
        <w:rPr>
          <w:rFonts w:ascii="Calibri" w:eastAsia="Calibri" w:hAnsi="Calibri" w:cs="Calibri"/>
          <w:sz w:val="22"/>
          <w:szCs w:val="22"/>
        </w:rPr>
        <w:lastRenderedPageBreak/>
        <w:t xml:space="preserve">of this </w:t>
      </w:r>
      <w:r w:rsidR="7896EA03" w:rsidRPr="0116275A">
        <w:rPr>
          <w:rFonts w:ascii="Calibri" w:eastAsia="Calibri" w:hAnsi="Calibri" w:cs="Calibri"/>
          <w:sz w:val="22"/>
          <w:szCs w:val="22"/>
        </w:rPr>
        <w:t xml:space="preserve">key </w:t>
      </w:r>
      <w:r w:rsidRPr="0116275A">
        <w:rPr>
          <w:rFonts w:ascii="Calibri" w:eastAsia="Calibri" w:hAnsi="Calibri" w:cs="Calibri"/>
          <w:sz w:val="22"/>
          <w:szCs w:val="22"/>
        </w:rPr>
        <w:t>Latin American cro</w:t>
      </w:r>
      <w:r w:rsidR="18DE809A" w:rsidRPr="0116275A">
        <w:rPr>
          <w:rFonts w:ascii="Calibri" w:eastAsia="Calibri" w:hAnsi="Calibri" w:cs="Calibri"/>
          <w:sz w:val="22"/>
          <w:szCs w:val="22"/>
        </w:rPr>
        <w:t>p</w:t>
      </w:r>
      <w:r w:rsidRPr="0116275A">
        <w:rPr>
          <w:rFonts w:ascii="Calibri" w:eastAsia="Calibri" w:hAnsi="Calibri" w:cs="Calibri"/>
          <w:sz w:val="22"/>
          <w:szCs w:val="22"/>
        </w:rPr>
        <w:t xml:space="preserve">. The “blue sector” (farmed fish and shrimp) represents the second </w:t>
      </w:r>
      <w:r w:rsidR="5350E71F" w:rsidRPr="0116275A">
        <w:rPr>
          <w:rFonts w:ascii="Calibri" w:eastAsia="Calibri" w:hAnsi="Calibri" w:cs="Calibri"/>
          <w:sz w:val="22"/>
          <w:szCs w:val="22"/>
        </w:rPr>
        <w:t xml:space="preserve">largest commodity </w:t>
      </w:r>
      <w:r w:rsidRPr="0116275A">
        <w:rPr>
          <w:rFonts w:ascii="Calibri" w:eastAsia="Calibri" w:hAnsi="Calibri" w:cs="Calibri"/>
          <w:sz w:val="22"/>
          <w:szCs w:val="22"/>
        </w:rPr>
        <w:t>in the Fund’s sub-loan portfolio</w:t>
      </w:r>
      <w:r w:rsidR="227F7EBD" w:rsidRPr="0116275A">
        <w:rPr>
          <w:rFonts w:ascii="Calibri" w:eastAsia="Calibri" w:hAnsi="Calibri" w:cs="Calibri"/>
          <w:sz w:val="22"/>
          <w:szCs w:val="22"/>
        </w:rPr>
        <w:t>. This has been a recent focus area of the fund in recognition of the economic importance of this com</w:t>
      </w:r>
      <w:r w:rsidR="19D8B663" w:rsidRPr="0116275A">
        <w:rPr>
          <w:rFonts w:ascii="Calibri" w:eastAsia="Calibri" w:hAnsi="Calibri" w:cs="Calibri"/>
          <w:sz w:val="22"/>
          <w:szCs w:val="22"/>
        </w:rPr>
        <w:t>m</w:t>
      </w:r>
      <w:r w:rsidR="227F7EBD" w:rsidRPr="0116275A">
        <w:rPr>
          <w:rFonts w:ascii="Calibri" w:eastAsia="Calibri" w:hAnsi="Calibri" w:cs="Calibri"/>
          <w:sz w:val="22"/>
          <w:szCs w:val="22"/>
        </w:rPr>
        <w:t xml:space="preserve">odity in </w:t>
      </w:r>
      <w:r w:rsidR="2ECCDBB1" w:rsidRPr="0116275A">
        <w:rPr>
          <w:rFonts w:ascii="Calibri" w:eastAsia="Calibri" w:hAnsi="Calibri" w:cs="Calibri"/>
          <w:sz w:val="22"/>
          <w:szCs w:val="22"/>
        </w:rPr>
        <w:t>LAC</w:t>
      </w:r>
      <w:r w:rsidRPr="0116275A">
        <w:rPr>
          <w:rFonts w:ascii="Calibri" w:eastAsia="Calibri" w:hAnsi="Calibri" w:cs="Calibri"/>
          <w:sz w:val="22"/>
          <w:szCs w:val="22"/>
        </w:rPr>
        <w:t xml:space="preserve"> (see also reference to first corporate transaction above).</w:t>
      </w:r>
    </w:p>
    <w:p w14:paraId="77EFD19F" w14:textId="08B00757" w:rsidR="00EC3141" w:rsidRPr="00A73B10" w:rsidRDefault="2A9DEF86" w:rsidP="1EE0C08E">
      <w:pPr>
        <w:pStyle w:val="ListParagraph"/>
        <w:numPr>
          <w:ilvl w:val="0"/>
          <w:numId w:val="23"/>
        </w:numPr>
        <w:jc w:val="both"/>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The Fund also entered a new country</w:t>
      </w:r>
      <w:r w:rsidR="5B3DA7FC" w:rsidRPr="0116275A">
        <w:rPr>
          <w:rFonts w:asciiTheme="minorHAnsi" w:eastAsiaTheme="minorEastAsia" w:hAnsiTheme="minorHAnsi" w:cstheme="minorBidi"/>
          <w:sz w:val="22"/>
          <w:szCs w:val="22"/>
        </w:rPr>
        <w:t xml:space="preserve"> - G</w:t>
      </w:r>
      <w:r w:rsidRPr="0116275A">
        <w:rPr>
          <w:rFonts w:asciiTheme="minorHAnsi" w:eastAsiaTheme="minorEastAsia" w:hAnsiTheme="minorHAnsi" w:cstheme="minorBidi"/>
          <w:sz w:val="22"/>
          <w:szCs w:val="22"/>
        </w:rPr>
        <w:t>uatemala.</w:t>
      </w:r>
      <w:r w:rsidR="0233C63A" w:rsidRPr="0116275A">
        <w:rPr>
          <w:rFonts w:asciiTheme="minorHAnsi" w:eastAsiaTheme="minorEastAsia" w:hAnsiTheme="minorHAnsi" w:cstheme="minorBidi"/>
          <w:sz w:val="22"/>
          <w:szCs w:val="22"/>
        </w:rPr>
        <w:t xml:space="preserve"> It therefore now operates across among 22 Partner Institutions in </w:t>
      </w:r>
      <w:r w:rsidR="35B5642A" w:rsidRPr="0116275A">
        <w:rPr>
          <w:rFonts w:asciiTheme="minorHAnsi" w:eastAsiaTheme="minorEastAsia" w:hAnsiTheme="minorHAnsi" w:cstheme="minorBidi"/>
          <w:sz w:val="22"/>
          <w:szCs w:val="22"/>
        </w:rPr>
        <w:t xml:space="preserve">8 </w:t>
      </w:r>
      <w:r w:rsidR="0233C63A" w:rsidRPr="0116275A">
        <w:rPr>
          <w:rFonts w:asciiTheme="minorHAnsi" w:eastAsiaTheme="minorEastAsia" w:hAnsiTheme="minorHAnsi" w:cstheme="minorBidi"/>
          <w:sz w:val="22"/>
          <w:szCs w:val="22"/>
        </w:rPr>
        <w:t xml:space="preserve">countries (Colombia, Costa Rica, Ecuador, El Salvador, Nicaragua, Panama, </w:t>
      </w:r>
      <w:r w:rsidR="2B376AD9" w:rsidRPr="0116275A">
        <w:rPr>
          <w:rFonts w:asciiTheme="minorHAnsi" w:eastAsiaTheme="minorEastAsia" w:hAnsiTheme="minorHAnsi" w:cstheme="minorBidi"/>
          <w:sz w:val="22"/>
          <w:szCs w:val="22"/>
        </w:rPr>
        <w:t>Honduras,</w:t>
      </w:r>
      <w:r w:rsidR="0233C63A" w:rsidRPr="0116275A">
        <w:rPr>
          <w:rFonts w:asciiTheme="minorHAnsi" w:eastAsiaTheme="minorEastAsia" w:hAnsiTheme="minorHAnsi" w:cstheme="minorBidi"/>
          <w:sz w:val="22"/>
          <w:szCs w:val="22"/>
        </w:rPr>
        <w:t xml:space="preserve"> and Guatemala). </w:t>
      </w:r>
      <w:r w:rsidR="68742192" w:rsidRPr="0116275A">
        <w:rPr>
          <w:rFonts w:asciiTheme="minorHAnsi" w:eastAsiaTheme="minorEastAsia" w:hAnsiTheme="minorHAnsi" w:cstheme="minorBidi"/>
          <w:sz w:val="22"/>
          <w:szCs w:val="22"/>
        </w:rPr>
        <w:t xml:space="preserve">It is worth noting that as of 2019 </w:t>
      </w:r>
      <w:r w:rsidR="6EAF65CB" w:rsidRPr="0116275A">
        <w:rPr>
          <w:rFonts w:asciiTheme="minorHAnsi" w:eastAsiaTheme="minorEastAsia" w:hAnsiTheme="minorHAnsi" w:cstheme="minorBidi"/>
          <w:sz w:val="22"/>
          <w:szCs w:val="22"/>
        </w:rPr>
        <w:t>TA</w:t>
      </w:r>
      <w:r w:rsidR="68742192" w:rsidRPr="0116275A">
        <w:rPr>
          <w:rFonts w:asciiTheme="minorHAnsi" w:eastAsiaTheme="minorEastAsia" w:hAnsiTheme="minorHAnsi" w:cstheme="minorBidi"/>
          <w:sz w:val="22"/>
          <w:szCs w:val="22"/>
        </w:rPr>
        <w:t xml:space="preserve"> has been provided in Mexico, but</w:t>
      </w:r>
      <w:r w:rsidR="6DCF3378" w:rsidRPr="0116275A">
        <w:rPr>
          <w:rFonts w:asciiTheme="minorHAnsi" w:eastAsiaTheme="minorEastAsia" w:hAnsiTheme="minorHAnsi" w:cstheme="minorBidi"/>
          <w:sz w:val="22"/>
          <w:szCs w:val="22"/>
        </w:rPr>
        <w:t xml:space="preserve"> as</w:t>
      </w:r>
      <w:r w:rsidR="68742192" w:rsidRPr="0116275A">
        <w:rPr>
          <w:rFonts w:asciiTheme="minorHAnsi" w:eastAsiaTheme="minorEastAsia" w:hAnsiTheme="minorHAnsi" w:cstheme="minorBidi"/>
          <w:sz w:val="22"/>
          <w:szCs w:val="22"/>
        </w:rPr>
        <w:t xml:space="preserve"> there </w:t>
      </w:r>
      <w:r w:rsidR="15A1DA33" w:rsidRPr="55167995">
        <w:rPr>
          <w:rFonts w:asciiTheme="minorHAnsi" w:eastAsiaTheme="minorEastAsia" w:hAnsiTheme="minorHAnsi" w:cstheme="minorBidi"/>
          <w:sz w:val="22"/>
          <w:szCs w:val="22"/>
        </w:rPr>
        <w:t>were</w:t>
      </w:r>
      <w:r w:rsidR="3D543CF9" w:rsidRPr="55167995">
        <w:rPr>
          <w:rFonts w:asciiTheme="minorHAnsi" w:eastAsiaTheme="minorEastAsia" w:hAnsiTheme="minorHAnsi" w:cstheme="minorBidi"/>
          <w:sz w:val="22"/>
          <w:szCs w:val="22"/>
        </w:rPr>
        <w:t xml:space="preserve"> </w:t>
      </w:r>
      <w:r w:rsidR="68742192" w:rsidRPr="0116275A">
        <w:rPr>
          <w:rFonts w:asciiTheme="minorHAnsi" w:eastAsiaTheme="minorEastAsia" w:hAnsiTheme="minorHAnsi" w:cstheme="minorBidi"/>
          <w:sz w:val="22"/>
          <w:szCs w:val="22"/>
        </w:rPr>
        <w:t xml:space="preserve">no investments in Mexico </w:t>
      </w:r>
      <w:r w:rsidR="004D2C19">
        <w:rPr>
          <w:rFonts w:asciiTheme="minorHAnsi" w:eastAsiaTheme="minorEastAsia" w:hAnsiTheme="minorHAnsi" w:cstheme="minorBidi"/>
          <w:sz w:val="22"/>
          <w:szCs w:val="22"/>
        </w:rPr>
        <w:t>as</w:t>
      </w:r>
      <w:r w:rsidR="34321441" w:rsidRPr="55167995">
        <w:rPr>
          <w:rFonts w:asciiTheme="minorHAnsi" w:eastAsiaTheme="minorEastAsia" w:hAnsiTheme="minorHAnsi" w:cstheme="minorBidi"/>
          <w:sz w:val="22"/>
          <w:szCs w:val="22"/>
        </w:rPr>
        <w:t xml:space="preserve"> of year-end 2020</w:t>
      </w:r>
      <w:r w:rsidR="68742192" w:rsidRPr="0116275A">
        <w:rPr>
          <w:rFonts w:asciiTheme="minorHAnsi" w:eastAsiaTheme="minorEastAsia" w:hAnsiTheme="minorHAnsi" w:cstheme="minorBidi"/>
          <w:sz w:val="22"/>
          <w:szCs w:val="22"/>
        </w:rPr>
        <w:t xml:space="preserve"> this is not reported as a country in which the Fund operates.</w:t>
      </w:r>
    </w:p>
    <w:p w14:paraId="18E6E1AF" w14:textId="7D5A3632" w:rsidR="00DF0F8B" w:rsidRDefault="3B356CAD" w:rsidP="00DF0F8B">
      <w:pPr>
        <w:jc w:val="both"/>
        <w:rPr>
          <w:rFonts w:ascii="Calibri" w:hAnsi="Calibri"/>
          <w:sz w:val="22"/>
          <w:szCs w:val="22"/>
        </w:rPr>
      </w:pPr>
      <w:r w:rsidRPr="000E4100">
        <w:rPr>
          <w:rFonts w:asciiTheme="minorHAnsi" w:eastAsiaTheme="minorEastAsia" w:hAnsiTheme="minorHAnsi" w:cstheme="minorBidi"/>
          <w:sz w:val="22"/>
          <w:szCs w:val="22"/>
        </w:rPr>
        <w:t>As of year</w:t>
      </w:r>
      <w:r w:rsidR="740E3CBB" w:rsidRPr="000E4100">
        <w:rPr>
          <w:rFonts w:asciiTheme="minorHAnsi" w:eastAsiaTheme="minorEastAsia" w:hAnsiTheme="minorHAnsi" w:cstheme="minorBidi"/>
          <w:sz w:val="22"/>
          <w:szCs w:val="22"/>
        </w:rPr>
        <w:t>-</w:t>
      </w:r>
      <w:r w:rsidRPr="000E4100">
        <w:rPr>
          <w:rFonts w:asciiTheme="minorHAnsi" w:eastAsiaTheme="minorEastAsia" w:hAnsiTheme="minorHAnsi" w:cstheme="minorBidi"/>
          <w:sz w:val="22"/>
          <w:szCs w:val="22"/>
        </w:rPr>
        <w:t xml:space="preserve">end 2020, the number of crops reported by </w:t>
      </w:r>
      <w:r w:rsidR="67C06BB3" w:rsidRPr="000E4100">
        <w:rPr>
          <w:rFonts w:asciiTheme="minorHAnsi" w:eastAsiaTheme="minorEastAsia" w:hAnsiTheme="minorHAnsi" w:cstheme="minorBidi"/>
          <w:sz w:val="22"/>
          <w:szCs w:val="22"/>
        </w:rPr>
        <w:t>F</w:t>
      </w:r>
      <w:r w:rsidRPr="000E4100">
        <w:rPr>
          <w:rFonts w:asciiTheme="minorHAnsi" w:eastAsiaTheme="minorEastAsia" w:hAnsiTheme="minorHAnsi" w:cstheme="minorBidi"/>
          <w:sz w:val="22"/>
          <w:szCs w:val="22"/>
        </w:rPr>
        <w:t>und’s PIs was 20.</w:t>
      </w:r>
    </w:p>
    <w:p w14:paraId="2FE71A42" w14:textId="77777777" w:rsidR="00DF0F8B" w:rsidRPr="00DF0F8B" w:rsidRDefault="00DF0F8B" w:rsidP="00DF0F8B">
      <w:pPr>
        <w:ind w:left="360"/>
        <w:jc w:val="both"/>
        <w:rPr>
          <w:rFonts w:asciiTheme="minorHAnsi" w:eastAsiaTheme="minorEastAsia" w:hAnsiTheme="minorHAnsi" w:cstheme="minorBidi"/>
          <w:sz w:val="22"/>
          <w:szCs w:val="22"/>
        </w:rPr>
      </w:pPr>
    </w:p>
    <w:p w14:paraId="78A4325F" w14:textId="3F22A94F" w:rsidR="00D53E69" w:rsidRDefault="00D53E69">
      <w:pPr>
        <w:ind w:left="360"/>
        <w:jc w:val="both"/>
      </w:pPr>
      <w:r w:rsidRPr="72ECE0DE">
        <w:rPr>
          <w:rFonts w:asciiTheme="minorHAnsi" w:hAnsiTheme="minorHAnsi" w:cstheme="minorBidi"/>
          <w:b/>
          <w:bCs/>
          <w:sz w:val="22"/>
          <w:szCs w:val="22"/>
        </w:rPr>
        <w:t>Recommendation</w:t>
      </w:r>
      <w:r w:rsidR="00A11BA1" w:rsidRPr="72ECE0DE">
        <w:rPr>
          <w:rFonts w:asciiTheme="minorHAnsi" w:hAnsiTheme="minorHAnsi" w:cstheme="minorBidi"/>
          <w:b/>
          <w:bCs/>
          <w:sz w:val="22"/>
          <w:szCs w:val="22"/>
        </w:rPr>
        <w:t>:</w:t>
      </w:r>
      <w:r w:rsidR="00A11BA1" w:rsidRPr="72ECE0DE">
        <w:rPr>
          <w:rFonts w:asciiTheme="minorHAnsi" w:hAnsiTheme="minorHAnsi" w:cstheme="minorBidi"/>
          <w:sz w:val="22"/>
          <w:szCs w:val="22"/>
        </w:rPr>
        <w:t xml:space="preserve"> The Fund should e</w:t>
      </w:r>
      <w:r w:rsidR="00500CDD" w:rsidRPr="72ECE0DE">
        <w:rPr>
          <w:rFonts w:asciiTheme="minorHAnsi" w:hAnsiTheme="minorHAnsi" w:cstheme="minorBidi"/>
          <w:sz w:val="22"/>
          <w:szCs w:val="22"/>
        </w:rPr>
        <w:t>ngage with Defra over the next year to aid understanding of why</w:t>
      </w:r>
      <w:r w:rsidR="00AD2768" w:rsidRPr="72ECE0DE">
        <w:rPr>
          <w:rFonts w:asciiTheme="minorHAnsi" w:hAnsiTheme="minorHAnsi" w:cstheme="minorBidi"/>
          <w:sz w:val="22"/>
          <w:szCs w:val="22"/>
        </w:rPr>
        <w:t xml:space="preserve"> output indicator</w:t>
      </w:r>
      <w:r w:rsidR="00500CDD" w:rsidRPr="72ECE0DE">
        <w:rPr>
          <w:rFonts w:asciiTheme="minorHAnsi" w:hAnsiTheme="minorHAnsi" w:cstheme="minorBidi"/>
          <w:sz w:val="22"/>
          <w:szCs w:val="22"/>
        </w:rPr>
        <w:t xml:space="preserve"> </w:t>
      </w:r>
      <w:r w:rsidR="00257AE6" w:rsidRPr="72ECE0DE">
        <w:rPr>
          <w:rFonts w:asciiTheme="minorHAnsi" w:hAnsiTheme="minorHAnsi" w:cstheme="minorBidi"/>
          <w:sz w:val="22"/>
          <w:szCs w:val="22"/>
        </w:rPr>
        <w:t xml:space="preserve">1.2 was </w:t>
      </w:r>
      <w:r w:rsidR="317CA2FA" w:rsidRPr="72ECE0DE">
        <w:rPr>
          <w:rFonts w:asciiTheme="minorHAnsi" w:hAnsiTheme="minorHAnsi" w:cstheme="minorBidi"/>
          <w:sz w:val="22"/>
          <w:szCs w:val="22"/>
        </w:rPr>
        <w:t xml:space="preserve">marginally </w:t>
      </w:r>
      <w:r w:rsidR="00257AE6" w:rsidRPr="72ECE0DE">
        <w:rPr>
          <w:rFonts w:asciiTheme="minorHAnsi" w:hAnsiTheme="minorHAnsi" w:cstheme="minorBidi"/>
          <w:sz w:val="22"/>
          <w:szCs w:val="22"/>
        </w:rPr>
        <w:t xml:space="preserve">not met, provide an indication of future commodity development and discuss steps to ensure the 2021 </w:t>
      </w:r>
      <w:r w:rsidR="00500CDD" w:rsidRPr="72ECE0DE">
        <w:rPr>
          <w:rFonts w:asciiTheme="minorHAnsi" w:hAnsiTheme="minorHAnsi" w:cstheme="minorBidi"/>
          <w:sz w:val="22"/>
          <w:szCs w:val="22"/>
        </w:rPr>
        <w:t xml:space="preserve">target </w:t>
      </w:r>
      <w:r w:rsidR="00257AE6" w:rsidRPr="72ECE0DE">
        <w:rPr>
          <w:rFonts w:asciiTheme="minorHAnsi" w:hAnsiTheme="minorHAnsi" w:cstheme="minorBidi"/>
          <w:sz w:val="22"/>
          <w:szCs w:val="22"/>
        </w:rPr>
        <w:t>is achieved.</w:t>
      </w:r>
      <w:r w:rsidR="2B160C96" w:rsidRPr="72ECE0DE">
        <w:rPr>
          <w:rFonts w:asciiTheme="minorHAnsi" w:hAnsiTheme="minorHAnsi" w:cstheme="minorBidi"/>
          <w:sz w:val="22"/>
          <w:szCs w:val="22"/>
        </w:rPr>
        <w:t xml:space="preserve"> </w:t>
      </w:r>
      <w:r w:rsidR="2B160C96" w:rsidRPr="00DD138F">
        <w:rPr>
          <w:rFonts w:asciiTheme="minorHAnsi" w:eastAsiaTheme="minorEastAsia" w:hAnsiTheme="minorHAnsi" w:cstheme="minorBidi"/>
          <w:sz w:val="22"/>
          <w:szCs w:val="22"/>
        </w:rPr>
        <w:t>It is noted that s</w:t>
      </w:r>
      <w:r w:rsidR="2B160C96" w:rsidRPr="00DD138F">
        <w:rPr>
          <w:rFonts w:asciiTheme="minorHAnsi" w:eastAsiaTheme="minorEastAsia" w:hAnsiTheme="minorHAnsi" w:cstheme="minorBidi"/>
          <w:color w:val="333333"/>
          <w:sz w:val="22"/>
          <w:szCs w:val="22"/>
        </w:rPr>
        <w:t>ome PIs report crops supported under “various” which includes more than one commodity</w:t>
      </w:r>
    </w:p>
    <w:p w14:paraId="6FBE96C3" w14:textId="77777777" w:rsidR="00A11BA1" w:rsidRPr="00855688" w:rsidRDefault="00A11BA1" w:rsidP="00855688">
      <w:pPr>
        <w:ind w:left="360"/>
        <w:jc w:val="both"/>
        <w:rPr>
          <w:rFonts w:asciiTheme="minorHAnsi" w:hAnsiTheme="minorHAnsi" w:cstheme="minorHAnsi"/>
          <w:color w:val="FF0000"/>
          <w:sz w:val="22"/>
          <w:szCs w:val="18"/>
        </w:rPr>
      </w:pPr>
    </w:p>
    <w:tbl>
      <w:tblPr>
        <w:tblStyle w:val="TableGrid"/>
        <w:tblW w:w="0" w:type="auto"/>
        <w:tblInd w:w="-147" w:type="dxa"/>
        <w:tblLook w:val="04A0" w:firstRow="1" w:lastRow="0" w:firstColumn="1" w:lastColumn="0" w:noHBand="0" w:noVBand="1"/>
      </w:tblPr>
      <w:tblGrid>
        <w:gridCol w:w="1687"/>
        <w:gridCol w:w="598"/>
        <w:gridCol w:w="922"/>
        <w:gridCol w:w="3216"/>
        <w:gridCol w:w="2740"/>
      </w:tblGrid>
      <w:tr w:rsidR="49CFF048" w14:paraId="14524695" w14:textId="77777777" w:rsidTr="078C476B">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75B3" w14:textId="77777777" w:rsidR="49CFF048" w:rsidRDefault="21FB4C9B" w:rsidP="1EE0C08E">
            <w:pPr>
              <w:rPr>
                <w:b/>
                <w:bCs/>
                <w:color w:val="000000" w:themeColor="text1"/>
                <w:sz w:val="20"/>
                <w:szCs w:val="20"/>
              </w:rPr>
            </w:pPr>
            <w:r w:rsidRPr="1EE0C08E">
              <w:rPr>
                <w:b/>
                <w:bCs/>
                <w:color w:val="000000" w:themeColor="text1"/>
                <w:sz w:val="20"/>
                <w:szCs w:val="20"/>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E2ADE8F" w14:textId="0F996D69" w:rsidR="01562E13" w:rsidRDefault="441AA4F7" w:rsidP="0116275A">
            <w:pPr>
              <w:rPr>
                <w:color w:val="000000" w:themeColor="text1"/>
                <w:sz w:val="22"/>
                <w:szCs w:val="22"/>
              </w:rPr>
            </w:pPr>
            <w:r w:rsidRPr="0116275A">
              <w:rPr>
                <w:rFonts w:ascii="Calibri" w:eastAsia="Calibri" w:hAnsi="Calibri" w:cs="Calibri"/>
                <w:color w:val="000000" w:themeColor="text1"/>
                <w:sz w:val="22"/>
                <w:szCs w:val="22"/>
              </w:rPr>
              <w:t>Broad support to sustainability practices reflected in the composition of the portfolio</w:t>
            </w:r>
          </w:p>
        </w:tc>
      </w:tr>
      <w:tr w:rsidR="49CFF048" w14:paraId="66C6FD91" w14:textId="77777777" w:rsidTr="078C476B">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31A651" w14:textId="77777777" w:rsidR="49CFF048" w:rsidRDefault="77A3AD0A" w:rsidP="0116275A">
            <w:pPr>
              <w:rPr>
                <w:color w:val="000000" w:themeColor="text1"/>
                <w:sz w:val="20"/>
                <w:szCs w:val="20"/>
              </w:rPr>
            </w:pPr>
            <w:r w:rsidRPr="0116275A">
              <w:rPr>
                <w:sz w:val="20"/>
                <w:szCs w:val="20"/>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77E78136" w14:textId="4FBA9847" w:rsidR="0EEDE47E" w:rsidRDefault="001494BB" w:rsidP="0116275A">
            <w:pPr>
              <w:rPr>
                <w:color w:val="000000" w:themeColor="text1"/>
                <w:sz w:val="20"/>
                <w:szCs w:val="20"/>
              </w:rPr>
            </w:pPr>
            <w:r w:rsidRPr="0116275A">
              <w:rPr>
                <w:sz w:val="20"/>
                <w:szCs w:val="20"/>
              </w:rPr>
              <w:t>2</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2ED79E" w14:textId="77777777" w:rsidR="49CFF048" w:rsidRDefault="4E3C43B6" w:rsidP="0116275A">
            <w:pPr>
              <w:rPr>
                <w:sz w:val="20"/>
                <w:szCs w:val="20"/>
              </w:rPr>
            </w:pPr>
            <w:r w:rsidRPr="0116275A">
              <w:rPr>
                <w:sz w:val="20"/>
                <w:szCs w:val="20"/>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3E51D4D3" w14:textId="7C622AAC" w:rsidR="49CFF048" w:rsidRDefault="7E7B461D" w:rsidP="0116275A">
            <w:pPr>
              <w:rPr>
                <w:sz w:val="20"/>
                <w:szCs w:val="20"/>
              </w:rPr>
            </w:pPr>
            <w:r w:rsidRPr="0116275A">
              <w:rPr>
                <w:sz w:val="20"/>
                <w:szCs w:val="20"/>
              </w:rPr>
              <w:t>A</w:t>
            </w:r>
            <w:r w:rsidR="00235B12">
              <w:rPr>
                <w:sz w:val="20"/>
                <w:szCs w:val="20"/>
              </w:rPr>
              <w:t>+</w:t>
            </w:r>
          </w:p>
        </w:tc>
      </w:tr>
      <w:tr w:rsidR="49CFF048" w14:paraId="20DAC080" w14:textId="77777777" w:rsidTr="078C476B">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9517B4" w14:textId="77777777" w:rsidR="49CFF048" w:rsidRDefault="4E3C43B6" w:rsidP="0116275A">
            <w:pPr>
              <w:rPr>
                <w:sz w:val="20"/>
                <w:szCs w:val="20"/>
              </w:rPr>
            </w:pPr>
            <w:r w:rsidRPr="0116275A">
              <w:rPr>
                <w:sz w:val="20"/>
                <w:szCs w:val="20"/>
              </w:rPr>
              <w:t xml:space="preserve">Impact weighting (%):  </w:t>
            </w:r>
          </w:p>
        </w:tc>
        <w:tc>
          <w:tcPr>
            <w:tcW w:w="937" w:type="dxa"/>
            <w:tcBorders>
              <w:top w:val="single" w:sz="4" w:space="0" w:color="auto"/>
              <w:left w:val="single" w:sz="4" w:space="0" w:color="auto"/>
              <w:bottom w:val="single" w:sz="4" w:space="0" w:color="auto"/>
              <w:right w:val="single" w:sz="4" w:space="0" w:color="auto"/>
            </w:tcBorders>
          </w:tcPr>
          <w:p w14:paraId="7EA653CB" w14:textId="7F0434E2" w:rsidR="49CFF048" w:rsidRDefault="5FF38171" w:rsidP="0116275A">
            <w:pPr>
              <w:rPr>
                <w:sz w:val="20"/>
                <w:szCs w:val="20"/>
              </w:rPr>
            </w:pPr>
            <w:r w:rsidRPr="0116275A">
              <w:rPr>
                <w:sz w:val="20"/>
                <w:szCs w:val="20"/>
              </w:rPr>
              <w:t>35</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99977B" w14:textId="2FF2D427" w:rsidR="49CFF048" w:rsidRDefault="601BBE9F" w:rsidP="0116275A">
            <w:pPr>
              <w:rPr>
                <w:sz w:val="20"/>
                <w:szCs w:val="20"/>
              </w:rPr>
            </w:pPr>
            <w:r w:rsidRPr="078C476B">
              <w:rPr>
                <w:sz w:val="20"/>
                <w:szCs w:val="20"/>
              </w:rPr>
              <w:t xml:space="preserve">Weighting revised since last AR? </w:t>
            </w:r>
          </w:p>
        </w:tc>
        <w:tc>
          <w:tcPr>
            <w:tcW w:w="2812" w:type="dxa"/>
            <w:tcBorders>
              <w:top w:val="single" w:sz="4" w:space="0" w:color="auto"/>
              <w:left w:val="single" w:sz="4" w:space="0" w:color="auto"/>
              <w:bottom w:val="single" w:sz="4" w:space="0" w:color="auto"/>
              <w:right w:val="single" w:sz="4" w:space="0" w:color="auto"/>
            </w:tcBorders>
          </w:tcPr>
          <w:p w14:paraId="476DC720" w14:textId="2BB7C465" w:rsidR="49CFF048" w:rsidRDefault="5E251772" w:rsidP="0116275A">
            <w:pPr>
              <w:rPr>
                <w:sz w:val="20"/>
                <w:szCs w:val="20"/>
              </w:rPr>
            </w:pPr>
            <w:r w:rsidRPr="0116275A">
              <w:rPr>
                <w:sz w:val="20"/>
                <w:szCs w:val="20"/>
              </w:rPr>
              <w:t>No</w:t>
            </w:r>
          </w:p>
        </w:tc>
      </w:tr>
    </w:tbl>
    <w:p w14:paraId="6474E271" w14:textId="77777777" w:rsidR="00EC3141" w:rsidRPr="00A73B10" w:rsidRDefault="00EC3141" w:rsidP="49CFF048">
      <w:pPr>
        <w:rPr>
          <w:b/>
          <w:bCs/>
          <w:color w:val="FF0000"/>
        </w:rPr>
      </w:pPr>
    </w:p>
    <w:tbl>
      <w:tblPr>
        <w:tblStyle w:val="TableGrid"/>
        <w:tblW w:w="0" w:type="auto"/>
        <w:tblLook w:val="04A0" w:firstRow="1" w:lastRow="0" w:firstColumn="1" w:lastColumn="0" w:noHBand="0" w:noVBand="1"/>
      </w:tblPr>
      <w:tblGrid>
        <w:gridCol w:w="5438"/>
        <w:gridCol w:w="1915"/>
        <w:gridCol w:w="1663"/>
      </w:tblGrid>
      <w:tr w:rsidR="49CFF048" w14:paraId="05FD790E" w14:textId="77777777" w:rsidTr="2BE51E91">
        <w:trPr>
          <w:trHeight w:val="273"/>
        </w:trPr>
        <w:tc>
          <w:tcPr>
            <w:tcW w:w="57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DFF473" w14:textId="77777777" w:rsidR="49CFF048" w:rsidRDefault="21FB4C9B" w:rsidP="1EE0C08E">
            <w:pPr>
              <w:rPr>
                <w:b/>
                <w:bCs/>
                <w:color w:val="000000" w:themeColor="text1"/>
                <w:sz w:val="20"/>
                <w:szCs w:val="20"/>
              </w:rPr>
            </w:pPr>
            <w:r w:rsidRPr="1EE0C08E">
              <w:rPr>
                <w:b/>
                <w:bCs/>
                <w:color w:val="000000" w:themeColor="text1"/>
                <w:sz w:val="20"/>
                <w:szCs w:val="20"/>
              </w:rPr>
              <w:t>Indicator(s)</w:t>
            </w:r>
          </w:p>
        </w:tc>
        <w:tc>
          <w:tcPr>
            <w:tcW w:w="19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28B61A" w14:textId="77777777" w:rsidR="49CFF048" w:rsidRDefault="21FB4C9B" w:rsidP="1EE0C08E">
            <w:pPr>
              <w:rPr>
                <w:b/>
                <w:bCs/>
                <w:color w:val="000000" w:themeColor="text1"/>
                <w:sz w:val="20"/>
                <w:szCs w:val="20"/>
              </w:rPr>
            </w:pPr>
            <w:r w:rsidRPr="1EE0C08E">
              <w:rPr>
                <w:b/>
                <w:bCs/>
                <w:color w:val="000000" w:themeColor="text1"/>
                <w:sz w:val="20"/>
                <w:szCs w:val="20"/>
              </w:rPr>
              <w:t>Milestone(s) for this review</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29CBB08" w14:textId="77777777" w:rsidR="49CFF048" w:rsidRDefault="21FB4C9B" w:rsidP="1EE0C08E">
            <w:pPr>
              <w:rPr>
                <w:b/>
                <w:bCs/>
                <w:color w:val="000000" w:themeColor="text1"/>
                <w:sz w:val="20"/>
                <w:szCs w:val="20"/>
              </w:rPr>
            </w:pPr>
            <w:r w:rsidRPr="1EE0C08E">
              <w:rPr>
                <w:b/>
                <w:bCs/>
                <w:color w:val="000000" w:themeColor="text1"/>
                <w:sz w:val="20"/>
                <w:szCs w:val="20"/>
              </w:rPr>
              <w:t xml:space="preserve">Progress </w:t>
            </w:r>
          </w:p>
        </w:tc>
      </w:tr>
      <w:tr w:rsidR="49CFF048" w14:paraId="06E1D01B" w14:textId="77777777" w:rsidTr="2BE51E91">
        <w:tc>
          <w:tcPr>
            <w:tcW w:w="5700" w:type="dxa"/>
            <w:tcBorders>
              <w:top w:val="single" w:sz="4" w:space="0" w:color="auto"/>
              <w:left w:val="single" w:sz="4" w:space="0" w:color="auto"/>
              <w:bottom w:val="single" w:sz="4" w:space="0" w:color="auto"/>
              <w:right w:val="single" w:sz="4" w:space="0" w:color="auto"/>
            </w:tcBorders>
          </w:tcPr>
          <w:p w14:paraId="292E987B" w14:textId="64D22312" w:rsidR="17780256" w:rsidRDefault="633EB137" w:rsidP="1EE0C08E">
            <w:pPr>
              <w:rPr>
                <w:rFonts w:asciiTheme="minorHAnsi" w:eastAsiaTheme="minorEastAsia" w:hAnsiTheme="minorHAnsi" w:cstheme="minorBidi"/>
                <w:color w:val="000000" w:themeColor="text1"/>
                <w:sz w:val="22"/>
                <w:szCs w:val="22"/>
              </w:rPr>
            </w:pPr>
            <w:r w:rsidRPr="1EE0C08E">
              <w:rPr>
                <w:rFonts w:asciiTheme="minorHAnsi" w:eastAsiaTheme="minorEastAsia" w:hAnsiTheme="minorHAnsi" w:cstheme="minorBidi"/>
                <w:color w:val="000000" w:themeColor="text1"/>
                <w:sz w:val="22"/>
                <w:szCs w:val="22"/>
              </w:rPr>
              <w:t xml:space="preserve">2.1 </w:t>
            </w:r>
            <w:r w:rsidR="6C16E5C8" w:rsidRPr="1EE0C08E">
              <w:rPr>
                <w:rFonts w:asciiTheme="minorHAnsi" w:eastAsiaTheme="minorEastAsia" w:hAnsiTheme="minorHAnsi" w:cstheme="minorBidi"/>
                <w:color w:val="000000" w:themeColor="text1"/>
                <w:sz w:val="22"/>
                <w:szCs w:val="22"/>
              </w:rPr>
              <w:t>Number of sustainability standards represented in the portfolio of sub-borrowers</w:t>
            </w:r>
          </w:p>
        </w:tc>
        <w:tc>
          <w:tcPr>
            <w:tcW w:w="1950" w:type="dxa"/>
            <w:tcBorders>
              <w:top w:val="single" w:sz="4" w:space="0" w:color="auto"/>
              <w:left w:val="single" w:sz="4" w:space="0" w:color="auto"/>
              <w:bottom w:val="single" w:sz="4" w:space="0" w:color="auto"/>
              <w:right w:val="single" w:sz="4" w:space="0" w:color="auto"/>
            </w:tcBorders>
          </w:tcPr>
          <w:p w14:paraId="3C4C9383" w14:textId="28C99BAD" w:rsidR="77A1A938" w:rsidRDefault="5135C8D8" w:rsidP="1EE0C08E">
            <w:pPr>
              <w:rPr>
                <w:rFonts w:asciiTheme="minorHAnsi" w:eastAsiaTheme="minorEastAsia" w:hAnsiTheme="minorHAnsi" w:cstheme="minorBidi"/>
                <w:color w:val="000000" w:themeColor="text1"/>
                <w:sz w:val="22"/>
                <w:szCs w:val="22"/>
              </w:rPr>
            </w:pPr>
            <w:r w:rsidRPr="1EE0C08E">
              <w:rPr>
                <w:rFonts w:asciiTheme="minorHAnsi" w:eastAsiaTheme="minorEastAsia" w:hAnsiTheme="minorHAnsi" w:cstheme="minorBidi"/>
                <w:color w:val="000000" w:themeColor="text1"/>
                <w:sz w:val="22"/>
                <w:szCs w:val="22"/>
              </w:rPr>
              <w:t>15</w:t>
            </w:r>
          </w:p>
        </w:tc>
        <w:tc>
          <w:tcPr>
            <w:tcW w:w="1701" w:type="dxa"/>
            <w:tcBorders>
              <w:top w:val="single" w:sz="4" w:space="0" w:color="auto"/>
              <w:left w:val="single" w:sz="4" w:space="0" w:color="auto"/>
              <w:bottom w:val="single" w:sz="4" w:space="0" w:color="auto"/>
              <w:right w:val="single" w:sz="4" w:space="0" w:color="auto"/>
            </w:tcBorders>
          </w:tcPr>
          <w:p w14:paraId="623DE7DD" w14:textId="32454A61" w:rsidR="77A1A938" w:rsidRDefault="5135C8D8" w:rsidP="1EE0C08E">
            <w:pPr>
              <w:rPr>
                <w:rFonts w:asciiTheme="minorHAnsi" w:eastAsiaTheme="minorEastAsia" w:hAnsiTheme="minorHAnsi" w:cstheme="minorBidi"/>
                <w:color w:val="000000" w:themeColor="text1"/>
                <w:sz w:val="22"/>
                <w:szCs w:val="22"/>
              </w:rPr>
            </w:pPr>
            <w:r w:rsidRPr="1EE0C08E">
              <w:rPr>
                <w:rFonts w:asciiTheme="minorHAnsi" w:eastAsiaTheme="minorEastAsia" w:hAnsiTheme="minorHAnsi" w:cstheme="minorBidi"/>
                <w:color w:val="000000" w:themeColor="text1"/>
                <w:sz w:val="22"/>
                <w:szCs w:val="22"/>
              </w:rPr>
              <w:t>22</w:t>
            </w:r>
          </w:p>
        </w:tc>
      </w:tr>
      <w:tr w:rsidR="49CFF048" w14:paraId="240B95DA" w14:textId="77777777" w:rsidTr="2BE51E91">
        <w:tc>
          <w:tcPr>
            <w:tcW w:w="5700" w:type="dxa"/>
            <w:tcBorders>
              <w:top w:val="single" w:sz="4" w:space="0" w:color="auto"/>
              <w:left w:val="single" w:sz="4" w:space="0" w:color="auto"/>
              <w:bottom w:val="single" w:sz="4" w:space="0" w:color="auto"/>
              <w:right w:val="single" w:sz="4" w:space="0" w:color="auto"/>
            </w:tcBorders>
          </w:tcPr>
          <w:p w14:paraId="63479AE8" w14:textId="1ED9133F" w:rsidR="6656B511" w:rsidRDefault="3B003B00" w:rsidP="1EE0C08E">
            <w:pPr>
              <w:rPr>
                <w:rFonts w:asciiTheme="minorHAnsi" w:eastAsiaTheme="minorEastAsia" w:hAnsiTheme="minorHAnsi" w:cstheme="minorBidi"/>
                <w:color w:val="000000" w:themeColor="text1"/>
                <w:sz w:val="22"/>
                <w:szCs w:val="22"/>
              </w:rPr>
            </w:pPr>
            <w:r w:rsidRPr="1EE0C08E">
              <w:rPr>
                <w:rFonts w:asciiTheme="minorHAnsi" w:eastAsiaTheme="minorEastAsia" w:hAnsiTheme="minorHAnsi" w:cstheme="minorBidi"/>
                <w:color w:val="000000" w:themeColor="text1"/>
                <w:sz w:val="22"/>
                <w:szCs w:val="22"/>
              </w:rPr>
              <w:t xml:space="preserve">2.2 </w:t>
            </w:r>
            <w:r w:rsidR="01BAD316" w:rsidRPr="1EE0C08E">
              <w:rPr>
                <w:rFonts w:asciiTheme="minorHAnsi" w:eastAsiaTheme="minorEastAsia" w:hAnsiTheme="minorHAnsi" w:cstheme="minorBidi"/>
                <w:color w:val="000000" w:themeColor="text1"/>
                <w:sz w:val="22"/>
                <w:szCs w:val="22"/>
              </w:rPr>
              <w:t>Number of Green List measures represented in the portfolio of sub-borrowers</w:t>
            </w:r>
          </w:p>
        </w:tc>
        <w:tc>
          <w:tcPr>
            <w:tcW w:w="1950" w:type="dxa"/>
            <w:tcBorders>
              <w:top w:val="single" w:sz="4" w:space="0" w:color="auto"/>
              <w:left w:val="single" w:sz="4" w:space="0" w:color="auto"/>
              <w:bottom w:val="single" w:sz="4" w:space="0" w:color="auto"/>
              <w:right w:val="single" w:sz="4" w:space="0" w:color="auto"/>
            </w:tcBorders>
          </w:tcPr>
          <w:p w14:paraId="68613057" w14:textId="36E580FE" w:rsidR="472BF05E" w:rsidRDefault="60DE1B0F" w:rsidP="1EE0C08E">
            <w:pPr>
              <w:rPr>
                <w:rFonts w:asciiTheme="minorHAnsi" w:eastAsiaTheme="minorEastAsia" w:hAnsiTheme="minorHAnsi" w:cstheme="minorBidi"/>
                <w:color w:val="000000" w:themeColor="text1"/>
                <w:sz w:val="22"/>
                <w:szCs w:val="22"/>
              </w:rPr>
            </w:pPr>
            <w:r w:rsidRPr="1EE0C08E">
              <w:rPr>
                <w:rFonts w:asciiTheme="minorHAnsi" w:eastAsiaTheme="minorEastAsia" w:hAnsiTheme="minorHAnsi" w:cstheme="minorBidi"/>
                <w:color w:val="000000" w:themeColor="text1"/>
                <w:sz w:val="22"/>
                <w:szCs w:val="22"/>
              </w:rPr>
              <w:t>13</w:t>
            </w:r>
          </w:p>
        </w:tc>
        <w:tc>
          <w:tcPr>
            <w:tcW w:w="1701" w:type="dxa"/>
            <w:tcBorders>
              <w:top w:val="single" w:sz="4" w:space="0" w:color="auto"/>
              <w:left w:val="single" w:sz="4" w:space="0" w:color="auto"/>
              <w:bottom w:val="single" w:sz="4" w:space="0" w:color="auto"/>
              <w:right w:val="single" w:sz="4" w:space="0" w:color="auto"/>
            </w:tcBorders>
          </w:tcPr>
          <w:p w14:paraId="3C11EEF4" w14:textId="226203B3" w:rsidR="472BF05E" w:rsidRDefault="60DE1B0F" w:rsidP="1EE0C08E">
            <w:pPr>
              <w:rPr>
                <w:rFonts w:asciiTheme="minorHAnsi" w:eastAsiaTheme="minorEastAsia" w:hAnsiTheme="minorHAnsi" w:cstheme="minorBidi"/>
                <w:color w:val="000000" w:themeColor="text1"/>
                <w:sz w:val="22"/>
                <w:szCs w:val="22"/>
              </w:rPr>
            </w:pPr>
            <w:r w:rsidRPr="1EE0C08E">
              <w:rPr>
                <w:rFonts w:asciiTheme="minorHAnsi" w:eastAsiaTheme="minorEastAsia" w:hAnsiTheme="minorHAnsi" w:cstheme="minorBidi"/>
                <w:color w:val="000000" w:themeColor="text1"/>
                <w:sz w:val="22"/>
                <w:szCs w:val="22"/>
              </w:rPr>
              <w:t>32</w:t>
            </w:r>
          </w:p>
        </w:tc>
      </w:tr>
      <w:tr w:rsidR="49CFF048" w14:paraId="791682AF" w14:textId="77777777" w:rsidTr="2BE51E91">
        <w:tc>
          <w:tcPr>
            <w:tcW w:w="5700" w:type="dxa"/>
            <w:tcBorders>
              <w:top w:val="single" w:sz="4" w:space="0" w:color="auto"/>
              <w:left w:val="single" w:sz="4" w:space="0" w:color="auto"/>
              <w:bottom w:val="single" w:sz="4" w:space="0" w:color="auto"/>
              <w:right w:val="single" w:sz="4" w:space="0" w:color="auto"/>
            </w:tcBorders>
          </w:tcPr>
          <w:p w14:paraId="55EF4B33" w14:textId="4E46683E" w:rsidR="42B4688A" w:rsidRDefault="37972E5B" w:rsidP="1EE0C08E">
            <w:pPr>
              <w:rPr>
                <w:rFonts w:asciiTheme="minorHAnsi" w:eastAsiaTheme="minorEastAsia" w:hAnsiTheme="minorHAnsi" w:cstheme="minorBidi"/>
                <w:color w:val="000000" w:themeColor="text1"/>
                <w:sz w:val="22"/>
                <w:szCs w:val="22"/>
              </w:rPr>
            </w:pPr>
            <w:r w:rsidRPr="1EE0C08E">
              <w:rPr>
                <w:rFonts w:asciiTheme="minorHAnsi" w:eastAsiaTheme="minorEastAsia" w:hAnsiTheme="minorHAnsi" w:cstheme="minorBidi"/>
                <w:color w:val="000000" w:themeColor="text1"/>
                <w:sz w:val="22"/>
                <w:szCs w:val="22"/>
              </w:rPr>
              <w:t xml:space="preserve">2.3 </w:t>
            </w:r>
            <w:r w:rsidR="3682196D" w:rsidRPr="1EE0C08E">
              <w:rPr>
                <w:rFonts w:asciiTheme="minorHAnsi" w:eastAsiaTheme="minorEastAsia" w:hAnsiTheme="minorHAnsi" w:cstheme="minorBidi"/>
                <w:color w:val="000000" w:themeColor="text1"/>
                <w:sz w:val="22"/>
                <w:szCs w:val="22"/>
              </w:rPr>
              <w:t>Outstanding Amount (USD millions) invested in certified sub-borrowers*</w:t>
            </w:r>
          </w:p>
        </w:tc>
        <w:tc>
          <w:tcPr>
            <w:tcW w:w="1950" w:type="dxa"/>
            <w:tcBorders>
              <w:top w:val="single" w:sz="4" w:space="0" w:color="auto"/>
              <w:left w:val="single" w:sz="4" w:space="0" w:color="auto"/>
              <w:bottom w:val="single" w:sz="4" w:space="0" w:color="auto"/>
              <w:right w:val="single" w:sz="4" w:space="0" w:color="auto"/>
            </w:tcBorders>
          </w:tcPr>
          <w:p w14:paraId="67E12140" w14:textId="08DE05E4" w:rsidR="72CEB71A" w:rsidRDefault="00DD138F" w:rsidP="0F9CD67B">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n/a</w:t>
            </w:r>
          </w:p>
        </w:tc>
        <w:tc>
          <w:tcPr>
            <w:tcW w:w="1701" w:type="dxa"/>
            <w:tcBorders>
              <w:top w:val="single" w:sz="4" w:space="0" w:color="auto"/>
              <w:left w:val="single" w:sz="4" w:space="0" w:color="auto"/>
              <w:bottom w:val="single" w:sz="4" w:space="0" w:color="auto"/>
              <w:right w:val="single" w:sz="4" w:space="0" w:color="auto"/>
            </w:tcBorders>
          </w:tcPr>
          <w:p w14:paraId="20720B0D" w14:textId="62FFA67F" w:rsidR="72CEB71A" w:rsidRPr="00B823C6" w:rsidRDefault="00DD138F" w:rsidP="0F9CD67B">
            <w:pPr>
              <w:rPr>
                <w:rFonts w:asciiTheme="minorHAnsi" w:eastAsiaTheme="minorEastAsia" w:hAnsiTheme="minorHAnsi" w:cstheme="minorBidi"/>
                <w:color w:val="000000" w:themeColor="text1"/>
                <w:sz w:val="22"/>
                <w:szCs w:val="22"/>
                <w:highlight w:val="lightGray"/>
              </w:rPr>
            </w:pPr>
            <w:r>
              <w:rPr>
                <w:rFonts w:asciiTheme="minorHAnsi" w:eastAsiaTheme="minorEastAsia" w:hAnsiTheme="minorHAnsi" w:cstheme="minorBidi"/>
                <w:color w:val="000000" w:themeColor="text1"/>
                <w:sz w:val="22"/>
                <w:szCs w:val="22"/>
                <w:highlight w:val="lightGray"/>
              </w:rPr>
              <w:t>n/a</w:t>
            </w:r>
          </w:p>
        </w:tc>
      </w:tr>
      <w:tr w:rsidR="49CFF048" w14:paraId="6811B8C0" w14:textId="77777777" w:rsidTr="2BE51E91">
        <w:tc>
          <w:tcPr>
            <w:tcW w:w="5700" w:type="dxa"/>
            <w:tcBorders>
              <w:top w:val="single" w:sz="4" w:space="0" w:color="auto"/>
              <w:left w:val="single" w:sz="4" w:space="0" w:color="auto"/>
              <w:bottom w:val="single" w:sz="4" w:space="0" w:color="auto"/>
              <w:right w:val="single" w:sz="4" w:space="0" w:color="auto"/>
            </w:tcBorders>
          </w:tcPr>
          <w:p w14:paraId="38E11DB9" w14:textId="43B7FBE4" w:rsidR="6C4EC4DC" w:rsidRDefault="5B793FF6" w:rsidP="1EE0C08E">
            <w:pPr>
              <w:rPr>
                <w:rFonts w:asciiTheme="minorHAnsi" w:eastAsiaTheme="minorEastAsia" w:hAnsiTheme="minorHAnsi" w:cstheme="minorBidi"/>
                <w:color w:val="000000" w:themeColor="text1"/>
                <w:sz w:val="22"/>
                <w:szCs w:val="22"/>
              </w:rPr>
            </w:pPr>
            <w:r w:rsidRPr="1EE0C08E">
              <w:rPr>
                <w:rFonts w:asciiTheme="minorHAnsi" w:eastAsiaTheme="minorEastAsia" w:hAnsiTheme="minorHAnsi" w:cstheme="minorBidi"/>
                <w:color w:val="000000" w:themeColor="text1"/>
                <w:sz w:val="22"/>
                <w:szCs w:val="22"/>
              </w:rPr>
              <w:t xml:space="preserve">2.4 </w:t>
            </w:r>
            <w:r w:rsidR="6956D67D" w:rsidRPr="1EE0C08E">
              <w:rPr>
                <w:rFonts w:asciiTheme="minorHAnsi" w:eastAsiaTheme="minorEastAsia" w:hAnsiTheme="minorHAnsi" w:cstheme="minorBidi"/>
                <w:color w:val="000000" w:themeColor="text1"/>
                <w:sz w:val="22"/>
                <w:szCs w:val="22"/>
              </w:rPr>
              <w:t>Outstanding Amount (USD millions) invested in green list measures*</w:t>
            </w:r>
          </w:p>
        </w:tc>
        <w:tc>
          <w:tcPr>
            <w:tcW w:w="1950" w:type="dxa"/>
            <w:tcBorders>
              <w:top w:val="single" w:sz="4" w:space="0" w:color="auto"/>
              <w:left w:val="single" w:sz="4" w:space="0" w:color="auto"/>
              <w:bottom w:val="single" w:sz="4" w:space="0" w:color="auto"/>
              <w:right w:val="single" w:sz="4" w:space="0" w:color="auto"/>
            </w:tcBorders>
          </w:tcPr>
          <w:p w14:paraId="71674C6B" w14:textId="04A336F3" w:rsidR="267E62F7" w:rsidRDefault="00DD138F" w:rsidP="0F9CD67B">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n/a</w:t>
            </w:r>
          </w:p>
        </w:tc>
        <w:tc>
          <w:tcPr>
            <w:tcW w:w="1701" w:type="dxa"/>
            <w:tcBorders>
              <w:top w:val="single" w:sz="4" w:space="0" w:color="auto"/>
              <w:left w:val="single" w:sz="4" w:space="0" w:color="auto"/>
              <w:bottom w:val="single" w:sz="4" w:space="0" w:color="auto"/>
              <w:right w:val="single" w:sz="4" w:space="0" w:color="auto"/>
            </w:tcBorders>
          </w:tcPr>
          <w:p w14:paraId="0D1C3C20" w14:textId="047FAF78" w:rsidR="267E62F7" w:rsidRPr="00B823C6" w:rsidRDefault="00DD138F" w:rsidP="1EE0C08E">
            <w:pPr>
              <w:rPr>
                <w:rFonts w:asciiTheme="minorHAnsi" w:eastAsiaTheme="minorEastAsia" w:hAnsiTheme="minorHAnsi" w:cstheme="minorBidi"/>
                <w:color w:val="000000" w:themeColor="text1"/>
                <w:sz w:val="22"/>
                <w:szCs w:val="22"/>
                <w:highlight w:val="lightGray"/>
              </w:rPr>
            </w:pPr>
            <w:r>
              <w:rPr>
                <w:rFonts w:asciiTheme="minorHAnsi" w:eastAsiaTheme="minorEastAsia" w:hAnsiTheme="minorHAnsi" w:cstheme="minorBidi"/>
                <w:color w:val="000000" w:themeColor="text1"/>
                <w:sz w:val="22"/>
                <w:szCs w:val="22"/>
                <w:highlight w:val="lightGray"/>
              </w:rPr>
              <w:t>n/a</w:t>
            </w:r>
          </w:p>
        </w:tc>
      </w:tr>
    </w:tbl>
    <w:p w14:paraId="7511AE13" w14:textId="7B32EB8A" w:rsidR="00EC3141" w:rsidRPr="00A73B10" w:rsidRDefault="00EC3141" w:rsidP="0F9CD67B">
      <w:pPr>
        <w:jc w:val="both"/>
        <w:rPr>
          <w:rFonts w:ascii="Calibri" w:eastAsia="Calibri" w:hAnsi="Calibri" w:cs="Calibri"/>
          <w:color w:val="000000" w:themeColor="text1"/>
          <w:sz w:val="22"/>
          <w:szCs w:val="22"/>
        </w:rPr>
      </w:pPr>
    </w:p>
    <w:p w14:paraId="7F736882" w14:textId="77777777" w:rsidR="00B32A77" w:rsidRDefault="00B32A77" w:rsidP="00B32A77">
      <w:pPr>
        <w:pStyle w:val="Normal1"/>
        <w:spacing w:after="120"/>
        <w:jc w:val="both"/>
        <w:rPr>
          <w:rFonts w:ascii="Calibri" w:eastAsia="Calibri" w:hAnsi="Calibri" w:cs="Calibri"/>
          <w:color w:val="000000" w:themeColor="text1"/>
          <w:sz w:val="22"/>
          <w:szCs w:val="22"/>
        </w:rPr>
      </w:pPr>
      <w:r w:rsidRPr="078C476B">
        <w:rPr>
          <w:rFonts w:ascii="Calibri" w:eastAsia="Calibri" w:hAnsi="Calibri" w:cs="Calibri"/>
          <w:b/>
          <w:bCs/>
          <w:color w:val="000000" w:themeColor="text1"/>
          <w:sz w:val="22"/>
          <w:szCs w:val="22"/>
        </w:rPr>
        <w:t>Key Points</w:t>
      </w:r>
    </w:p>
    <w:p w14:paraId="70A9C6B3" w14:textId="5B21F5D8" w:rsidR="00EC3141" w:rsidRPr="00A11BA1" w:rsidRDefault="00D53E69" w:rsidP="078C476B">
      <w:pPr>
        <w:jc w:val="both"/>
        <w:rPr>
          <w:rFonts w:asciiTheme="minorHAnsi" w:hAnsiTheme="minorHAnsi" w:cstheme="minorBidi"/>
          <w:sz w:val="22"/>
          <w:szCs w:val="22"/>
        </w:rPr>
      </w:pPr>
      <w:r w:rsidRPr="008F776F">
        <w:rPr>
          <w:rFonts w:asciiTheme="minorHAnsi" w:hAnsiTheme="minorHAnsi" w:cstheme="minorBidi"/>
          <w:sz w:val="22"/>
          <w:szCs w:val="22"/>
        </w:rPr>
        <w:t xml:space="preserve">There was strong progress against targets for both indicators 2.1 and 2.2 since 2019. Targets have already been exceeded </w:t>
      </w:r>
      <w:r w:rsidR="00257AE6" w:rsidRPr="008F776F">
        <w:rPr>
          <w:rFonts w:asciiTheme="minorHAnsi" w:hAnsiTheme="minorHAnsi" w:cstheme="minorBidi"/>
          <w:sz w:val="22"/>
          <w:szCs w:val="22"/>
        </w:rPr>
        <w:t>for 2021 and</w:t>
      </w:r>
      <w:r w:rsidRPr="008F776F">
        <w:rPr>
          <w:rFonts w:asciiTheme="minorHAnsi" w:hAnsiTheme="minorHAnsi" w:cstheme="minorBidi"/>
          <w:sz w:val="22"/>
          <w:szCs w:val="22"/>
        </w:rPr>
        <w:t xml:space="preserve"> 2022.</w:t>
      </w:r>
    </w:p>
    <w:p w14:paraId="02730738" w14:textId="77777777" w:rsidR="00257AE6" w:rsidRPr="00A73B10" w:rsidRDefault="00257AE6" w:rsidP="49CFF048">
      <w:pPr>
        <w:jc w:val="both"/>
        <w:rPr>
          <w:color w:val="444444"/>
        </w:rPr>
      </w:pPr>
    </w:p>
    <w:p w14:paraId="68FDF27D" w14:textId="6EFAC12B" w:rsidR="035D0365" w:rsidRDefault="035D0365" w:rsidP="078C476B">
      <w:pPr>
        <w:pStyle w:val="ListParagraph"/>
        <w:numPr>
          <w:ilvl w:val="0"/>
          <w:numId w:val="22"/>
        </w:numPr>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color w:val="000000" w:themeColor="text1"/>
          <w:sz w:val="22"/>
          <w:szCs w:val="22"/>
        </w:rPr>
        <w:t>To note, the bracketed figures in outputs 2.3 and 2.4 refer to the EBF share only, and the other figure includes the off-loaded amount of the existing portfolio to Calvert Investment Capital</w:t>
      </w:r>
      <w:r w:rsidR="001B7688" w:rsidRPr="078C476B">
        <w:rPr>
          <w:rFonts w:asciiTheme="minorHAnsi" w:eastAsiaTheme="minorEastAsia" w:hAnsiTheme="minorHAnsi" w:cstheme="minorBidi"/>
          <w:color w:val="000000" w:themeColor="text1"/>
          <w:sz w:val="22"/>
          <w:szCs w:val="22"/>
        </w:rPr>
        <w:t>.</w:t>
      </w:r>
    </w:p>
    <w:p w14:paraId="25866531" w14:textId="2BFDC6DA" w:rsidR="434EC640" w:rsidRDefault="1D4D5B46" w:rsidP="0F9CD67B">
      <w:pPr>
        <w:pStyle w:val="ListParagraph"/>
        <w:numPr>
          <w:ilvl w:val="0"/>
          <w:numId w:val="22"/>
        </w:numPr>
        <w:jc w:val="both"/>
        <w:rPr>
          <w:rFonts w:asciiTheme="minorHAnsi" w:eastAsiaTheme="minorEastAsia" w:hAnsiTheme="minorHAnsi" w:cstheme="minorBidi"/>
          <w:color w:val="000000" w:themeColor="text1"/>
          <w:sz w:val="22"/>
          <w:szCs w:val="22"/>
        </w:rPr>
      </w:pPr>
      <w:r w:rsidRPr="6BD88DCD">
        <w:rPr>
          <w:rFonts w:asciiTheme="minorHAnsi" w:eastAsiaTheme="minorEastAsia" w:hAnsiTheme="minorHAnsi" w:cstheme="minorBidi"/>
          <w:color w:val="000000" w:themeColor="text1"/>
          <w:sz w:val="22"/>
          <w:szCs w:val="22"/>
        </w:rPr>
        <w:t>The Fund’s</w:t>
      </w:r>
      <w:r w:rsidRPr="6BD88DCD">
        <w:rPr>
          <w:rFonts w:asciiTheme="minorHAnsi" w:eastAsiaTheme="minorEastAsia" w:hAnsiTheme="minorHAnsi" w:cstheme="minorBidi"/>
          <w:color w:val="000000" w:themeColor="text1"/>
          <w:sz w:val="20"/>
        </w:rPr>
        <w:t xml:space="preserve"> </w:t>
      </w:r>
      <w:hyperlink r:id="rId14">
        <w:r w:rsidR="76403CCD" w:rsidRPr="6BD88DCD">
          <w:rPr>
            <w:rStyle w:val="Hyperlink"/>
            <w:rFonts w:asciiTheme="minorHAnsi" w:eastAsiaTheme="minorEastAsia" w:hAnsiTheme="minorHAnsi" w:cstheme="minorBidi"/>
            <w:sz w:val="22"/>
            <w:szCs w:val="22"/>
          </w:rPr>
          <w:t>eligibility criteria</w:t>
        </w:r>
      </w:hyperlink>
      <w:r w:rsidR="76403CCD">
        <w:t xml:space="preserve"> </w:t>
      </w:r>
      <w:r w:rsidRPr="6BD88DCD">
        <w:rPr>
          <w:rFonts w:asciiTheme="minorHAnsi" w:eastAsiaTheme="minorEastAsia" w:hAnsiTheme="minorHAnsi" w:cstheme="minorBidi"/>
          <w:color w:val="000000" w:themeColor="text1"/>
          <w:sz w:val="22"/>
          <w:szCs w:val="22"/>
        </w:rPr>
        <w:t>for the use of funds include a combination of sustainability standards and activities under the green list</w:t>
      </w:r>
      <w:r w:rsidR="4CFA4421" w:rsidRPr="6BD88DCD">
        <w:rPr>
          <w:rFonts w:asciiTheme="minorHAnsi" w:eastAsiaTheme="minorEastAsia" w:hAnsiTheme="minorHAnsi" w:cstheme="minorBidi"/>
          <w:color w:val="000000" w:themeColor="text1"/>
          <w:sz w:val="22"/>
          <w:szCs w:val="22"/>
        </w:rPr>
        <w:t xml:space="preserve"> </w:t>
      </w:r>
      <w:r w:rsidR="5EC94FA4" w:rsidRPr="6BD88DCD">
        <w:rPr>
          <w:rFonts w:asciiTheme="minorHAnsi" w:eastAsiaTheme="minorEastAsia" w:hAnsiTheme="minorHAnsi" w:cstheme="minorBidi"/>
          <w:color w:val="000000" w:themeColor="text1"/>
          <w:sz w:val="22"/>
          <w:szCs w:val="22"/>
        </w:rPr>
        <w:t xml:space="preserve">(GL) </w:t>
      </w:r>
      <w:r w:rsidR="4CFA4421" w:rsidRPr="6BD88DCD">
        <w:rPr>
          <w:rFonts w:asciiTheme="minorHAnsi" w:eastAsiaTheme="minorEastAsia" w:hAnsiTheme="minorHAnsi" w:cstheme="minorBidi"/>
          <w:color w:val="000000" w:themeColor="text1"/>
          <w:sz w:val="22"/>
          <w:szCs w:val="22"/>
        </w:rPr>
        <w:t>(screened and pre-approved practices with a positive impact on sustainability)</w:t>
      </w:r>
      <w:r w:rsidRPr="6BD88DCD">
        <w:rPr>
          <w:rFonts w:asciiTheme="minorHAnsi" w:eastAsiaTheme="minorEastAsia" w:hAnsiTheme="minorHAnsi" w:cstheme="minorBidi"/>
          <w:color w:val="000000" w:themeColor="text1"/>
          <w:sz w:val="22"/>
          <w:szCs w:val="22"/>
        </w:rPr>
        <w:t xml:space="preserve"> approach. The end-borrowers financed during 2020 by </w:t>
      </w:r>
      <w:r w:rsidR="6E1F9CE0" w:rsidRPr="6BD88DCD">
        <w:rPr>
          <w:rFonts w:asciiTheme="minorHAnsi" w:eastAsiaTheme="minorEastAsia" w:hAnsiTheme="minorHAnsi" w:cstheme="minorBidi"/>
          <w:color w:val="000000" w:themeColor="text1"/>
          <w:sz w:val="22"/>
          <w:szCs w:val="22"/>
        </w:rPr>
        <w:t xml:space="preserve">the </w:t>
      </w:r>
      <w:r w:rsidRPr="6BD88DCD">
        <w:rPr>
          <w:rFonts w:asciiTheme="minorHAnsi" w:eastAsiaTheme="minorEastAsia" w:hAnsiTheme="minorHAnsi" w:cstheme="minorBidi"/>
          <w:color w:val="000000" w:themeColor="text1"/>
          <w:sz w:val="22"/>
          <w:szCs w:val="22"/>
        </w:rPr>
        <w:t xml:space="preserve">EBF are mainly engaged in the production or transformation of coffee, </w:t>
      </w:r>
      <w:r w:rsidR="62FBC77D" w:rsidRPr="6BD88DCD">
        <w:rPr>
          <w:rFonts w:asciiTheme="minorHAnsi" w:eastAsiaTheme="minorEastAsia" w:hAnsiTheme="minorHAnsi" w:cstheme="minorBidi"/>
          <w:color w:val="000000" w:themeColor="text1"/>
          <w:sz w:val="22"/>
          <w:szCs w:val="22"/>
        </w:rPr>
        <w:t>sugarcane,</w:t>
      </w:r>
      <w:r w:rsidRPr="6BD88DCD">
        <w:rPr>
          <w:rFonts w:asciiTheme="minorHAnsi" w:eastAsiaTheme="minorEastAsia" w:hAnsiTheme="minorHAnsi" w:cstheme="minorBidi"/>
          <w:color w:val="000000" w:themeColor="text1"/>
          <w:sz w:val="22"/>
          <w:szCs w:val="22"/>
        </w:rPr>
        <w:t xml:space="preserve"> and farmed shrimp. During 2020</w:t>
      </w:r>
      <w:r w:rsidR="6088143E" w:rsidRPr="6BD88DCD">
        <w:rPr>
          <w:rFonts w:asciiTheme="minorHAnsi" w:eastAsiaTheme="minorEastAsia" w:hAnsiTheme="minorHAnsi" w:cstheme="minorBidi"/>
          <w:color w:val="000000" w:themeColor="text1"/>
          <w:sz w:val="22"/>
          <w:szCs w:val="22"/>
        </w:rPr>
        <w:t xml:space="preserve"> the</w:t>
      </w:r>
      <w:r w:rsidRPr="6BD88DCD">
        <w:rPr>
          <w:rFonts w:asciiTheme="minorHAnsi" w:eastAsiaTheme="minorEastAsia" w:hAnsiTheme="minorHAnsi" w:cstheme="minorBidi"/>
          <w:color w:val="000000" w:themeColor="text1"/>
          <w:sz w:val="22"/>
          <w:szCs w:val="22"/>
        </w:rPr>
        <w:t xml:space="preserve"> EBF further developed eligibility criteria for the sustainable tourism sector.</w:t>
      </w:r>
    </w:p>
    <w:p w14:paraId="6BEBCC16" w14:textId="62BD45BF" w:rsidR="08E8C885" w:rsidRPr="00C86B06" w:rsidRDefault="000E4100" w:rsidP="25160688">
      <w:pPr>
        <w:pStyle w:val="ListParagraph"/>
        <w:numPr>
          <w:ilvl w:val="0"/>
          <w:numId w:val="22"/>
        </w:numPr>
        <w:jc w:val="both"/>
        <w:rPr>
          <w:rFonts w:asciiTheme="minorHAnsi" w:eastAsiaTheme="minorEastAsia" w:hAnsiTheme="minorHAnsi" w:cstheme="minorBidi"/>
          <w:color w:val="000000" w:themeColor="text1"/>
          <w:sz w:val="22"/>
          <w:szCs w:val="22"/>
        </w:rPr>
      </w:pPr>
      <w:r w:rsidRPr="00C86B06">
        <w:rPr>
          <w:rFonts w:asciiTheme="minorHAnsi" w:eastAsiaTheme="minorEastAsia" w:hAnsiTheme="minorHAnsi" w:cstheme="minorBidi"/>
          <w:color w:val="000000" w:themeColor="text1"/>
          <w:sz w:val="22"/>
          <w:szCs w:val="22"/>
        </w:rPr>
        <w:t>E</w:t>
      </w:r>
      <w:r w:rsidR="08E8C885" w:rsidRPr="00C86B06">
        <w:rPr>
          <w:rFonts w:asciiTheme="minorHAnsi" w:eastAsiaTheme="minorEastAsia" w:hAnsiTheme="minorHAnsi" w:cstheme="minorBidi"/>
          <w:color w:val="000000" w:themeColor="text1"/>
          <w:sz w:val="22"/>
          <w:szCs w:val="22"/>
        </w:rPr>
        <w:t>ligible labels financed throughout 2020</w:t>
      </w:r>
      <w:r w:rsidRPr="00C86B06">
        <w:rPr>
          <w:rFonts w:asciiTheme="minorHAnsi" w:eastAsiaTheme="minorEastAsia" w:hAnsiTheme="minorHAnsi" w:cstheme="minorBidi"/>
          <w:color w:val="000000" w:themeColor="text1"/>
          <w:sz w:val="22"/>
          <w:szCs w:val="22"/>
        </w:rPr>
        <w:t xml:space="preserve"> included</w:t>
      </w:r>
      <w:r w:rsidR="08E8C885" w:rsidRPr="00C86B06">
        <w:rPr>
          <w:rFonts w:asciiTheme="minorHAnsi" w:eastAsiaTheme="minorEastAsia" w:hAnsiTheme="minorHAnsi" w:cstheme="minorBidi"/>
          <w:color w:val="000000" w:themeColor="text1"/>
          <w:sz w:val="22"/>
          <w:szCs w:val="22"/>
        </w:rPr>
        <w:t xml:space="preserve"> Rainforest Alliance </w:t>
      </w:r>
      <w:r w:rsidRPr="00C86B06">
        <w:rPr>
          <w:rFonts w:asciiTheme="minorHAnsi" w:eastAsiaTheme="minorEastAsia" w:hAnsiTheme="minorHAnsi" w:cstheme="minorBidi"/>
          <w:color w:val="000000" w:themeColor="text1"/>
          <w:sz w:val="22"/>
          <w:szCs w:val="22"/>
        </w:rPr>
        <w:t xml:space="preserve">and </w:t>
      </w:r>
      <w:r w:rsidR="08E8C885" w:rsidRPr="00C86B06">
        <w:rPr>
          <w:rFonts w:asciiTheme="minorHAnsi" w:eastAsiaTheme="minorEastAsia" w:hAnsiTheme="minorHAnsi" w:cstheme="minorBidi"/>
          <w:color w:val="000000" w:themeColor="text1"/>
          <w:sz w:val="22"/>
          <w:szCs w:val="22"/>
        </w:rPr>
        <w:t>the Fairtrade Standard for Small Producer Organisations</w:t>
      </w:r>
      <w:r w:rsidR="00C86B06" w:rsidRPr="00C86B06">
        <w:rPr>
          <w:rStyle w:val="CommentReference"/>
        </w:rPr>
        <w:t>.</w:t>
      </w:r>
    </w:p>
    <w:p w14:paraId="5DF3D247" w14:textId="34009760" w:rsidR="08E8C885" w:rsidRDefault="2E4F7FF1" w:rsidP="6BD88DCD">
      <w:pPr>
        <w:pStyle w:val="ListParagraph"/>
        <w:numPr>
          <w:ilvl w:val="0"/>
          <w:numId w:val="22"/>
        </w:numPr>
        <w:jc w:val="both"/>
        <w:rPr>
          <w:rFonts w:asciiTheme="minorHAnsi" w:eastAsiaTheme="minorEastAsia" w:hAnsiTheme="minorHAnsi" w:cstheme="minorBidi"/>
          <w:color w:val="000000" w:themeColor="text1"/>
          <w:sz w:val="22"/>
          <w:szCs w:val="22"/>
        </w:rPr>
      </w:pPr>
      <w:r w:rsidRPr="2BE51E91">
        <w:rPr>
          <w:rFonts w:asciiTheme="minorHAnsi" w:eastAsiaTheme="minorEastAsia" w:hAnsiTheme="minorHAnsi" w:cstheme="minorBidi"/>
          <w:color w:val="000000" w:themeColor="text1"/>
          <w:sz w:val="22"/>
          <w:szCs w:val="22"/>
        </w:rPr>
        <w:t>New</w:t>
      </w:r>
      <w:r w:rsidR="00130132">
        <w:rPr>
          <w:rFonts w:asciiTheme="minorHAnsi" w:eastAsiaTheme="minorEastAsia" w:hAnsiTheme="minorHAnsi" w:cstheme="minorBidi"/>
          <w:color w:val="000000" w:themeColor="text1"/>
          <w:sz w:val="22"/>
          <w:szCs w:val="22"/>
        </w:rPr>
        <w:t xml:space="preserve"> Green List (</w:t>
      </w:r>
      <w:r w:rsidR="3C051962" w:rsidRPr="2BE51E91">
        <w:rPr>
          <w:rFonts w:asciiTheme="minorHAnsi" w:eastAsiaTheme="minorEastAsia" w:hAnsiTheme="minorHAnsi" w:cstheme="minorBidi"/>
          <w:color w:val="000000" w:themeColor="text1"/>
          <w:sz w:val="22"/>
          <w:szCs w:val="22"/>
        </w:rPr>
        <w:t>GL</w:t>
      </w:r>
      <w:r w:rsidR="00130132">
        <w:rPr>
          <w:rFonts w:asciiTheme="minorHAnsi" w:eastAsiaTheme="minorEastAsia" w:hAnsiTheme="minorHAnsi" w:cstheme="minorBidi"/>
          <w:color w:val="000000" w:themeColor="text1"/>
          <w:sz w:val="22"/>
          <w:szCs w:val="22"/>
        </w:rPr>
        <w:t>)</w:t>
      </w:r>
      <w:r w:rsidR="3C051962" w:rsidRPr="2BE51E91">
        <w:rPr>
          <w:rFonts w:asciiTheme="minorHAnsi" w:eastAsiaTheme="minorEastAsia" w:hAnsiTheme="minorHAnsi" w:cstheme="minorBidi"/>
          <w:color w:val="000000" w:themeColor="text1"/>
          <w:sz w:val="22"/>
          <w:szCs w:val="22"/>
        </w:rPr>
        <w:t xml:space="preserve"> </w:t>
      </w:r>
      <w:r w:rsidRPr="2BE51E91">
        <w:rPr>
          <w:rFonts w:asciiTheme="minorHAnsi" w:eastAsiaTheme="minorEastAsia" w:hAnsiTheme="minorHAnsi" w:cstheme="minorBidi"/>
          <w:color w:val="000000" w:themeColor="text1"/>
          <w:sz w:val="22"/>
          <w:szCs w:val="22"/>
        </w:rPr>
        <w:t xml:space="preserve">measures added to the portfolio in 2020 included: </w:t>
      </w:r>
      <w:proofErr w:type="spellStart"/>
      <w:r w:rsidRPr="2BE51E91">
        <w:rPr>
          <w:rFonts w:asciiTheme="minorHAnsi" w:eastAsiaTheme="minorEastAsia" w:hAnsiTheme="minorHAnsi" w:cstheme="minorBidi"/>
          <w:color w:val="000000" w:themeColor="text1"/>
          <w:sz w:val="22"/>
          <w:szCs w:val="22"/>
        </w:rPr>
        <w:t>i</w:t>
      </w:r>
      <w:proofErr w:type="spellEnd"/>
      <w:r w:rsidRPr="2BE51E91">
        <w:rPr>
          <w:rFonts w:asciiTheme="minorHAnsi" w:eastAsiaTheme="minorEastAsia" w:hAnsiTheme="minorHAnsi" w:cstheme="minorBidi"/>
          <w:color w:val="000000" w:themeColor="text1"/>
          <w:sz w:val="22"/>
          <w:szCs w:val="22"/>
        </w:rPr>
        <w:t>) Recycling of agricultural waste that is otherwise disposed of (</w:t>
      </w:r>
      <w:r w:rsidR="572ECE24" w:rsidRPr="2BE51E91">
        <w:rPr>
          <w:rFonts w:asciiTheme="minorHAnsi" w:eastAsiaTheme="minorEastAsia" w:hAnsiTheme="minorHAnsi" w:cstheme="minorBidi"/>
          <w:color w:val="000000" w:themeColor="text1"/>
          <w:sz w:val="22"/>
          <w:szCs w:val="22"/>
        </w:rPr>
        <w:t>#</w:t>
      </w:r>
      <w:r w:rsidRPr="2BE51E91">
        <w:rPr>
          <w:rFonts w:asciiTheme="minorHAnsi" w:eastAsiaTheme="minorEastAsia" w:hAnsiTheme="minorHAnsi" w:cstheme="minorBidi"/>
          <w:color w:val="000000" w:themeColor="text1"/>
          <w:sz w:val="22"/>
          <w:szCs w:val="22"/>
        </w:rPr>
        <w:t>31), ii) Dry sugarcane cleaning system (</w:t>
      </w:r>
      <w:r w:rsidR="1B57B11B" w:rsidRPr="2BE51E91">
        <w:rPr>
          <w:rFonts w:asciiTheme="minorHAnsi" w:eastAsiaTheme="minorEastAsia" w:hAnsiTheme="minorHAnsi" w:cstheme="minorBidi"/>
          <w:color w:val="000000" w:themeColor="text1"/>
          <w:sz w:val="22"/>
          <w:szCs w:val="22"/>
        </w:rPr>
        <w:t>#</w:t>
      </w:r>
      <w:r w:rsidRPr="2BE51E91">
        <w:rPr>
          <w:rFonts w:asciiTheme="minorHAnsi" w:eastAsiaTheme="minorEastAsia" w:hAnsiTheme="minorHAnsi" w:cstheme="minorBidi"/>
          <w:color w:val="000000" w:themeColor="text1"/>
          <w:sz w:val="22"/>
          <w:szCs w:val="22"/>
        </w:rPr>
        <w:t>10), iii) Biogas equipment (</w:t>
      </w:r>
      <w:r w:rsidR="3545DE1E" w:rsidRPr="2BE51E91">
        <w:rPr>
          <w:rFonts w:asciiTheme="minorHAnsi" w:eastAsiaTheme="minorEastAsia" w:hAnsiTheme="minorHAnsi" w:cstheme="minorBidi"/>
          <w:color w:val="000000" w:themeColor="text1"/>
          <w:sz w:val="22"/>
          <w:szCs w:val="22"/>
        </w:rPr>
        <w:t>#</w:t>
      </w:r>
      <w:r w:rsidRPr="2BE51E91">
        <w:rPr>
          <w:rFonts w:asciiTheme="minorHAnsi" w:eastAsiaTheme="minorEastAsia" w:hAnsiTheme="minorHAnsi" w:cstheme="minorBidi"/>
          <w:color w:val="000000" w:themeColor="text1"/>
          <w:sz w:val="22"/>
          <w:szCs w:val="22"/>
        </w:rPr>
        <w:t>34).</w:t>
      </w:r>
      <w:r w:rsidR="00B32A77" w:rsidRPr="00B32A77">
        <w:rPr>
          <w:rFonts w:asciiTheme="minorHAnsi" w:eastAsiaTheme="minorEastAsia" w:hAnsiTheme="minorHAnsi" w:cstheme="minorBidi"/>
          <w:color w:val="000000" w:themeColor="text1"/>
          <w:sz w:val="22"/>
          <w:szCs w:val="22"/>
        </w:rPr>
        <w:t xml:space="preserve"> </w:t>
      </w:r>
      <w:r w:rsidR="00B32A77" w:rsidRPr="2BE51E91">
        <w:rPr>
          <w:rFonts w:asciiTheme="minorHAnsi" w:eastAsiaTheme="minorEastAsia" w:hAnsiTheme="minorHAnsi" w:cstheme="minorBidi"/>
          <w:color w:val="000000" w:themeColor="text1"/>
          <w:sz w:val="22"/>
          <w:szCs w:val="22"/>
        </w:rPr>
        <w:t>When financing a new PI using the GL approach, EBF discusses and agrees with the PI which GL measures are the most appropriate. The actual financing then follows the fund’s market logic, based on the needs and interest of the end-clients.</w:t>
      </w:r>
    </w:p>
    <w:p w14:paraId="2B8FEB4A" w14:textId="69881470" w:rsidR="08E8C885" w:rsidRDefault="08E8C885" w:rsidP="6BD88DCD">
      <w:pPr>
        <w:pStyle w:val="ListParagraph"/>
        <w:numPr>
          <w:ilvl w:val="0"/>
          <w:numId w:val="22"/>
        </w:numPr>
        <w:jc w:val="both"/>
        <w:rPr>
          <w:rFonts w:asciiTheme="minorHAnsi" w:eastAsiaTheme="minorEastAsia" w:hAnsiTheme="minorHAnsi" w:cstheme="minorBidi"/>
          <w:color w:val="000000" w:themeColor="text1"/>
          <w:sz w:val="22"/>
          <w:szCs w:val="22"/>
        </w:rPr>
      </w:pPr>
      <w:r w:rsidRPr="7FD91A77">
        <w:rPr>
          <w:rFonts w:asciiTheme="minorHAnsi" w:eastAsiaTheme="minorEastAsia" w:hAnsiTheme="minorHAnsi" w:cstheme="minorBidi"/>
          <w:color w:val="000000" w:themeColor="text1"/>
          <w:sz w:val="22"/>
          <w:szCs w:val="22"/>
        </w:rPr>
        <w:t>Amongst supported GL activities, the Fund’s PIs primarily on-lend for activities related to sustainable land use, production, and extraction practices</w:t>
      </w:r>
      <w:r w:rsidR="000E4100">
        <w:rPr>
          <w:rFonts w:asciiTheme="minorHAnsi" w:eastAsiaTheme="minorEastAsia" w:hAnsiTheme="minorHAnsi" w:cstheme="minorBidi"/>
          <w:color w:val="000000" w:themeColor="text1"/>
          <w:sz w:val="22"/>
          <w:szCs w:val="22"/>
        </w:rPr>
        <w:t>.</w:t>
      </w:r>
      <w:r w:rsidRPr="7FD91A77">
        <w:rPr>
          <w:rFonts w:asciiTheme="minorHAnsi" w:eastAsiaTheme="minorEastAsia" w:hAnsiTheme="minorHAnsi" w:cstheme="minorBidi"/>
          <w:color w:val="000000" w:themeColor="text1"/>
          <w:sz w:val="22"/>
          <w:szCs w:val="22"/>
        </w:rPr>
        <w:t xml:space="preserve"> </w:t>
      </w:r>
    </w:p>
    <w:p w14:paraId="4BB91624" w14:textId="03DE186A" w:rsidR="00EC3141" w:rsidRPr="00A73B10" w:rsidRDefault="20D3A2FA" w:rsidP="0F9CD67B">
      <w:pPr>
        <w:pStyle w:val="ListParagraph"/>
        <w:numPr>
          <w:ilvl w:val="0"/>
          <w:numId w:val="22"/>
        </w:numPr>
        <w:jc w:val="both"/>
        <w:rPr>
          <w:rFonts w:asciiTheme="minorHAnsi" w:eastAsiaTheme="minorEastAsia" w:hAnsiTheme="minorHAnsi" w:cstheme="minorBidi"/>
          <w:color w:val="000000" w:themeColor="text1"/>
          <w:sz w:val="22"/>
          <w:szCs w:val="22"/>
        </w:rPr>
      </w:pPr>
      <w:r w:rsidRPr="2BE51E91">
        <w:rPr>
          <w:rFonts w:asciiTheme="minorHAnsi" w:eastAsiaTheme="minorEastAsia" w:hAnsiTheme="minorHAnsi" w:cstheme="minorBidi"/>
          <w:color w:val="000000" w:themeColor="text1"/>
          <w:sz w:val="22"/>
          <w:szCs w:val="22"/>
        </w:rPr>
        <w:lastRenderedPageBreak/>
        <w:t>In 2020, the Fund’s PI</w:t>
      </w:r>
      <w:r w:rsidR="4C669087" w:rsidRPr="2BE51E91">
        <w:rPr>
          <w:rFonts w:asciiTheme="minorHAnsi" w:eastAsiaTheme="minorEastAsia" w:hAnsiTheme="minorHAnsi" w:cstheme="minorBidi"/>
          <w:color w:val="000000" w:themeColor="text1"/>
          <w:sz w:val="22"/>
          <w:szCs w:val="22"/>
        </w:rPr>
        <w:t>s</w:t>
      </w:r>
      <w:r w:rsidRPr="2BE51E91">
        <w:rPr>
          <w:rFonts w:asciiTheme="minorHAnsi" w:eastAsiaTheme="minorEastAsia" w:hAnsiTheme="minorHAnsi" w:cstheme="minorBidi"/>
          <w:color w:val="000000" w:themeColor="text1"/>
          <w:sz w:val="22"/>
          <w:szCs w:val="22"/>
        </w:rPr>
        <w:t xml:space="preserve"> disbursed more than 7100 sub-loans, amounting to a total of USD 676.7 million</w:t>
      </w:r>
      <w:r w:rsidR="4304FCBB" w:rsidRPr="2BE51E91">
        <w:rPr>
          <w:rFonts w:asciiTheme="minorHAnsi" w:eastAsiaTheme="minorEastAsia" w:hAnsiTheme="minorHAnsi" w:cstheme="minorBidi"/>
          <w:color w:val="000000" w:themeColor="text1"/>
          <w:sz w:val="22"/>
          <w:szCs w:val="22"/>
        </w:rPr>
        <w:t xml:space="preserve"> being</w:t>
      </w:r>
      <w:r w:rsidRPr="2BE51E91">
        <w:rPr>
          <w:rFonts w:asciiTheme="minorHAnsi" w:eastAsiaTheme="minorEastAsia" w:hAnsiTheme="minorHAnsi" w:cstheme="minorBidi"/>
          <w:color w:val="000000" w:themeColor="text1"/>
          <w:sz w:val="22"/>
          <w:szCs w:val="22"/>
        </w:rPr>
        <w:t xml:space="preserve"> passed on to end borrowers (up from USD 385.9 million in 2019). </w:t>
      </w:r>
    </w:p>
    <w:p w14:paraId="134BA7B4" w14:textId="40E13BEE" w:rsidR="00EC3141" w:rsidRPr="00A11BA1" w:rsidRDefault="0E58B582" w:rsidP="0116275A">
      <w:pPr>
        <w:pStyle w:val="ListParagraph"/>
        <w:numPr>
          <w:ilvl w:val="0"/>
          <w:numId w:val="22"/>
        </w:numPr>
        <w:jc w:val="both"/>
        <w:rPr>
          <w:color w:val="000000" w:themeColor="text1"/>
          <w:sz w:val="22"/>
          <w:szCs w:val="22"/>
        </w:rPr>
      </w:pPr>
      <w:r w:rsidRPr="078C476B">
        <w:rPr>
          <w:rFonts w:asciiTheme="minorHAnsi" w:eastAsiaTheme="minorEastAsia" w:hAnsiTheme="minorHAnsi" w:cstheme="minorBidi"/>
          <w:color w:val="000000" w:themeColor="text1"/>
          <w:sz w:val="22"/>
          <w:szCs w:val="22"/>
        </w:rPr>
        <w:t>A</w:t>
      </w:r>
      <w:r w:rsidR="77B9478E" w:rsidRPr="078C476B">
        <w:rPr>
          <w:rFonts w:asciiTheme="minorHAnsi" w:eastAsiaTheme="minorEastAsia" w:hAnsiTheme="minorHAnsi" w:cstheme="minorBidi"/>
          <w:color w:val="000000" w:themeColor="text1"/>
          <w:sz w:val="22"/>
          <w:szCs w:val="22"/>
        </w:rPr>
        <w:t xml:space="preserve">t the end of 2020, the outstanding sub-loan portfolio stood at just above USD 429.2 million (up from ~ USD 300 million in 2019). This portfolio is allocated with ~80% to end borrowers that hold an eligible sustainability certification, </w:t>
      </w:r>
      <w:r w:rsidR="1544F67B" w:rsidRPr="078C476B">
        <w:rPr>
          <w:rFonts w:asciiTheme="minorHAnsi" w:eastAsiaTheme="minorEastAsia" w:hAnsiTheme="minorHAnsi" w:cstheme="minorBidi"/>
          <w:color w:val="000000" w:themeColor="text1"/>
          <w:sz w:val="22"/>
          <w:szCs w:val="22"/>
        </w:rPr>
        <w:t>and</w:t>
      </w:r>
      <w:r w:rsidR="6E852BC6" w:rsidRPr="078C476B">
        <w:rPr>
          <w:rFonts w:asciiTheme="minorHAnsi" w:eastAsiaTheme="minorEastAsia" w:hAnsiTheme="minorHAnsi" w:cstheme="minorBidi"/>
          <w:color w:val="000000" w:themeColor="text1"/>
          <w:sz w:val="22"/>
          <w:szCs w:val="22"/>
        </w:rPr>
        <w:t xml:space="preserve"> </w:t>
      </w:r>
      <w:r w:rsidR="77B9478E" w:rsidRPr="078C476B">
        <w:rPr>
          <w:rFonts w:asciiTheme="minorHAnsi" w:eastAsiaTheme="minorEastAsia" w:hAnsiTheme="minorHAnsi" w:cstheme="minorBidi"/>
          <w:color w:val="000000" w:themeColor="text1"/>
          <w:sz w:val="22"/>
          <w:szCs w:val="22"/>
        </w:rPr>
        <w:t xml:space="preserve">~20% </w:t>
      </w:r>
      <w:r w:rsidR="772A052E" w:rsidRPr="078C476B">
        <w:rPr>
          <w:rFonts w:asciiTheme="minorHAnsi" w:eastAsiaTheme="minorEastAsia" w:hAnsiTheme="minorHAnsi" w:cstheme="minorBidi"/>
          <w:color w:val="000000" w:themeColor="text1"/>
          <w:sz w:val="22"/>
          <w:szCs w:val="22"/>
        </w:rPr>
        <w:t>with</w:t>
      </w:r>
      <w:r w:rsidR="77B9478E" w:rsidRPr="078C476B">
        <w:rPr>
          <w:rFonts w:asciiTheme="minorHAnsi" w:eastAsiaTheme="minorEastAsia" w:hAnsiTheme="minorHAnsi" w:cstheme="minorBidi"/>
          <w:color w:val="000000" w:themeColor="text1"/>
          <w:sz w:val="22"/>
          <w:szCs w:val="22"/>
        </w:rPr>
        <w:t xml:space="preserve"> eligible green list activities.</w:t>
      </w:r>
    </w:p>
    <w:p w14:paraId="225E9E08" w14:textId="67C77A31" w:rsidR="00257AE6" w:rsidRPr="00A11BA1" w:rsidRDefault="012B3869" w:rsidP="078C476B">
      <w:pPr>
        <w:jc w:val="both"/>
        <w:rPr>
          <w:rFonts w:asciiTheme="minorHAnsi" w:hAnsiTheme="minorHAnsi" w:cstheme="minorBidi"/>
          <w:color w:val="000000" w:themeColor="text1"/>
          <w:sz w:val="22"/>
          <w:szCs w:val="22"/>
        </w:rPr>
      </w:pPr>
      <w:r w:rsidRPr="078C476B">
        <w:rPr>
          <w:rFonts w:asciiTheme="minorHAnsi" w:hAnsiTheme="minorHAnsi" w:cstheme="minorBidi"/>
          <w:b/>
          <w:bCs/>
          <w:color w:val="000000" w:themeColor="text1"/>
          <w:sz w:val="22"/>
          <w:szCs w:val="22"/>
        </w:rPr>
        <w:t xml:space="preserve">Recommendation: </w:t>
      </w:r>
      <w:r w:rsidR="13CDA628" w:rsidRPr="078C476B">
        <w:rPr>
          <w:rFonts w:asciiTheme="minorHAnsi" w:hAnsiTheme="minorHAnsi" w:cstheme="minorBidi"/>
          <w:color w:val="000000" w:themeColor="text1"/>
          <w:sz w:val="22"/>
          <w:szCs w:val="22"/>
        </w:rPr>
        <w:t xml:space="preserve">The </w:t>
      </w:r>
      <w:r w:rsidRPr="078C476B">
        <w:rPr>
          <w:rFonts w:asciiTheme="minorHAnsi" w:hAnsiTheme="minorHAnsi" w:cstheme="minorBidi"/>
          <w:color w:val="000000" w:themeColor="text1"/>
          <w:sz w:val="22"/>
          <w:szCs w:val="22"/>
        </w:rPr>
        <w:t xml:space="preserve">Fund work with Defra to revise Defra’s </w:t>
      </w:r>
      <w:proofErr w:type="spellStart"/>
      <w:r w:rsidRPr="078C476B">
        <w:rPr>
          <w:rFonts w:asciiTheme="minorHAnsi" w:hAnsiTheme="minorHAnsi" w:cstheme="minorBidi"/>
          <w:color w:val="000000" w:themeColor="text1"/>
          <w:sz w:val="22"/>
          <w:szCs w:val="22"/>
        </w:rPr>
        <w:t>logframe</w:t>
      </w:r>
      <w:proofErr w:type="spellEnd"/>
      <w:r w:rsidRPr="078C476B">
        <w:rPr>
          <w:rFonts w:asciiTheme="minorHAnsi" w:hAnsiTheme="minorHAnsi" w:cstheme="minorBidi"/>
          <w:color w:val="000000" w:themeColor="text1"/>
          <w:sz w:val="22"/>
          <w:szCs w:val="22"/>
        </w:rPr>
        <w:t xml:space="preserve"> targets upwards for </w:t>
      </w:r>
      <w:r w:rsidR="1F28ED42" w:rsidRPr="078C476B">
        <w:rPr>
          <w:rFonts w:asciiTheme="minorHAnsi" w:hAnsiTheme="minorHAnsi" w:cstheme="minorBidi"/>
          <w:color w:val="000000" w:themeColor="text1"/>
          <w:sz w:val="22"/>
          <w:szCs w:val="22"/>
        </w:rPr>
        <w:t>output indicators</w:t>
      </w:r>
      <w:r w:rsidRPr="078C476B">
        <w:rPr>
          <w:rFonts w:asciiTheme="minorHAnsi" w:hAnsiTheme="minorHAnsi" w:cstheme="minorBidi"/>
          <w:color w:val="000000" w:themeColor="text1"/>
          <w:sz w:val="22"/>
          <w:szCs w:val="22"/>
        </w:rPr>
        <w:t xml:space="preserve"> 2.1 and 2.2. to account for the fact that the 2022 targets have already been exceeded</w:t>
      </w:r>
      <w:r w:rsidR="1F28ED42" w:rsidRPr="078C476B">
        <w:rPr>
          <w:rFonts w:asciiTheme="minorHAnsi" w:hAnsiTheme="minorHAnsi" w:cstheme="minorBidi"/>
          <w:color w:val="000000" w:themeColor="text1"/>
          <w:sz w:val="22"/>
          <w:szCs w:val="22"/>
        </w:rPr>
        <w:t xml:space="preserve"> and to continue to build on the success of the fund in this area.</w:t>
      </w:r>
    </w:p>
    <w:p w14:paraId="6088C6BC" w14:textId="77777777" w:rsidR="00B32A77" w:rsidRPr="00A73B10" w:rsidRDefault="00B32A77" w:rsidP="001B7688">
      <w:pPr>
        <w:pStyle w:val="ListParagraph"/>
        <w:jc w:val="both"/>
        <w:rPr>
          <w:color w:val="000000" w:themeColor="text1"/>
          <w:sz w:val="22"/>
          <w:szCs w:val="22"/>
        </w:rPr>
      </w:pPr>
    </w:p>
    <w:tbl>
      <w:tblPr>
        <w:tblStyle w:val="TableGrid"/>
        <w:tblW w:w="0" w:type="auto"/>
        <w:tblInd w:w="-147" w:type="dxa"/>
        <w:tblLook w:val="04A0" w:firstRow="1" w:lastRow="0" w:firstColumn="1" w:lastColumn="0" w:noHBand="0" w:noVBand="1"/>
      </w:tblPr>
      <w:tblGrid>
        <w:gridCol w:w="1690"/>
        <w:gridCol w:w="597"/>
        <w:gridCol w:w="922"/>
        <w:gridCol w:w="3216"/>
        <w:gridCol w:w="2738"/>
      </w:tblGrid>
      <w:tr w:rsidR="49CFF048" w14:paraId="0BDA8D9D" w14:textId="77777777" w:rsidTr="078C476B">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B295C0" w14:textId="77777777" w:rsidR="49CFF048" w:rsidRDefault="4E3C43B6" w:rsidP="0116275A">
            <w:pPr>
              <w:rPr>
                <w:b/>
                <w:bCs/>
                <w:sz w:val="22"/>
                <w:szCs w:val="22"/>
              </w:rPr>
            </w:pPr>
            <w:r w:rsidRPr="0116275A">
              <w:rPr>
                <w:b/>
                <w:bCs/>
                <w:sz w:val="22"/>
                <w:szCs w:val="22"/>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2638586" w14:textId="17DC4922" w:rsidR="306B5661" w:rsidRDefault="12890122" w:rsidP="0116275A">
            <w:pPr>
              <w:rPr>
                <w:rFonts w:ascii="Calibri" w:eastAsia="Calibri" w:hAnsi="Calibri" w:cs="Calibri"/>
                <w:sz w:val="22"/>
                <w:szCs w:val="22"/>
              </w:rPr>
            </w:pPr>
            <w:r w:rsidRPr="0116275A">
              <w:rPr>
                <w:rFonts w:ascii="Calibri" w:eastAsia="Calibri" w:hAnsi="Calibri" w:cs="Calibri"/>
                <w:sz w:val="22"/>
                <w:szCs w:val="22"/>
              </w:rPr>
              <w:t>Provision of continuous and sufficient Technical Assistance</w:t>
            </w:r>
          </w:p>
        </w:tc>
      </w:tr>
      <w:tr w:rsidR="49CFF048" w14:paraId="43E3D59B" w14:textId="77777777" w:rsidTr="078C476B">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BF7FE0" w14:textId="77777777" w:rsidR="49CFF048" w:rsidRDefault="4E3C43B6" w:rsidP="0116275A">
            <w:pPr>
              <w:rPr>
                <w:sz w:val="22"/>
                <w:szCs w:val="22"/>
              </w:rPr>
            </w:pPr>
            <w:r w:rsidRPr="0116275A">
              <w:rPr>
                <w:sz w:val="22"/>
                <w:szCs w:val="22"/>
              </w:rPr>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79E7488E" w14:textId="25DA2DAE" w:rsidR="1033C202" w:rsidRDefault="7C12B683" w:rsidP="0116275A">
            <w:pPr>
              <w:rPr>
                <w:sz w:val="22"/>
                <w:szCs w:val="22"/>
              </w:rPr>
            </w:pPr>
            <w:r w:rsidRPr="0116275A">
              <w:rPr>
                <w:sz w:val="22"/>
                <w:szCs w:val="22"/>
              </w:rPr>
              <w:t>3</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CFCDA8" w14:textId="77777777" w:rsidR="49CFF048" w:rsidRDefault="4E3C43B6" w:rsidP="0116275A">
            <w:pPr>
              <w:rPr>
                <w:sz w:val="22"/>
                <w:szCs w:val="22"/>
              </w:rPr>
            </w:pPr>
            <w:r w:rsidRPr="0116275A">
              <w:rPr>
                <w:sz w:val="22"/>
                <w:szCs w:val="22"/>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647F34D5" w14:textId="62D71D32" w:rsidR="49CFF048" w:rsidRDefault="486FD9C7" w:rsidP="0116275A">
            <w:pPr>
              <w:rPr>
                <w:sz w:val="22"/>
                <w:szCs w:val="22"/>
              </w:rPr>
            </w:pPr>
            <w:r w:rsidRPr="0116275A">
              <w:rPr>
                <w:sz w:val="22"/>
                <w:szCs w:val="22"/>
              </w:rPr>
              <w:t>A</w:t>
            </w:r>
          </w:p>
        </w:tc>
      </w:tr>
      <w:tr w:rsidR="49CFF048" w14:paraId="177DDC30" w14:textId="77777777" w:rsidTr="078C476B">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FB1182" w14:textId="77777777" w:rsidR="49CFF048" w:rsidRDefault="4E3C43B6" w:rsidP="0116275A">
            <w:pPr>
              <w:rPr>
                <w:sz w:val="22"/>
                <w:szCs w:val="22"/>
              </w:rPr>
            </w:pPr>
            <w:r w:rsidRPr="0116275A">
              <w:rPr>
                <w:sz w:val="22"/>
                <w:szCs w:val="22"/>
              </w:rPr>
              <w:t xml:space="preserve">Impact weighting (%):  </w:t>
            </w:r>
          </w:p>
        </w:tc>
        <w:tc>
          <w:tcPr>
            <w:tcW w:w="937" w:type="dxa"/>
            <w:tcBorders>
              <w:top w:val="single" w:sz="4" w:space="0" w:color="auto"/>
              <w:left w:val="single" w:sz="4" w:space="0" w:color="auto"/>
              <w:bottom w:val="single" w:sz="4" w:space="0" w:color="auto"/>
              <w:right w:val="single" w:sz="4" w:space="0" w:color="auto"/>
            </w:tcBorders>
          </w:tcPr>
          <w:p w14:paraId="142AED32" w14:textId="05CA9076" w:rsidR="49CFF048" w:rsidRDefault="6FFAA983" w:rsidP="0116275A">
            <w:pPr>
              <w:rPr>
                <w:sz w:val="22"/>
                <w:szCs w:val="22"/>
              </w:rPr>
            </w:pPr>
            <w:r w:rsidRPr="0116275A">
              <w:rPr>
                <w:sz w:val="22"/>
                <w:szCs w:val="22"/>
              </w:rPr>
              <w:t>15</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15ADFC" w14:textId="2FF2D427" w:rsidR="49CFF048" w:rsidRDefault="601BBE9F" w:rsidP="0116275A">
            <w:pPr>
              <w:rPr>
                <w:sz w:val="22"/>
                <w:szCs w:val="22"/>
              </w:rPr>
            </w:pPr>
            <w:r w:rsidRPr="078C476B">
              <w:rPr>
                <w:sz w:val="22"/>
                <w:szCs w:val="22"/>
              </w:rPr>
              <w:t xml:space="preserve">Weighting revised since last AR? </w:t>
            </w:r>
          </w:p>
        </w:tc>
        <w:tc>
          <w:tcPr>
            <w:tcW w:w="2812" w:type="dxa"/>
            <w:tcBorders>
              <w:top w:val="single" w:sz="4" w:space="0" w:color="auto"/>
              <w:left w:val="single" w:sz="4" w:space="0" w:color="auto"/>
              <w:bottom w:val="single" w:sz="4" w:space="0" w:color="auto"/>
              <w:right w:val="single" w:sz="4" w:space="0" w:color="auto"/>
            </w:tcBorders>
          </w:tcPr>
          <w:p w14:paraId="0B0A3EBD" w14:textId="02F4093B" w:rsidR="49CFF048" w:rsidRDefault="63034E12" w:rsidP="0116275A">
            <w:pPr>
              <w:rPr>
                <w:sz w:val="22"/>
                <w:szCs w:val="22"/>
              </w:rPr>
            </w:pPr>
            <w:r w:rsidRPr="0116275A">
              <w:rPr>
                <w:sz w:val="22"/>
                <w:szCs w:val="22"/>
              </w:rPr>
              <w:t>No</w:t>
            </w:r>
          </w:p>
        </w:tc>
      </w:tr>
    </w:tbl>
    <w:p w14:paraId="19F76E3B" w14:textId="77777777" w:rsidR="00EC3141" w:rsidRPr="00A73B10" w:rsidRDefault="00EC3141" w:rsidP="49CFF048">
      <w:pPr>
        <w:rPr>
          <w:b/>
          <w:bCs/>
          <w:color w:val="FF0000"/>
        </w:rPr>
      </w:pPr>
    </w:p>
    <w:tbl>
      <w:tblPr>
        <w:tblStyle w:val="TableGrid"/>
        <w:tblW w:w="0" w:type="auto"/>
        <w:tblLook w:val="04A0" w:firstRow="1" w:lastRow="0" w:firstColumn="1" w:lastColumn="0" w:noHBand="0" w:noVBand="1"/>
      </w:tblPr>
      <w:tblGrid>
        <w:gridCol w:w="5444"/>
        <w:gridCol w:w="1912"/>
        <w:gridCol w:w="1660"/>
      </w:tblGrid>
      <w:tr w:rsidR="49CFF048" w14:paraId="1F8920D5" w14:textId="77777777" w:rsidTr="0116275A">
        <w:trPr>
          <w:trHeight w:val="273"/>
        </w:trPr>
        <w:tc>
          <w:tcPr>
            <w:tcW w:w="57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3C6A662" w14:textId="77777777" w:rsidR="49CFF048" w:rsidRDefault="4E3C43B6" w:rsidP="0116275A">
            <w:pPr>
              <w:rPr>
                <w:b/>
                <w:bCs/>
                <w:sz w:val="20"/>
                <w:szCs w:val="20"/>
              </w:rPr>
            </w:pPr>
            <w:r w:rsidRPr="0116275A">
              <w:rPr>
                <w:b/>
                <w:bCs/>
                <w:sz w:val="20"/>
                <w:szCs w:val="20"/>
              </w:rPr>
              <w:t>Indicator(s)</w:t>
            </w:r>
          </w:p>
        </w:tc>
        <w:tc>
          <w:tcPr>
            <w:tcW w:w="19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F0C090" w14:textId="77777777" w:rsidR="49CFF048" w:rsidRDefault="4E3C43B6" w:rsidP="0116275A">
            <w:pPr>
              <w:rPr>
                <w:b/>
                <w:bCs/>
                <w:sz w:val="20"/>
                <w:szCs w:val="20"/>
              </w:rPr>
            </w:pPr>
            <w:r w:rsidRPr="0116275A">
              <w:rPr>
                <w:b/>
                <w:bCs/>
                <w:sz w:val="20"/>
                <w:szCs w:val="20"/>
              </w:rPr>
              <w:t>Milestone(s) for this review</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A61F3E" w14:textId="77777777" w:rsidR="49CFF048" w:rsidRDefault="4E3C43B6" w:rsidP="0116275A">
            <w:pPr>
              <w:rPr>
                <w:b/>
                <w:bCs/>
                <w:sz w:val="20"/>
                <w:szCs w:val="20"/>
              </w:rPr>
            </w:pPr>
            <w:r w:rsidRPr="0116275A">
              <w:rPr>
                <w:b/>
                <w:bCs/>
                <w:sz w:val="20"/>
                <w:szCs w:val="20"/>
              </w:rPr>
              <w:t xml:space="preserve">Progress </w:t>
            </w:r>
          </w:p>
        </w:tc>
      </w:tr>
      <w:tr w:rsidR="49CFF048" w14:paraId="03E1EBA8" w14:textId="77777777" w:rsidTr="0116275A">
        <w:tc>
          <w:tcPr>
            <w:tcW w:w="5700" w:type="dxa"/>
            <w:tcBorders>
              <w:top w:val="single" w:sz="4" w:space="0" w:color="auto"/>
              <w:left w:val="single" w:sz="4" w:space="0" w:color="auto"/>
              <w:bottom w:val="single" w:sz="4" w:space="0" w:color="auto"/>
              <w:right w:val="single" w:sz="4" w:space="0" w:color="auto"/>
            </w:tcBorders>
          </w:tcPr>
          <w:p w14:paraId="77680081" w14:textId="7D088A13" w:rsidR="2B7BECEB" w:rsidRDefault="42777B32" w:rsidP="0116275A">
            <w:pPr>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sz w:val="22"/>
                <w:szCs w:val="22"/>
              </w:rPr>
              <w:t>3.1 Number of on-going/outstanding TA projects</w:t>
            </w:r>
          </w:p>
        </w:tc>
        <w:tc>
          <w:tcPr>
            <w:tcW w:w="1950" w:type="dxa"/>
            <w:tcBorders>
              <w:top w:val="single" w:sz="4" w:space="0" w:color="auto"/>
              <w:left w:val="single" w:sz="4" w:space="0" w:color="auto"/>
              <w:bottom w:val="single" w:sz="4" w:space="0" w:color="auto"/>
              <w:right w:val="single" w:sz="4" w:space="0" w:color="auto"/>
            </w:tcBorders>
          </w:tcPr>
          <w:p w14:paraId="0BEEACA1" w14:textId="39078695" w:rsidR="2B7BECEB" w:rsidRDefault="42777B32" w:rsidP="49CFF048">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27</w:t>
            </w:r>
          </w:p>
        </w:tc>
        <w:tc>
          <w:tcPr>
            <w:tcW w:w="1701" w:type="dxa"/>
            <w:tcBorders>
              <w:top w:val="single" w:sz="4" w:space="0" w:color="auto"/>
              <w:left w:val="single" w:sz="4" w:space="0" w:color="auto"/>
              <w:bottom w:val="single" w:sz="4" w:space="0" w:color="auto"/>
              <w:right w:val="single" w:sz="4" w:space="0" w:color="auto"/>
            </w:tcBorders>
          </w:tcPr>
          <w:p w14:paraId="1455C3A4" w14:textId="4C25087B" w:rsidR="2B7BECEB" w:rsidRDefault="42777B32"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16</w:t>
            </w:r>
          </w:p>
        </w:tc>
      </w:tr>
      <w:tr w:rsidR="49CFF048" w14:paraId="31F539D3" w14:textId="77777777" w:rsidTr="0116275A">
        <w:tc>
          <w:tcPr>
            <w:tcW w:w="5700" w:type="dxa"/>
            <w:tcBorders>
              <w:top w:val="single" w:sz="4" w:space="0" w:color="auto"/>
              <w:left w:val="single" w:sz="4" w:space="0" w:color="auto"/>
              <w:bottom w:val="single" w:sz="4" w:space="0" w:color="auto"/>
              <w:right w:val="single" w:sz="4" w:space="0" w:color="auto"/>
            </w:tcBorders>
          </w:tcPr>
          <w:p w14:paraId="45DD67BC" w14:textId="13F12893" w:rsidR="2B7BECEB" w:rsidRDefault="42777B32"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3.2 Number of financial institutions supported</w:t>
            </w:r>
          </w:p>
        </w:tc>
        <w:tc>
          <w:tcPr>
            <w:tcW w:w="1950" w:type="dxa"/>
            <w:tcBorders>
              <w:top w:val="single" w:sz="4" w:space="0" w:color="auto"/>
              <w:left w:val="single" w:sz="4" w:space="0" w:color="auto"/>
              <w:bottom w:val="single" w:sz="4" w:space="0" w:color="auto"/>
              <w:right w:val="single" w:sz="4" w:space="0" w:color="auto"/>
            </w:tcBorders>
          </w:tcPr>
          <w:p w14:paraId="0B8507AB" w14:textId="07A0A7C6" w:rsidR="2B7BECEB" w:rsidRDefault="42777B32" w:rsidP="49CFF048">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15</w:t>
            </w:r>
          </w:p>
        </w:tc>
        <w:tc>
          <w:tcPr>
            <w:tcW w:w="1701" w:type="dxa"/>
            <w:tcBorders>
              <w:top w:val="single" w:sz="4" w:space="0" w:color="auto"/>
              <w:left w:val="single" w:sz="4" w:space="0" w:color="auto"/>
              <w:bottom w:val="single" w:sz="4" w:space="0" w:color="auto"/>
              <w:right w:val="single" w:sz="4" w:space="0" w:color="auto"/>
            </w:tcBorders>
          </w:tcPr>
          <w:p w14:paraId="4F8B57B5" w14:textId="1AB05F07" w:rsidR="2B7BECEB" w:rsidRDefault="42777B32" w:rsidP="49CFF048">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19</w:t>
            </w:r>
          </w:p>
        </w:tc>
      </w:tr>
      <w:tr w:rsidR="49CFF048" w14:paraId="5555BC2D" w14:textId="77777777" w:rsidTr="0116275A">
        <w:tc>
          <w:tcPr>
            <w:tcW w:w="5700" w:type="dxa"/>
            <w:tcBorders>
              <w:top w:val="single" w:sz="4" w:space="0" w:color="auto"/>
              <w:left w:val="single" w:sz="4" w:space="0" w:color="auto"/>
              <w:bottom w:val="single" w:sz="4" w:space="0" w:color="auto"/>
              <w:right w:val="single" w:sz="4" w:space="0" w:color="auto"/>
            </w:tcBorders>
          </w:tcPr>
          <w:p w14:paraId="54AA620F" w14:textId="0279FF09" w:rsidR="2B7BECEB" w:rsidRDefault="42777B32" w:rsidP="0116275A">
            <w:pPr>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sz w:val="22"/>
                <w:szCs w:val="22"/>
              </w:rPr>
              <w:t>3.3 Number of completed TA projects</w:t>
            </w:r>
          </w:p>
        </w:tc>
        <w:tc>
          <w:tcPr>
            <w:tcW w:w="1950" w:type="dxa"/>
            <w:tcBorders>
              <w:top w:val="single" w:sz="4" w:space="0" w:color="auto"/>
              <w:left w:val="single" w:sz="4" w:space="0" w:color="auto"/>
              <w:bottom w:val="single" w:sz="4" w:space="0" w:color="auto"/>
              <w:right w:val="single" w:sz="4" w:space="0" w:color="auto"/>
            </w:tcBorders>
          </w:tcPr>
          <w:p w14:paraId="3DAEB0BA" w14:textId="72038995" w:rsidR="2B7BECEB" w:rsidRDefault="42777B32" w:rsidP="49CFF048">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47</w:t>
            </w:r>
          </w:p>
        </w:tc>
        <w:tc>
          <w:tcPr>
            <w:tcW w:w="1701" w:type="dxa"/>
            <w:tcBorders>
              <w:top w:val="single" w:sz="4" w:space="0" w:color="auto"/>
              <w:left w:val="single" w:sz="4" w:space="0" w:color="auto"/>
              <w:bottom w:val="single" w:sz="4" w:space="0" w:color="auto"/>
              <w:right w:val="single" w:sz="4" w:space="0" w:color="auto"/>
            </w:tcBorders>
          </w:tcPr>
          <w:p w14:paraId="5809E886" w14:textId="3BE8DF9D" w:rsidR="2B7BECEB" w:rsidRDefault="42777B32"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56</w:t>
            </w:r>
          </w:p>
        </w:tc>
      </w:tr>
      <w:tr w:rsidR="49CFF048" w14:paraId="15D37CC2" w14:textId="77777777" w:rsidTr="0116275A">
        <w:tc>
          <w:tcPr>
            <w:tcW w:w="5700" w:type="dxa"/>
            <w:tcBorders>
              <w:top w:val="single" w:sz="4" w:space="0" w:color="auto"/>
              <w:left w:val="single" w:sz="4" w:space="0" w:color="auto"/>
              <w:bottom w:val="single" w:sz="4" w:space="0" w:color="auto"/>
              <w:right w:val="single" w:sz="4" w:space="0" w:color="auto"/>
            </w:tcBorders>
          </w:tcPr>
          <w:p w14:paraId="4D5D4701" w14:textId="0D594E1F" w:rsidR="2B7BECEB" w:rsidRDefault="42777B32"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3.4 Budget spent on TA projects (USD million)</w:t>
            </w:r>
          </w:p>
        </w:tc>
        <w:tc>
          <w:tcPr>
            <w:tcW w:w="1950" w:type="dxa"/>
            <w:tcBorders>
              <w:top w:val="single" w:sz="4" w:space="0" w:color="auto"/>
              <w:left w:val="single" w:sz="4" w:space="0" w:color="auto"/>
              <w:bottom w:val="single" w:sz="4" w:space="0" w:color="auto"/>
              <w:right w:val="single" w:sz="4" w:space="0" w:color="auto"/>
            </w:tcBorders>
          </w:tcPr>
          <w:p w14:paraId="131CB471" w14:textId="45F4639C" w:rsidR="2B7BECEB" w:rsidRDefault="42777B32" w:rsidP="49CFF048">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4</w:t>
            </w:r>
          </w:p>
        </w:tc>
        <w:tc>
          <w:tcPr>
            <w:tcW w:w="1701" w:type="dxa"/>
            <w:tcBorders>
              <w:top w:val="single" w:sz="4" w:space="0" w:color="auto"/>
              <w:left w:val="single" w:sz="4" w:space="0" w:color="auto"/>
              <w:bottom w:val="single" w:sz="4" w:space="0" w:color="auto"/>
              <w:right w:val="single" w:sz="4" w:space="0" w:color="auto"/>
            </w:tcBorders>
          </w:tcPr>
          <w:p w14:paraId="7CAC87F9" w14:textId="1F4D1EEC" w:rsidR="2B7BECEB" w:rsidRDefault="42777B32"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4.11 (closed: 2.95, on-going 1.15)</w:t>
            </w:r>
          </w:p>
        </w:tc>
      </w:tr>
    </w:tbl>
    <w:p w14:paraId="49C54051" w14:textId="2E1D35BB" w:rsidR="00EC3141" w:rsidRDefault="00EC3141" w:rsidP="49CFF048">
      <w:pPr>
        <w:jc w:val="both"/>
        <w:rPr>
          <w:color w:val="FF0000"/>
        </w:rPr>
      </w:pPr>
    </w:p>
    <w:p w14:paraId="0D988A4B" w14:textId="77777777" w:rsidR="00B32A77" w:rsidRDefault="00B32A77" w:rsidP="00B32A77">
      <w:pPr>
        <w:pStyle w:val="Normal1"/>
        <w:spacing w:after="120"/>
        <w:jc w:val="both"/>
        <w:rPr>
          <w:rFonts w:ascii="Calibri" w:eastAsia="Calibri" w:hAnsi="Calibri" w:cs="Calibri"/>
          <w:color w:val="000000" w:themeColor="text1"/>
          <w:sz w:val="22"/>
          <w:szCs w:val="22"/>
        </w:rPr>
      </w:pPr>
      <w:r w:rsidRPr="078C476B">
        <w:rPr>
          <w:rFonts w:ascii="Calibri" w:eastAsia="Calibri" w:hAnsi="Calibri" w:cs="Calibri"/>
          <w:b/>
          <w:bCs/>
          <w:color w:val="000000" w:themeColor="text1"/>
          <w:sz w:val="22"/>
          <w:szCs w:val="22"/>
        </w:rPr>
        <w:t>Key Points</w:t>
      </w:r>
    </w:p>
    <w:p w14:paraId="31A31B3B" w14:textId="3A144C24" w:rsidR="00B32A77" w:rsidRPr="00A11BA1" w:rsidRDefault="00AD2768" w:rsidP="078C476B">
      <w:pPr>
        <w:jc w:val="both"/>
        <w:rPr>
          <w:rFonts w:asciiTheme="minorHAnsi" w:hAnsiTheme="minorHAnsi" w:cstheme="minorBidi"/>
          <w:sz w:val="22"/>
          <w:szCs w:val="22"/>
        </w:rPr>
      </w:pPr>
      <w:r w:rsidRPr="00855688">
        <w:rPr>
          <w:rFonts w:asciiTheme="minorHAnsi" w:hAnsiTheme="minorHAnsi" w:cstheme="minorBidi"/>
          <w:sz w:val="22"/>
          <w:szCs w:val="22"/>
        </w:rPr>
        <w:t xml:space="preserve">There was progress against all the indicators except </w:t>
      </w:r>
      <w:r w:rsidR="00467A79" w:rsidRPr="00855688">
        <w:rPr>
          <w:rFonts w:asciiTheme="minorHAnsi" w:hAnsiTheme="minorHAnsi" w:cstheme="minorBidi"/>
          <w:sz w:val="22"/>
          <w:szCs w:val="22"/>
        </w:rPr>
        <w:t>3.</w:t>
      </w:r>
      <w:r w:rsidRPr="00855688">
        <w:rPr>
          <w:rFonts w:asciiTheme="minorHAnsi" w:hAnsiTheme="minorHAnsi" w:cstheme="minorBidi"/>
          <w:sz w:val="22"/>
          <w:szCs w:val="22"/>
        </w:rPr>
        <w:t xml:space="preserve">1 since 2019, with targets </w:t>
      </w:r>
      <w:r w:rsidR="00467A79" w:rsidRPr="00855688">
        <w:rPr>
          <w:rFonts w:asciiTheme="minorHAnsi" w:hAnsiTheme="minorHAnsi" w:cstheme="minorBidi"/>
          <w:sz w:val="22"/>
          <w:szCs w:val="22"/>
        </w:rPr>
        <w:t xml:space="preserve">comfortably exceeded for 3.2 and 3.4 and exceeded by a large margin for 3.3. </w:t>
      </w:r>
      <w:r w:rsidRPr="00855688">
        <w:rPr>
          <w:rFonts w:asciiTheme="minorHAnsi" w:hAnsiTheme="minorHAnsi" w:cstheme="minorBidi"/>
          <w:sz w:val="22"/>
          <w:szCs w:val="22"/>
        </w:rPr>
        <w:t xml:space="preserve"> for 1.1 and 1.3. Targets are on track to be met or have already been exceeded up to 2022.</w:t>
      </w:r>
      <w:r w:rsidR="00467A79" w:rsidRPr="00855688">
        <w:rPr>
          <w:rFonts w:asciiTheme="minorHAnsi" w:hAnsiTheme="minorHAnsi" w:cstheme="minorBidi"/>
          <w:sz w:val="22"/>
          <w:szCs w:val="22"/>
        </w:rPr>
        <w:t xml:space="preserve"> It is important to note that the underachievement of indicator 3.1 is a direct result of the overachievement of 3.3 (a target of 47 and progress of 56, an increase of 24 projects from 2019).</w:t>
      </w:r>
    </w:p>
    <w:p w14:paraId="2F7ADA6D" w14:textId="77777777" w:rsidR="00B32A77" w:rsidRPr="00A73B10" w:rsidRDefault="00B32A77" w:rsidP="49CFF048">
      <w:pPr>
        <w:jc w:val="both"/>
        <w:rPr>
          <w:color w:val="FF0000"/>
        </w:rPr>
      </w:pPr>
    </w:p>
    <w:p w14:paraId="5C4D412C" w14:textId="339943CA" w:rsidR="00EC3141" w:rsidRPr="00A73B10" w:rsidRDefault="46CEE8D8" w:rsidP="0116275A">
      <w:pPr>
        <w:pStyle w:val="ListParagraph"/>
        <w:numPr>
          <w:ilvl w:val="0"/>
          <w:numId w:val="18"/>
        </w:numPr>
        <w:jc w:val="both"/>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The DF has carried out projects ranging from supporting PIs in strengthening their capacity to financ</w:t>
      </w:r>
      <w:r w:rsidR="203727D2" w:rsidRPr="0116275A">
        <w:rPr>
          <w:rFonts w:asciiTheme="minorHAnsi" w:eastAsiaTheme="minorEastAsia" w:hAnsiTheme="minorHAnsi" w:cstheme="minorBidi"/>
          <w:sz w:val="22"/>
          <w:szCs w:val="22"/>
        </w:rPr>
        <w:t>e</w:t>
      </w:r>
      <w:r w:rsidRPr="0116275A">
        <w:rPr>
          <w:rFonts w:asciiTheme="minorHAnsi" w:eastAsiaTheme="minorEastAsia" w:hAnsiTheme="minorHAnsi" w:cstheme="minorBidi"/>
          <w:sz w:val="22"/>
          <w:szCs w:val="22"/>
        </w:rPr>
        <w:t xml:space="preserve"> sustainable businesses, to activities that promote the implementation of sustainable practices and increase the fund’s visibility and influence in the region. At the end of 2020, the DF had </w:t>
      </w:r>
      <w:r w:rsidR="7F899A6A" w:rsidRPr="0116275A">
        <w:rPr>
          <w:rFonts w:asciiTheme="minorHAnsi" w:eastAsiaTheme="minorEastAsia" w:hAnsiTheme="minorHAnsi" w:cstheme="minorBidi"/>
          <w:sz w:val="22"/>
          <w:szCs w:val="22"/>
        </w:rPr>
        <w:t xml:space="preserve">16 </w:t>
      </w:r>
      <w:r w:rsidRPr="0116275A">
        <w:rPr>
          <w:rFonts w:asciiTheme="minorHAnsi" w:eastAsiaTheme="minorEastAsia" w:hAnsiTheme="minorHAnsi" w:cstheme="minorBidi"/>
          <w:sz w:val="22"/>
          <w:szCs w:val="22"/>
        </w:rPr>
        <w:t>projects under management.</w:t>
      </w:r>
    </w:p>
    <w:p w14:paraId="6CF2879A" w14:textId="730C2DE7" w:rsidR="00EC3141" w:rsidRPr="00A73B10" w:rsidRDefault="3EC9326F" w:rsidP="006F071F">
      <w:pPr>
        <w:pStyle w:val="ListParagraph"/>
        <w:numPr>
          <w:ilvl w:val="0"/>
          <w:numId w:val="18"/>
        </w:numPr>
        <w:jc w:val="both"/>
        <w:rPr>
          <w:rFonts w:asciiTheme="minorHAnsi" w:eastAsiaTheme="minorEastAsia" w:hAnsiTheme="minorHAnsi" w:cstheme="minorBidi"/>
          <w:color w:val="000000" w:themeColor="text1"/>
          <w:szCs w:val="24"/>
        </w:rPr>
      </w:pPr>
      <w:r w:rsidRPr="0116275A">
        <w:rPr>
          <w:rFonts w:asciiTheme="minorHAnsi" w:eastAsiaTheme="minorEastAsia" w:hAnsiTheme="minorHAnsi" w:cstheme="minorBidi"/>
          <w:sz w:val="22"/>
          <w:szCs w:val="22"/>
        </w:rPr>
        <w:t xml:space="preserve">The </w:t>
      </w:r>
      <w:r w:rsidR="56D17502" w:rsidRPr="0116275A">
        <w:rPr>
          <w:rFonts w:ascii="Calibri" w:eastAsia="Calibri" w:hAnsi="Calibri" w:cs="Calibri"/>
          <w:sz w:val="22"/>
          <w:szCs w:val="22"/>
        </w:rPr>
        <w:t>Development Facility (DF)</w:t>
      </w:r>
      <w:r w:rsidRPr="0116275A">
        <w:rPr>
          <w:rFonts w:asciiTheme="minorHAnsi" w:eastAsiaTheme="minorEastAsia" w:hAnsiTheme="minorHAnsi" w:cstheme="minorBidi"/>
          <w:sz w:val="22"/>
          <w:szCs w:val="22"/>
        </w:rPr>
        <w:t xml:space="preserve"> provides added value to the main function of the fund – ensuring that </w:t>
      </w:r>
      <w:r w:rsidR="1BEDE4C7" w:rsidRPr="0116275A">
        <w:rPr>
          <w:rFonts w:asciiTheme="minorHAnsi" w:eastAsiaTheme="minorEastAsia" w:hAnsiTheme="minorHAnsi" w:cstheme="minorBidi"/>
          <w:sz w:val="22"/>
          <w:szCs w:val="22"/>
        </w:rPr>
        <w:t>FIs</w:t>
      </w:r>
      <w:r w:rsidRPr="0116275A">
        <w:rPr>
          <w:rFonts w:asciiTheme="minorHAnsi" w:eastAsiaTheme="minorEastAsia" w:hAnsiTheme="minorHAnsi" w:cstheme="minorBidi"/>
          <w:sz w:val="22"/>
          <w:szCs w:val="22"/>
        </w:rPr>
        <w:t xml:space="preserve"> and borrowers are supported in gaining the tools and skills needed to impl</w:t>
      </w:r>
      <w:r w:rsidR="62C740EC" w:rsidRPr="0116275A">
        <w:rPr>
          <w:rFonts w:asciiTheme="minorHAnsi" w:eastAsiaTheme="minorEastAsia" w:hAnsiTheme="minorHAnsi" w:cstheme="minorBidi"/>
          <w:sz w:val="22"/>
          <w:szCs w:val="22"/>
        </w:rPr>
        <w:t>ement and embed more sustainable agricultural practices.</w:t>
      </w:r>
      <w:r w:rsidR="6991FA3B" w:rsidRPr="0116275A">
        <w:rPr>
          <w:rFonts w:asciiTheme="minorHAnsi" w:eastAsiaTheme="minorEastAsia" w:hAnsiTheme="minorHAnsi" w:cstheme="minorBidi"/>
          <w:sz w:val="22"/>
          <w:szCs w:val="22"/>
        </w:rPr>
        <w:t xml:space="preserve"> It aims to increase the impact of the fund through a variety of </w:t>
      </w:r>
      <w:r w:rsidR="2531AFA4" w:rsidRPr="0116275A">
        <w:rPr>
          <w:rFonts w:asciiTheme="minorHAnsi" w:eastAsiaTheme="minorEastAsia" w:hAnsiTheme="minorHAnsi" w:cstheme="minorBidi"/>
          <w:sz w:val="22"/>
          <w:szCs w:val="22"/>
        </w:rPr>
        <w:t>TA</w:t>
      </w:r>
      <w:r w:rsidR="6991FA3B" w:rsidRPr="0116275A">
        <w:rPr>
          <w:rFonts w:asciiTheme="minorHAnsi" w:eastAsiaTheme="minorEastAsia" w:hAnsiTheme="minorHAnsi" w:cstheme="minorBidi"/>
          <w:sz w:val="22"/>
          <w:szCs w:val="22"/>
        </w:rPr>
        <w:t xml:space="preserve"> projects for promoting sustainable practices across three areas: impact and sustainability; enhanced eligibility; and knowledge sharing</w:t>
      </w:r>
      <w:r w:rsidR="6991FA3B">
        <w:t xml:space="preserve">. </w:t>
      </w:r>
      <w:r w:rsidR="62C740EC" w:rsidRPr="0116275A">
        <w:rPr>
          <w:rFonts w:asciiTheme="minorHAnsi" w:eastAsiaTheme="minorEastAsia" w:hAnsiTheme="minorHAnsi" w:cstheme="minorBidi"/>
          <w:sz w:val="22"/>
          <w:szCs w:val="22"/>
        </w:rPr>
        <w:t xml:space="preserve">For </w:t>
      </w:r>
      <w:r w:rsidR="37938AFC" w:rsidRPr="0116275A">
        <w:rPr>
          <w:rFonts w:asciiTheme="minorHAnsi" w:eastAsiaTheme="minorEastAsia" w:hAnsiTheme="minorHAnsi" w:cstheme="minorBidi"/>
          <w:sz w:val="22"/>
          <w:szCs w:val="22"/>
        </w:rPr>
        <w:t>example,</w:t>
      </w:r>
      <w:r w:rsidR="62C740EC" w:rsidRPr="0116275A">
        <w:rPr>
          <w:rFonts w:asciiTheme="minorHAnsi" w:eastAsiaTheme="minorEastAsia" w:hAnsiTheme="minorHAnsi" w:cstheme="minorBidi"/>
          <w:sz w:val="22"/>
          <w:szCs w:val="22"/>
        </w:rPr>
        <w:t xml:space="preserve"> </w:t>
      </w:r>
      <w:r w:rsidR="05E67ECF" w:rsidRPr="0116275A">
        <w:rPr>
          <w:rFonts w:asciiTheme="minorHAnsi" w:eastAsiaTheme="minorEastAsia" w:hAnsiTheme="minorHAnsi" w:cstheme="minorBidi"/>
          <w:sz w:val="22"/>
          <w:szCs w:val="22"/>
        </w:rPr>
        <w:t xml:space="preserve">in July 2020 the DF </w:t>
      </w:r>
      <w:r w:rsidR="0E98B739" w:rsidRPr="0116275A">
        <w:rPr>
          <w:rFonts w:asciiTheme="minorHAnsi" w:eastAsiaTheme="minorEastAsia" w:hAnsiTheme="minorHAnsi" w:cstheme="minorBidi"/>
          <w:sz w:val="22"/>
          <w:szCs w:val="22"/>
        </w:rPr>
        <w:t>p</w:t>
      </w:r>
      <w:r w:rsidR="05E67ECF" w:rsidRPr="0116275A">
        <w:rPr>
          <w:rFonts w:asciiTheme="minorHAnsi" w:eastAsiaTheme="minorEastAsia" w:hAnsiTheme="minorHAnsi" w:cstheme="minorBidi"/>
          <w:sz w:val="22"/>
          <w:szCs w:val="22"/>
        </w:rPr>
        <w:t>ublished the first part of the “Practical Manual for the Implementation of Environmental and Social Management Systems (ESMS) in financial institutions,” which is publicly ava</w:t>
      </w:r>
      <w:r w:rsidR="72D8A4B0" w:rsidRPr="0116275A">
        <w:rPr>
          <w:rFonts w:asciiTheme="minorHAnsi" w:eastAsiaTheme="minorEastAsia" w:hAnsiTheme="minorHAnsi" w:cstheme="minorBidi"/>
          <w:sz w:val="22"/>
          <w:szCs w:val="22"/>
        </w:rPr>
        <w:t>i</w:t>
      </w:r>
      <w:r w:rsidR="05E67ECF" w:rsidRPr="0116275A">
        <w:rPr>
          <w:rFonts w:asciiTheme="minorHAnsi" w:eastAsiaTheme="minorEastAsia" w:hAnsiTheme="minorHAnsi" w:cstheme="minorBidi"/>
          <w:sz w:val="22"/>
          <w:szCs w:val="22"/>
        </w:rPr>
        <w:t>lable. This is alongside the D</w:t>
      </w:r>
      <w:r w:rsidR="0E86490C" w:rsidRPr="0116275A">
        <w:rPr>
          <w:rFonts w:asciiTheme="minorHAnsi" w:eastAsiaTheme="minorEastAsia" w:hAnsiTheme="minorHAnsi" w:cstheme="minorBidi"/>
          <w:sz w:val="22"/>
          <w:szCs w:val="22"/>
        </w:rPr>
        <w:t xml:space="preserve">F working with eight </w:t>
      </w:r>
      <w:r w:rsidR="05E67ECF" w:rsidRPr="0116275A">
        <w:rPr>
          <w:rFonts w:asciiTheme="minorHAnsi" w:eastAsiaTheme="minorEastAsia" w:hAnsiTheme="minorHAnsi" w:cstheme="minorBidi"/>
          <w:sz w:val="22"/>
          <w:szCs w:val="22"/>
        </w:rPr>
        <w:t>partner institutions in Ecuador, Panama, Costa Rica, and El Salvador in the development, update and/or implementation of their ESMS</w:t>
      </w:r>
    </w:p>
    <w:p w14:paraId="07126132" w14:textId="441124C0" w:rsidR="00EC3141" w:rsidRPr="00A73B10" w:rsidRDefault="66F11E6E" w:rsidP="078C476B">
      <w:pPr>
        <w:pStyle w:val="ListParagraph"/>
        <w:numPr>
          <w:ilvl w:val="0"/>
          <w:numId w:val="18"/>
        </w:numPr>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sz w:val="22"/>
          <w:szCs w:val="22"/>
        </w:rPr>
        <w:t xml:space="preserve">The results show that the underachievement </w:t>
      </w:r>
      <w:r w:rsidR="00B32A77" w:rsidRPr="078C476B">
        <w:rPr>
          <w:rFonts w:asciiTheme="minorHAnsi" w:eastAsiaTheme="minorEastAsia" w:hAnsiTheme="minorHAnsi" w:cstheme="minorBidi"/>
          <w:sz w:val="22"/>
          <w:szCs w:val="22"/>
        </w:rPr>
        <w:t>o</w:t>
      </w:r>
      <w:r w:rsidRPr="078C476B">
        <w:rPr>
          <w:rFonts w:asciiTheme="minorHAnsi" w:eastAsiaTheme="minorEastAsia" w:hAnsiTheme="minorHAnsi" w:cstheme="minorBidi"/>
          <w:sz w:val="22"/>
          <w:szCs w:val="22"/>
        </w:rPr>
        <w:t>f indicator 3.1 is due to the high completion ra</w:t>
      </w:r>
      <w:r w:rsidR="1F3D1777" w:rsidRPr="078C476B">
        <w:rPr>
          <w:rFonts w:asciiTheme="minorHAnsi" w:eastAsiaTheme="minorEastAsia" w:hAnsiTheme="minorHAnsi" w:cstheme="minorBidi"/>
          <w:sz w:val="22"/>
          <w:szCs w:val="22"/>
        </w:rPr>
        <w:t>t</w:t>
      </w:r>
      <w:r w:rsidRPr="078C476B">
        <w:rPr>
          <w:rFonts w:asciiTheme="minorHAnsi" w:eastAsiaTheme="minorEastAsia" w:hAnsiTheme="minorHAnsi" w:cstheme="minorBidi"/>
          <w:sz w:val="22"/>
          <w:szCs w:val="22"/>
        </w:rPr>
        <w:t>e of TA projects in 2020 (</w:t>
      </w:r>
      <w:r w:rsidR="7C681A80" w:rsidRPr="078C476B">
        <w:rPr>
          <w:rFonts w:asciiTheme="minorHAnsi" w:eastAsiaTheme="minorEastAsia" w:hAnsiTheme="minorHAnsi" w:cstheme="minorBidi"/>
          <w:sz w:val="22"/>
          <w:szCs w:val="22"/>
        </w:rPr>
        <w:t xml:space="preserve">as evidenced in </w:t>
      </w:r>
      <w:r w:rsidRPr="078C476B">
        <w:rPr>
          <w:rFonts w:asciiTheme="minorHAnsi" w:eastAsiaTheme="minorEastAsia" w:hAnsiTheme="minorHAnsi" w:cstheme="minorBidi"/>
          <w:sz w:val="22"/>
          <w:szCs w:val="22"/>
        </w:rPr>
        <w:t>3.3)</w:t>
      </w:r>
      <w:r w:rsidR="412E0423" w:rsidRPr="078C476B">
        <w:rPr>
          <w:rFonts w:asciiTheme="minorHAnsi" w:eastAsiaTheme="minorEastAsia" w:hAnsiTheme="minorHAnsi" w:cstheme="minorBidi"/>
          <w:sz w:val="22"/>
          <w:szCs w:val="22"/>
        </w:rPr>
        <w:t xml:space="preserve">. </w:t>
      </w:r>
      <w:r w:rsidR="502C35F6" w:rsidRPr="078C476B">
        <w:rPr>
          <w:rFonts w:asciiTheme="minorHAnsi" w:eastAsiaTheme="minorEastAsia" w:hAnsiTheme="minorHAnsi" w:cstheme="minorBidi"/>
          <w:sz w:val="22"/>
          <w:szCs w:val="22"/>
        </w:rPr>
        <w:t xml:space="preserve">The Fund is confident that the 3.1 target for 2021 will be reached as a number of new projects will be submitted to the DFC board for approval throughout 2021. </w:t>
      </w:r>
      <w:r w:rsidRPr="078C476B">
        <w:rPr>
          <w:rFonts w:asciiTheme="minorHAnsi" w:eastAsiaTheme="minorEastAsia" w:hAnsiTheme="minorHAnsi" w:cstheme="minorBidi"/>
          <w:sz w:val="22"/>
          <w:szCs w:val="22"/>
        </w:rPr>
        <w:t>One such example</w:t>
      </w:r>
      <w:r w:rsidR="4F382429" w:rsidRPr="078C476B">
        <w:rPr>
          <w:rFonts w:asciiTheme="minorHAnsi" w:eastAsiaTheme="minorEastAsia" w:hAnsiTheme="minorHAnsi" w:cstheme="minorBidi"/>
          <w:sz w:val="22"/>
          <w:szCs w:val="22"/>
        </w:rPr>
        <w:t xml:space="preserve"> of an ongoing project in 2020</w:t>
      </w:r>
      <w:r w:rsidR="77D11D60" w:rsidRPr="078C476B">
        <w:rPr>
          <w:rFonts w:asciiTheme="minorHAnsi" w:eastAsiaTheme="minorEastAsia" w:hAnsiTheme="minorHAnsi" w:cstheme="minorBidi"/>
          <w:sz w:val="22"/>
          <w:szCs w:val="22"/>
        </w:rPr>
        <w:t xml:space="preserve"> is the new project with </w:t>
      </w:r>
      <w:proofErr w:type="spellStart"/>
      <w:r w:rsidR="77D11D60" w:rsidRPr="078C476B">
        <w:rPr>
          <w:rFonts w:asciiTheme="minorHAnsi" w:eastAsiaTheme="minorEastAsia" w:hAnsiTheme="minorHAnsi" w:cstheme="minorBidi"/>
          <w:sz w:val="22"/>
          <w:szCs w:val="22"/>
        </w:rPr>
        <w:t>Bancolombia</w:t>
      </w:r>
      <w:proofErr w:type="spellEnd"/>
      <w:r w:rsidR="77D11D60" w:rsidRPr="078C476B">
        <w:rPr>
          <w:rFonts w:asciiTheme="minorHAnsi" w:eastAsiaTheme="minorEastAsia" w:hAnsiTheme="minorHAnsi" w:cstheme="minorBidi"/>
          <w:sz w:val="22"/>
          <w:szCs w:val="22"/>
        </w:rPr>
        <w:t xml:space="preserve"> to develop a new financial product that provides financing for sustainable cattle operations in Colombia. It aims to promote the implementation of sustainable practices within the cattle sector and will facilitate access to financing for cattle farmers committed to the conservation of forests, climate change mitigation and adaptation. </w:t>
      </w:r>
    </w:p>
    <w:p w14:paraId="6544E9BA" w14:textId="386DCF49" w:rsidR="00EC3141" w:rsidRPr="00A73B10" w:rsidRDefault="55DB7810" w:rsidP="078C476B">
      <w:pPr>
        <w:pStyle w:val="ListParagraph"/>
        <w:numPr>
          <w:ilvl w:val="0"/>
          <w:numId w:val="18"/>
        </w:numPr>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sz w:val="22"/>
          <w:szCs w:val="22"/>
        </w:rPr>
        <w:lastRenderedPageBreak/>
        <w:t xml:space="preserve">At the </w:t>
      </w:r>
      <w:r w:rsidR="6A0A903A" w:rsidRPr="078C476B">
        <w:rPr>
          <w:rFonts w:asciiTheme="minorHAnsi" w:eastAsiaTheme="minorEastAsia" w:hAnsiTheme="minorHAnsi" w:cstheme="minorBidi"/>
          <w:sz w:val="22"/>
          <w:szCs w:val="22"/>
        </w:rPr>
        <w:t>FI</w:t>
      </w:r>
      <w:r w:rsidRPr="078C476B">
        <w:rPr>
          <w:rFonts w:asciiTheme="minorHAnsi" w:eastAsiaTheme="minorEastAsia" w:hAnsiTheme="minorHAnsi" w:cstheme="minorBidi"/>
          <w:sz w:val="22"/>
          <w:szCs w:val="22"/>
        </w:rPr>
        <w:t xml:space="preserve"> level, the DF</w:t>
      </w:r>
      <w:r w:rsidR="47C0D767" w:rsidRPr="078C476B">
        <w:rPr>
          <w:rFonts w:asciiTheme="minorHAnsi" w:eastAsiaTheme="minorEastAsia" w:hAnsiTheme="minorHAnsi" w:cstheme="minorBidi"/>
          <w:sz w:val="22"/>
          <w:szCs w:val="22"/>
        </w:rPr>
        <w:t xml:space="preserve"> trained representatives from Banco </w:t>
      </w:r>
      <w:proofErr w:type="spellStart"/>
      <w:r w:rsidR="47C0D767" w:rsidRPr="078C476B">
        <w:rPr>
          <w:rFonts w:asciiTheme="minorHAnsi" w:eastAsiaTheme="minorEastAsia" w:hAnsiTheme="minorHAnsi" w:cstheme="minorBidi"/>
          <w:sz w:val="22"/>
          <w:szCs w:val="22"/>
        </w:rPr>
        <w:t>Hipotecario</w:t>
      </w:r>
      <w:proofErr w:type="spellEnd"/>
      <w:r w:rsidR="47C0D767" w:rsidRPr="078C476B">
        <w:rPr>
          <w:rFonts w:asciiTheme="minorHAnsi" w:eastAsiaTheme="minorEastAsia" w:hAnsiTheme="minorHAnsi" w:cstheme="minorBidi"/>
          <w:sz w:val="22"/>
          <w:szCs w:val="22"/>
        </w:rPr>
        <w:t xml:space="preserve"> in El Salvador </w:t>
      </w:r>
      <w:r w:rsidR="00130132">
        <w:rPr>
          <w:rFonts w:asciiTheme="minorHAnsi" w:eastAsiaTheme="minorEastAsia" w:hAnsiTheme="minorHAnsi" w:cstheme="minorBidi"/>
          <w:sz w:val="22"/>
          <w:szCs w:val="22"/>
        </w:rPr>
        <w:t xml:space="preserve">to </w:t>
      </w:r>
      <w:r w:rsidR="47C0D767" w:rsidRPr="078C476B">
        <w:rPr>
          <w:rFonts w:asciiTheme="minorHAnsi" w:eastAsiaTheme="minorEastAsia" w:hAnsiTheme="minorHAnsi" w:cstheme="minorBidi"/>
          <w:sz w:val="22"/>
          <w:szCs w:val="22"/>
        </w:rPr>
        <w:t xml:space="preserve">develop an impact framework by providing tools such as policy documents and procedures to measure the environmental and social impact of their investments. </w:t>
      </w:r>
      <w:r w:rsidR="232F516A" w:rsidRPr="078C476B">
        <w:rPr>
          <w:rFonts w:asciiTheme="minorHAnsi" w:eastAsiaTheme="minorEastAsia" w:hAnsiTheme="minorHAnsi" w:cstheme="minorBidi"/>
          <w:sz w:val="22"/>
          <w:szCs w:val="22"/>
        </w:rPr>
        <w:t>Additionally,</w:t>
      </w:r>
      <w:r w:rsidR="281B7D1D" w:rsidRPr="078C476B">
        <w:rPr>
          <w:rFonts w:asciiTheme="minorHAnsi" w:eastAsiaTheme="minorEastAsia" w:hAnsiTheme="minorHAnsi" w:cstheme="minorBidi"/>
          <w:sz w:val="22"/>
          <w:szCs w:val="22"/>
        </w:rPr>
        <w:t xml:space="preserve"> </w:t>
      </w:r>
      <w:r w:rsidR="62C740EC" w:rsidRPr="078C476B">
        <w:rPr>
          <w:rFonts w:asciiTheme="minorHAnsi" w:eastAsiaTheme="minorEastAsia" w:hAnsiTheme="minorHAnsi" w:cstheme="minorBidi"/>
          <w:sz w:val="22"/>
          <w:szCs w:val="22"/>
        </w:rPr>
        <w:t xml:space="preserve">the </w:t>
      </w:r>
      <w:r w:rsidR="030DC335" w:rsidRPr="078C476B">
        <w:rPr>
          <w:rFonts w:asciiTheme="minorHAnsi" w:eastAsiaTheme="minorEastAsia" w:hAnsiTheme="minorHAnsi" w:cstheme="minorBidi"/>
          <w:sz w:val="22"/>
          <w:szCs w:val="22"/>
        </w:rPr>
        <w:t>DF</w:t>
      </w:r>
      <w:r w:rsidR="1706E6B1" w:rsidRPr="078C476B">
        <w:rPr>
          <w:rFonts w:asciiTheme="minorHAnsi" w:eastAsiaTheme="minorEastAsia" w:hAnsiTheme="minorHAnsi" w:cstheme="minorBidi"/>
          <w:sz w:val="22"/>
          <w:szCs w:val="22"/>
        </w:rPr>
        <w:t xml:space="preserve"> </w:t>
      </w:r>
      <w:r w:rsidR="030DC335" w:rsidRPr="078C476B">
        <w:rPr>
          <w:rFonts w:asciiTheme="minorHAnsi" w:eastAsiaTheme="minorEastAsia" w:hAnsiTheme="minorHAnsi" w:cstheme="minorBidi"/>
          <w:sz w:val="22"/>
          <w:szCs w:val="22"/>
        </w:rPr>
        <w:t xml:space="preserve">assisted Banco </w:t>
      </w:r>
      <w:proofErr w:type="spellStart"/>
      <w:r w:rsidR="030DC335" w:rsidRPr="078C476B">
        <w:rPr>
          <w:rFonts w:asciiTheme="minorHAnsi" w:eastAsiaTheme="minorEastAsia" w:hAnsiTheme="minorHAnsi" w:cstheme="minorBidi"/>
          <w:sz w:val="22"/>
          <w:szCs w:val="22"/>
        </w:rPr>
        <w:t>Hipotecario</w:t>
      </w:r>
      <w:proofErr w:type="spellEnd"/>
      <w:r w:rsidR="030DC335" w:rsidRPr="078C476B">
        <w:rPr>
          <w:rFonts w:asciiTheme="minorHAnsi" w:eastAsiaTheme="minorEastAsia" w:hAnsiTheme="minorHAnsi" w:cstheme="minorBidi"/>
          <w:sz w:val="22"/>
          <w:szCs w:val="22"/>
        </w:rPr>
        <w:t xml:space="preserve"> in the development of the app “AGRO,” designed specifically for small and medium clients in the agricultural sector. The app provides information that facilitates informed decision-making for producers, thus improving performance and decreasing environmental impact. </w:t>
      </w:r>
      <w:r w:rsidR="1156976F" w:rsidRPr="078C476B">
        <w:rPr>
          <w:rFonts w:asciiTheme="minorHAnsi" w:eastAsiaTheme="minorEastAsia" w:hAnsiTheme="minorHAnsi" w:cstheme="minorBidi"/>
          <w:sz w:val="22"/>
          <w:szCs w:val="22"/>
        </w:rPr>
        <w:t>T</w:t>
      </w:r>
      <w:r w:rsidR="030DC335" w:rsidRPr="078C476B">
        <w:rPr>
          <w:rFonts w:asciiTheme="minorHAnsi" w:eastAsiaTheme="minorEastAsia" w:hAnsiTheme="minorHAnsi" w:cstheme="minorBidi"/>
          <w:sz w:val="22"/>
          <w:szCs w:val="22"/>
        </w:rPr>
        <w:t>he app also helps loan officers determine if a potential client in the agricultural sector is eligible for financing by measuring their overall environmental impact.</w:t>
      </w:r>
    </w:p>
    <w:p w14:paraId="3C001E3B" w14:textId="0230252E" w:rsidR="00EC3141" w:rsidRPr="00A73B10" w:rsidRDefault="4AFC4B63" w:rsidP="0116275A">
      <w:pPr>
        <w:pStyle w:val="ListParagraph"/>
        <w:numPr>
          <w:ilvl w:val="0"/>
          <w:numId w:val="18"/>
        </w:numPr>
        <w:jc w:val="both"/>
        <w:rPr>
          <w:color w:val="000000" w:themeColor="text1"/>
          <w:sz w:val="22"/>
          <w:szCs w:val="22"/>
        </w:rPr>
      </w:pPr>
      <w:r w:rsidRPr="0116275A">
        <w:rPr>
          <w:rFonts w:asciiTheme="minorHAnsi" w:eastAsiaTheme="minorEastAsia" w:hAnsiTheme="minorHAnsi" w:cstheme="minorBidi"/>
          <w:sz w:val="22"/>
          <w:szCs w:val="22"/>
        </w:rPr>
        <w:t>Cumulatively, the Fund’s DF had 73 projects approved for a total budget of USD 3.9 million. This represents an increase of 0.9 million compared to 2019.</w:t>
      </w:r>
    </w:p>
    <w:p w14:paraId="15CD8B3E" w14:textId="073989C0" w:rsidR="00EC3141" w:rsidRPr="00A73B10" w:rsidRDefault="4AFC4B63" w:rsidP="006F071F">
      <w:pPr>
        <w:pStyle w:val="ListParagraph"/>
        <w:numPr>
          <w:ilvl w:val="0"/>
          <w:numId w:val="18"/>
        </w:numPr>
        <w:jc w:val="both"/>
        <w:rPr>
          <w:rFonts w:asciiTheme="minorHAnsi" w:eastAsiaTheme="minorEastAsia" w:hAnsiTheme="minorHAnsi" w:cstheme="minorBidi"/>
          <w:sz w:val="22"/>
          <w:szCs w:val="22"/>
        </w:rPr>
      </w:pPr>
      <w:r w:rsidRPr="49CFF048">
        <w:rPr>
          <w:rFonts w:asciiTheme="minorHAnsi" w:eastAsiaTheme="minorEastAsia" w:hAnsiTheme="minorHAnsi" w:cstheme="minorBidi"/>
          <w:sz w:val="22"/>
          <w:szCs w:val="22"/>
        </w:rPr>
        <w:t>In a uniquely challenging year, the DF also recorded the highest project execution since inception at USD 1.9 million.</w:t>
      </w:r>
    </w:p>
    <w:p w14:paraId="36A93E50" w14:textId="4CCD45A1" w:rsidR="00EC3141" w:rsidRPr="00A73B10" w:rsidRDefault="4AFC4B63" w:rsidP="0116275A">
      <w:pPr>
        <w:pStyle w:val="ListParagraph"/>
        <w:numPr>
          <w:ilvl w:val="0"/>
          <w:numId w:val="18"/>
        </w:numPr>
        <w:jc w:val="both"/>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sz w:val="22"/>
          <w:szCs w:val="22"/>
        </w:rPr>
        <w:t>Key activities carried out in 2020 include:</w:t>
      </w:r>
    </w:p>
    <w:p w14:paraId="51F1C68E" w14:textId="24843891" w:rsidR="00EC3141" w:rsidRPr="00A73B10" w:rsidRDefault="1521BEBA" w:rsidP="006D6F0F">
      <w:pPr>
        <w:pStyle w:val="ListParagraph"/>
        <w:numPr>
          <w:ilvl w:val="1"/>
          <w:numId w:val="18"/>
        </w:numPr>
        <w:jc w:val="both"/>
        <w:rPr>
          <w:rFonts w:asciiTheme="minorHAnsi" w:eastAsiaTheme="minorEastAsia" w:hAnsiTheme="minorHAnsi" w:cstheme="minorBidi"/>
          <w:sz w:val="22"/>
          <w:szCs w:val="22"/>
        </w:rPr>
      </w:pPr>
      <w:r w:rsidRPr="2BE51E91">
        <w:rPr>
          <w:rFonts w:asciiTheme="minorHAnsi" w:eastAsiaTheme="minorEastAsia" w:hAnsiTheme="minorHAnsi" w:cstheme="minorBidi"/>
          <w:sz w:val="22"/>
          <w:szCs w:val="22"/>
        </w:rPr>
        <w:t xml:space="preserve">Development and implementation of Environmental and Social Management Systems (ESMS) for 12 partner institutions (PIs) in Ecuador, El Salvador, Nicaragua, Honduras, and Panama. Of these, </w:t>
      </w:r>
      <w:r w:rsidR="465E30A9" w:rsidRPr="2BE51E91">
        <w:rPr>
          <w:rFonts w:asciiTheme="minorHAnsi" w:eastAsiaTheme="minorEastAsia" w:hAnsiTheme="minorHAnsi" w:cstheme="minorBidi"/>
          <w:sz w:val="22"/>
          <w:szCs w:val="22"/>
        </w:rPr>
        <w:t>5</w:t>
      </w:r>
      <w:r w:rsidR="00B32A77">
        <w:rPr>
          <w:rFonts w:asciiTheme="minorHAnsi" w:eastAsiaTheme="minorEastAsia" w:hAnsiTheme="minorHAnsi" w:cstheme="minorBidi"/>
          <w:sz w:val="22"/>
          <w:szCs w:val="22"/>
        </w:rPr>
        <w:t xml:space="preserve"> </w:t>
      </w:r>
      <w:r w:rsidRPr="2BE51E91">
        <w:rPr>
          <w:rFonts w:asciiTheme="minorHAnsi" w:eastAsiaTheme="minorEastAsia" w:hAnsiTheme="minorHAnsi" w:cstheme="minorBidi"/>
          <w:sz w:val="22"/>
          <w:szCs w:val="22"/>
        </w:rPr>
        <w:t xml:space="preserve">PIs did not have an ESMS in place prior to working with the DF, </w:t>
      </w:r>
      <w:r w:rsidR="3AA13366" w:rsidRPr="2BE51E91">
        <w:rPr>
          <w:rFonts w:asciiTheme="minorHAnsi" w:eastAsiaTheme="minorEastAsia" w:hAnsiTheme="minorHAnsi" w:cstheme="minorBidi"/>
          <w:sz w:val="22"/>
          <w:szCs w:val="22"/>
        </w:rPr>
        <w:t xml:space="preserve">3 </w:t>
      </w:r>
      <w:r w:rsidRPr="2BE51E91">
        <w:rPr>
          <w:rFonts w:asciiTheme="minorHAnsi" w:eastAsiaTheme="minorEastAsia" w:hAnsiTheme="minorHAnsi" w:cstheme="minorBidi"/>
          <w:sz w:val="22"/>
          <w:szCs w:val="22"/>
        </w:rPr>
        <w:t xml:space="preserve">PIs did not have an </w:t>
      </w:r>
      <w:r w:rsidR="325A425C" w:rsidRPr="2BE51E91">
        <w:rPr>
          <w:rFonts w:asciiTheme="minorHAnsi" w:eastAsiaTheme="minorEastAsia" w:hAnsiTheme="minorHAnsi" w:cstheme="minorBidi"/>
          <w:sz w:val="22"/>
          <w:szCs w:val="22"/>
        </w:rPr>
        <w:t>E&amp;S (environmental &amp; social)</w:t>
      </w:r>
      <w:r w:rsidRPr="2BE51E91">
        <w:rPr>
          <w:rFonts w:asciiTheme="minorHAnsi" w:eastAsiaTheme="minorEastAsia" w:hAnsiTheme="minorHAnsi" w:cstheme="minorBidi"/>
          <w:sz w:val="22"/>
          <w:szCs w:val="22"/>
        </w:rPr>
        <w:t xml:space="preserve"> team in place prior to working with the DF, </w:t>
      </w:r>
      <w:r w:rsidR="3C6A316A" w:rsidRPr="2BE51E91">
        <w:rPr>
          <w:rFonts w:asciiTheme="minorHAnsi" w:eastAsiaTheme="minorEastAsia" w:hAnsiTheme="minorHAnsi" w:cstheme="minorBidi"/>
          <w:sz w:val="22"/>
          <w:szCs w:val="22"/>
        </w:rPr>
        <w:t xml:space="preserve">3 </w:t>
      </w:r>
      <w:r w:rsidRPr="2BE51E91">
        <w:rPr>
          <w:rFonts w:asciiTheme="minorHAnsi" w:eastAsiaTheme="minorEastAsia" w:hAnsiTheme="minorHAnsi" w:cstheme="minorBidi"/>
          <w:sz w:val="22"/>
          <w:szCs w:val="22"/>
        </w:rPr>
        <w:t xml:space="preserve">PIs automatized their ESMS and integrated it into the bank’s digital software, and </w:t>
      </w:r>
      <w:r w:rsidR="1D512ED8" w:rsidRPr="2BE51E91">
        <w:rPr>
          <w:rFonts w:asciiTheme="minorHAnsi" w:eastAsiaTheme="minorEastAsia" w:hAnsiTheme="minorHAnsi" w:cstheme="minorBidi"/>
          <w:sz w:val="22"/>
          <w:szCs w:val="22"/>
        </w:rPr>
        <w:t xml:space="preserve">2 </w:t>
      </w:r>
      <w:r w:rsidRPr="2BE51E91">
        <w:rPr>
          <w:rFonts w:asciiTheme="minorHAnsi" w:eastAsiaTheme="minorEastAsia" w:hAnsiTheme="minorHAnsi" w:cstheme="minorBidi"/>
          <w:sz w:val="22"/>
          <w:szCs w:val="22"/>
        </w:rPr>
        <w:t xml:space="preserve">PIs incorporated IFC Performance Standards into their ESMS. The DF is facilitating and contributing to a sector-wide shift towards a green financial system that promotes environmental and social sustainability.  </w:t>
      </w:r>
    </w:p>
    <w:p w14:paraId="5DDB2BA4" w14:textId="1F0D4346" w:rsidR="00EC3141" w:rsidRPr="00A73B10" w:rsidRDefault="1521BEBA" w:rsidP="006D6F0F">
      <w:pPr>
        <w:pStyle w:val="ListParagraph"/>
        <w:numPr>
          <w:ilvl w:val="1"/>
          <w:numId w:val="18"/>
        </w:numPr>
        <w:jc w:val="both"/>
        <w:rPr>
          <w:rFonts w:asciiTheme="minorHAnsi" w:eastAsiaTheme="minorEastAsia" w:hAnsiTheme="minorHAnsi" w:cstheme="minorBidi"/>
          <w:sz w:val="22"/>
          <w:szCs w:val="22"/>
        </w:rPr>
      </w:pPr>
      <w:r w:rsidRPr="2BE51E91">
        <w:rPr>
          <w:rFonts w:asciiTheme="minorHAnsi" w:eastAsiaTheme="minorEastAsia" w:hAnsiTheme="minorHAnsi" w:cstheme="minorBidi"/>
          <w:sz w:val="22"/>
          <w:szCs w:val="22"/>
        </w:rPr>
        <w:t xml:space="preserve">Piloting the Aquaculture Green List with two shrimp companies in Ecuador. This project includes: </w:t>
      </w:r>
      <w:proofErr w:type="spellStart"/>
      <w:r w:rsidRPr="2BE51E91">
        <w:rPr>
          <w:rFonts w:asciiTheme="minorHAnsi" w:eastAsiaTheme="minorEastAsia" w:hAnsiTheme="minorHAnsi" w:cstheme="minorBidi"/>
          <w:sz w:val="22"/>
          <w:szCs w:val="22"/>
        </w:rPr>
        <w:t>i</w:t>
      </w:r>
      <w:proofErr w:type="spellEnd"/>
      <w:r w:rsidRPr="2BE51E91">
        <w:rPr>
          <w:rFonts w:asciiTheme="minorHAnsi" w:eastAsiaTheme="minorEastAsia" w:hAnsiTheme="minorHAnsi" w:cstheme="minorBidi"/>
          <w:sz w:val="22"/>
          <w:szCs w:val="22"/>
        </w:rPr>
        <w:t xml:space="preserve">) a diagnosis to identify gaps both companies need to fill to qualify for ASC certification as well as the Green List measures that could be implemented in both companies, ii) the creation of an action plan for the improvements that need to be implemented, and iii) the installation of more sustainable technologies to measure the environmental impact of incorporating these technologies into the production system. The DF completed the diagnosis to evaluate both companies’ current environmental performance, developed the action plan to guide activities to be implemented, and completed the Biodiversity Environmental Impact Assessment and a Participatory Social Impact Assessment. </w:t>
      </w:r>
    </w:p>
    <w:p w14:paraId="68396FA1" w14:textId="0400CF88" w:rsidR="00EC3141" w:rsidRPr="00A73B10" w:rsidRDefault="1521BEBA" w:rsidP="006D6F0F">
      <w:pPr>
        <w:pStyle w:val="ListParagraph"/>
        <w:numPr>
          <w:ilvl w:val="1"/>
          <w:numId w:val="18"/>
        </w:numPr>
        <w:jc w:val="both"/>
        <w:rPr>
          <w:rFonts w:asciiTheme="minorHAnsi" w:eastAsiaTheme="minorEastAsia" w:hAnsiTheme="minorHAnsi" w:cstheme="minorBidi"/>
          <w:sz w:val="22"/>
          <w:szCs w:val="22"/>
        </w:rPr>
      </w:pPr>
      <w:r w:rsidRPr="2BE51E91">
        <w:rPr>
          <w:rFonts w:asciiTheme="minorHAnsi" w:eastAsiaTheme="minorEastAsia" w:hAnsiTheme="minorHAnsi" w:cstheme="minorBidi"/>
          <w:sz w:val="22"/>
          <w:szCs w:val="22"/>
        </w:rPr>
        <w:t xml:space="preserve">Developed and launched a COVID-19 response package project for </w:t>
      </w:r>
      <w:r w:rsidR="602E2D43" w:rsidRPr="2BE51E91">
        <w:rPr>
          <w:rFonts w:asciiTheme="minorHAnsi" w:eastAsiaTheme="minorEastAsia" w:hAnsiTheme="minorHAnsi" w:cstheme="minorBidi"/>
          <w:sz w:val="22"/>
          <w:szCs w:val="22"/>
        </w:rPr>
        <w:t xml:space="preserve">8 </w:t>
      </w:r>
      <w:r w:rsidRPr="2BE51E91">
        <w:rPr>
          <w:rFonts w:asciiTheme="minorHAnsi" w:eastAsiaTheme="minorEastAsia" w:hAnsiTheme="minorHAnsi" w:cstheme="minorBidi"/>
          <w:sz w:val="22"/>
          <w:szCs w:val="22"/>
        </w:rPr>
        <w:t>PIs in Honduras, Nicaragua, Panama, Costa Rica, and Ecuador. This project aimed to assist PIs in addressing multiple challenges resulting from the COVID-19 crisis through a diverse set of technical support measures that bolster their ability to maintain operations, thereby continuing to finance business and consumption practices that contribute to biodiversity conservation, the sustainable use of natural resources, and mitigating and adapting to climate change.</w:t>
      </w:r>
    </w:p>
    <w:p w14:paraId="65FF3204" w14:textId="65A250E7" w:rsidR="00EC3141" w:rsidRPr="00A73B10" w:rsidRDefault="1521BEBA" w:rsidP="006D6F0F">
      <w:pPr>
        <w:pStyle w:val="ListParagraph"/>
        <w:numPr>
          <w:ilvl w:val="1"/>
          <w:numId w:val="18"/>
        </w:numPr>
        <w:jc w:val="both"/>
        <w:rPr>
          <w:rFonts w:asciiTheme="minorHAnsi" w:eastAsiaTheme="minorEastAsia" w:hAnsiTheme="minorHAnsi" w:cstheme="minorBidi"/>
          <w:sz w:val="22"/>
          <w:szCs w:val="22"/>
        </w:rPr>
      </w:pPr>
      <w:r w:rsidRPr="2BE51E91">
        <w:rPr>
          <w:rFonts w:asciiTheme="minorHAnsi" w:eastAsiaTheme="minorEastAsia" w:hAnsiTheme="minorHAnsi" w:cstheme="minorBidi"/>
          <w:sz w:val="22"/>
          <w:szCs w:val="22"/>
        </w:rPr>
        <w:t xml:space="preserve">Completed a study regarding the development of green financial </w:t>
      </w:r>
      <w:r w:rsidR="00BB513F">
        <w:rPr>
          <w:rFonts w:asciiTheme="minorHAnsi" w:eastAsiaTheme="minorEastAsia" w:hAnsiTheme="minorHAnsi" w:cstheme="minorBidi"/>
          <w:sz w:val="22"/>
          <w:szCs w:val="22"/>
        </w:rPr>
        <w:t>products</w:t>
      </w:r>
      <w:r w:rsidR="00BB513F" w:rsidRPr="2BE51E91">
        <w:rPr>
          <w:rFonts w:asciiTheme="minorHAnsi" w:eastAsiaTheme="minorEastAsia" w:hAnsiTheme="minorHAnsi" w:cstheme="minorBidi"/>
          <w:sz w:val="22"/>
          <w:szCs w:val="22"/>
        </w:rPr>
        <w:t xml:space="preserve"> </w:t>
      </w:r>
      <w:r w:rsidR="7EECB731" w:rsidRPr="2BE51E91">
        <w:rPr>
          <w:rFonts w:asciiTheme="minorHAnsi" w:eastAsiaTheme="minorEastAsia" w:hAnsiTheme="minorHAnsi" w:cstheme="minorBidi"/>
          <w:sz w:val="22"/>
          <w:szCs w:val="22"/>
        </w:rPr>
        <w:t>(GFPs)</w:t>
      </w:r>
      <w:r w:rsidRPr="2BE51E91">
        <w:rPr>
          <w:rFonts w:asciiTheme="minorHAnsi" w:eastAsiaTheme="minorEastAsia" w:hAnsiTheme="minorHAnsi" w:cstheme="minorBidi"/>
          <w:sz w:val="22"/>
          <w:szCs w:val="22"/>
        </w:rPr>
        <w:t xml:space="preserve">. The purpose of this project was to develop a methodology to guide the design of </w:t>
      </w:r>
      <w:r w:rsidR="665CF71F" w:rsidRPr="2BE51E91">
        <w:rPr>
          <w:rFonts w:asciiTheme="minorHAnsi" w:eastAsiaTheme="minorEastAsia" w:hAnsiTheme="minorHAnsi" w:cstheme="minorBidi"/>
          <w:sz w:val="22"/>
          <w:szCs w:val="22"/>
        </w:rPr>
        <w:t xml:space="preserve">GFPs </w:t>
      </w:r>
      <w:r w:rsidRPr="2BE51E91">
        <w:rPr>
          <w:rFonts w:asciiTheme="minorHAnsi" w:eastAsiaTheme="minorEastAsia" w:hAnsiTheme="minorHAnsi" w:cstheme="minorBidi"/>
          <w:sz w:val="22"/>
          <w:szCs w:val="22"/>
        </w:rPr>
        <w:t xml:space="preserve">for </w:t>
      </w:r>
      <w:r w:rsidR="78D81B91" w:rsidRPr="2BE51E91">
        <w:rPr>
          <w:rFonts w:asciiTheme="minorHAnsi" w:eastAsiaTheme="minorEastAsia" w:hAnsiTheme="minorHAnsi" w:cstheme="minorBidi"/>
          <w:sz w:val="22"/>
          <w:szCs w:val="22"/>
        </w:rPr>
        <w:t>FIs</w:t>
      </w:r>
      <w:r w:rsidRPr="2BE51E91">
        <w:rPr>
          <w:rFonts w:asciiTheme="minorHAnsi" w:eastAsiaTheme="minorEastAsia" w:hAnsiTheme="minorHAnsi" w:cstheme="minorBidi"/>
          <w:sz w:val="22"/>
          <w:szCs w:val="22"/>
        </w:rPr>
        <w:t xml:space="preserve"> in the region. The project also included a study pinpointing the areas of opportunity, thus creating a guiding map for the Fund’s work in this area.</w:t>
      </w:r>
    </w:p>
    <w:p w14:paraId="6D5E5A14" w14:textId="60ACB049" w:rsidR="00467A79" w:rsidRDefault="1521BEBA" w:rsidP="078C476B">
      <w:pPr>
        <w:pStyle w:val="ListParagraph"/>
        <w:numPr>
          <w:ilvl w:val="1"/>
          <w:numId w:val="18"/>
        </w:numPr>
        <w:jc w:val="both"/>
        <w:rPr>
          <w:rFonts w:asciiTheme="minorHAnsi" w:eastAsiaTheme="minorEastAsia" w:hAnsiTheme="minorHAnsi" w:cstheme="minorBidi"/>
          <w:sz w:val="22"/>
          <w:szCs w:val="22"/>
        </w:rPr>
      </w:pPr>
      <w:r w:rsidRPr="078C476B">
        <w:rPr>
          <w:rFonts w:asciiTheme="minorHAnsi" w:eastAsiaTheme="minorEastAsia" w:hAnsiTheme="minorHAnsi" w:cstheme="minorBidi"/>
          <w:sz w:val="22"/>
          <w:szCs w:val="22"/>
        </w:rPr>
        <w:t xml:space="preserve">Promoted the expansion of Nicaragua’s sustainable coffee frontier through a project with </w:t>
      </w:r>
      <w:proofErr w:type="spellStart"/>
      <w:r w:rsidRPr="078C476B">
        <w:rPr>
          <w:rFonts w:asciiTheme="minorHAnsi" w:eastAsiaTheme="minorEastAsia" w:hAnsiTheme="minorHAnsi" w:cstheme="minorBidi"/>
          <w:sz w:val="22"/>
          <w:szCs w:val="22"/>
        </w:rPr>
        <w:t>Asocafens</w:t>
      </w:r>
      <w:proofErr w:type="spellEnd"/>
      <w:r w:rsidRPr="078C476B">
        <w:rPr>
          <w:rFonts w:asciiTheme="minorHAnsi" w:eastAsiaTheme="minorEastAsia" w:hAnsiTheme="minorHAnsi" w:cstheme="minorBidi"/>
          <w:sz w:val="22"/>
          <w:szCs w:val="22"/>
        </w:rPr>
        <w:t xml:space="preserve">, a coffee producer association whose members include clients from the fund’s PI Banco </w:t>
      </w:r>
      <w:proofErr w:type="spellStart"/>
      <w:r w:rsidRPr="078C476B">
        <w:rPr>
          <w:rFonts w:asciiTheme="minorHAnsi" w:eastAsiaTheme="minorEastAsia" w:hAnsiTheme="minorHAnsi" w:cstheme="minorBidi"/>
          <w:sz w:val="22"/>
          <w:szCs w:val="22"/>
        </w:rPr>
        <w:t>Lafise</w:t>
      </w:r>
      <w:proofErr w:type="spellEnd"/>
      <w:r w:rsidRPr="078C476B">
        <w:rPr>
          <w:rFonts w:asciiTheme="minorHAnsi" w:eastAsiaTheme="minorEastAsia" w:hAnsiTheme="minorHAnsi" w:cstheme="minorBidi"/>
          <w:sz w:val="22"/>
          <w:szCs w:val="22"/>
        </w:rPr>
        <w:t>. The project aims to strengthen the association to manage its Destination of Origin and meet EU requirements to register their DO before the EU. The DF has worked in the development of the first half of documents, policies, and procedures set within the scope of the project.</w:t>
      </w:r>
    </w:p>
    <w:p w14:paraId="595BC371" w14:textId="77777777" w:rsidR="00A11BA1" w:rsidRPr="00A11BA1" w:rsidRDefault="5D300737" w:rsidP="078C476B">
      <w:pPr>
        <w:jc w:val="both"/>
        <w:rPr>
          <w:rFonts w:asciiTheme="minorHAnsi" w:eastAsiaTheme="minorEastAsia" w:hAnsiTheme="minorHAnsi" w:cstheme="minorBidi"/>
          <w:sz w:val="22"/>
          <w:szCs w:val="22"/>
        </w:rPr>
      </w:pPr>
      <w:r w:rsidRPr="078C476B">
        <w:rPr>
          <w:rFonts w:asciiTheme="minorHAnsi" w:eastAsiaTheme="minorEastAsia" w:hAnsiTheme="minorHAnsi" w:cstheme="minorBidi"/>
          <w:b/>
          <w:bCs/>
          <w:sz w:val="22"/>
          <w:szCs w:val="22"/>
        </w:rPr>
        <w:t>Recommendation</w:t>
      </w:r>
      <w:r w:rsidR="13CDA628" w:rsidRPr="078C476B">
        <w:rPr>
          <w:rFonts w:asciiTheme="minorHAnsi" w:eastAsiaTheme="minorEastAsia" w:hAnsiTheme="minorHAnsi" w:cstheme="minorBidi"/>
          <w:b/>
          <w:bCs/>
          <w:sz w:val="22"/>
          <w:szCs w:val="22"/>
        </w:rPr>
        <w:t xml:space="preserve">: </w:t>
      </w:r>
      <w:r w:rsidR="08231E79" w:rsidRPr="078C476B">
        <w:rPr>
          <w:rFonts w:asciiTheme="minorHAnsi" w:eastAsiaTheme="minorEastAsia" w:hAnsiTheme="minorHAnsi" w:cstheme="minorBidi"/>
          <w:sz w:val="22"/>
          <w:szCs w:val="22"/>
        </w:rPr>
        <w:t>The Fund should continue to develop the pipeline and secure approval from the Development Facility Committee for TA projects for 2021 in order to achieve the target for 3.1 and continue to provide high quality, consistent TA across projects and to PIs.</w:t>
      </w:r>
    </w:p>
    <w:p w14:paraId="63EB1BB9" w14:textId="3065B552" w:rsidR="00467A79" w:rsidRDefault="00467A79" w:rsidP="078C476B">
      <w:pPr>
        <w:jc w:val="both"/>
        <w:rPr>
          <w:rFonts w:asciiTheme="minorHAnsi" w:eastAsiaTheme="minorEastAsia" w:hAnsiTheme="minorHAnsi" w:cstheme="minorBidi"/>
          <w:sz w:val="22"/>
          <w:szCs w:val="22"/>
        </w:rPr>
      </w:pPr>
    </w:p>
    <w:p w14:paraId="5D28BAB4" w14:textId="77777777" w:rsidR="00B57739" w:rsidRPr="00855688" w:rsidRDefault="00B57739" w:rsidP="00855688">
      <w:pPr>
        <w:jc w:val="both"/>
        <w:rPr>
          <w:rFonts w:asciiTheme="minorHAnsi" w:eastAsiaTheme="minorEastAsia" w:hAnsiTheme="minorHAnsi" w:cstheme="minorBidi"/>
          <w:sz w:val="22"/>
          <w:szCs w:val="22"/>
        </w:rPr>
      </w:pPr>
    </w:p>
    <w:tbl>
      <w:tblPr>
        <w:tblStyle w:val="TableGrid"/>
        <w:tblW w:w="0" w:type="auto"/>
        <w:tblInd w:w="-147" w:type="dxa"/>
        <w:tblLook w:val="04A0" w:firstRow="1" w:lastRow="0" w:firstColumn="1" w:lastColumn="0" w:noHBand="0" w:noVBand="1"/>
      </w:tblPr>
      <w:tblGrid>
        <w:gridCol w:w="1687"/>
        <w:gridCol w:w="598"/>
        <w:gridCol w:w="922"/>
        <w:gridCol w:w="3216"/>
        <w:gridCol w:w="2740"/>
      </w:tblGrid>
      <w:tr w:rsidR="49CFF048" w14:paraId="4A1429E3" w14:textId="77777777" w:rsidTr="078C476B">
        <w:trPr>
          <w:trHeight w:val="489"/>
        </w:trPr>
        <w:tc>
          <w:tcPr>
            <w:tcW w:w="17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5988BA" w14:textId="77777777" w:rsidR="49CFF048" w:rsidRDefault="49CFF048" w:rsidP="49CFF048">
            <w:pPr>
              <w:rPr>
                <w:b/>
                <w:bCs/>
                <w:sz w:val="20"/>
                <w:szCs w:val="20"/>
              </w:rPr>
            </w:pPr>
            <w:r w:rsidRPr="49CFF048">
              <w:rPr>
                <w:b/>
                <w:bCs/>
                <w:sz w:val="20"/>
                <w:szCs w:val="20"/>
              </w:rPr>
              <w:t xml:space="preserve">Output Title </w:t>
            </w:r>
          </w:p>
        </w:tc>
        <w:tc>
          <w:tcPr>
            <w:tcW w:w="764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F279150" w14:textId="68EE177A" w:rsidR="3FFCD5DD" w:rsidRDefault="6F1E0DBF" w:rsidP="0116275A">
            <w:pPr>
              <w:rPr>
                <w:rFonts w:ascii="Calibri" w:eastAsia="Calibri" w:hAnsi="Calibri" w:cs="Calibri"/>
                <w:sz w:val="22"/>
                <w:szCs w:val="22"/>
              </w:rPr>
            </w:pPr>
            <w:r w:rsidRPr="0116275A">
              <w:rPr>
                <w:rFonts w:ascii="Calibri" w:eastAsia="Calibri" w:hAnsi="Calibri" w:cs="Calibri"/>
                <w:sz w:val="22"/>
                <w:szCs w:val="22"/>
              </w:rPr>
              <w:t>Improved partnerships and development of activities with other sector stakeholders</w:t>
            </w:r>
          </w:p>
        </w:tc>
      </w:tr>
      <w:tr w:rsidR="49CFF048" w14:paraId="0B35E232" w14:textId="77777777" w:rsidTr="078C476B">
        <w:trPr>
          <w:trHeight w:val="347"/>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9E811C" w14:textId="77777777" w:rsidR="49CFF048" w:rsidRDefault="49CFF048" w:rsidP="49CFF048">
            <w:pPr>
              <w:rPr>
                <w:sz w:val="20"/>
                <w:szCs w:val="20"/>
              </w:rPr>
            </w:pPr>
            <w:r w:rsidRPr="49CFF048">
              <w:rPr>
                <w:sz w:val="20"/>
                <w:szCs w:val="20"/>
              </w:rPr>
              <w:lastRenderedPageBreak/>
              <w:t xml:space="preserve">Output number: </w:t>
            </w:r>
          </w:p>
        </w:tc>
        <w:tc>
          <w:tcPr>
            <w:tcW w:w="937" w:type="dxa"/>
            <w:tcBorders>
              <w:top w:val="single" w:sz="4" w:space="0" w:color="auto"/>
              <w:left w:val="single" w:sz="4" w:space="0" w:color="auto"/>
              <w:bottom w:val="single" w:sz="4" w:space="0" w:color="auto"/>
              <w:right w:val="single" w:sz="4" w:space="0" w:color="auto"/>
            </w:tcBorders>
          </w:tcPr>
          <w:p w14:paraId="7A3FF4A8" w14:textId="571BDF88" w:rsidR="6042ECB5" w:rsidRDefault="567B4058" w:rsidP="49CFF048">
            <w:pPr>
              <w:rPr>
                <w:sz w:val="20"/>
                <w:szCs w:val="20"/>
              </w:rPr>
            </w:pPr>
            <w:r w:rsidRPr="0116275A">
              <w:rPr>
                <w:sz w:val="20"/>
                <w:szCs w:val="20"/>
              </w:rPr>
              <w:t>4</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1A208C" w14:textId="77777777" w:rsidR="49CFF048" w:rsidRDefault="4E3C43B6" w:rsidP="0116275A">
            <w:pPr>
              <w:rPr>
                <w:sz w:val="20"/>
                <w:szCs w:val="20"/>
              </w:rPr>
            </w:pPr>
            <w:r w:rsidRPr="0116275A">
              <w:rPr>
                <w:sz w:val="20"/>
                <w:szCs w:val="20"/>
              </w:rPr>
              <w:t xml:space="preserve">Output Score: </w:t>
            </w:r>
          </w:p>
        </w:tc>
        <w:tc>
          <w:tcPr>
            <w:tcW w:w="2812" w:type="dxa"/>
            <w:tcBorders>
              <w:top w:val="single" w:sz="4" w:space="0" w:color="auto"/>
              <w:left w:val="single" w:sz="4" w:space="0" w:color="auto"/>
              <w:bottom w:val="single" w:sz="4" w:space="0" w:color="auto"/>
              <w:right w:val="single" w:sz="4" w:space="0" w:color="auto"/>
            </w:tcBorders>
          </w:tcPr>
          <w:p w14:paraId="5F0E0505" w14:textId="38F1A2B9" w:rsidR="49CFF048" w:rsidRDefault="5FAE6D35" w:rsidP="0116275A">
            <w:pPr>
              <w:rPr>
                <w:sz w:val="20"/>
                <w:szCs w:val="20"/>
              </w:rPr>
            </w:pPr>
            <w:r w:rsidRPr="2BE51E91">
              <w:rPr>
                <w:sz w:val="20"/>
                <w:szCs w:val="20"/>
              </w:rPr>
              <w:t>A</w:t>
            </w:r>
          </w:p>
        </w:tc>
      </w:tr>
      <w:tr w:rsidR="49CFF048" w14:paraId="38E38A7F" w14:textId="77777777" w:rsidTr="078C476B">
        <w:trPr>
          <w:trHeight w:val="345"/>
        </w:trPr>
        <w:tc>
          <w:tcPr>
            <w:tcW w:w="232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F18BF1E" w14:textId="77777777" w:rsidR="49CFF048" w:rsidRDefault="4E3C43B6" w:rsidP="0116275A">
            <w:pPr>
              <w:rPr>
                <w:sz w:val="20"/>
                <w:szCs w:val="20"/>
              </w:rPr>
            </w:pPr>
            <w:r w:rsidRPr="0116275A">
              <w:rPr>
                <w:sz w:val="20"/>
                <w:szCs w:val="20"/>
              </w:rPr>
              <w:t xml:space="preserve">Impact weighting (%):  </w:t>
            </w:r>
          </w:p>
        </w:tc>
        <w:tc>
          <w:tcPr>
            <w:tcW w:w="937" w:type="dxa"/>
            <w:tcBorders>
              <w:top w:val="single" w:sz="4" w:space="0" w:color="auto"/>
              <w:left w:val="single" w:sz="4" w:space="0" w:color="auto"/>
              <w:bottom w:val="single" w:sz="4" w:space="0" w:color="auto"/>
              <w:right w:val="single" w:sz="4" w:space="0" w:color="auto"/>
            </w:tcBorders>
          </w:tcPr>
          <w:p w14:paraId="5487BCBC" w14:textId="20BBAA96" w:rsidR="49CFF048" w:rsidRDefault="3A736AB2" w:rsidP="0116275A">
            <w:pPr>
              <w:rPr>
                <w:sz w:val="20"/>
                <w:szCs w:val="20"/>
              </w:rPr>
            </w:pPr>
            <w:r w:rsidRPr="0116275A">
              <w:rPr>
                <w:sz w:val="20"/>
                <w:szCs w:val="20"/>
              </w:rPr>
              <w:t>15</w:t>
            </w:r>
          </w:p>
        </w:tc>
        <w:tc>
          <w:tcPr>
            <w:tcW w:w="3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6657075" w14:textId="2FF2D427" w:rsidR="49CFF048" w:rsidRDefault="601BBE9F" w:rsidP="0116275A">
            <w:pPr>
              <w:rPr>
                <w:sz w:val="20"/>
                <w:szCs w:val="20"/>
              </w:rPr>
            </w:pPr>
            <w:r w:rsidRPr="078C476B">
              <w:rPr>
                <w:sz w:val="20"/>
                <w:szCs w:val="20"/>
              </w:rPr>
              <w:t xml:space="preserve">Weighting revised since last AR? </w:t>
            </w:r>
          </w:p>
        </w:tc>
        <w:tc>
          <w:tcPr>
            <w:tcW w:w="2812" w:type="dxa"/>
            <w:tcBorders>
              <w:top w:val="single" w:sz="4" w:space="0" w:color="auto"/>
              <w:left w:val="single" w:sz="4" w:space="0" w:color="auto"/>
              <w:bottom w:val="single" w:sz="4" w:space="0" w:color="auto"/>
              <w:right w:val="single" w:sz="4" w:space="0" w:color="auto"/>
            </w:tcBorders>
          </w:tcPr>
          <w:p w14:paraId="4857E595" w14:textId="4B8A0197" w:rsidR="49CFF048" w:rsidRDefault="7FEF7398" w:rsidP="0116275A">
            <w:pPr>
              <w:rPr>
                <w:sz w:val="20"/>
                <w:szCs w:val="20"/>
              </w:rPr>
            </w:pPr>
            <w:r w:rsidRPr="0116275A">
              <w:rPr>
                <w:sz w:val="20"/>
                <w:szCs w:val="20"/>
              </w:rPr>
              <w:t>No</w:t>
            </w:r>
          </w:p>
        </w:tc>
      </w:tr>
    </w:tbl>
    <w:p w14:paraId="4977492D" w14:textId="77777777" w:rsidR="00EC3141" w:rsidRPr="00A73B10" w:rsidRDefault="00EC3141" w:rsidP="49CFF048">
      <w:pPr>
        <w:rPr>
          <w:b/>
          <w:bCs/>
          <w:color w:val="FF0000"/>
        </w:rPr>
      </w:pPr>
    </w:p>
    <w:tbl>
      <w:tblPr>
        <w:tblStyle w:val="TableGrid"/>
        <w:tblW w:w="0" w:type="auto"/>
        <w:tblLook w:val="04A0" w:firstRow="1" w:lastRow="0" w:firstColumn="1" w:lastColumn="0" w:noHBand="0" w:noVBand="1"/>
      </w:tblPr>
      <w:tblGrid>
        <w:gridCol w:w="5436"/>
        <w:gridCol w:w="1916"/>
        <w:gridCol w:w="1664"/>
      </w:tblGrid>
      <w:tr w:rsidR="49CFF048" w14:paraId="41359827" w14:textId="77777777" w:rsidTr="2BE51E91">
        <w:trPr>
          <w:trHeight w:val="273"/>
        </w:trPr>
        <w:tc>
          <w:tcPr>
            <w:tcW w:w="57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58B297" w14:textId="77777777" w:rsidR="49CFF048" w:rsidRDefault="4E3C43B6" w:rsidP="0116275A">
            <w:pPr>
              <w:rPr>
                <w:b/>
                <w:bCs/>
                <w:sz w:val="20"/>
                <w:szCs w:val="20"/>
              </w:rPr>
            </w:pPr>
            <w:r w:rsidRPr="0116275A">
              <w:rPr>
                <w:b/>
                <w:bCs/>
                <w:sz w:val="20"/>
                <w:szCs w:val="20"/>
              </w:rPr>
              <w:t>Indicator(s)</w:t>
            </w:r>
          </w:p>
        </w:tc>
        <w:tc>
          <w:tcPr>
            <w:tcW w:w="195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C0ADEFB" w14:textId="77777777" w:rsidR="49CFF048" w:rsidRDefault="4E3C43B6" w:rsidP="0116275A">
            <w:pPr>
              <w:rPr>
                <w:b/>
                <w:bCs/>
                <w:sz w:val="20"/>
                <w:szCs w:val="20"/>
              </w:rPr>
            </w:pPr>
            <w:r w:rsidRPr="0116275A">
              <w:rPr>
                <w:b/>
                <w:bCs/>
                <w:sz w:val="20"/>
                <w:szCs w:val="20"/>
              </w:rPr>
              <w:t>Milestone(s) for this review</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78341E" w14:textId="77777777" w:rsidR="49CFF048" w:rsidRDefault="4E3C43B6" w:rsidP="0116275A">
            <w:pPr>
              <w:rPr>
                <w:b/>
                <w:bCs/>
                <w:sz w:val="20"/>
                <w:szCs w:val="20"/>
              </w:rPr>
            </w:pPr>
            <w:r w:rsidRPr="0116275A">
              <w:rPr>
                <w:b/>
                <w:bCs/>
                <w:sz w:val="20"/>
                <w:szCs w:val="20"/>
              </w:rPr>
              <w:t xml:space="preserve">Progress </w:t>
            </w:r>
          </w:p>
        </w:tc>
      </w:tr>
      <w:tr w:rsidR="49CFF048" w14:paraId="1EB2B590" w14:textId="77777777" w:rsidTr="2BE51E91">
        <w:tc>
          <w:tcPr>
            <w:tcW w:w="5700" w:type="dxa"/>
            <w:tcBorders>
              <w:top w:val="single" w:sz="4" w:space="0" w:color="auto"/>
              <w:left w:val="single" w:sz="4" w:space="0" w:color="auto"/>
              <w:bottom w:val="single" w:sz="4" w:space="0" w:color="auto"/>
              <w:right w:val="single" w:sz="4" w:space="0" w:color="auto"/>
            </w:tcBorders>
          </w:tcPr>
          <w:p w14:paraId="2277D77F" w14:textId="3A05755C" w:rsidR="1127E92D" w:rsidRDefault="1127E92D" w:rsidP="49CFF048">
            <w:pPr>
              <w:rPr>
                <w:rFonts w:asciiTheme="minorHAnsi" w:eastAsiaTheme="minorEastAsia" w:hAnsiTheme="minorHAnsi" w:cstheme="minorBidi"/>
                <w:color w:val="000000" w:themeColor="text1"/>
                <w:sz w:val="22"/>
                <w:szCs w:val="22"/>
              </w:rPr>
            </w:pPr>
            <w:r w:rsidRPr="49CFF048">
              <w:rPr>
                <w:rFonts w:asciiTheme="minorHAnsi" w:eastAsiaTheme="minorEastAsia" w:hAnsiTheme="minorHAnsi" w:cstheme="minorBidi"/>
                <w:color w:val="000000" w:themeColor="text1"/>
                <w:sz w:val="22"/>
                <w:szCs w:val="22"/>
              </w:rPr>
              <w:t>4.1 Number of external events organised by the EBF</w:t>
            </w:r>
          </w:p>
        </w:tc>
        <w:tc>
          <w:tcPr>
            <w:tcW w:w="1950" w:type="dxa"/>
            <w:tcBorders>
              <w:top w:val="single" w:sz="4" w:space="0" w:color="auto"/>
              <w:left w:val="single" w:sz="4" w:space="0" w:color="auto"/>
              <w:bottom w:val="single" w:sz="4" w:space="0" w:color="auto"/>
              <w:right w:val="single" w:sz="4" w:space="0" w:color="auto"/>
            </w:tcBorders>
          </w:tcPr>
          <w:p w14:paraId="5B406461" w14:textId="5E8758A7" w:rsidR="1127E92D" w:rsidRDefault="1127E92D" w:rsidP="49CFF048">
            <w:pPr>
              <w:rPr>
                <w:rFonts w:asciiTheme="minorHAnsi" w:eastAsiaTheme="minorEastAsia" w:hAnsiTheme="minorHAnsi" w:cstheme="minorBidi"/>
                <w:sz w:val="22"/>
                <w:szCs w:val="22"/>
              </w:rPr>
            </w:pPr>
            <w:r w:rsidRPr="49CFF048">
              <w:rPr>
                <w:rFonts w:asciiTheme="minorHAnsi" w:eastAsiaTheme="minorEastAsia" w:hAnsiTheme="minorHAnsi" w:cstheme="minorBidi"/>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284616F5" w14:textId="505D0A08" w:rsidR="1127E92D" w:rsidRDefault="1127E92D" w:rsidP="49CFF048">
            <w:pPr>
              <w:rPr>
                <w:rFonts w:asciiTheme="minorHAnsi" w:eastAsiaTheme="minorEastAsia" w:hAnsiTheme="minorHAnsi" w:cstheme="minorBidi"/>
                <w:sz w:val="22"/>
                <w:szCs w:val="22"/>
              </w:rPr>
            </w:pPr>
            <w:r w:rsidRPr="49CFF048">
              <w:rPr>
                <w:rFonts w:asciiTheme="minorHAnsi" w:eastAsiaTheme="minorEastAsia" w:hAnsiTheme="minorHAnsi" w:cstheme="minorBidi"/>
                <w:sz w:val="22"/>
                <w:szCs w:val="22"/>
              </w:rPr>
              <w:t>3</w:t>
            </w:r>
          </w:p>
        </w:tc>
      </w:tr>
      <w:tr w:rsidR="49CFF048" w14:paraId="601D19B4" w14:textId="77777777" w:rsidTr="2BE51E91">
        <w:tc>
          <w:tcPr>
            <w:tcW w:w="5700" w:type="dxa"/>
            <w:tcBorders>
              <w:top w:val="single" w:sz="4" w:space="0" w:color="auto"/>
              <w:left w:val="single" w:sz="4" w:space="0" w:color="auto"/>
              <w:bottom w:val="single" w:sz="4" w:space="0" w:color="auto"/>
              <w:right w:val="single" w:sz="4" w:space="0" w:color="auto"/>
            </w:tcBorders>
          </w:tcPr>
          <w:p w14:paraId="282040FA" w14:textId="48CEBC75" w:rsidR="1127E92D" w:rsidRDefault="5FC0B19A"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4.2 Number of events EBF has supported</w:t>
            </w:r>
          </w:p>
        </w:tc>
        <w:tc>
          <w:tcPr>
            <w:tcW w:w="1950" w:type="dxa"/>
            <w:tcBorders>
              <w:top w:val="single" w:sz="4" w:space="0" w:color="auto"/>
              <w:left w:val="single" w:sz="4" w:space="0" w:color="auto"/>
              <w:bottom w:val="single" w:sz="4" w:space="0" w:color="auto"/>
              <w:right w:val="single" w:sz="4" w:space="0" w:color="auto"/>
            </w:tcBorders>
          </w:tcPr>
          <w:p w14:paraId="514CE3F5" w14:textId="170FE91E" w:rsidR="1127E92D" w:rsidRDefault="1127E92D" w:rsidP="49CFF048">
            <w:pPr>
              <w:rPr>
                <w:rFonts w:asciiTheme="minorHAnsi" w:eastAsiaTheme="minorEastAsia" w:hAnsiTheme="minorHAnsi" w:cstheme="minorBidi"/>
                <w:sz w:val="22"/>
                <w:szCs w:val="22"/>
              </w:rPr>
            </w:pPr>
            <w:r w:rsidRPr="49CFF048">
              <w:rPr>
                <w:rFonts w:asciiTheme="minorHAnsi" w:eastAsiaTheme="minorEastAsia" w:hAnsiTheme="minorHAnsi" w:cstheme="minorBidi"/>
                <w:sz w:val="22"/>
                <w:szCs w:val="22"/>
              </w:rPr>
              <w:t>35</w:t>
            </w:r>
          </w:p>
        </w:tc>
        <w:tc>
          <w:tcPr>
            <w:tcW w:w="1701" w:type="dxa"/>
            <w:tcBorders>
              <w:top w:val="single" w:sz="4" w:space="0" w:color="auto"/>
              <w:left w:val="single" w:sz="4" w:space="0" w:color="auto"/>
              <w:bottom w:val="single" w:sz="4" w:space="0" w:color="auto"/>
              <w:right w:val="single" w:sz="4" w:space="0" w:color="auto"/>
            </w:tcBorders>
          </w:tcPr>
          <w:p w14:paraId="775AF4B8" w14:textId="2DB0489B" w:rsidR="1127E92D" w:rsidRDefault="1127E92D" w:rsidP="49CFF048">
            <w:pPr>
              <w:rPr>
                <w:rFonts w:asciiTheme="minorHAnsi" w:eastAsiaTheme="minorEastAsia" w:hAnsiTheme="minorHAnsi" w:cstheme="minorBidi"/>
                <w:sz w:val="22"/>
                <w:szCs w:val="22"/>
              </w:rPr>
            </w:pPr>
            <w:r w:rsidRPr="49CFF048">
              <w:rPr>
                <w:rFonts w:asciiTheme="minorHAnsi" w:eastAsiaTheme="minorEastAsia" w:hAnsiTheme="minorHAnsi" w:cstheme="minorBidi"/>
                <w:sz w:val="22"/>
                <w:szCs w:val="22"/>
              </w:rPr>
              <w:t>47</w:t>
            </w:r>
          </w:p>
        </w:tc>
      </w:tr>
      <w:tr w:rsidR="49CFF048" w14:paraId="60F78AA3" w14:textId="77777777" w:rsidTr="2BE51E91">
        <w:tc>
          <w:tcPr>
            <w:tcW w:w="5700" w:type="dxa"/>
            <w:tcBorders>
              <w:top w:val="single" w:sz="4" w:space="0" w:color="auto"/>
              <w:left w:val="single" w:sz="4" w:space="0" w:color="auto"/>
              <w:bottom w:val="single" w:sz="4" w:space="0" w:color="auto"/>
              <w:right w:val="single" w:sz="4" w:space="0" w:color="auto"/>
            </w:tcBorders>
          </w:tcPr>
          <w:p w14:paraId="1CAD7135" w14:textId="5B1A9F08" w:rsidR="1127E92D" w:rsidRPr="00DC1537" w:rsidRDefault="5FC0B19A" w:rsidP="0116275A">
            <w:pPr>
              <w:rPr>
                <w:rFonts w:asciiTheme="minorHAnsi" w:eastAsiaTheme="minorEastAsia" w:hAnsiTheme="minorHAnsi" w:cstheme="minorBidi"/>
                <w:i/>
                <w:iCs/>
                <w:color w:val="000000" w:themeColor="text1"/>
                <w:sz w:val="22"/>
                <w:szCs w:val="22"/>
              </w:rPr>
            </w:pPr>
            <w:r w:rsidRPr="00DC1537">
              <w:rPr>
                <w:rFonts w:asciiTheme="minorHAnsi" w:eastAsiaTheme="minorEastAsia" w:hAnsiTheme="minorHAnsi" w:cstheme="minorBidi"/>
                <w:i/>
                <w:iCs/>
                <w:color w:val="000000" w:themeColor="text1"/>
                <w:sz w:val="22"/>
                <w:szCs w:val="22"/>
              </w:rPr>
              <w:t>4.3 Number of investments realized by the Fund in partnership with other institutions (</w:t>
            </w:r>
            <w:r w:rsidR="4B1AC9E2" w:rsidRPr="00DC1537">
              <w:rPr>
                <w:rFonts w:asciiTheme="minorHAnsi" w:eastAsiaTheme="minorEastAsia" w:hAnsiTheme="minorHAnsi" w:cstheme="minorBidi"/>
                <w:i/>
                <w:iCs/>
                <w:color w:val="000000" w:themeColor="text1"/>
                <w:sz w:val="22"/>
                <w:szCs w:val="22"/>
              </w:rPr>
              <w:t>e.g.,</w:t>
            </w:r>
            <w:r w:rsidRPr="00DC1537">
              <w:rPr>
                <w:rFonts w:asciiTheme="minorHAnsi" w:eastAsiaTheme="minorEastAsia" w:hAnsiTheme="minorHAnsi" w:cstheme="minorBidi"/>
                <w:i/>
                <w:iCs/>
                <w:color w:val="000000" w:themeColor="text1"/>
                <w:sz w:val="22"/>
                <w:szCs w:val="22"/>
              </w:rPr>
              <w:t xml:space="preserve"> syndicated loans)</w:t>
            </w:r>
          </w:p>
        </w:tc>
        <w:tc>
          <w:tcPr>
            <w:tcW w:w="1950" w:type="dxa"/>
            <w:tcBorders>
              <w:top w:val="single" w:sz="4" w:space="0" w:color="auto"/>
              <w:left w:val="single" w:sz="4" w:space="0" w:color="auto"/>
              <w:bottom w:val="single" w:sz="4" w:space="0" w:color="auto"/>
              <w:right w:val="single" w:sz="4" w:space="0" w:color="auto"/>
            </w:tcBorders>
          </w:tcPr>
          <w:p w14:paraId="49C3766D" w14:textId="103CC93F" w:rsidR="1127E92D" w:rsidRPr="00DC1537" w:rsidRDefault="00DD138F" w:rsidP="6BD88DCD">
            <w:pPr>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n/a</w:t>
            </w:r>
          </w:p>
        </w:tc>
        <w:tc>
          <w:tcPr>
            <w:tcW w:w="1701" w:type="dxa"/>
            <w:tcBorders>
              <w:top w:val="single" w:sz="4" w:space="0" w:color="auto"/>
              <w:left w:val="single" w:sz="4" w:space="0" w:color="auto"/>
              <w:bottom w:val="single" w:sz="4" w:space="0" w:color="auto"/>
              <w:right w:val="single" w:sz="4" w:space="0" w:color="auto"/>
            </w:tcBorders>
          </w:tcPr>
          <w:p w14:paraId="099DCEFA" w14:textId="7C7AF58F" w:rsidR="1127E92D" w:rsidRPr="00DC1537" w:rsidRDefault="5FC0B19A" w:rsidP="0116275A">
            <w:pPr>
              <w:rPr>
                <w:rFonts w:asciiTheme="minorHAnsi" w:eastAsiaTheme="minorEastAsia" w:hAnsiTheme="minorHAnsi" w:cstheme="minorBidi"/>
                <w:i/>
                <w:iCs/>
                <w:sz w:val="22"/>
                <w:szCs w:val="22"/>
              </w:rPr>
            </w:pPr>
            <w:r w:rsidRPr="00DC1537">
              <w:rPr>
                <w:rFonts w:asciiTheme="minorHAnsi" w:eastAsiaTheme="minorEastAsia" w:hAnsiTheme="minorHAnsi" w:cstheme="minorBidi"/>
                <w:i/>
                <w:iCs/>
                <w:sz w:val="22"/>
                <w:szCs w:val="22"/>
              </w:rPr>
              <w:t>8</w:t>
            </w:r>
          </w:p>
        </w:tc>
      </w:tr>
      <w:tr w:rsidR="49CFF048" w14:paraId="5CADFE9C" w14:textId="77777777" w:rsidTr="2BE51E91">
        <w:tc>
          <w:tcPr>
            <w:tcW w:w="5700" w:type="dxa"/>
            <w:tcBorders>
              <w:top w:val="single" w:sz="4" w:space="0" w:color="auto"/>
              <w:left w:val="single" w:sz="4" w:space="0" w:color="auto"/>
              <w:bottom w:val="single" w:sz="4" w:space="0" w:color="auto"/>
              <w:right w:val="single" w:sz="4" w:space="0" w:color="auto"/>
            </w:tcBorders>
          </w:tcPr>
          <w:p w14:paraId="0B0B729C" w14:textId="5EF865E9" w:rsidR="1127E92D" w:rsidRPr="00DC1537" w:rsidRDefault="5FC0B19A" w:rsidP="0116275A">
            <w:pPr>
              <w:rPr>
                <w:rFonts w:asciiTheme="minorHAnsi" w:eastAsiaTheme="minorEastAsia" w:hAnsiTheme="minorHAnsi" w:cstheme="minorBidi"/>
                <w:i/>
                <w:iCs/>
                <w:sz w:val="22"/>
                <w:szCs w:val="22"/>
              </w:rPr>
            </w:pPr>
            <w:r w:rsidRPr="00DC1537">
              <w:rPr>
                <w:rFonts w:asciiTheme="minorHAnsi" w:eastAsiaTheme="minorEastAsia" w:hAnsiTheme="minorHAnsi" w:cstheme="minorBidi"/>
                <w:i/>
                <w:iCs/>
                <w:sz w:val="22"/>
                <w:szCs w:val="22"/>
              </w:rPr>
              <w:t>4.4 Investments realized by the Fund in partnership with other institutions (USD millions)</w:t>
            </w:r>
          </w:p>
        </w:tc>
        <w:tc>
          <w:tcPr>
            <w:tcW w:w="1950" w:type="dxa"/>
            <w:tcBorders>
              <w:top w:val="single" w:sz="4" w:space="0" w:color="auto"/>
              <w:left w:val="single" w:sz="4" w:space="0" w:color="auto"/>
              <w:bottom w:val="single" w:sz="4" w:space="0" w:color="auto"/>
              <w:right w:val="single" w:sz="4" w:space="0" w:color="auto"/>
            </w:tcBorders>
          </w:tcPr>
          <w:p w14:paraId="2CD30B8A" w14:textId="7A4411A4" w:rsidR="1127E92D" w:rsidRPr="00DC1537" w:rsidRDefault="00DD138F" w:rsidP="6BD88DCD">
            <w:pPr>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n/a</w:t>
            </w:r>
          </w:p>
        </w:tc>
        <w:tc>
          <w:tcPr>
            <w:tcW w:w="1701" w:type="dxa"/>
            <w:tcBorders>
              <w:top w:val="single" w:sz="4" w:space="0" w:color="auto"/>
              <w:left w:val="single" w:sz="4" w:space="0" w:color="auto"/>
              <w:bottom w:val="single" w:sz="4" w:space="0" w:color="auto"/>
              <w:right w:val="single" w:sz="4" w:space="0" w:color="auto"/>
            </w:tcBorders>
          </w:tcPr>
          <w:p w14:paraId="057C35D5" w14:textId="77FE08B7" w:rsidR="1127E92D" w:rsidRPr="00DC1537" w:rsidRDefault="00DD138F" w:rsidP="0F9CD67B">
            <w:pPr>
              <w:rPr>
                <w:rFonts w:asciiTheme="minorHAnsi" w:eastAsiaTheme="minorEastAsia" w:hAnsiTheme="minorHAnsi" w:cstheme="minorBidi"/>
                <w:i/>
                <w:iCs/>
                <w:sz w:val="22"/>
                <w:szCs w:val="22"/>
              </w:rPr>
            </w:pPr>
            <w:r>
              <w:rPr>
                <w:rFonts w:asciiTheme="minorHAnsi" w:eastAsiaTheme="minorEastAsia" w:hAnsiTheme="minorHAnsi" w:cstheme="minorBidi"/>
                <w:i/>
                <w:iCs/>
                <w:sz w:val="22"/>
                <w:szCs w:val="22"/>
              </w:rPr>
              <w:t>n/a</w:t>
            </w:r>
          </w:p>
        </w:tc>
      </w:tr>
    </w:tbl>
    <w:p w14:paraId="33D11EE9" w14:textId="3EB3B8D3" w:rsidR="00EC3141" w:rsidRDefault="00EC3141" w:rsidP="49CFF048">
      <w:pPr>
        <w:jc w:val="both"/>
        <w:rPr>
          <w:color w:val="FF0000"/>
        </w:rPr>
      </w:pPr>
    </w:p>
    <w:p w14:paraId="6BE1C36E" w14:textId="77777777" w:rsidR="00C20DFF" w:rsidRDefault="00C20DFF" w:rsidP="00C20DFF">
      <w:pPr>
        <w:pStyle w:val="Normal1"/>
        <w:spacing w:after="120"/>
        <w:jc w:val="both"/>
        <w:rPr>
          <w:rFonts w:ascii="Calibri" w:eastAsia="Calibri" w:hAnsi="Calibri" w:cs="Calibri"/>
          <w:color w:val="000000" w:themeColor="text1"/>
          <w:sz w:val="22"/>
          <w:szCs w:val="22"/>
        </w:rPr>
      </w:pPr>
      <w:r w:rsidRPr="078C476B">
        <w:rPr>
          <w:rFonts w:ascii="Calibri" w:eastAsia="Calibri" w:hAnsi="Calibri" w:cs="Calibri"/>
          <w:b/>
          <w:bCs/>
          <w:color w:val="000000" w:themeColor="text1"/>
          <w:sz w:val="22"/>
          <w:szCs w:val="22"/>
        </w:rPr>
        <w:t>Key Points</w:t>
      </w:r>
    </w:p>
    <w:p w14:paraId="0FC6463B" w14:textId="5A5250DE" w:rsidR="00C20DFF" w:rsidRDefault="00811B35" w:rsidP="078C476B">
      <w:pPr>
        <w:jc w:val="both"/>
      </w:pPr>
      <w:r w:rsidRPr="078C476B">
        <w:rPr>
          <w:rFonts w:asciiTheme="minorHAnsi" w:hAnsiTheme="minorHAnsi" w:cstheme="minorBidi"/>
          <w:sz w:val="22"/>
          <w:szCs w:val="22"/>
        </w:rPr>
        <w:t>The target for output indicator 4.1 was met and 4.2 was exceeded by a significant margin</w:t>
      </w:r>
      <w:r w:rsidR="0074147B">
        <w:rPr>
          <w:rFonts w:asciiTheme="minorHAnsi" w:hAnsiTheme="minorHAnsi" w:cstheme="minorBidi"/>
          <w:sz w:val="22"/>
          <w:szCs w:val="22"/>
        </w:rPr>
        <w:t>.</w:t>
      </w:r>
      <w:r w:rsidRPr="078C476B">
        <w:rPr>
          <w:rFonts w:asciiTheme="minorHAnsi" w:hAnsiTheme="minorHAnsi" w:cstheme="minorBidi"/>
          <w:sz w:val="22"/>
          <w:szCs w:val="22"/>
        </w:rPr>
        <w:t xml:space="preserve"> was progress against all the indicators except </w:t>
      </w:r>
    </w:p>
    <w:p w14:paraId="224A1AC9" w14:textId="77777777" w:rsidR="00C20DFF" w:rsidRPr="00A73B10" w:rsidRDefault="00C20DFF" w:rsidP="49CFF048">
      <w:pPr>
        <w:jc w:val="both"/>
        <w:rPr>
          <w:color w:val="FF0000"/>
        </w:rPr>
      </w:pPr>
    </w:p>
    <w:p w14:paraId="50C51C47" w14:textId="24DEE6C3" w:rsidR="00811B35" w:rsidRPr="00D064AB" w:rsidRDefault="00811B35" w:rsidP="078C476B">
      <w:pPr>
        <w:pStyle w:val="ListParagraph"/>
        <w:numPr>
          <w:ilvl w:val="0"/>
          <w:numId w:val="20"/>
        </w:numPr>
        <w:jc w:val="both"/>
        <w:rPr>
          <w:rFonts w:asciiTheme="minorHAnsi" w:eastAsiaTheme="minorEastAsia" w:hAnsiTheme="minorHAnsi" w:cstheme="minorBidi"/>
          <w:color w:val="70AD47" w:themeColor="accent6"/>
          <w:sz w:val="22"/>
          <w:szCs w:val="22"/>
        </w:rPr>
      </w:pPr>
      <w:r w:rsidRPr="078C476B">
        <w:rPr>
          <w:rFonts w:asciiTheme="minorHAnsi" w:eastAsiaTheme="minorEastAsia" w:hAnsiTheme="minorHAnsi" w:cstheme="minorBidi"/>
          <w:sz w:val="22"/>
          <w:szCs w:val="22"/>
        </w:rPr>
        <w:t>In 2020 the EBF DF partnered with UNEP FI to co-host two webinar series, the first introducing the “Principles of Responsible Banking” framework and the second on “Climate Change: Risks and Opportunities for the Finance Sector.”</w:t>
      </w:r>
    </w:p>
    <w:p w14:paraId="7518BAD9" w14:textId="77777777" w:rsidR="00811B35" w:rsidRPr="00A11BA1" w:rsidRDefault="00811B35" w:rsidP="00855688">
      <w:pPr>
        <w:pStyle w:val="ListParagraph"/>
        <w:jc w:val="both"/>
        <w:rPr>
          <w:sz w:val="22"/>
          <w:szCs w:val="22"/>
        </w:rPr>
      </w:pPr>
    </w:p>
    <w:p w14:paraId="6EF3B805" w14:textId="419465F8" w:rsidR="006F3AE7" w:rsidRDefault="2BDC20D3" w:rsidP="0116275A">
      <w:pPr>
        <w:pStyle w:val="ListParagraph"/>
        <w:numPr>
          <w:ilvl w:val="0"/>
          <w:numId w:val="20"/>
        </w:numPr>
        <w:jc w:val="both"/>
        <w:rPr>
          <w:sz w:val="22"/>
          <w:szCs w:val="22"/>
        </w:rPr>
      </w:pPr>
      <w:r w:rsidRPr="72ECE0DE">
        <w:rPr>
          <w:rFonts w:ascii="Calibri" w:eastAsia="Calibri" w:hAnsi="Calibri" w:cs="Calibri"/>
          <w:sz w:val="22"/>
          <w:szCs w:val="22"/>
        </w:rPr>
        <w:t xml:space="preserve">In 2020, EBF launched the ‘Sustainability Academy’ with the objective of creating a knowledge sharing platform for financial institutions, producers, and the </w:t>
      </w:r>
      <w:r w:rsidR="6C5A585E" w:rsidRPr="72ECE0DE">
        <w:rPr>
          <w:rFonts w:ascii="Calibri" w:eastAsia="Calibri" w:hAnsi="Calibri" w:cs="Calibri"/>
          <w:sz w:val="22"/>
          <w:szCs w:val="22"/>
        </w:rPr>
        <w:t>public</w:t>
      </w:r>
      <w:r w:rsidRPr="72ECE0DE">
        <w:rPr>
          <w:rFonts w:ascii="Calibri" w:eastAsia="Calibri" w:hAnsi="Calibri" w:cs="Calibri"/>
          <w:sz w:val="22"/>
          <w:szCs w:val="22"/>
        </w:rPr>
        <w:t xml:space="preserve"> tailored to the region’s specific context. The Sustainability Academy partnered with relevant actors in the region such as the Tropical Agricultural Research and Higher Education </w:t>
      </w:r>
      <w:proofErr w:type="spellStart"/>
      <w:r w:rsidRPr="72ECE0DE">
        <w:rPr>
          <w:rFonts w:ascii="Calibri" w:eastAsia="Calibri" w:hAnsi="Calibri" w:cs="Calibri"/>
          <w:sz w:val="22"/>
          <w:szCs w:val="22"/>
        </w:rPr>
        <w:t>Center</w:t>
      </w:r>
      <w:proofErr w:type="spellEnd"/>
      <w:r w:rsidRPr="72ECE0DE">
        <w:rPr>
          <w:rFonts w:ascii="Calibri" w:eastAsia="Calibri" w:hAnsi="Calibri" w:cs="Calibri"/>
          <w:sz w:val="22"/>
          <w:szCs w:val="22"/>
        </w:rPr>
        <w:t xml:space="preserve"> (CATIE, in Spanish), with which the academy hosted five seminars for the fund’s target audience and the public. The Sustainability Academy has also developed courses and hosted trainings for six PIs. The Sustainability Academy will continue creating new resources and offering different learning opportunities that will help both the fund’s PIs and their clients in promoting and adopting sustainable practices.</w:t>
      </w:r>
    </w:p>
    <w:p w14:paraId="2016F55A" w14:textId="70B27C00" w:rsidR="00811B35" w:rsidRDefault="00811B35" w:rsidP="078C476B">
      <w:pPr>
        <w:pStyle w:val="ListParagraph"/>
        <w:numPr>
          <w:ilvl w:val="0"/>
          <w:numId w:val="20"/>
        </w:numPr>
        <w:jc w:val="both"/>
        <w:rPr>
          <w:rFonts w:asciiTheme="minorHAnsi" w:eastAsiaTheme="minorEastAsia" w:hAnsiTheme="minorHAnsi" w:cstheme="minorBidi"/>
          <w:color w:val="70AD47" w:themeColor="accent6"/>
        </w:rPr>
      </w:pPr>
      <w:r w:rsidRPr="72ECE0DE">
        <w:rPr>
          <w:rFonts w:ascii="Calibri" w:eastAsia="Calibri" w:hAnsi="Calibri" w:cs="Calibri"/>
          <w:sz w:val="22"/>
          <w:szCs w:val="22"/>
        </w:rPr>
        <w:t>It is worth noting that indicators 4.3 and 4.4 are not considered as part of the output scoring as they are not specific objectives of the EBF. However, they are still being measured as a matter of data collection. For output 4.4 the unbracketed figure is the EBF’s share of financing in syndicated loans and the bracketed figure covers the EBF’s total investments to PIs. In previous AR’s only the EBF’s share of financing was included. The EBF applies a market logic and will only enter a syndicated deal if all parameters match the fund’s rigorous requirements, therefore it is likely that the targets (based on assumptions about the market) were initially set too high. Even though they are not considered as part of the output scoring it may be worth revising the targets in line with the reality of market conditions.</w:t>
      </w:r>
    </w:p>
    <w:p w14:paraId="2BCF325F" w14:textId="77777777" w:rsidR="00811B35" w:rsidRPr="00A73B10" w:rsidRDefault="00811B35" w:rsidP="078C476B">
      <w:pPr>
        <w:pStyle w:val="ListParagraph"/>
        <w:numPr>
          <w:ilvl w:val="0"/>
          <w:numId w:val="20"/>
        </w:numPr>
        <w:jc w:val="both"/>
        <w:rPr>
          <w:rFonts w:asciiTheme="minorHAnsi" w:eastAsiaTheme="minorEastAsia" w:hAnsiTheme="minorHAnsi" w:cstheme="minorBidi"/>
          <w:sz w:val="22"/>
          <w:szCs w:val="22"/>
        </w:rPr>
      </w:pPr>
      <w:r w:rsidRPr="078C476B">
        <w:rPr>
          <w:rFonts w:ascii="Calibri" w:eastAsia="Calibri" w:hAnsi="Calibri" w:cs="Calibri"/>
          <w:sz w:val="22"/>
          <w:szCs w:val="22"/>
        </w:rPr>
        <w:t xml:space="preserve">The Fund successfully managed the investment from a large commercial German Bank in </w:t>
      </w:r>
      <w:r w:rsidRPr="078C476B">
        <w:rPr>
          <w:rFonts w:asciiTheme="minorHAnsi" w:eastAsiaTheme="minorEastAsia" w:hAnsiTheme="minorHAnsi" w:cstheme="minorBidi"/>
          <w:sz w:val="22"/>
          <w:szCs w:val="22"/>
        </w:rPr>
        <w:t>2020, which invested both in Senior Notes and Subordinated Notes, highlighting the Fund’s attractiveness to private sector investors, even during covid-19.</w:t>
      </w:r>
    </w:p>
    <w:p w14:paraId="46CC3496" w14:textId="6947BCB3" w:rsidR="00811B35" w:rsidRPr="00A73B10" w:rsidRDefault="00811B35" w:rsidP="078C476B">
      <w:pPr>
        <w:pStyle w:val="ListParagraph"/>
        <w:numPr>
          <w:ilvl w:val="0"/>
          <w:numId w:val="20"/>
        </w:numPr>
        <w:jc w:val="both"/>
        <w:rPr>
          <w:rFonts w:asciiTheme="minorHAnsi" w:eastAsiaTheme="minorEastAsia" w:hAnsiTheme="minorHAnsi" w:cstheme="minorBidi"/>
          <w:sz w:val="22"/>
          <w:szCs w:val="22"/>
        </w:rPr>
      </w:pPr>
      <w:r w:rsidRPr="078C476B">
        <w:rPr>
          <w:rFonts w:asciiTheme="minorHAnsi" w:eastAsiaTheme="minorEastAsia" w:hAnsiTheme="minorHAnsi" w:cstheme="minorBidi"/>
          <w:sz w:val="22"/>
          <w:szCs w:val="22"/>
        </w:rPr>
        <w:t xml:space="preserve">Private investors have contributed a total of USD 157 million since the inception of the Fund, and at the end of 2020, private sector funding accounted for </w:t>
      </w:r>
      <w:r w:rsidR="00B97BA5">
        <w:rPr>
          <w:rFonts w:asciiTheme="minorHAnsi" w:eastAsiaTheme="minorEastAsia" w:hAnsiTheme="minorHAnsi" w:cstheme="minorBidi"/>
          <w:sz w:val="22"/>
          <w:szCs w:val="22"/>
        </w:rPr>
        <w:t>32</w:t>
      </w:r>
      <w:r w:rsidRPr="078C476B">
        <w:rPr>
          <w:rFonts w:asciiTheme="minorHAnsi" w:eastAsiaTheme="minorEastAsia" w:hAnsiTheme="minorHAnsi" w:cstheme="minorBidi"/>
          <w:sz w:val="22"/>
          <w:szCs w:val="22"/>
        </w:rPr>
        <w:t>% of total funding.</w:t>
      </w:r>
    </w:p>
    <w:p w14:paraId="230A42AC" w14:textId="001F0B27" w:rsidR="00811B35" w:rsidRPr="00A73B10" w:rsidRDefault="00811B35" w:rsidP="078C476B">
      <w:pPr>
        <w:pStyle w:val="ListParagraph"/>
        <w:numPr>
          <w:ilvl w:val="0"/>
          <w:numId w:val="20"/>
        </w:numPr>
        <w:jc w:val="both"/>
        <w:rPr>
          <w:rFonts w:asciiTheme="minorHAnsi" w:eastAsiaTheme="minorEastAsia" w:hAnsiTheme="minorHAnsi" w:cstheme="minorBidi"/>
        </w:rPr>
      </w:pPr>
      <w:r w:rsidRPr="078C476B">
        <w:rPr>
          <w:rFonts w:asciiTheme="minorHAnsi" w:eastAsiaTheme="minorEastAsia" w:hAnsiTheme="minorHAnsi" w:cstheme="minorBidi"/>
          <w:sz w:val="22"/>
          <w:szCs w:val="22"/>
        </w:rPr>
        <w:t xml:space="preserve">Over the course of 2020, USD </w:t>
      </w:r>
      <w:r w:rsidR="00B45D54" w:rsidRPr="078C476B">
        <w:rPr>
          <w:rFonts w:asciiTheme="minorHAnsi" w:eastAsiaTheme="minorEastAsia" w:hAnsiTheme="minorHAnsi" w:cstheme="minorBidi"/>
          <w:sz w:val="22"/>
          <w:szCs w:val="22"/>
        </w:rPr>
        <w:t>1</w:t>
      </w:r>
      <w:r w:rsidR="00B45D54">
        <w:rPr>
          <w:rFonts w:asciiTheme="minorHAnsi" w:eastAsiaTheme="minorEastAsia" w:hAnsiTheme="minorHAnsi" w:cstheme="minorBidi"/>
          <w:sz w:val="22"/>
          <w:szCs w:val="22"/>
        </w:rPr>
        <w:t>38</w:t>
      </w:r>
      <w:r w:rsidR="00B45D54" w:rsidRPr="078C476B">
        <w:rPr>
          <w:rFonts w:asciiTheme="minorHAnsi" w:eastAsiaTheme="minorEastAsia" w:hAnsiTheme="minorHAnsi" w:cstheme="minorBidi"/>
          <w:sz w:val="22"/>
          <w:szCs w:val="22"/>
        </w:rPr>
        <w:t xml:space="preserve"> </w:t>
      </w:r>
      <w:r w:rsidRPr="078C476B">
        <w:rPr>
          <w:rFonts w:asciiTheme="minorHAnsi" w:eastAsiaTheme="minorEastAsia" w:hAnsiTheme="minorHAnsi" w:cstheme="minorBidi"/>
          <w:sz w:val="22"/>
          <w:szCs w:val="22"/>
        </w:rPr>
        <w:t>million in additional funding was secured, translating into a total of USD 494.4 million funding available at year end. The Fund clearly continues to mobilise additional funding, hence leveraging Defra’s first-loss capital.</w:t>
      </w:r>
    </w:p>
    <w:p w14:paraId="5BAC94B4" w14:textId="77777777" w:rsidR="00811B35" w:rsidRPr="00A73B10" w:rsidRDefault="00811B35" w:rsidP="078C476B">
      <w:pPr>
        <w:pStyle w:val="ListParagraph"/>
        <w:numPr>
          <w:ilvl w:val="0"/>
          <w:numId w:val="20"/>
        </w:numPr>
        <w:jc w:val="both"/>
        <w:rPr>
          <w:rFonts w:asciiTheme="minorHAnsi" w:eastAsiaTheme="minorEastAsia" w:hAnsiTheme="minorHAnsi" w:cstheme="minorBidi"/>
          <w:sz w:val="22"/>
          <w:szCs w:val="22"/>
        </w:rPr>
      </w:pPr>
      <w:r w:rsidRPr="078C476B">
        <w:rPr>
          <w:rFonts w:asciiTheme="minorHAnsi" w:eastAsiaTheme="minorEastAsia" w:hAnsiTheme="minorHAnsi" w:cstheme="minorBidi"/>
          <w:sz w:val="22"/>
          <w:szCs w:val="22"/>
        </w:rPr>
        <w:t>The Fund deepened its relationship with its existing investor Calvert Impact Capital (CIC) in 2020 by off-loading USD 42m of existing portfolio via a funded sub-participation by CIC in 5 outstanding loans at 50% each i.e. EBF continues to hold 50% of these loans (and the associated risks), while the rest transferred to Calvert. This is the first time a private investor is taking direct risk exposure to EBF LAC’s portfolio without first loss buffer.</w:t>
      </w:r>
      <w:r>
        <w:t xml:space="preserve"> </w:t>
      </w:r>
      <w:r w:rsidRPr="078C476B">
        <w:rPr>
          <w:rFonts w:asciiTheme="minorHAnsi" w:eastAsiaTheme="minorEastAsia" w:hAnsiTheme="minorHAnsi" w:cstheme="minorBidi"/>
          <w:sz w:val="22"/>
          <w:szCs w:val="22"/>
        </w:rPr>
        <w:t xml:space="preserve">The use of loan participations is an innovative alternative to attracting new investors i.e., in addition to investing into the fund’s diverse portfolio, investors can acquire direct exposures from that portfolio. This transaction shows how to combine impact investing with mainstream financial </w:t>
      </w:r>
      <w:r w:rsidRPr="078C476B">
        <w:rPr>
          <w:rFonts w:asciiTheme="minorHAnsi" w:eastAsiaTheme="minorEastAsia" w:hAnsiTheme="minorHAnsi" w:cstheme="minorBidi"/>
          <w:sz w:val="22"/>
          <w:szCs w:val="22"/>
        </w:rPr>
        <w:lastRenderedPageBreak/>
        <w:t>instruments like loan participations. It places trust in the EBF’s underwriting standards and could create a signalling effect for other investors in the market. This is a clear example of how a private investor like CIC can leverage its partnership with EBF and contributing to mainstreaming conservation finance.</w:t>
      </w:r>
    </w:p>
    <w:p w14:paraId="06D19D87" w14:textId="77777777" w:rsidR="00811B35" w:rsidRDefault="00811B35" w:rsidP="078C476B">
      <w:pPr>
        <w:pStyle w:val="ListParagraph"/>
        <w:numPr>
          <w:ilvl w:val="0"/>
          <w:numId w:val="20"/>
        </w:numPr>
        <w:jc w:val="both"/>
        <w:rPr>
          <w:rFonts w:asciiTheme="minorHAnsi" w:eastAsiaTheme="minorEastAsia" w:hAnsiTheme="minorHAnsi" w:cstheme="minorBidi"/>
          <w:sz w:val="22"/>
          <w:szCs w:val="22"/>
        </w:rPr>
      </w:pPr>
      <w:r w:rsidRPr="078C476B">
        <w:rPr>
          <w:rFonts w:asciiTheme="minorHAnsi" w:eastAsiaTheme="minorEastAsia" w:hAnsiTheme="minorHAnsi" w:cstheme="minorBidi"/>
          <w:sz w:val="22"/>
          <w:szCs w:val="22"/>
        </w:rPr>
        <w:t>The Fund made its first ever corporate transaction, providing a loan of USD 15 million to Industrial Pesquera Santa Priscila, the largest shrimp producer in Ecuador, which will be used to implement measures that further reduce the company’s environmental footprint and resource use, as well as support sustainable production.</w:t>
      </w:r>
      <w:r w:rsidRPr="078C476B">
        <w:rPr>
          <w:rFonts w:asciiTheme="minorHAnsi" w:eastAsiaTheme="minorEastAsia" w:hAnsiTheme="minorHAnsi" w:cstheme="minorBidi"/>
          <w:color w:val="FF0000"/>
          <w:sz w:val="22"/>
          <w:szCs w:val="22"/>
        </w:rPr>
        <w:t xml:space="preserve"> </w:t>
      </w:r>
    </w:p>
    <w:p w14:paraId="3A95BA81" w14:textId="4CC2BCE6" w:rsidR="006F3AE7" w:rsidRPr="006D6F0F" w:rsidRDefault="00921A65" w:rsidP="00DD138F">
      <w:pPr>
        <w:jc w:val="both"/>
        <w:rPr>
          <w:rFonts w:cs="Arial"/>
          <w:sz w:val="22"/>
          <w:szCs w:val="22"/>
        </w:rPr>
      </w:pPr>
      <w:r w:rsidRPr="72ECE0DE">
        <w:rPr>
          <w:rFonts w:cs="Arial"/>
          <w:b/>
          <w:bCs/>
          <w:sz w:val="22"/>
          <w:szCs w:val="22"/>
        </w:rPr>
        <w:t>Value for Money (</w:t>
      </w:r>
      <w:proofErr w:type="spellStart"/>
      <w:r w:rsidR="5D658E52" w:rsidRPr="72ECE0DE">
        <w:fldChar w:fldCharType="begin"/>
      </w:r>
      <w:r w:rsidR="5D658E52">
        <w:instrText xml:space="preserve"> HYPERLINK "https://dfid.sharepoint.com/sites/inSight-rules-smart/Documents/Smart%20Guide_approach%20to%20value%20for%20money.docx" \h </w:instrText>
      </w:r>
      <w:r w:rsidR="5D658E52" w:rsidRPr="72ECE0DE">
        <w:fldChar w:fldCharType="separate"/>
      </w:r>
      <w:r w:rsidR="5D658E52" w:rsidRPr="00DD138F">
        <w:rPr>
          <w:rStyle w:val="Hyperlink"/>
          <w:rFonts w:cs="Arial"/>
          <w:b/>
          <w:bCs/>
          <w:color w:val="auto"/>
          <w:sz w:val="22"/>
          <w:szCs w:val="22"/>
          <w:u w:val="none"/>
        </w:rPr>
        <w:t>VfM</w:t>
      </w:r>
      <w:proofErr w:type="spellEnd"/>
      <w:r w:rsidR="5D658E52" w:rsidRPr="72ECE0DE">
        <w:rPr>
          <w:rStyle w:val="Hyperlink"/>
          <w:rFonts w:cs="Arial"/>
          <w:b/>
          <w:bCs/>
          <w:color w:val="auto"/>
          <w:sz w:val="22"/>
          <w:szCs w:val="22"/>
          <w:u w:val="none"/>
        </w:rPr>
        <w:fldChar w:fldCharType="end"/>
      </w:r>
      <w:r w:rsidRPr="00DD138F">
        <w:rPr>
          <w:rStyle w:val="Hyperlink"/>
          <w:rFonts w:cs="Arial"/>
          <w:b/>
          <w:bCs/>
          <w:color w:val="auto"/>
          <w:sz w:val="22"/>
          <w:szCs w:val="22"/>
          <w:u w:val="none"/>
        </w:rPr>
        <w:t>) Assessment</w:t>
      </w:r>
      <w:r w:rsidR="5D658E52" w:rsidRPr="72ECE0DE">
        <w:rPr>
          <w:rFonts w:cs="Arial"/>
          <w:b/>
          <w:bCs/>
          <w:sz w:val="22"/>
          <w:szCs w:val="22"/>
        </w:rPr>
        <w:t xml:space="preserve"> </w:t>
      </w:r>
    </w:p>
    <w:p w14:paraId="1D20C055" w14:textId="77777777" w:rsidR="006F3AE7" w:rsidRPr="00D95BA1" w:rsidRDefault="006F3AE7" w:rsidP="0F40B7D6">
      <w:pPr>
        <w:rPr>
          <w:rFonts w:cs="Arial"/>
          <w:color w:val="FF0000"/>
          <w:sz w:val="20"/>
          <w:szCs w:val="20"/>
          <w:lang w:val="en" w:eastAsia="en-GB"/>
        </w:rPr>
      </w:pPr>
    </w:p>
    <w:p w14:paraId="30E137C1" w14:textId="0AB08CA6" w:rsidR="4AEA3B02" w:rsidRDefault="6CA26533" w:rsidP="2BE51E91">
      <w:pPr>
        <w:rPr>
          <w:rFonts w:asciiTheme="minorHAnsi" w:eastAsiaTheme="minorEastAsia" w:hAnsiTheme="minorHAnsi" w:cstheme="minorBidi"/>
          <w:b/>
          <w:bCs/>
          <w:sz w:val="22"/>
          <w:szCs w:val="22"/>
          <w:u w:val="single"/>
        </w:rPr>
      </w:pPr>
      <w:r w:rsidRPr="006D6F0F">
        <w:rPr>
          <w:rFonts w:asciiTheme="minorHAnsi" w:eastAsiaTheme="minorEastAsia" w:hAnsiTheme="minorHAnsi" w:cstheme="minorBidi"/>
          <w:b/>
          <w:bCs/>
          <w:sz w:val="22"/>
          <w:szCs w:val="22"/>
          <w:u w:val="single"/>
        </w:rPr>
        <w:t>Economy:</w:t>
      </w:r>
    </w:p>
    <w:p w14:paraId="6F6C27B2" w14:textId="1DA8FB37" w:rsidR="0116275A" w:rsidRDefault="0116275A" w:rsidP="0116275A">
      <w:pPr>
        <w:jc w:val="both"/>
        <w:rPr>
          <w:b/>
          <w:bCs/>
          <w:u w:val="single"/>
        </w:rPr>
      </w:pPr>
    </w:p>
    <w:p w14:paraId="4ED9B93F" w14:textId="29BB8BFA" w:rsidR="3D6713E9" w:rsidRDefault="52C34C9C" w:rsidP="078C476B">
      <w:pPr>
        <w:jc w:val="both"/>
        <w:rPr>
          <w:rFonts w:asciiTheme="minorHAnsi" w:eastAsiaTheme="minorEastAsia" w:hAnsiTheme="minorHAnsi" w:cstheme="minorBidi"/>
          <w:sz w:val="22"/>
          <w:szCs w:val="22"/>
          <w:u w:val="single"/>
        </w:rPr>
      </w:pPr>
      <w:r w:rsidRPr="078C476B">
        <w:rPr>
          <w:rFonts w:asciiTheme="minorHAnsi" w:eastAsiaTheme="minorEastAsia" w:hAnsiTheme="minorHAnsi" w:cstheme="minorBidi"/>
          <w:sz w:val="22"/>
          <w:szCs w:val="22"/>
        </w:rPr>
        <w:t xml:space="preserve">As of 2020 Q4, the fund’s total expense ratio </w:t>
      </w:r>
      <w:r w:rsidR="003F2380">
        <w:rPr>
          <w:rFonts w:asciiTheme="minorHAnsi" w:eastAsiaTheme="minorEastAsia" w:hAnsiTheme="minorHAnsi" w:cstheme="minorBidi"/>
          <w:sz w:val="22"/>
          <w:szCs w:val="22"/>
        </w:rPr>
        <w:t>continued to decrease as percentage of average portfolio</w:t>
      </w:r>
      <w:r w:rsidR="3FD99E24" w:rsidRPr="078C476B">
        <w:rPr>
          <w:rFonts w:asciiTheme="minorHAnsi" w:eastAsiaTheme="minorEastAsia" w:hAnsiTheme="minorHAnsi" w:cstheme="minorBidi"/>
          <w:sz w:val="22"/>
          <w:szCs w:val="22"/>
        </w:rPr>
        <w:t>.</w:t>
      </w:r>
      <w:r w:rsidR="385E7C05" w:rsidRPr="078C476B">
        <w:rPr>
          <w:rFonts w:asciiTheme="minorHAnsi" w:eastAsiaTheme="minorEastAsia" w:hAnsiTheme="minorHAnsi" w:cstheme="minorBidi"/>
          <w:sz w:val="22"/>
          <w:szCs w:val="22"/>
        </w:rPr>
        <w:t xml:space="preserve"> </w:t>
      </w:r>
      <w:r w:rsidR="13334C09" w:rsidRPr="078C476B">
        <w:rPr>
          <w:rFonts w:asciiTheme="minorHAnsi" w:eastAsiaTheme="minorEastAsia" w:hAnsiTheme="minorHAnsi" w:cstheme="minorBidi"/>
          <w:sz w:val="22"/>
          <w:szCs w:val="22"/>
        </w:rPr>
        <w:t>The remaining income</w:t>
      </w:r>
      <w:r w:rsidR="14EDB5A2" w:rsidRPr="078C476B">
        <w:rPr>
          <w:rFonts w:asciiTheme="minorHAnsi" w:eastAsiaTheme="minorEastAsia" w:hAnsiTheme="minorHAnsi" w:cstheme="minorBidi"/>
          <w:sz w:val="22"/>
          <w:szCs w:val="22"/>
        </w:rPr>
        <w:t>,</w:t>
      </w:r>
      <w:r w:rsidR="13334C09" w:rsidRPr="078C476B">
        <w:rPr>
          <w:rFonts w:asciiTheme="minorHAnsi" w:eastAsiaTheme="minorEastAsia" w:hAnsiTheme="minorHAnsi" w:cstheme="minorBidi"/>
          <w:sz w:val="22"/>
          <w:szCs w:val="22"/>
        </w:rPr>
        <w:t xml:space="preserve"> once costs of the fund are covered</w:t>
      </w:r>
      <w:r w:rsidR="48FA1DD9" w:rsidRPr="078C476B">
        <w:rPr>
          <w:rFonts w:asciiTheme="minorHAnsi" w:eastAsiaTheme="minorEastAsia" w:hAnsiTheme="minorHAnsi" w:cstheme="minorBidi"/>
          <w:sz w:val="22"/>
          <w:szCs w:val="22"/>
        </w:rPr>
        <w:t>,</w:t>
      </w:r>
      <w:r w:rsidR="13334C09" w:rsidRPr="078C476B">
        <w:rPr>
          <w:rFonts w:asciiTheme="minorHAnsi" w:eastAsiaTheme="minorEastAsia" w:hAnsiTheme="minorHAnsi" w:cstheme="minorBidi"/>
          <w:sz w:val="22"/>
          <w:szCs w:val="22"/>
        </w:rPr>
        <w:t xml:space="preserve"> will be distributed to the shareholders with the more senior </w:t>
      </w:r>
      <w:r w:rsidR="6827C32D" w:rsidRPr="078C476B">
        <w:rPr>
          <w:rFonts w:asciiTheme="minorHAnsi" w:eastAsiaTheme="minorEastAsia" w:hAnsiTheme="minorHAnsi" w:cstheme="minorBidi"/>
          <w:sz w:val="22"/>
          <w:szCs w:val="22"/>
        </w:rPr>
        <w:t xml:space="preserve">debt and </w:t>
      </w:r>
      <w:r w:rsidR="13334C09" w:rsidRPr="078C476B">
        <w:rPr>
          <w:rFonts w:asciiTheme="minorHAnsi" w:eastAsiaTheme="minorEastAsia" w:hAnsiTheme="minorHAnsi" w:cstheme="minorBidi"/>
          <w:sz w:val="22"/>
          <w:szCs w:val="22"/>
        </w:rPr>
        <w:t>sharehold</w:t>
      </w:r>
      <w:r w:rsidR="74BF914A" w:rsidRPr="078C476B">
        <w:rPr>
          <w:rFonts w:asciiTheme="minorHAnsi" w:eastAsiaTheme="minorEastAsia" w:hAnsiTheme="minorHAnsi" w:cstheme="minorBidi"/>
          <w:sz w:val="22"/>
          <w:szCs w:val="22"/>
        </w:rPr>
        <w:t>ings</w:t>
      </w:r>
      <w:r w:rsidR="13334C09" w:rsidRPr="078C476B">
        <w:rPr>
          <w:rFonts w:asciiTheme="minorHAnsi" w:eastAsiaTheme="minorEastAsia" w:hAnsiTheme="minorHAnsi" w:cstheme="minorBidi"/>
          <w:sz w:val="22"/>
          <w:szCs w:val="22"/>
        </w:rPr>
        <w:t xml:space="preserve"> </w:t>
      </w:r>
      <w:r w:rsidR="4ABD5DD5" w:rsidRPr="078C476B">
        <w:rPr>
          <w:rFonts w:asciiTheme="minorHAnsi" w:eastAsiaTheme="minorEastAsia" w:hAnsiTheme="minorHAnsi" w:cstheme="minorBidi"/>
          <w:sz w:val="22"/>
          <w:szCs w:val="22"/>
        </w:rPr>
        <w:t xml:space="preserve">paid first </w:t>
      </w:r>
      <w:r w:rsidR="512D2DCB" w:rsidRPr="078C476B">
        <w:rPr>
          <w:rFonts w:asciiTheme="minorHAnsi" w:eastAsiaTheme="minorEastAsia" w:hAnsiTheme="minorHAnsi" w:cstheme="minorBidi"/>
          <w:sz w:val="22"/>
          <w:szCs w:val="22"/>
        </w:rPr>
        <w:t xml:space="preserve">before complementary shares are paid to junior shareholders </w:t>
      </w:r>
      <w:r w:rsidR="4ABD5DD5" w:rsidRPr="078C476B">
        <w:rPr>
          <w:rFonts w:asciiTheme="minorHAnsi" w:eastAsiaTheme="minorEastAsia" w:hAnsiTheme="minorHAnsi" w:cstheme="minorBidi"/>
          <w:sz w:val="22"/>
          <w:szCs w:val="22"/>
        </w:rPr>
        <w:t xml:space="preserve">due to the income waterfall. </w:t>
      </w:r>
      <w:r w:rsidR="0DAB59F9" w:rsidRPr="078C476B">
        <w:rPr>
          <w:rFonts w:asciiTheme="minorHAnsi" w:eastAsiaTheme="minorEastAsia" w:hAnsiTheme="minorHAnsi" w:cstheme="minorBidi"/>
          <w:sz w:val="22"/>
          <w:szCs w:val="22"/>
        </w:rPr>
        <w:t>Dividend</w:t>
      </w:r>
      <w:r w:rsidR="6B1D8DF5" w:rsidRPr="078C476B">
        <w:rPr>
          <w:rFonts w:asciiTheme="minorHAnsi" w:eastAsiaTheme="minorEastAsia" w:hAnsiTheme="minorHAnsi" w:cstheme="minorBidi"/>
          <w:sz w:val="22"/>
          <w:szCs w:val="22"/>
        </w:rPr>
        <w:t xml:space="preserve"> allocation total</w:t>
      </w:r>
      <w:r w:rsidR="5E5BB67B" w:rsidRPr="078C476B">
        <w:rPr>
          <w:rFonts w:asciiTheme="minorHAnsi" w:eastAsiaTheme="minorEastAsia" w:hAnsiTheme="minorHAnsi" w:cstheme="minorBidi"/>
          <w:sz w:val="22"/>
          <w:szCs w:val="22"/>
        </w:rPr>
        <w:t>s</w:t>
      </w:r>
      <w:r w:rsidR="6B1D8DF5" w:rsidRPr="078C476B">
        <w:rPr>
          <w:rFonts w:asciiTheme="minorHAnsi" w:eastAsiaTheme="minorEastAsia" w:hAnsiTheme="minorHAnsi" w:cstheme="minorBidi"/>
          <w:sz w:val="22"/>
          <w:szCs w:val="22"/>
        </w:rPr>
        <w:t xml:space="preserve"> to $686,890</w:t>
      </w:r>
      <w:r w:rsidR="2AFA22C3" w:rsidRPr="078C476B">
        <w:rPr>
          <w:rFonts w:asciiTheme="minorHAnsi" w:eastAsiaTheme="minorEastAsia" w:hAnsiTheme="minorHAnsi" w:cstheme="minorBidi"/>
          <w:sz w:val="22"/>
          <w:szCs w:val="22"/>
        </w:rPr>
        <w:t>.</w:t>
      </w:r>
      <w:r w:rsidR="00617EA8" w:rsidRPr="078C476B">
        <w:rPr>
          <w:rFonts w:asciiTheme="minorHAnsi" w:eastAsiaTheme="minorEastAsia" w:hAnsiTheme="minorHAnsi" w:cstheme="minorBidi"/>
          <w:sz w:val="22"/>
          <w:szCs w:val="22"/>
        </w:rPr>
        <w:t xml:space="preserve"> Any dividends received by Defra are re-invested into the Fund.</w:t>
      </w:r>
    </w:p>
    <w:p w14:paraId="7AB45503" w14:textId="26B94863" w:rsidR="0116275A" w:rsidRDefault="0116275A" w:rsidP="0116275A">
      <w:pPr>
        <w:jc w:val="both"/>
        <w:rPr>
          <w:b/>
          <w:bCs/>
          <w:u w:val="single"/>
        </w:rPr>
      </w:pPr>
    </w:p>
    <w:p w14:paraId="6A91E71A" w14:textId="5560BFA7" w:rsidR="5728C8DF" w:rsidRDefault="7D1DC7F8" w:rsidP="6BD88DCD">
      <w:pPr>
        <w:jc w:val="both"/>
        <w:rPr>
          <w:rFonts w:asciiTheme="minorHAnsi" w:eastAsiaTheme="minorEastAsia" w:hAnsiTheme="minorHAnsi" w:cstheme="minorBidi"/>
          <w:b/>
          <w:bCs/>
          <w:sz w:val="22"/>
          <w:szCs w:val="22"/>
          <w:u w:val="single"/>
        </w:rPr>
      </w:pPr>
      <w:r w:rsidRPr="2BE51E91">
        <w:rPr>
          <w:rFonts w:asciiTheme="minorHAnsi" w:eastAsiaTheme="minorEastAsia" w:hAnsiTheme="minorHAnsi" w:cstheme="minorBidi"/>
          <w:b/>
          <w:bCs/>
          <w:sz w:val="22"/>
          <w:szCs w:val="22"/>
          <w:u w:val="single"/>
        </w:rPr>
        <w:t>Efficiency:</w:t>
      </w:r>
    </w:p>
    <w:p w14:paraId="215A2C9A" w14:textId="0F6AD4C5" w:rsidR="6BD88DCD" w:rsidRDefault="6BD88DCD" w:rsidP="7FD91A77">
      <w:pPr>
        <w:jc w:val="both"/>
        <w:rPr>
          <w:rFonts w:asciiTheme="minorHAnsi" w:eastAsiaTheme="minorEastAsia" w:hAnsiTheme="minorHAnsi" w:cstheme="minorBidi"/>
          <w:sz w:val="22"/>
          <w:szCs w:val="22"/>
        </w:rPr>
      </w:pPr>
    </w:p>
    <w:p w14:paraId="537A335E" w14:textId="0B24315C" w:rsidR="7FD91A77" w:rsidRPr="006D6F0F" w:rsidRDefault="078C476B" w:rsidP="078C476B">
      <w:pPr>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color w:val="000000" w:themeColor="text1"/>
          <w:sz w:val="22"/>
          <w:szCs w:val="22"/>
        </w:rPr>
        <w:t>With a cumulative current fund level of 1,000,000 tonnes of carbon sequestered, EBF exceeded its target of 560,000 tonnes by 78.6% (as specified in the Business Case) in 2020. In 2020, EBF sustainably managed 430,000 Ha of land, compared to a target of 65,000 Ha set forth in the business case, surpassing the target by 561.5%. Compared to the 261,000 Ha recorded in 2019, EBF's Hectares of land under sustainable management increased by 64.8% in 2020.</w:t>
      </w:r>
      <w:r w:rsidR="0074147B">
        <w:rPr>
          <w:rFonts w:asciiTheme="minorHAnsi" w:eastAsiaTheme="minorEastAsia" w:hAnsiTheme="minorHAnsi" w:cstheme="minorBidi"/>
          <w:color w:val="000000" w:themeColor="text1"/>
          <w:sz w:val="22"/>
          <w:szCs w:val="22"/>
        </w:rPr>
        <w:t xml:space="preserve"> However, the fund has not met its water saving target for the last two years. In 2019 the total was 4.2m against a target of 6m (m3) and in 2020 the total was 4.5m against a target of 7.5m (m3).</w:t>
      </w:r>
    </w:p>
    <w:p w14:paraId="5DD1C041" w14:textId="3E3FFA55" w:rsidR="7FD91A77" w:rsidRPr="006D6F0F" w:rsidRDefault="7FD91A77" w:rsidP="078C476B">
      <w:pPr>
        <w:jc w:val="both"/>
        <w:rPr>
          <w:color w:val="000000" w:themeColor="text1"/>
        </w:rPr>
      </w:pPr>
    </w:p>
    <w:p w14:paraId="32CB82AA" w14:textId="6EF4B3DF" w:rsidR="7FD91A77" w:rsidRPr="00855688" w:rsidRDefault="078C476B">
      <w:pPr>
        <w:jc w:val="both"/>
        <w:rPr>
          <w:rFonts w:asciiTheme="minorHAnsi" w:eastAsiaTheme="minorEastAsia" w:hAnsiTheme="minorHAnsi" w:cstheme="minorBidi"/>
          <w:color w:val="000000" w:themeColor="text1"/>
          <w:sz w:val="22"/>
          <w:szCs w:val="22"/>
        </w:rPr>
      </w:pPr>
      <w:r w:rsidRPr="72ECE0DE">
        <w:rPr>
          <w:rFonts w:asciiTheme="minorHAnsi" w:eastAsiaTheme="minorEastAsia" w:hAnsiTheme="minorHAnsi" w:cstheme="minorBidi"/>
          <w:color w:val="000000" w:themeColor="text1"/>
          <w:sz w:val="22"/>
          <w:szCs w:val="22"/>
        </w:rPr>
        <w:t>The Fund is on track to meet its 1:2 leverage potential target in the private sector.</w:t>
      </w:r>
    </w:p>
    <w:p w14:paraId="14A6A967" w14:textId="1515153D" w:rsidR="7FD91A77" w:rsidRPr="006D6F0F" w:rsidRDefault="7FD91A77" w:rsidP="078C476B">
      <w:pPr>
        <w:jc w:val="both"/>
      </w:pPr>
    </w:p>
    <w:p w14:paraId="44BBB481" w14:textId="69B9B8CF" w:rsidR="7FD91A77" w:rsidRPr="006D6F0F" w:rsidRDefault="078C476B" w:rsidP="078C476B">
      <w:pPr>
        <w:jc w:val="both"/>
        <w:rPr>
          <w:rFonts w:asciiTheme="minorHAnsi" w:eastAsiaTheme="minorEastAsia" w:hAnsiTheme="minorHAnsi" w:cstheme="minorBidi"/>
          <w:color w:val="000000" w:themeColor="text1"/>
          <w:sz w:val="22"/>
          <w:szCs w:val="22"/>
        </w:rPr>
      </w:pPr>
      <w:r w:rsidRPr="078C476B">
        <w:rPr>
          <w:rFonts w:asciiTheme="minorHAnsi" w:eastAsiaTheme="minorEastAsia" w:hAnsiTheme="minorHAnsi" w:cstheme="minorBidi"/>
          <w:color w:val="000000" w:themeColor="text1"/>
          <w:sz w:val="22"/>
          <w:szCs w:val="22"/>
        </w:rPr>
        <w:t>EBF continued to utilise drones and satellite imaging in 2020 to make more efficient and informed financial decisions that took environmental risk into account. Along with the EBF LAC fund, the development facility has steadily improved and expanded over the course of 2020, with a greater focus on technical assistance projects that use more efficient methods to promote sustainable agricultural practices.</w:t>
      </w:r>
    </w:p>
    <w:p w14:paraId="7DC84E90" w14:textId="546F01E1" w:rsidR="7FD91A77" w:rsidRPr="006D6F0F" w:rsidRDefault="7FD91A77" w:rsidP="078C476B">
      <w:pPr>
        <w:jc w:val="both"/>
        <w:rPr>
          <w:b/>
          <w:bCs/>
        </w:rPr>
      </w:pPr>
    </w:p>
    <w:p w14:paraId="19D4BF43" w14:textId="0C921F26" w:rsidR="0B0EAD5A" w:rsidRDefault="3EAA5FD4" w:rsidP="6BD88DCD">
      <w:pPr>
        <w:jc w:val="both"/>
        <w:rPr>
          <w:rFonts w:asciiTheme="minorHAnsi" w:eastAsiaTheme="minorEastAsia" w:hAnsiTheme="minorHAnsi" w:cstheme="minorBidi"/>
          <w:b/>
          <w:bCs/>
          <w:sz w:val="22"/>
          <w:szCs w:val="22"/>
          <w:u w:val="single"/>
        </w:rPr>
      </w:pPr>
      <w:r w:rsidRPr="2BE51E91">
        <w:rPr>
          <w:rFonts w:asciiTheme="minorHAnsi" w:eastAsiaTheme="minorEastAsia" w:hAnsiTheme="minorHAnsi" w:cstheme="minorBidi"/>
          <w:b/>
          <w:bCs/>
          <w:sz w:val="22"/>
          <w:szCs w:val="22"/>
          <w:u w:val="single"/>
        </w:rPr>
        <w:t xml:space="preserve">Effectiveness: </w:t>
      </w:r>
    </w:p>
    <w:p w14:paraId="47E8CFD0" w14:textId="794713C5" w:rsidR="6BD88DCD" w:rsidRDefault="6BD88DCD" w:rsidP="6BD88DCD">
      <w:pPr>
        <w:jc w:val="both"/>
        <w:rPr>
          <w:rFonts w:asciiTheme="minorHAnsi" w:eastAsiaTheme="minorEastAsia" w:hAnsiTheme="minorHAnsi" w:cstheme="minorBidi"/>
          <w:b/>
          <w:bCs/>
          <w:sz w:val="22"/>
          <w:szCs w:val="22"/>
          <w:u w:val="single"/>
        </w:rPr>
      </w:pPr>
    </w:p>
    <w:p w14:paraId="7C10CD46" w14:textId="3CA554B1" w:rsidR="75803D79" w:rsidRDefault="70F763A5" w:rsidP="078C476B">
      <w:pPr>
        <w:jc w:val="both"/>
        <w:rPr>
          <w:rFonts w:asciiTheme="minorHAnsi" w:eastAsiaTheme="minorEastAsia" w:hAnsiTheme="minorHAnsi" w:cstheme="minorBidi"/>
          <w:sz w:val="22"/>
          <w:szCs w:val="22"/>
        </w:rPr>
      </w:pPr>
      <w:r w:rsidRPr="078C476B">
        <w:rPr>
          <w:rFonts w:asciiTheme="minorHAnsi" w:eastAsiaTheme="minorEastAsia" w:hAnsiTheme="minorHAnsi" w:cstheme="minorBidi"/>
          <w:sz w:val="22"/>
          <w:szCs w:val="22"/>
        </w:rPr>
        <w:t xml:space="preserve">As of 2020’s </w:t>
      </w:r>
      <w:proofErr w:type="spellStart"/>
      <w:r w:rsidRPr="078C476B">
        <w:rPr>
          <w:rFonts w:asciiTheme="minorHAnsi" w:eastAsiaTheme="minorEastAsia" w:hAnsiTheme="minorHAnsi" w:cstheme="minorBidi"/>
          <w:sz w:val="22"/>
          <w:szCs w:val="22"/>
        </w:rPr>
        <w:t>logframe</w:t>
      </w:r>
      <w:proofErr w:type="spellEnd"/>
      <w:r w:rsidRPr="078C476B">
        <w:rPr>
          <w:rFonts w:asciiTheme="minorHAnsi" w:eastAsiaTheme="minorEastAsia" w:hAnsiTheme="minorHAnsi" w:cstheme="minorBidi"/>
          <w:sz w:val="22"/>
          <w:szCs w:val="22"/>
        </w:rPr>
        <w:t xml:space="preserve"> results, EBF has exceeded all </w:t>
      </w:r>
      <w:r w:rsidR="5E3F8DEF" w:rsidRPr="078C476B">
        <w:rPr>
          <w:rFonts w:asciiTheme="minorHAnsi" w:eastAsiaTheme="minorEastAsia" w:hAnsiTheme="minorHAnsi" w:cstheme="minorBidi"/>
          <w:sz w:val="22"/>
          <w:szCs w:val="22"/>
        </w:rPr>
        <w:t xml:space="preserve">expected </w:t>
      </w:r>
      <w:r w:rsidR="00F5302A">
        <w:rPr>
          <w:rFonts w:asciiTheme="minorHAnsi" w:eastAsiaTheme="minorEastAsia" w:hAnsiTheme="minorHAnsi" w:cstheme="minorBidi"/>
          <w:sz w:val="22"/>
          <w:szCs w:val="22"/>
        </w:rPr>
        <w:t>ICF</w:t>
      </w:r>
      <w:r w:rsidR="6E042C36" w:rsidRPr="078C476B">
        <w:rPr>
          <w:rFonts w:asciiTheme="minorHAnsi" w:eastAsiaTheme="minorEastAsia" w:hAnsiTheme="minorHAnsi" w:cstheme="minorBidi"/>
          <w:sz w:val="22"/>
          <w:szCs w:val="22"/>
        </w:rPr>
        <w:t xml:space="preserve"> </w:t>
      </w:r>
      <w:r w:rsidR="5E3F8DEF" w:rsidRPr="078C476B">
        <w:rPr>
          <w:rFonts w:asciiTheme="minorHAnsi" w:eastAsiaTheme="minorEastAsia" w:hAnsiTheme="minorHAnsi" w:cstheme="minorBidi"/>
          <w:sz w:val="22"/>
          <w:szCs w:val="22"/>
        </w:rPr>
        <w:t xml:space="preserve">KPI targets, and the majority of </w:t>
      </w:r>
      <w:r w:rsidR="29F769EC" w:rsidRPr="078C476B">
        <w:rPr>
          <w:rFonts w:asciiTheme="minorHAnsi" w:eastAsiaTheme="minorEastAsia" w:hAnsiTheme="minorHAnsi" w:cstheme="minorBidi"/>
          <w:sz w:val="22"/>
          <w:szCs w:val="22"/>
        </w:rPr>
        <w:t>other indicator targets demonstrating effective progress towards the programme’s expected end of project goals.</w:t>
      </w:r>
      <w:r w:rsidR="758669E1" w:rsidRPr="078C476B">
        <w:rPr>
          <w:rFonts w:asciiTheme="minorHAnsi" w:eastAsiaTheme="minorEastAsia" w:hAnsiTheme="minorHAnsi" w:cstheme="minorBidi"/>
          <w:sz w:val="22"/>
          <w:szCs w:val="22"/>
        </w:rPr>
        <w:t xml:space="preserve"> 430,000 Ha of sustainably managed land has been maintained by EBF to date</w:t>
      </w:r>
      <w:r w:rsidR="00324855" w:rsidRPr="078C476B">
        <w:rPr>
          <w:rFonts w:asciiTheme="minorHAnsi" w:eastAsiaTheme="minorEastAsia" w:hAnsiTheme="minorHAnsi" w:cstheme="minorBidi"/>
          <w:sz w:val="22"/>
          <w:szCs w:val="22"/>
        </w:rPr>
        <w:t>, which</w:t>
      </w:r>
      <w:r w:rsidR="758669E1" w:rsidRPr="078C476B">
        <w:rPr>
          <w:rFonts w:asciiTheme="minorHAnsi" w:eastAsiaTheme="minorEastAsia" w:hAnsiTheme="minorHAnsi" w:cstheme="minorBidi"/>
          <w:sz w:val="22"/>
          <w:szCs w:val="22"/>
        </w:rPr>
        <w:t xml:space="preserve"> far exceeded </w:t>
      </w:r>
      <w:r w:rsidR="005B18D9">
        <w:rPr>
          <w:rFonts w:asciiTheme="minorHAnsi" w:eastAsiaTheme="minorEastAsia" w:hAnsiTheme="minorHAnsi" w:cstheme="minorBidi"/>
          <w:sz w:val="22"/>
          <w:szCs w:val="22"/>
        </w:rPr>
        <w:t>Defra’s</w:t>
      </w:r>
      <w:r w:rsidR="005B18D9" w:rsidRPr="078C476B">
        <w:rPr>
          <w:rFonts w:asciiTheme="minorHAnsi" w:eastAsiaTheme="minorEastAsia" w:hAnsiTheme="minorHAnsi" w:cstheme="minorBidi"/>
          <w:sz w:val="22"/>
          <w:szCs w:val="22"/>
        </w:rPr>
        <w:t xml:space="preserve"> </w:t>
      </w:r>
      <w:r w:rsidR="758669E1" w:rsidRPr="078C476B">
        <w:rPr>
          <w:rFonts w:asciiTheme="minorHAnsi" w:eastAsiaTheme="minorEastAsia" w:hAnsiTheme="minorHAnsi" w:cstheme="minorBidi"/>
          <w:sz w:val="22"/>
          <w:szCs w:val="22"/>
        </w:rPr>
        <w:t>2020 target of 250,000 Ha.</w:t>
      </w:r>
      <w:r w:rsidR="758669E1" w:rsidRPr="078C476B">
        <w:rPr>
          <w:rFonts w:asciiTheme="minorHAnsi" w:eastAsiaTheme="minorEastAsia" w:hAnsiTheme="minorHAnsi" w:cstheme="minorBidi"/>
          <w:sz w:val="22"/>
          <w:szCs w:val="22"/>
          <w:u w:val="single"/>
        </w:rPr>
        <w:t xml:space="preserve"> </w:t>
      </w:r>
      <w:r w:rsidR="13F32D5C" w:rsidRPr="078C476B">
        <w:rPr>
          <w:rFonts w:asciiTheme="minorHAnsi" w:eastAsiaTheme="minorEastAsia" w:hAnsiTheme="minorHAnsi" w:cstheme="minorBidi"/>
          <w:sz w:val="22"/>
          <w:szCs w:val="22"/>
        </w:rPr>
        <w:t>As of Q4 2020, the amount of new investment totals to $152.5 USD</w:t>
      </w:r>
      <w:r w:rsidR="1C78B870" w:rsidRPr="078C476B">
        <w:rPr>
          <w:rFonts w:asciiTheme="minorHAnsi" w:eastAsiaTheme="minorEastAsia" w:hAnsiTheme="minorHAnsi" w:cstheme="minorBidi"/>
          <w:sz w:val="22"/>
          <w:szCs w:val="22"/>
        </w:rPr>
        <w:t xml:space="preserve"> with the greatest number of new investments being approved in 2020 at 153. </w:t>
      </w:r>
      <w:r w:rsidR="69B51C25" w:rsidRPr="078C476B">
        <w:rPr>
          <w:rFonts w:asciiTheme="minorHAnsi" w:eastAsiaTheme="minorEastAsia" w:hAnsiTheme="minorHAnsi" w:cstheme="minorBidi"/>
          <w:sz w:val="22"/>
          <w:szCs w:val="22"/>
        </w:rPr>
        <w:t>From this we can see that the project is demonstrating very good effectiveness at achieving the intended impact from outputs.</w:t>
      </w:r>
    </w:p>
    <w:p w14:paraId="44DC3105" w14:textId="4E5167DB" w:rsidR="00DF0F8B" w:rsidRDefault="00DF0F8B" w:rsidP="078C476B">
      <w:pPr>
        <w:jc w:val="both"/>
        <w:rPr>
          <w:rFonts w:asciiTheme="minorHAnsi" w:eastAsiaTheme="minorEastAsia" w:hAnsiTheme="minorHAnsi" w:cstheme="minorBidi"/>
          <w:sz w:val="22"/>
          <w:szCs w:val="22"/>
        </w:rPr>
      </w:pPr>
    </w:p>
    <w:p w14:paraId="240A0AA3" w14:textId="5D410352" w:rsidR="00DF0F8B" w:rsidRPr="00DF0F8B" w:rsidRDefault="00DF0F8B" w:rsidP="078C476B">
      <w:pPr>
        <w:jc w:val="both"/>
        <w:rPr>
          <w:rFonts w:asciiTheme="minorHAnsi" w:eastAsiaTheme="minorEastAsia" w:hAnsiTheme="minorHAnsi" w:cstheme="minorBidi"/>
          <w:sz w:val="22"/>
          <w:szCs w:val="22"/>
        </w:rPr>
      </w:pPr>
      <w:r w:rsidRPr="00DF0F8B">
        <w:rPr>
          <w:rFonts w:asciiTheme="minorHAnsi" w:eastAsiaTheme="minorEastAsia" w:hAnsiTheme="minorHAnsi" w:cstheme="minorBidi"/>
          <w:sz w:val="22"/>
          <w:szCs w:val="22"/>
        </w:rPr>
        <w:t>There is further work necessary in order to assesses the overall effectiveness of the fund in driving positive impacts for biodiversity. Targeted work and an external evaluation of the fund would help to address this.</w:t>
      </w:r>
      <w:r w:rsidR="00921435">
        <w:rPr>
          <w:rFonts w:asciiTheme="minorHAnsi" w:eastAsiaTheme="minorEastAsia" w:hAnsiTheme="minorHAnsi" w:cstheme="minorBidi"/>
          <w:sz w:val="22"/>
          <w:szCs w:val="22"/>
        </w:rPr>
        <w:t xml:space="preserve"> </w:t>
      </w:r>
    </w:p>
    <w:p w14:paraId="3BF106E8" w14:textId="206E066C" w:rsidR="6BD88DCD" w:rsidRDefault="6BD88DCD" w:rsidP="6BD88DCD">
      <w:pPr>
        <w:jc w:val="both"/>
        <w:rPr>
          <w:rFonts w:asciiTheme="minorHAnsi" w:eastAsiaTheme="minorEastAsia" w:hAnsiTheme="minorHAnsi" w:cstheme="minorBidi"/>
          <w:sz w:val="22"/>
          <w:szCs w:val="22"/>
          <w:u w:val="single"/>
        </w:rPr>
      </w:pPr>
    </w:p>
    <w:p w14:paraId="1E0F03E8" w14:textId="26DD05F8" w:rsidR="5B0A1A50" w:rsidRDefault="19DA3B41" w:rsidP="6BD88DCD">
      <w:pPr>
        <w:jc w:val="both"/>
        <w:rPr>
          <w:rFonts w:asciiTheme="minorHAnsi" w:eastAsiaTheme="minorEastAsia" w:hAnsiTheme="minorHAnsi" w:cstheme="minorBidi"/>
          <w:sz w:val="22"/>
          <w:szCs w:val="22"/>
          <w:u w:val="single"/>
        </w:rPr>
      </w:pPr>
      <w:r w:rsidRPr="2BE51E91">
        <w:rPr>
          <w:rFonts w:asciiTheme="minorHAnsi" w:eastAsiaTheme="minorEastAsia" w:hAnsiTheme="minorHAnsi" w:cstheme="minorBidi"/>
          <w:b/>
          <w:bCs/>
          <w:sz w:val="22"/>
          <w:szCs w:val="22"/>
          <w:u w:val="single"/>
        </w:rPr>
        <w:t>Equity:</w:t>
      </w:r>
    </w:p>
    <w:p w14:paraId="6FC96DA7" w14:textId="37888DC2" w:rsidR="6BD88DCD" w:rsidRDefault="6BD88DCD" w:rsidP="75889D2A">
      <w:pPr>
        <w:jc w:val="both"/>
        <w:rPr>
          <w:rFonts w:asciiTheme="minorHAnsi" w:eastAsiaTheme="minorEastAsia" w:hAnsiTheme="minorHAnsi" w:cstheme="minorBidi"/>
          <w:sz w:val="22"/>
          <w:szCs w:val="22"/>
        </w:rPr>
      </w:pPr>
    </w:p>
    <w:p w14:paraId="4C48751E" w14:textId="7B4B8195" w:rsidR="21AFB20F" w:rsidRDefault="21AFB20F" w:rsidP="006F071F">
      <w:pPr>
        <w:jc w:val="both"/>
        <w:rPr>
          <w:rFonts w:asciiTheme="minorHAnsi" w:eastAsiaTheme="minorEastAsia" w:hAnsiTheme="minorHAnsi" w:cstheme="minorBidi"/>
          <w:sz w:val="22"/>
          <w:szCs w:val="22"/>
        </w:rPr>
      </w:pPr>
      <w:r w:rsidRPr="75889D2A">
        <w:rPr>
          <w:rFonts w:asciiTheme="minorHAnsi" w:eastAsiaTheme="minorEastAsia" w:hAnsiTheme="minorHAnsi" w:cstheme="minorBidi"/>
          <w:sz w:val="22"/>
          <w:szCs w:val="22"/>
        </w:rPr>
        <w:t>Equity signifies the extent to which benefits from programme spending reach disadvantaged and marginalised groups. Depending on context these groups may include women, disabled</w:t>
      </w:r>
      <w:r w:rsidR="00D05E04">
        <w:rPr>
          <w:rFonts w:asciiTheme="minorHAnsi" w:eastAsiaTheme="minorEastAsia" w:hAnsiTheme="minorHAnsi" w:cstheme="minorBidi"/>
          <w:sz w:val="22"/>
          <w:szCs w:val="22"/>
        </w:rPr>
        <w:t xml:space="preserve"> people</w:t>
      </w:r>
      <w:r w:rsidRPr="75889D2A">
        <w:rPr>
          <w:rFonts w:asciiTheme="minorHAnsi" w:eastAsiaTheme="minorEastAsia" w:hAnsiTheme="minorHAnsi" w:cstheme="minorBidi"/>
          <w:sz w:val="22"/>
          <w:szCs w:val="22"/>
        </w:rPr>
        <w:t xml:space="preserve">, or specific ethnic groups. Given the Fund's focus on the use of intermediaries, there is limited data on </w:t>
      </w:r>
      <w:r w:rsidRPr="75889D2A">
        <w:rPr>
          <w:rFonts w:asciiTheme="minorHAnsi" w:eastAsiaTheme="minorEastAsia" w:hAnsiTheme="minorHAnsi" w:cstheme="minorBidi"/>
          <w:sz w:val="22"/>
          <w:szCs w:val="22"/>
        </w:rPr>
        <w:lastRenderedPageBreak/>
        <w:t>downstream borrowers of relevance to equity considerations. However, some broad equity impacts may be inferred.</w:t>
      </w:r>
    </w:p>
    <w:p w14:paraId="5DCC81AF" w14:textId="023E4D7D" w:rsidR="21AFB20F" w:rsidRDefault="21AFB20F" w:rsidP="006F071F">
      <w:pPr>
        <w:jc w:val="both"/>
        <w:rPr>
          <w:rFonts w:asciiTheme="minorHAnsi" w:eastAsiaTheme="minorEastAsia" w:hAnsiTheme="minorHAnsi" w:cstheme="minorBidi"/>
          <w:sz w:val="22"/>
          <w:szCs w:val="22"/>
        </w:rPr>
      </w:pPr>
      <w:r w:rsidRPr="75889D2A">
        <w:rPr>
          <w:rFonts w:asciiTheme="minorHAnsi" w:eastAsiaTheme="minorEastAsia" w:hAnsiTheme="minorHAnsi" w:cstheme="minorBidi"/>
          <w:sz w:val="22"/>
          <w:szCs w:val="22"/>
        </w:rPr>
        <w:t xml:space="preserve"> </w:t>
      </w:r>
    </w:p>
    <w:p w14:paraId="5DD315AA" w14:textId="06EE6931" w:rsidR="21AFB20F" w:rsidRDefault="21AFB20F" w:rsidP="078C476B">
      <w:pPr>
        <w:jc w:val="both"/>
        <w:rPr>
          <w:rFonts w:asciiTheme="minorHAnsi" w:eastAsiaTheme="minorEastAsia" w:hAnsiTheme="minorHAnsi" w:cstheme="minorBidi"/>
          <w:sz w:val="22"/>
          <w:szCs w:val="22"/>
        </w:rPr>
      </w:pPr>
      <w:r w:rsidRPr="078C476B">
        <w:rPr>
          <w:rFonts w:asciiTheme="minorHAnsi" w:eastAsiaTheme="minorEastAsia" w:hAnsiTheme="minorHAnsi" w:cstheme="minorBidi"/>
          <w:sz w:val="22"/>
          <w:szCs w:val="22"/>
        </w:rPr>
        <w:t>Fund progress towards its environmental outcomes has been strong over the last year. By the end of 2020, as a result of Fund activities</w:t>
      </w:r>
      <w:r w:rsidR="006F071F" w:rsidRPr="078C476B">
        <w:rPr>
          <w:rFonts w:asciiTheme="minorHAnsi" w:eastAsiaTheme="minorEastAsia" w:hAnsiTheme="minorHAnsi" w:cstheme="minorBidi"/>
          <w:sz w:val="22"/>
          <w:szCs w:val="22"/>
        </w:rPr>
        <w:t>,</w:t>
      </w:r>
      <w:r w:rsidRPr="078C476B">
        <w:rPr>
          <w:rFonts w:asciiTheme="minorHAnsi" w:eastAsiaTheme="minorEastAsia" w:hAnsiTheme="minorHAnsi" w:cstheme="minorBidi"/>
          <w:sz w:val="22"/>
          <w:szCs w:val="22"/>
        </w:rPr>
        <w:t xml:space="preserve"> 1 million tons of CO</w:t>
      </w:r>
      <w:r w:rsidRPr="0004643D">
        <w:rPr>
          <w:rFonts w:asciiTheme="minorHAnsi" w:eastAsiaTheme="minorEastAsia" w:hAnsiTheme="minorHAnsi" w:cstheme="minorBidi"/>
          <w:sz w:val="22"/>
          <w:szCs w:val="22"/>
          <w:vertAlign w:val="subscript"/>
        </w:rPr>
        <w:t>2</w:t>
      </w:r>
      <w:r w:rsidRPr="078C476B">
        <w:rPr>
          <w:rFonts w:asciiTheme="minorHAnsi" w:eastAsiaTheme="minorEastAsia" w:hAnsiTheme="minorHAnsi" w:cstheme="minorBidi"/>
          <w:sz w:val="22"/>
          <w:szCs w:val="22"/>
        </w:rPr>
        <w:t xml:space="preserve"> were stored through agroforestry activities, 4.5 million m3 of water were saved, 430,000 hectares of farmland were brought under sustainable management, and 37,000 litres of herbicide use was avoided. Since the poorest and most marginalised in society tend to be heavily dependent on natural resources for their subsistence, and are most vulnerable to the impacts of climate change, a more resilient natural environment as a result of Fund interventions is likely to have equity benefits for marginalised groups.</w:t>
      </w:r>
    </w:p>
    <w:p w14:paraId="376501F5" w14:textId="6E57A120" w:rsidR="21AFB20F" w:rsidRDefault="21AFB20F" w:rsidP="006F071F">
      <w:pPr>
        <w:jc w:val="both"/>
        <w:rPr>
          <w:rFonts w:asciiTheme="minorHAnsi" w:eastAsiaTheme="minorEastAsia" w:hAnsiTheme="minorHAnsi" w:cstheme="minorBidi"/>
          <w:sz w:val="22"/>
          <w:szCs w:val="22"/>
        </w:rPr>
      </w:pPr>
      <w:r w:rsidRPr="75889D2A">
        <w:rPr>
          <w:rFonts w:asciiTheme="minorHAnsi" w:eastAsiaTheme="minorEastAsia" w:hAnsiTheme="minorHAnsi" w:cstheme="minorBidi"/>
          <w:sz w:val="22"/>
          <w:szCs w:val="22"/>
        </w:rPr>
        <w:t xml:space="preserve"> </w:t>
      </w:r>
    </w:p>
    <w:p w14:paraId="336811DF" w14:textId="560D41D1" w:rsidR="21AFB20F" w:rsidRDefault="21AFB20F" w:rsidP="006F071F">
      <w:pPr>
        <w:jc w:val="both"/>
        <w:rPr>
          <w:rFonts w:asciiTheme="minorHAnsi" w:eastAsiaTheme="minorEastAsia" w:hAnsiTheme="minorHAnsi" w:cstheme="minorBidi"/>
          <w:sz w:val="22"/>
          <w:szCs w:val="22"/>
        </w:rPr>
      </w:pPr>
      <w:r w:rsidRPr="75889D2A">
        <w:rPr>
          <w:rFonts w:asciiTheme="minorHAnsi" w:eastAsiaTheme="minorEastAsia" w:hAnsiTheme="minorHAnsi" w:cstheme="minorBidi"/>
          <w:sz w:val="22"/>
          <w:szCs w:val="22"/>
        </w:rPr>
        <w:t xml:space="preserve">Investments over the last year have also seen a significant increase in the number of borrowers supported through </w:t>
      </w:r>
      <w:r w:rsidR="00DF4EC8">
        <w:rPr>
          <w:rFonts w:asciiTheme="minorHAnsi" w:eastAsiaTheme="minorEastAsia" w:hAnsiTheme="minorHAnsi" w:cstheme="minorBidi"/>
          <w:sz w:val="22"/>
          <w:szCs w:val="22"/>
        </w:rPr>
        <w:t>financial</w:t>
      </w:r>
      <w:r w:rsidRPr="75889D2A">
        <w:rPr>
          <w:rFonts w:asciiTheme="minorHAnsi" w:eastAsiaTheme="minorEastAsia" w:hAnsiTheme="minorHAnsi" w:cstheme="minorBidi"/>
          <w:sz w:val="22"/>
          <w:szCs w:val="22"/>
        </w:rPr>
        <w:t xml:space="preserve"> institutions</w:t>
      </w:r>
      <w:r w:rsidR="00272205">
        <w:rPr>
          <w:rFonts w:asciiTheme="minorHAnsi" w:eastAsiaTheme="minorEastAsia" w:hAnsiTheme="minorHAnsi" w:cstheme="minorBidi"/>
          <w:sz w:val="22"/>
          <w:szCs w:val="22"/>
        </w:rPr>
        <w:t xml:space="preserve"> focused on SMEs</w:t>
      </w:r>
      <w:r w:rsidRPr="75889D2A">
        <w:rPr>
          <w:rFonts w:asciiTheme="minorHAnsi" w:eastAsiaTheme="minorEastAsia" w:hAnsiTheme="minorHAnsi" w:cstheme="minorBidi"/>
          <w:sz w:val="22"/>
          <w:szCs w:val="22"/>
        </w:rPr>
        <w:t xml:space="preserve">. Given that </w:t>
      </w:r>
      <w:r w:rsidR="00272205">
        <w:rPr>
          <w:rFonts w:asciiTheme="minorHAnsi" w:eastAsiaTheme="minorEastAsia" w:hAnsiTheme="minorHAnsi" w:cstheme="minorBidi"/>
          <w:sz w:val="22"/>
          <w:szCs w:val="22"/>
        </w:rPr>
        <w:t xml:space="preserve">SME </w:t>
      </w:r>
      <w:r w:rsidRPr="75889D2A">
        <w:rPr>
          <w:rFonts w:asciiTheme="minorHAnsi" w:eastAsiaTheme="minorEastAsia" w:hAnsiTheme="minorHAnsi" w:cstheme="minorBidi"/>
          <w:sz w:val="22"/>
          <w:szCs w:val="22"/>
        </w:rPr>
        <w:t>finance support focuses on businesses in which women are better represented as workers, business leaders, and agricultural holders, it is likely that this may have resulted in equity benefits.</w:t>
      </w:r>
      <w:r w:rsidRPr="75889D2A">
        <w:rPr>
          <w:rFonts w:asciiTheme="minorHAnsi" w:eastAsiaTheme="minorEastAsia" w:hAnsiTheme="minorHAnsi" w:cstheme="minorBidi"/>
          <w:sz w:val="22"/>
          <w:szCs w:val="22"/>
          <w:u w:val="single"/>
        </w:rPr>
        <w:t xml:space="preserve">  </w:t>
      </w:r>
    </w:p>
    <w:p w14:paraId="2E1470F9" w14:textId="400928FE" w:rsidR="21AFB20F" w:rsidRDefault="21AFB20F" w:rsidP="006F071F">
      <w:pPr>
        <w:jc w:val="both"/>
        <w:rPr>
          <w:rFonts w:asciiTheme="minorHAnsi" w:eastAsiaTheme="minorEastAsia" w:hAnsiTheme="minorHAnsi" w:cstheme="minorBidi"/>
          <w:sz w:val="22"/>
          <w:szCs w:val="22"/>
        </w:rPr>
      </w:pPr>
      <w:r w:rsidRPr="75889D2A">
        <w:rPr>
          <w:rFonts w:asciiTheme="minorHAnsi" w:eastAsiaTheme="minorEastAsia" w:hAnsiTheme="minorHAnsi" w:cstheme="minorBidi"/>
          <w:sz w:val="22"/>
          <w:szCs w:val="22"/>
        </w:rPr>
        <w:t xml:space="preserve"> </w:t>
      </w:r>
    </w:p>
    <w:p w14:paraId="1256BC5A" w14:textId="16697632" w:rsidR="21AFB20F" w:rsidRDefault="21AFB20F" w:rsidP="40CC953B">
      <w:pPr>
        <w:jc w:val="both"/>
        <w:rPr>
          <w:rFonts w:asciiTheme="minorHAnsi" w:eastAsiaTheme="minorEastAsia" w:hAnsiTheme="minorHAnsi" w:cstheme="minorBidi"/>
          <w:sz w:val="22"/>
          <w:szCs w:val="22"/>
        </w:rPr>
      </w:pPr>
      <w:r w:rsidRPr="40CC953B">
        <w:rPr>
          <w:rFonts w:asciiTheme="minorHAnsi" w:eastAsiaTheme="minorEastAsia" w:hAnsiTheme="minorHAnsi" w:cstheme="minorBidi"/>
          <w:sz w:val="22"/>
          <w:szCs w:val="22"/>
        </w:rPr>
        <w:t>The Development Facility has reached 394,000 individuals through events and training activities. Activities supported through this mechanism have included the development and implementation of Environmental and Social Management Systems (ESMS) for 12 partner institutions, and the recently launched 'Sustainability Academy' which aims to build capacity among the fund’s target audience and wider public. By building capacity, raising awareness and introducing a specific focus on social benefits within partner institutions it is likely that DF activities are having a positive effect on equity amongst stakeholders. However, as with the previous examples, data are not currently collected that enables these potential benefits to be tracked, measured and reported.</w:t>
      </w:r>
      <w:r w:rsidRPr="40CC953B">
        <w:rPr>
          <w:rFonts w:asciiTheme="minorHAnsi" w:eastAsiaTheme="minorEastAsia" w:hAnsiTheme="minorHAnsi" w:cstheme="minorBidi"/>
          <w:sz w:val="22"/>
          <w:szCs w:val="22"/>
          <w:u w:val="single"/>
        </w:rPr>
        <w:t xml:space="preserve"> </w:t>
      </w:r>
    </w:p>
    <w:p w14:paraId="20F01D7D" w14:textId="18CB113E" w:rsidR="21AFB20F" w:rsidRDefault="21AFB20F" w:rsidP="75889D2A">
      <w:pPr>
        <w:rPr>
          <w:rFonts w:asciiTheme="minorHAnsi" w:eastAsiaTheme="minorEastAsia" w:hAnsiTheme="minorHAnsi" w:cstheme="minorBidi"/>
          <w:sz w:val="22"/>
          <w:szCs w:val="22"/>
        </w:rPr>
      </w:pPr>
      <w:r w:rsidRPr="75889D2A">
        <w:rPr>
          <w:rFonts w:asciiTheme="minorHAnsi" w:eastAsiaTheme="minorEastAsia" w:hAnsiTheme="minorHAnsi" w:cstheme="minorBidi"/>
          <w:sz w:val="22"/>
          <w:szCs w:val="22"/>
        </w:rPr>
        <w:t xml:space="preserve"> </w:t>
      </w:r>
    </w:p>
    <w:p w14:paraId="77A5E930" w14:textId="52D6E00B" w:rsidR="21AFB20F" w:rsidRDefault="21AFB20F" w:rsidP="75889D2A">
      <w:pPr>
        <w:rPr>
          <w:rFonts w:asciiTheme="minorHAnsi" w:eastAsiaTheme="minorEastAsia" w:hAnsiTheme="minorHAnsi" w:cstheme="minorBidi"/>
          <w:sz w:val="22"/>
          <w:szCs w:val="22"/>
        </w:rPr>
      </w:pPr>
      <w:r w:rsidRPr="72ECE0DE">
        <w:rPr>
          <w:rFonts w:asciiTheme="minorHAnsi" w:eastAsiaTheme="minorEastAsia" w:hAnsiTheme="minorHAnsi" w:cstheme="minorBidi"/>
          <w:sz w:val="22"/>
          <w:szCs w:val="22"/>
        </w:rPr>
        <w:t xml:space="preserve">A wider review and update of </w:t>
      </w:r>
      <w:proofErr w:type="spellStart"/>
      <w:r w:rsidRPr="72ECE0DE">
        <w:rPr>
          <w:rFonts w:asciiTheme="minorHAnsi" w:eastAsiaTheme="minorEastAsia" w:hAnsiTheme="minorHAnsi" w:cstheme="minorBidi"/>
          <w:sz w:val="22"/>
          <w:szCs w:val="22"/>
        </w:rPr>
        <w:t>logframe</w:t>
      </w:r>
      <w:proofErr w:type="spellEnd"/>
      <w:r w:rsidRPr="72ECE0DE">
        <w:rPr>
          <w:rFonts w:asciiTheme="minorHAnsi" w:eastAsiaTheme="minorEastAsia" w:hAnsiTheme="minorHAnsi" w:cstheme="minorBidi"/>
          <w:sz w:val="22"/>
          <w:szCs w:val="22"/>
        </w:rPr>
        <w:t xml:space="preserve"> targets is planned. </w:t>
      </w:r>
      <w:r w:rsidR="00DC1537" w:rsidRPr="72ECE0DE">
        <w:rPr>
          <w:rFonts w:asciiTheme="minorHAnsi" w:eastAsiaTheme="minorEastAsia" w:hAnsiTheme="minorHAnsi" w:cstheme="minorBidi"/>
          <w:sz w:val="22"/>
          <w:szCs w:val="22"/>
        </w:rPr>
        <w:t>The Fund is also developing a gender strategy. Defra considers that a</w:t>
      </w:r>
      <w:r w:rsidRPr="72ECE0DE">
        <w:rPr>
          <w:rFonts w:asciiTheme="minorHAnsi" w:eastAsiaTheme="minorEastAsia" w:hAnsiTheme="minorHAnsi" w:cstheme="minorBidi"/>
          <w:sz w:val="22"/>
          <w:szCs w:val="22"/>
        </w:rPr>
        <w:t>s part of this it would be helpful to consider the inclusion of indicators specifically capturing benefits on gender, equity and social inclusion, to ensure these issues are monitored and can be reported on in future annual reviews.</w:t>
      </w:r>
    </w:p>
    <w:p w14:paraId="75D2C4D0" w14:textId="582BDB07" w:rsidR="75889D2A" w:rsidRDefault="75889D2A" w:rsidP="75889D2A">
      <w:pPr>
        <w:rPr>
          <w:rFonts w:asciiTheme="minorHAnsi" w:eastAsiaTheme="minorEastAsia" w:hAnsiTheme="minorHAnsi" w:cstheme="minorBidi"/>
          <w:sz w:val="22"/>
          <w:szCs w:val="22"/>
        </w:rPr>
      </w:pPr>
    </w:p>
    <w:p w14:paraId="6DDEBE7A" w14:textId="6C3783F4" w:rsidR="56CD5882" w:rsidRDefault="56CD5882" w:rsidP="49CFF048">
      <w:pPr>
        <w:rPr>
          <w:rFonts w:cs="Arial"/>
          <w:b/>
          <w:bCs/>
          <w:color w:val="000000" w:themeColor="text1"/>
          <w:sz w:val="20"/>
          <w:szCs w:val="20"/>
          <w:u w:val="single"/>
        </w:rPr>
      </w:pPr>
      <w:r w:rsidRPr="49CFF048">
        <w:rPr>
          <w:rFonts w:cs="Arial"/>
          <w:b/>
          <w:bCs/>
          <w:color w:val="000000" w:themeColor="text1"/>
          <w:sz w:val="20"/>
          <w:szCs w:val="20"/>
          <w:u w:val="single"/>
        </w:rPr>
        <w:t>Coronavirus</w:t>
      </w:r>
    </w:p>
    <w:p w14:paraId="2DB5E76C" w14:textId="0281684B" w:rsidR="49CFF048" w:rsidRDefault="49CFF048" w:rsidP="49CFF048">
      <w:pPr>
        <w:rPr>
          <w:b/>
          <w:bCs/>
          <w:color w:val="000000" w:themeColor="text1"/>
          <w:u w:val="single"/>
        </w:rPr>
      </w:pPr>
    </w:p>
    <w:p w14:paraId="3B2E8225" w14:textId="720116CF" w:rsidR="55DEF3CD" w:rsidRDefault="1B559D46" w:rsidP="25160688">
      <w:pPr>
        <w:jc w:val="both"/>
        <w:rPr>
          <w:rFonts w:asciiTheme="minorHAnsi" w:eastAsiaTheme="minorEastAsia" w:hAnsiTheme="minorHAnsi" w:cstheme="minorBidi"/>
          <w:sz w:val="22"/>
          <w:szCs w:val="22"/>
        </w:rPr>
      </w:pPr>
      <w:r w:rsidRPr="25160688">
        <w:rPr>
          <w:rFonts w:ascii="Calibri" w:eastAsia="Calibri" w:hAnsi="Calibri" w:cs="Calibri"/>
          <w:sz w:val="22"/>
          <w:szCs w:val="22"/>
        </w:rPr>
        <w:t xml:space="preserve">2020 was a challenging yet successful year for the EBF, as the Fund faced a difficult and deteriorating operating environment against the backdrop of COVID-19. Since early-March 2020, in response to the pandemic, the Fund’s Advisor activated a range of crisis-response measures </w:t>
      </w:r>
      <w:r w:rsidR="7BF53D94" w:rsidRPr="25160688">
        <w:rPr>
          <w:rFonts w:ascii="Calibri" w:eastAsia="Calibri" w:hAnsi="Calibri" w:cs="Calibri"/>
          <w:sz w:val="22"/>
          <w:szCs w:val="22"/>
        </w:rPr>
        <w:t>to</w:t>
      </w:r>
      <w:r w:rsidRPr="25160688">
        <w:rPr>
          <w:rFonts w:ascii="Calibri" w:eastAsia="Calibri" w:hAnsi="Calibri" w:cs="Calibri"/>
          <w:sz w:val="22"/>
          <w:szCs w:val="22"/>
        </w:rPr>
        <w:t xml:space="preserve"> ensure adequate business continuity and to streamline its decision-making process to </w:t>
      </w:r>
      <w:r w:rsidR="0C7B177E" w:rsidRPr="25160688">
        <w:rPr>
          <w:rFonts w:ascii="Calibri" w:eastAsia="Calibri" w:hAnsi="Calibri" w:cs="Calibri"/>
          <w:sz w:val="22"/>
          <w:szCs w:val="22"/>
        </w:rPr>
        <w:t>support</w:t>
      </w:r>
      <w:r w:rsidRPr="25160688">
        <w:rPr>
          <w:rFonts w:ascii="Calibri" w:eastAsia="Calibri" w:hAnsi="Calibri" w:cs="Calibri"/>
          <w:sz w:val="22"/>
          <w:szCs w:val="22"/>
        </w:rPr>
        <w:t xml:space="preserve"> the Fund’s target groups and its </w:t>
      </w:r>
      <w:r w:rsidR="371DFB58" w:rsidRPr="25160688">
        <w:rPr>
          <w:rFonts w:ascii="Calibri" w:eastAsia="Calibri" w:hAnsi="Calibri" w:cs="Calibri"/>
          <w:sz w:val="22"/>
          <w:szCs w:val="22"/>
        </w:rPr>
        <w:t>PIs</w:t>
      </w:r>
      <w:r w:rsidRPr="25160688">
        <w:rPr>
          <w:rFonts w:ascii="Calibri" w:eastAsia="Calibri" w:hAnsi="Calibri" w:cs="Calibri"/>
          <w:sz w:val="22"/>
          <w:szCs w:val="22"/>
        </w:rPr>
        <w:t xml:space="preserve"> while protecting investor interests. </w:t>
      </w:r>
      <w:r w:rsidR="752A9AFF" w:rsidRPr="25160688">
        <w:rPr>
          <w:rFonts w:asciiTheme="minorHAnsi" w:eastAsiaTheme="minorEastAsia" w:hAnsiTheme="minorHAnsi" w:cstheme="minorBidi"/>
          <w:sz w:val="22"/>
          <w:szCs w:val="22"/>
        </w:rPr>
        <w:t xml:space="preserve">The investment priority of the Fund in 2020 was to provide funding to existing PIs that had a solid credit profile, needed additional liquidity and were key to the markets where they operate. </w:t>
      </w:r>
      <w:r w:rsidR="3D186230" w:rsidRPr="25160688">
        <w:rPr>
          <w:rFonts w:asciiTheme="minorHAnsi" w:eastAsiaTheme="minorEastAsia" w:hAnsiTheme="minorHAnsi" w:cstheme="minorBidi"/>
          <w:sz w:val="22"/>
          <w:szCs w:val="22"/>
        </w:rPr>
        <w:t xml:space="preserve">Eight partner institutions of the </w:t>
      </w:r>
      <w:r w:rsidR="70D1D704" w:rsidRPr="25160688">
        <w:rPr>
          <w:rFonts w:asciiTheme="minorHAnsi" w:eastAsiaTheme="minorEastAsia" w:hAnsiTheme="minorHAnsi" w:cstheme="minorBidi"/>
          <w:sz w:val="22"/>
          <w:szCs w:val="22"/>
        </w:rPr>
        <w:t>EBF</w:t>
      </w:r>
      <w:r w:rsidR="3D186230" w:rsidRPr="25160688">
        <w:rPr>
          <w:rFonts w:asciiTheme="minorHAnsi" w:eastAsiaTheme="minorEastAsia" w:hAnsiTheme="minorHAnsi" w:cstheme="minorBidi"/>
          <w:sz w:val="22"/>
          <w:szCs w:val="22"/>
        </w:rPr>
        <w:t xml:space="preserve"> received a COVID-19 response package </w:t>
      </w:r>
      <w:r w:rsidR="227F9589" w:rsidRPr="25160688">
        <w:rPr>
          <w:rFonts w:asciiTheme="minorHAnsi" w:eastAsiaTheme="minorEastAsia" w:hAnsiTheme="minorHAnsi" w:cstheme="minorBidi"/>
          <w:sz w:val="22"/>
          <w:szCs w:val="22"/>
        </w:rPr>
        <w:t xml:space="preserve">from the DF, which was </w:t>
      </w:r>
      <w:r w:rsidR="3D186230" w:rsidRPr="25160688">
        <w:rPr>
          <w:rFonts w:asciiTheme="minorHAnsi" w:eastAsiaTheme="minorEastAsia" w:hAnsiTheme="minorHAnsi" w:cstheme="minorBidi"/>
          <w:sz w:val="22"/>
          <w:szCs w:val="22"/>
        </w:rPr>
        <w:t>designed to aid each bank in managing the operational challenges</w:t>
      </w:r>
      <w:r w:rsidR="29F47831" w:rsidRPr="25160688">
        <w:rPr>
          <w:rFonts w:asciiTheme="minorHAnsi" w:eastAsiaTheme="minorEastAsia" w:hAnsiTheme="minorHAnsi" w:cstheme="minorBidi"/>
          <w:sz w:val="22"/>
          <w:szCs w:val="22"/>
        </w:rPr>
        <w:t xml:space="preserve"> </w:t>
      </w:r>
      <w:r w:rsidR="412535C4" w:rsidRPr="25160688">
        <w:rPr>
          <w:rFonts w:asciiTheme="minorHAnsi" w:eastAsiaTheme="minorEastAsia" w:hAnsiTheme="minorHAnsi" w:cstheme="minorBidi"/>
          <w:sz w:val="22"/>
          <w:szCs w:val="22"/>
        </w:rPr>
        <w:t>and</w:t>
      </w:r>
      <w:r w:rsidR="3D186230" w:rsidRPr="25160688">
        <w:rPr>
          <w:rFonts w:asciiTheme="minorHAnsi" w:eastAsiaTheme="minorEastAsia" w:hAnsiTheme="minorHAnsi" w:cstheme="minorBidi"/>
          <w:sz w:val="22"/>
          <w:szCs w:val="22"/>
        </w:rPr>
        <w:t xml:space="preserve"> react to the effects of the pandemic in a swift and sustainable way</w:t>
      </w:r>
      <w:r w:rsidR="7E6F1B2E" w:rsidRPr="25160688">
        <w:rPr>
          <w:rFonts w:asciiTheme="minorHAnsi" w:eastAsiaTheme="minorEastAsia" w:hAnsiTheme="minorHAnsi" w:cstheme="minorBidi"/>
          <w:sz w:val="22"/>
          <w:szCs w:val="22"/>
        </w:rPr>
        <w:t xml:space="preserve"> </w:t>
      </w:r>
      <w:r w:rsidR="17BEEB55" w:rsidRPr="25160688">
        <w:rPr>
          <w:rFonts w:asciiTheme="minorHAnsi" w:eastAsiaTheme="minorEastAsia" w:hAnsiTheme="minorHAnsi" w:cstheme="minorBidi"/>
          <w:sz w:val="22"/>
          <w:szCs w:val="22"/>
        </w:rPr>
        <w:t>to</w:t>
      </w:r>
      <w:r w:rsidR="3D186230" w:rsidRPr="25160688">
        <w:rPr>
          <w:rFonts w:asciiTheme="minorHAnsi" w:eastAsiaTheme="minorEastAsia" w:hAnsiTheme="minorHAnsi" w:cstheme="minorBidi"/>
          <w:sz w:val="22"/>
          <w:szCs w:val="22"/>
        </w:rPr>
        <w:t xml:space="preserve"> strengthen and stabili</w:t>
      </w:r>
      <w:r w:rsidR="1F151873" w:rsidRPr="25160688">
        <w:rPr>
          <w:rFonts w:asciiTheme="minorHAnsi" w:eastAsiaTheme="minorEastAsia" w:hAnsiTheme="minorHAnsi" w:cstheme="minorBidi"/>
          <w:sz w:val="22"/>
          <w:szCs w:val="22"/>
        </w:rPr>
        <w:t>s</w:t>
      </w:r>
      <w:r w:rsidR="3D186230" w:rsidRPr="25160688">
        <w:rPr>
          <w:rFonts w:asciiTheme="minorHAnsi" w:eastAsiaTheme="minorEastAsia" w:hAnsiTheme="minorHAnsi" w:cstheme="minorBidi"/>
          <w:sz w:val="22"/>
          <w:szCs w:val="22"/>
        </w:rPr>
        <w:t>e the funding base for sustainable business practices.</w:t>
      </w:r>
    </w:p>
    <w:p w14:paraId="7D2EC01F" w14:textId="7C6C2046" w:rsidR="49CFF048" w:rsidRDefault="49CFF048" w:rsidP="49CFF048"/>
    <w:p w14:paraId="03F03A44" w14:textId="7CB759CC" w:rsidR="1F6B102F" w:rsidRDefault="04BFA0B3" w:rsidP="006D6F0F">
      <w:pPr>
        <w:jc w:val="both"/>
        <w:rPr>
          <w:rFonts w:asciiTheme="minorHAnsi" w:eastAsiaTheme="minorEastAsia" w:hAnsiTheme="minorHAnsi" w:cstheme="minorBidi"/>
          <w:sz w:val="22"/>
          <w:szCs w:val="22"/>
        </w:rPr>
      </w:pPr>
      <w:r w:rsidRPr="2BE51E91">
        <w:rPr>
          <w:rFonts w:asciiTheme="minorHAnsi" w:eastAsiaTheme="minorEastAsia" w:hAnsiTheme="minorHAnsi" w:cstheme="minorBidi"/>
          <w:sz w:val="22"/>
          <w:szCs w:val="22"/>
        </w:rPr>
        <w:t xml:space="preserve">The financial performance of all counterparties of the Fund was reviewed and assessed for signs of increase in credit risk. As of 31st of December 2020, there </w:t>
      </w:r>
      <w:r w:rsidR="0EFDE39E" w:rsidRPr="2BE51E91">
        <w:rPr>
          <w:rFonts w:asciiTheme="minorHAnsi" w:eastAsiaTheme="minorEastAsia" w:hAnsiTheme="minorHAnsi" w:cstheme="minorBidi"/>
          <w:sz w:val="22"/>
          <w:szCs w:val="22"/>
        </w:rPr>
        <w:t>was</w:t>
      </w:r>
      <w:r w:rsidRPr="2BE51E91">
        <w:rPr>
          <w:rFonts w:asciiTheme="minorHAnsi" w:eastAsiaTheme="minorEastAsia" w:hAnsiTheme="minorHAnsi" w:cstheme="minorBidi"/>
          <w:sz w:val="22"/>
          <w:szCs w:val="22"/>
        </w:rPr>
        <w:t xml:space="preserve"> no deterioration in the portfolio of the Fund. As of date of reporting of the financial statements, the Fund has granted </w:t>
      </w:r>
      <w:r w:rsidR="004D1D1C">
        <w:rPr>
          <w:rFonts w:asciiTheme="minorHAnsi" w:eastAsiaTheme="minorEastAsia" w:hAnsiTheme="minorHAnsi" w:cstheme="minorBidi"/>
          <w:sz w:val="22"/>
          <w:szCs w:val="22"/>
        </w:rPr>
        <w:t>no</w:t>
      </w:r>
      <w:r w:rsidRPr="2BE51E91">
        <w:rPr>
          <w:rFonts w:asciiTheme="minorHAnsi" w:eastAsiaTheme="minorEastAsia" w:hAnsiTheme="minorHAnsi" w:cstheme="minorBidi"/>
          <w:sz w:val="22"/>
          <w:szCs w:val="22"/>
        </w:rPr>
        <w:t xml:space="preserve"> loan moratori</w:t>
      </w:r>
      <w:r w:rsidR="00385344">
        <w:rPr>
          <w:rFonts w:asciiTheme="minorHAnsi" w:eastAsiaTheme="minorEastAsia" w:hAnsiTheme="minorHAnsi" w:cstheme="minorBidi"/>
          <w:sz w:val="22"/>
          <w:szCs w:val="22"/>
        </w:rPr>
        <w:t>a</w:t>
      </w:r>
      <w:r w:rsidRPr="2BE51E91">
        <w:rPr>
          <w:rFonts w:asciiTheme="minorHAnsi" w:eastAsiaTheme="minorEastAsia" w:hAnsiTheme="minorHAnsi" w:cstheme="minorBidi"/>
          <w:sz w:val="22"/>
          <w:szCs w:val="22"/>
        </w:rPr>
        <w:t xml:space="preserve"> and has not restructured any existing investments in 2020. In addition, all Fund counterparties have paid their contractual obligations.</w:t>
      </w:r>
      <w:r w:rsidR="1C608D97" w:rsidRPr="2BE51E91">
        <w:rPr>
          <w:rFonts w:asciiTheme="minorHAnsi" w:eastAsiaTheme="minorEastAsia" w:hAnsiTheme="minorHAnsi" w:cstheme="minorBidi"/>
          <w:sz w:val="22"/>
          <w:szCs w:val="22"/>
        </w:rPr>
        <w:t xml:space="preserve"> </w:t>
      </w:r>
      <w:r w:rsidR="7D68E959" w:rsidRPr="2BE51E91">
        <w:rPr>
          <w:rFonts w:asciiTheme="minorHAnsi" w:eastAsiaTheme="minorEastAsia" w:hAnsiTheme="minorHAnsi" w:cstheme="minorBidi"/>
          <w:sz w:val="22"/>
          <w:szCs w:val="22"/>
        </w:rPr>
        <w:t>T</w:t>
      </w:r>
      <w:r w:rsidRPr="2BE51E91">
        <w:rPr>
          <w:rFonts w:asciiTheme="minorHAnsi" w:eastAsiaTheme="minorEastAsia" w:hAnsiTheme="minorHAnsi" w:cstheme="minorBidi"/>
          <w:sz w:val="22"/>
          <w:szCs w:val="22"/>
        </w:rPr>
        <w:t>he shareholders</w:t>
      </w:r>
      <w:r w:rsidR="2E9B037E" w:rsidRPr="2BE51E91">
        <w:rPr>
          <w:rFonts w:asciiTheme="minorHAnsi" w:eastAsiaTheme="minorEastAsia" w:hAnsiTheme="minorHAnsi" w:cstheme="minorBidi"/>
          <w:sz w:val="22"/>
          <w:szCs w:val="22"/>
        </w:rPr>
        <w:t>,</w:t>
      </w:r>
      <w:r w:rsidRPr="2BE51E91">
        <w:rPr>
          <w:rFonts w:asciiTheme="minorHAnsi" w:eastAsiaTheme="minorEastAsia" w:hAnsiTheme="minorHAnsi" w:cstheme="minorBidi"/>
          <w:sz w:val="22"/>
          <w:szCs w:val="22"/>
        </w:rPr>
        <w:t xml:space="preserve"> Board, Investment </w:t>
      </w:r>
      <w:r w:rsidR="621D8609" w:rsidRPr="2BE51E91">
        <w:rPr>
          <w:rFonts w:asciiTheme="minorHAnsi" w:eastAsiaTheme="minorEastAsia" w:hAnsiTheme="minorHAnsi" w:cstheme="minorBidi"/>
          <w:sz w:val="22"/>
          <w:szCs w:val="22"/>
        </w:rPr>
        <w:t>Committee,</w:t>
      </w:r>
      <w:r w:rsidRPr="2BE51E91">
        <w:rPr>
          <w:rFonts w:asciiTheme="minorHAnsi" w:eastAsiaTheme="minorEastAsia" w:hAnsiTheme="minorHAnsi" w:cstheme="minorBidi"/>
          <w:sz w:val="22"/>
          <w:szCs w:val="22"/>
        </w:rPr>
        <w:t xml:space="preserve"> and relevant Service Providers to the Fund are regularly following the operating environment developments and the performance of all investments, and a special working group </w:t>
      </w:r>
      <w:r w:rsidR="00D41AF8">
        <w:rPr>
          <w:rFonts w:asciiTheme="minorHAnsi" w:eastAsiaTheme="minorEastAsia" w:hAnsiTheme="minorHAnsi" w:cstheme="minorBidi"/>
          <w:sz w:val="22"/>
          <w:szCs w:val="22"/>
        </w:rPr>
        <w:t>composed of</w:t>
      </w:r>
      <w:r w:rsidR="00D41AF8" w:rsidRPr="2BE51E91">
        <w:rPr>
          <w:rFonts w:asciiTheme="minorHAnsi" w:eastAsiaTheme="minorEastAsia" w:hAnsiTheme="minorHAnsi" w:cstheme="minorBidi"/>
          <w:sz w:val="22"/>
          <w:szCs w:val="22"/>
        </w:rPr>
        <w:t xml:space="preserve"> </w:t>
      </w:r>
      <w:r w:rsidRPr="2BE51E91">
        <w:rPr>
          <w:rFonts w:asciiTheme="minorHAnsi" w:eastAsiaTheme="minorEastAsia" w:hAnsiTheme="minorHAnsi" w:cstheme="minorBidi"/>
          <w:sz w:val="22"/>
          <w:szCs w:val="22"/>
        </w:rPr>
        <w:t xml:space="preserve">members of the Board </w:t>
      </w:r>
      <w:r w:rsidR="00EA76D0">
        <w:rPr>
          <w:rFonts w:asciiTheme="minorHAnsi" w:eastAsiaTheme="minorEastAsia" w:hAnsiTheme="minorHAnsi" w:cstheme="minorBidi"/>
          <w:sz w:val="22"/>
          <w:szCs w:val="22"/>
        </w:rPr>
        <w:t>was</w:t>
      </w:r>
      <w:r w:rsidRPr="2BE51E91">
        <w:rPr>
          <w:rFonts w:asciiTheme="minorHAnsi" w:eastAsiaTheme="minorEastAsia" w:hAnsiTheme="minorHAnsi" w:cstheme="minorBidi"/>
          <w:sz w:val="22"/>
          <w:szCs w:val="22"/>
        </w:rPr>
        <w:t xml:space="preserve"> established </w:t>
      </w:r>
      <w:r w:rsidR="00D36EA2">
        <w:rPr>
          <w:rFonts w:asciiTheme="minorHAnsi" w:eastAsiaTheme="minorEastAsia" w:hAnsiTheme="minorHAnsi" w:cstheme="minorBidi"/>
          <w:sz w:val="22"/>
          <w:szCs w:val="22"/>
        </w:rPr>
        <w:t xml:space="preserve">during 2020 </w:t>
      </w:r>
      <w:r w:rsidRPr="2BE51E91">
        <w:rPr>
          <w:rFonts w:asciiTheme="minorHAnsi" w:eastAsiaTheme="minorEastAsia" w:hAnsiTheme="minorHAnsi" w:cstheme="minorBidi"/>
          <w:sz w:val="22"/>
          <w:szCs w:val="22"/>
        </w:rPr>
        <w:t xml:space="preserve">to closely oversee these developments. The COVID-19 outbreak has not impeded the Fund’s ability to operate on an ongoing concern basis. </w:t>
      </w:r>
    </w:p>
    <w:p w14:paraId="08F84E31" w14:textId="77777777" w:rsidR="006F3AE7" w:rsidRDefault="006F3AE7" w:rsidP="0F40B7D6">
      <w:pPr>
        <w:rPr>
          <w:rFonts w:cs="Arial"/>
          <w:color w:val="FF0000"/>
          <w:sz w:val="20"/>
          <w:szCs w:val="20"/>
        </w:rPr>
      </w:pPr>
    </w:p>
    <w:p w14:paraId="38DC73A2" w14:textId="059CBB46" w:rsidR="006F3AE7" w:rsidRPr="003556E1" w:rsidRDefault="006F3AE7" w:rsidP="0116275A">
      <w:pPr>
        <w:jc w:val="both"/>
        <w:rPr>
          <w:rFonts w:cs="Arial"/>
          <w:sz w:val="22"/>
          <w:szCs w:val="22"/>
        </w:rPr>
      </w:pPr>
      <w:r w:rsidRPr="0116275A">
        <w:rPr>
          <w:rFonts w:cs="Arial"/>
          <w:b/>
          <w:bCs/>
          <w:sz w:val="22"/>
          <w:szCs w:val="22"/>
        </w:rPr>
        <w:t xml:space="preserve">Progress on recommendations from the previous AR, lessons learned this year and recommendations for the year ahead </w:t>
      </w:r>
    </w:p>
    <w:p w14:paraId="0B116321" w14:textId="4BE038BC" w:rsidR="0116275A" w:rsidRDefault="0116275A" w:rsidP="0116275A">
      <w:pPr>
        <w:jc w:val="both"/>
        <w:rPr>
          <w:color w:val="FF0000"/>
        </w:rPr>
      </w:pPr>
    </w:p>
    <w:p w14:paraId="5FB4ABDD" w14:textId="6A48BD2A" w:rsidR="180F1653" w:rsidRDefault="180F1653" w:rsidP="0116275A">
      <w:pPr>
        <w:jc w:val="both"/>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lastRenderedPageBreak/>
        <w:t>The recommendations from the 2019 annual review and progress on the recommendations is set out below:</w:t>
      </w:r>
    </w:p>
    <w:p w14:paraId="388845BA" w14:textId="7D0A9C42" w:rsidR="0116275A" w:rsidRDefault="0116275A" w:rsidP="0116275A">
      <w:pPr>
        <w:jc w:val="both"/>
        <w:rPr>
          <w:color w:val="FF0000"/>
        </w:rPr>
      </w:pPr>
    </w:p>
    <w:p w14:paraId="47A62082" w14:textId="3411582C" w:rsidR="7F0F6E9C" w:rsidRDefault="7F0F6E9C" w:rsidP="0116275A">
      <w:pPr>
        <w:pStyle w:val="ListParagraph"/>
        <w:numPr>
          <w:ilvl w:val="0"/>
          <w:numId w:val="12"/>
        </w:numPr>
        <w:spacing w:line="276" w:lineRule="auto"/>
        <w:jc w:val="both"/>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 xml:space="preserve">Review if Defra should be providing more finance to the EBF: As Junior finance (such as Defra) continues to effectively leverage significant amounts of private sector finance, review the extent to which further Defra intervention could be utilised. </w:t>
      </w:r>
    </w:p>
    <w:p w14:paraId="088A7483" w14:textId="679DC66A" w:rsidR="7F0F6E9C" w:rsidRDefault="03B358E5" w:rsidP="078C476B">
      <w:pPr>
        <w:spacing w:line="276" w:lineRule="auto"/>
        <w:jc w:val="both"/>
        <w:rPr>
          <w:rFonts w:asciiTheme="minorHAnsi" w:eastAsiaTheme="minorEastAsia" w:hAnsiTheme="minorHAnsi" w:cstheme="minorBidi"/>
          <w:sz w:val="22"/>
          <w:szCs w:val="22"/>
        </w:rPr>
      </w:pPr>
      <w:r w:rsidRPr="078C476B">
        <w:rPr>
          <w:rFonts w:asciiTheme="minorHAnsi" w:eastAsiaTheme="minorEastAsia" w:hAnsiTheme="minorHAnsi" w:cstheme="minorBidi"/>
          <w:sz w:val="22"/>
          <w:szCs w:val="22"/>
        </w:rPr>
        <w:t xml:space="preserve">The </w:t>
      </w:r>
      <w:r w:rsidR="32C40C6F" w:rsidRPr="078C476B">
        <w:rPr>
          <w:rFonts w:asciiTheme="minorHAnsi" w:eastAsiaTheme="minorEastAsia" w:hAnsiTheme="minorHAnsi" w:cstheme="minorBidi"/>
          <w:sz w:val="22"/>
          <w:szCs w:val="22"/>
        </w:rPr>
        <w:t xml:space="preserve">programme performed well in 2019 and received an A </w:t>
      </w:r>
      <w:r w:rsidR="7AC79541" w:rsidRPr="078C476B">
        <w:rPr>
          <w:rFonts w:asciiTheme="minorHAnsi" w:eastAsiaTheme="minorEastAsia" w:hAnsiTheme="minorHAnsi" w:cstheme="minorBidi"/>
          <w:sz w:val="22"/>
          <w:szCs w:val="22"/>
        </w:rPr>
        <w:t>in the annual review</w:t>
      </w:r>
      <w:r w:rsidR="79FBC656" w:rsidRPr="078C476B">
        <w:rPr>
          <w:rFonts w:asciiTheme="minorHAnsi" w:eastAsiaTheme="minorEastAsia" w:hAnsiTheme="minorHAnsi" w:cstheme="minorBidi"/>
          <w:sz w:val="22"/>
          <w:szCs w:val="22"/>
        </w:rPr>
        <w:t>.</w:t>
      </w:r>
      <w:r w:rsidR="7AC79541" w:rsidRPr="078C476B">
        <w:rPr>
          <w:rFonts w:asciiTheme="minorHAnsi" w:eastAsiaTheme="minorEastAsia" w:hAnsiTheme="minorHAnsi" w:cstheme="minorBidi"/>
          <w:sz w:val="22"/>
          <w:szCs w:val="22"/>
        </w:rPr>
        <w:t xml:space="preserve"> </w:t>
      </w:r>
      <w:r w:rsidR="00617EA8" w:rsidRPr="078C476B">
        <w:rPr>
          <w:rFonts w:asciiTheme="minorHAnsi" w:eastAsiaTheme="minorEastAsia" w:hAnsiTheme="minorHAnsi" w:cstheme="minorBidi"/>
          <w:sz w:val="22"/>
          <w:szCs w:val="22"/>
        </w:rPr>
        <w:t>Based on the continued success of the Fund since Defra’s initial £20m investment in 2016, Defra made a further investment of £12.6m in December 2019 to enable further leverage of private finance.</w:t>
      </w:r>
      <w:r w:rsidR="0074147B" w:rsidRPr="0074147B">
        <w:t xml:space="preserve"> </w:t>
      </w:r>
      <w:r w:rsidR="0074147B">
        <w:rPr>
          <w:rFonts w:asciiTheme="minorHAnsi" w:eastAsiaTheme="minorEastAsia" w:hAnsiTheme="minorHAnsi" w:cstheme="minorBidi"/>
          <w:sz w:val="22"/>
          <w:szCs w:val="22"/>
        </w:rPr>
        <w:t>O</w:t>
      </w:r>
      <w:r w:rsidR="0074147B" w:rsidRPr="0074147B">
        <w:rPr>
          <w:rFonts w:asciiTheme="minorHAnsi" w:eastAsiaTheme="minorEastAsia" w:hAnsiTheme="minorHAnsi" w:cstheme="minorBidi"/>
          <w:sz w:val="22"/>
          <w:szCs w:val="22"/>
        </w:rPr>
        <w:t>pportunities for further investment in EBF Africa</w:t>
      </w:r>
      <w:r w:rsidR="0074147B">
        <w:rPr>
          <w:rFonts w:asciiTheme="minorHAnsi" w:eastAsiaTheme="minorEastAsia" w:hAnsiTheme="minorHAnsi" w:cstheme="minorBidi"/>
          <w:sz w:val="22"/>
          <w:szCs w:val="22"/>
        </w:rPr>
        <w:t xml:space="preserve"> were</w:t>
      </w:r>
      <w:r w:rsidR="0074147B" w:rsidRPr="0074147B">
        <w:rPr>
          <w:rFonts w:asciiTheme="minorHAnsi" w:eastAsiaTheme="minorEastAsia" w:hAnsiTheme="minorHAnsi" w:cstheme="minorBidi"/>
          <w:sz w:val="22"/>
          <w:szCs w:val="22"/>
        </w:rPr>
        <w:t xml:space="preserve"> explored</w:t>
      </w:r>
      <w:r w:rsidR="0074147B">
        <w:rPr>
          <w:rFonts w:asciiTheme="minorHAnsi" w:eastAsiaTheme="minorEastAsia" w:hAnsiTheme="minorHAnsi" w:cstheme="minorBidi"/>
          <w:sz w:val="22"/>
          <w:szCs w:val="22"/>
        </w:rPr>
        <w:t xml:space="preserve"> towards the end of 2020</w:t>
      </w:r>
      <w:r w:rsidR="0074147B" w:rsidRPr="0074147B">
        <w:rPr>
          <w:rFonts w:asciiTheme="minorHAnsi" w:eastAsiaTheme="minorEastAsia" w:hAnsiTheme="minorHAnsi" w:cstheme="minorBidi"/>
          <w:sz w:val="22"/>
          <w:szCs w:val="22"/>
        </w:rPr>
        <w:t xml:space="preserve"> but not pursued at this stage.</w:t>
      </w:r>
      <w:r w:rsidR="2936E561" w:rsidRPr="078C476B">
        <w:rPr>
          <w:rFonts w:asciiTheme="minorHAnsi" w:eastAsiaTheme="minorEastAsia" w:hAnsiTheme="minorHAnsi" w:cstheme="minorBidi"/>
          <w:sz w:val="22"/>
          <w:szCs w:val="22"/>
        </w:rPr>
        <w:t xml:space="preserve"> </w:t>
      </w:r>
    </w:p>
    <w:p w14:paraId="4BE3AF50" w14:textId="0216C60D" w:rsidR="0116275A" w:rsidRDefault="0116275A" w:rsidP="0116275A">
      <w:pPr>
        <w:spacing w:line="276" w:lineRule="auto"/>
        <w:jc w:val="both"/>
        <w:rPr>
          <w:rFonts w:asciiTheme="minorHAnsi" w:eastAsiaTheme="minorEastAsia" w:hAnsiTheme="minorHAnsi" w:cstheme="minorBidi"/>
          <w:sz w:val="22"/>
          <w:szCs w:val="22"/>
        </w:rPr>
      </w:pPr>
    </w:p>
    <w:p w14:paraId="1CBB591F" w14:textId="057A242F" w:rsidR="7F0F6E9C" w:rsidRDefault="7F0F6E9C" w:rsidP="0116275A">
      <w:pPr>
        <w:pStyle w:val="ListParagraph"/>
        <w:numPr>
          <w:ilvl w:val="0"/>
          <w:numId w:val="12"/>
        </w:numPr>
        <w:spacing w:line="276" w:lineRule="auto"/>
        <w:jc w:val="both"/>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 xml:space="preserve">Consider how we work closer with other Donors: Particularly that of Junior investors (Germany and the European Commission) to increase fundraising and to raise ambition of the fund’s activities – both increasing private finance and sharing lessons for creating a viable investment model created by the EBF. </w:t>
      </w:r>
    </w:p>
    <w:p w14:paraId="03AC3C0C" w14:textId="42AAC9CF" w:rsidR="5D31E570" w:rsidRDefault="5D31E570" w:rsidP="0116275A">
      <w:pPr>
        <w:spacing w:line="276" w:lineRule="auto"/>
        <w:jc w:val="both"/>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Defra continue to openly engage with other investors and the fund as an observer on the Board of Directors and as p</w:t>
      </w:r>
      <w:r w:rsidR="6E5C1072" w:rsidRPr="0116275A">
        <w:rPr>
          <w:rFonts w:asciiTheme="minorHAnsi" w:eastAsiaTheme="minorEastAsia" w:hAnsiTheme="minorHAnsi" w:cstheme="minorBidi"/>
          <w:sz w:val="22"/>
          <w:szCs w:val="22"/>
        </w:rPr>
        <w:t>art of the Development Facility Committee</w:t>
      </w:r>
      <w:r w:rsidR="00DC1537">
        <w:rPr>
          <w:rFonts w:asciiTheme="minorHAnsi" w:eastAsiaTheme="minorEastAsia" w:hAnsiTheme="minorHAnsi" w:cstheme="minorBidi"/>
          <w:sz w:val="22"/>
          <w:szCs w:val="22"/>
        </w:rPr>
        <w:t>, including providing feedback on new proposals and reviewing the effectiveness of ongoing or closed projects</w:t>
      </w:r>
      <w:r w:rsidR="6E5C1072" w:rsidRPr="0116275A">
        <w:rPr>
          <w:rFonts w:asciiTheme="minorHAnsi" w:eastAsiaTheme="minorEastAsia" w:hAnsiTheme="minorHAnsi" w:cstheme="minorBidi"/>
          <w:sz w:val="22"/>
          <w:szCs w:val="22"/>
        </w:rPr>
        <w:t>.</w:t>
      </w:r>
    </w:p>
    <w:p w14:paraId="002D8BCE" w14:textId="07A80767" w:rsidR="0116275A" w:rsidRDefault="0116275A" w:rsidP="0116275A">
      <w:pPr>
        <w:spacing w:line="276" w:lineRule="auto"/>
        <w:jc w:val="both"/>
        <w:rPr>
          <w:rFonts w:asciiTheme="minorHAnsi" w:eastAsiaTheme="minorEastAsia" w:hAnsiTheme="minorHAnsi" w:cstheme="minorBidi"/>
          <w:sz w:val="22"/>
          <w:szCs w:val="22"/>
        </w:rPr>
      </w:pPr>
    </w:p>
    <w:p w14:paraId="08786A92" w14:textId="1B09A3C4" w:rsidR="7F0F6E9C" w:rsidRDefault="7F0F6E9C" w:rsidP="0116275A">
      <w:pPr>
        <w:pStyle w:val="ListParagraph"/>
        <w:numPr>
          <w:ilvl w:val="0"/>
          <w:numId w:val="12"/>
        </w:numPr>
        <w:spacing w:line="276" w:lineRule="auto"/>
        <w:jc w:val="both"/>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Update the Private and Public finance leveraged targets: As the methodology for calculating leveraged Public and Private finance has been updated, the targets are no longer suitable – these should be updated to reflect this change in 2020 Annual review</w:t>
      </w:r>
      <w:r w:rsidR="3949F04A" w:rsidRPr="0116275A">
        <w:rPr>
          <w:rFonts w:asciiTheme="minorHAnsi" w:eastAsiaTheme="minorEastAsia" w:hAnsiTheme="minorHAnsi" w:cstheme="minorBidi"/>
          <w:sz w:val="22"/>
          <w:szCs w:val="22"/>
        </w:rPr>
        <w:t>.</w:t>
      </w:r>
    </w:p>
    <w:p w14:paraId="79C0F909" w14:textId="55BDCB0A" w:rsidR="3949F04A" w:rsidRDefault="3949F04A" w:rsidP="0116275A">
      <w:pPr>
        <w:spacing w:line="276" w:lineRule="auto"/>
        <w:jc w:val="both"/>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 xml:space="preserve">This recommendation will be completed as part of a wider review and update of </w:t>
      </w:r>
      <w:proofErr w:type="spellStart"/>
      <w:r w:rsidR="00A46CCC">
        <w:rPr>
          <w:rFonts w:asciiTheme="minorHAnsi" w:eastAsiaTheme="minorEastAsia" w:hAnsiTheme="minorHAnsi" w:cstheme="minorBidi"/>
          <w:sz w:val="22"/>
          <w:szCs w:val="22"/>
        </w:rPr>
        <w:t>l</w:t>
      </w:r>
      <w:r w:rsidRPr="0116275A">
        <w:rPr>
          <w:rFonts w:asciiTheme="minorHAnsi" w:eastAsiaTheme="minorEastAsia" w:hAnsiTheme="minorHAnsi" w:cstheme="minorBidi"/>
          <w:sz w:val="22"/>
          <w:szCs w:val="22"/>
        </w:rPr>
        <w:t>og</w:t>
      </w:r>
      <w:r w:rsidR="00A46CCC">
        <w:rPr>
          <w:rFonts w:asciiTheme="minorHAnsi" w:eastAsiaTheme="minorEastAsia" w:hAnsiTheme="minorHAnsi" w:cstheme="minorBidi"/>
          <w:sz w:val="22"/>
          <w:szCs w:val="22"/>
        </w:rPr>
        <w:t>f</w:t>
      </w:r>
      <w:r w:rsidRPr="0116275A">
        <w:rPr>
          <w:rFonts w:asciiTheme="minorHAnsi" w:eastAsiaTheme="minorEastAsia" w:hAnsiTheme="minorHAnsi" w:cstheme="minorBidi"/>
          <w:sz w:val="22"/>
          <w:szCs w:val="22"/>
        </w:rPr>
        <w:t>rame</w:t>
      </w:r>
      <w:proofErr w:type="spellEnd"/>
      <w:r w:rsidRPr="0116275A">
        <w:rPr>
          <w:rFonts w:asciiTheme="minorHAnsi" w:eastAsiaTheme="minorEastAsia" w:hAnsiTheme="minorHAnsi" w:cstheme="minorBidi"/>
          <w:sz w:val="22"/>
          <w:szCs w:val="22"/>
        </w:rPr>
        <w:t xml:space="preserve"> targets in 2021</w:t>
      </w:r>
      <w:r w:rsidR="00F5302A">
        <w:rPr>
          <w:rFonts w:asciiTheme="minorHAnsi" w:eastAsiaTheme="minorEastAsia" w:hAnsiTheme="minorHAnsi" w:cstheme="minorBidi"/>
          <w:sz w:val="22"/>
          <w:szCs w:val="22"/>
        </w:rPr>
        <w:t>/22</w:t>
      </w:r>
      <w:r w:rsidRPr="0116275A">
        <w:rPr>
          <w:rFonts w:asciiTheme="minorHAnsi" w:eastAsiaTheme="minorEastAsia" w:hAnsiTheme="minorHAnsi" w:cstheme="minorBidi"/>
          <w:sz w:val="22"/>
          <w:szCs w:val="22"/>
        </w:rPr>
        <w:t>.</w:t>
      </w:r>
    </w:p>
    <w:p w14:paraId="1E09A9A9" w14:textId="7313E6DD" w:rsidR="0116275A" w:rsidRDefault="0116275A" w:rsidP="0116275A">
      <w:pPr>
        <w:spacing w:line="276" w:lineRule="auto"/>
        <w:jc w:val="both"/>
        <w:rPr>
          <w:rFonts w:asciiTheme="minorHAnsi" w:eastAsiaTheme="minorEastAsia" w:hAnsiTheme="minorHAnsi" w:cstheme="minorBidi"/>
          <w:sz w:val="22"/>
          <w:szCs w:val="22"/>
        </w:rPr>
      </w:pPr>
    </w:p>
    <w:p w14:paraId="175BBCE9" w14:textId="7395E709" w:rsidR="7F0F6E9C" w:rsidRDefault="7F0F6E9C" w:rsidP="0116275A">
      <w:pPr>
        <w:pStyle w:val="ListParagraph"/>
        <w:numPr>
          <w:ilvl w:val="0"/>
          <w:numId w:val="12"/>
        </w:numPr>
        <w:spacing w:line="276" w:lineRule="auto"/>
        <w:jc w:val="both"/>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 xml:space="preserve">A broader evaluation of the effectiveness of the EBF should be conducted:  Defra’s objectives to a) increasing the amount of finance available for environmentally sustainable businesses and b) to embed the principles of green investment within the financial industry in relation to Land-Use investments (particularly Agriculture), by aligning financial incentives with environmental protection. From experience working with the EBF-Development Facility (where Defra sits as an observer) the EBF contributes significantly to this transformational change, a formal study would define this further and inform future investment decisions. </w:t>
      </w:r>
    </w:p>
    <w:p w14:paraId="2E70EEB0" w14:textId="138FBF29" w:rsidR="2453558C" w:rsidRDefault="216C1A60" w:rsidP="078C476B">
      <w:pPr>
        <w:spacing w:line="276" w:lineRule="auto"/>
        <w:jc w:val="both"/>
        <w:rPr>
          <w:rFonts w:asciiTheme="minorHAnsi" w:eastAsiaTheme="minorEastAsia" w:hAnsiTheme="minorHAnsi" w:cstheme="minorBidi"/>
          <w:sz w:val="22"/>
          <w:szCs w:val="22"/>
        </w:rPr>
      </w:pPr>
      <w:r w:rsidRPr="078C476B">
        <w:rPr>
          <w:rFonts w:asciiTheme="minorHAnsi" w:eastAsiaTheme="minorEastAsia" w:hAnsiTheme="minorHAnsi" w:cstheme="minorBidi"/>
          <w:sz w:val="22"/>
          <w:szCs w:val="22"/>
        </w:rPr>
        <w:t>Defra is seeking to confirm funding and delivery for an external evaluation by the end of 2022</w:t>
      </w:r>
      <w:r w:rsidR="1B98EE5C" w:rsidRPr="078C476B">
        <w:rPr>
          <w:rFonts w:asciiTheme="minorHAnsi" w:eastAsiaTheme="minorEastAsia" w:hAnsiTheme="minorHAnsi" w:cstheme="minorBidi"/>
          <w:sz w:val="22"/>
          <w:szCs w:val="22"/>
        </w:rPr>
        <w:t>, and has acquired funding to conduct a study into biodiversity indicators applicable to impact investment funds in 2021/22.</w:t>
      </w:r>
    </w:p>
    <w:p w14:paraId="6B57292A" w14:textId="212D8743" w:rsidR="00E75614" w:rsidRDefault="00E75614" w:rsidP="0116275A">
      <w:pPr>
        <w:jc w:val="both"/>
        <w:rPr>
          <w:color w:val="FF0000"/>
        </w:rPr>
      </w:pPr>
    </w:p>
    <w:p w14:paraId="272C4998" w14:textId="41976C13" w:rsidR="006F3AE7" w:rsidRPr="00F70DBE" w:rsidRDefault="006F3AE7" w:rsidP="0116275A">
      <w:pPr>
        <w:pBdr>
          <w:top w:val="single" w:sz="4" w:space="1" w:color="auto"/>
          <w:left w:val="single" w:sz="4" w:space="4" w:color="auto"/>
          <w:bottom w:val="single" w:sz="4" w:space="1" w:color="auto"/>
          <w:right w:val="single" w:sz="4" w:space="4" w:color="auto"/>
        </w:pBdr>
        <w:shd w:val="clear" w:color="auto" w:fill="D9E2F3" w:themeFill="accent1" w:themeFillTint="33"/>
        <w:rPr>
          <w:rFonts w:cs="Arial"/>
          <w:sz w:val="20"/>
          <w:szCs w:val="20"/>
        </w:rPr>
      </w:pPr>
      <w:r w:rsidRPr="0116275A">
        <w:rPr>
          <w:rFonts w:cs="Arial"/>
          <w:b/>
          <w:bCs/>
          <w:sz w:val="28"/>
          <w:szCs w:val="28"/>
        </w:rPr>
        <w:t xml:space="preserve">D: RISK </w:t>
      </w:r>
    </w:p>
    <w:p w14:paraId="778B24D0" w14:textId="77777777" w:rsidR="006F3AE7" w:rsidRDefault="006F3AE7" w:rsidP="0F40B7D6">
      <w:pPr>
        <w:rPr>
          <w:b/>
          <w:bCs/>
          <w:color w:val="FF0000"/>
          <w:sz w:val="22"/>
          <w:szCs w:val="22"/>
        </w:rPr>
      </w:pPr>
    </w:p>
    <w:p w14:paraId="5EA4643C" w14:textId="4FD0D3E1" w:rsidR="7926AD4E" w:rsidRDefault="7926AD4E" w:rsidP="006F071F">
      <w:pPr>
        <w:pStyle w:val="Normal1"/>
        <w:spacing w:after="120"/>
        <w:jc w:val="both"/>
        <w:rPr>
          <w:rFonts w:ascii="Calibri" w:eastAsia="Calibri" w:hAnsi="Calibri" w:cs="Calibri"/>
          <w:color w:val="000000" w:themeColor="text1"/>
          <w:sz w:val="22"/>
          <w:szCs w:val="22"/>
        </w:rPr>
      </w:pPr>
      <w:r w:rsidRPr="0116275A">
        <w:rPr>
          <w:rFonts w:ascii="Calibri" w:eastAsia="Calibri" w:hAnsi="Calibri" w:cs="Calibri"/>
          <w:color w:val="000000" w:themeColor="text1"/>
          <w:sz w:val="22"/>
          <w:szCs w:val="22"/>
        </w:rPr>
        <w:t>Risks here are specifically associated with risk to the EBF and its impact. Defra related risks (</w:t>
      </w:r>
      <w:r w:rsidR="5FEB4B16" w:rsidRPr="0116275A">
        <w:rPr>
          <w:rFonts w:ascii="Calibri" w:eastAsia="Calibri" w:hAnsi="Calibri" w:cs="Calibri"/>
          <w:color w:val="000000" w:themeColor="text1"/>
          <w:sz w:val="22"/>
          <w:szCs w:val="22"/>
        </w:rPr>
        <w:t>i.e.,</w:t>
      </w:r>
      <w:r w:rsidRPr="0116275A">
        <w:rPr>
          <w:rFonts w:ascii="Calibri" w:eastAsia="Calibri" w:hAnsi="Calibri" w:cs="Calibri"/>
          <w:color w:val="000000" w:themeColor="text1"/>
          <w:sz w:val="22"/>
          <w:szCs w:val="22"/>
        </w:rPr>
        <w:t xml:space="preserve"> project management) undergo regular assessment internally.</w:t>
      </w:r>
    </w:p>
    <w:p w14:paraId="3CD31A1D" w14:textId="494A5EC2" w:rsidR="7926AD4E" w:rsidRDefault="7926AD4E" w:rsidP="006F071F">
      <w:pPr>
        <w:pStyle w:val="Normal1"/>
        <w:spacing w:after="120"/>
        <w:jc w:val="both"/>
        <w:rPr>
          <w:rFonts w:ascii="Calibri" w:eastAsia="Calibri" w:hAnsi="Calibri" w:cs="Calibri"/>
          <w:color w:val="000000" w:themeColor="text1"/>
          <w:sz w:val="22"/>
          <w:szCs w:val="22"/>
        </w:rPr>
      </w:pPr>
      <w:r w:rsidRPr="0116275A">
        <w:rPr>
          <w:rFonts w:ascii="Calibri" w:eastAsia="Calibri" w:hAnsi="Calibri" w:cs="Calibri"/>
          <w:color w:val="000000" w:themeColor="text1"/>
          <w:sz w:val="22"/>
          <w:szCs w:val="22"/>
        </w:rPr>
        <w:t>Risks associated with impact and reaching milestones has been described in each output section. However overarching or notable risks have been summarised below.</w:t>
      </w:r>
    </w:p>
    <w:tbl>
      <w:tblPr>
        <w:tblStyle w:val="TableGrid"/>
        <w:tblW w:w="0" w:type="auto"/>
        <w:tblLayout w:type="fixed"/>
        <w:tblLook w:val="06A0" w:firstRow="1" w:lastRow="0" w:firstColumn="1" w:lastColumn="0" w:noHBand="1" w:noVBand="1"/>
      </w:tblPr>
      <w:tblGrid>
        <w:gridCol w:w="1890"/>
        <w:gridCol w:w="1695"/>
        <w:gridCol w:w="810"/>
        <w:gridCol w:w="1245"/>
        <w:gridCol w:w="3375"/>
      </w:tblGrid>
      <w:tr w:rsidR="0116275A" w14:paraId="6AE5A3DB" w14:textId="77777777" w:rsidTr="0116275A">
        <w:tc>
          <w:tcPr>
            <w:tcW w:w="1890" w:type="dxa"/>
          </w:tcPr>
          <w:p w14:paraId="7458FA3D" w14:textId="79578EAA" w:rsidR="4B28D73D" w:rsidRDefault="4B28D73D" w:rsidP="0116275A">
            <w:pPr>
              <w:rPr>
                <w:rFonts w:asciiTheme="minorHAnsi" w:eastAsiaTheme="minorEastAsia" w:hAnsiTheme="minorHAnsi" w:cstheme="minorBidi"/>
                <w:b/>
                <w:bCs/>
                <w:sz w:val="22"/>
                <w:szCs w:val="22"/>
              </w:rPr>
            </w:pPr>
            <w:r w:rsidRPr="0116275A">
              <w:rPr>
                <w:rFonts w:asciiTheme="minorHAnsi" w:eastAsiaTheme="minorEastAsia" w:hAnsiTheme="minorHAnsi" w:cstheme="minorBidi"/>
                <w:b/>
                <w:bCs/>
                <w:sz w:val="22"/>
                <w:szCs w:val="22"/>
              </w:rPr>
              <w:t xml:space="preserve">Description of risk  </w:t>
            </w:r>
          </w:p>
        </w:tc>
        <w:tc>
          <w:tcPr>
            <w:tcW w:w="1695" w:type="dxa"/>
          </w:tcPr>
          <w:p w14:paraId="6053C006" w14:textId="7124E259" w:rsidR="4B28D73D" w:rsidRDefault="4B28D73D" w:rsidP="0116275A">
            <w:pPr>
              <w:rPr>
                <w:rFonts w:asciiTheme="minorHAnsi" w:eastAsiaTheme="minorEastAsia" w:hAnsiTheme="minorHAnsi" w:cstheme="minorBidi"/>
                <w:b/>
                <w:bCs/>
                <w:sz w:val="22"/>
                <w:szCs w:val="22"/>
              </w:rPr>
            </w:pPr>
            <w:r w:rsidRPr="0116275A">
              <w:rPr>
                <w:rFonts w:asciiTheme="minorHAnsi" w:eastAsiaTheme="minorEastAsia" w:hAnsiTheme="minorHAnsi" w:cstheme="minorBidi"/>
                <w:b/>
                <w:bCs/>
                <w:sz w:val="22"/>
                <w:szCs w:val="22"/>
              </w:rPr>
              <w:t>Type</w:t>
            </w:r>
          </w:p>
        </w:tc>
        <w:tc>
          <w:tcPr>
            <w:tcW w:w="810" w:type="dxa"/>
          </w:tcPr>
          <w:p w14:paraId="4A5F29B8" w14:textId="497359BF" w:rsidR="4B28D73D" w:rsidRDefault="4B28D73D" w:rsidP="0116275A">
            <w:pPr>
              <w:rPr>
                <w:rFonts w:asciiTheme="minorHAnsi" w:eastAsiaTheme="minorEastAsia" w:hAnsiTheme="minorHAnsi" w:cstheme="minorBidi"/>
                <w:b/>
                <w:bCs/>
                <w:sz w:val="22"/>
                <w:szCs w:val="22"/>
              </w:rPr>
            </w:pPr>
            <w:r w:rsidRPr="0116275A">
              <w:rPr>
                <w:rFonts w:asciiTheme="minorHAnsi" w:eastAsiaTheme="minorEastAsia" w:hAnsiTheme="minorHAnsi" w:cstheme="minorBidi"/>
                <w:b/>
                <w:bCs/>
                <w:sz w:val="22"/>
                <w:szCs w:val="22"/>
              </w:rPr>
              <w:t>Risk rating</w:t>
            </w:r>
          </w:p>
        </w:tc>
        <w:tc>
          <w:tcPr>
            <w:tcW w:w="1245" w:type="dxa"/>
          </w:tcPr>
          <w:p w14:paraId="1329BDD5" w14:textId="16D24083" w:rsidR="4B28D73D" w:rsidRDefault="4B28D73D" w:rsidP="0116275A">
            <w:pPr>
              <w:rPr>
                <w:rFonts w:asciiTheme="minorHAnsi" w:eastAsiaTheme="minorEastAsia" w:hAnsiTheme="minorHAnsi" w:cstheme="minorBidi"/>
                <w:b/>
                <w:bCs/>
                <w:sz w:val="22"/>
                <w:szCs w:val="22"/>
              </w:rPr>
            </w:pPr>
            <w:r w:rsidRPr="0116275A">
              <w:rPr>
                <w:rFonts w:asciiTheme="minorHAnsi" w:eastAsiaTheme="minorEastAsia" w:hAnsiTheme="minorHAnsi" w:cstheme="minorBidi"/>
                <w:b/>
                <w:bCs/>
                <w:sz w:val="22"/>
                <w:szCs w:val="22"/>
              </w:rPr>
              <w:t>Likelihood</w:t>
            </w:r>
          </w:p>
        </w:tc>
        <w:tc>
          <w:tcPr>
            <w:tcW w:w="3375" w:type="dxa"/>
          </w:tcPr>
          <w:p w14:paraId="6BAC2565" w14:textId="0A092963" w:rsidR="4B28D73D" w:rsidRDefault="4B28D73D" w:rsidP="0116275A">
            <w:pPr>
              <w:rPr>
                <w:rFonts w:asciiTheme="minorHAnsi" w:eastAsiaTheme="minorEastAsia" w:hAnsiTheme="minorHAnsi" w:cstheme="minorBidi"/>
                <w:b/>
                <w:bCs/>
                <w:sz w:val="22"/>
                <w:szCs w:val="22"/>
              </w:rPr>
            </w:pPr>
            <w:r w:rsidRPr="0116275A">
              <w:rPr>
                <w:rFonts w:asciiTheme="minorHAnsi" w:eastAsiaTheme="minorEastAsia" w:hAnsiTheme="minorHAnsi" w:cstheme="minorBidi"/>
                <w:b/>
                <w:bCs/>
                <w:sz w:val="22"/>
                <w:szCs w:val="22"/>
              </w:rPr>
              <w:t>Mitigation activities</w:t>
            </w:r>
          </w:p>
        </w:tc>
      </w:tr>
      <w:tr w:rsidR="0116275A" w14:paraId="3E9F0492" w14:textId="77777777" w:rsidTr="0116275A">
        <w:tc>
          <w:tcPr>
            <w:tcW w:w="1890" w:type="dxa"/>
          </w:tcPr>
          <w:p w14:paraId="340B1F99" w14:textId="48B655C1" w:rsidR="4B28D73D" w:rsidRDefault="4B28D73D"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lastRenderedPageBreak/>
              <w:t>Credit risk increase due to the sovereign debt crisis in Ecuador and the impact of the COVID-19 pandemic</w:t>
            </w:r>
          </w:p>
        </w:tc>
        <w:tc>
          <w:tcPr>
            <w:tcW w:w="1695" w:type="dxa"/>
          </w:tcPr>
          <w:p w14:paraId="17927891" w14:textId="1F841402" w:rsidR="4B28D73D" w:rsidRDefault="4B28D73D"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 xml:space="preserve">Political and Economic stability   </w:t>
            </w:r>
          </w:p>
        </w:tc>
        <w:tc>
          <w:tcPr>
            <w:tcW w:w="810" w:type="dxa"/>
          </w:tcPr>
          <w:p w14:paraId="2EA07F1B" w14:textId="3E885726" w:rsidR="5A9EB9DE" w:rsidRDefault="5A9EB9DE"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Major</w:t>
            </w:r>
          </w:p>
        </w:tc>
        <w:tc>
          <w:tcPr>
            <w:tcW w:w="1245" w:type="dxa"/>
          </w:tcPr>
          <w:p w14:paraId="6768B6BC" w14:textId="284E2D45" w:rsidR="45A0725B" w:rsidRDefault="45A0725B"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Moderate</w:t>
            </w:r>
          </w:p>
        </w:tc>
        <w:tc>
          <w:tcPr>
            <w:tcW w:w="3375" w:type="dxa"/>
          </w:tcPr>
          <w:p w14:paraId="373D4F38" w14:textId="3EAA18A3" w:rsidR="5A9EB9DE" w:rsidRDefault="5A9EB9DE" w:rsidP="0116275A">
            <w:pPr>
              <w:pStyle w:val="ListParagraph"/>
              <w:numPr>
                <w:ilvl w:val="0"/>
                <w:numId w:val="11"/>
              </w:numPr>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sz w:val="22"/>
                <w:szCs w:val="22"/>
              </w:rPr>
              <w:t xml:space="preserve">Ecuador under intensive monitoring by </w:t>
            </w:r>
            <w:r w:rsidR="4C302541" w:rsidRPr="0116275A">
              <w:rPr>
                <w:rFonts w:asciiTheme="minorHAnsi" w:eastAsiaTheme="minorEastAsia" w:hAnsiTheme="minorHAnsi" w:cstheme="minorBidi"/>
                <w:sz w:val="22"/>
                <w:szCs w:val="22"/>
              </w:rPr>
              <w:t xml:space="preserve">EBF </w:t>
            </w:r>
            <w:r w:rsidRPr="0116275A">
              <w:rPr>
                <w:rFonts w:asciiTheme="minorHAnsi" w:eastAsiaTheme="minorEastAsia" w:hAnsiTheme="minorHAnsi" w:cstheme="minorBidi"/>
                <w:sz w:val="22"/>
                <w:szCs w:val="22"/>
              </w:rPr>
              <w:t xml:space="preserve">(country placed on Critical status) </w:t>
            </w:r>
          </w:p>
          <w:p w14:paraId="7AF837FE" w14:textId="25204BD3" w:rsidR="5A9EB9DE" w:rsidRDefault="5A9EB9DE" w:rsidP="0116275A">
            <w:pPr>
              <w:pStyle w:val="ListParagraph"/>
              <w:numPr>
                <w:ilvl w:val="0"/>
                <w:numId w:val="11"/>
              </w:numPr>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sz w:val="22"/>
                <w:szCs w:val="22"/>
              </w:rPr>
              <w:t>Operating environment is weighting negatively on Ecuadorian credit risk: all PIs were placed on Watch and their internal ratings downgraded</w:t>
            </w:r>
            <w:r w:rsidR="46BC89A9" w:rsidRPr="0116275A">
              <w:rPr>
                <w:rFonts w:asciiTheme="minorHAnsi" w:eastAsiaTheme="minorEastAsia" w:hAnsiTheme="minorHAnsi" w:cstheme="minorBidi"/>
                <w:sz w:val="22"/>
                <w:szCs w:val="22"/>
              </w:rPr>
              <w:t>. EBF do not</w:t>
            </w:r>
            <w:r w:rsidRPr="0116275A">
              <w:rPr>
                <w:rFonts w:asciiTheme="minorHAnsi" w:eastAsiaTheme="minorEastAsia" w:hAnsiTheme="minorHAnsi" w:cstheme="minorBidi"/>
                <w:sz w:val="22"/>
                <w:szCs w:val="22"/>
              </w:rPr>
              <w:t xml:space="preserve"> </w:t>
            </w:r>
            <w:r w:rsidR="547EE857" w:rsidRPr="0116275A">
              <w:rPr>
                <w:rFonts w:asciiTheme="minorHAnsi" w:eastAsiaTheme="minorEastAsia" w:hAnsiTheme="minorHAnsi" w:cstheme="minorBidi"/>
                <w:sz w:val="22"/>
                <w:szCs w:val="22"/>
              </w:rPr>
              <w:t xml:space="preserve">see the </w:t>
            </w:r>
            <w:r w:rsidRPr="0116275A">
              <w:rPr>
                <w:rFonts w:asciiTheme="minorHAnsi" w:eastAsiaTheme="minorEastAsia" w:hAnsiTheme="minorHAnsi" w:cstheme="minorBidi"/>
                <w:sz w:val="22"/>
                <w:szCs w:val="22"/>
              </w:rPr>
              <w:t xml:space="preserve">2020 repayments </w:t>
            </w:r>
            <w:r w:rsidR="489856A2" w:rsidRPr="0116275A">
              <w:rPr>
                <w:rFonts w:asciiTheme="minorHAnsi" w:eastAsiaTheme="minorEastAsia" w:hAnsiTheme="minorHAnsi" w:cstheme="minorBidi"/>
                <w:sz w:val="22"/>
                <w:szCs w:val="22"/>
              </w:rPr>
              <w:t xml:space="preserve">as </w:t>
            </w:r>
            <w:r w:rsidRPr="0116275A">
              <w:rPr>
                <w:rFonts w:asciiTheme="minorHAnsi" w:eastAsiaTheme="minorEastAsia" w:hAnsiTheme="minorHAnsi" w:cstheme="minorBidi"/>
                <w:sz w:val="22"/>
                <w:szCs w:val="22"/>
              </w:rPr>
              <w:t>at risk</w:t>
            </w:r>
          </w:p>
          <w:p w14:paraId="243829D8" w14:textId="0DD38266" w:rsidR="19C6019C" w:rsidRDefault="19C6019C" w:rsidP="0116275A">
            <w:pPr>
              <w:pStyle w:val="ListParagraph"/>
              <w:numPr>
                <w:ilvl w:val="0"/>
                <w:numId w:val="11"/>
              </w:numPr>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sz w:val="22"/>
                <w:szCs w:val="22"/>
              </w:rPr>
              <w:t xml:space="preserve">A PI </w:t>
            </w:r>
            <w:r w:rsidR="1786DB47" w:rsidRPr="0116275A">
              <w:rPr>
                <w:rFonts w:asciiTheme="minorHAnsi" w:eastAsiaTheme="minorEastAsia" w:hAnsiTheme="minorHAnsi" w:cstheme="minorBidi"/>
                <w:sz w:val="22"/>
                <w:szCs w:val="22"/>
              </w:rPr>
              <w:t xml:space="preserve">made a regular repayment in Q2. </w:t>
            </w:r>
            <w:r w:rsidR="416C3198" w:rsidRPr="0116275A">
              <w:rPr>
                <w:rFonts w:asciiTheme="minorHAnsi" w:eastAsiaTheme="minorEastAsia" w:hAnsiTheme="minorHAnsi" w:cstheme="minorBidi"/>
                <w:sz w:val="22"/>
                <w:szCs w:val="22"/>
              </w:rPr>
              <w:t>EBF view the</w:t>
            </w:r>
            <w:r w:rsidR="1786DB47" w:rsidRPr="0116275A">
              <w:rPr>
                <w:rFonts w:asciiTheme="minorHAnsi" w:eastAsiaTheme="minorEastAsia" w:hAnsiTheme="minorHAnsi" w:cstheme="minorBidi"/>
                <w:sz w:val="22"/>
                <w:szCs w:val="22"/>
              </w:rPr>
              <w:t xml:space="preserve"> Ecuadorian PIs a</w:t>
            </w:r>
            <w:r w:rsidR="55754768" w:rsidRPr="0116275A">
              <w:rPr>
                <w:rFonts w:asciiTheme="minorHAnsi" w:eastAsiaTheme="minorEastAsia" w:hAnsiTheme="minorHAnsi" w:cstheme="minorBidi"/>
                <w:sz w:val="22"/>
                <w:szCs w:val="22"/>
              </w:rPr>
              <w:t xml:space="preserve">s </w:t>
            </w:r>
            <w:r w:rsidR="1786DB47" w:rsidRPr="0116275A">
              <w:rPr>
                <w:rFonts w:asciiTheme="minorHAnsi" w:eastAsiaTheme="minorEastAsia" w:hAnsiTheme="minorHAnsi" w:cstheme="minorBidi"/>
                <w:sz w:val="22"/>
                <w:szCs w:val="22"/>
              </w:rPr>
              <w:t>well equipped to continue serving repayments coming due in 2020</w:t>
            </w:r>
          </w:p>
          <w:p w14:paraId="5DE66928" w14:textId="74C62AD6" w:rsidR="6EB7BC75" w:rsidRDefault="6EB7BC75" w:rsidP="0116275A">
            <w:pPr>
              <w:pStyle w:val="ListParagraph"/>
              <w:numPr>
                <w:ilvl w:val="0"/>
                <w:numId w:val="11"/>
              </w:numPr>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sz w:val="22"/>
                <w:szCs w:val="22"/>
              </w:rPr>
              <w:t>Ecuador successfully restructured its debt during Q3, whereby its sovereign rating was upgraded to B- by international rating agencies. The Advisor therefore moved the country out of the Critical monitoring category</w:t>
            </w:r>
          </w:p>
        </w:tc>
      </w:tr>
      <w:tr w:rsidR="0116275A" w14:paraId="11AEC38C" w14:textId="77777777" w:rsidTr="0116275A">
        <w:tc>
          <w:tcPr>
            <w:tcW w:w="1890" w:type="dxa"/>
          </w:tcPr>
          <w:p w14:paraId="3FF9570B" w14:textId="710F4B08" w:rsidR="1786DB47" w:rsidRDefault="1786DB47"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 xml:space="preserve">COVID-19 negatively affected the economic outlook for all EBF countries in </w:t>
            </w:r>
            <w:r w:rsidR="7E5DB27D" w:rsidRPr="0116275A">
              <w:rPr>
                <w:rFonts w:asciiTheme="minorHAnsi" w:eastAsiaTheme="minorEastAsia" w:hAnsiTheme="minorHAnsi" w:cstheme="minorBidi"/>
                <w:sz w:val="22"/>
                <w:szCs w:val="22"/>
              </w:rPr>
              <w:t>2020;</w:t>
            </w:r>
            <w:r w:rsidRPr="0116275A">
              <w:rPr>
                <w:rFonts w:asciiTheme="minorHAnsi" w:eastAsiaTheme="minorEastAsia" w:hAnsiTheme="minorHAnsi" w:cstheme="minorBidi"/>
                <w:sz w:val="22"/>
                <w:szCs w:val="22"/>
              </w:rPr>
              <w:t xml:space="preserve"> June IMF report forecasts a deeper GDP contraction for the region than initially projected in April </w:t>
            </w:r>
          </w:p>
        </w:tc>
        <w:tc>
          <w:tcPr>
            <w:tcW w:w="1695" w:type="dxa"/>
          </w:tcPr>
          <w:p w14:paraId="03648FB8" w14:textId="1F841402" w:rsidR="03283B02" w:rsidRDefault="03283B02"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 xml:space="preserve">Political and Economic stability   </w:t>
            </w:r>
          </w:p>
          <w:p w14:paraId="043C5CCD" w14:textId="7D0AC547" w:rsidR="0116275A" w:rsidRDefault="0116275A" w:rsidP="0116275A"/>
        </w:tc>
        <w:tc>
          <w:tcPr>
            <w:tcW w:w="810" w:type="dxa"/>
          </w:tcPr>
          <w:p w14:paraId="506FF2D7" w14:textId="6C680872" w:rsidR="43978B62" w:rsidRDefault="43978B62"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Moderate</w:t>
            </w:r>
          </w:p>
        </w:tc>
        <w:tc>
          <w:tcPr>
            <w:tcW w:w="1245" w:type="dxa"/>
          </w:tcPr>
          <w:p w14:paraId="3D6924D2" w14:textId="05D627CB" w:rsidR="43978B62" w:rsidRDefault="43978B62"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Low</w:t>
            </w:r>
          </w:p>
        </w:tc>
        <w:tc>
          <w:tcPr>
            <w:tcW w:w="3375" w:type="dxa"/>
          </w:tcPr>
          <w:p w14:paraId="46978257" w14:textId="0D4D9E1C" w:rsidR="1786DB47" w:rsidRDefault="1786DB47" w:rsidP="0116275A">
            <w:pPr>
              <w:pStyle w:val="ListParagraph"/>
              <w:numPr>
                <w:ilvl w:val="0"/>
                <w:numId w:val="10"/>
              </w:numPr>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sz w:val="22"/>
                <w:szCs w:val="22"/>
              </w:rPr>
              <w:t>After having the entire portfolio under intensive monitoring for a quarter, no new material negative trends were identified – thus no new watch cases in Q2</w:t>
            </w:r>
            <w:r w:rsidR="11FF84C0" w:rsidRPr="0116275A">
              <w:rPr>
                <w:rFonts w:asciiTheme="minorHAnsi" w:eastAsiaTheme="minorEastAsia" w:hAnsiTheme="minorHAnsi" w:cstheme="minorBidi"/>
                <w:sz w:val="22"/>
                <w:szCs w:val="22"/>
              </w:rPr>
              <w:t xml:space="preserve"> </w:t>
            </w:r>
            <w:r w:rsidRPr="0116275A">
              <w:rPr>
                <w:rFonts w:asciiTheme="minorHAnsi" w:eastAsiaTheme="minorEastAsia" w:hAnsiTheme="minorHAnsi" w:cstheme="minorBidi"/>
                <w:sz w:val="22"/>
                <w:szCs w:val="22"/>
              </w:rPr>
              <w:t>2020</w:t>
            </w:r>
          </w:p>
        </w:tc>
      </w:tr>
      <w:tr w:rsidR="0116275A" w14:paraId="56421EF3" w14:textId="77777777" w:rsidTr="0116275A">
        <w:tc>
          <w:tcPr>
            <w:tcW w:w="1890" w:type="dxa"/>
          </w:tcPr>
          <w:p w14:paraId="09E2B3E5" w14:textId="007E3933" w:rsidR="6CDB6C2C" w:rsidRDefault="6CDB6C2C"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Deteriorating macroeconomic environment with a deeper contraction than initially projected for 2020 due to CO</w:t>
            </w:r>
            <w:r w:rsidR="54CDA902" w:rsidRPr="0116275A">
              <w:rPr>
                <w:rFonts w:asciiTheme="minorHAnsi" w:eastAsiaTheme="minorEastAsia" w:hAnsiTheme="minorHAnsi" w:cstheme="minorBidi"/>
                <w:sz w:val="22"/>
                <w:szCs w:val="22"/>
              </w:rPr>
              <w:t>VID</w:t>
            </w:r>
            <w:r w:rsidRPr="0116275A">
              <w:rPr>
                <w:rFonts w:asciiTheme="minorHAnsi" w:eastAsiaTheme="minorEastAsia" w:hAnsiTheme="minorHAnsi" w:cstheme="minorBidi"/>
                <w:sz w:val="22"/>
                <w:szCs w:val="22"/>
              </w:rPr>
              <w:t>-19</w:t>
            </w:r>
            <w:r w:rsidR="72FDD139" w:rsidRPr="0116275A">
              <w:rPr>
                <w:rFonts w:asciiTheme="minorHAnsi" w:eastAsiaTheme="minorEastAsia" w:hAnsiTheme="minorHAnsi" w:cstheme="minorBidi"/>
                <w:sz w:val="22"/>
                <w:szCs w:val="22"/>
              </w:rPr>
              <w:t xml:space="preserve"> and a slow recovery in 2021</w:t>
            </w:r>
            <w:r w:rsidRPr="0116275A">
              <w:rPr>
                <w:rFonts w:asciiTheme="minorHAnsi" w:eastAsiaTheme="minorEastAsia" w:hAnsiTheme="minorHAnsi" w:cstheme="minorBidi"/>
                <w:sz w:val="22"/>
                <w:szCs w:val="22"/>
              </w:rPr>
              <w:t xml:space="preserve">, especially in Colombia, </w:t>
            </w:r>
            <w:r w:rsidR="4242F6C2" w:rsidRPr="0116275A">
              <w:rPr>
                <w:rFonts w:asciiTheme="minorHAnsi" w:eastAsiaTheme="minorEastAsia" w:hAnsiTheme="minorHAnsi" w:cstheme="minorBidi"/>
                <w:sz w:val="22"/>
                <w:szCs w:val="22"/>
              </w:rPr>
              <w:t>Ecuador,</w:t>
            </w:r>
            <w:r w:rsidRPr="0116275A">
              <w:rPr>
                <w:rFonts w:asciiTheme="minorHAnsi" w:eastAsiaTheme="minorEastAsia" w:hAnsiTheme="minorHAnsi" w:cstheme="minorBidi"/>
                <w:sz w:val="22"/>
                <w:szCs w:val="22"/>
              </w:rPr>
              <w:t xml:space="preserve"> and El Salvador</w:t>
            </w:r>
          </w:p>
        </w:tc>
        <w:tc>
          <w:tcPr>
            <w:tcW w:w="1695" w:type="dxa"/>
          </w:tcPr>
          <w:p w14:paraId="5A170987" w14:textId="1F841402" w:rsidR="7CC6D17F" w:rsidRDefault="7CC6D17F"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 xml:space="preserve">Political and Economic stability   </w:t>
            </w:r>
          </w:p>
          <w:p w14:paraId="213248DD" w14:textId="3BCAA7C9" w:rsidR="0116275A" w:rsidRDefault="0116275A" w:rsidP="0116275A"/>
        </w:tc>
        <w:tc>
          <w:tcPr>
            <w:tcW w:w="810" w:type="dxa"/>
          </w:tcPr>
          <w:p w14:paraId="3494A639" w14:textId="3AE88F41" w:rsidR="20FD9DC5" w:rsidRDefault="20FD9DC5"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Moderate</w:t>
            </w:r>
          </w:p>
        </w:tc>
        <w:tc>
          <w:tcPr>
            <w:tcW w:w="1245" w:type="dxa"/>
          </w:tcPr>
          <w:p w14:paraId="7A94E9DE" w14:textId="64B28BDF" w:rsidR="20FD9DC5" w:rsidRDefault="20FD9DC5"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Low</w:t>
            </w:r>
          </w:p>
        </w:tc>
        <w:tc>
          <w:tcPr>
            <w:tcW w:w="3375" w:type="dxa"/>
          </w:tcPr>
          <w:p w14:paraId="0C3D4FDC" w14:textId="24AEF933" w:rsidR="6CDB6C2C" w:rsidRDefault="6CDB6C2C" w:rsidP="0116275A">
            <w:pPr>
              <w:pStyle w:val="ListParagraph"/>
              <w:numPr>
                <w:ilvl w:val="0"/>
                <w:numId w:val="8"/>
              </w:numPr>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sz w:val="22"/>
                <w:szCs w:val="22"/>
              </w:rPr>
              <w:t xml:space="preserve">Regular monitoring of political and economic situation </w:t>
            </w:r>
          </w:p>
          <w:p w14:paraId="3F93E6B5" w14:textId="499950E9" w:rsidR="6CDB6C2C" w:rsidRDefault="6CDB6C2C" w:rsidP="0116275A">
            <w:pPr>
              <w:pStyle w:val="ListParagraph"/>
              <w:numPr>
                <w:ilvl w:val="0"/>
                <w:numId w:val="8"/>
              </w:numPr>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sz w:val="22"/>
                <w:szCs w:val="22"/>
              </w:rPr>
              <w:t>Continued monitoring of loan repayments (so far loan repayments are as expected)</w:t>
            </w:r>
          </w:p>
          <w:p w14:paraId="62790F59" w14:textId="5BF898FC" w:rsidR="70B4456C" w:rsidRDefault="70B4456C" w:rsidP="0116275A">
            <w:pPr>
              <w:pStyle w:val="ListParagraph"/>
              <w:numPr>
                <w:ilvl w:val="0"/>
                <w:numId w:val="8"/>
              </w:numPr>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sz w:val="22"/>
                <w:szCs w:val="22"/>
              </w:rPr>
              <w:t xml:space="preserve">New investments, particularly in Guatemala and Honduras, have contributed towards reducing the portfolio concentration in top 3 </w:t>
            </w:r>
            <w:r w:rsidRPr="0116275A">
              <w:rPr>
                <w:rFonts w:asciiTheme="minorHAnsi" w:eastAsiaTheme="minorEastAsia" w:hAnsiTheme="minorHAnsi" w:cstheme="minorBidi"/>
                <w:sz w:val="22"/>
                <w:szCs w:val="22"/>
              </w:rPr>
              <w:lastRenderedPageBreak/>
              <w:t>countries (Colombia, Panama, Ecuador)</w:t>
            </w:r>
          </w:p>
        </w:tc>
      </w:tr>
      <w:tr w:rsidR="0116275A" w14:paraId="72465B6B" w14:textId="77777777" w:rsidTr="0116275A">
        <w:tc>
          <w:tcPr>
            <w:tcW w:w="1890" w:type="dxa"/>
          </w:tcPr>
          <w:p w14:paraId="24FD5B78" w14:textId="060D63B8" w:rsidR="318D4CF3" w:rsidRDefault="318D4CF3"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lastRenderedPageBreak/>
              <w:t>Nicaragua's sustained economic downturn since the political crisis that started in April 2018 was aggravated by the economic challenges driven by COVID-19 pandemic</w:t>
            </w:r>
          </w:p>
        </w:tc>
        <w:tc>
          <w:tcPr>
            <w:tcW w:w="1695" w:type="dxa"/>
          </w:tcPr>
          <w:p w14:paraId="137F1EBA" w14:textId="1F841402" w:rsidR="6B034B27" w:rsidRDefault="6B034B27"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 xml:space="preserve">Political and Economic stability   </w:t>
            </w:r>
          </w:p>
          <w:p w14:paraId="262DF0C2" w14:textId="3924F332" w:rsidR="0116275A" w:rsidRDefault="0116275A" w:rsidP="0116275A"/>
        </w:tc>
        <w:tc>
          <w:tcPr>
            <w:tcW w:w="810" w:type="dxa"/>
          </w:tcPr>
          <w:p w14:paraId="6A3054D1" w14:textId="3E1795A3" w:rsidR="463F87E5" w:rsidRDefault="463F87E5"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Moderate</w:t>
            </w:r>
          </w:p>
        </w:tc>
        <w:tc>
          <w:tcPr>
            <w:tcW w:w="1245" w:type="dxa"/>
          </w:tcPr>
          <w:p w14:paraId="4966100B" w14:textId="65BD8372" w:rsidR="463F87E5" w:rsidRDefault="463F87E5" w:rsidP="0116275A">
            <w:pPr>
              <w:rPr>
                <w:rFonts w:asciiTheme="minorHAnsi" w:eastAsiaTheme="minorEastAsia" w:hAnsiTheme="minorHAnsi" w:cstheme="minorBidi"/>
                <w:sz w:val="22"/>
                <w:szCs w:val="22"/>
              </w:rPr>
            </w:pPr>
            <w:r w:rsidRPr="0116275A">
              <w:rPr>
                <w:rFonts w:asciiTheme="minorHAnsi" w:eastAsiaTheme="minorEastAsia" w:hAnsiTheme="minorHAnsi" w:cstheme="minorBidi"/>
                <w:sz w:val="22"/>
                <w:szCs w:val="22"/>
              </w:rPr>
              <w:t>Low</w:t>
            </w:r>
          </w:p>
        </w:tc>
        <w:tc>
          <w:tcPr>
            <w:tcW w:w="3375" w:type="dxa"/>
          </w:tcPr>
          <w:p w14:paraId="0BB2DB87" w14:textId="07CA0AC1" w:rsidR="318D4CF3" w:rsidRDefault="318D4CF3" w:rsidP="0116275A">
            <w:pPr>
              <w:pStyle w:val="ListParagraph"/>
              <w:numPr>
                <w:ilvl w:val="0"/>
                <w:numId w:val="9"/>
              </w:numPr>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sz w:val="22"/>
                <w:szCs w:val="22"/>
              </w:rPr>
              <w:t>Nicaragua remains on Watch since Q2 2019</w:t>
            </w:r>
          </w:p>
          <w:p w14:paraId="66A5A011" w14:textId="2AEE673D" w:rsidR="318D4CF3" w:rsidRDefault="318D4CF3" w:rsidP="0116275A">
            <w:pPr>
              <w:pStyle w:val="ListParagraph"/>
              <w:numPr>
                <w:ilvl w:val="0"/>
                <w:numId w:val="9"/>
              </w:numPr>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sz w:val="22"/>
                <w:szCs w:val="22"/>
              </w:rPr>
              <w:t xml:space="preserve">Regular monitoring of political and economic situation </w:t>
            </w:r>
          </w:p>
          <w:p w14:paraId="59C4C3F5" w14:textId="66949CFE" w:rsidR="318D4CF3" w:rsidRDefault="318D4CF3" w:rsidP="0116275A">
            <w:pPr>
              <w:pStyle w:val="ListParagraph"/>
              <w:numPr>
                <w:ilvl w:val="0"/>
                <w:numId w:val="9"/>
              </w:numPr>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sz w:val="22"/>
                <w:szCs w:val="22"/>
              </w:rPr>
              <w:t>Continued monitoring of loan repayments (so far loan repayments are as expect</w:t>
            </w:r>
            <w:r w:rsidR="4642A116" w:rsidRPr="0116275A">
              <w:rPr>
                <w:rFonts w:asciiTheme="minorHAnsi" w:eastAsiaTheme="minorEastAsia" w:hAnsiTheme="minorHAnsi" w:cstheme="minorBidi"/>
                <w:sz w:val="22"/>
                <w:szCs w:val="22"/>
              </w:rPr>
              <w:t>ed)</w:t>
            </w:r>
          </w:p>
        </w:tc>
      </w:tr>
    </w:tbl>
    <w:p w14:paraId="3CB3AABA" w14:textId="0FE42EDA" w:rsidR="006F3AE7" w:rsidRDefault="006F3AE7" w:rsidP="0F40B7D6">
      <w:pPr>
        <w:rPr>
          <w:rFonts w:cs="Arial"/>
          <w:b/>
          <w:bCs/>
          <w:color w:val="FF0000"/>
          <w:sz w:val="22"/>
          <w:szCs w:val="22"/>
        </w:rPr>
      </w:pPr>
    </w:p>
    <w:p w14:paraId="3FE60DA1" w14:textId="77777777" w:rsidR="00C86B06" w:rsidRDefault="00C86B06" w:rsidP="0F40B7D6">
      <w:pPr>
        <w:rPr>
          <w:rFonts w:cs="Arial"/>
          <w:b/>
          <w:bCs/>
          <w:color w:val="FF0000"/>
          <w:sz w:val="22"/>
          <w:szCs w:val="22"/>
        </w:rPr>
      </w:pPr>
    </w:p>
    <w:p w14:paraId="21000D4B" w14:textId="77777777" w:rsidR="00C86B06" w:rsidRPr="00F70DBE" w:rsidRDefault="00C86B06" w:rsidP="00C86B06">
      <w:pPr>
        <w:pBdr>
          <w:top w:val="single" w:sz="4" w:space="1" w:color="auto"/>
          <w:left w:val="single" w:sz="4" w:space="4" w:color="auto"/>
          <w:bottom w:val="single" w:sz="4" w:space="1" w:color="auto"/>
          <w:right w:val="single" w:sz="4" w:space="4" w:color="auto"/>
        </w:pBdr>
        <w:shd w:val="clear" w:color="auto" w:fill="D9E2F3" w:themeFill="accent1" w:themeFillTint="33"/>
        <w:rPr>
          <w:color w:val="FF0000"/>
          <w:sz w:val="20"/>
          <w:szCs w:val="20"/>
        </w:rPr>
      </w:pPr>
      <w:r w:rsidRPr="006D6F0F">
        <w:rPr>
          <w:b/>
          <w:bCs/>
          <w:sz w:val="28"/>
          <w:szCs w:val="28"/>
        </w:rPr>
        <w:t xml:space="preserve">E: PROGRAMME MANAGEMENT: </w:t>
      </w:r>
      <w:bookmarkStart w:id="2" w:name="_Hlk21353049"/>
      <w:r w:rsidRPr="006D6F0F">
        <w:rPr>
          <w:b/>
          <w:bCs/>
          <w:sz w:val="28"/>
          <w:szCs w:val="28"/>
        </w:rPr>
        <w:t xml:space="preserve">DELIVERY, COMMERCIAL &amp; FINANCIAL PERFORMANCE </w:t>
      </w:r>
      <w:bookmarkEnd w:id="2"/>
    </w:p>
    <w:p w14:paraId="21E430F5" w14:textId="77067074" w:rsidR="00822B64" w:rsidRDefault="00822B64" w:rsidP="2BE51E91">
      <w:pPr>
        <w:rPr>
          <w:rFonts w:cs="Arial"/>
          <w:color w:val="FF0000"/>
          <w:sz w:val="22"/>
          <w:szCs w:val="22"/>
        </w:rPr>
      </w:pPr>
    </w:p>
    <w:p w14:paraId="1F98367E" w14:textId="20E517F5" w:rsidR="2F100E7A" w:rsidRDefault="48A30F07" w:rsidP="1EE0C08E">
      <w:pPr>
        <w:pStyle w:val="Normal1"/>
        <w:spacing w:after="120"/>
        <w:jc w:val="both"/>
        <w:rPr>
          <w:rFonts w:ascii="Calibri" w:eastAsia="Calibri" w:hAnsi="Calibri" w:cs="Calibri"/>
          <w:color w:val="000000" w:themeColor="text1"/>
          <w:sz w:val="22"/>
          <w:szCs w:val="22"/>
        </w:rPr>
      </w:pPr>
      <w:r w:rsidRPr="1EE0C08E">
        <w:rPr>
          <w:rFonts w:ascii="Calibri" w:eastAsia="Calibri" w:hAnsi="Calibri" w:cs="Calibri"/>
          <w:b/>
          <w:bCs/>
          <w:color w:val="000000" w:themeColor="text1"/>
          <w:sz w:val="22"/>
          <w:szCs w:val="22"/>
        </w:rPr>
        <w:t>Financ</w:t>
      </w:r>
      <w:r w:rsidR="37344F6F" w:rsidRPr="1EE0C08E">
        <w:rPr>
          <w:rFonts w:ascii="Calibri" w:eastAsia="Calibri" w:hAnsi="Calibri" w:cs="Calibri"/>
          <w:b/>
          <w:bCs/>
          <w:color w:val="000000" w:themeColor="text1"/>
          <w:sz w:val="22"/>
          <w:szCs w:val="22"/>
        </w:rPr>
        <w:t>e</w:t>
      </w:r>
      <w:r w:rsidR="2F100E7A" w:rsidRPr="1EE0C08E">
        <w:rPr>
          <w:rFonts w:ascii="Calibri" w:eastAsia="Calibri" w:hAnsi="Calibri" w:cs="Calibri"/>
          <w:b/>
          <w:bCs/>
          <w:color w:val="000000" w:themeColor="text1"/>
          <w:sz w:val="22"/>
          <w:szCs w:val="22"/>
        </w:rPr>
        <w:t xml:space="preserve">: </w:t>
      </w:r>
    </w:p>
    <w:p w14:paraId="14D66DC0" w14:textId="105C37B8" w:rsidR="37647A2F" w:rsidRDefault="37647A2F" w:rsidP="0116275A">
      <w:pPr>
        <w:spacing w:beforeAutospacing="1" w:afterAutospacing="1"/>
        <w:jc w:val="both"/>
        <w:rPr>
          <w:rStyle w:val="normaltextrun"/>
          <w:rFonts w:ascii="Calibri" w:eastAsia="Calibri" w:hAnsi="Calibri" w:cs="Calibri"/>
          <w:color w:val="000000" w:themeColor="text1"/>
          <w:sz w:val="22"/>
          <w:szCs w:val="22"/>
        </w:rPr>
      </w:pPr>
      <w:r w:rsidRPr="0116275A">
        <w:rPr>
          <w:rStyle w:val="normaltextrun"/>
          <w:rFonts w:ascii="Calibri" w:eastAsia="Calibri" w:hAnsi="Calibri" w:cs="Calibri"/>
          <w:color w:val="000000" w:themeColor="text1"/>
          <w:sz w:val="22"/>
          <w:szCs w:val="22"/>
        </w:rPr>
        <w:t xml:space="preserve">Defra </w:t>
      </w:r>
      <w:r w:rsidR="7C44222D" w:rsidRPr="0116275A">
        <w:rPr>
          <w:rStyle w:val="normaltextrun"/>
          <w:rFonts w:ascii="Calibri" w:eastAsia="Calibri" w:hAnsi="Calibri" w:cs="Calibri"/>
          <w:color w:val="000000" w:themeColor="text1"/>
          <w:sz w:val="22"/>
          <w:szCs w:val="22"/>
        </w:rPr>
        <w:t xml:space="preserve">has </w:t>
      </w:r>
      <w:r w:rsidRPr="0116275A">
        <w:rPr>
          <w:rStyle w:val="normaltextrun"/>
          <w:rFonts w:ascii="Calibri" w:eastAsia="Calibri" w:hAnsi="Calibri" w:cs="Calibri"/>
          <w:color w:val="000000" w:themeColor="text1"/>
          <w:sz w:val="22"/>
          <w:szCs w:val="22"/>
        </w:rPr>
        <w:t xml:space="preserve">received </w:t>
      </w:r>
      <w:r w:rsidR="7EFFF543" w:rsidRPr="0116275A">
        <w:rPr>
          <w:rStyle w:val="normaltextrun"/>
          <w:rFonts w:ascii="Calibri" w:eastAsia="Calibri" w:hAnsi="Calibri" w:cs="Calibri"/>
          <w:color w:val="000000" w:themeColor="text1"/>
          <w:sz w:val="22"/>
          <w:szCs w:val="22"/>
        </w:rPr>
        <w:t xml:space="preserve">the </w:t>
      </w:r>
      <w:r w:rsidR="254429CD" w:rsidRPr="0116275A">
        <w:rPr>
          <w:rStyle w:val="normaltextrun"/>
          <w:rFonts w:ascii="Calibri" w:eastAsia="Calibri" w:hAnsi="Calibri" w:cs="Calibri"/>
          <w:color w:val="000000" w:themeColor="text1"/>
          <w:sz w:val="22"/>
          <w:szCs w:val="22"/>
        </w:rPr>
        <w:t xml:space="preserve">audited financial statement </w:t>
      </w:r>
      <w:r w:rsidR="260A246D" w:rsidRPr="0116275A">
        <w:rPr>
          <w:rStyle w:val="normaltextrun"/>
          <w:rFonts w:ascii="Calibri" w:eastAsia="Calibri" w:hAnsi="Calibri" w:cs="Calibri"/>
          <w:color w:val="000000" w:themeColor="text1"/>
          <w:sz w:val="22"/>
          <w:szCs w:val="22"/>
        </w:rPr>
        <w:t xml:space="preserve">from EBF 1st January to 31st December 2020. The auditor’s report confirms that EBF’s financial </w:t>
      </w:r>
      <w:r w:rsidR="6965A2A7" w:rsidRPr="0116275A">
        <w:rPr>
          <w:rStyle w:val="normaltextrun"/>
          <w:rFonts w:ascii="Calibri" w:eastAsia="Calibri" w:hAnsi="Calibri" w:cs="Calibri"/>
          <w:color w:val="000000" w:themeColor="text1"/>
          <w:sz w:val="22"/>
          <w:szCs w:val="22"/>
        </w:rPr>
        <w:t xml:space="preserve">statements give a true and fair view of the financial position of the Fund and of each of its sub-funds as </w:t>
      </w:r>
      <w:r w:rsidR="66CD5DC0" w:rsidRPr="0116275A">
        <w:rPr>
          <w:rStyle w:val="normaltextrun"/>
          <w:rFonts w:ascii="Calibri" w:eastAsia="Calibri" w:hAnsi="Calibri" w:cs="Calibri"/>
          <w:color w:val="000000" w:themeColor="text1"/>
          <w:sz w:val="22"/>
          <w:szCs w:val="22"/>
        </w:rPr>
        <w:t>of</w:t>
      </w:r>
      <w:r w:rsidR="6965A2A7" w:rsidRPr="0116275A">
        <w:rPr>
          <w:rStyle w:val="normaltextrun"/>
          <w:rFonts w:ascii="Calibri" w:eastAsia="Calibri" w:hAnsi="Calibri" w:cs="Calibri"/>
          <w:color w:val="000000" w:themeColor="text1"/>
          <w:sz w:val="22"/>
          <w:szCs w:val="22"/>
        </w:rPr>
        <w:t xml:space="preserve"> 31 December 2020, and of their financial performance and their cashflows for the year then ended in accordance with International Financial Reporting Standards (“IFRS”) as adopted by the European Union.</w:t>
      </w:r>
    </w:p>
    <w:p w14:paraId="38473483" w14:textId="25A06AD8" w:rsidR="53D7B4B9" w:rsidRDefault="53D7B4B9" w:rsidP="0116275A">
      <w:pPr>
        <w:spacing w:beforeAutospacing="1" w:afterAutospacing="1"/>
        <w:jc w:val="both"/>
        <w:rPr>
          <w:rStyle w:val="normaltextrun"/>
          <w:rFonts w:ascii="Calibri" w:eastAsia="Calibri" w:hAnsi="Calibri" w:cs="Calibri"/>
          <w:color w:val="000000" w:themeColor="text1"/>
          <w:sz w:val="22"/>
          <w:szCs w:val="22"/>
        </w:rPr>
      </w:pPr>
      <w:r w:rsidRPr="0116275A">
        <w:rPr>
          <w:rStyle w:val="normaltextrun"/>
          <w:rFonts w:ascii="Calibri" w:eastAsia="Calibri" w:hAnsi="Calibri" w:cs="Calibri"/>
          <w:color w:val="000000" w:themeColor="text1"/>
          <w:sz w:val="22"/>
          <w:szCs w:val="22"/>
        </w:rPr>
        <w:t>EBF LAC successfully attracted new funding into all instruments. During 2020, the Sub-Fund subscribed USD 73m Junior Shares, USD 12m Senior Shares, USD 32m Subordinated Notes and USD 21m Senior Notes.</w:t>
      </w:r>
      <w:r w:rsidR="62F452A2" w:rsidRPr="0116275A">
        <w:rPr>
          <w:rStyle w:val="normaltextrun"/>
          <w:rFonts w:ascii="Calibri" w:eastAsia="Calibri" w:hAnsi="Calibri" w:cs="Calibri"/>
          <w:color w:val="000000" w:themeColor="text1"/>
          <w:sz w:val="22"/>
          <w:szCs w:val="22"/>
        </w:rPr>
        <w:t xml:space="preserve"> In 2020 the EBF LAC achieved distributions to holders of redeemable ordinary shares (</w:t>
      </w:r>
      <w:r w:rsidR="43143118" w:rsidRPr="0116275A">
        <w:rPr>
          <w:rStyle w:val="normaltextrun"/>
          <w:rFonts w:ascii="Calibri" w:eastAsia="Calibri" w:hAnsi="Calibri" w:cs="Calibri"/>
          <w:color w:val="000000" w:themeColor="text1"/>
          <w:sz w:val="22"/>
          <w:szCs w:val="22"/>
        </w:rPr>
        <w:t>i.e.,</w:t>
      </w:r>
      <w:r w:rsidR="62F452A2" w:rsidRPr="0116275A">
        <w:rPr>
          <w:rStyle w:val="normaltextrun"/>
          <w:rFonts w:ascii="Calibri" w:eastAsia="Calibri" w:hAnsi="Calibri" w:cs="Calibri"/>
          <w:color w:val="000000" w:themeColor="text1"/>
          <w:sz w:val="22"/>
          <w:szCs w:val="22"/>
        </w:rPr>
        <w:t xml:space="preserve"> Senior Shares) of USD 2.6 million, enabling the Sub- Fund to maintain pay-out of solid dividends for its Shareholders.</w:t>
      </w:r>
    </w:p>
    <w:p w14:paraId="3C3F0791" w14:textId="007E57F1" w:rsidR="3D704E80" w:rsidRPr="00A46CCC" w:rsidRDefault="4CEA5AEA" w:rsidP="72ECE0DE">
      <w:pPr>
        <w:spacing w:beforeAutospacing="1" w:afterAutospacing="1"/>
        <w:jc w:val="both"/>
        <w:rPr>
          <w:rFonts w:ascii="Calibri" w:eastAsia="Calibri" w:hAnsi="Calibri" w:cs="Calibri"/>
          <w:sz w:val="22"/>
          <w:szCs w:val="22"/>
        </w:rPr>
      </w:pPr>
      <w:r w:rsidRPr="72ECE0DE">
        <w:rPr>
          <w:rStyle w:val="normaltextrun"/>
          <w:rFonts w:ascii="Calibri" w:eastAsia="Calibri" w:hAnsi="Calibri" w:cs="Calibri"/>
          <w:color w:val="000000" w:themeColor="text1"/>
          <w:sz w:val="22"/>
          <w:szCs w:val="22"/>
        </w:rPr>
        <w:t xml:space="preserve">The total operating costs for 2020 </w:t>
      </w:r>
      <w:r w:rsidR="1CE1E338" w:rsidRPr="72ECE0DE">
        <w:rPr>
          <w:rStyle w:val="normaltextrun"/>
          <w:rFonts w:ascii="Calibri" w:eastAsia="Calibri" w:hAnsi="Calibri" w:cs="Calibri"/>
          <w:color w:val="000000" w:themeColor="text1"/>
          <w:sz w:val="22"/>
          <w:szCs w:val="22"/>
        </w:rPr>
        <w:t xml:space="preserve">comprised </w:t>
      </w:r>
      <w:r w:rsidR="7F27D97D" w:rsidRPr="72ECE0DE">
        <w:rPr>
          <w:rStyle w:val="normaltextrun"/>
          <w:rFonts w:ascii="Calibri" w:eastAsia="Calibri" w:hAnsi="Calibri" w:cs="Calibri"/>
          <w:color w:val="000000" w:themeColor="text1"/>
          <w:sz w:val="22"/>
          <w:szCs w:val="22"/>
        </w:rPr>
        <w:t>1.</w:t>
      </w:r>
      <w:r w:rsidR="7F27D97D" w:rsidRPr="72ECE0DE">
        <w:rPr>
          <w:rStyle w:val="normaltextrun"/>
          <w:rFonts w:ascii="Calibri" w:eastAsia="Calibri" w:hAnsi="Calibri" w:cs="Calibri"/>
          <w:sz w:val="22"/>
          <w:szCs w:val="22"/>
        </w:rPr>
        <w:t>7</w:t>
      </w:r>
      <w:r w:rsidRPr="72ECE0DE">
        <w:rPr>
          <w:rStyle w:val="normaltextrun"/>
          <w:rFonts w:ascii="Calibri" w:eastAsia="Calibri" w:hAnsi="Calibri" w:cs="Calibri"/>
          <w:sz w:val="22"/>
          <w:szCs w:val="22"/>
        </w:rPr>
        <w:t>%</w:t>
      </w:r>
      <w:r w:rsidR="7174F94D" w:rsidRPr="72ECE0DE">
        <w:rPr>
          <w:rStyle w:val="normaltextrun"/>
          <w:rFonts w:ascii="Calibri" w:eastAsia="Calibri" w:hAnsi="Calibri" w:cs="Calibri"/>
          <w:sz w:val="22"/>
          <w:szCs w:val="22"/>
        </w:rPr>
        <w:t xml:space="preserve"> of average total assets over 2020</w:t>
      </w:r>
      <w:r w:rsidRPr="72ECE0DE">
        <w:rPr>
          <w:rStyle w:val="normaltextrun"/>
          <w:rFonts w:ascii="Calibri" w:eastAsia="Calibri" w:hAnsi="Calibri" w:cs="Calibri"/>
          <w:sz w:val="22"/>
          <w:szCs w:val="22"/>
        </w:rPr>
        <w:t xml:space="preserve">. </w:t>
      </w:r>
      <w:r w:rsidRPr="72ECE0DE">
        <w:rPr>
          <w:rStyle w:val="normaltextrun"/>
          <w:rFonts w:ascii="Calibri" w:eastAsia="Calibri" w:hAnsi="Calibri" w:cs="Calibri"/>
          <w:color w:val="000000" w:themeColor="text1"/>
          <w:sz w:val="22"/>
          <w:szCs w:val="22"/>
        </w:rPr>
        <w:t>A reduction, as a percentage of the Fund, from 2.81% in 2018 and 2.01</w:t>
      </w:r>
      <w:r w:rsidR="00A40C70" w:rsidRPr="72ECE0DE">
        <w:rPr>
          <w:rStyle w:val="normaltextrun"/>
          <w:rFonts w:ascii="Calibri" w:eastAsia="Calibri" w:hAnsi="Calibri" w:cs="Calibri"/>
          <w:color w:val="000000" w:themeColor="text1"/>
          <w:sz w:val="22"/>
          <w:szCs w:val="22"/>
        </w:rPr>
        <w:t>%</w:t>
      </w:r>
      <w:r w:rsidRPr="72ECE0DE">
        <w:rPr>
          <w:rStyle w:val="normaltextrun"/>
          <w:rFonts w:ascii="Calibri" w:eastAsia="Calibri" w:hAnsi="Calibri" w:cs="Calibri"/>
          <w:color w:val="000000" w:themeColor="text1"/>
          <w:sz w:val="22"/>
          <w:szCs w:val="22"/>
        </w:rPr>
        <w:t xml:space="preserve"> in 2019. Total operating costs include the Fund</w:t>
      </w:r>
      <w:r w:rsidR="00650665" w:rsidRPr="72ECE0DE">
        <w:rPr>
          <w:rStyle w:val="normaltextrun"/>
          <w:rFonts w:ascii="Calibri" w:eastAsia="Calibri" w:hAnsi="Calibri" w:cs="Calibri"/>
          <w:color w:val="000000" w:themeColor="text1"/>
          <w:sz w:val="22"/>
          <w:szCs w:val="22"/>
        </w:rPr>
        <w:t xml:space="preserve">’s service provider </w:t>
      </w:r>
      <w:r w:rsidRPr="72ECE0DE">
        <w:rPr>
          <w:rStyle w:val="normaltextrun"/>
          <w:rFonts w:ascii="Calibri" w:eastAsia="Calibri" w:hAnsi="Calibri" w:cs="Calibri"/>
          <w:color w:val="000000" w:themeColor="text1"/>
          <w:sz w:val="22"/>
          <w:szCs w:val="22"/>
        </w:rPr>
        <w:t xml:space="preserve">fees, the cost of which has been covered directly from returns on </w:t>
      </w:r>
      <w:r w:rsidR="00C219BB" w:rsidRPr="72ECE0DE">
        <w:rPr>
          <w:rStyle w:val="normaltextrun"/>
          <w:rFonts w:ascii="Calibri" w:eastAsia="Calibri" w:hAnsi="Calibri" w:cs="Calibri"/>
          <w:color w:val="000000" w:themeColor="text1"/>
          <w:sz w:val="22"/>
          <w:szCs w:val="22"/>
        </w:rPr>
        <w:t xml:space="preserve">investments </w:t>
      </w:r>
      <w:r w:rsidRPr="72ECE0DE">
        <w:rPr>
          <w:rStyle w:val="normaltextrun"/>
          <w:rFonts w:ascii="Calibri" w:eastAsia="Calibri" w:hAnsi="Calibri" w:cs="Calibri"/>
          <w:color w:val="000000" w:themeColor="text1"/>
          <w:sz w:val="22"/>
          <w:szCs w:val="22"/>
        </w:rPr>
        <w:t xml:space="preserve">of the Fund. The remaining income will be redistributed to the shareholders, via the income waterfall. The income waterfall will ensure that more senior debt and shareholdings are paid </w:t>
      </w:r>
      <w:r w:rsidR="18525F0E" w:rsidRPr="72ECE0DE">
        <w:rPr>
          <w:rStyle w:val="normaltextrun"/>
          <w:rFonts w:ascii="Calibri" w:eastAsia="Calibri" w:hAnsi="Calibri" w:cs="Calibri"/>
          <w:color w:val="000000" w:themeColor="text1"/>
          <w:sz w:val="22"/>
          <w:szCs w:val="22"/>
        </w:rPr>
        <w:t>first before</w:t>
      </w:r>
      <w:r w:rsidRPr="72ECE0DE">
        <w:rPr>
          <w:rStyle w:val="normaltextrun"/>
          <w:rFonts w:ascii="Calibri" w:eastAsia="Calibri" w:hAnsi="Calibri" w:cs="Calibri"/>
          <w:color w:val="000000" w:themeColor="text1"/>
          <w:sz w:val="22"/>
          <w:szCs w:val="22"/>
        </w:rPr>
        <w:t xml:space="preserve"> complementary dividends are paid to the Junior shareholders (Defra). As the Fund’s income has exceeded costs, Junior shareholders have received a </w:t>
      </w:r>
      <w:r w:rsidRPr="72ECE0DE">
        <w:rPr>
          <w:rStyle w:val="normaltextrun"/>
          <w:rFonts w:ascii="Calibri" w:eastAsia="Calibri" w:hAnsi="Calibri" w:cs="Calibri"/>
          <w:sz w:val="22"/>
          <w:szCs w:val="22"/>
        </w:rPr>
        <w:t xml:space="preserve">dividend </w:t>
      </w:r>
      <w:r w:rsidR="00E318FA" w:rsidRPr="72ECE0DE">
        <w:rPr>
          <w:rStyle w:val="normaltextrun"/>
          <w:rFonts w:ascii="Calibri" w:eastAsia="Calibri" w:hAnsi="Calibri" w:cs="Calibri"/>
          <w:sz w:val="22"/>
          <w:szCs w:val="22"/>
        </w:rPr>
        <w:t xml:space="preserve">of </w:t>
      </w:r>
      <w:r w:rsidR="00DA3907" w:rsidRPr="72ECE0DE">
        <w:rPr>
          <w:rStyle w:val="normaltextrun"/>
          <w:rFonts w:ascii="Calibri" w:eastAsia="Calibri" w:hAnsi="Calibri" w:cs="Calibri"/>
          <w:sz w:val="22"/>
          <w:szCs w:val="22"/>
        </w:rPr>
        <w:t>0.5</w:t>
      </w:r>
      <w:r w:rsidRPr="72ECE0DE">
        <w:rPr>
          <w:rStyle w:val="normaltextrun"/>
          <w:rFonts w:ascii="Calibri" w:eastAsia="Calibri" w:hAnsi="Calibri" w:cs="Calibri"/>
          <w:sz w:val="22"/>
          <w:szCs w:val="22"/>
        </w:rPr>
        <w:t>%</w:t>
      </w:r>
      <w:r w:rsidR="0D17AC10" w:rsidRPr="72ECE0DE">
        <w:rPr>
          <w:rStyle w:val="normaltextrun"/>
          <w:rFonts w:ascii="Calibri" w:eastAsia="Calibri" w:hAnsi="Calibri" w:cs="Calibri"/>
          <w:sz w:val="22"/>
          <w:szCs w:val="22"/>
        </w:rPr>
        <w:t xml:space="preserve"> of their investment</w:t>
      </w:r>
      <w:r w:rsidRPr="72ECE0DE">
        <w:rPr>
          <w:rStyle w:val="normaltextrun"/>
          <w:rFonts w:ascii="Calibri" w:eastAsia="Calibri" w:hAnsi="Calibri" w:cs="Calibri"/>
          <w:sz w:val="22"/>
          <w:szCs w:val="22"/>
        </w:rPr>
        <w:t>.  </w:t>
      </w:r>
    </w:p>
    <w:p w14:paraId="2423C972" w14:textId="52664A02" w:rsidR="72ECE0DE" w:rsidRDefault="72ECE0DE" w:rsidP="72ECE0DE">
      <w:pPr>
        <w:spacing w:beforeAutospacing="1" w:afterAutospacing="1"/>
        <w:jc w:val="both"/>
        <w:rPr>
          <w:rStyle w:val="normaltextrun"/>
          <w:rFonts w:ascii="Calibri" w:eastAsia="Calibri" w:hAnsi="Calibri" w:cs="Calibri"/>
          <w:sz w:val="22"/>
          <w:szCs w:val="22"/>
        </w:rPr>
      </w:pPr>
    </w:p>
    <w:p w14:paraId="2F80A250" w14:textId="5FE72478" w:rsidR="3FDDADD1" w:rsidRDefault="11A25408" w:rsidP="006F071F">
      <w:pPr>
        <w:pStyle w:val="Normal1"/>
        <w:spacing w:after="120"/>
        <w:jc w:val="both"/>
      </w:pPr>
      <w:r w:rsidRPr="2BE51E91">
        <w:rPr>
          <w:rFonts w:ascii="Calibri" w:eastAsia="Calibri" w:hAnsi="Calibri" w:cs="Calibri"/>
          <w:color w:val="000000" w:themeColor="text1"/>
          <w:sz w:val="22"/>
          <w:szCs w:val="22"/>
        </w:rPr>
        <w:t>Defra</w:t>
      </w:r>
      <w:r w:rsidR="772BE068" w:rsidRPr="2BE51E91">
        <w:rPr>
          <w:rFonts w:ascii="Calibri" w:eastAsia="Calibri" w:hAnsi="Calibri" w:cs="Calibri"/>
          <w:color w:val="000000" w:themeColor="text1"/>
          <w:sz w:val="22"/>
          <w:szCs w:val="22"/>
        </w:rPr>
        <w:t>’s</w:t>
      </w:r>
      <w:r w:rsidRPr="2BE51E91">
        <w:rPr>
          <w:rFonts w:ascii="Calibri" w:eastAsia="Calibri" w:hAnsi="Calibri" w:cs="Calibri"/>
          <w:color w:val="000000" w:themeColor="text1"/>
          <w:sz w:val="22"/>
          <w:szCs w:val="22"/>
        </w:rPr>
        <w:t xml:space="preserve"> investment in EBF continues to represent good </w:t>
      </w:r>
      <w:proofErr w:type="spellStart"/>
      <w:r w:rsidRPr="2BE51E91">
        <w:rPr>
          <w:rFonts w:ascii="Calibri" w:eastAsia="Calibri" w:hAnsi="Calibri" w:cs="Calibri"/>
          <w:color w:val="000000" w:themeColor="text1"/>
          <w:sz w:val="22"/>
          <w:szCs w:val="22"/>
        </w:rPr>
        <w:t>VfM</w:t>
      </w:r>
      <w:proofErr w:type="spellEnd"/>
      <w:r w:rsidRPr="2BE51E91">
        <w:rPr>
          <w:rFonts w:ascii="Calibri" w:eastAsia="Calibri" w:hAnsi="Calibri" w:cs="Calibri"/>
          <w:color w:val="000000" w:themeColor="text1"/>
          <w:sz w:val="22"/>
          <w:szCs w:val="22"/>
        </w:rPr>
        <w:t>; significantly increasing the amount of funding available for financing environmentally sustainable business across Latin America and increasing its funding available to smaller businesses, exceeding the milestones set out by Defra and utilising its relationships with FIs to drive transformational change across the agricultural sector</w:t>
      </w:r>
      <w:r w:rsidR="5FB0AB8E" w:rsidRPr="2BE51E91">
        <w:rPr>
          <w:rFonts w:ascii="Calibri" w:eastAsia="Calibri" w:hAnsi="Calibri" w:cs="Calibri"/>
          <w:color w:val="000000" w:themeColor="text1"/>
          <w:sz w:val="22"/>
          <w:szCs w:val="22"/>
        </w:rPr>
        <w:t xml:space="preserve">. </w:t>
      </w:r>
    </w:p>
    <w:p w14:paraId="5438780A" w14:textId="79369D7F" w:rsidR="2A9D7A9F" w:rsidRDefault="2A9D7A9F" w:rsidP="1EE0C08E">
      <w:pPr>
        <w:spacing w:beforeAutospacing="1" w:afterAutospacing="1"/>
        <w:jc w:val="both"/>
        <w:rPr>
          <w:rStyle w:val="normaltextrun"/>
          <w:rFonts w:ascii="Calibri" w:eastAsia="Calibri" w:hAnsi="Calibri" w:cs="Calibri"/>
          <w:b/>
          <w:bCs/>
          <w:color w:val="000000" w:themeColor="text1"/>
          <w:sz w:val="22"/>
          <w:szCs w:val="22"/>
        </w:rPr>
      </w:pPr>
      <w:r w:rsidRPr="1EE0C08E">
        <w:rPr>
          <w:rStyle w:val="normaltextrun"/>
          <w:rFonts w:ascii="Calibri" w:eastAsia="Calibri" w:hAnsi="Calibri" w:cs="Calibri"/>
          <w:b/>
          <w:bCs/>
          <w:color w:val="000000" w:themeColor="text1"/>
          <w:sz w:val="22"/>
          <w:szCs w:val="22"/>
        </w:rPr>
        <w:t>Commercial</w:t>
      </w:r>
      <w:r w:rsidR="5C8E9E97" w:rsidRPr="1EE0C08E">
        <w:rPr>
          <w:rStyle w:val="normaltextrun"/>
          <w:rFonts w:ascii="Calibri" w:eastAsia="Calibri" w:hAnsi="Calibri" w:cs="Calibri"/>
          <w:b/>
          <w:bCs/>
          <w:color w:val="000000" w:themeColor="text1"/>
          <w:sz w:val="22"/>
          <w:szCs w:val="22"/>
        </w:rPr>
        <w:t>:</w:t>
      </w:r>
    </w:p>
    <w:p w14:paraId="3A06D818" w14:textId="40B222B9" w:rsidR="2A9D7A9F" w:rsidRDefault="2B7285AB" w:rsidP="00B33B76">
      <w:pPr>
        <w:pStyle w:val="Normal1"/>
        <w:jc w:val="both"/>
        <w:rPr>
          <w:rFonts w:ascii="Calibri" w:eastAsia="Calibri" w:hAnsi="Calibri" w:cs="Calibri"/>
          <w:color w:val="000000" w:themeColor="text1"/>
          <w:sz w:val="22"/>
          <w:szCs w:val="22"/>
        </w:rPr>
      </w:pPr>
      <w:r w:rsidRPr="2BE51E91">
        <w:rPr>
          <w:rFonts w:ascii="Calibri" w:eastAsia="Calibri" w:hAnsi="Calibri" w:cs="Calibri"/>
          <w:color w:val="000000" w:themeColor="text1"/>
          <w:sz w:val="22"/>
          <w:szCs w:val="22"/>
        </w:rPr>
        <w:t xml:space="preserve">As of the end of 2019, </w:t>
      </w:r>
      <w:r w:rsidR="589B3526" w:rsidRPr="2BE51E91">
        <w:rPr>
          <w:rFonts w:ascii="Calibri" w:eastAsia="Calibri" w:hAnsi="Calibri" w:cs="Calibri"/>
          <w:color w:val="000000" w:themeColor="text1"/>
          <w:sz w:val="22"/>
          <w:szCs w:val="22"/>
        </w:rPr>
        <w:t>2</w:t>
      </w:r>
      <w:r w:rsidR="718BDB45" w:rsidRPr="2BE51E91">
        <w:rPr>
          <w:rFonts w:ascii="Calibri" w:eastAsia="Calibri" w:hAnsi="Calibri" w:cs="Calibri"/>
          <w:color w:val="000000" w:themeColor="text1"/>
          <w:sz w:val="22"/>
          <w:szCs w:val="22"/>
        </w:rPr>
        <w:t>1</w:t>
      </w:r>
      <w:r w:rsidRPr="2BE51E91">
        <w:rPr>
          <w:rFonts w:ascii="Calibri" w:eastAsia="Calibri" w:hAnsi="Calibri" w:cs="Calibri"/>
          <w:color w:val="000000" w:themeColor="text1"/>
          <w:sz w:val="22"/>
          <w:szCs w:val="22"/>
        </w:rPr>
        <w:t xml:space="preserve"> partner FIs </w:t>
      </w:r>
      <w:r w:rsidR="004F1C6A">
        <w:rPr>
          <w:rFonts w:ascii="Calibri" w:eastAsia="Calibri" w:hAnsi="Calibri" w:cs="Calibri"/>
          <w:color w:val="000000" w:themeColor="text1"/>
          <w:sz w:val="22"/>
          <w:szCs w:val="22"/>
        </w:rPr>
        <w:t>and one Corporate</w:t>
      </w:r>
      <w:r w:rsidRPr="2BE51E91">
        <w:rPr>
          <w:rFonts w:ascii="Calibri" w:eastAsia="Calibri" w:hAnsi="Calibri" w:cs="Calibri"/>
          <w:color w:val="000000" w:themeColor="text1"/>
          <w:sz w:val="22"/>
          <w:szCs w:val="22"/>
        </w:rPr>
        <w:t xml:space="preserve"> have received financing from the EBF. </w:t>
      </w:r>
      <w:r w:rsidR="202B423B" w:rsidRPr="2BE51E91">
        <w:rPr>
          <w:rFonts w:ascii="Calibri" w:eastAsia="Calibri" w:hAnsi="Calibri" w:cs="Calibri"/>
          <w:color w:val="000000" w:themeColor="text1"/>
          <w:sz w:val="22"/>
          <w:szCs w:val="22"/>
        </w:rPr>
        <w:t>In addition to</w:t>
      </w:r>
      <w:r w:rsidRPr="2BE51E91">
        <w:rPr>
          <w:rFonts w:ascii="Calibri" w:eastAsia="Calibri" w:hAnsi="Calibri" w:cs="Calibri"/>
          <w:color w:val="000000" w:themeColor="text1"/>
          <w:sz w:val="22"/>
          <w:szCs w:val="22"/>
        </w:rPr>
        <w:t xml:space="preserve"> the commercial contribution to FIs, </w:t>
      </w:r>
      <w:r w:rsidR="15E525F3" w:rsidRPr="2BE51E91">
        <w:rPr>
          <w:rFonts w:ascii="Calibri" w:eastAsia="Calibri" w:hAnsi="Calibri" w:cs="Calibri"/>
          <w:color w:val="000000" w:themeColor="text1"/>
          <w:sz w:val="22"/>
          <w:szCs w:val="22"/>
        </w:rPr>
        <w:t xml:space="preserve">the </w:t>
      </w:r>
      <w:r w:rsidRPr="2BE51E91">
        <w:rPr>
          <w:rFonts w:ascii="Calibri" w:eastAsia="Calibri" w:hAnsi="Calibri" w:cs="Calibri"/>
          <w:color w:val="000000" w:themeColor="text1"/>
          <w:sz w:val="22"/>
          <w:szCs w:val="22"/>
        </w:rPr>
        <w:t>EBF continues to support the investment</w:t>
      </w:r>
      <w:r w:rsidR="77394640" w:rsidRPr="2BE51E91">
        <w:rPr>
          <w:rFonts w:ascii="Calibri" w:eastAsia="Calibri" w:hAnsi="Calibri" w:cs="Calibri"/>
          <w:color w:val="000000" w:themeColor="text1"/>
          <w:sz w:val="22"/>
          <w:szCs w:val="22"/>
        </w:rPr>
        <w:t xml:space="preserve"> through</w:t>
      </w:r>
      <w:r w:rsidRPr="2BE51E91">
        <w:rPr>
          <w:rFonts w:ascii="Calibri" w:eastAsia="Calibri" w:hAnsi="Calibri" w:cs="Calibri"/>
          <w:color w:val="000000" w:themeColor="text1"/>
          <w:sz w:val="22"/>
          <w:szCs w:val="22"/>
        </w:rPr>
        <w:t xml:space="preserve"> TA</w:t>
      </w:r>
      <w:r w:rsidR="14C430DA" w:rsidRPr="2BE51E91">
        <w:rPr>
          <w:rFonts w:ascii="Calibri" w:eastAsia="Calibri" w:hAnsi="Calibri" w:cs="Calibri"/>
          <w:color w:val="000000" w:themeColor="text1"/>
          <w:sz w:val="22"/>
          <w:szCs w:val="22"/>
        </w:rPr>
        <w:t xml:space="preserve"> delivered through the DF. DF activities throughout 2020 are described in detail throughout the review</w:t>
      </w:r>
      <w:r w:rsidR="7D2ECA4C" w:rsidRPr="2BE51E91">
        <w:rPr>
          <w:rFonts w:ascii="Calibri" w:eastAsia="Calibri" w:hAnsi="Calibri" w:cs="Calibri"/>
          <w:color w:val="000000" w:themeColor="text1"/>
          <w:sz w:val="22"/>
          <w:szCs w:val="22"/>
        </w:rPr>
        <w:t>.</w:t>
      </w:r>
      <w:r w:rsidR="14C430DA" w:rsidRPr="2BE51E91">
        <w:rPr>
          <w:rFonts w:ascii="Calibri" w:eastAsia="Calibri" w:hAnsi="Calibri" w:cs="Calibri"/>
          <w:color w:val="000000" w:themeColor="text1"/>
          <w:sz w:val="22"/>
          <w:szCs w:val="22"/>
        </w:rPr>
        <w:t xml:space="preserve"> </w:t>
      </w:r>
      <w:r w:rsidRPr="2BE51E91">
        <w:rPr>
          <w:rFonts w:ascii="Calibri" w:eastAsia="Calibri" w:hAnsi="Calibri" w:cs="Calibri"/>
          <w:color w:val="000000" w:themeColor="text1"/>
          <w:sz w:val="22"/>
          <w:szCs w:val="22"/>
        </w:rPr>
        <w:t>A</w:t>
      </w:r>
      <w:r w:rsidR="29E50566" w:rsidRPr="2BE51E91">
        <w:rPr>
          <w:rFonts w:ascii="Calibri" w:eastAsia="Calibri" w:hAnsi="Calibri" w:cs="Calibri"/>
          <w:color w:val="000000" w:themeColor="text1"/>
          <w:sz w:val="22"/>
          <w:szCs w:val="22"/>
        </w:rPr>
        <w:t xml:space="preserve">s part of the work of the DF, </w:t>
      </w:r>
      <w:r w:rsidRPr="2BE51E91">
        <w:rPr>
          <w:rFonts w:ascii="Calibri" w:eastAsia="Calibri" w:hAnsi="Calibri" w:cs="Calibri"/>
          <w:color w:val="000000" w:themeColor="text1"/>
          <w:sz w:val="22"/>
          <w:szCs w:val="22"/>
        </w:rPr>
        <w:t xml:space="preserve">EBF provides capacity building to FI staff </w:t>
      </w:r>
      <w:r w:rsidR="6368227A" w:rsidRPr="2BE51E91">
        <w:rPr>
          <w:rFonts w:ascii="Calibri" w:eastAsia="Calibri" w:hAnsi="Calibri" w:cs="Calibri"/>
          <w:color w:val="000000" w:themeColor="text1"/>
          <w:sz w:val="22"/>
          <w:szCs w:val="22"/>
        </w:rPr>
        <w:t xml:space="preserve">- </w:t>
      </w:r>
      <w:r w:rsidRPr="2BE51E91">
        <w:rPr>
          <w:rFonts w:ascii="Calibri" w:eastAsia="Calibri" w:hAnsi="Calibri" w:cs="Calibri"/>
          <w:color w:val="000000" w:themeColor="text1"/>
          <w:sz w:val="22"/>
          <w:szCs w:val="22"/>
        </w:rPr>
        <w:t xml:space="preserve">enhancing awareness </w:t>
      </w:r>
      <w:r w:rsidRPr="2BE51E91">
        <w:rPr>
          <w:rFonts w:ascii="Calibri" w:eastAsia="Calibri" w:hAnsi="Calibri" w:cs="Calibri"/>
          <w:color w:val="000000" w:themeColor="text1"/>
          <w:sz w:val="22"/>
          <w:szCs w:val="22"/>
        </w:rPr>
        <w:lastRenderedPageBreak/>
        <w:t xml:space="preserve">and expertise in delivering finance to environmentally sustainable businesses. For example, TA has been provided in the form of </w:t>
      </w:r>
      <w:r w:rsidR="65C1ADAC" w:rsidRPr="2BE51E91">
        <w:rPr>
          <w:rFonts w:ascii="Calibri" w:eastAsia="Calibri" w:hAnsi="Calibri" w:cs="Calibri"/>
          <w:color w:val="000000" w:themeColor="text1"/>
          <w:sz w:val="22"/>
          <w:szCs w:val="22"/>
        </w:rPr>
        <w:t xml:space="preserve">various </w:t>
      </w:r>
      <w:r w:rsidRPr="2BE51E91">
        <w:rPr>
          <w:rFonts w:ascii="Calibri" w:eastAsia="Calibri" w:hAnsi="Calibri" w:cs="Calibri"/>
          <w:color w:val="000000" w:themeColor="text1"/>
          <w:sz w:val="22"/>
          <w:szCs w:val="22"/>
        </w:rPr>
        <w:t xml:space="preserve">training </w:t>
      </w:r>
      <w:r w:rsidR="2E5CD03E" w:rsidRPr="2BE51E91">
        <w:rPr>
          <w:rFonts w:ascii="Calibri" w:eastAsia="Calibri" w:hAnsi="Calibri" w:cs="Calibri"/>
          <w:color w:val="000000" w:themeColor="text1"/>
          <w:sz w:val="22"/>
          <w:szCs w:val="22"/>
        </w:rPr>
        <w:t xml:space="preserve">programmes to </w:t>
      </w:r>
      <w:r w:rsidR="53C44471" w:rsidRPr="2BE51E91">
        <w:rPr>
          <w:rFonts w:ascii="Calibri" w:eastAsia="Calibri" w:hAnsi="Calibri" w:cs="Calibri"/>
          <w:color w:val="000000" w:themeColor="text1"/>
          <w:sz w:val="22"/>
          <w:szCs w:val="22"/>
        </w:rPr>
        <w:t>over 600 staff from 19 PIs in 14 countries to</w:t>
      </w:r>
      <w:r w:rsidR="5F10567A" w:rsidRPr="2BE51E91">
        <w:rPr>
          <w:rFonts w:ascii="Calibri" w:eastAsia="Calibri" w:hAnsi="Calibri" w:cs="Calibri"/>
          <w:color w:val="000000" w:themeColor="text1"/>
          <w:sz w:val="22"/>
          <w:szCs w:val="22"/>
          <w:lang w:val="en-US"/>
        </w:rPr>
        <w:t xml:space="preserve"> increase financing of sustainable businesses.</w:t>
      </w:r>
      <w:r w:rsidR="53C44471" w:rsidRPr="2BE51E91">
        <w:rPr>
          <w:rFonts w:ascii="Calibri" w:eastAsia="Calibri" w:hAnsi="Calibri" w:cs="Calibri"/>
          <w:color w:val="000000" w:themeColor="text1"/>
          <w:sz w:val="22"/>
          <w:szCs w:val="22"/>
        </w:rPr>
        <w:t xml:space="preserve"> </w:t>
      </w:r>
    </w:p>
    <w:p w14:paraId="2F6CB1E8" w14:textId="77777777" w:rsidR="00B33B76" w:rsidRDefault="00B33B76" w:rsidP="00B33B76">
      <w:pPr>
        <w:pStyle w:val="Normal1"/>
        <w:jc w:val="both"/>
        <w:rPr>
          <w:rFonts w:ascii="Calibri" w:eastAsia="Calibri" w:hAnsi="Calibri" w:cs="Calibri"/>
          <w:b/>
          <w:bCs/>
          <w:color w:val="000000" w:themeColor="text1"/>
          <w:sz w:val="22"/>
          <w:szCs w:val="22"/>
        </w:rPr>
      </w:pPr>
    </w:p>
    <w:p w14:paraId="01DE8175" w14:textId="4BB665D0" w:rsidR="662163A0" w:rsidRDefault="662163A0" w:rsidP="00B33B76">
      <w:pPr>
        <w:pStyle w:val="Normal1"/>
        <w:jc w:val="both"/>
        <w:rPr>
          <w:rFonts w:ascii="Calibri" w:eastAsia="Calibri" w:hAnsi="Calibri" w:cs="Calibri"/>
          <w:b/>
          <w:bCs/>
          <w:color w:val="000000" w:themeColor="text1"/>
          <w:sz w:val="22"/>
          <w:szCs w:val="22"/>
        </w:rPr>
      </w:pPr>
      <w:r w:rsidRPr="1EE0C08E">
        <w:rPr>
          <w:rFonts w:ascii="Calibri" w:eastAsia="Calibri" w:hAnsi="Calibri" w:cs="Calibri"/>
          <w:b/>
          <w:bCs/>
          <w:color w:val="000000" w:themeColor="text1"/>
          <w:sz w:val="22"/>
          <w:szCs w:val="22"/>
        </w:rPr>
        <w:t>Reporting and monitoring:</w:t>
      </w:r>
    </w:p>
    <w:p w14:paraId="37BDDADE" w14:textId="77777777" w:rsidR="00B33B76" w:rsidRDefault="00B33B76" w:rsidP="006F071F">
      <w:pPr>
        <w:pStyle w:val="Normal1"/>
        <w:jc w:val="both"/>
        <w:rPr>
          <w:rFonts w:ascii="Calibri" w:eastAsia="Calibri" w:hAnsi="Calibri" w:cs="Calibri"/>
          <w:color w:val="000000" w:themeColor="text1"/>
          <w:sz w:val="22"/>
          <w:szCs w:val="22"/>
        </w:rPr>
      </w:pPr>
    </w:p>
    <w:p w14:paraId="78F478CC" w14:textId="2DB09323" w:rsidR="662163A0" w:rsidRDefault="662163A0" w:rsidP="006F071F">
      <w:pPr>
        <w:pStyle w:val="Normal1"/>
        <w:jc w:val="both"/>
        <w:rPr>
          <w:rFonts w:ascii="Calibri" w:eastAsia="Calibri" w:hAnsi="Calibri" w:cs="Calibri"/>
          <w:color w:val="000000" w:themeColor="text1"/>
          <w:sz w:val="22"/>
          <w:szCs w:val="22"/>
        </w:rPr>
      </w:pPr>
      <w:r w:rsidRPr="49CFF048">
        <w:rPr>
          <w:rFonts w:ascii="Calibri" w:eastAsia="Calibri" w:hAnsi="Calibri" w:cs="Calibri"/>
          <w:color w:val="000000" w:themeColor="text1"/>
          <w:sz w:val="22"/>
          <w:szCs w:val="22"/>
        </w:rPr>
        <w:t>Throughout 2020 reporting timeliness and quality</w:t>
      </w:r>
      <w:r w:rsidR="70CD4E9F" w:rsidRPr="49CFF048">
        <w:rPr>
          <w:rFonts w:ascii="Calibri" w:eastAsia="Calibri" w:hAnsi="Calibri" w:cs="Calibri"/>
          <w:color w:val="000000" w:themeColor="text1"/>
          <w:sz w:val="22"/>
          <w:szCs w:val="22"/>
        </w:rPr>
        <w:t xml:space="preserve"> of reporting has been consistently good. Quarterly reports are sent to shareholders within 3 months of the quarter finishing, and the audited annual statement was provided within 3 months of the end of the year. The fund </w:t>
      </w:r>
      <w:r w:rsidR="796D18DC" w:rsidRPr="49CFF048">
        <w:rPr>
          <w:rFonts w:ascii="Calibri" w:eastAsia="Calibri" w:hAnsi="Calibri" w:cs="Calibri"/>
          <w:color w:val="000000" w:themeColor="text1"/>
          <w:sz w:val="22"/>
          <w:szCs w:val="22"/>
        </w:rPr>
        <w:t>also produces an annual impact report.</w:t>
      </w:r>
      <w:r w:rsidR="44DF2AD6" w:rsidRPr="49CFF048">
        <w:rPr>
          <w:rFonts w:ascii="Calibri" w:eastAsia="Calibri" w:hAnsi="Calibri" w:cs="Calibri"/>
          <w:color w:val="000000" w:themeColor="text1"/>
          <w:sz w:val="22"/>
          <w:szCs w:val="22"/>
        </w:rPr>
        <w:t xml:space="preserve"> Defra is an observer on the Board of Directors and DF Committee. Meetings of the board take place</w:t>
      </w:r>
      <w:r w:rsidR="7D8C424D" w:rsidRPr="49CFF048">
        <w:rPr>
          <w:rFonts w:ascii="Calibri" w:eastAsia="Calibri" w:hAnsi="Calibri" w:cs="Calibri"/>
          <w:color w:val="000000" w:themeColor="text1"/>
          <w:sz w:val="22"/>
          <w:szCs w:val="22"/>
        </w:rPr>
        <w:t xml:space="preserve"> every quarter and DF Committee meetings take place ad-hoc</w:t>
      </w:r>
      <w:r w:rsidR="00F50D2D">
        <w:rPr>
          <w:rFonts w:ascii="Calibri" w:eastAsia="Calibri" w:hAnsi="Calibri" w:cs="Calibri"/>
          <w:color w:val="000000" w:themeColor="text1"/>
          <w:sz w:val="22"/>
          <w:szCs w:val="22"/>
        </w:rPr>
        <w:t>.</w:t>
      </w:r>
      <w:r w:rsidR="7D8C424D" w:rsidRPr="49CFF048">
        <w:rPr>
          <w:rFonts w:ascii="Calibri" w:eastAsia="Calibri" w:hAnsi="Calibri" w:cs="Calibri"/>
          <w:color w:val="000000" w:themeColor="text1"/>
          <w:sz w:val="22"/>
          <w:szCs w:val="22"/>
        </w:rPr>
        <w:t xml:space="preserve"> </w:t>
      </w:r>
    </w:p>
    <w:p w14:paraId="6EB8C6E5" w14:textId="77777777" w:rsidR="006F071F" w:rsidRDefault="006F071F" w:rsidP="49CFF048">
      <w:pPr>
        <w:rPr>
          <w:rFonts w:asciiTheme="minorHAnsi" w:eastAsiaTheme="minorEastAsia" w:hAnsiTheme="minorHAnsi" w:cstheme="minorBidi"/>
          <w:color w:val="000000" w:themeColor="text1"/>
          <w:sz w:val="22"/>
          <w:szCs w:val="22"/>
        </w:rPr>
      </w:pPr>
    </w:p>
    <w:p w14:paraId="3DE5BCCA" w14:textId="17820E80" w:rsidR="00DC224D" w:rsidRPr="00A11BA1" w:rsidRDefault="25045265" w:rsidP="078C476B">
      <w:pPr>
        <w:jc w:val="both"/>
        <w:rPr>
          <w:rFonts w:asciiTheme="minorHAnsi" w:eastAsiaTheme="minorEastAsia" w:hAnsiTheme="minorHAnsi" w:cstheme="minorBidi"/>
          <w:color w:val="000000" w:themeColor="text1"/>
          <w:sz w:val="22"/>
          <w:szCs w:val="22"/>
        </w:rPr>
      </w:pPr>
      <w:r w:rsidRPr="72ECE0DE">
        <w:rPr>
          <w:rFonts w:asciiTheme="minorHAnsi" w:eastAsiaTheme="minorEastAsia" w:hAnsiTheme="minorHAnsi" w:cstheme="minorBidi"/>
          <w:color w:val="000000" w:themeColor="text1"/>
          <w:sz w:val="22"/>
          <w:szCs w:val="22"/>
        </w:rPr>
        <w:t>The evidence currently compiled by the Fund on the impacts of its investments or the information that is reported by partner institutions in the context of the bi-annual sub-loan reports is not disaggregated by sex or by age. To minimise the burden on the partner institutions, which is already significantly higher than for standard loans, the Fund does not intend to ask its partners to directly report this information. Instead, the Fund proposes to rely on third party evidence, when it is available, to provide estimates of gender disaggregation for certain indicators of interest. The EBF D</w:t>
      </w:r>
      <w:r w:rsidR="78F93EAE" w:rsidRPr="72ECE0DE">
        <w:rPr>
          <w:rFonts w:asciiTheme="minorHAnsi" w:eastAsiaTheme="minorEastAsia" w:hAnsiTheme="minorHAnsi" w:cstheme="minorBidi"/>
          <w:color w:val="000000" w:themeColor="text1"/>
          <w:sz w:val="22"/>
          <w:szCs w:val="22"/>
        </w:rPr>
        <w:t>F</w:t>
      </w:r>
      <w:r w:rsidRPr="72ECE0DE">
        <w:rPr>
          <w:rFonts w:asciiTheme="minorHAnsi" w:eastAsiaTheme="minorEastAsia" w:hAnsiTheme="minorHAnsi" w:cstheme="minorBidi"/>
          <w:color w:val="000000" w:themeColor="text1"/>
          <w:sz w:val="22"/>
          <w:szCs w:val="22"/>
        </w:rPr>
        <w:t xml:space="preserve"> disaggregates sex in its monitoring and impact work. </w:t>
      </w:r>
      <w:r w:rsidR="00DC224D">
        <w:t xml:space="preserve"> </w:t>
      </w:r>
      <w:r w:rsidR="00DC224D" w:rsidRPr="72ECE0DE">
        <w:rPr>
          <w:rFonts w:asciiTheme="minorHAnsi" w:eastAsiaTheme="minorEastAsia" w:hAnsiTheme="minorHAnsi" w:cstheme="minorBidi"/>
          <w:color w:val="000000" w:themeColor="text1"/>
          <w:sz w:val="22"/>
          <w:szCs w:val="22"/>
        </w:rPr>
        <w:t>For outcome 1.7</w:t>
      </w:r>
      <w:r w:rsidR="00DC224D" w:rsidRPr="72ECE0DE">
        <w:rPr>
          <w:rFonts w:asciiTheme="minorHAnsi" w:hAnsiTheme="minorHAnsi" w:cstheme="minorBidi"/>
          <w:sz w:val="22"/>
          <w:szCs w:val="22"/>
        </w:rPr>
        <w:t xml:space="preserve"> (</w:t>
      </w:r>
      <w:r w:rsidR="00DC224D" w:rsidRPr="72ECE0DE">
        <w:rPr>
          <w:rFonts w:asciiTheme="minorHAnsi" w:eastAsiaTheme="minorEastAsia" w:hAnsiTheme="minorHAnsi" w:cstheme="minorBidi"/>
          <w:color w:val="000000" w:themeColor="text1"/>
          <w:sz w:val="22"/>
          <w:szCs w:val="22"/>
        </w:rPr>
        <w:t>Number of jobs supported by sub-borrowers as a result of EBF support) i</w:t>
      </w:r>
      <w:r w:rsidR="00DC224D" w:rsidRPr="72ECE0DE">
        <w:rPr>
          <w:rFonts w:asciiTheme="minorHAnsi" w:hAnsiTheme="minorHAnsi" w:cstheme="minorBidi"/>
          <w:sz w:val="22"/>
          <w:szCs w:val="22"/>
        </w:rPr>
        <w:t xml:space="preserve">n Defra’s </w:t>
      </w:r>
      <w:proofErr w:type="spellStart"/>
      <w:r w:rsidR="00DC224D" w:rsidRPr="72ECE0DE">
        <w:rPr>
          <w:rFonts w:asciiTheme="minorHAnsi" w:hAnsiTheme="minorHAnsi" w:cstheme="minorBidi"/>
          <w:sz w:val="22"/>
          <w:szCs w:val="22"/>
        </w:rPr>
        <w:t>logframe</w:t>
      </w:r>
      <w:proofErr w:type="spellEnd"/>
      <w:r w:rsidR="00DC224D" w:rsidRPr="72ECE0DE">
        <w:rPr>
          <w:rFonts w:asciiTheme="minorHAnsi" w:hAnsiTheme="minorHAnsi" w:cstheme="minorBidi"/>
          <w:sz w:val="22"/>
          <w:szCs w:val="22"/>
        </w:rPr>
        <w:t xml:space="preserve"> there </w:t>
      </w:r>
      <w:r w:rsidR="00DC224D" w:rsidRPr="72ECE0DE">
        <w:rPr>
          <w:rFonts w:asciiTheme="minorHAnsi" w:eastAsiaTheme="minorEastAsia" w:hAnsiTheme="minorHAnsi" w:cstheme="minorBidi"/>
          <w:color w:val="000000" w:themeColor="text1"/>
          <w:sz w:val="22"/>
          <w:szCs w:val="22"/>
        </w:rPr>
        <w:t>is potential to focus in on the gender aspect of jobs supported, and Defra would be keen to discuss this with the Fund.</w:t>
      </w:r>
    </w:p>
    <w:p w14:paraId="18D4EDF1" w14:textId="77777777" w:rsidR="00DC224D" w:rsidRDefault="00DC224D" w:rsidP="078C476B">
      <w:pPr>
        <w:jc w:val="both"/>
        <w:rPr>
          <w:rFonts w:asciiTheme="minorHAnsi" w:eastAsiaTheme="minorEastAsia" w:hAnsiTheme="minorHAnsi" w:cstheme="minorBidi"/>
          <w:color w:val="000000" w:themeColor="text1"/>
          <w:sz w:val="22"/>
          <w:szCs w:val="22"/>
        </w:rPr>
      </w:pPr>
    </w:p>
    <w:p w14:paraId="657F3C50" w14:textId="6C2C8776" w:rsidR="00AF6B0B" w:rsidRDefault="00DC224D" w:rsidP="078C476B">
      <w:pPr>
        <w:jc w:val="both"/>
        <w:rPr>
          <w:rFonts w:asciiTheme="minorHAnsi" w:eastAsiaTheme="minorEastAsia" w:hAnsiTheme="minorHAnsi" w:cstheme="minorBidi"/>
          <w:color w:val="000000" w:themeColor="text1"/>
          <w:sz w:val="22"/>
          <w:szCs w:val="22"/>
        </w:rPr>
      </w:pPr>
      <w:r w:rsidRPr="00331200">
        <w:rPr>
          <w:rFonts w:asciiTheme="minorHAnsi" w:eastAsiaTheme="minorEastAsia" w:hAnsiTheme="minorHAnsi" w:cstheme="minorBidi"/>
          <w:b/>
          <w:bCs/>
          <w:color w:val="000000" w:themeColor="text1"/>
          <w:sz w:val="22"/>
          <w:szCs w:val="22"/>
        </w:rPr>
        <w:t>Recommendation:</w:t>
      </w:r>
      <w:r w:rsidRPr="078C476B">
        <w:rPr>
          <w:rFonts w:asciiTheme="minorHAnsi" w:eastAsiaTheme="minorEastAsia" w:hAnsiTheme="minorHAnsi" w:cstheme="minorBidi"/>
          <w:color w:val="000000" w:themeColor="text1"/>
          <w:sz w:val="22"/>
          <w:szCs w:val="22"/>
        </w:rPr>
        <w:t xml:space="preserve"> </w:t>
      </w:r>
      <w:r w:rsidR="00AF6B0B" w:rsidRPr="078C476B">
        <w:rPr>
          <w:rFonts w:asciiTheme="minorHAnsi" w:eastAsiaTheme="minorEastAsia" w:hAnsiTheme="minorHAnsi" w:cstheme="minorBidi"/>
          <w:color w:val="000000" w:themeColor="text1"/>
          <w:sz w:val="22"/>
          <w:szCs w:val="22"/>
        </w:rPr>
        <w:t xml:space="preserve"> It is noted that EBF plan to develop a gender strategy for the fund to expand the work it has achieved to date and encompass additional strategies to address climate change by supporting female empowerment from a financial perspective. It is recommended that Defra work with EBF to help develop the gender strategy that is being developed.</w:t>
      </w:r>
    </w:p>
    <w:p w14:paraId="7E05311E" w14:textId="5D39A7FF" w:rsidR="25045265" w:rsidRDefault="25045265" w:rsidP="006F071F">
      <w:pPr>
        <w:jc w:val="both"/>
        <w:rPr>
          <w:rFonts w:asciiTheme="minorHAnsi" w:eastAsiaTheme="minorEastAsia" w:hAnsiTheme="minorHAnsi" w:cstheme="minorBidi"/>
          <w:color w:val="000000" w:themeColor="text1"/>
          <w:sz w:val="22"/>
          <w:szCs w:val="22"/>
        </w:rPr>
      </w:pPr>
    </w:p>
    <w:p w14:paraId="18645F84" w14:textId="16613424" w:rsidR="3560B4F4" w:rsidRDefault="42E532A3" w:rsidP="0F9CD67B">
      <w:pPr>
        <w:rPr>
          <w:rFonts w:asciiTheme="minorHAnsi" w:eastAsiaTheme="minorEastAsia" w:hAnsiTheme="minorHAnsi" w:cstheme="minorBidi"/>
          <w:color w:val="000000" w:themeColor="text1"/>
          <w:sz w:val="22"/>
          <w:szCs w:val="22"/>
        </w:rPr>
      </w:pPr>
      <w:r w:rsidRPr="0F9CD67B">
        <w:rPr>
          <w:rFonts w:asciiTheme="minorHAnsi" w:eastAsiaTheme="minorEastAsia" w:hAnsiTheme="minorHAnsi" w:cstheme="minorBidi"/>
          <w:color w:val="000000" w:themeColor="text1"/>
          <w:sz w:val="22"/>
          <w:szCs w:val="22"/>
        </w:rPr>
        <w:t>T</w:t>
      </w:r>
      <w:r w:rsidR="3560B4F4" w:rsidRPr="0F9CD67B">
        <w:rPr>
          <w:rFonts w:asciiTheme="minorHAnsi" w:eastAsiaTheme="minorEastAsia" w:hAnsiTheme="minorHAnsi" w:cstheme="minorBidi"/>
          <w:color w:val="000000" w:themeColor="text1"/>
          <w:sz w:val="22"/>
          <w:szCs w:val="22"/>
        </w:rPr>
        <w:t xml:space="preserve">he EBF’s continuous monitoring approach consists </w:t>
      </w:r>
      <w:r w:rsidR="00F50D2D">
        <w:rPr>
          <w:rFonts w:asciiTheme="minorHAnsi" w:eastAsiaTheme="minorEastAsia" w:hAnsiTheme="minorHAnsi" w:cstheme="minorBidi"/>
          <w:color w:val="000000" w:themeColor="text1"/>
          <w:sz w:val="22"/>
          <w:szCs w:val="22"/>
        </w:rPr>
        <w:t>of</w:t>
      </w:r>
      <w:r w:rsidR="3560B4F4" w:rsidRPr="0F9CD67B">
        <w:rPr>
          <w:rFonts w:asciiTheme="minorHAnsi" w:eastAsiaTheme="minorEastAsia" w:hAnsiTheme="minorHAnsi" w:cstheme="minorBidi"/>
          <w:color w:val="000000" w:themeColor="text1"/>
          <w:sz w:val="22"/>
          <w:szCs w:val="22"/>
        </w:rPr>
        <w:t xml:space="preserve"> the following activities: </w:t>
      </w:r>
    </w:p>
    <w:p w14:paraId="52E35B47" w14:textId="22920148" w:rsidR="0F9CD67B" w:rsidRDefault="0F9CD67B" w:rsidP="0F9CD67B">
      <w:pPr>
        <w:rPr>
          <w:color w:val="000000" w:themeColor="text1"/>
        </w:rPr>
      </w:pPr>
    </w:p>
    <w:p w14:paraId="7BC4AEA5" w14:textId="50320EA1" w:rsidR="3560B4F4" w:rsidRDefault="3560B4F4" w:rsidP="49CFF048">
      <w:pPr>
        <w:pStyle w:val="ListParagraph"/>
        <w:numPr>
          <w:ilvl w:val="0"/>
          <w:numId w:val="15"/>
        </w:numPr>
        <w:rPr>
          <w:rFonts w:asciiTheme="minorHAnsi" w:eastAsiaTheme="minorEastAsia" w:hAnsiTheme="minorHAnsi" w:cstheme="minorBidi"/>
          <w:color w:val="000000" w:themeColor="text1"/>
          <w:sz w:val="22"/>
          <w:szCs w:val="22"/>
        </w:rPr>
      </w:pPr>
      <w:r w:rsidRPr="49CFF048">
        <w:rPr>
          <w:rFonts w:asciiTheme="minorHAnsi" w:eastAsiaTheme="minorEastAsia" w:hAnsiTheme="minorHAnsi" w:cstheme="minorBidi"/>
          <w:color w:val="000000" w:themeColor="text1"/>
          <w:sz w:val="22"/>
          <w:szCs w:val="22"/>
        </w:rPr>
        <w:t xml:space="preserve">Credit monitoring / monitoring of financial performance of investees </w:t>
      </w:r>
    </w:p>
    <w:p w14:paraId="2E65CF73" w14:textId="21C9A7AB" w:rsidR="3560B4F4" w:rsidRDefault="3560B4F4" w:rsidP="00B33B76">
      <w:pPr>
        <w:jc w:val="both"/>
        <w:rPr>
          <w:rFonts w:asciiTheme="minorHAnsi" w:eastAsiaTheme="minorEastAsia" w:hAnsiTheme="minorHAnsi" w:cstheme="minorBidi"/>
          <w:color w:val="000000" w:themeColor="text1"/>
          <w:sz w:val="22"/>
          <w:szCs w:val="22"/>
        </w:rPr>
      </w:pPr>
      <w:r w:rsidRPr="49CFF048">
        <w:rPr>
          <w:rFonts w:asciiTheme="minorHAnsi" w:eastAsiaTheme="minorEastAsia" w:hAnsiTheme="minorHAnsi" w:cstheme="minorBidi"/>
          <w:color w:val="000000" w:themeColor="text1"/>
          <w:sz w:val="22"/>
          <w:szCs w:val="22"/>
        </w:rPr>
        <w:t>In 20</w:t>
      </w:r>
      <w:r w:rsidR="2F2082B6" w:rsidRPr="49CFF048">
        <w:rPr>
          <w:rFonts w:asciiTheme="minorHAnsi" w:eastAsiaTheme="minorEastAsia" w:hAnsiTheme="minorHAnsi" w:cstheme="minorBidi"/>
          <w:color w:val="000000" w:themeColor="text1"/>
          <w:sz w:val="22"/>
          <w:szCs w:val="22"/>
        </w:rPr>
        <w:t>20</w:t>
      </w:r>
      <w:r w:rsidRPr="49CFF048">
        <w:rPr>
          <w:rFonts w:asciiTheme="minorHAnsi" w:eastAsiaTheme="minorEastAsia" w:hAnsiTheme="minorHAnsi" w:cstheme="minorBidi"/>
          <w:color w:val="000000" w:themeColor="text1"/>
          <w:sz w:val="22"/>
          <w:szCs w:val="22"/>
        </w:rPr>
        <w:t xml:space="preserve">, the Fund </w:t>
      </w:r>
      <w:r w:rsidR="00277FB8">
        <w:rPr>
          <w:rFonts w:asciiTheme="minorHAnsi" w:eastAsiaTheme="minorEastAsia" w:hAnsiTheme="minorHAnsi" w:cstheme="minorBidi"/>
          <w:color w:val="000000" w:themeColor="text1"/>
          <w:sz w:val="22"/>
          <w:szCs w:val="22"/>
        </w:rPr>
        <w:t>Advisor</w:t>
      </w:r>
      <w:r w:rsidR="00277FB8" w:rsidRPr="49CFF048">
        <w:rPr>
          <w:rFonts w:asciiTheme="minorHAnsi" w:eastAsiaTheme="minorEastAsia" w:hAnsiTheme="minorHAnsi" w:cstheme="minorBidi"/>
          <w:color w:val="000000" w:themeColor="text1"/>
          <w:sz w:val="22"/>
          <w:szCs w:val="22"/>
        </w:rPr>
        <w:t xml:space="preserve"> </w:t>
      </w:r>
      <w:r w:rsidRPr="49CFF048">
        <w:rPr>
          <w:rFonts w:asciiTheme="minorHAnsi" w:eastAsiaTheme="minorEastAsia" w:hAnsiTheme="minorHAnsi" w:cstheme="minorBidi"/>
          <w:color w:val="000000" w:themeColor="text1"/>
          <w:sz w:val="22"/>
          <w:szCs w:val="22"/>
        </w:rPr>
        <w:t xml:space="preserve">followed its traditional credit monitoring approach consisting of quarterly risk reviews that are presented to the Rating Committee. The reviews were conducted for each </w:t>
      </w:r>
      <w:r w:rsidR="6847CE7A" w:rsidRPr="49CFF048">
        <w:rPr>
          <w:rFonts w:asciiTheme="minorHAnsi" w:eastAsiaTheme="minorEastAsia" w:hAnsiTheme="minorHAnsi" w:cstheme="minorBidi"/>
          <w:color w:val="000000" w:themeColor="text1"/>
          <w:sz w:val="22"/>
          <w:szCs w:val="22"/>
        </w:rPr>
        <w:t>PI</w:t>
      </w:r>
      <w:r w:rsidRPr="49CFF048">
        <w:rPr>
          <w:rFonts w:asciiTheme="minorHAnsi" w:eastAsiaTheme="minorEastAsia" w:hAnsiTheme="minorHAnsi" w:cstheme="minorBidi"/>
          <w:color w:val="000000" w:themeColor="text1"/>
          <w:sz w:val="22"/>
          <w:szCs w:val="22"/>
        </w:rPr>
        <w:t xml:space="preserve"> and include a general review of performance in the recent quarter, spotting of trends, covenant monitoring and adjustment of ratings if necessary.</w:t>
      </w:r>
    </w:p>
    <w:p w14:paraId="071D945A" w14:textId="7445C893" w:rsidR="49CFF048" w:rsidRDefault="49CFF048" w:rsidP="49CFF048">
      <w:pPr>
        <w:rPr>
          <w:color w:val="000000" w:themeColor="text1"/>
        </w:rPr>
      </w:pPr>
    </w:p>
    <w:p w14:paraId="24A86DEF" w14:textId="7924032E" w:rsidR="3560B4F4" w:rsidRDefault="3560B4F4" w:rsidP="49CFF048">
      <w:pPr>
        <w:pStyle w:val="ListParagraph"/>
        <w:numPr>
          <w:ilvl w:val="0"/>
          <w:numId w:val="15"/>
        </w:numPr>
        <w:rPr>
          <w:rFonts w:asciiTheme="minorHAnsi" w:eastAsiaTheme="minorEastAsia" w:hAnsiTheme="minorHAnsi" w:cstheme="minorBidi"/>
          <w:color w:val="000000" w:themeColor="text1"/>
          <w:sz w:val="22"/>
          <w:szCs w:val="22"/>
        </w:rPr>
      </w:pPr>
      <w:r w:rsidRPr="49CFF048">
        <w:rPr>
          <w:rFonts w:asciiTheme="minorHAnsi" w:eastAsiaTheme="minorEastAsia" w:hAnsiTheme="minorHAnsi" w:cstheme="minorBidi"/>
          <w:color w:val="000000" w:themeColor="text1"/>
          <w:sz w:val="22"/>
          <w:szCs w:val="22"/>
        </w:rPr>
        <w:t xml:space="preserve">Monitoring of the use of proceeds (sub-loan monitoring) </w:t>
      </w:r>
    </w:p>
    <w:p w14:paraId="270C0AB4" w14:textId="38A8C193" w:rsidR="3560B4F4" w:rsidRDefault="3560B4F4" w:rsidP="00B33B76">
      <w:pPr>
        <w:jc w:val="both"/>
        <w:rPr>
          <w:rFonts w:asciiTheme="minorHAnsi" w:eastAsiaTheme="minorEastAsia" w:hAnsiTheme="minorHAnsi" w:cstheme="minorBidi"/>
          <w:color w:val="000000" w:themeColor="text1"/>
          <w:sz w:val="22"/>
          <w:szCs w:val="22"/>
        </w:rPr>
      </w:pPr>
      <w:r w:rsidRPr="0116275A">
        <w:rPr>
          <w:rFonts w:asciiTheme="minorHAnsi" w:eastAsiaTheme="minorEastAsia" w:hAnsiTheme="minorHAnsi" w:cstheme="minorBidi"/>
          <w:color w:val="000000" w:themeColor="text1"/>
          <w:sz w:val="22"/>
          <w:szCs w:val="22"/>
        </w:rPr>
        <w:t>P</w:t>
      </w:r>
      <w:r w:rsidR="6AB52118" w:rsidRPr="0116275A">
        <w:rPr>
          <w:rFonts w:asciiTheme="minorHAnsi" w:eastAsiaTheme="minorEastAsia" w:hAnsiTheme="minorHAnsi" w:cstheme="minorBidi"/>
          <w:color w:val="000000" w:themeColor="text1"/>
          <w:sz w:val="22"/>
          <w:szCs w:val="22"/>
        </w:rPr>
        <w:t xml:space="preserve">Is </w:t>
      </w:r>
      <w:r w:rsidRPr="0116275A">
        <w:rPr>
          <w:rFonts w:asciiTheme="minorHAnsi" w:eastAsiaTheme="minorEastAsia" w:hAnsiTheme="minorHAnsi" w:cstheme="minorBidi"/>
          <w:color w:val="000000" w:themeColor="text1"/>
          <w:sz w:val="22"/>
          <w:szCs w:val="22"/>
        </w:rPr>
        <w:t xml:space="preserve">are required to report to the Fund </w:t>
      </w:r>
      <w:r w:rsidR="000D7777">
        <w:rPr>
          <w:rFonts w:asciiTheme="minorHAnsi" w:eastAsiaTheme="minorEastAsia" w:hAnsiTheme="minorHAnsi" w:cstheme="minorBidi"/>
          <w:color w:val="000000" w:themeColor="text1"/>
          <w:sz w:val="22"/>
          <w:szCs w:val="22"/>
        </w:rPr>
        <w:t>Advisor</w:t>
      </w:r>
      <w:r w:rsidR="000D7777" w:rsidRPr="0116275A">
        <w:rPr>
          <w:rFonts w:asciiTheme="minorHAnsi" w:eastAsiaTheme="minorEastAsia" w:hAnsiTheme="minorHAnsi" w:cstheme="minorBidi"/>
          <w:color w:val="000000" w:themeColor="text1"/>
          <w:sz w:val="22"/>
          <w:szCs w:val="22"/>
        </w:rPr>
        <w:t xml:space="preserve"> </w:t>
      </w:r>
      <w:r w:rsidRPr="0116275A">
        <w:rPr>
          <w:rFonts w:asciiTheme="minorHAnsi" w:eastAsiaTheme="minorEastAsia" w:hAnsiTheme="minorHAnsi" w:cstheme="minorBidi"/>
          <w:color w:val="000000" w:themeColor="text1"/>
          <w:sz w:val="22"/>
          <w:szCs w:val="22"/>
        </w:rPr>
        <w:t xml:space="preserve">on the use of Funds on a bi-annual basis. The Fund </w:t>
      </w:r>
      <w:r w:rsidR="00D54093">
        <w:rPr>
          <w:rFonts w:asciiTheme="minorHAnsi" w:eastAsiaTheme="minorEastAsia" w:hAnsiTheme="minorHAnsi" w:cstheme="minorBidi"/>
          <w:color w:val="000000" w:themeColor="text1"/>
          <w:sz w:val="22"/>
          <w:szCs w:val="22"/>
        </w:rPr>
        <w:t>Advisor</w:t>
      </w:r>
      <w:r w:rsidRPr="0116275A">
        <w:rPr>
          <w:rFonts w:asciiTheme="minorHAnsi" w:eastAsiaTheme="minorEastAsia" w:hAnsiTheme="minorHAnsi" w:cstheme="minorBidi"/>
          <w:color w:val="000000" w:themeColor="text1"/>
          <w:sz w:val="22"/>
          <w:szCs w:val="22"/>
        </w:rPr>
        <w:t xml:space="preserve"> controls that its resources are used in the eligible sectors following the respective criteria and whether the partner institutions abide by the minimum required on-lending rate. Partner institutions report loan-by-loan on a specified set of information (such as loan amounts, target sector, financed activities, loan type, and sustainability standard and farm or business size) on an anonymous basis (no obligation to report names of sub-borrowers)</w:t>
      </w:r>
      <w:r w:rsidR="723544F0" w:rsidRPr="0116275A">
        <w:rPr>
          <w:rFonts w:asciiTheme="minorHAnsi" w:eastAsiaTheme="minorEastAsia" w:hAnsiTheme="minorHAnsi" w:cstheme="minorBidi"/>
          <w:color w:val="000000" w:themeColor="text1"/>
          <w:sz w:val="22"/>
          <w:szCs w:val="22"/>
        </w:rPr>
        <w:t xml:space="preserve">. </w:t>
      </w:r>
      <w:r w:rsidRPr="0116275A">
        <w:rPr>
          <w:rFonts w:asciiTheme="minorHAnsi" w:eastAsiaTheme="minorEastAsia" w:hAnsiTheme="minorHAnsi" w:cstheme="minorBidi"/>
          <w:color w:val="000000" w:themeColor="text1"/>
          <w:sz w:val="22"/>
          <w:szCs w:val="22"/>
        </w:rPr>
        <w:t xml:space="preserve">   </w:t>
      </w:r>
    </w:p>
    <w:p w14:paraId="1E313B74" w14:textId="5723598D" w:rsidR="3560B4F4" w:rsidRDefault="3560B4F4" w:rsidP="49CFF048">
      <w:pPr>
        <w:rPr>
          <w:rFonts w:asciiTheme="minorHAnsi" w:eastAsiaTheme="minorEastAsia" w:hAnsiTheme="minorHAnsi" w:cstheme="minorBidi"/>
          <w:color w:val="000000" w:themeColor="text1"/>
          <w:sz w:val="22"/>
          <w:szCs w:val="22"/>
        </w:rPr>
      </w:pPr>
      <w:r w:rsidRPr="49CFF048">
        <w:rPr>
          <w:rFonts w:asciiTheme="minorHAnsi" w:eastAsiaTheme="minorEastAsia" w:hAnsiTheme="minorHAnsi" w:cstheme="minorBidi"/>
          <w:color w:val="000000" w:themeColor="text1"/>
          <w:sz w:val="22"/>
          <w:szCs w:val="22"/>
        </w:rPr>
        <w:t xml:space="preserve">  </w:t>
      </w:r>
    </w:p>
    <w:p w14:paraId="071385F6" w14:textId="6B6435AA" w:rsidR="3560B4F4" w:rsidRDefault="3560B4F4" w:rsidP="49CFF048">
      <w:pPr>
        <w:pStyle w:val="ListParagraph"/>
        <w:numPr>
          <w:ilvl w:val="0"/>
          <w:numId w:val="15"/>
        </w:numPr>
        <w:rPr>
          <w:rFonts w:asciiTheme="minorHAnsi" w:eastAsiaTheme="minorEastAsia" w:hAnsiTheme="minorHAnsi" w:cstheme="minorBidi"/>
          <w:color w:val="000000" w:themeColor="text1"/>
          <w:sz w:val="22"/>
          <w:szCs w:val="22"/>
        </w:rPr>
      </w:pPr>
      <w:r w:rsidRPr="49CFF048">
        <w:rPr>
          <w:rFonts w:asciiTheme="minorHAnsi" w:eastAsiaTheme="minorEastAsia" w:hAnsiTheme="minorHAnsi" w:cstheme="minorBidi"/>
          <w:color w:val="000000" w:themeColor="text1"/>
          <w:sz w:val="22"/>
          <w:szCs w:val="22"/>
        </w:rPr>
        <w:t xml:space="preserve">Monitoring through relationship management (visits, meetings) </w:t>
      </w:r>
    </w:p>
    <w:p w14:paraId="3AE2DC10" w14:textId="2A1A0AF1" w:rsidR="3560B4F4" w:rsidRDefault="3560B4F4" w:rsidP="00B33B76">
      <w:pPr>
        <w:jc w:val="both"/>
        <w:rPr>
          <w:rFonts w:asciiTheme="minorHAnsi" w:eastAsiaTheme="minorEastAsia" w:hAnsiTheme="minorHAnsi" w:cstheme="minorBidi"/>
          <w:color w:val="000000" w:themeColor="text1"/>
          <w:sz w:val="22"/>
          <w:szCs w:val="22"/>
        </w:rPr>
      </w:pPr>
      <w:r w:rsidRPr="1EE0C08E">
        <w:rPr>
          <w:rFonts w:asciiTheme="minorHAnsi" w:eastAsiaTheme="minorEastAsia" w:hAnsiTheme="minorHAnsi" w:cstheme="minorBidi"/>
          <w:color w:val="000000" w:themeColor="text1"/>
          <w:sz w:val="22"/>
          <w:szCs w:val="22"/>
        </w:rPr>
        <w:t>As part of ensuring that its Funds a</w:t>
      </w:r>
      <w:r w:rsidR="00F50D2D">
        <w:rPr>
          <w:rFonts w:asciiTheme="minorHAnsi" w:eastAsiaTheme="minorEastAsia" w:hAnsiTheme="minorHAnsi" w:cstheme="minorBidi"/>
          <w:color w:val="000000" w:themeColor="text1"/>
          <w:sz w:val="22"/>
          <w:szCs w:val="22"/>
        </w:rPr>
        <w:t>re</w:t>
      </w:r>
      <w:r w:rsidRPr="1EE0C08E">
        <w:rPr>
          <w:rFonts w:asciiTheme="minorHAnsi" w:eastAsiaTheme="minorEastAsia" w:hAnsiTheme="minorHAnsi" w:cstheme="minorBidi"/>
          <w:color w:val="000000" w:themeColor="text1"/>
          <w:sz w:val="22"/>
          <w:szCs w:val="22"/>
        </w:rPr>
        <w:t xml:space="preserve"> used according to its eligibility criteria, the Fund </w:t>
      </w:r>
      <w:r w:rsidR="194335E1" w:rsidRPr="1EE0C08E">
        <w:rPr>
          <w:rFonts w:asciiTheme="minorHAnsi" w:eastAsiaTheme="minorEastAsia" w:hAnsiTheme="minorHAnsi" w:cstheme="minorBidi"/>
          <w:color w:val="000000" w:themeColor="text1"/>
          <w:sz w:val="22"/>
          <w:szCs w:val="22"/>
        </w:rPr>
        <w:t xml:space="preserve">usually </w:t>
      </w:r>
      <w:r w:rsidRPr="1EE0C08E">
        <w:rPr>
          <w:rFonts w:asciiTheme="minorHAnsi" w:eastAsiaTheme="minorEastAsia" w:hAnsiTheme="minorHAnsi" w:cstheme="minorBidi"/>
          <w:color w:val="000000" w:themeColor="text1"/>
          <w:sz w:val="22"/>
          <w:szCs w:val="22"/>
        </w:rPr>
        <w:t>carries out regular visits to its sub-borrowers.</w:t>
      </w:r>
      <w:r w:rsidR="3751A226" w:rsidRPr="1EE0C08E">
        <w:rPr>
          <w:rFonts w:asciiTheme="minorHAnsi" w:eastAsiaTheme="minorEastAsia" w:hAnsiTheme="minorHAnsi" w:cstheme="minorBidi"/>
          <w:color w:val="000000" w:themeColor="text1"/>
          <w:sz w:val="22"/>
          <w:szCs w:val="22"/>
        </w:rPr>
        <w:t xml:space="preserve"> However, due to the COVID-19 pandemic </w:t>
      </w:r>
      <w:r w:rsidR="021E8347" w:rsidRPr="1EE0C08E">
        <w:rPr>
          <w:rFonts w:asciiTheme="minorHAnsi" w:eastAsiaTheme="minorEastAsia" w:hAnsiTheme="minorHAnsi" w:cstheme="minorBidi"/>
          <w:color w:val="000000" w:themeColor="text1"/>
          <w:sz w:val="22"/>
          <w:szCs w:val="22"/>
        </w:rPr>
        <w:t xml:space="preserve">most </w:t>
      </w:r>
      <w:r w:rsidR="3751A226" w:rsidRPr="1EE0C08E">
        <w:rPr>
          <w:rFonts w:asciiTheme="minorHAnsi" w:eastAsiaTheme="minorEastAsia" w:hAnsiTheme="minorHAnsi" w:cstheme="minorBidi"/>
          <w:color w:val="000000" w:themeColor="text1"/>
          <w:sz w:val="22"/>
          <w:szCs w:val="22"/>
        </w:rPr>
        <w:t xml:space="preserve">visits were not able to take place. </w:t>
      </w:r>
      <w:r w:rsidR="0C7F6338" w:rsidRPr="1EE0C08E">
        <w:rPr>
          <w:rFonts w:asciiTheme="minorHAnsi" w:eastAsiaTheme="minorEastAsia" w:hAnsiTheme="minorHAnsi" w:cstheme="minorBidi"/>
          <w:color w:val="000000" w:themeColor="text1"/>
          <w:sz w:val="22"/>
          <w:szCs w:val="22"/>
        </w:rPr>
        <w:t>T</w:t>
      </w:r>
      <w:r w:rsidR="3751A226" w:rsidRPr="1EE0C08E">
        <w:rPr>
          <w:rFonts w:asciiTheme="minorHAnsi" w:eastAsiaTheme="minorEastAsia" w:hAnsiTheme="minorHAnsi" w:cstheme="minorBidi"/>
          <w:color w:val="000000" w:themeColor="text1"/>
          <w:sz w:val="22"/>
          <w:szCs w:val="22"/>
        </w:rPr>
        <w:t>hese</w:t>
      </w:r>
      <w:r w:rsidR="4FE618DF" w:rsidRPr="1EE0C08E">
        <w:rPr>
          <w:rFonts w:asciiTheme="minorHAnsi" w:eastAsiaTheme="minorEastAsia" w:hAnsiTheme="minorHAnsi" w:cstheme="minorBidi"/>
          <w:color w:val="000000" w:themeColor="text1"/>
          <w:sz w:val="22"/>
          <w:szCs w:val="22"/>
        </w:rPr>
        <w:t xml:space="preserve"> visits </w:t>
      </w:r>
      <w:r w:rsidR="3751A226" w:rsidRPr="1EE0C08E">
        <w:rPr>
          <w:rFonts w:asciiTheme="minorHAnsi" w:eastAsiaTheme="minorEastAsia" w:hAnsiTheme="minorHAnsi" w:cstheme="minorBidi"/>
          <w:color w:val="000000" w:themeColor="text1"/>
          <w:sz w:val="22"/>
          <w:szCs w:val="22"/>
        </w:rPr>
        <w:t>were in part replaced with virtual meetings.</w:t>
      </w:r>
    </w:p>
    <w:p w14:paraId="5E4F9BC6" w14:textId="57535719" w:rsidR="25045265" w:rsidRDefault="25045265" w:rsidP="49CFF048">
      <w:pPr>
        <w:rPr>
          <w:color w:val="FF0000"/>
        </w:rPr>
      </w:pPr>
      <w:r w:rsidRPr="0116275A">
        <w:rPr>
          <w:color w:val="FF0000"/>
        </w:rPr>
        <w:t xml:space="preserve">  </w:t>
      </w:r>
    </w:p>
    <w:tbl>
      <w:tblPr>
        <w:tblStyle w:val="TableGrid"/>
        <w:tblW w:w="9214" w:type="dxa"/>
        <w:tblInd w:w="-5" w:type="dxa"/>
        <w:tblLook w:val="04A0" w:firstRow="1" w:lastRow="0" w:firstColumn="1" w:lastColumn="0" w:noHBand="0" w:noVBand="1"/>
      </w:tblPr>
      <w:tblGrid>
        <w:gridCol w:w="2410"/>
        <w:gridCol w:w="2268"/>
        <w:gridCol w:w="1985"/>
        <w:gridCol w:w="2551"/>
      </w:tblGrid>
      <w:tr w:rsidR="006839BA" w:rsidRPr="00F70DBE" w14:paraId="299AD655" w14:textId="703F3467" w:rsidTr="078C476B">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FDDA14" w14:textId="77777777" w:rsidR="006839BA" w:rsidRPr="00B726BA" w:rsidRDefault="0DFC357C" w:rsidP="49CFF048">
            <w:pPr>
              <w:rPr>
                <w:rFonts w:cs="Arial"/>
                <w:sz w:val="20"/>
                <w:szCs w:val="20"/>
              </w:rPr>
            </w:pPr>
            <w:r w:rsidRPr="49CFF048">
              <w:rPr>
                <w:rFonts w:cs="Arial"/>
                <w:sz w:val="20"/>
                <w:szCs w:val="20"/>
              </w:rPr>
              <w:t>Date of last narrative financial report</w:t>
            </w:r>
          </w:p>
        </w:tc>
        <w:tc>
          <w:tcPr>
            <w:tcW w:w="2268" w:type="dxa"/>
            <w:tcBorders>
              <w:top w:val="single" w:sz="4" w:space="0" w:color="auto"/>
              <w:left w:val="single" w:sz="4" w:space="0" w:color="auto"/>
              <w:bottom w:val="single" w:sz="4" w:space="0" w:color="auto"/>
              <w:right w:val="single" w:sz="4" w:space="0" w:color="auto"/>
            </w:tcBorders>
          </w:tcPr>
          <w:p w14:paraId="6EA42135" w14:textId="416CAA80" w:rsidR="006839BA" w:rsidRPr="00B726BA" w:rsidRDefault="31CA47FC" w:rsidP="49CFF048">
            <w:pPr>
              <w:rPr>
                <w:rFonts w:cs="Arial"/>
                <w:sz w:val="20"/>
                <w:szCs w:val="20"/>
              </w:rPr>
            </w:pPr>
            <w:r w:rsidRPr="49CFF048">
              <w:rPr>
                <w:rFonts w:cs="Arial"/>
                <w:sz w:val="20"/>
                <w:szCs w:val="20"/>
              </w:rPr>
              <w:t>Q4 2020</w:t>
            </w:r>
          </w:p>
        </w:tc>
        <w:tc>
          <w:tcPr>
            <w:tcW w:w="19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A097E4" w14:textId="3C943B72" w:rsidR="006839BA" w:rsidRPr="00B726BA" w:rsidRDefault="0DFC357C" w:rsidP="49CFF048">
            <w:pPr>
              <w:rPr>
                <w:rFonts w:cs="Arial"/>
                <w:sz w:val="20"/>
                <w:szCs w:val="20"/>
              </w:rPr>
            </w:pPr>
            <w:r w:rsidRPr="49CFF048">
              <w:rPr>
                <w:rFonts w:cs="Arial"/>
                <w:sz w:val="20"/>
                <w:szCs w:val="20"/>
              </w:rPr>
              <w:t>Date of last audited annual statement</w:t>
            </w:r>
          </w:p>
        </w:tc>
        <w:tc>
          <w:tcPr>
            <w:tcW w:w="2551" w:type="dxa"/>
            <w:tcBorders>
              <w:top w:val="single" w:sz="4" w:space="0" w:color="auto"/>
              <w:left w:val="single" w:sz="4" w:space="0" w:color="auto"/>
              <w:bottom w:val="single" w:sz="4" w:space="0" w:color="auto"/>
              <w:right w:val="single" w:sz="4" w:space="0" w:color="auto"/>
            </w:tcBorders>
          </w:tcPr>
          <w:p w14:paraId="43CA3E31" w14:textId="3A91618B" w:rsidR="006839BA" w:rsidRPr="00B726BA" w:rsidRDefault="07365808" w:rsidP="49CFF048">
            <w:pPr>
              <w:rPr>
                <w:rFonts w:cs="Arial"/>
                <w:sz w:val="20"/>
                <w:szCs w:val="20"/>
              </w:rPr>
            </w:pPr>
            <w:r w:rsidRPr="078C476B">
              <w:rPr>
                <w:rFonts w:cs="Arial"/>
                <w:sz w:val="20"/>
                <w:szCs w:val="20"/>
              </w:rPr>
              <w:t>The 2020 annual statement has been audited, as of March 2021</w:t>
            </w:r>
          </w:p>
        </w:tc>
      </w:tr>
    </w:tbl>
    <w:p w14:paraId="4DAC1688" w14:textId="373B7990" w:rsidR="00105347" w:rsidRPr="006555A4" w:rsidRDefault="00105347" w:rsidP="0F40B7D6">
      <w:pPr>
        <w:spacing w:after="160" w:line="259" w:lineRule="auto"/>
        <w:rPr>
          <w:rFonts w:cs="Arial"/>
          <w:color w:val="FF0000"/>
          <w:sz w:val="20"/>
          <w:szCs w:val="20"/>
        </w:rPr>
      </w:pPr>
    </w:p>
    <w:p w14:paraId="1663659D" w14:textId="22F9D41E" w:rsidR="49E92380" w:rsidRDefault="49E92380" w:rsidP="00DC1537">
      <w:pPr>
        <w:spacing w:line="276" w:lineRule="auto"/>
        <w:jc w:val="both"/>
        <w:rPr>
          <w:rFonts w:ascii="Calibri" w:eastAsia="Calibri" w:hAnsi="Calibri" w:cs="Calibri"/>
          <w:sz w:val="22"/>
          <w:szCs w:val="22"/>
        </w:rPr>
      </w:pPr>
    </w:p>
    <w:p w14:paraId="0CC445C6" w14:textId="2EF9B530" w:rsidR="67E90183" w:rsidRPr="008E3A03" w:rsidRDefault="00DC1537" w:rsidP="00DC1537">
      <w:pPr>
        <w:spacing w:line="276" w:lineRule="auto"/>
        <w:jc w:val="both"/>
        <w:rPr>
          <w:rFonts w:ascii="Calibri" w:eastAsia="Calibri" w:hAnsi="Calibri" w:cs="Calibri"/>
          <w:b/>
          <w:bCs/>
          <w:sz w:val="22"/>
          <w:szCs w:val="22"/>
        </w:rPr>
      </w:pPr>
      <w:r w:rsidRPr="00331200">
        <w:rPr>
          <w:rFonts w:ascii="Calibri" w:eastAsia="Calibri" w:hAnsi="Calibri" w:cs="Calibri"/>
          <w:b/>
          <w:bCs/>
          <w:sz w:val="22"/>
          <w:szCs w:val="22"/>
        </w:rPr>
        <w:lastRenderedPageBreak/>
        <w:t>E</w:t>
      </w:r>
      <w:r w:rsidR="67E90183" w:rsidRPr="00331200">
        <w:rPr>
          <w:rFonts w:ascii="Calibri" w:eastAsia="Calibri" w:hAnsi="Calibri" w:cs="Calibri"/>
          <w:b/>
          <w:bCs/>
          <w:sz w:val="22"/>
          <w:szCs w:val="22"/>
        </w:rPr>
        <w:t>valuation of the Fund</w:t>
      </w:r>
    </w:p>
    <w:p w14:paraId="0E96A549" w14:textId="56E62131" w:rsidR="67E90183" w:rsidRDefault="67E90183" w:rsidP="00DC1537">
      <w:pPr>
        <w:spacing w:line="276" w:lineRule="auto"/>
        <w:jc w:val="both"/>
        <w:rPr>
          <w:rFonts w:ascii="Calibri" w:eastAsia="Calibri" w:hAnsi="Calibri" w:cs="Calibri"/>
          <w:sz w:val="22"/>
          <w:szCs w:val="22"/>
        </w:rPr>
      </w:pPr>
      <w:r w:rsidRPr="078C476B">
        <w:rPr>
          <w:rFonts w:ascii="Calibri" w:eastAsia="Calibri" w:hAnsi="Calibri" w:cs="Calibri"/>
          <w:sz w:val="22"/>
          <w:szCs w:val="22"/>
        </w:rPr>
        <w:t xml:space="preserve"> </w:t>
      </w:r>
    </w:p>
    <w:p w14:paraId="5EE9643C" w14:textId="55BBF092" w:rsidR="00B57739" w:rsidRDefault="00617EA8" w:rsidP="078C476B">
      <w:pPr>
        <w:spacing w:line="276" w:lineRule="auto"/>
        <w:jc w:val="both"/>
        <w:rPr>
          <w:rFonts w:asciiTheme="minorHAnsi" w:hAnsiTheme="minorHAnsi" w:cstheme="minorBidi"/>
          <w:sz w:val="22"/>
          <w:szCs w:val="22"/>
        </w:rPr>
      </w:pPr>
      <w:r w:rsidRPr="078C476B">
        <w:rPr>
          <w:rFonts w:asciiTheme="minorHAnsi" w:eastAsia="Calibri" w:hAnsiTheme="minorHAnsi" w:cstheme="minorBidi"/>
          <w:sz w:val="22"/>
          <w:szCs w:val="22"/>
        </w:rPr>
        <w:t>The fund has now been operational since 2014, and Defra’s investment has been active since December 2015 (with a further investment made in 2019). A</w:t>
      </w:r>
      <w:r w:rsidR="67E90183" w:rsidRPr="00331200">
        <w:rPr>
          <w:rFonts w:asciiTheme="minorHAnsi" w:eastAsia="Calibri" w:hAnsiTheme="minorHAnsi" w:cstheme="minorBidi"/>
          <w:sz w:val="22"/>
          <w:szCs w:val="22"/>
        </w:rPr>
        <w:t>s set out in the business case</w:t>
      </w:r>
      <w:r w:rsidR="00DC1537" w:rsidRPr="00331200">
        <w:rPr>
          <w:rFonts w:asciiTheme="minorHAnsi" w:eastAsia="Calibri" w:hAnsiTheme="minorHAnsi" w:cstheme="minorBidi"/>
          <w:sz w:val="22"/>
          <w:szCs w:val="22"/>
        </w:rPr>
        <w:t xml:space="preserve"> and Annex 3 </w:t>
      </w:r>
      <w:r w:rsidR="00DC1537" w:rsidRPr="078C476B">
        <w:rPr>
          <w:rFonts w:asciiTheme="minorHAnsi" w:eastAsiaTheme="minorEastAsia" w:hAnsiTheme="minorHAnsi" w:cstheme="minorBidi"/>
          <w:sz w:val="22"/>
          <w:szCs w:val="22"/>
        </w:rPr>
        <w:t>of the Subscription Agreement</w:t>
      </w:r>
      <w:r w:rsidR="00DC1537" w:rsidRPr="00331200">
        <w:rPr>
          <w:rFonts w:asciiTheme="minorHAnsi" w:eastAsia="Calibri" w:hAnsiTheme="minorHAnsi" w:cstheme="minorBidi"/>
          <w:sz w:val="22"/>
          <w:szCs w:val="22"/>
        </w:rPr>
        <w:t xml:space="preserve"> </w:t>
      </w:r>
      <w:r w:rsidR="67E90183" w:rsidRPr="00331200">
        <w:rPr>
          <w:rFonts w:asciiTheme="minorHAnsi" w:eastAsia="Calibri" w:hAnsiTheme="minorHAnsi" w:cstheme="minorBidi"/>
          <w:sz w:val="22"/>
          <w:szCs w:val="22"/>
        </w:rPr>
        <w:t>it is envisaged that regular external reviews of the Fund be carried out</w:t>
      </w:r>
      <w:r w:rsidR="00B57739" w:rsidRPr="078C476B">
        <w:rPr>
          <w:rFonts w:asciiTheme="minorHAnsi" w:eastAsia="Calibri" w:hAnsiTheme="minorHAnsi" w:cstheme="minorBidi"/>
          <w:sz w:val="22"/>
          <w:szCs w:val="22"/>
        </w:rPr>
        <w:t xml:space="preserve">. </w:t>
      </w:r>
      <w:r w:rsidRPr="078C476B">
        <w:rPr>
          <w:rFonts w:asciiTheme="minorHAnsi" w:eastAsia="Calibri" w:hAnsiTheme="minorHAnsi" w:cstheme="minorBidi"/>
          <w:sz w:val="22"/>
          <w:szCs w:val="22"/>
        </w:rPr>
        <w:t xml:space="preserve"> </w:t>
      </w:r>
      <w:r w:rsidR="00B57739" w:rsidRPr="078C476B">
        <w:rPr>
          <w:rFonts w:asciiTheme="minorHAnsi" w:eastAsia="Calibri" w:hAnsiTheme="minorHAnsi" w:cstheme="minorBidi"/>
          <w:sz w:val="22"/>
          <w:szCs w:val="22"/>
        </w:rPr>
        <w:t xml:space="preserve">An external evaluation (as stated in recommendation 4 in the 2019 annual review) would enable an objective review of the Fund </w:t>
      </w:r>
      <w:r w:rsidRPr="078C476B">
        <w:rPr>
          <w:rFonts w:asciiTheme="minorHAnsi" w:eastAsia="Calibri" w:hAnsiTheme="minorHAnsi" w:cstheme="minorBidi"/>
          <w:sz w:val="22"/>
          <w:szCs w:val="22"/>
        </w:rPr>
        <w:t>to ensure it continues to m</w:t>
      </w:r>
      <w:r w:rsidR="00B57739" w:rsidRPr="078C476B">
        <w:rPr>
          <w:rFonts w:asciiTheme="minorHAnsi" w:eastAsia="Calibri" w:hAnsiTheme="minorHAnsi" w:cstheme="minorBidi"/>
          <w:sz w:val="22"/>
          <w:szCs w:val="22"/>
        </w:rPr>
        <w:t>eet</w:t>
      </w:r>
      <w:r w:rsidRPr="078C476B">
        <w:rPr>
          <w:rFonts w:asciiTheme="minorHAnsi" w:eastAsia="Calibri" w:hAnsiTheme="minorHAnsi" w:cstheme="minorBidi"/>
          <w:sz w:val="22"/>
          <w:szCs w:val="22"/>
        </w:rPr>
        <w:t xml:space="preserve"> Defra’s </w:t>
      </w:r>
      <w:r w:rsidR="00B57739" w:rsidRPr="078C476B">
        <w:rPr>
          <w:rFonts w:asciiTheme="minorHAnsi" w:eastAsia="Calibri" w:hAnsiTheme="minorHAnsi" w:cstheme="minorBidi"/>
          <w:sz w:val="22"/>
          <w:szCs w:val="22"/>
        </w:rPr>
        <w:t xml:space="preserve">objectives of </w:t>
      </w:r>
      <w:r w:rsidR="00B57739" w:rsidRPr="078C476B">
        <w:rPr>
          <w:rFonts w:asciiTheme="minorHAnsi" w:hAnsiTheme="minorHAnsi" w:cstheme="minorBidi"/>
          <w:sz w:val="22"/>
          <w:szCs w:val="22"/>
        </w:rPr>
        <w:t>a) increasing the amount of finance available for environmentally sustainable businesses and b) embedding the principles of green investment within the financial industry in relation to Land-Use investments (particularly Agriculture), by aligning financial incentives with environmental protection.</w:t>
      </w:r>
      <w:r w:rsidR="00B57739" w:rsidRPr="078C476B">
        <w:rPr>
          <w:rFonts w:asciiTheme="minorHAnsi" w:eastAsia="Calibri" w:hAnsiTheme="minorHAnsi" w:cstheme="minorBidi"/>
          <w:sz w:val="22"/>
          <w:szCs w:val="22"/>
        </w:rPr>
        <w:t xml:space="preserve"> It would also be an opportunity to test</w:t>
      </w:r>
      <w:r w:rsidR="00B57739" w:rsidRPr="078C476B">
        <w:rPr>
          <w:rFonts w:asciiTheme="minorHAnsi" w:hAnsiTheme="minorHAnsi" w:cstheme="minorBidi"/>
          <w:sz w:val="22"/>
          <w:szCs w:val="22"/>
        </w:rPr>
        <w:t xml:space="preserve"> the validity of the Fund’s theory of change, including for example uptake of environmental standards across FIs, effectiveness of green lists and standards with regards to climate and biodiversity impacts. </w:t>
      </w:r>
      <w:r w:rsidR="67E90183" w:rsidRPr="00331200">
        <w:rPr>
          <w:rFonts w:asciiTheme="minorHAnsi" w:eastAsia="Calibri" w:hAnsiTheme="minorHAnsi" w:cstheme="minorBidi"/>
          <w:sz w:val="22"/>
          <w:szCs w:val="22"/>
        </w:rPr>
        <w:t xml:space="preserve"> </w:t>
      </w:r>
    </w:p>
    <w:p w14:paraId="622ED0EE" w14:textId="40B5592D" w:rsidR="078C476B" w:rsidRDefault="078C476B" w:rsidP="078C476B">
      <w:pPr>
        <w:spacing w:line="276" w:lineRule="auto"/>
        <w:jc w:val="both"/>
      </w:pPr>
    </w:p>
    <w:p w14:paraId="61142668" w14:textId="32BBF4A1" w:rsidR="00D57520" w:rsidRPr="00A11BA1" w:rsidRDefault="00B57739" w:rsidP="078C476B">
      <w:pPr>
        <w:spacing w:line="276" w:lineRule="auto"/>
        <w:jc w:val="both"/>
        <w:rPr>
          <w:rFonts w:asciiTheme="minorHAnsi" w:hAnsiTheme="minorHAnsi" w:cstheme="minorBidi"/>
          <w:sz w:val="22"/>
          <w:szCs w:val="22"/>
        </w:rPr>
      </w:pPr>
      <w:r w:rsidRPr="078C476B">
        <w:rPr>
          <w:rFonts w:asciiTheme="minorHAnsi" w:hAnsiTheme="minorHAnsi" w:cstheme="minorBidi"/>
          <w:sz w:val="22"/>
          <w:szCs w:val="22"/>
        </w:rPr>
        <w:t>Defra has also defined a need for m</w:t>
      </w:r>
      <w:r w:rsidR="00D57520" w:rsidRPr="078C476B">
        <w:rPr>
          <w:rFonts w:asciiTheme="minorHAnsi" w:hAnsiTheme="minorHAnsi" w:cstheme="minorBidi"/>
          <w:sz w:val="22"/>
          <w:szCs w:val="22"/>
        </w:rPr>
        <w:t xml:space="preserve">onitoring of biodiversity impacts across the portfolio. The Fund’s mission is to ‘promote business and consumption practices that contribute to biodiversity conservation, to the sustainable use of natural resources and to mitigate climate change and adapt to its impacts’, however there are currently no specific biodiversity indicators used by the Fund. Defra will be conducting work into </w:t>
      </w:r>
      <w:r w:rsidR="00AF6B0B" w:rsidRPr="078C476B">
        <w:rPr>
          <w:rFonts w:asciiTheme="minorHAnsi" w:hAnsiTheme="minorHAnsi" w:cstheme="minorBidi"/>
          <w:sz w:val="22"/>
          <w:szCs w:val="22"/>
        </w:rPr>
        <w:t>biodiversity indicators applicable to impact investment funds investing in sustainable agriculture. Defra recommends that the Fund engage with Defra throughout this project</w:t>
      </w:r>
      <w:r w:rsidR="00BB1A13" w:rsidRPr="078C476B">
        <w:rPr>
          <w:rFonts w:asciiTheme="minorHAnsi" w:hAnsiTheme="minorHAnsi" w:cstheme="minorBidi"/>
          <w:sz w:val="22"/>
          <w:szCs w:val="22"/>
        </w:rPr>
        <w:t xml:space="preserve"> and discuss ways to include findings within the Fund</w:t>
      </w:r>
      <w:r w:rsidR="00AF6B0B" w:rsidRPr="078C476B">
        <w:rPr>
          <w:rFonts w:asciiTheme="minorHAnsi" w:hAnsiTheme="minorHAnsi" w:cstheme="minorBidi"/>
          <w:sz w:val="22"/>
          <w:szCs w:val="22"/>
        </w:rPr>
        <w:t>.</w:t>
      </w:r>
    </w:p>
    <w:p w14:paraId="13E3ED6B" w14:textId="32E5A310" w:rsidR="3C2F9815" w:rsidRPr="00A11BA1" w:rsidRDefault="3C2F9815" w:rsidP="078C476B">
      <w:pPr>
        <w:spacing w:after="160" w:line="259" w:lineRule="auto"/>
        <w:rPr>
          <w:rFonts w:asciiTheme="minorHAnsi" w:hAnsiTheme="minorHAnsi" w:cstheme="minorBidi"/>
          <w:b/>
          <w:bCs/>
          <w:sz w:val="22"/>
          <w:szCs w:val="22"/>
        </w:rPr>
      </w:pPr>
      <w:r>
        <w:br/>
      </w:r>
      <w:r w:rsidR="00B57739" w:rsidRPr="00331200">
        <w:rPr>
          <w:rFonts w:asciiTheme="minorHAnsi" w:hAnsiTheme="minorHAnsi" w:cstheme="minorBidi"/>
          <w:b/>
          <w:bCs/>
          <w:sz w:val="22"/>
          <w:szCs w:val="22"/>
        </w:rPr>
        <w:t>Recommendations:</w:t>
      </w:r>
    </w:p>
    <w:p w14:paraId="50574EB5" w14:textId="77777777" w:rsidR="00B57739" w:rsidRPr="009439F8" w:rsidRDefault="00B57739" w:rsidP="078C476B">
      <w:pPr>
        <w:pStyle w:val="ListParagraph"/>
        <w:numPr>
          <w:ilvl w:val="0"/>
          <w:numId w:val="41"/>
        </w:numPr>
        <w:spacing w:after="0"/>
        <w:jc w:val="both"/>
        <w:rPr>
          <w:rFonts w:asciiTheme="minorHAnsi" w:eastAsiaTheme="minorEastAsia" w:hAnsiTheme="minorHAnsi" w:cstheme="minorBidi"/>
        </w:rPr>
      </w:pPr>
      <w:r w:rsidRPr="078C476B">
        <w:rPr>
          <w:rFonts w:asciiTheme="minorHAnsi" w:eastAsiaTheme="minorEastAsia" w:hAnsiTheme="minorHAnsi" w:cstheme="minorBidi"/>
          <w:sz w:val="22"/>
          <w:szCs w:val="22"/>
        </w:rPr>
        <w:t xml:space="preserve">Defra should undertake further work to consider best practice for impact investment funds in measuring biodiversity impacts, working with the fund managers and other industry practitioners.  </w:t>
      </w:r>
    </w:p>
    <w:p w14:paraId="4073688B" w14:textId="77777777" w:rsidR="00B57739" w:rsidRDefault="00B57739" w:rsidP="078C476B">
      <w:pPr>
        <w:pStyle w:val="ListParagraph"/>
        <w:numPr>
          <w:ilvl w:val="0"/>
          <w:numId w:val="41"/>
        </w:numPr>
        <w:spacing w:after="0"/>
        <w:jc w:val="both"/>
        <w:rPr>
          <w:rFonts w:asciiTheme="minorHAnsi" w:eastAsiaTheme="minorEastAsia" w:hAnsiTheme="minorHAnsi" w:cstheme="minorBidi"/>
        </w:rPr>
      </w:pPr>
      <w:r w:rsidRPr="078C476B">
        <w:rPr>
          <w:rFonts w:asciiTheme="minorHAnsi" w:eastAsiaTheme="minorEastAsia" w:hAnsiTheme="minorHAnsi" w:cstheme="minorBidi"/>
          <w:sz w:val="22"/>
          <w:szCs w:val="22"/>
        </w:rPr>
        <w:t>Defra should undertake an external evaluation of the programme’s performance since initial investment, as referenced in the Annex 3 of the Subscription Agreement. The external evaluation should consider how the fund is progressing towards its outcomes and final impact through its activities and outputs.</w:t>
      </w:r>
    </w:p>
    <w:p w14:paraId="2EAD7B13" w14:textId="77777777" w:rsidR="00B57739" w:rsidRDefault="00B57739" w:rsidP="00AF6B0B">
      <w:pPr>
        <w:spacing w:after="160" w:line="259" w:lineRule="auto"/>
      </w:pPr>
    </w:p>
    <w:sectPr w:rsidR="00B57739" w:rsidSect="006F3AE7">
      <w:headerReference w:type="default" r:id="rId15"/>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82273" w14:textId="77777777" w:rsidR="0054717F" w:rsidRDefault="0054717F" w:rsidP="006E5785">
      <w:r>
        <w:separator/>
      </w:r>
    </w:p>
  </w:endnote>
  <w:endnote w:type="continuationSeparator" w:id="0">
    <w:p w14:paraId="7487827A" w14:textId="77777777" w:rsidR="0054717F" w:rsidRDefault="0054717F" w:rsidP="006E5785">
      <w:r>
        <w:continuationSeparator/>
      </w:r>
    </w:p>
  </w:endnote>
  <w:endnote w:type="continuationNotice" w:id="1">
    <w:p w14:paraId="218A40A2" w14:textId="77777777" w:rsidR="0054717F" w:rsidRDefault="00547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F178" w14:textId="77777777" w:rsidR="0054717F" w:rsidRDefault="0054717F" w:rsidP="006E5785">
      <w:r>
        <w:separator/>
      </w:r>
    </w:p>
  </w:footnote>
  <w:footnote w:type="continuationSeparator" w:id="0">
    <w:p w14:paraId="2A30F845" w14:textId="77777777" w:rsidR="0054717F" w:rsidRDefault="0054717F" w:rsidP="006E5785">
      <w:r>
        <w:continuationSeparator/>
      </w:r>
    </w:p>
  </w:footnote>
  <w:footnote w:type="continuationNotice" w:id="1">
    <w:p w14:paraId="32F64193" w14:textId="77777777" w:rsidR="0054717F" w:rsidRDefault="00547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F92EF" w14:textId="5B953D0D" w:rsidR="009439F8" w:rsidRDefault="009439F8">
    <w:pPr>
      <w:pStyle w:val="Header"/>
    </w:pPr>
    <w:r>
      <w:rPr>
        <w:noProof/>
        <w:color w:val="2B579A"/>
        <w:shd w:val="clear" w:color="auto" w:fill="E6E6E6"/>
      </w:rPr>
      <mc:AlternateContent>
        <mc:Choice Requires="wps">
          <w:drawing>
            <wp:anchor distT="0" distB="0" distL="114300" distR="114300" simplePos="0" relativeHeight="251658240" behindDoc="0" locked="0" layoutInCell="0" allowOverlap="1" wp14:anchorId="075411E3" wp14:editId="0B755242">
              <wp:simplePos x="0" y="0"/>
              <wp:positionH relativeFrom="page">
                <wp:posOffset>0</wp:posOffset>
              </wp:positionH>
              <wp:positionV relativeFrom="page">
                <wp:posOffset>190500</wp:posOffset>
              </wp:positionV>
              <wp:extent cx="7560310" cy="388620"/>
              <wp:effectExtent l="0" t="0" r="0" b="11430"/>
              <wp:wrapNone/>
              <wp:docPr id="1" name="MSIPCM412f4516a6274136433f2e09" descr="{&quot;HashCode&quot;:-12918245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886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D9FE14" w14:textId="77777777" w:rsidR="009439F8" w:rsidRPr="002F3488" w:rsidRDefault="009439F8" w:rsidP="002F3488">
                          <w:pPr>
                            <w:pStyle w:val="Header"/>
                            <w:jc w:val="center"/>
                            <w:rPr>
                              <w:rFonts w:asciiTheme="minorHAnsi" w:hAnsiTheme="minorHAnsi" w:cstheme="minorHAnsi"/>
                              <w:sz w:val="22"/>
                              <w:szCs w:val="22"/>
                            </w:rPr>
                          </w:pPr>
                          <w:r w:rsidRPr="002F3488">
                            <w:rPr>
                              <w:rFonts w:asciiTheme="minorHAnsi" w:hAnsiTheme="minorHAnsi" w:cstheme="minorHAnsi"/>
                              <w:sz w:val="22"/>
                              <w:szCs w:val="22"/>
                            </w:rPr>
                            <w:t>--- OFFICIAL SENSITIVE ---</w:t>
                          </w:r>
                        </w:p>
                        <w:p w14:paraId="29F50EB2" w14:textId="021D392D" w:rsidR="009439F8" w:rsidRPr="002F3488" w:rsidRDefault="009439F8" w:rsidP="002F3488">
                          <w:pPr>
                            <w:pStyle w:val="Normal1"/>
                            <w:tabs>
                              <w:tab w:val="center" w:pos="4153"/>
                              <w:tab w:val="right" w:pos="8306"/>
                            </w:tabs>
                            <w:jc w:val="center"/>
                            <w:rPr>
                              <w:rFonts w:asciiTheme="minorHAnsi" w:hAnsiTheme="minorHAnsi" w:cstheme="minorHAnsi"/>
                              <w:sz w:val="22"/>
                              <w:szCs w:val="22"/>
                            </w:rPr>
                          </w:pPr>
                          <w:r w:rsidRPr="002F3488">
                            <w:rPr>
                              <w:rFonts w:asciiTheme="minorHAnsi" w:hAnsiTheme="minorHAnsi" w:cstheme="minorHAnsi"/>
                              <w:sz w:val="22"/>
                              <w:szCs w:val="22"/>
                            </w:rPr>
                            <w:t>Defra ICF Eco. Business Fund Annual Review – 20</w:t>
                          </w:r>
                          <w:r>
                            <w:rPr>
                              <w:rFonts w:asciiTheme="minorHAnsi" w:hAnsiTheme="minorHAnsi" w:cstheme="minorHAnsi"/>
                              <w:sz w:val="22"/>
                              <w:szCs w:val="22"/>
                            </w:rPr>
                            <w:t>20</w:t>
                          </w:r>
                          <w:r w:rsidRPr="002F3488">
                            <w:rPr>
                              <w:rFonts w:asciiTheme="minorHAnsi" w:hAnsiTheme="minorHAnsi" w:cstheme="minorHAnsi"/>
                              <w:sz w:val="22"/>
                              <w:szCs w:val="22"/>
                            </w:rPr>
                            <w:t xml:space="preserve"> Performance</w:t>
                          </w:r>
                        </w:p>
                        <w:p w14:paraId="272ABAE4" w14:textId="4E33D0B1" w:rsidR="009439F8" w:rsidRPr="002F3488" w:rsidRDefault="009439F8" w:rsidP="006E5785">
                          <w:pPr>
                            <w:rPr>
                              <w:rFonts w:asciiTheme="minorHAnsi" w:hAnsiTheme="minorHAnsi" w:cstheme="minorHAnsi"/>
                              <w:color w:val="000000"/>
                              <w:sz w:val="22"/>
                              <w:szCs w:val="22"/>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14="http://schemas.microsoft.com/office/drawing/2010/main">
          <w:pict w14:anchorId="5A25916D">
            <v:shapetype id="_x0000_t202" coordsize="21600,21600" o:spt="202" path="m,l,21600r21600,l21600,xe" w14:anchorId="075411E3">
              <v:stroke joinstyle="miter"/>
              <v:path gradientshapeok="t" o:connecttype="rect"/>
            </v:shapetype>
            <v:shape id="MSIPCM412f4516a6274136433f2e09" style="position:absolute;margin-left:0;margin-top:15pt;width:595.3pt;height:30.6pt;z-index:251658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alt="{&quot;HashCode&quot;:-1291824593,&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">
              <v:textbox inset="20pt,0,,0">
                <w:txbxContent>
                  <w:p w:rsidRPr="002F3488" w:rsidR="009439F8" w:rsidP="002F3488" w:rsidRDefault="009439F8" w14:paraId="32842937" w14:textId="77777777">
                    <w:pPr>
                      <w:pStyle w:val="Header"/>
                      <w:jc w:val="center"/>
                      <w:rPr>
                        <w:rFonts w:asciiTheme="minorHAnsi" w:hAnsiTheme="minorHAnsi" w:cstheme="minorHAnsi"/>
                        <w:sz w:val="22"/>
                        <w:szCs w:val="22"/>
                      </w:rPr>
                    </w:pPr>
                    <w:r w:rsidRPr="002F3488">
                      <w:rPr>
                        <w:rFonts w:asciiTheme="minorHAnsi" w:hAnsiTheme="minorHAnsi" w:cstheme="minorHAnsi"/>
                        <w:sz w:val="22"/>
                        <w:szCs w:val="22"/>
                      </w:rPr>
                      <w:t>--- OFFICIAL SENSITIVE ---</w:t>
                    </w:r>
                  </w:p>
                  <w:p w:rsidRPr="002F3488" w:rsidR="009439F8" w:rsidP="002F3488" w:rsidRDefault="009439F8" w14:paraId="20795964" w14:textId="021D392D">
                    <w:pPr>
                      <w:pStyle w:val="Normal1"/>
                      <w:tabs>
                        <w:tab w:val="center" w:pos="4153"/>
                        <w:tab w:val="right" w:pos="8306"/>
                      </w:tabs>
                      <w:jc w:val="center"/>
                      <w:rPr>
                        <w:rFonts w:asciiTheme="minorHAnsi" w:hAnsiTheme="minorHAnsi" w:cstheme="minorHAnsi"/>
                        <w:sz w:val="22"/>
                        <w:szCs w:val="22"/>
                      </w:rPr>
                    </w:pPr>
                    <w:r w:rsidRPr="002F3488">
                      <w:rPr>
                        <w:rFonts w:asciiTheme="minorHAnsi" w:hAnsiTheme="minorHAnsi" w:cstheme="minorHAnsi"/>
                        <w:sz w:val="22"/>
                        <w:szCs w:val="22"/>
                      </w:rPr>
                      <w:t>Defra ICF Eco. Business Fund Annual Review – 20</w:t>
                    </w:r>
                    <w:r>
                      <w:rPr>
                        <w:rFonts w:asciiTheme="minorHAnsi" w:hAnsiTheme="minorHAnsi" w:cstheme="minorHAnsi"/>
                        <w:sz w:val="22"/>
                        <w:szCs w:val="22"/>
                      </w:rPr>
                      <w:t>20</w:t>
                    </w:r>
                    <w:r w:rsidRPr="002F3488">
                      <w:rPr>
                        <w:rFonts w:asciiTheme="minorHAnsi" w:hAnsiTheme="minorHAnsi" w:cstheme="minorHAnsi"/>
                        <w:sz w:val="22"/>
                        <w:szCs w:val="22"/>
                      </w:rPr>
                      <w:t xml:space="preserve"> Performance</w:t>
                    </w:r>
                  </w:p>
                  <w:p w:rsidRPr="002F3488" w:rsidR="009439F8" w:rsidP="006E5785" w:rsidRDefault="009439F8" w14:paraId="672A6659" w14:textId="4E33D0B1">
                    <w:pPr>
                      <w:rPr>
                        <w:rFonts w:asciiTheme="minorHAnsi" w:hAnsiTheme="minorHAnsi" w:cstheme="minorHAnsi"/>
                        <w:color w:val="000000"/>
                        <w:sz w:val="22"/>
                        <w:szCs w:val="22"/>
                      </w:rPr>
                    </w:pPr>
                  </w:p>
                </w:txbxContent>
              </v:textbox>
              <w10:wrap anchorx="page" anchory="page"/>
            </v:shape>
          </w:pict>
        </mc:Fallback>
      </mc:AlternateContent>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llbS/j5qYzCVpv" id="3jVfT/6M"/>
    <int:WordHash hashCode="y8CN1qNHeG5JD2" id="ohsPNGsB"/>
    <int:WordHash hashCode="VRd/LyDcPFdCnc" id="+i3QXIUf"/>
    <int:WordHash hashCode="U9MZwv6fHmEiJp" id="e+E1hkg1"/>
    <int:WordHash hashCode="rdE8zhk+dRBUGd" id="DndcFYJD"/>
    <int:WordHash hashCode="tbUC6uMXHfVHka" id="o+5lIEAx"/>
    <int:WordHash hashCode="M5Y4c73kFmVmCz" id="R95iZ13s"/>
    <int:WordHash hashCode="lNjtE13i39mosy" id="4OBiuiru"/>
    <int:WordHash hashCode="2K1bfWlMwyf8z1" id="jVKhaV6J"/>
    <int:WordHash hashCode="NZyFr9UBPaHvBg" id="MQ7KMouN"/>
    <int:WordHash hashCode="SPW0sFXDTAtd5h" id="emSx0mP3"/>
    <int:WordHash hashCode="geSlUj5OGEPyAI" id="ceESrJEZ"/>
    <int:WordHash hashCode="0lRkFwCgr4HEpx" id="7EsCS/4m"/>
    <int:WordHash hashCode="9OkfPmVYUsHpLr" id="dlCznKXy"/>
    <int:WordHash hashCode="5ojG2UO2Iqhd1Y" id="VMZuUD9f"/>
    <int:WordHash hashCode="xzNw6FjkZFlmFD" id="sFGu+Gj7"/>
    <int:WordHash hashCode="Jdvww0H6KKJQr8" id="ZTPpw9wG"/>
    <int:WordHash hashCode="9J9tDk9mM3jh2t" id="8TSrpaKm"/>
    <int:WordHash hashCode="c+Xt49Zu53G1ZJ" id="qdtBd60L"/>
    <int:WordHash hashCode="xmLevPd2JFjseJ" id="SI0B7/ns"/>
    <int:WordHash hashCode="38DfLQXXAfHbdU" id="I54uPic4"/>
    <int:WordHash hashCode="BC3EUS+j05HFFw" id="8HlW4Vck"/>
    <int:WordHash hashCode="Sk2i3Tgn49m+ay" id="cPzMm5hm"/>
    <int:WordHash hashCode="upsMqd/LNJPmO8" id="On1dXSBR"/>
    <int:WordHash hashCode="ni8UUdXdlt6RIo" id="Eao0tgYC"/>
    <int:WordHash hashCode="QFUMskCn3uLuQN" id="o/HZ2+YI"/>
    <int:WordHash hashCode="TCjK5JxtCdYGzQ" id="FatO/bV+"/>
    <int:WordHash hashCode="GQbl4BA84YZ8k4" id="4TVSsDpr"/>
    <int:WordHash hashCode="+zdD4FKoK9aFWH" id="VJaj6HVU"/>
    <int:WordHash hashCode="KmCSMKWpuKcb1p" id="horx0p9F"/>
    <int:WordHash hashCode="8ZOrXwxGsfTmu1" id="cNIgrZAN"/>
    <int:WordHash hashCode="vN33tRcBHZj9Ky" id="hWZGqLX6"/>
    <int:WordHash hashCode="exumKJP0EyHurC" id="3TJjllEw"/>
    <int:WordHash hashCode="zDT6RqdeBMNI1l" id="KXh4nGOb"/>
    <int:WordHash hashCode="rRQcgXFe40IuJC" id="7cOCHBPD"/>
    <int:WordHash hashCode="POP6Viuw/QOMy4" id="TKWWRJQ8"/>
    <int:WordHash hashCode="wmjfHSwxQdrTb0" id="pP1hSoRX"/>
    <int:ParagraphRange paragraphId="1729365436" textId="1213737667" start="98" length="5" invalidationStart="98" invalidationLength="5" id="ewTaWN7W"/>
    <int:ParagraphRange paragraphId="60383195" textId="804443175" start="29" length="3" invalidationStart="29" invalidationLength="3" id="21n7qxGN"/>
    <int:ParagraphRange paragraphId="110729083" textId="804443175" start="29" length="3" invalidationStart="29" invalidationLength="3" id="g6WgDKb9"/>
    <int:ParagraphRange paragraphId="940944892" textId="804443175" start="29" length="3" invalidationStart="29" invalidationLength="3" id="TLZodmJw"/>
    <int:ParagraphRange paragraphId="644182133" textId="804443175" start="29" length="3" invalidationStart="29" invalidationLength="3" id="yAvI6uTq"/>
    <int:ParagraphRange paragraphId="1538036916" textId="2004318071" start="217" length="4" invalidationStart="217" invalidationLength="4" id="Bjf8CzmV"/>
    <int:ParagraphRange paragraphId="1574114730" textId="116287793" start="471" length="16" invalidationStart="471" invalidationLength="16" id="YmesoxJB"/>
    <int:ParagraphRange paragraphId="779153072" textId="1791023114" start="172" length="16" invalidationStart="172" invalidationLength="16" id="63OSGbf9"/>
  </int:Manifest>
  <int:Observations>
    <int:Content id="3jVfT/6M">
      <int:Rejection type="AugLoop_Text_Critique"/>
    </int:Content>
    <int:Content id="ohsPNGsB">
      <int:Rejection type="AugLoop_Text_Critique"/>
    </int:Content>
    <int:Content id="+i3QXIUf">
      <int:Rejection type="AugLoop_Text_Critique"/>
    </int:Content>
    <int:Content id="e+E1hkg1">
      <int:Rejection type="AugLoop_Text_Critique"/>
    </int:Content>
    <int:Content id="DndcFYJD">
      <int:Rejection type="AugLoop_Text_Critique"/>
    </int:Content>
    <int:Content id="o+5lIEAx">
      <int:Rejection type="AugLoop_Text_Critique"/>
    </int:Content>
    <int:Content id="R95iZ13s">
      <int:Rejection type="AugLoop_Text_Critique"/>
    </int:Content>
    <int:Content id="4OBiuiru">
      <int:Rejection type="AugLoop_Text_Critique"/>
    </int:Content>
    <int:Content id="jVKhaV6J">
      <int:Rejection type="AugLoop_Text_Critique"/>
    </int:Content>
    <int:Content id="MQ7KMouN">
      <int:Rejection type="AugLoop_Text_Critique"/>
    </int:Content>
    <int:Content id="emSx0mP3">
      <int:Rejection type="AugLoop_Text_Critique"/>
    </int:Content>
    <int:Content id="ceESrJEZ">
      <int:Rejection type="AugLoop_Text_Critique"/>
    </int:Content>
    <int:Content id="7EsCS/4m">
      <int:Rejection type="AugLoop_Text_Critique"/>
    </int:Content>
    <int:Content id="dlCznKXy">
      <int:Rejection type="AugLoop_Text_Critique"/>
    </int:Content>
    <int:Content id="VMZuUD9f">
      <int:Rejection type="AugLoop_Text_Critique"/>
    </int:Content>
    <int:Content id="sFGu+Gj7">
      <int:Rejection type="AugLoop_Text_Critique"/>
    </int:Content>
    <int:Content id="ZTPpw9wG">
      <int:Rejection type="AugLoop_Text_Critique"/>
    </int:Content>
    <int:Content id="8TSrpaKm">
      <int:Rejection type="LegacyProofing"/>
    </int:Content>
    <int:Content id="qdtBd60L">
      <int:Rejection type="LegacyProofing"/>
    </int:Content>
    <int:Content id="SI0B7/ns">
      <int:Rejection type="LegacyProofing"/>
    </int:Content>
    <int:Content id="I54uPic4">
      <int:Rejection type="LegacyProofing"/>
    </int:Content>
    <int:Content id="8HlW4Vck">
      <int:Rejection type="LegacyProofing"/>
    </int:Content>
    <int:Content id="cPzMm5hm">
      <int:Rejection type="LegacyProofing"/>
    </int:Content>
    <int:Content id="On1dXSBR">
      <int:Rejection type="LegacyProofing"/>
    </int:Content>
    <int:Content id="Eao0tgYC">
      <int:Rejection type="LegacyProofing"/>
    </int:Content>
    <int:Content id="o/HZ2+YI">
      <int:Rejection type="LegacyProofing"/>
    </int:Content>
    <int:Content id="FatO/bV+">
      <int:Rejection type="LegacyProofing"/>
    </int:Content>
    <int:Content id="4TVSsDpr">
      <int:Rejection type="LegacyProofing"/>
    </int:Content>
    <int:Content id="VJaj6HVU">
      <int:Rejection type="LegacyProofing"/>
    </int:Content>
    <int:Content id="horx0p9F">
      <int:Rejection type="LegacyProofing"/>
    </int:Content>
    <int:Content id="cNIgrZAN">
      <int:Rejection type="LegacyProofing"/>
    </int:Content>
    <int:Content id="hWZGqLX6">
      <int:Rejection type="LegacyProofing"/>
    </int:Content>
    <int:Content id="3TJjllEw">
      <int:Rejection type="LegacyProofing"/>
    </int:Content>
    <int:Content id="KXh4nGOb">
      <int:Rejection type="LegacyProofing"/>
    </int:Content>
    <int:Content id="7cOCHBPD">
      <int:Rejection type="LegacyProofing"/>
    </int:Content>
    <int:Content id="TKWWRJQ8">
      <int:Rejection type="LegacyProofing"/>
    </int:Content>
    <int:Content id="pP1hSoRX">
      <int:Rejection type="LegacyProofing"/>
    </int:Content>
    <int:Content id="ewTaWN7W">
      <int:Rejection type="LegacyProofing"/>
    </int:Content>
    <int:Content id="21n7qxGN">
      <int:Rejection type="LegacyProofing"/>
    </int:Content>
    <int:Content id="g6WgDKb9">
      <int:Rejection type="LegacyProofing"/>
    </int:Content>
    <int:Content id="TLZodmJw">
      <int:Rejection type="LegacyProofing"/>
    </int:Content>
    <int:Content id="yAvI6uTq">
      <int:Rejection type="LegacyProofing"/>
    </int:Content>
    <int:Content id="Bjf8CzmV">
      <int:Rejection type="LegacyProofing"/>
    </int:Content>
    <int:Content id="YmesoxJB">
      <int:Rejection type="LegacyProofing"/>
    </int:Content>
    <int:Content id="63OSGbf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0D7"/>
    <w:multiLevelType w:val="hybridMultilevel"/>
    <w:tmpl w:val="54F6DF86"/>
    <w:lvl w:ilvl="0" w:tplc="ADBA2644">
      <w:start w:val="1"/>
      <w:numFmt w:val="bullet"/>
      <w:lvlText w:val="·"/>
      <w:lvlJc w:val="left"/>
      <w:pPr>
        <w:ind w:left="-1080" w:hanging="360"/>
      </w:pPr>
      <w:rPr>
        <w:rFonts w:ascii="Symbol" w:hAnsi="Symbol" w:hint="default"/>
      </w:rPr>
    </w:lvl>
    <w:lvl w:ilvl="1" w:tplc="67BE6978">
      <w:start w:val="1"/>
      <w:numFmt w:val="bullet"/>
      <w:lvlText w:val="o"/>
      <w:lvlJc w:val="left"/>
      <w:pPr>
        <w:ind w:left="-360" w:hanging="360"/>
      </w:pPr>
      <w:rPr>
        <w:rFonts w:ascii="Courier New" w:hAnsi="Courier New" w:hint="default"/>
      </w:rPr>
    </w:lvl>
    <w:lvl w:ilvl="2" w:tplc="8D6E1EB4">
      <w:start w:val="1"/>
      <w:numFmt w:val="bullet"/>
      <w:lvlText w:val=""/>
      <w:lvlJc w:val="left"/>
      <w:pPr>
        <w:ind w:left="360" w:hanging="360"/>
      </w:pPr>
      <w:rPr>
        <w:rFonts w:ascii="Wingdings" w:hAnsi="Wingdings" w:hint="default"/>
      </w:rPr>
    </w:lvl>
    <w:lvl w:ilvl="3" w:tplc="28E66378">
      <w:start w:val="1"/>
      <w:numFmt w:val="bullet"/>
      <w:lvlText w:val=""/>
      <w:lvlJc w:val="left"/>
      <w:pPr>
        <w:ind w:left="1080" w:hanging="360"/>
      </w:pPr>
      <w:rPr>
        <w:rFonts w:ascii="Symbol" w:hAnsi="Symbol" w:hint="default"/>
      </w:rPr>
    </w:lvl>
    <w:lvl w:ilvl="4" w:tplc="7BEC6980">
      <w:start w:val="1"/>
      <w:numFmt w:val="bullet"/>
      <w:lvlText w:val="o"/>
      <w:lvlJc w:val="left"/>
      <w:pPr>
        <w:ind w:left="1800" w:hanging="360"/>
      </w:pPr>
      <w:rPr>
        <w:rFonts w:ascii="Courier New" w:hAnsi="Courier New" w:hint="default"/>
      </w:rPr>
    </w:lvl>
    <w:lvl w:ilvl="5" w:tplc="F064B6CA">
      <w:start w:val="1"/>
      <w:numFmt w:val="bullet"/>
      <w:lvlText w:val=""/>
      <w:lvlJc w:val="left"/>
      <w:pPr>
        <w:ind w:left="2520" w:hanging="360"/>
      </w:pPr>
      <w:rPr>
        <w:rFonts w:ascii="Wingdings" w:hAnsi="Wingdings" w:hint="default"/>
      </w:rPr>
    </w:lvl>
    <w:lvl w:ilvl="6" w:tplc="F3361E98">
      <w:start w:val="1"/>
      <w:numFmt w:val="bullet"/>
      <w:lvlText w:val=""/>
      <w:lvlJc w:val="left"/>
      <w:pPr>
        <w:ind w:left="3240" w:hanging="360"/>
      </w:pPr>
      <w:rPr>
        <w:rFonts w:ascii="Symbol" w:hAnsi="Symbol" w:hint="default"/>
      </w:rPr>
    </w:lvl>
    <w:lvl w:ilvl="7" w:tplc="063C68A0">
      <w:start w:val="1"/>
      <w:numFmt w:val="bullet"/>
      <w:lvlText w:val="o"/>
      <w:lvlJc w:val="left"/>
      <w:pPr>
        <w:ind w:left="3960" w:hanging="360"/>
      </w:pPr>
      <w:rPr>
        <w:rFonts w:ascii="Courier New" w:hAnsi="Courier New" w:hint="default"/>
      </w:rPr>
    </w:lvl>
    <w:lvl w:ilvl="8" w:tplc="1DB2AA22">
      <w:start w:val="1"/>
      <w:numFmt w:val="bullet"/>
      <w:lvlText w:val=""/>
      <w:lvlJc w:val="left"/>
      <w:pPr>
        <w:ind w:left="4680" w:hanging="360"/>
      </w:pPr>
      <w:rPr>
        <w:rFonts w:ascii="Wingdings" w:hAnsi="Wingdings" w:hint="default"/>
      </w:rPr>
    </w:lvl>
  </w:abstractNum>
  <w:abstractNum w:abstractNumId="1" w15:restartNumberingAfterBreak="0">
    <w:nsid w:val="07003317"/>
    <w:multiLevelType w:val="hybridMultilevel"/>
    <w:tmpl w:val="6610E27E"/>
    <w:lvl w:ilvl="0" w:tplc="A7C48778">
      <w:start w:val="1"/>
      <w:numFmt w:val="bullet"/>
      <w:lvlText w:val=""/>
      <w:lvlJc w:val="left"/>
      <w:pPr>
        <w:ind w:left="360" w:hanging="360"/>
      </w:pPr>
      <w:rPr>
        <w:rFonts w:ascii="Symbol" w:hAnsi="Symbol" w:hint="default"/>
      </w:rPr>
    </w:lvl>
    <w:lvl w:ilvl="1" w:tplc="AF388922">
      <w:start w:val="1"/>
      <w:numFmt w:val="bullet"/>
      <w:lvlText w:val="o"/>
      <w:lvlJc w:val="left"/>
      <w:pPr>
        <w:ind w:left="1440" w:hanging="360"/>
      </w:pPr>
      <w:rPr>
        <w:rFonts w:ascii="Courier New" w:hAnsi="Courier New" w:hint="default"/>
      </w:rPr>
    </w:lvl>
    <w:lvl w:ilvl="2" w:tplc="64C40FDE">
      <w:start w:val="1"/>
      <w:numFmt w:val="bullet"/>
      <w:lvlText w:val=""/>
      <w:lvlJc w:val="left"/>
      <w:pPr>
        <w:ind w:left="2160" w:hanging="360"/>
      </w:pPr>
      <w:rPr>
        <w:rFonts w:ascii="Wingdings" w:hAnsi="Wingdings" w:hint="default"/>
      </w:rPr>
    </w:lvl>
    <w:lvl w:ilvl="3" w:tplc="FDF08844">
      <w:start w:val="1"/>
      <w:numFmt w:val="bullet"/>
      <w:lvlText w:val=""/>
      <w:lvlJc w:val="left"/>
      <w:pPr>
        <w:ind w:left="2880" w:hanging="360"/>
      </w:pPr>
      <w:rPr>
        <w:rFonts w:ascii="Symbol" w:hAnsi="Symbol" w:hint="default"/>
      </w:rPr>
    </w:lvl>
    <w:lvl w:ilvl="4" w:tplc="27EA9D4A">
      <w:start w:val="1"/>
      <w:numFmt w:val="bullet"/>
      <w:lvlText w:val="o"/>
      <w:lvlJc w:val="left"/>
      <w:pPr>
        <w:ind w:left="3600" w:hanging="360"/>
      </w:pPr>
      <w:rPr>
        <w:rFonts w:ascii="Courier New" w:hAnsi="Courier New" w:hint="default"/>
      </w:rPr>
    </w:lvl>
    <w:lvl w:ilvl="5" w:tplc="9E0238BA">
      <w:start w:val="1"/>
      <w:numFmt w:val="bullet"/>
      <w:lvlText w:val=""/>
      <w:lvlJc w:val="left"/>
      <w:pPr>
        <w:ind w:left="4320" w:hanging="360"/>
      </w:pPr>
      <w:rPr>
        <w:rFonts w:ascii="Wingdings" w:hAnsi="Wingdings" w:hint="default"/>
      </w:rPr>
    </w:lvl>
    <w:lvl w:ilvl="6" w:tplc="9CD2B462">
      <w:start w:val="1"/>
      <w:numFmt w:val="bullet"/>
      <w:lvlText w:val=""/>
      <w:lvlJc w:val="left"/>
      <w:pPr>
        <w:ind w:left="5040" w:hanging="360"/>
      </w:pPr>
      <w:rPr>
        <w:rFonts w:ascii="Symbol" w:hAnsi="Symbol" w:hint="default"/>
      </w:rPr>
    </w:lvl>
    <w:lvl w:ilvl="7" w:tplc="7FEAA5D0">
      <w:start w:val="1"/>
      <w:numFmt w:val="bullet"/>
      <w:lvlText w:val="o"/>
      <w:lvlJc w:val="left"/>
      <w:pPr>
        <w:ind w:left="5760" w:hanging="360"/>
      </w:pPr>
      <w:rPr>
        <w:rFonts w:ascii="Courier New" w:hAnsi="Courier New" w:hint="default"/>
      </w:rPr>
    </w:lvl>
    <w:lvl w:ilvl="8" w:tplc="92F8B5C2">
      <w:start w:val="1"/>
      <w:numFmt w:val="bullet"/>
      <w:lvlText w:val=""/>
      <w:lvlJc w:val="left"/>
      <w:pPr>
        <w:ind w:left="6480" w:hanging="360"/>
      </w:pPr>
      <w:rPr>
        <w:rFonts w:ascii="Wingdings" w:hAnsi="Wingdings" w:hint="default"/>
      </w:rPr>
    </w:lvl>
  </w:abstractNum>
  <w:abstractNum w:abstractNumId="2" w15:restartNumberingAfterBreak="0">
    <w:nsid w:val="083464E1"/>
    <w:multiLevelType w:val="hybridMultilevel"/>
    <w:tmpl w:val="BF7A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01983"/>
    <w:multiLevelType w:val="hybridMultilevel"/>
    <w:tmpl w:val="F79CC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CD417B"/>
    <w:multiLevelType w:val="hybridMultilevel"/>
    <w:tmpl w:val="9E92DE06"/>
    <w:lvl w:ilvl="0" w:tplc="057CCEA2">
      <w:start w:val="1"/>
      <w:numFmt w:val="bullet"/>
      <w:lvlText w:val=""/>
      <w:lvlJc w:val="left"/>
      <w:pPr>
        <w:ind w:left="720" w:hanging="360"/>
      </w:pPr>
      <w:rPr>
        <w:rFonts w:ascii="Symbol" w:hAnsi="Symbol" w:hint="default"/>
      </w:rPr>
    </w:lvl>
    <w:lvl w:ilvl="1" w:tplc="B036A7D4">
      <w:start w:val="1"/>
      <w:numFmt w:val="bullet"/>
      <w:lvlText w:val="o"/>
      <w:lvlJc w:val="left"/>
      <w:pPr>
        <w:ind w:left="1440" w:hanging="360"/>
      </w:pPr>
      <w:rPr>
        <w:rFonts w:ascii="Courier New" w:hAnsi="Courier New" w:hint="default"/>
      </w:rPr>
    </w:lvl>
    <w:lvl w:ilvl="2" w:tplc="F1A6F582">
      <w:start w:val="1"/>
      <w:numFmt w:val="bullet"/>
      <w:lvlText w:val=""/>
      <w:lvlJc w:val="left"/>
      <w:pPr>
        <w:ind w:left="2160" w:hanging="360"/>
      </w:pPr>
      <w:rPr>
        <w:rFonts w:ascii="Wingdings" w:hAnsi="Wingdings" w:hint="default"/>
      </w:rPr>
    </w:lvl>
    <w:lvl w:ilvl="3" w:tplc="2C8C66C6">
      <w:start w:val="1"/>
      <w:numFmt w:val="bullet"/>
      <w:lvlText w:val=""/>
      <w:lvlJc w:val="left"/>
      <w:pPr>
        <w:ind w:left="2880" w:hanging="360"/>
      </w:pPr>
      <w:rPr>
        <w:rFonts w:ascii="Symbol" w:hAnsi="Symbol" w:hint="default"/>
      </w:rPr>
    </w:lvl>
    <w:lvl w:ilvl="4" w:tplc="56F8E5AE">
      <w:start w:val="1"/>
      <w:numFmt w:val="bullet"/>
      <w:lvlText w:val="o"/>
      <w:lvlJc w:val="left"/>
      <w:pPr>
        <w:ind w:left="3600" w:hanging="360"/>
      </w:pPr>
      <w:rPr>
        <w:rFonts w:ascii="Courier New" w:hAnsi="Courier New" w:hint="default"/>
      </w:rPr>
    </w:lvl>
    <w:lvl w:ilvl="5" w:tplc="C08AEB42">
      <w:start w:val="1"/>
      <w:numFmt w:val="bullet"/>
      <w:lvlText w:val=""/>
      <w:lvlJc w:val="left"/>
      <w:pPr>
        <w:ind w:left="4320" w:hanging="360"/>
      </w:pPr>
      <w:rPr>
        <w:rFonts w:ascii="Wingdings" w:hAnsi="Wingdings" w:hint="default"/>
      </w:rPr>
    </w:lvl>
    <w:lvl w:ilvl="6" w:tplc="E5DE29BA">
      <w:start w:val="1"/>
      <w:numFmt w:val="bullet"/>
      <w:lvlText w:val=""/>
      <w:lvlJc w:val="left"/>
      <w:pPr>
        <w:ind w:left="5040" w:hanging="360"/>
      </w:pPr>
      <w:rPr>
        <w:rFonts w:ascii="Symbol" w:hAnsi="Symbol" w:hint="default"/>
      </w:rPr>
    </w:lvl>
    <w:lvl w:ilvl="7" w:tplc="1AE049E8">
      <w:start w:val="1"/>
      <w:numFmt w:val="bullet"/>
      <w:lvlText w:val="o"/>
      <w:lvlJc w:val="left"/>
      <w:pPr>
        <w:ind w:left="5760" w:hanging="360"/>
      </w:pPr>
      <w:rPr>
        <w:rFonts w:ascii="Courier New" w:hAnsi="Courier New" w:hint="default"/>
      </w:rPr>
    </w:lvl>
    <w:lvl w:ilvl="8" w:tplc="DAB6F46C">
      <w:start w:val="1"/>
      <w:numFmt w:val="bullet"/>
      <w:lvlText w:val=""/>
      <w:lvlJc w:val="left"/>
      <w:pPr>
        <w:ind w:left="6480" w:hanging="360"/>
      </w:pPr>
      <w:rPr>
        <w:rFonts w:ascii="Wingdings" w:hAnsi="Wingdings" w:hint="default"/>
      </w:rPr>
    </w:lvl>
  </w:abstractNum>
  <w:abstractNum w:abstractNumId="5" w15:restartNumberingAfterBreak="0">
    <w:nsid w:val="0E8F25A3"/>
    <w:multiLevelType w:val="hybridMultilevel"/>
    <w:tmpl w:val="38DA8166"/>
    <w:lvl w:ilvl="0" w:tplc="9A10E4F0">
      <w:start w:val="1"/>
      <w:numFmt w:val="bullet"/>
      <w:lvlText w:val="·"/>
      <w:lvlJc w:val="left"/>
      <w:pPr>
        <w:ind w:left="720" w:hanging="360"/>
      </w:pPr>
      <w:rPr>
        <w:rFonts w:ascii="Symbol" w:hAnsi="Symbol" w:hint="default"/>
      </w:rPr>
    </w:lvl>
    <w:lvl w:ilvl="1" w:tplc="571405C6">
      <w:start w:val="1"/>
      <w:numFmt w:val="bullet"/>
      <w:lvlText w:val="o"/>
      <w:lvlJc w:val="left"/>
      <w:pPr>
        <w:ind w:left="1440" w:hanging="360"/>
      </w:pPr>
      <w:rPr>
        <w:rFonts w:ascii="Courier New" w:hAnsi="Courier New" w:hint="default"/>
      </w:rPr>
    </w:lvl>
    <w:lvl w:ilvl="2" w:tplc="C6C07144">
      <w:start w:val="1"/>
      <w:numFmt w:val="bullet"/>
      <w:lvlText w:val=""/>
      <w:lvlJc w:val="left"/>
      <w:pPr>
        <w:ind w:left="2160" w:hanging="360"/>
      </w:pPr>
      <w:rPr>
        <w:rFonts w:ascii="Wingdings" w:hAnsi="Wingdings" w:hint="default"/>
      </w:rPr>
    </w:lvl>
    <w:lvl w:ilvl="3" w:tplc="D5F479AC">
      <w:start w:val="1"/>
      <w:numFmt w:val="bullet"/>
      <w:lvlText w:val=""/>
      <w:lvlJc w:val="left"/>
      <w:pPr>
        <w:ind w:left="2880" w:hanging="360"/>
      </w:pPr>
      <w:rPr>
        <w:rFonts w:ascii="Symbol" w:hAnsi="Symbol" w:hint="default"/>
      </w:rPr>
    </w:lvl>
    <w:lvl w:ilvl="4" w:tplc="1EE6A378">
      <w:start w:val="1"/>
      <w:numFmt w:val="bullet"/>
      <w:lvlText w:val="o"/>
      <w:lvlJc w:val="left"/>
      <w:pPr>
        <w:ind w:left="3600" w:hanging="360"/>
      </w:pPr>
      <w:rPr>
        <w:rFonts w:ascii="Courier New" w:hAnsi="Courier New" w:hint="default"/>
      </w:rPr>
    </w:lvl>
    <w:lvl w:ilvl="5" w:tplc="DA8E1080">
      <w:start w:val="1"/>
      <w:numFmt w:val="bullet"/>
      <w:lvlText w:val=""/>
      <w:lvlJc w:val="left"/>
      <w:pPr>
        <w:ind w:left="4320" w:hanging="360"/>
      </w:pPr>
      <w:rPr>
        <w:rFonts w:ascii="Wingdings" w:hAnsi="Wingdings" w:hint="default"/>
      </w:rPr>
    </w:lvl>
    <w:lvl w:ilvl="6" w:tplc="5D34F374">
      <w:start w:val="1"/>
      <w:numFmt w:val="bullet"/>
      <w:lvlText w:val=""/>
      <w:lvlJc w:val="left"/>
      <w:pPr>
        <w:ind w:left="5040" w:hanging="360"/>
      </w:pPr>
      <w:rPr>
        <w:rFonts w:ascii="Symbol" w:hAnsi="Symbol" w:hint="default"/>
      </w:rPr>
    </w:lvl>
    <w:lvl w:ilvl="7" w:tplc="39F4BC30">
      <w:start w:val="1"/>
      <w:numFmt w:val="bullet"/>
      <w:lvlText w:val="o"/>
      <w:lvlJc w:val="left"/>
      <w:pPr>
        <w:ind w:left="5760" w:hanging="360"/>
      </w:pPr>
      <w:rPr>
        <w:rFonts w:ascii="Courier New" w:hAnsi="Courier New" w:hint="default"/>
      </w:rPr>
    </w:lvl>
    <w:lvl w:ilvl="8" w:tplc="F72E2AA6">
      <w:start w:val="1"/>
      <w:numFmt w:val="bullet"/>
      <w:lvlText w:val=""/>
      <w:lvlJc w:val="left"/>
      <w:pPr>
        <w:ind w:left="6480" w:hanging="360"/>
      </w:pPr>
      <w:rPr>
        <w:rFonts w:ascii="Wingdings" w:hAnsi="Wingdings" w:hint="default"/>
      </w:rPr>
    </w:lvl>
  </w:abstractNum>
  <w:abstractNum w:abstractNumId="6" w15:restartNumberingAfterBreak="0">
    <w:nsid w:val="0ED0684F"/>
    <w:multiLevelType w:val="hybridMultilevel"/>
    <w:tmpl w:val="FC587A94"/>
    <w:lvl w:ilvl="0" w:tplc="03342600">
      <w:start w:val="1"/>
      <w:numFmt w:val="bullet"/>
      <w:lvlText w:val=""/>
      <w:lvlJc w:val="left"/>
      <w:pPr>
        <w:ind w:left="720" w:hanging="360"/>
      </w:pPr>
      <w:rPr>
        <w:rFonts w:ascii="Symbol" w:hAnsi="Symbol" w:hint="default"/>
      </w:rPr>
    </w:lvl>
    <w:lvl w:ilvl="1" w:tplc="11264D44">
      <w:start w:val="1"/>
      <w:numFmt w:val="bullet"/>
      <w:lvlText w:val="o"/>
      <w:lvlJc w:val="left"/>
      <w:pPr>
        <w:ind w:left="1440" w:hanging="360"/>
      </w:pPr>
      <w:rPr>
        <w:rFonts w:ascii="Courier New" w:hAnsi="Courier New" w:hint="default"/>
      </w:rPr>
    </w:lvl>
    <w:lvl w:ilvl="2" w:tplc="BDFC0A54">
      <w:start w:val="1"/>
      <w:numFmt w:val="bullet"/>
      <w:lvlText w:val=""/>
      <w:lvlJc w:val="left"/>
      <w:pPr>
        <w:ind w:left="2160" w:hanging="360"/>
      </w:pPr>
      <w:rPr>
        <w:rFonts w:ascii="Wingdings" w:hAnsi="Wingdings" w:hint="default"/>
      </w:rPr>
    </w:lvl>
    <w:lvl w:ilvl="3" w:tplc="92A0B19C">
      <w:start w:val="1"/>
      <w:numFmt w:val="bullet"/>
      <w:lvlText w:val=""/>
      <w:lvlJc w:val="left"/>
      <w:pPr>
        <w:ind w:left="2880" w:hanging="360"/>
      </w:pPr>
      <w:rPr>
        <w:rFonts w:ascii="Symbol" w:hAnsi="Symbol" w:hint="default"/>
      </w:rPr>
    </w:lvl>
    <w:lvl w:ilvl="4" w:tplc="6568B75A">
      <w:start w:val="1"/>
      <w:numFmt w:val="bullet"/>
      <w:lvlText w:val="o"/>
      <w:lvlJc w:val="left"/>
      <w:pPr>
        <w:ind w:left="3600" w:hanging="360"/>
      </w:pPr>
      <w:rPr>
        <w:rFonts w:ascii="Courier New" w:hAnsi="Courier New" w:hint="default"/>
      </w:rPr>
    </w:lvl>
    <w:lvl w:ilvl="5" w:tplc="9F80974C">
      <w:start w:val="1"/>
      <w:numFmt w:val="bullet"/>
      <w:lvlText w:val=""/>
      <w:lvlJc w:val="left"/>
      <w:pPr>
        <w:ind w:left="4320" w:hanging="360"/>
      </w:pPr>
      <w:rPr>
        <w:rFonts w:ascii="Wingdings" w:hAnsi="Wingdings" w:hint="default"/>
      </w:rPr>
    </w:lvl>
    <w:lvl w:ilvl="6" w:tplc="DB7486DE">
      <w:start w:val="1"/>
      <w:numFmt w:val="bullet"/>
      <w:lvlText w:val=""/>
      <w:lvlJc w:val="left"/>
      <w:pPr>
        <w:ind w:left="5040" w:hanging="360"/>
      </w:pPr>
      <w:rPr>
        <w:rFonts w:ascii="Symbol" w:hAnsi="Symbol" w:hint="default"/>
      </w:rPr>
    </w:lvl>
    <w:lvl w:ilvl="7" w:tplc="772C4F60">
      <w:start w:val="1"/>
      <w:numFmt w:val="bullet"/>
      <w:lvlText w:val="o"/>
      <w:lvlJc w:val="left"/>
      <w:pPr>
        <w:ind w:left="5760" w:hanging="360"/>
      </w:pPr>
      <w:rPr>
        <w:rFonts w:ascii="Courier New" w:hAnsi="Courier New" w:hint="default"/>
      </w:rPr>
    </w:lvl>
    <w:lvl w:ilvl="8" w:tplc="AB2658C2">
      <w:start w:val="1"/>
      <w:numFmt w:val="bullet"/>
      <w:lvlText w:val=""/>
      <w:lvlJc w:val="left"/>
      <w:pPr>
        <w:ind w:left="6480" w:hanging="360"/>
      </w:pPr>
      <w:rPr>
        <w:rFonts w:ascii="Wingdings" w:hAnsi="Wingdings" w:hint="default"/>
      </w:rPr>
    </w:lvl>
  </w:abstractNum>
  <w:abstractNum w:abstractNumId="7" w15:restartNumberingAfterBreak="0">
    <w:nsid w:val="16DC3BA2"/>
    <w:multiLevelType w:val="hybridMultilevel"/>
    <w:tmpl w:val="1A00CB06"/>
    <w:lvl w:ilvl="0" w:tplc="B232C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11C76"/>
    <w:multiLevelType w:val="hybridMultilevel"/>
    <w:tmpl w:val="2124DEDA"/>
    <w:lvl w:ilvl="0" w:tplc="F524255C">
      <w:start w:val="1"/>
      <w:numFmt w:val="decimal"/>
      <w:lvlText w:val="%1."/>
      <w:lvlJc w:val="left"/>
      <w:pPr>
        <w:ind w:left="720" w:hanging="360"/>
      </w:pPr>
    </w:lvl>
    <w:lvl w:ilvl="1" w:tplc="A306B146">
      <w:start w:val="1"/>
      <w:numFmt w:val="lowerLetter"/>
      <w:lvlText w:val="%2."/>
      <w:lvlJc w:val="left"/>
      <w:pPr>
        <w:ind w:left="1440" w:hanging="360"/>
      </w:pPr>
    </w:lvl>
    <w:lvl w:ilvl="2" w:tplc="803CFA1E">
      <w:start w:val="1"/>
      <w:numFmt w:val="lowerRoman"/>
      <w:lvlText w:val="%3."/>
      <w:lvlJc w:val="right"/>
      <w:pPr>
        <w:ind w:left="2160" w:hanging="180"/>
      </w:pPr>
    </w:lvl>
    <w:lvl w:ilvl="3" w:tplc="06A2EDC0">
      <w:start w:val="1"/>
      <w:numFmt w:val="decimal"/>
      <w:lvlText w:val="%4."/>
      <w:lvlJc w:val="left"/>
      <w:pPr>
        <w:ind w:left="2880" w:hanging="360"/>
      </w:pPr>
    </w:lvl>
    <w:lvl w:ilvl="4" w:tplc="637CEEF2">
      <w:start w:val="1"/>
      <w:numFmt w:val="lowerLetter"/>
      <w:lvlText w:val="%5."/>
      <w:lvlJc w:val="left"/>
      <w:pPr>
        <w:ind w:left="3600" w:hanging="360"/>
      </w:pPr>
    </w:lvl>
    <w:lvl w:ilvl="5" w:tplc="4A56460E">
      <w:start w:val="1"/>
      <w:numFmt w:val="lowerRoman"/>
      <w:lvlText w:val="%6."/>
      <w:lvlJc w:val="right"/>
      <w:pPr>
        <w:ind w:left="4320" w:hanging="180"/>
      </w:pPr>
    </w:lvl>
    <w:lvl w:ilvl="6" w:tplc="E9526BFE">
      <w:start w:val="1"/>
      <w:numFmt w:val="decimal"/>
      <w:lvlText w:val="%7."/>
      <w:lvlJc w:val="left"/>
      <w:pPr>
        <w:ind w:left="5040" w:hanging="360"/>
      </w:pPr>
    </w:lvl>
    <w:lvl w:ilvl="7" w:tplc="4B06B9DA">
      <w:start w:val="1"/>
      <w:numFmt w:val="lowerLetter"/>
      <w:lvlText w:val="%8."/>
      <w:lvlJc w:val="left"/>
      <w:pPr>
        <w:ind w:left="5760" w:hanging="360"/>
      </w:pPr>
    </w:lvl>
    <w:lvl w:ilvl="8" w:tplc="6F9667C6">
      <w:start w:val="1"/>
      <w:numFmt w:val="lowerRoman"/>
      <w:lvlText w:val="%9."/>
      <w:lvlJc w:val="right"/>
      <w:pPr>
        <w:ind w:left="6480" w:hanging="180"/>
      </w:pPr>
    </w:lvl>
  </w:abstractNum>
  <w:abstractNum w:abstractNumId="9" w15:restartNumberingAfterBreak="0">
    <w:nsid w:val="21B13E5F"/>
    <w:multiLevelType w:val="hybridMultilevel"/>
    <w:tmpl w:val="1EDE7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EC16D5"/>
    <w:multiLevelType w:val="hybridMultilevel"/>
    <w:tmpl w:val="26C8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A4CC8"/>
    <w:multiLevelType w:val="hybridMultilevel"/>
    <w:tmpl w:val="D7AEB530"/>
    <w:lvl w:ilvl="0" w:tplc="AAB0B2B4">
      <w:start w:val="1"/>
      <w:numFmt w:val="bullet"/>
      <w:lvlText w:val="·"/>
      <w:lvlJc w:val="left"/>
      <w:pPr>
        <w:ind w:left="720" w:hanging="360"/>
      </w:pPr>
      <w:rPr>
        <w:rFonts w:ascii="Symbol" w:hAnsi="Symbol" w:hint="default"/>
      </w:rPr>
    </w:lvl>
    <w:lvl w:ilvl="1" w:tplc="108633A8">
      <w:start w:val="1"/>
      <w:numFmt w:val="bullet"/>
      <w:lvlText w:val="o"/>
      <w:lvlJc w:val="left"/>
      <w:pPr>
        <w:ind w:left="1440" w:hanging="360"/>
      </w:pPr>
      <w:rPr>
        <w:rFonts w:ascii="Courier New" w:hAnsi="Courier New" w:hint="default"/>
      </w:rPr>
    </w:lvl>
    <w:lvl w:ilvl="2" w:tplc="083AE1B6">
      <w:start w:val="1"/>
      <w:numFmt w:val="bullet"/>
      <w:lvlText w:val=""/>
      <w:lvlJc w:val="left"/>
      <w:pPr>
        <w:ind w:left="2160" w:hanging="360"/>
      </w:pPr>
      <w:rPr>
        <w:rFonts w:ascii="Wingdings" w:hAnsi="Wingdings" w:hint="default"/>
      </w:rPr>
    </w:lvl>
    <w:lvl w:ilvl="3" w:tplc="B8B2343A">
      <w:start w:val="1"/>
      <w:numFmt w:val="bullet"/>
      <w:lvlText w:val=""/>
      <w:lvlJc w:val="left"/>
      <w:pPr>
        <w:ind w:left="2880" w:hanging="360"/>
      </w:pPr>
      <w:rPr>
        <w:rFonts w:ascii="Symbol" w:hAnsi="Symbol" w:hint="default"/>
      </w:rPr>
    </w:lvl>
    <w:lvl w:ilvl="4" w:tplc="F68635D0">
      <w:start w:val="1"/>
      <w:numFmt w:val="bullet"/>
      <w:lvlText w:val="o"/>
      <w:lvlJc w:val="left"/>
      <w:pPr>
        <w:ind w:left="3600" w:hanging="360"/>
      </w:pPr>
      <w:rPr>
        <w:rFonts w:ascii="Courier New" w:hAnsi="Courier New" w:hint="default"/>
      </w:rPr>
    </w:lvl>
    <w:lvl w:ilvl="5" w:tplc="DD84C376">
      <w:start w:val="1"/>
      <w:numFmt w:val="bullet"/>
      <w:lvlText w:val=""/>
      <w:lvlJc w:val="left"/>
      <w:pPr>
        <w:ind w:left="4320" w:hanging="360"/>
      </w:pPr>
      <w:rPr>
        <w:rFonts w:ascii="Wingdings" w:hAnsi="Wingdings" w:hint="default"/>
      </w:rPr>
    </w:lvl>
    <w:lvl w:ilvl="6" w:tplc="26B8C404">
      <w:start w:val="1"/>
      <w:numFmt w:val="bullet"/>
      <w:lvlText w:val=""/>
      <w:lvlJc w:val="left"/>
      <w:pPr>
        <w:ind w:left="5040" w:hanging="360"/>
      </w:pPr>
      <w:rPr>
        <w:rFonts w:ascii="Symbol" w:hAnsi="Symbol" w:hint="default"/>
      </w:rPr>
    </w:lvl>
    <w:lvl w:ilvl="7" w:tplc="7E3670AA">
      <w:start w:val="1"/>
      <w:numFmt w:val="bullet"/>
      <w:lvlText w:val="o"/>
      <w:lvlJc w:val="left"/>
      <w:pPr>
        <w:ind w:left="5760" w:hanging="360"/>
      </w:pPr>
      <w:rPr>
        <w:rFonts w:ascii="Courier New" w:hAnsi="Courier New" w:hint="default"/>
      </w:rPr>
    </w:lvl>
    <w:lvl w:ilvl="8" w:tplc="B7BC1E34">
      <w:start w:val="1"/>
      <w:numFmt w:val="bullet"/>
      <w:lvlText w:val=""/>
      <w:lvlJc w:val="left"/>
      <w:pPr>
        <w:ind w:left="6480" w:hanging="360"/>
      </w:pPr>
      <w:rPr>
        <w:rFonts w:ascii="Wingdings" w:hAnsi="Wingdings" w:hint="default"/>
      </w:rPr>
    </w:lvl>
  </w:abstractNum>
  <w:abstractNum w:abstractNumId="12" w15:restartNumberingAfterBreak="0">
    <w:nsid w:val="2A454EDD"/>
    <w:multiLevelType w:val="hybridMultilevel"/>
    <w:tmpl w:val="8216EE72"/>
    <w:lvl w:ilvl="0" w:tplc="47F28BE4">
      <w:start w:val="1"/>
      <w:numFmt w:val="bullet"/>
      <w:lvlText w:val=""/>
      <w:lvlJc w:val="left"/>
      <w:pPr>
        <w:ind w:left="720" w:hanging="360"/>
      </w:pPr>
      <w:rPr>
        <w:rFonts w:ascii="Symbol" w:hAnsi="Symbol" w:hint="default"/>
      </w:rPr>
    </w:lvl>
    <w:lvl w:ilvl="1" w:tplc="44FC02CE">
      <w:start w:val="1"/>
      <w:numFmt w:val="bullet"/>
      <w:lvlText w:val="o"/>
      <w:lvlJc w:val="left"/>
      <w:pPr>
        <w:ind w:left="1440" w:hanging="360"/>
      </w:pPr>
      <w:rPr>
        <w:rFonts w:ascii="Courier New" w:hAnsi="Courier New" w:hint="default"/>
      </w:rPr>
    </w:lvl>
    <w:lvl w:ilvl="2" w:tplc="FAE0E824">
      <w:start w:val="1"/>
      <w:numFmt w:val="bullet"/>
      <w:lvlText w:val=""/>
      <w:lvlJc w:val="left"/>
      <w:pPr>
        <w:ind w:left="2160" w:hanging="360"/>
      </w:pPr>
      <w:rPr>
        <w:rFonts w:ascii="Wingdings" w:hAnsi="Wingdings" w:hint="default"/>
      </w:rPr>
    </w:lvl>
    <w:lvl w:ilvl="3" w:tplc="40D0EEC2">
      <w:start w:val="1"/>
      <w:numFmt w:val="bullet"/>
      <w:lvlText w:val=""/>
      <w:lvlJc w:val="left"/>
      <w:pPr>
        <w:ind w:left="2880" w:hanging="360"/>
      </w:pPr>
      <w:rPr>
        <w:rFonts w:ascii="Symbol" w:hAnsi="Symbol" w:hint="default"/>
      </w:rPr>
    </w:lvl>
    <w:lvl w:ilvl="4" w:tplc="3766C8A4">
      <w:start w:val="1"/>
      <w:numFmt w:val="bullet"/>
      <w:lvlText w:val="o"/>
      <w:lvlJc w:val="left"/>
      <w:pPr>
        <w:ind w:left="3600" w:hanging="360"/>
      </w:pPr>
      <w:rPr>
        <w:rFonts w:ascii="Courier New" w:hAnsi="Courier New" w:hint="default"/>
      </w:rPr>
    </w:lvl>
    <w:lvl w:ilvl="5" w:tplc="CE18FFB8">
      <w:start w:val="1"/>
      <w:numFmt w:val="bullet"/>
      <w:lvlText w:val=""/>
      <w:lvlJc w:val="left"/>
      <w:pPr>
        <w:ind w:left="4320" w:hanging="360"/>
      </w:pPr>
      <w:rPr>
        <w:rFonts w:ascii="Wingdings" w:hAnsi="Wingdings" w:hint="default"/>
      </w:rPr>
    </w:lvl>
    <w:lvl w:ilvl="6" w:tplc="D6EA51E6">
      <w:start w:val="1"/>
      <w:numFmt w:val="bullet"/>
      <w:lvlText w:val=""/>
      <w:lvlJc w:val="left"/>
      <w:pPr>
        <w:ind w:left="5040" w:hanging="360"/>
      </w:pPr>
      <w:rPr>
        <w:rFonts w:ascii="Symbol" w:hAnsi="Symbol" w:hint="default"/>
      </w:rPr>
    </w:lvl>
    <w:lvl w:ilvl="7" w:tplc="623283A4">
      <w:start w:val="1"/>
      <w:numFmt w:val="bullet"/>
      <w:lvlText w:val="o"/>
      <w:lvlJc w:val="left"/>
      <w:pPr>
        <w:ind w:left="5760" w:hanging="360"/>
      </w:pPr>
      <w:rPr>
        <w:rFonts w:ascii="Courier New" w:hAnsi="Courier New" w:hint="default"/>
      </w:rPr>
    </w:lvl>
    <w:lvl w:ilvl="8" w:tplc="D1AC6BB0">
      <w:start w:val="1"/>
      <w:numFmt w:val="bullet"/>
      <w:lvlText w:val=""/>
      <w:lvlJc w:val="left"/>
      <w:pPr>
        <w:ind w:left="6480" w:hanging="360"/>
      </w:pPr>
      <w:rPr>
        <w:rFonts w:ascii="Wingdings" w:hAnsi="Wingdings" w:hint="default"/>
      </w:rPr>
    </w:lvl>
  </w:abstractNum>
  <w:abstractNum w:abstractNumId="13" w15:restartNumberingAfterBreak="0">
    <w:nsid w:val="2AA52716"/>
    <w:multiLevelType w:val="hybridMultilevel"/>
    <w:tmpl w:val="79486612"/>
    <w:lvl w:ilvl="0" w:tplc="4ABA4262">
      <w:start w:val="1"/>
      <w:numFmt w:val="bullet"/>
      <w:lvlText w:val="·"/>
      <w:lvlJc w:val="left"/>
      <w:pPr>
        <w:ind w:left="720" w:hanging="360"/>
      </w:pPr>
      <w:rPr>
        <w:rFonts w:ascii="Symbol" w:hAnsi="Symbol" w:hint="default"/>
      </w:rPr>
    </w:lvl>
    <w:lvl w:ilvl="1" w:tplc="1CA8D5F8">
      <w:start w:val="1"/>
      <w:numFmt w:val="bullet"/>
      <w:lvlText w:val="o"/>
      <w:lvlJc w:val="left"/>
      <w:pPr>
        <w:ind w:left="1440" w:hanging="360"/>
      </w:pPr>
      <w:rPr>
        <w:rFonts w:ascii="Courier New" w:hAnsi="Courier New" w:hint="default"/>
      </w:rPr>
    </w:lvl>
    <w:lvl w:ilvl="2" w:tplc="25384F96">
      <w:start w:val="1"/>
      <w:numFmt w:val="bullet"/>
      <w:lvlText w:val=""/>
      <w:lvlJc w:val="left"/>
      <w:pPr>
        <w:ind w:left="2160" w:hanging="360"/>
      </w:pPr>
      <w:rPr>
        <w:rFonts w:ascii="Wingdings" w:hAnsi="Wingdings" w:hint="default"/>
      </w:rPr>
    </w:lvl>
    <w:lvl w:ilvl="3" w:tplc="8338595A">
      <w:start w:val="1"/>
      <w:numFmt w:val="bullet"/>
      <w:lvlText w:val=""/>
      <w:lvlJc w:val="left"/>
      <w:pPr>
        <w:ind w:left="2880" w:hanging="360"/>
      </w:pPr>
      <w:rPr>
        <w:rFonts w:ascii="Symbol" w:hAnsi="Symbol" w:hint="default"/>
      </w:rPr>
    </w:lvl>
    <w:lvl w:ilvl="4" w:tplc="688AD69C">
      <w:start w:val="1"/>
      <w:numFmt w:val="bullet"/>
      <w:lvlText w:val="o"/>
      <w:lvlJc w:val="left"/>
      <w:pPr>
        <w:ind w:left="3600" w:hanging="360"/>
      </w:pPr>
      <w:rPr>
        <w:rFonts w:ascii="Courier New" w:hAnsi="Courier New" w:hint="default"/>
      </w:rPr>
    </w:lvl>
    <w:lvl w:ilvl="5" w:tplc="DDAC911E">
      <w:start w:val="1"/>
      <w:numFmt w:val="bullet"/>
      <w:lvlText w:val=""/>
      <w:lvlJc w:val="left"/>
      <w:pPr>
        <w:ind w:left="4320" w:hanging="360"/>
      </w:pPr>
      <w:rPr>
        <w:rFonts w:ascii="Wingdings" w:hAnsi="Wingdings" w:hint="default"/>
      </w:rPr>
    </w:lvl>
    <w:lvl w:ilvl="6" w:tplc="BBF68252">
      <w:start w:val="1"/>
      <w:numFmt w:val="bullet"/>
      <w:lvlText w:val=""/>
      <w:lvlJc w:val="left"/>
      <w:pPr>
        <w:ind w:left="5040" w:hanging="360"/>
      </w:pPr>
      <w:rPr>
        <w:rFonts w:ascii="Symbol" w:hAnsi="Symbol" w:hint="default"/>
      </w:rPr>
    </w:lvl>
    <w:lvl w:ilvl="7" w:tplc="2558F64E">
      <w:start w:val="1"/>
      <w:numFmt w:val="bullet"/>
      <w:lvlText w:val="o"/>
      <w:lvlJc w:val="left"/>
      <w:pPr>
        <w:ind w:left="5760" w:hanging="360"/>
      </w:pPr>
      <w:rPr>
        <w:rFonts w:ascii="Courier New" w:hAnsi="Courier New" w:hint="default"/>
      </w:rPr>
    </w:lvl>
    <w:lvl w:ilvl="8" w:tplc="D01AEA32">
      <w:start w:val="1"/>
      <w:numFmt w:val="bullet"/>
      <w:lvlText w:val=""/>
      <w:lvlJc w:val="left"/>
      <w:pPr>
        <w:ind w:left="6480" w:hanging="360"/>
      </w:pPr>
      <w:rPr>
        <w:rFonts w:ascii="Wingdings" w:hAnsi="Wingdings" w:hint="default"/>
      </w:rPr>
    </w:lvl>
  </w:abstractNum>
  <w:abstractNum w:abstractNumId="14" w15:restartNumberingAfterBreak="0">
    <w:nsid w:val="2EC860F2"/>
    <w:multiLevelType w:val="hybridMultilevel"/>
    <w:tmpl w:val="C05AD654"/>
    <w:lvl w:ilvl="0" w:tplc="0809000F">
      <w:start w:val="1"/>
      <w:numFmt w:val="decimal"/>
      <w:lvlText w:val="%1."/>
      <w:lvlJc w:val="left"/>
      <w:pPr>
        <w:ind w:left="360" w:hanging="360"/>
      </w:pPr>
      <w:rPr>
        <w:rFonts w:cs="Times New Roman"/>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5" w15:restartNumberingAfterBreak="0">
    <w:nsid w:val="2FE81D7F"/>
    <w:multiLevelType w:val="hybridMultilevel"/>
    <w:tmpl w:val="6D1E761E"/>
    <w:lvl w:ilvl="0" w:tplc="DB52785E">
      <w:start w:val="1"/>
      <w:numFmt w:val="bullet"/>
      <w:lvlText w:val=""/>
      <w:lvlJc w:val="left"/>
      <w:pPr>
        <w:ind w:left="360" w:hanging="360"/>
      </w:pPr>
      <w:rPr>
        <w:rFonts w:ascii="Symbol" w:hAnsi="Symbol" w:hint="default"/>
      </w:rPr>
    </w:lvl>
    <w:lvl w:ilvl="1" w:tplc="406AA580">
      <w:start w:val="1"/>
      <w:numFmt w:val="bullet"/>
      <w:lvlText w:val="o"/>
      <w:lvlJc w:val="left"/>
      <w:pPr>
        <w:ind w:left="1440" w:hanging="360"/>
      </w:pPr>
      <w:rPr>
        <w:rFonts w:ascii="Courier New" w:hAnsi="Courier New" w:hint="default"/>
      </w:rPr>
    </w:lvl>
    <w:lvl w:ilvl="2" w:tplc="BA9479D8">
      <w:start w:val="1"/>
      <w:numFmt w:val="bullet"/>
      <w:lvlText w:val=""/>
      <w:lvlJc w:val="left"/>
      <w:pPr>
        <w:ind w:left="2160" w:hanging="360"/>
      </w:pPr>
      <w:rPr>
        <w:rFonts w:ascii="Wingdings" w:hAnsi="Wingdings" w:hint="default"/>
      </w:rPr>
    </w:lvl>
    <w:lvl w:ilvl="3" w:tplc="CEF4F7E2">
      <w:start w:val="1"/>
      <w:numFmt w:val="bullet"/>
      <w:lvlText w:val=""/>
      <w:lvlJc w:val="left"/>
      <w:pPr>
        <w:ind w:left="2880" w:hanging="360"/>
      </w:pPr>
      <w:rPr>
        <w:rFonts w:ascii="Symbol" w:hAnsi="Symbol" w:hint="default"/>
      </w:rPr>
    </w:lvl>
    <w:lvl w:ilvl="4" w:tplc="42227D78">
      <w:start w:val="1"/>
      <w:numFmt w:val="bullet"/>
      <w:lvlText w:val="o"/>
      <w:lvlJc w:val="left"/>
      <w:pPr>
        <w:ind w:left="3600" w:hanging="360"/>
      </w:pPr>
      <w:rPr>
        <w:rFonts w:ascii="Courier New" w:hAnsi="Courier New" w:hint="default"/>
      </w:rPr>
    </w:lvl>
    <w:lvl w:ilvl="5" w:tplc="C526B68C">
      <w:start w:val="1"/>
      <w:numFmt w:val="bullet"/>
      <w:lvlText w:val=""/>
      <w:lvlJc w:val="left"/>
      <w:pPr>
        <w:ind w:left="4320" w:hanging="360"/>
      </w:pPr>
      <w:rPr>
        <w:rFonts w:ascii="Wingdings" w:hAnsi="Wingdings" w:hint="default"/>
      </w:rPr>
    </w:lvl>
    <w:lvl w:ilvl="6" w:tplc="C54C921A">
      <w:start w:val="1"/>
      <w:numFmt w:val="bullet"/>
      <w:lvlText w:val=""/>
      <w:lvlJc w:val="left"/>
      <w:pPr>
        <w:ind w:left="5040" w:hanging="360"/>
      </w:pPr>
      <w:rPr>
        <w:rFonts w:ascii="Symbol" w:hAnsi="Symbol" w:hint="default"/>
      </w:rPr>
    </w:lvl>
    <w:lvl w:ilvl="7" w:tplc="5FEC4EA8">
      <w:start w:val="1"/>
      <w:numFmt w:val="bullet"/>
      <w:lvlText w:val="o"/>
      <w:lvlJc w:val="left"/>
      <w:pPr>
        <w:ind w:left="5760" w:hanging="360"/>
      </w:pPr>
      <w:rPr>
        <w:rFonts w:ascii="Courier New" w:hAnsi="Courier New" w:hint="default"/>
      </w:rPr>
    </w:lvl>
    <w:lvl w:ilvl="8" w:tplc="E6C82446">
      <w:start w:val="1"/>
      <w:numFmt w:val="bullet"/>
      <w:lvlText w:val=""/>
      <w:lvlJc w:val="left"/>
      <w:pPr>
        <w:ind w:left="6480" w:hanging="360"/>
      </w:pPr>
      <w:rPr>
        <w:rFonts w:ascii="Wingdings" w:hAnsi="Wingdings" w:hint="default"/>
      </w:rPr>
    </w:lvl>
  </w:abstractNum>
  <w:abstractNum w:abstractNumId="16" w15:restartNumberingAfterBreak="0">
    <w:nsid w:val="325E72A3"/>
    <w:multiLevelType w:val="hybridMultilevel"/>
    <w:tmpl w:val="35849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841B6"/>
    <w:multiLevelType w:val="hybridMultilevel"/>
    <w:tmpl w:val="EC6EE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9043C2"/>
    <w:multiLevelType w:val="hybridMultilevel"/>
    <w:tmpl w:val="69EE2848"/>
    <w:lvl w:ilvl="0" w:tplc="D430EE74">
      <w:start w:val="1"/>
      <w:numFmt w:val="bullet"/>
      <w:lvlText w:val=""/>
      <w:lvlJc w:val="left"/>
      <w:pPr>
        <w:ind w:left="360" w:hanging="360"/>
      </w:pPr>
      <w:rPr>
        <w:rFonts w:ascii="Symbol" w:hAnsi="Symbol" w:hint="default"/>
      </w:rPr>
    </w:lvl>
    <w:lvl w:ilvl="1" w:tplc="589AA6A8">
      <w:start w:val="1"/>
      <w:numFmt w:val="bullet"/>
      <w:lvlText w:val="o"/>
      <w:lvlJc w:val="left"/>
      <w:pPr>
        <w:ind w:left="1080" w:hanging="360"/>
      </w:pPr>
      <w:rPr>
        <w:rFonts w:ascii="Courier New" w:hAnsi="Courier New" w:hint="default"/>
      </w:rPr>
    </w:lvl>
    <w:lvl w:ilvl="2" w:tplc="16E481EA">
      <w:start w:val="1"/>
      <w:numFmt w:val="bullet"/>
      <w:lvlText w:val=""/>
      <w:lvlJc w:val="left"/>
      <w:pPr>
        <w:ind w:left="1800" w:hanging="360"/>
      </w:pPr>
      <w:rPr>
        <w:rFonts w:ascii="Wingdings" w:hAnsi="Wingdings" w:hint="default"/>
      </w:rPr>
    </w:lvl>
    <w:lvl w:ilvl="3" w:tplc="66381170">
      <w:start w:val="1"/>
      <w:numFmt w:val="bullet"/>
      <w:lvlText w:val=""/>
      <w:lvlJc w:val="left"/>
      <w:pPr>
        <w:ind w:left="2520" w:hanging="360"/>
      </w:pPr>
      <w:rPr>
        <w:rFonts w:ascii="Symbol" w:hAnsi="Symbol" w:hint="default"/>
      </w:rPr>
    </w:lvl>
    <w:lvl w:ilvl="4" w:tplc="659A2DC6">
      <w:start w:val="1"/>
      <w:numFmt w:val="bullet"/>
      <w:lvlText w:val="o"/>
      <w:lvlJc w:val="left"/>
      <w:pPr>
        <w:ind w:left="3240" w:hanging="360"/>
      </w:pPr>
      <w:rPr>
        <w:rFonts w:ascii="Courier New" w:hAnsi="Courier New" w:hint="default"/>
      </w:rPr>
    </w:lvl>
    <w:lvl w:ilvl="5" w:tplc="73227286">
      <w:start w:val="1"/>
      <w:numFmt w:val="bullet"/>
      <w:lvlText w:val=""/>
      <w:lvlJc w:val="left"/>
      <w:pPr>
        <w:ind w:left="3960" w:hanging="360"/>
      </w:pPr>
      <w:rPr>
        <w:rFonts w:ascii="Wingdings" w:hAnsi="Wingdings" w:hint="default"/>
      </w:rPr>
    </w:lvl>
    <w:lvl w:ilvl="6" w:tplc="DCCE6EA8">
      <w:start w:val="1"/>
      <w:numFmt w:val="bullet"/>
      <w:lvlText w:val=""/>
      <w:lvlJc w:val="left"/>
      <w:pPr>
        <w:ind w:left="4680" w:hanging="360"/>
      </w:pPr>
      <w:rPr>
        <w:rFonts w:ascii="Symbol" w:hAnsi="Symbol" w:hint="default"/>
      </w:rPr>
    </w:lvl>
    <w:lvl w:ilvl="7" w:tplc="A5820382">
      <w:start w:val="1"/>
      <w:numFmt w:val="bullet"/>
      <w:lvlText w:val="o"/>
      <w:lvlJc w:val="left"/>
      <w:pPr>
        <w:ind w:left="5400" w:hanging="360"/>
      </w:pPr>
      <w:rPr>
        <w:rFonts w:ascii="Courier New" w:hAnsi="Courier New" w:hint="default"/>
      </w:rPr>
    </w:lvl>
    <w:lvl w:ilvl="8" w:tplc="0944EEA4">
      <w:start w:val="1"/>
      <w:numFmt w:val="bullet"/>
      <w:lvlText w:val=""/>
      <w:lvlJc w:val="left"/>
      <w:pPr>
        <w:ind w:left="6120" w:hanging="360"/>
      </w:pPr>
      <w:rPr>
        <w:rFonts w:ascii="Wingdings" w:hAnsi="Wingdings" w:hint="default"/>
      </w:rPr>
    </w:lvl>
  </w:abstractNum>
  <w:abstractNum w:abstractNumId="19" w15:restartNumberingAfterBreak="0">
    <w:nsid w:val="3A4B19C4"/>
    <w:multiLevelType w:val="hybridMultilevel"/>
    <w:tmpl w:val="7138CA82"/>
    <w:lvl w:ilvl="0" w:tplc="79DEAC4A">
      <w:start w:val="1"/>
      <w:numFmt w:val="decimal"/>
      <w:lvlText w:val="%1."/>
      <w:lvlJc w:val="left"/>
      <w:pPr>
        <w:ind w:left="720" w:hanging="360"/>
      </w:pPr>
    </w:lvl>
    <w:lvl w:ilvl="1" w:tplc="10E6B7C0">
      <w:start w:val="1"/>
      <w:numFmt w:val="lowerLetter"/>
      <w:lvlText w:val="%2."/>
      <w:lvlJc w:val="left"/>
      <w:pPr>
        <w:ind w:left="1440" w:hanging="360"/>
      </w:pPr>
    </w:lvl>
    <w:lvl w:ilvl="2" w:tplc="F4F87926">
      <w:start w:val="1"/>
      <w:numFmt w:val="lowerRoman"/>
      <w:lvlText w:val="%3."/>
      <w:lvlJc w:val="right"/>
      <w:pPr>
        <w:ind w:left="2160" w:hanging="180"/>
      </w:pPr>
    </w:lvl>
    <w:lvl w:ilvl="3" w:tplc="32681F4C">
      <w:start w:val="1"/>
      <w:numFmt w:val="decimal"/>
      <w:lvlText w:val="%4."/>
      <w:lvlJc w:val="left"/>
      <w:pPr>
        <w:ind w:left="2880" w:hanging="360"/>
      </w:pPr>
    </w:lvl>
    <w:lvl w:ilvl="4" w:tplc="20DE50B6">
      <w:start w:val="1"/>
      <w:numFmt w:val="lowerLetter"/>
      <w:lvlText w:val="%5."/>
      <w:lvlJc w:val="left"/>
      <w:pPr>
        <w:ind w:left="3600" w:hanging="360"/>
      </w:pPr>
    </w:lvl>
    <w:lvl w:ilvl="5" w:tplc="DDFA51E6">
      <w:start w:val="1"/>
      <w:numFmt w:val="lowerRoman"/>
      <w:lvlText w:val="%6."/>
      <w:lvlJc w:val="right"/>
      <w:pPr>
        <w:ind w:left="4320" w:hanging="180"/>
      </w:pPr>
    </w:lvl>
    <w:lvl w:ilvl="6" w:tplc="67943798">
      <w:start w:val="1"/>
      <w:numFmt w:val="decimal"/>
      <w:lvlText w:val="%7."/>
      <w:lvlJc w:val="left"/>
      <w:pPr>
        <w:ind w:left="5040" w:hanging="360"/>
      </w:pPr>
    </w:lvl>
    <w:lvl w:ilvl="7" w:tplc="26E46664">
      <w:start w:val="1"/>
      <w:numFmt w:val="lowerLetter"/>
      <w:lvlText w:val="%8."/>
      <w:lvlJc w:val="left"/>
      <w:pPr>
        <w:ind w:left="5760" w:hanging="360"/>
      </w:pPr>
    </w:lvl>
    <w:lvl w:ilvl="8" w:tplc="89DAF2A8">
      <w:start w:val="1"/>
      <w:numFmt w:val="lowerRoman"/>
      <w:lvlText w:val="%9."/>
      <w:lvlJc w:val="right"/>
      <w:pPr>
        <w:ind w:left="6480" w:hanging="180"/>
      </w:pPr>
    </w:lvl>
  </w:abstractNum>
  <w:abstractNum w:abstractNumId="20" w15:restartNumberingAfterBreak="0">
    <w:nsid w:val="3A4D6827"/>
    <w:multiLevelType w:val="hybridMultilevel"/>
    <w:tmpl w:val="E8827C06"/>
    <w:lvl w:ilvl="0" w:tplc="51B86FE2">
      <w:start w:val="1"/>
      <w:numFmt w:val="bullet"/>
      <w:lvlText w:val="·"/>
      <w:lvlJc w:val="left"/>
      <w:pPr>
        <w:ind w:left="720" w:hanging="360"/>
      </w:pPr>
      <w:rPr>
        <w:rFonts w:ascii="Symbol" w:hAnsi="Symbol" w:hint="default"/>
      </w:rPr>
    </w:lvl>
    <w:lvl w:ilvl="1" w:tplc="D116EBB8">
      <w:start w:val="1"/>
      <w:numFmt w:val="bullet"/>
      <w:lvlText w:val="o"/>
      <w:lvlJc w:val="left"/>
      <w:pPr>
        <w:ind w:left="1440" w:hanging="360"/>
      </w:pPr>
      <w:rPr>
        <w:rFonts w:ascii="Courier New" w:hAnsi="Courier New" w:hint="default"/>
      </w:rPr>
    </w:lvl>
    <w:lvl w:ilvl="2" w:tplc="B94C3968">
      <w:start w:val="1"/>
      <w:numFmt w:val="bullet"/>
      <w:lvlText w:val=""/>
      <w:lvlJc w:val="left"/>
      <w:pPr>
        <w:ind w:left="2160" w:hanging="360"/>
      </w:pPr>
      <w:rPr>
        <w:rFonts w:ascii="Wingdings" w:hAnsi="Wingdings" w:hint="default"/>
      </w:rPr>
    </w:lvl>
    <w:lvl w:ilvl="3" w:tplc="9970D83E">
      <w:start w:val="1"/>
      <w:numFmt w:val="bullet"/>
      <w:lvlText w:val=""/>
      <w:lvlJc w:val="left"/>
      <w:pPr>
        <w:ind w:left="2880" w:hanging="360"/>
      </w:pPr>
      <w:rPr>
        <w:rFonts w:ascii="Symbol" w:hAnsi="Symbol" w:hint="default"/>
      </w:rPr>
    </w:lvl>
    <w:lvl w:ilvl="4" w:tplc="76CAAE28">
      <w:start w:val="1"/>
      <w:numFmt w:val="bullet"/>
      <w:lvlText w:val="o"/>
      <w:lvlJc w:val="left"/>
      <w:pPr>
        <w:ind w:left="3600" w:hanging="360"/>
      </w:pPr>
      <w:rPr>
        <w:rFonts w:ascii="Courier New" w:hAnsi="Courier New" w:hint="default"/>
      </w:rPr>
    </w:lvl>
    <w:lvl w:ilvl="5" w:tplc="A30A39F6">
      <w:start w:val="1"/>
      <w:numFmt w:val="bullet"/>
      <w:lvlText w:val=""/>
      <w:lvlJc w:val="left"/>
      <w:pPr>
        <w:ind w:left="4320" w:hanging="360"/>
      </w:pPr>
      <w:rPr>
        <w:rFonts w:ascii="Wingdings" w:hAnsi="Wingdings" w:hint="default"/>
      </w:rPr>
    </w:lvl>
    <w:lvl w:ilvl="6" w:tplc="06F2CDE2">
      <w:start w:val="1"/>
      <w:numFmt w:val="bullet"/>
      <w:lvlText w:val=""/>
      <w:lvlJc w:val="left"/>
      <w:pPr>
        <w:ind w:left="5040" w:hanging="360"/>
      </w:pPr>
      <w:rPr>
        <w:rFonts w:ascii="Symbol" w:hAnsi="Symbol" w:hint="default"/>
      </w:rPr>
    </w:lvl>
    <w:lvl w:ilvl="7" w:tplc="F4DEAF16">
      <w:start w:val="1"/>
      <w:numFmt w:val="bullet"/>
      <w:lvlText w:val="o"/>
      <w:lvlJc w:val="left"/>
      <w:pPr>
        <w:ind w:left="5760" w:hanging="360"/>
      </w:pPr>
      <w:rPr>
        <w:rFonts w:ascii="Courier New" w:hAnsi="Courier New" w:hint="default"/>
      </w:rPr>
    </w:lvl>
    <w:lvl w:ilvl="8" w:tplc="75AE116C">
      <w:start w:val="1"/>
      <w:numFmt w:val="bullet"/>
      <w:lvlText w:val=""/>
      <w:lvlJc w:val="left"/>
      <w:pPr>
        <w:ind w:left="6480" w:hanging="360"/>
      </w:pPr>
      <w:rPr>
        <w:rFonts w:ascii="Wingdings" w:hAnsi="Wingdings" w:hint="default"/>
      </w:rPr>
    </w:lvl>
  </w:abstractNum>
  <w:abstractNum w:abstractNumId="21" w15:restartNumberingAfterBreak="0">
    <w:nsid w:val="3C012CD5"/>
    <w:multiLevelType w:val="hybridMultilevel"/>
    <w:tmpl w:val="2EEA5260"/>
    <w:lvl w:ilvl="0" w:tplc="8294D87A">
      <w:start w:val="1"/>
      <w:numFmt w:val="bullet"/>
      <w:lvlText w:val=""/>
      <w:lvlJc w:val="left"/>
      <w:pPr>
        <w:ind w:left="720" w:hanging="360"/>
      </w:pPr>
      <w:rPr>
        <w:rFonts w:ascii="Symbol" w:hAnsi="Symbol" w:hint="default"/>
      </w:rPr>
    </w:lvl>
    <w:lvl w:ilvl="1" w:tplc="4E22BF22">
      <w:start w:val="1"/>
      <w:numFmt w:val="bullet"/>
      <w:lvlText w:val="o"/>
      <w:lvlJc w:val="left"/>
      <w:pPr>
        <w:ind w:left="1440" w:hanging="360"/>
      </w:pPr>
      <w:rPr>
        <w:rFonts w:ascii="Courier New" w:hAnsi="Courier New" w:hint="default"/>
      </w:rPr>
    </w:lvl>
    <w:lvl w:ilvl="2" w:tplc="25906000">
      <w:start w:val="1"/>
      <w:numFmt w:val="bullet"/>
      <w:lvlText w:val=""/>
      <w:lvlJc w:val="left"/>
      <w:pPr>
        <w:ind w:left="2160" w:hanging="360"/>
      </w:pPr>
      <w:rPr>
        <w:rFonts w:ascii="Wingdings" w:hAnsi="Wingdings" w:hint="default"/>
      </w:rPr>
    </w:lvl>
    <w:lvl w:ilvl="3" w:tplc="36827958">
      <w:start w:val="1"/>
      <w:numFmt w:val="bullet"/>
      <w:lvlText w:val=""/>
      <w:lvlJc w:val="left"/>
      <w:pPr>
        <w:ind w:left="2880" w:hanging="360"/>
      </w:pPr>
      <w:rPr>
        <w:rFonts w:ascii="Symbol" w:hAnsi="Symbol" w:hint="default"/>
      </w:rPr>
    </w:lvl>
    <w:lvl w:ilvl="4" w:tplc="C3B6A810">
      <w:start w:val="1"/>
      <w:numFmt w:val="bullet"/>
      <w:lvlText w:val="o"/>
      <w:lvlJc w:val="left"/>
      <w:pPr>
        <w:ind w:left="3600" w:hanging="360"/>
      </w:pPr>
      <w:rPr>
        <w:rFonts w:ascii="Courier New" w:hAnsi="Courier New" w:hint="default"/>
      </w:rPr>
    </w:lvl>
    <w:lvl w:ilvl="5" w:tplc="1E80747E">
      <w:start w:val="1"/>
      <w:numFmt w:val="bullet"/>
      <w:lvlText w:val=""/>
      <w:lvlJc w:val="left"/>
      <w:pPr>
        <w:ind w:left="4320" w:hanging="360"/>
      </w:pPr>
      <w:rPr>
        <w:rFonts w:ascii="Wingdings" w:hAnsi="Wingdings" w:hint="default"/>
      </w:rPr>
    </w:lvl>
    <w:lvl w:ilvl="6" w:tplc="71CC3DC4">
      <w:start w:val="1"/>
      <w:numFmt w:val="bullet"/>
      <w:lvlText w:val=""/>
      <w:lvlJc w:val="left"/>
      <w:pPr>
        <w:ind w:left="5040" w:hanging="360"/>
      </w:pPr>
      <w:rPr>
        <w:rFonts w:ascii="Symbol" w:hAnsi="Symbol" w:hint="default"/>
      </w:rPr>
    </w:lvl>
    <w:lvl w:ilvl="7" w:tplc="FCE80982">
      <w:start w:val="1"/>
      <w:numFmt w:val="bullet"/>
      <w:lvlText w:val="o"/>
      <w:lvlJc w:val="left"/>
      <w:pPr>
        <w:ind w:left="5760" w:hanging="360"/>
      </w:pPr>
      <w:rPr>
        <w:rFonts w:ascii="Courier New" w:hAnsi="Courier New" w:hint="default"/>
      </w:rPr>
    </w:lvl>
    <w:lvl w:ilvl="8" w:tplc="14123372">
      <w:start w:val="1"/>
      <w:numFmt w:val="bullet"/>
      <w:lvlText w:val=""/>
      <w:lvlJc w:val="left"/>
      <w:pPr>
        <w:ind w:left="6480" w:hanging="360"/>
      </w:pPr>
      <w:rPr>
        <w:rFonts w:ascii="Wingdings" w:hAnsi="Wingdings" w:hint="default"/>
      </w:rPr>
    </w:lvl>
  </w:abstractNum>
  <w:abstractNum w:abstractNumId="22" w15:restartNumberingAfterBreak="0">
    <w:nsid w:val="3CEF6F58"/>
    <w:multiLevelType w:val="hybridMultilevel"/>
    <w:tmpl w:val="CF8E2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FE3A3C"/>
    <w:multiLevelType w:val="hybridMultilevel"/>
    <w:tmpl w:val="ACA47E24"/>
    <w:lvl w:ilvl="0" w:tplc="906CF150">
      <w:start w:val="1"/>
      <w:numFmt w:val="decimal"/>
      <w:lvlText w:val="%1."/>
      <w:lvlJc w:val="left"/>
      <w:pPr>
        <w:ind w:left="720" w:hanging="360"/>
      </w:pPr>
    </w:lvl>
    <w:lvl w:ilvl="1" w:tplc="49DCF056">
      <w:start w:val="1"/>
      <w:numFmt w:val="lowerLetter"/>
      <w:lvlText w:val="%2."/>
      <w:lvlJc w:val="left"/>
      <w:pPr>
        <w:ind w:left="1440" w:hanging="360"/>
      </w:pPr>
    </w:lvl>
    <w:lvl w:ilvl="2" w:tplc="918AD48C">
      <w:start w:val="1"/>
      <w:numFmt w:val="lowerRoman"/>
      <w:lvlText w:val="%3."/>
      <w:lvlJc w:val="right"/>
      <w:pPr>
        <w:ind w:left="2160" w:hanging="180"/>
      </w:pPr>
    </w:lvl>
    <w:lvl w:ilvl="3" w:tplc="98CC5B9A">
      <w:start w:val="1"/>
      <w:numFmt w:val="decimal"/>
      <w:lvlText w:val="%4."/>
      <w:lvlJc w:val="left"/>
      <w:pPr>
        <w:ind w:left="2880" w:hanging="360"/>
      </w:pPr>
    </w:lvl>
    <w:lvl w:ilvl="4" w:tplc="8DCEBFB0">
      <w:start w:val="1"/>
      <w:numFmt w:val="lowerLetter"/>
      <w:lvlText w:val="%5."/>
      <w:lvlJc w:val="left"/>
      <w:pPr>
        <w:ind w:left="3600" w:hanging="360"/>
      </w:pPr>
    </w:lvl>
    <w:lvl w:ilvl="5" w:tplc="35148B1C">
      <w:start w:val="1"/>
      <w:numFmt w:val="lowerRoman"/>
      <w:lvlText w:val="%6."/>
      <w:lvlJc w:val="right"/>
      <w:pPr>
        <w:ind w:left="4320" w:hanging="180"/>
      </w:pPr>
    </w:lvl>
    <w:lvl w:ilvl="6" w:tplc="33C698EC">
      <w:start w:val="1"/>
      <w:numFmt w:val="decimal"/>
      <w:lvlText w:val="%7."/>
      <w:lvlJc w:val="left"/>
      <w:pPr>
        <w:ind w:left="5040" w:hanging="360"/>
      </w:pPr>
    </w:lvl>
    <w:lvl w:ilvl="7" w:tplc="3C2CD26E">
      <w:start w:val="1"/>
      <w:numFmt w:val="lowerLetter"/>
      <w:lvlText w:val="%8."/>
      <w:lvlJc w:val="left"/>
      <w:pPr>
        <w:ind w:left="5760" w:hanging="360"/>
      </w:pPr>
    </w:lvl>
    <w:lvl w:ilvl="8" w:tplc="3FDA0DEA">
      <w:start w:val="1"/>
      <w:numFmt w:val="lowerRoman"/>
      <w:lvlText w:val="%9."/>
      <w:lvlJc w:val="right"/>
      <w:pPr>
        <w:ind w:left="6480" w:hanging="180"/>
      </w:pPr>
    </w:lvl>
  </w:abstractNum>
  <w:abstractNum w:abstractNumId="24" w15:restartNumberingAfterBreak="0">
    <w:nsid w:val="47043717"/>
    <w:multiLevelType w:val="hybridMultilevel"/>
    <w:tmpl w:val="45B6B44C"/>
    <w:lvl w:ilvl="0" w:tplc="7BDC3124">
      <w:start w:val="1"/>
      <w:numFmt w:val="decimal"/>
      <w:lvlText w:val="%1."/>
      <w:lvlJc w:val="left"/>
      <w:pPr>
        <w:ind w:left="720" w:hanging="360"/>
      </w:pPr>
    </w:lvl>
    <w:lvl w:ilvl="1" w:tplc="8AA41592">
      <w:start w:val="1"/>
      <w:numFmt w:val="lowerLetter"/>
      <w:lvlText w:val="%2."/>
      <w:lvlJc w:val="left"/>
      <w:pPr>
        <w:ind w:left="1440" w:hanging="360"/>
      </w:pPr>
    </w:lvl>
    <w:lvl w:ilvl="2" w:tplc="D92289C4">
      <w:start w:val="1"/>
      <w:numFmt w:val="lowerRoman"/>
      <w:lvlText w:val="%3."/>
      <w:lvlJc w:val="right"/>
      <w:pPr>
        <w:ind w:left="2160" w:hanging="180"/>
      </w:pPr>
    </w:lvl>
    <w:lvl w:ilvl="3" w:tplc="BEA453BA">
      <w:start w:val="1"/>
      <w:numFmt w:val="decimal"/>
      <w:lvlText w:val="%4."/>
      <w:lvlJc w:val="left"/>
      <w:pPr>
        <w:ind w:left="2880" w:hanging="360"/>
      </w:pPr>
    </w:lvl>
    <w:lvl w:ilvl="4" w:tplc="978A05E2">
      <w:start w:val="1"/>
      <w:numFmt w:val="lowerLetter"/>
      <w:lvlText w:val="%5."/>
      <w:lvlJc w:val="left"/>
      <w:pPr>
        <w:ind w:left="3600" w:hanging="360"/>
      </w:pPr>
    </w:lvl>
    <w:lvl w:ilvl="5" w:tplc="F63AD92A">
      <w:start w:val="1"/>
      <w:numFmt w:val="lowerRoman"/>
      <w:lvlText w:val="%6."/>
      <w:lvlJc w:val="right"/>
      <w:pPr>
        <w:ind w:left="4320" w:hanging="180"/>
      </w:pPr>
    </w:lvl>
    <w:lvl w:ilvl="6" w:tplc="BD24B638">
      <w:start w:val="1"/>
      <w:numFmt w:val="decimal"/>
      <w:lvlText w:val="%7."/>
      <w:lvlJc w:val="left"/>
      <w:pPr>
        <w:ind w:left="5040" w:hanging="360"/>
      </w:pPr>
    </w:lvl>
    <w:lvl w:ilvl="7" w:tplc="0D188FE0">
      <w:start w:val="1"/>
      <w:numFmt w:val="lowerLetter"/>
      <w:lvlText w:val="%8."/>
      <w:lvlJc w:val="left"/>
      <w:pPr>
        <w:ind w:left="5760" w:hanging="360"/>
      </w:pPr>
    </w:lvl>
    <w:lvl w:ilvl="8" w:tplc="EC227D1C">
      <w:start w:val="1"/>
      <w:numFmt w:val="lowerRoman"/>
      <w:lvlText w:val="%9."/>
      <w:lvlJc w:val="right"/>
      <w:pPr>
        <w:ind w:left="6480" w:hanging="180"/>
      </w:pPr>
    </w:lvl>
  </w:abstractNum>
  <w:abstractNum w:abstractNumId="25" w15:restartNumberingAfterBreak="0">
    <w:nsid w:val="475F5457"/>
    <w:multiLevelType w:val="hybridMultilevel"/>
    <w:tmpl w:val="B61A85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E00AE"/>
    <w:multiLevelType w:val="hybridMultilevel"/>
    <w:tmpl w:val="83164D94"/>
    <w:lvl w:ilvl="0" w:tplc="9036CEE4">
      <w:start w:val="1"/>
      <w:numFmt w:val="bullet"/>
      <w:lvlText w:val=""/>
      <w:lvlJc w:val="left"/>
      <w:pPr>
        <w:ind w:left="720" w:hanging="360"/>
      </w:pPr>
      <w:rPr>
        <w:rFonts w:ascii="Symbol" w:hAnsi="Symbol" w:hint="default"/>
      </w:rPr>
    </w:lvl>
    <w:lvl w:ilvl="1" w:tplc="B4C68892">
      <w:start w:val="1"/>
      <w:numFmt w:val="bullet"/>
      <w:lvlText w:val="o"/>
      <w:lvlJc w:val="left"/>
      <w:pPr>
        <w:ind w:left="1440" w:hanging="360"/>
      </w:pPr>
      <w:rPr>
        <w:rFonts w:ascii="Courier New" w:hAnsi="Courier New" w:hint="default"/>
      </w:rPr>
    </w:lvl>
    <w:lvl w:ilvl="2" w:tplc="C4D47B4C">
      <w:start w:val="1"/>
      <w:numFmt w:val="bullet"/>
      <w:lvlText w:val=""/>
      <w:lvlJc w:val="left"/>
      <w:pPr>
        <w:ind w:left="2160" w:hanging="360"/>
      </w:pPr>
      <w:rPr>
        <w:rFonts w:ascii="Wingdings" w:hAnsi="Wingdings" w:hint="default"/>
      </w:rPr>
    </w:lvl>
    <w:lvl w:ilvl="3" w:tplc="8D707BCA">
      <w:start w:val="1"/>
      <w:numFmt w:val="bullet"/>
      <w:lvlText w:val=""/>
      <w:lvlJc w:val="left"/>
      <w:pPr>
        <w:ind w:left="2880" w:hanging="360"/>
      </w:pPr>
      <w:rPr>
        <w:rFonts w:ascii="Symbol" w:hAnsi="Symbol" w:hint="default"/>
      </w:rPr>
    </w:lvl>
    <w:lvl w:ilvl="4" w:tplc="80F6FB5A">
      <w:start w:val="1"/>
      <w:numFmt w:val="bullet"/>
      <w:lvlText w:val="o"/>
      <w:lvlJc w:val="left"/>
      <w:pPr>
        <w:ind w:left="3600" w:hanging="360"/>
      </w:pPr>
      <w:rPr>
        <w:rFonts w:ascii="Courier New" w:hAnsi="Courier New" w:hint="default"/>
      </w:rPr>
    </w:lvl>
    <w:lvl w:ilvl="5" w:tplc="5D365250">
      <w:start w:val="1"/>
      <w:numFmt w:val="bullet"/>
      <w:lvlText w:val=""/>
      <w:lvlJc w:val="left"/>
      <w:pPr>
        <w:ind w:left="4320" w:hanging="360"/>
      </w:pPr>
      <w:rPr>
        <w:rFonts w:ascii="Wingdings" w:hAnsi="Wingdings" w:hint="default"/>
      </w:rPr>
    </w:lvl>
    <w:lvl w:ilvl="6" w:tplc="3E5C9900">
      <w:start w:val="1"/>
      <w:numFmt w:val="bullet"/>
      <w:lvlText w:val=""/>
      <w:lvlJc w:val="left"/>
      <w:pPr>
        <w:ind w:left="5040" w:hanging="360"/>
      </w:pPr>
      <w:rPr>
        <w:rFonts w:ascii="Symbol" w:hAnsi="Symbol" w:hint="default"/>
      </w:rPr>
    </w:lvl>
    <w:lvl w:ilvl="7" w:tplc="341A5382">
      <w:start w:val="1"/>
      <w:numFmt w:val="bullet"/>
      <w:lvlText w:val="o"/>
      <w:lvlJc w:val="left"/>
      <w:pPr>
        <w:ind w:left="5760" w:hanging="360"/>
      </w:pPr>
      <w:rPr>
        <w:rFonts w:ascii="Courier New" w:hAnsi="Courier New" w:hint="default"/>
      </w:rPr>
    </w:lvl>
    <w:lvl w:ilvl="8" w:tplc="0FB86998">
      <w:start w:val="1"/>
      <w:numFmt w:val="bullet"/>
      <w:lvlText w:val=""/>
      <w:lvlJc w:val="left"/>
      <w:pPr>
        <w:ind w:left="6480" w:hanging="360"/>
      </w:pPr>
      <w:rPr>
        <w:rFonts w:ascii="Wingdings" w:hAnsi="Wingdings" w:hint="default"/>
      </w:rPr>
    </w:lvl>
  </w:abstractNum>
  <w:abstractNum w:abstractNumId="27" w15:restartNumberingAfterBreak="0">
    <w:nsid w:val="4AEF73D4"/>
    <w:multiLevelType w:val="hybridMultilevel"/>
    <w:tmpl w:val="C23AA41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4A1CDE"/>
    <w:multiLevelType w:val="hybridMultilevel"/>
    <w:tmpl w:val="59DA942A"/>
    <w:lvl w:ilvl="0" w:tplc="79EA737C">
      <w:start w:val="1"/>
      <w:numFmt w:val="bullet"/>
      <w:lvlText w:val=""/>
      <w:lvlJc w:val="left"/>
      <w:pPr>
        <w:ind w:left="720" w:hanging="360"/>
      </w:pPr>
      <w:rPr>
        <w:rFonts w:ascii="Symbol" w:hAnsi="Symbol" w:hint="default"/>
      </w:rPr>
    </w:lvl>
    <w:lvl w:ilvl="1" w:tplc="D318CFBA">
      <w:start w:val="1"/>
      <w:numFmt w:val="bullet"/>
      <w:lvlText w:val="o"/>
      <w:lvlJc w:val="left"/>
      <w:pPr>
        <w:ind w:left="1440" w:hanging="360"/>
      </w:pPr>
      <w:rPr>
        <w:rFonts w:ascii="Courier New" w:hAnsi="Courier New" w:hint="default"/>
      </w:rPr>
    </w:lvl>
    <w:lvl w:ilvl="2" w:tplc="B366D938">
      <w:start w:val="1"/>
      <w:numFmt w:val="bullet"/>
      <w:lvlText w:val=""/>
      <w:lvlJc w:val="left"/>
      <w:pPr>
        <w:ind w:left="2160" w:hanging="360"/>
      </w:pPr>
      <w:rPr>
        <w:rFonts w:ascii="Wingdings" w:hAnsi="Wingdings" w:hint="default"/>
      </w:rPr>
    </w:lvl>
    <w:lvl w:ilvl="3" w:tplc="EFBA4DEC">
      <w:start w:val="1"/>
      <w:numFmt w:val="bullet"/>
      <w:lvlText w:val=""/>
      <w:lvlJc w:val="left"/>
      <w:pPr>
        <w:ind w:left="2880" w:hanging="360"/>
      </w:pPr>
      <w:rPr>
        <w:rFonts w:ascii="Symbol" w:hAnsi="Symbol" w:hint="default"/>
      </w:rPr>
    </w:lvl>
    <w:lvl w:ilvl="4" w:tplc="D8F6D848">
      <w:start w:val="1"/>
      <w:numFmt w:val="bullet"/>
      <w:lvlText w:val="o"/>
      <w:lvlJc w:val="left"/>
      <w:pPr>
        <w:ind w:left="3600" w:hanging="360"/>
      </w:pPr>
      <w:rPr>
        <w:rFonts w:ascii="Courier New" w:hAnsi="Courier New" w:hint="default"/>
      </w:rPr>
    </w:lvl>
    <w:lvl w:ilvl="5" w:tplc="DAF22194">
      <w:start w:val="1"/>
      <w:numFmt w:val="bullet"/>
      <w:lvlText w:val=""/>
      <w:lvlJc w:val="left"/>
      <w:pPr>
        <w:ind w:left="4320" w:hanging="360"/>
      </w:pPr>
      <w:rPr>
        <w:rFonts w:ascii="Wingdings" w:hAnsi="Wingdings" w:hint="default"/>
      </w:rPr>
    </w:lvl>
    <w:lvl w:ilvl="6" w:tplc="6FE06708">
      <w:start w:val="1"/>
      <w:numFmt w:val="bullet"/>
      <w:lvlText w:val=""/>
      <w:lvlJc w:val="left"/>
      <w:pPr>
        <w:ind w:left="5040" w:hanging="360"/>
      </w:pPr>
      <w:rPr>
        <w:rFonts w:ascii="Symbol" w:hAnsi="Symbol" w:hint="default"/>
      </w:rPr>
    </w:lvl>
    <w:lvl w:ilvl="7" w:tplc="342E4F14">
      <w:start w:val="1"/>
      <w:numFmt w:val="bullet"/>
      <w:lvlText w:val="o"/>
      <w:lvlJc w:val="left"/>
      <w:pPr>
        <w:ind w:left="5760" w:hanging="360"/>
      </w:pPr>
      <w:rPr>
        <w:rFonts w:ascii="Courier New" w:hAnsi="Courier New" w:hint="default"/>
      </w:rPr>
    </w:lvl>
    <w:lvl w:ilvl="8" w:tplc="12F0C320">
      <w:start w:val="1"/>
      <w:numFmt w:val="bullet"/>
      <w:lvlText w:val=""/>
      <w:lvlJc w:val="left"/>
      <w:pPr>
        <w:ind w:left="6480" w:hanging="360"/>
      </w:pPr>
      <w:rPr>
        <w:rFonts w:ascii="Wingdings" w:hAnsi="Wingdings" w:hint="default"/>
      </w:rPr>
    </w:lvl>
  </w:abstractNum>
  <w:abstractNum w:abstractNumId="29" w15:restartNumberingAfterBreak="0">
    <w:nsid w:val="4B6C2EC2"/>
    <w:multiLevelType w:val="hybridMultilevel"/>
    <w:tmpl w:val="EE6C4EBA"/>
    <w:lvl w:ilvl="0" w:tplc="99D4BFFC">
      <w:start w:val="1"/>
      <w:numFmt w:val="bullet"/>
      <w:lvlText w:val=""/>
      <w:lvlJc w:val="left"/>
      <w:pPr>
        <w:ind w:left="360" w:hanging="360"/>
      </w:pPr>
      <w:rPr>
        <w:rFonts w:ascii="Symbol" w:hAnsi="Symbol" w:hint="default"/>
      </w:rPr>
    </w:lvl>
    <w:lvl w:ilvl="1" w:tplc="9E4A0672">
      <w:start w:val="1"/>
      <w:numFmt w:val="bullet"/>
      <w:lvlText w:val="o"/>
      <w:lvlJc w:val="left"/>
      <w:pPr>
        <w:ind w:left="1080" w:hanging="360"/>
      </w:pPr>
      <w:rPr>
        <w:rFonts w:ascii="Courier New" w:hAnsi="Courier New" w:hint="default"/>
      </w:rPr>
    </w:lvl>
    <w:lvl w:ilvl="2" w:tplc="86C26098">
      <w:start w:val="1"/>
      <w:numFmt w:val="bullet"/>
      <w:lvlText w:val=""/>
      <w:lvlJc w:val="left"/>
      <w:pPr>
        <w:ind w:left="1800" w:hanging="360"/>
      </w:pPr>
      <w:rPr>
        <w:rFonts w:ascii="Wingdings" w:hAnsi="Wingdings" w:hint="default"/>
      </w:rPr>
    </w:lvl>
    <w:lvl w:ilvl="3" w:tplc="1068BC42">
      <w:start w:val="1"/>
      <w:numFmt w:val="bullet"/>
      <w:lvlText w:val=""/>
      <w:lvlJc w:val="left"/>
      <w:pPr>
        <w:ind w:left="2520" w:hanging="360"/>
      </w:pPr>
      <w:rPr>
        <w:rFonts w:ascii="Symbol" w:hAnsi="Symbol" w:hint="default"/>
      </w:rPr>
    </w:lvl>
    <w:lvl w:ilvl="4" w:tplc="B0F648CC">
      <w:start w:val="1"/>
      <w:numFmt w:val="bullet"/>
      <w:lvlText w:val="o"/>
      <w:lvlJc w:val="left"/>
      <w:pPr>
        <w:ind w:left="3240" w:hanging="360"/>
      </w:pPr>
      <w:rPr>
        <w:rFonts w:ascii="Courier New" w:hAnsi="Courier New" w:hint="default"/>
      </w:rPr>
    </w:lvl>
    <w:lvl w:ilvl="5" w:tplc="1794E4D2">
      <w:start w:val="1"/>
      <w:numFmt w:val="bullet"/>
      <w:lvlText w:val=""/>
      <w:lvlJc w:val="left"/>
      <w:pPr>
        <w:ind w:left="3960" w:hanging="360"/>
      </w:pPr>
      <w:rPr>
        <w:rFonts w:ascii="Wingdings" w:hAnsi="Wingdings" w:hint="default"/>
      </w:rPr>
    </w:lvl>
    <w:lvl w:ilvl="6" w:tplc="E976F60C">
      <w:start w:val="1"/>
      <w:numFmt w:val="bullet"/>
      <w:lvlText w:val=""/>
      <w:lvlJc w:val="left"/>
      <w:pPr>
        <w:ind w:left="4680" w:hanging="360"/>
      </w:pPr>
      <w:rPr>
        <w:rFonts w:ascii="Symbol" w:hAnsi="Symbol" w:hint="default"/>
      </w:rPr>
    </w:lvl>
    <w:lvl w:ilvl="7" w:tplc="E6C6F054">
      <w:start w:val="1"/>
      <w:numFmt w:val="bullet"/>
      <w:lvlText w:val="o"/>
      <w:lvlJc w:val="left"/>
      <w:pPr>
        <w:ind w:left="5400" w:hanging="360"/>
      </w:pPr>
      <w:rPr>
        <w:rFonts w:ascii="Courier New" w:hAnsi="Courier New" w:hint="default"/>
      </w:rPr>
    </w:lvl>
    <w:lvl w:ilvl="8" w:tplc="69348F80">
      <w:start w:val="1"/>
      <w:numFmt w:val="bullet"/>
      <w:lvlText w:val=""/>
      <w:lvlJc w:val="left"/>
      <w:pPr>
        <w:ind w:left="6120" w:hanging="360"/>
      </w:pPr>
      <w:rPr>
        <w:rFonts w:ascii="Wingdings" w:hAnsi="Wingdings" w:hint="default"/>
      </w:rPr>
    </w:lvl>
  </w:abstractNum>
  <w:abstractNum w:abstractNumId="30" w15:restartNumberingAfterBreak="0">
    <w:nsid w:val="4E2C4050"/>
    <w:multiLevelType w:val="hybridMultilevel"/>
    <w:tmpl w:val="9B245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E2F3298"/>
    <w:multiLevelType w:val="hybridMultilevel"/>
    <w:tmpl w:val="4DB80FA4"/>
    <w:lvl w:ilvl="0" w:tplc="8A8829C0">
      <w:start w:val="1"/>
      <w:numFmt w:val="bullet"/>
      <w:lvlText w:val=""/>
      <w:lvlJc w:val="left"/>
      <w:pPr>
        <w:ind w:left="720" w:hanging="360"/>
      </w:pPr>
      <w:rPr>
        <w:rFonts w:ascii="Symbol" w:hAnsi="Symbol" w:hint="default"/>
      </w:rPr>
    </w:lvl>
    <w:lvl w:ilvl="1" w:tplc="F7725B46">
      <w:start w:val="1"/>
      <w:numFmt w:val="bullet"/>
      <w:lvlText w:val="o"/>
      <w:lvlJc w:val="left"/>
      <w:pPr>
        <w:ind w:left="1440" w:hanging="360"/>
      </w:pPr>
      <w:rPr>
        <w:rFonts w:ascii="Courier New" w:hAnsi="Courier New" w:hint="default"/>
      </w:rPr>
    </w:lvl>
    <w:lvl w:ilvl="2" w:tplc="F2AE9980">
      <w:start w:val="1"/>
      <w:numFmt w:val="bullet"/>
      <w:lvlText w:val=""/>
      <w:lvlJc w:val="left"/>
      <w:pPr>
        <w:ind w:left="2160" w:hanging="360"/>
      </w:pPr>
      <w:rPr>
        <w:rFonts w:ascii="Wingdings" w:hAnsi="Wingdings" w:hint="default"/>
      </w:rPr>
    </w:lvl>
    <w:lvl w:ilvl="3" w:tplc="46B27600">
      <w:start w:val="1"/>
      <w:numFmt w:val="bullet"/>
      <w:lvlText w:val=""/>
      <w:lvlJc w:val="left"/>
      <w:pPr>
        <w:ind w:left="2880" w:hanging="360"/>
      </w:pPr>
      <w:rPr>
        <w:rFonts w:ascii="Symbol" w:hAnsi="Symbol" w:hint="default"/>
      </w:rPr>
    </w:lvl>
    <w:lvl w:ilvl="4" w:tplc="6C961EBC">
      <w:start w:val="1"/>
      <w:numFmt w:val="bullet"/>
      <w:lvlText w:val="o"/>
      <w:lvlJc w:val="left"/>
      <w:pPr>
        <w:ind w:left="3600" w:hanging="360"/>
      </w:pPr>
      <w:rPr>
        <w:rFonts w:ascii="Courier New" w:hAnsi="Courier New" w:hint="default"/>
      </w:rPr>
    </w:lvl>
    <w:lvl w:ilvl="5" w:tplc="9DB24288">
      <w:start w:val="1"/>
      <w:numFmt w:val="bullet"/>
      <w:lvlText w:val=""/>
      <w:lvlJc w:val="left"/>
      <w:pPr>
        <w:ind w:left="4320" w:hanging="360"/>
      </w:pPr>
      <w:rPr>
        <w:rFonts w:ascii="Wingdings" w:hAnsi="Wingdings" w:hint="default"/>
      </w:rPr>
    </w:lvl>
    <w:lvl w:ilvl="6" w:tplc="F0F20512">
      <w:start w:val="1"/>
      <w:numFmt w:val="bullet"/>
      <w:lvlText w:val=""/>
      <w:lvlJc w:val="left"/>
      <w:pPr>
        <w:ind w:left="5040" w:hanging="360"/>
      </w:pPr>
      <w:rPr>
        <w:rFonts w:ascii="Symbol" w:hAnsi="Symbol" w:hint="default"/>
      </w:rPr>
    </w:lvl>
    <w:lvl w:ilvl="7" w:tplc="E444B1FA">
      <w:start w:val="1"/>
      <w:numFmt w:val="bullet"/>
      <w:lvlText w:val="o"/>
      <w:lvlJc w:val="left"/>
      <w:pPr>
        <w:ind w:left="5760" w:hanging="360"/>
      </w:pPr>
      <w:rPr>
        <w:rFonts w:ascii="Courier New" w:hAnsi="Courier New" w:hint="default"/>
      </w:rPr>
    </w:lvl>
    <w:lvl w:ilvl="8" w:tplc="65700266">
      <w:start w:val="1"/>
      <w:numFmt w:val="bullet"/>
      <w:lvlText w:val=""/>
      <w:lvlJc w:val="left"/>
      <w:pPr>
        <w:ind w:left="6480" w:hanging="360"/>
      </w:pPr>
      <w:rPr>
        <w:rFonts w:ascii="Wingdings" w:hAnsi="Wingdings" w:hint="default"/>
      </w:rPr>
    </w:lvl>
  </w:abstractNum>
  <w:abstractNum w:abstractNumId="32" w15:restartNumberingAfterBreak="0">
    <w:nsid w:val="54063E62"/>
    <w:multiLevelType w:val="hybridMultilevel"/>
    <w:tmpl w:val="07267558"/>
    <w:lvl w:ilvl="0" w:tplc="20FA8952">
      <w:start w:val="1"/>
      <w:numFmt w:val="bullet"/>
      <w:lvlText w:val="·"/>
      <w:lvlJc w:val="left"/>
      <w:pPr>
        <w:ind w:left="720" w:hanging="360"/>
      </w:pPr>
      <w:rPr>
        <w:rFonts w:ascii="Symbol" w:hAnsi="Symbol" w:hint="default"/>
      </w:rPr>
    </w:lvl>
    <w:lvl w:ilvl="1" w:tplc="B710639A">
      <w:start w:val="1"/>
      <w:numFmt w:val="bullet"/>
      <w:lvlText w:val="o"/>
      <w:lvlJc w:val="left"/>
      <w:pPr>
        <w:ind w:left="1440" w:hanging="360"/>
      </w:pPr>
      <w:rPr>
        <w:rFonts w:ascii="Courier New" w:hAnsi="Courier New" w:hint="default"/>
      </w:rPr>
    </w:lvl>
    <w:lvl w:ilvl="2" w:tplc="895290FC">
      <w:start w:val="1"/>
      <w:numFmt w:val="bullet"/>
      <w:lvlText w:val=""/>
      <w:lvlJc w:val="left"/>
      <w:pPr>
        <w:ind w:left="2160" w:hanging="360"/>
      </w:pPr>
      <w:rPr>
        <w:rFonts w:ascii="Wingdings" w:hAnsi="Wingdings" w:hint="default"/>
      </w:rPr>
    </w:lvl>
    <w:lvl w:ilvl="3" w:tplc="A71C81D0">
      <w:start w:val="1"/>
      <w:numFmt w:val="bullet"/>
      <w:lvlText w:val=""/>
      <w:lvlJc w:val="left"/>
      <w:pPr>
        <w:ind w:left="2880" w:hanging="360"/>
      </w:pPr>
      <w:rPr>
        <w:rFonts w:ascii="Symbol" w:hAnsi="Symbol" w:hint="default"/>
      </w:rPr>
    </w:lvl>
    <w:lvl w:ilvl="4" w:tplc="A1F24EFC">
      <w:start w:val="1"/>
      <w:numFmt w:val="bullet"/>
      <w:lvlText w:val="o"/>
      <w:lvlJc w:val="left"/>
      <w:pPr>
        <w:ind w:left="3600" w:hanging="360"/>
      </w:pPr>
      <w:rPr>
        <w:rFonts w:ascii="Courier New" w:hAnsi="Courier New" w:hint="default"/>
      </w:rPr>
    </w:lvl>
    <w:lvl w:ilvl="5" w:tplc="843A4290">
      <w:start w:val="1"/>
      <w:numFmt w:val="bullet"/>
      <w:lvlText w:val=""/>
      <w:lvlJc w:val="left"/>
      <w:pPr>
        <w:ind w:left="4320" w:hanging="360"/>
      </w:pPr>
      <w:rPr>
        <w:rFonts w:ascii="Wingdings" w:hAnsi="Wingdings" w:hint="default"/>
      </w:rPr>
    </w:lvl>
    <w:lvl w:ilvl="6" w:tplc="17EC04E0">
      <w:start w:val="1"/>
      <w:numFmt w:val="bullet"/>
      <w:lvlText w:val=""/>
      <w:lvlJc w:val="left"/>
      <w:pPr>
        <w:ind w:left="5040" w:hanging="360"/>
      </w:pPr>
      <w:rPr>
        <w:rFonts w:ascii="Symbol" w:hAnsi="Symbol" w:hint="default"/>
      </w:rPr>
    </w:lvl>
    <w:lvl w:ilvl="7" w:tplc="5E3CA0B6">
      <w:start w:val="1"/>
      <w:numFmt w:val="bullet"/>
      <w:lvlText w:val="o"/>
      <w:lvlJc w:val="left"/>
      <w:pPr>
        <w:ind w:left="5760" w:hanging="360"/>
      </w:pPr>
      <w:rPr>
        <w:rFonts w:ascii="Courier New" w:hAnsi="Courier New" w:hint="default"/>
      </w:rPr>
    </w:lvl>
    <w:lvl w:ilvl="8" w:tplc="013A87FA">
      <w:start w:val="1"/>
      <w:numFmt w:val="bullet"/>
      <w:lvlText w:val=""/>
      <w:lvlJc w:val="left"/>
      <w:pPr>
        <w:ind w:left="6480" w:hanging="360"/>
      </w:pPr>
      <w:rPr>
        <w:rFonts w:ascii="Wingdings" w:hAnsi="Wingdings" w:hint="default"/>
      </w:rPr>
    </w:lvl>
  </w:abstractNum>
  <w:abstractNum w:abstractNumId="33" w15:restartNumberingAfterBreak="0">
    <w:nsid w:val="561401CC"/>
    <w:multiLevelType w:val="hybridMultilevel"/>
    <w:tmpl w:val="245C62C0"/>
    <w:lvl w:ilvl="0" w:tplc="0809000F">
      <w:start w:val="1"/>
      <w:numFmt w:val="decimal"/>
      <w:lvlText w:val="%1."/>
      <w:lvlJc w:val="left"/>
      <w:pPr>
        <w:ind w:left="360" w:hanging="360"/>
      </w:pPr>
      <w:rPr>
        <w:rFonts w:cs="Times New Roman"/>
      </w:rPr>
    </w:lvl>
    <w:lvl w:ilvl="1" w:tplc="08090001">
      <w:start w:val="1"/>
      <w:numFmt w:val="bullet"/>
      <w:lvlText w:val=""/>
      <w:lvlJc w:val="left"/>
      <w:pPr>
        <w:ind w:left="1080" w:hanging="360"/>
      </w:pPr>
      <w:rPr>
        <w:rFonts w:ascii="Symbol" w:hAnsi="Symbol" w:hint="default"/>
      </w:rPr>
    </w:lvl>
    <w:lvl w:ilvl="2" w:tplc="0809000B">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4" w15:restartNumberingAfterBreak="0">
    <w:nsid w:val="6B672067"/>
    <w:multiLevelType w:val="hybridMultilevel"/>
    <w:tmpl w:val="7EDC23D6"/>
    <w:lvl w:ilvl="0" w:tplc="196A7E10">
      <w:start w:val="1"/>
      <w:numFmt w:val="decimal"/>
      <w:lvlText w:val="%1."/>
      <w:lvlJc w:val="left"/>
      <w:pPr>
        <w:ind w:left="720" w:hanging="360"/>
      </w:pPr>
    </w:lvl>
    <w:lvl w:ilvl="1" w:tplc="AA3EBA5E">
      <w:start w:val="1"/>
      <w:numFmt w:val="lowerLetter"/>
      <w:lvlText w:val="%2."/>
      <w:lvlJc w:val="left"/>
      <w:pPr>
        <w:ind w:left="1440" w:hanging="360"/>
      </w:pPr>
    </w:lvl>
    <w:lvl w:ilvl="2" w:tplc="5D2CE7D2">
      <w:start w:val="1"/>
      <w:numFmt w:val="lowerRoman"/>
      <w:lvlText w:val="%3."/>
      <w:lvlJc w:val="right"/>
      <w:pPr>
        <w:ind w:left="2160" w:hanging="180"/>
      </w:pPr>
    </w:lvl>
    <w:lvl w:ilvl="3" w:tplc="E826B87E">
      <w:start w:val="1"/>
      <w:numFmt w:val="decimal"/>
      <w:lvlText w:val="%4."/>
      <w:lvlJc w:val="left"/>
      <w:pPr>
        <w:ind w:left="2880" w:hanging="360"/>
      </w:pPr>
    </w:lvl>
    <w:lvl w:ilvl="4" w:tplc="52340A4A">
      <w:start w:val="1"/>
      <w:numFmt w:val="lowerLetter"/>
      <w:lvlText w:val="%5."/>
      <w:lvlJc w:val="left"/>
      <w:pPr>
        <w:ind w:left="3600" w:hanging="360"/>
      </w:pPr>
    </w:lvl>
    <w:lvl w:ilvl="5" w:tplc="06EA8356">
      <w:start w:val="1"/>
      <w:numFmt w:val="lowerRoman"/>
      <w:lvlText w:val="%6."/>
      <w:lvlJc w:val="right"/>
      <w:pPr>
        <w:ind w:left="4320" w:hanging="180"/>
      </w:pPr>
    </w:lvl>
    <w:lvl w:ilvl="6" w:tplc="EF2E3D5A">
      <w:start w:val="1"/>
      <w:numFmt w:val="decimal"/>
      <w:lvlText w:val="%7."/>
      <w:lvlJc w:val="left"/>
      <w:pPr>
        <w:ind w:left="5040" w:hanging="360"/>
      </w:pPr>
    </w:lvl>
    <w:lvl w:ilvl="7" w:tplc="0D248F40">
      <w:start w:val="1"/>
      <w:numFmt w:val="lowerLetter"/>
      <w:lvlText w:val="%8."/>
      <w:lvlJc w:val="left"/>
      <w:pPr>
        <w:ind w:left="5760" w:hanging="360"/>
      </w:pPr>
    </w:lvl>
    <w:lvl w:ilvl="8" w:tplc="2B90BBEA">
      <w:start w:val="1"/>
      <w:numFmt w:val="lowerRoman"/>
      <w:lvlText w:val="%9."/>
      <w:lvlJc w:val="right"/>
      <w:pPr>
        <w:ind w:left="6480" w:hanging="180"/>
      </w:pPr>
    </w:lvl>
  </w:abstractNum>
  <w:abstractNum w:abstractNumId="35" w15:restartNumberingAfterBreak="0">
    <w:nsid w:val="6C166615"/>
    <w:multiLevelType w:val="hybridMultilevel"/>
    <w:tmpl w:val="EC6EE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BC1DEC"/>
    <w:multiLevelType w:val="hybridMultilevel"/>
    <w:tmpl w:val="4EB2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E813E3"/>
    <w:multiLevelType w:val="hybridMultilevel"/>
    <w:tmpl w:val="57D879B6"/>
    <w:lvl w:ilvl="0" w:tplc="AFA600B2">
      <w:start w:val="1"/>
      <w:numFmt w:val="decimal"/>
      <w:lvlText w:val="%1."/>
      <w:lvlJc w:val="left"/>
      <w:pPr>
        <w:ind w:left="720" w:hanging="360"/>
      </w:pPr>
    </w:lvl>
    <w:lvl w:ilvl="1" w:tplc="2D3A7B04">
      <w:start w:val="1"/>
      <w:numFmt w:val="lowerLetter"/>
      <w:lvlText w:val="%2."/>
      <w:lvlJc w:val="left"/>
      <w:pPr>
        <w:ind w:left="1440" w:hanging="360"/>
      </w:pPr>
    </w:lvl>
    <w:lvl w:ilvl="2" w:tplc="E4680414">
      <w:start w:val="1"/>
      <w:numFmt w:val="lowerRoman"/>
      <w:lvlText w:val="%3."/>
      <w:lvlJc w:val="right"/>
      <w:pPr>
        <w:ind w:left="2160" w:hanging="180"/>
      </w:pPr>
    </w:lvl>
    <w:lvl w:ilvl="3" w:tplc="B036A2EA">
      <w:start w:val="1"/>
      <w:numFmt w:val="decimal"/>
      <w:lvlText w:val="%4."/>
      <w:lvlJc w:val="left"/>
      <w:pPr>
        <w:ind w:left="2880" w:hanging="360"/>
      </w:pPr>
    </w:lvl>
    <w:lvl w:ilvl="4" w:tplc="9CF60A36">
      <w:start w:val="1"/>
      <w:numFmt w:val="lowerLetter"/>
      <w:lvlText w:val="%5."/>
      <w:lvlJc w:val="left"/>
      <w:pPr>
        <w:ind w:left="3600" w:hanging="360"/>
      </w:pPr>
    </w:lvl>
    <w:lvl w:ilvl="5" w:tplc="0AC8DCCA">
      <w:start w:val="1"/>
      <w:numFmt w:val="lowerRoman"/>
      <w:lvlText w:val="%6."/>
      <w:lvlJc w:val="right"/>
      <w:pPr>
        <w:ind w:left="4320" w:hanging="180"/>
      </w:pPr>
    </w:lvl>
    <w:lvl w:ilvl="6" w:tplc="AA2C0948">
      <w:start w:val="1"/>
      <w:numFmt w:val="decimal"/>
      <w:lvlText w:val="%7."/>
      <w:lvlJc w:val="left"/>
      <w:pPr>
        <w:ind w:left="5040" w:hanging="360"/>
      </w:pPr>
    </w:lvl>
    <w:lvl w:ilvl="7" w:tplc="8B8849A6">
      <w:start w:val="1"/>
      <w:numFmt w:val="lowerLetter"/>
      <w:lvlText w:val="%8."/>
      <w:lvlJc w:val="left"/>
      <w:pPr>
        <w:ind w:left="5760" w:hanging="360"/>
      </w:pPr>
    </w:lvl>
    <w:lvl w:ilvl="8" w:tplc="D5AA9244">
      <w:start w:val="1"/>
      <w:numFmt w:val="lowerRoman"/>
      <w:lvlText w:val="%9."/>
      <w:lvlJc w:val="right"/>
      <w:pPr>
        <w:ind w:left="6480" w:hanging="180"/>
      </w:pPr>
    </w:lvl>
  </w:abstractNum>
  <w:abstractNum w:abstractNumId="38" w15:restartNumberingAfterBreak="0">
    <w:nsid w:val="768342E6"/>
    <w:multiLevelType w:val="hybridMultilevel"/>
    <w:tmpl w:val="65E20AB4"/>
    <w:lvl w:ilvl="0" w:tplc="DB90D0DA">
      <w:start w:val="1"/>
      <w:numFmt w:val="bullet"/>
      <w:lvlText w:val=""/>
      <w:lvlJc w:val="left"/>
      <w:pPr>
        <w:ind w:left="720" w:hanging="360"/>
      </w:pPr>
      <w:rPr>
        <w:rFonts w:ascii="Symbol" w:hAnsi="Symbol" w:hint="default"/>
      </w:rPr>
    </w:lvl>
    <w:lvl w:ilvl="1" w:tplc="B3E28C3E">
      <w:start w:val="1"/>
      <w:numFmt w:val="bullet"/>
      <w:lvlText w:val="o"/>
      <w:lvlJc w:val="left"/>
      <w:pPr>
        <w:ind w:left="1440" w:hanging="360"/>
      </w:pPr>
      <w:rPr>
        <w:rFonts w:ascii="Courier New" w:hAnsi="Courier New" w:hint="default"/>
      </w:rPr>
    </w:lvl>
    <w:lvl w:ilvl="2" w:tplc="A294767A">
      <w:start w:val="1"/>
      <w:numFmt w:val="bullet"/>
      <w:lvlText w:val=""/>
      <w:lvlJc w:val="left"/>
      <w:pPr>
        <w:ind w:left="2160" w:hanging="360"/>
      </w:pPr>
      <w:rPr>
        <w:rFonts w:ascii="Wingdings" w:hAnsi="Wingdings" w:hint="default"/>
      </w:rPr>
    </w:lvl>
    <w:lvl w:ilvl="3" w:tplc="AB3A5EA0">
      <w:start w:val="1"/>
      <w:numFmt w:val="bullet"/>
      <w:lvlText w:val=""/>
      <w:lvlJc w:val="left"/>
      <w:pPr>
        <w:ind w:left="2880" w:hanging="360"/>
      </w:pPr>
      <w:rPr>
        <w:rFonts w:ascii="Symbol" w:hAnsi="Symbol" w:hint="default"/>
      </w:rPr>
    </w:lvl>
    <w:lvl w:ilvl="4" w:tplc="7D3834AC">
      <w:start w:val="1"/>
      <w:numFmt w:val="bullet"/>
      <w:lvlText w:val="o"/>
      <w:lvlJc w:val="left"/>
      <w:pPr>
        <w:ind w:left="3600" w:hanging="360"/>
      </w:pPr>
      <w:rPr>
        <w:rFonts w:ascii="Courier New" w:hAnsi="Courier New" w:hint="default"/>
      </w:rPr>
    </w:lvl>
    <w:lvl w:ilvl="5" w:tplc="1EF066CE">
      <w:start w:val="1"/>
      <w:numFmt w:val="bullet"/>
      <w:lvlText w:val=""/>
      <w:lvlJc w:val="left"/>
      <w:pPr>
        <w:ind w:left="4320" w:hanging="360"/>
      </w:pPr>
      <w:rPr>
        <w:rFonts w:ascii="Wingdings" w:hAnsi="Wingdings" w:hint="default"/>
      </w:rPr>
    </w:lvl>
    <w:lvl w:ilvl="6" w:tplc="74AC6E02">
      <w:start w:val="1"/>
      <w:numFmt w:val="bullet"/>
      <w:lvlText w:val=""/>
      <w:lvlJc w:val="left"/>
      <w:pPr>
        <w:ind w:left="5040" w:hanging="360"/>
      </w:pPr>
      <w:rPr>
        <w:rFonts w:ascii="Symbol" w:hAnsi="Symbol" w:hint="default"/>
      </w:rPr>
    </w:lvl>
    <w:lvl w:ilvl="7" w:tplc="B2FC1BC8">
      <w:start w:val="1"/>
      <w:numFmt w:val="bullet"/>
      <w:lvlText w:val="o"/>
      <w:lvlJc w:val="left"/>
      <w:pPr>
        <w:ind w:left="5760" w:hanging="360"/>
      </w:pPr>
      <w:rPr>
        <w:rFonts w:ascii="Courier New" w:hAnsi="Courier New" w:hint="default"/>
      </w:rPr>
    </w:lvl>
    <w:lvl w:ilvl="8" w:tplc="2BE2DEF2">
      <w:start w:val="1"/>
      <w:numFmt w:val="bullet"/>
      <w:lvlText w:val=""/>
      <w:lvlJc w:val="left"/>
      <w:pPr>
        <w:ind w:left="6480" w:hanging="360"/>
      </w:pPr>
      <w:rPr>
        <w:rFonts w:ascii="Wingdings" w:hAnsi="Wingdings" w:hint="default"/>
      </w:rPr>
    </w:lvl>
  </w:abstractNum>
  <w:abstractNum w:abstractNumId="39" w15:restartNumberingAfterBreak="0">
    <w:nsid w:val="7CAD55E7"/>
    <w:multiLevelType w:val="hybridMultilevel"/>
    <w:tmpl w:val="3174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
  </w:num>
  <w:num w:numId="4">
    <w:abstractNumId w:val="18"/>
  </w:num>
  <w:num w:numId="5">
    <w:abstractNumId w:val="29"/>
  </w:num>
  <w:num w:numId="6">
    <w:abstractNumId w:val="23"/>
  </w:num>
  <w:num w:numId="7">
    <w:abstractNumId w:val="8"/>
  </w:num>
  <w:num w:numId="8">
    <w:abstractNumId w:val="28"/>
  </w:num>
  <w:num w:numId="9">
    <w:abstractNumId w:val="6"/>
  </w:num>
  <w:num w:numId="10">
    <w:abstractNumId w:val="31"/>
  </w:num>
  <w:num w:numId="11">
    <w:abstractNumId w:val="12"/>
  </w:num>
  <w:num w:numId="12">
    <w:abstractNumId w:val="37"/>
  </w:num>
  <w:num w:numId="13">
    <w:abstractNumId w:val="34"/>
  </w:num>
  <w:num w:numId="14">
    <w:abstractNumId w:val="26"/>
  </w:num>
  <w:num w:numId="15">
    <w:abstractNumId w:val="24"/>
  </w:num>
  <w:num w:numId="16">
    <w:abstractNumId w:val="0"/>
  </w:num>
  <w:num w:numId="17">
    <w:abstractNumId w:val="11"/>
  </w:num>
  <w:num w:numId="18">
    <w:abstractNumId w:val="4"/>
  </w:num>
  <w:num w:numId="19">
    <w:abstractNumId w:val="20"/>
  </w:num>
  <w:num w:numId="20">
    <w:abstractNumId w:val="32"/>
  </w:num>
  <w:num w:numId="21">
    <w:abstractNumId w:val="5"/>
  </w:num>
  <w:num w:numId="22">
    <w:abstractNumId w:val="21"/>
  </w:num>
  <w:num w:numId="23">
    <w:abstractNumId w:val="38"/>
  </w:num>
  <w:num w:numId="24">
    <w:abstractNumId w:val="19"/>
  </w:num>
  <w:num w:numId="25">
    <w:abstractNumId w:val="36"/>
  </w:num>
  <w:num w:numId="26">
    <w:abstractNumId w:val="16"/>
  </w:num>
  <w:num w:numId="27">
    <w:abstractNumId w:val="3"/>
  </w:num>
  <w:num w:numId="28">
    <w:abstractNumId w:val="3"/>
  </w:num>
  <w:num w:numId="29">
    <w:abstractNumId w:val="2"/>
  </w:num>
  <w:num w:numId="30">
    <w:abstractNumId w:val="25"/>
  </w:num>
  <w:num w:numId="31">
    <w:abstractNumId w:val="10"/>
  </w:num>
  <w:num w:numId="32">
    <w:abstractNumId w:val="14"/>
  </w:num>
  <w:num w:numId="33">
    <w:abstractNumId w:val="33"/>
  </w:num>
  <w:num w:numId="34">
    <w:abstractNumId w:val="9"/>
  </w:num>
  <w:num w:numId="35">
    <w:abstractNumId w:val="7"/>
  </w:num>
  <w:num w:numId="36">
    <w:abstractNumId w:val="39"/>
  </w:num>
  <w:num w:numId="37">
    <w:abstractNumId w:val="35"/>
  </w:num>
  <w:num w:numId="38">
    <w:abstractNumId w:val="27"/>
  </w:num>
  <w:num w:numId="39">
    <w:abstractNumId w:val="30"/>
  </w:num>
  <w:num w:numId="40">
    <w:abstractNumId w:val="2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CF"/>
    <w:rsid w:val="00014867"/>
    <w:rsid w:val="00017A90"/>
    <w:rsid w:val="00020EF0"/>
    <w:rsid w:val="0002130C"/>
    <w:rsid w:val="000304E6"/>
    <w:rsid w:val="000444F7"/>
    <w:rsid w:val="0004643D"/>
    <w:rsid w:val="0006AE02"/>
    <w:rsid w:val="000704FD"/>
    <w:rsid w:val="0007125A"/>
    <w:rsid w:val="0007265A"/>
    <w:rsid w:val="000913E7"/>
    <w:rsid w:val="000947B2"/>
    <w:rsid w:val="000C288B"/>
    <w:rsid w:val="000C2ED6"/>
    <w:rsid w:val="000C7CBA"/>
    <w:rsid w:val="000D7777"/>
    <w:rsid w:val="000E1A4A"/>
    <w:rsid w:val="000E4100"/>
    <w:rsid w:val="000E46E8"/>
    <w:rsid w:val="000E751B"/>
    <w:rsid w:val="000F3F78"/>
    <w:rsid w:val="000F43C6"/>
    <w:rsid w:val="000F5ADB"/>
    <w:rsid w:val="000F6AC7"/>
    <w:rsid w:val="000F6F42"/>
    <w:rsid w:val="00105347"/>
    <w:rsid w:val="0010590C"/>
    <w:rsid w:val="001137F9"/>
    <w:rsid w:val="00115C0E"/>
    <w:rsid w:val="00116C1F"/>
    <w:rsid w:val="0012608B"/>
    <w:rsid w:val="00130132"/>
    <w:rsid w:val="001313CC"/>
    <w:rsid w:val="00131A68"/>
    <w:rsid w:val="00132E4F"/>
    <w:rsid w:val="00137CAF"/>
    <w:rsid w:val="00140007"/>
    <w:rsid w:val="00142DFA"/>
    <w:rsid w:val="00147B43"/>
    <w:rsid w:val="00147E66"/>
    <w:rsid w:val="001494BB"/>
    <w:rsid w:val="00164879"/>
    <w:rsid w:val="001663EC"/>
    <w:rsid w:val="001670B6"/>
    <w:rsid w:val="00167475"/>
    <w:rsid w:val="0017036F"/>
    <w:rsid w:val="0017464E"/>
    <w:rsid w:val="00175D53"/>
    <w:rsid w:val="00184874"/>
    <w:rsid w:val="00194B4D"/>
    <w:rsid w:val="001B0D2A"/>
    <w:rsid w:val="001B7688"/>
    <w:rsid w:val="001C198B"/>
    <w:rsid w:val="001C2996"/>
    <w:rsid w:val="001C58A1"/>
    <w:rsid w:val="001D0747"/>
    <w:rsid w:val="001E6E8B"/>
    <w:rsid w:val="001F17F4"/>
    <w:rsid w:val="00200BAB"/>
    <w:rsid w:val="00212C31"/>
    <w:rsid w:val="00216C49"/>
    <w:rsid w:val="00220395"/>
    <w:rsid w:val="002208D6"/>
    <w:rsid w:val="00226409"/>
    <w:rsid w:val="00227210"/>
    <w:rsid w:val="00235B12"/>
    <w:rsid w:val="0024309C"/>
    <w:rsid w:val="00243B0E"/>
    <w:rsid w:val="00243DE0"/>
    <w:rsid w:val="002503A6"/>
    <w:rsid w:val="00250470"/>
    <w:rsid w:val="00257AE6"/>
    <w:rsid w:val="00265429"/>
    <w:rsid w:val="0026614E"/>
    <w:rsid w:val="0026747B"/>
    <w:rsid w:val="00267637"/>
    <w:rsid w:val="002677FC"/>
    <w:rsid w:val="00270178"/>
    <w:rsid w:val="00272205"/>
    <w:rsid w:val="002759E1"/>
    <w:rsid w:val="00275BCE"/>
    <w:rsid w:val="002762F6"/>
    <w:rsid w:val="00277FB8"/>
    <w:rsid w:val="002816BC"/>
    <w:rsid w:val="002851EA"/>
    <w:rsid w:val="00286041"/>
    <w:rsid w:val="00293990"/>
    <w:rsid w:val="00294947"/>
    <w:rsid w:val="002964C2"/>
    <w:rsid w:val="00297901"/>
    <w:rsid w:val="002A3859"/>
    <w:rsid w:val="002B5A06"/>
    <w:rsid w:val="002B681C"/>
    <w:rsid w:val="002C5AB8"/>
    <w:rsid w:val="002D2EFB"/>
    <w:rsid w:val="002E3263"/>
    <w:rsid w:val="002F3488"/>
    <w:rsid w:val="002F3745"/>
    <w:rsid w:val="0031516B"/>
    <w:rsid w:val="00323BAC"/>
    <w:rsid w:val="00324855"/>
    <w:rsid w:val="00324FE7"/>
    <w:rsid w:val="00326D42"/>
    <w:rsid w:val="00331200"/>
    <w:rsid w:val="003343C1"/>
    <w:rsid w:val="003347C6"/>
    <w:rsid w:val="00336345"/>
    <w:rsid w:val="00346412"/>
    <w:rsid w:val="003507A1"/>
    <w:rsid w:val="0035281F"/>
    <w:rsid w:val="003572FD"/>
    <w:rsid w:val="00362D68"/>
    <w:rsid w:val="0036466E"/>
    <w:rsid w:val="003766F1"/>
    <w:rsid w:val="00385344"/>
    <w:rsid w:val="003A306F"/>
    <w:rsid w:val="003A495F"/>
    <w:rsid w:val="003C16B2"/>
    <w:rsid w:val="003C736B"/>
    <w:rsid w:val="003D01A7"/>
    <w:rsid w:val="003D260F"/>
    <w:rsid w:val="003E045A"/>
    <w:rsid w:val="003F2380"/>
    <w:rsid w:val="003F3E27"/>
    <w:rsid w:val="0040456E"/>
    <w:rsid w:val="00407026"/>
    <w:rsid w:val="004077DF"/>
    <w:rsid w:val="00411E29"/>
    <w:rsid w:val="004136C8"/>
    <w:rsid w:val="00416378"/>
    <w:rsid w:val="00421187"/>
    <w:rsid w:val="004238B4"/>
    <w:rsid w:val="00443C4F"/>
    <w:rsid w:val="00445566"/>
    <w:rsid w:val="0045F458"/>
    <w:rsid w:val="00462F17"/>
    <w:rsid w:val="00464962"/>
    <w:rsid w:val="00465995"/>
    <w:rsid w:val="00467A79"/>
    <w:rsid w:val="00473666"/>
    <w:rsid w:val="004871FE"/>
    <w:rsid w:val="00492B37"/>
    <w:rsid w:val="004B7D45"/>
    <w:rsid w:val="004C32E2"/>
    <w:rsid w:val="004C616D"/>
    <w:rsid w:val="004C6315"/>
    <w:rsid w:val="004D0145"/>
    <w:rsid w:val="004D1D1C"/>
    <w:rsid w:val="004D2758"/>
    <w:rsid w:val="004D28C1"/>
    <w:rsid w:val="004D2C19"/>
    <w:rsid w:val="004E1B8D"/>
    <w:rsid w:val="004F0EEF"/>
    <w:rsid w:val="004F1746"/>
    <w:rsid w:val="004F1C6A"/>
    <w:rsid w:val="004F2C55"/>
    <w:rsid w:val="004F73DF"/>
    <w:rsid w:val="00500CDD"/>
    <w:rsid w:val="005115CE"/>
    <w:rsid w:val="005166DC"/>
    <w:rsid w:val="005215E1"/>
    <w:rsid w:val="00530C0E"/>
    <w:rsid w:val="0053274E"/>
    <w:rsid w:val="00546F20"/>
    <w:rsid w:val="0054717F"/>
    <w:rsid w:val="00553981"/>
    <w:rsid w:val="005616AD"/>
    <w:rsid w:val="00564C63"/>
    <w:rsid w:val="00565F53"/>
    <w:rsid w:val="00574FD3"/>
    <w:rsid w:val="00586B93"/>
    <w:rsid w:val="00591863"/>
    <w:rsid w:val="0059286A"/>
    <w:rsid w:val="005A116A"/>
    <w:rsid w:val="005B18D9"/>
    <w:rsid w:val="005C3B9B"/>
    <w:rsid w:val="005C5FA9"/>
    <w:rsid w:val="005D0D5E"/>
    <w:rsid w:val="005D35E8"/>
    <w:rsid w:val="005E374F"/>
    <w:rsid w:val="005E7100"/>
    <w:rsid w:val="005F120D"/>
    <w:rsid w:val="005F2026"/>
    <w:rsid w:val="00602440"/>
    <w:rsid w:val="00603EA9"/>
    <w:rsid w:val="0061001C"/>
    <w:rsid w:val="00611180"/>
    <w:rsid w:val="00612673"/>
    <w:rsid w:val="0061308B"/>
    <w:rsid w:val="00613F12"/>
    <w:rsid w:val="0061621B"/>
    <w:rsid w:val="00617C76"/>
    <w:rsid w:val="00617EA8"/>
    <w:rsid w:val="0062367E"/>
    <w:rsid w:val="00643A99"/>
    <w:rsid w:val="0064676C"/>
    <w:rsid w:val="00650665"/>
    <w:rsid w:val="00652AF9"/>
    <w:rsid w:val="0065529E"/>
    <w:rsid w:val="006555A4"/>
    <w:rsid w:val="00674192"/>
    <w:rsid w:val="00674ABF"/>
    <w:rsid w:val="0068242F"/>
    <w:rsid w:val="006839BA"/>
    <w:rsid w:val="00685CA7"/>
    <w:rsid w:val="006905D2"/>
    <w:rsid w:val="00693BC1"/>
    <w:rsid w:val="00697A8F"/>
    <w:rsid w:val="00697BAA"/>
    <w:rsid w:val="00697C74"/>
    <w:rsid w:val="006A0EDB"/>
    <w:rsid w:val="006B3A85"/>
    <w:rsid w:val="006D6F0F"/>
    <w:rsid w:val="006E3C61"/>
    <w:rsid w:val="006E54CC"/>
    <w:rsid w:val="006E5785"/>
    <w:rsid w:val="006F071F"/>
    <w:rsid w:val="006F3AE7"/>
    <w:rsid w:val="006F713A"/>
    <w:rsid w:val="00700820"/>
    <w:rsid w:val="007008D8"/>
    <w:rsid w:val="007070FF"/>
    <w:rsid w:val="00707379"/>
    <w:rsid w:val="00731153"/>
    <w:rsid w:val="0074147B"/>
    <w:rsid w:val="007423FE"/>
    <w:rsid w:val="00743C99"/>
    <w:rsid w:val="007476FA"/>
    <w:rsid w:val="00752F76"/>
    <w:rsid w:val="00776129"/>
    <w:rsid w:val="007762E3"/>
    <w:rsid w:val="007838C7"/>
    <w:rsid w:val="00783FE1"/>
    <w:rsid w:val="007940B6"/>
    <w:rsid w:val="00796669"/>
    <w:rsid w:val="007A02B3"/>
    <w:rsid w:val="007A147A"/>
    <w:rsid w:val="007A2D9C"/>
    <w:rsid w:val="007B5875"/>
    <w:rsid w:val="007D654B"/>
    <w:rsid w:val="007F5B12"/>
    <w:rsid w:val="007F6719"/>
    <w:rsid w:val="00800477"/>
    <w:rsid w:val="008106DC"/>
    <w:rsid w:val="00811B35"/>
    <w:rsid w:val="008120FB"/>
    <w:rsid w:val="00813C87"/>
    <w:rsid w:val="00822B64"/>
    <w:rsid w:val="00830D4B"/>
    <w:rsid w:val="008373A2"/>
    <w:rsid w:val="00852FB1"/>
    <w:rsid w:val="00853D37"/>
    <w:rsid w:val="00855688"/>
    <w:rsid w:val="00863670"/>
    <w:rsid w:val="008713DC"/>
    <w:rsid w:val="00882E52"/>
    <w:rsid w:val="0088481D"/>
    <w:rsid w:val="00890EA9"/>
    <w:rsid w:val="0089464B"/>
    <w:rsid w:val="00894FB8"/>
    <w:rsid w:val="008950C9"/>
    <w:rsid w:val="008A19B2"/>
    <w:rsid w:val="008A69B2"/>
    <w:rsid w:val="008B24B7"/>
    <w:rsid w:val="008B4F00"/>
    <w:rsid w:val="008C4B53"/>
    <w:rsid w:val="008C580D"/>
    <w:rsid w:val="008C652B"/>
    <w:rsid w:val="008C730A"/>
    <w:rsid w:val="008D6F84"/>
    <w:rsid w:val="008E3A03"/>
    <w:rsid w:val="008F776F"/>
    <w:rsid w:val="00910574"/>
    <w:rsid w:val="00914F29"/>
    <w:rsid w:val="00921435"/>
    <w:rsid w:val="00921A65"/>
    <w:rsid w:val="00924EC1"/>
    <w:rsid w:val="00926A52"/>
    <w:rsid w:val="00934138"/>
    <w:rsid w:val="00941595"/>
    <w:rsid w:val="00941BF4"/>
    <w:rsid w:val="009439F8"/>
    <w:rsid w:val="0094755D"/>
    <w:rsid w:val="00952DF4"/>
    <w:rsid w:val="009541E0"/>
    <w:rsid w:val="0096193C"/>
    <w:rsid w:val="009636DA"/>
    <w:rsid w:val="00967B63"/>
    <w:rsid w:val="00974794"/>
    <w:rsid w:val="0097F6BB"/>
    <w:rsid w:val="009806E6"/>
    <w:rsid w:val="009873F3"/>
    <w:rsid w:val="00993168"/>
    <w:rsid w:val="00993427"/>
    <w:rsid w:val="009A18C9"/>
    <w:rsid w:val="009A385F"/>
    <w:rsid w:val="009A5EAD"/>
    <w:rsid w:val="009A776C"/>
    <w:rsid w:val="009B3643"/>
    <w:rsid w:val="009B5A8D"/>
    <w:rsid w:val="009C6E6D"/>
    <w:rsid w:val="009C76D2"/>
    <w:rsid w:val="009D0426"/>
    <w:rsid w:val="009E4717"/>
    <w:rsid w:val="009E6C41"/>
    <w:rsid w:val="00A11BA1"/>
    <w:rsid w:val="00A17078"/>
    <w:rsid w:val="00A2013B"/>
    <w:rsid w:val="00A21370"/>
    <w:rsid w:val="00A226FD"/>
    <w:rsid w:val="00A25870"/>
    <w:rsid w:val="00A35F84"/>
    <w:rsid w:val="00A40C70"/>
    <w:rsid w:val="00A457E0"/>
    <w:rsid w:val="00A46CCC"/>
    <w:rsid w:val="00A536A1"/>
    <w:rsid w:val="00A53C19"/>
    <w:rsid w:val="00A541DF"/>
    <w:rsid w:val="00A60D82"/>
    <w:rsid w:val="00A71638"/>
    <w:rsid w:val="00A73B10"/>
    <w:rsid w:val="00A829D1"/>
    <w:rsid w:val="00A8694E"/>
    <w:rsid w:val="00AA0340"/>
    <w:rsid w:val="00AA6FE5"/>
    <w:rsid w:val="00AB26C5"/>
    <w:rsid w:val="00AB5302"/>
    <w:rsid w:val="00AB7F52"/>
    <w:rsid w:val="00AC2281"/>
    <w:rsid w:val="00AD2542"/>
    <w:rsid w:val="00AD2768"/>
    <w:rsid w:val="00AE4D36"/>
    <w:rsid w:val="00AE7653"/>
    <w:rsid w:val="00AF6B0B"/>
    <w:rsid w:val="00B06D54"/>
    <w:rsid w:val="00B11BE8"/>
    <w:rsid w:val="00B164E6"/>
    <w:rsid w:val="00B228F7"/>
    <w:rsid w:val="00B25295"/>
    <w:rsid w:val="00B308C2"/>
    <w:rsid w:val="00B32A77"/>
    <w:rsid w:val="00B33B76"/>
    <w:rsid w:val="00B36A49"/>
    <w:rsid w:val="00B4073A"/>
    <w:rsid w:val="00B45D54"/>
    <w:rsid w:val="00B561C4"/>
    <w:rsid w:val="00B57739"/>
    <w:rsid w:val="00B61003"/>
    <w:rsid w:val="00B67F8D"/>
    <w:rsid w:val="00B7066E"/>
    <w:rsid w:val="00B823C6"/>
    <w:rsid w:val="00B825A0"/>
    <w:rsid w:val="00B8265E"/>
    <w:rsid w:val="00B840DB"/>
    <w:rsid w:val="00B9623A"/>
    <w:rsid w:val="00B972F5"/>
    <w:rsid w:val="00B97BA5"/>
    <w:rsid w:val="00BA021B"/>
    <w:rsid w:val="00BA0979"/>
    <w:rsid w:val="00BA516C"/>
    <w:rsid w:val="00BA7C73"/>
    <w:rsid w:val="00BB01FB"/>
    <w:rsid w:val="00BB1A13"/>
    <w:rsid w:val="00BB226A"/>
    <w:rsid w:val="00BB513F"/>
    <w:rsid w:val="00BB51B4"/>
    <w:rsid w:val="00BC0077"/>
    <w:rsid w:val="00BC6657"/>
    <w:rsid w:val="00BE20BB"/>
    <w:rsid w:val="00BF1964"/>
    <w:rsid w:val="00BF1F9D"/>
    <w:rsid w:val="00BF678B"/>
    <w:rsid w:val="00C012B0"/>
    <w:rsid w:val="00C04B62"/>
    <w:rsid w:val="00C1525D"/>
    <w:rsid w:val="00C177A3"/>
    <w:rsid w:val="00C20DFF"/>
    <w:rsid w:val="00C219BB"/>
    <w:rsid w:val="00C30295"/>
    <w:rsid w:val="00C37FC9"/>
    <w:rsid w:val="00C42D3E"/>
    <w:rsid w:val="00C46C0A"/>
    <w:rsid w:val="00C7E9BB"/>
    <w:rsid w:val="00C8221E"/>
    <w:rsid w:val="00C85F87"/>
    <w:rsid w:val="00C86B06"/>
    <w:rsid w:val="00C94E3D"/>
    <w:rsid w:val="00CA5725"/>
    <w:rsid w:val="00CA60CB"/>
    <w:rsid w:val="00CB4A3C"/>
    <w:rsid w:val="00CC1E99"/>
    <w:rsid w:val="00CC6489"/>
    <w:rsid w:val="00CC6BCC"/>
    <w:rsid w:val="00CE0E27"/>
    <w:rsid w:val="00CE3C26"/>
    <w:rsid w:val="00CE5E99"/>
    <w:rsid w:val="00CE6015"/>
    <w:rsid w:val="00CE61B5"/>
    <w:rsid w:val="00D019CB"/>
    <w:rsid w:val="00D03E98"/>
    <w:rsid w:val="00D05ADB"/>
    <w:rsid w:val="00D05E04"/>
    <w:rsid w:val="00D305FE"/>
    <w:rsid w:val="00D36EA2"/>
    <w:rsid w:val="00D419A0"/>
    <w:rsid w:val="00D41AF8"/>
    <w:rsid w:val="00D5118A"/>
    <w:rsid w:val="00D53E69"/>
    <w:rsid w:val="00D54093"/>
    <w:rsid w:val="00D57520"/>
    <w:rsid w:val="00D602EA"/>
    <w:rsid w:val="00D6069D"/>
    <w:rsid w:val="00D64329"/>
    <w:rsid w:val="00D65F55"/>
    <w:rsid w:val="00D672ED"/>
    <w:rsid w:val="00D70A64"/>
    <w:rsid w:val="00D82681"/>
    <w:rsid w:val="00D82CB6"/>
    <w:rsid w:val="00D869B7"/>
    <w:rsid w:val="00D91F5A"/>
    <w:rsid w:val="00D9485A"/>
    <w:rsid w:val="00DA3907"/>
    <w:rsid w:val="00DB2FA6"/>
    <w:rsid w:val="00DB397B"/>
    <w:rsid w:val="00DB4198"/>
    <w:rsid w:val="00DC1537"/>
    <w:rsid w:val="00DC224D"/>
    <w:rsid w:val="00DD10C1"/>
    <w:rsid w:val="00DD138F"/>
    <w:rsid w:val="00DF0F8B"/>
    <w:rsid w:val="00DF4EC8"/>
    <w:rsid w:val="00E072F6"/>
    <w:rsid w:val="00E1FA12"/>
    <w:rsid w:val="00E21C1E"/>
    <w:rsid w:val="00E318FA"/>
    <w:rsid w:val="00E338CF"/>
    <w:rsid w:val="00E401EE"/>
    <w:rsid w:val="00E432BD"/>
    <w:rsid w:val="00E439ED"/>
    <w:rsid w:val="00E50895"/>
    <w:rsid w:val="00E51866"/>
    <w:rsid w:val="00E7359F"/>
    <w:rsid w:val="00E75614"/>
    <w:rsid w:val="00E76C5A"/>
    <w:rsid w:val="00E84A2D"/>
    <w:rsid w:val="00E974DA"/>
    <w:rsid w:val="00EA5684"/>
    <w:rsid w:val="00EA76D0"/>
    <w:rsid w:val="00EB3A85"/>
    <w:rsid w:val="00EB5823"/>
    <w:rsid w:val="00EC0228"/>
    <w:rsid w:val="00EC1599"/>
    <w:rsid w:val="00EC3141"/>
    <w:rsid w:val="00ED0965"/>
    <w:rsid w:val="00ED23C8"/>
    <w:rsid w:val="00ED3C75"/>
    <w:rsid w:val="00ED4BD4"/>
    <w:rsid w:val="00EE44C1"/>
    <w:rsid w:val="00EE5E9E"/>
    <w:rsid w:val="00EF1707"/>
    <w:rsid w:val="00EF74C6"/>
    <w:rsid w:val="00F00D93"/>
    <w:rsid w:val="00F03830"/>
    <w:rsid w:val="00F038EF"/>
    <w:rsid w:val="00F11E23"/>
    <w:rsid w:val="00F13932"/>
    <w:rsid w:val="00F13ECD"/>
    <w:rsid w:val="00F17052"/>
    <w:rsid w:val="00F20587"/>
    <w:rsid w:val="00F3085A"/>
    <w:rsid w:val="00F37127"/>
    <w:rsid w:val="00F4054D"/>
    <w:rsid w:val="00F4702C"/>
    <w:rsid w:val="00F4BE35"/>
    <w:rsid w:val="00F50D2D"/>
    <w:rsid w:val="00F5302A"/>
    <w:rsid w:val="00F562D7"/>
    <w:rsid w:val="00F6233A"/>
    <w:rsid w:val="00F63B08"/>
    <w:rsid w:val="00F6796E"/>
    <w:rsid w:val="00F77B3B"/>
    <w:rsid w:val="00F92460"/>
    <w:rsid w:val="00F974F9"/>
    <w:rsid w:val="00FB6E17"/>
    <w:rsid w:val="00FC3F7E"/>
    <w:rsid w:val="00FC619D"/>
    <w:rsid w:val="00FC627A"/>
    <w:rsid w:val="00FD2C8F"/>
    <w:rsid w:val="00FD51BC"/>
    <w:rsid w:val="00FD6297"/>
    <w:rsid w:val="00FD7A22"/>
    <w:rsid w:val="00FE0B36"/>
    <w:rsid w:val="00FE0F23"/>
    <w:rsid w:val="00FF1294"/>
    <w:rsid w:val="0116275A"/>
    <w:rsid w:val="012B3869"/>
    <w:rsid w:val="01562E13"/>
    <w:rsid w:val="0170D57D"/>
    <w:rsid w:val="017CD9F1"/>
    <w:rsid w:val="017D9FBF"/>
    <w:rsid w:val="0182E326"/>
    <w:rsid w:val="018F5C1B"/>
    <w:rsid w:val="01B61C95"/>
    <w:rsid w:val="01BAD316"/>
    <w:rsid w:val="01BC7190"/>
    <w:rsid w:val="01BC79A5"/>
    <w:rsid w:val="01C643F2"/>
    <w:rsid w:val="01E2CF4A"/>
    <w:rsid w:val="01FC365D"/>
    <w:rsid w:val="0203281D"/>
    <w:rsid w:val="02128F2F"/>
    <w:rsid w:val="021E8347"/>
    <w:rsid w:val="021F0E8A"/>
    <w:rsid w:val="0225E512"/>
    <w:rsid w:val="0233C63A"/>
    <w:rsid w:val="0239260A"/>
    <w:rsid w:val="026438A5"/>
    <w:rsid w:val="0268DE58"/>
    <w:rsid w:val="026E8486"/>
    <w:rsid w:val="0271D6FE"/>
    <w:rsid w:val="0276EC29"/>
    <w:rsid w:val="02783F9F"/>
    <w:rsid w:val="027C96F9"/>
    <w:rsid w:val="02828E2B"/>
    <w:rsid w:val="02A80412"/>
    <w:rsid w:val="030A0291"/>
    <w:rsid w:val="030D18BD"/>
    <w:rsid w:val="030DC335"/>
    <w:rsid w:val="03283B02"/>
    <w:rsid w:val="033706AE"/>
    <w:rsid w:val="033C48FF"/>
    <w:rsid w:val="035D0365"/>
    <w:rsid w:val="038C6FFC"/>
    <w:rsid w:val="038FD337"/>
    <w:rsid w:val="03958552"/>
    <w:rsid w:val="03A47BAC"/>
    <w:rsid w:val="03A9FD1A"/>
    <w:rsid w:val="03B358E5"/>
    <w:rsid w:val="03B4A84D"/>
    <w:rsid w:val="03C187C4"/>
    <w:rsid w:val="03C83627"/>
    <w:rsid w:val="03ECCF02"/>
    <w:rsid w:val="03ED85BA"/>
    <w:rsid w:val="03F43E05"/>
    <w:rsid w:val="03F9854E"/>
    <w:rsid w:val="0412BC8A"/>
    <w:rsid w:val="0425AE4B"/>
    <w:rsid w:val="04367211"/>
    <w:rsid w:val="04459EAB"/>
    <w:rsid w:val="04726FE0"/>
    <w:rsid w:val="04810339"/>
    <w:rsid w:val="0486B350"/>
    <w:rsid w:val="0486F235"/>
    <w:rsid w:val="048701D5"/>
    <w:rsid w:val="04882340"/>
    <w:rsid w:val="049A262C"/>
    <w:rsid w:val="04A7F2DA"/>
    <w:rsid w:val="04B287EF"/>
    <w:rsid w:val="04BFA0B3"/>
    <w:rsid w:val="04C37D8B"/>
    <w:rsid w:val="04D52740"/>
    <w:rsid w:val="04E8AD3C"/>
    <w:rsid w:val="04F85372"/>
    <w:rsid w:val="04FE1FFB"/>
    <w:rsid w:val="04FF9562"/>
    <w:rsid w:val="0500E67D"/>
    <w:rsid w:val="051CC7B4"/>
    <w:rsid w:val="053A6885"/>
    <w:rsid w:val="053AC8DF"/>
    <w:rsid w:val="055877EB"/>
    <w:rsid w:val="0578BB81"/>
    <w:rsid w:val="057C8594"/>
    <w:rsid w:val="0584CAD9"/>
    <w:rsid w:val="05895614"/>
    <w:rsid w:val="058AD8CF"/>
    <w:rsid w:val="05950CFD"/>
    <w:rsid w:val="05A539B9"/>
    <w:rsid w:val="05B78056"/>
    <w:rsid w:val="05BBD78A"/>
    <w:rsid w:val="05CD56FA"/>
    <w:rsid w:val="05D24272"/>
    <w:rsid w:val="05DB8D94"/>
    <w:rsid w:val="05DD26AF"/>
    <w:rsid w:val="05E160BB"/>
    <w:rsid w:val="05E67ECF"/>
    <w:rsid w:val="05E69212"/>
    <w:rsid w:val="05F6B581"/>
    <w:rsid w:val="05FC47BD"/>
    <w:rsid w:val="0609475A"/>
    <w:rsid w:val="063292E8"/>
    <w:rsid w:val="06389AAC"/>
    <w:rsid w:val="064C6B18"/>
    <w:rsid w:val="065191D7"/>
    <w:rsid w:val="06712DA6"/>
    <w:rsid w:val="067B20D0"/>
    <w:rsid w:val="0691C7EB"/>
    <w:rsid w:val="06A60E9D"/>
    <w:rsid w:val="06B55803"/>
    <w:rsid w:val="06CD1FA9"/>
    <w:rsid w:val="06D0D3BA"/>
    <w:rsid w:val="06E785B2"/>
    <w:rsid w:val="06F13B57"/>
    <w:rsid w:val="070CF3C8"/>
    <w:rsid w:val="072BF469"/>
    <w:rsid w:val="072EF9C8"/>
    <w:rsid w:val="07365808"/>
    <w:rsid w:val="0752166D"/>
    <w:rsid w:val="0759DEB3"/>
    <w:rsid w:val="0761CD9C"/>
    <w:rsid w:val="0764DAA5"/>
    <w:rsid w:val="076E12D3"/>
    <w:rsid w:val="077C392D"/>
    <w:rsid w:val="078C476B"/>
    <w:rsid w:val="079BCF67"/>
    <w:rsid w:val="07A517BB"/>
    <w:rsid w:val="07F9A318"/>
    <w:rsid w:val="0813809D"/>
    <w:rsid w:val="08231E79"/>
    <w:rsid w:val="0825F6F0"/>
    <w:rsid w:val="08475DCC"/>
    <w:rsid w:val="084A2A97"/>
    <w:rsid w:val="0852B099"/>
    <w:rsid w:val="08637936"/>
    <w:rsid w:val="08793D85"/>
    <w:rsid w:val="089F5DB0"/>
    <w:rsid w:val="08BC494B"/>
    <w:rsid w:val="08C428D1"/>
    <w:rsid w:val="08C54CB6"/>
    <w:rsid w:val="08D52335"/>
    <w:rsid w:val="08E8C885"/>
    <w:rsid w:val="08FA5060"/>
    <w:rsid w:val="0914158B"/>
    <w:rsid w:val="091AF4B2"/>
    <w:rsid w:val="0947F6C8"/>
    <w:rsid w:val="09497D21"/>
    <w:rsid w:val="09642CEC"/>
    <w:rsid w:val="0965117E"/>
    <w:rsid w:val="096A9551"/>
    <w:rsid w:val="096F9122"/>
    <w:rsid w:val="0990EDDE"/>
    <w:rsid w:val="099FFA5C"/>
    <w:rsid w:val="09C1BC82"/>
    <w:rsid w:val="09CECDD3"/>
    <w:rsid w:val="09DFB46D"/>
    <w:rsid w:val="09EAD09F"/>
    <w:rsid w:val="09EEF270"/>
    <w:rsid w:val="09F4A051"/>
    <w:rsid w:val="09F7525C"/>
    <w:rsid w:val="0A003087"/>
    <w:rsid w:val="0A063CD4"/>
    <w:rsid w:val="0A0C0713"/>
    <w:rsid w:val="0A0F6A74"/>
    <w:rsid w:val="0A11A37F"/>
    <w:rsid w:val="0A160ADC"/>
    <w:rsid w:val="0A345951"/>
    <w:rsid w:val="0A369C09"/>
    <w:rsid w:val="0A3AAB73"/>
    <w:rsid w:val="0A5AF86E"/>
    <w:rsid w:val="0A5E49F2"/>
    <w:rsid w:val="0A72DD64"/>
    <w:rsid w:val="0A7FE374"/>
    <w:rsid w:val="0A86CFE4"/>
    <w:rsid w:val="0A8755A3"/>
    <w:rsid w:val="0A8D3C26"/>
    <w:rsid w:val="0A9780C9"/>
    <w:rsid w:val="0A99DDF5"/>
    <w:rsid w:val="0A9A8424"/>
    <w:rsid w:val="0AA1533B"/>
    <w:rsid w:val="0AA21CF6"/>
    <w:rsid w:val="0AD5D0C4"/>
    <w:rsid w:val="0AECA093"/>
    <w:rsid w:val="0AF727FB"/>
    <w:rsid w:val="0AFCB568"/>
    <w:rsid w:val="0B0EAD5A"/>
    <w:rsid w:val="0B15725F"/>
    <w:rsid w:val="0B5165ED"/>
    <w:rsid w:val="0B55934D"/>
    <w:rsid w:val="0B593A5E"/>
    <w:rsid w:val="0B7900BB"/>
    <w:rsid w:val="0B7A0660"/>
    <w:rsid w:val="0B81CB59"/>
    <w:rsid w:val="0B86B959"/>
    <w:rsid w:val="0B8C615C"/>
    <w:rsid w:val="0BA0F053"/>
    <w:rsid w:val="0BAFDEDA"/>
    <w:rsid w:val="0BD7528E"/>
    <w:rsid w:val="0BDFE683"/>
    <w:rsid w:val="0BEB61F9"/>
    <w:rsid w:val="0BF80257"/>
    <w:rsid w:val="0BFA67CA"/>
    <w:rsid w:val="0C14DE98"/>
    <w:rsid w:val="0C1E6479"/>
    <w:rsid w:val="0C331F6B"/>
    <w:rsid w:val="0C3D4A4F"/>
    <w:rsid w:val="0C47C880"/>
    <w:rsid w:val="0C485648"/>
    <w:rsid w:val="0C570929"/>
    <w:rsid w:val="0C68D66A"/>
    <w:rsid w:val="0C70B778"/>
    <w:rsid w:val="0C79291E"/>
    <w:rsid w:val="0C7B177E"/>
    <w:rsid w:val="0C7C84D8"/>
    <w:rsid w:val="0C7F6338"/>
    <w:rsid w:val="0C885410"/>
    <w:rsid w:val="0C8E898A"/>
    <w:rsid w:val="0C9CB2CE"/>
    <w:rsid w:val="0CAAF193"/>
    <w:rsid w:val="0CB3EA79"/>
    <w:rsid w:val="0CCD8709"/>
    <w:rsid w:val="0CF7770C"/>
    <w:rsid w:val="0D17AC10"/>
    <w:rsid w:val="0D1D9287"/>
    <w:rsid w:val="0D3BF37E"/>
    <w:rsid w:val="0D597633"/>
    <w:rsid w:val="0D754C68"/>
    <w:rsid w:val="0D7D506A"/>
    <w:rsid w:val="0D8A8C83"/>
    <w:rsid w:val="0D94ADD4"/>
    <w:rsid w:val="0DAB59F9"/>
    <w:rsid w:val="0DBBC11C"/>
    <w:rsid w:val="0DBEF665"/>
    <w:rsid w:val="0DC8EF17"/>
    <w:rsid w:val="0DC9791F"/>
    <w:rsid w:val="0DCC89A5"/>
    <w:rsid w:val="0DEB90BA"/>
    <w:rsid w:val="0DFC357C"/>
    <w:rsid w:val="0DFE8641"/>
    <w:rsid w:val="0E1C356A"/>
    <w:rsid w:val="0E1D172C"/>
    <w:rsid w:val="0E239774"/>
    <w:rsid w:val="0E47EC02"/>
    <w:rsid w:val="0E529790"/>
    <w:rsid w:val="0E58B582"/>
    <w:rsid w:val="0E6C2081"/>
    <w:rsid w:val="0E72F54F"/>
    <w:rsid w:val="0E78873C"/>
    <w:rsid w:val="0E78C608"/>
    <w:rsid w:val="0E86490C"/>
    <w:rsid w:val="0E98B739"/>
    <w:rsid w:val="0E99A336"/>
    <w:rsid w:val="0EA778F0"/>
    <w:rsid w:val="0ECBFBCE"/>
    <w:rsid w:val="0ED88AEF"/>
    <w:rsid w:val="0EDFBD15"/>
    <w:rsid w:val="0EEDE47E"/>
    <w:rsid w:val="0EFDE39E"/>
    <w:rsid w:val="0F032C29"/>
    <w:rsid w:val="0F0B0DF3"/>
    <w:rsid w:val="0F25C8FC"/>
    <w:rsid w:val="0F40B7D6"/>
    <w:rsid w:val="0F4BC001"/>
    <w:rsid w:val="0F6164C3"/>
    <w:rsid w:val="0F81911D"/>
    <w:rsid w:val="0F895511"/>
    <w:rsid w:val="0F8B2F01"/>
    <w:rsid w:val="0F8F9551"/>
    <w:rsid w:val="0F9CD67B"/>
    <w:rsid w:val="0FB15EE8"/>
    <w:rsid w:val="0FB7826E"/>
    <w:rsid w:val="0FC73559"/>
    <w:rsid w:val="0FD463DE"/>
    <w:rsid w:val="0FD9B04D"/>
    <w:rsid w:val="0FDCCCDB"/>
    <w:rsid w:val="0FF7E7E3"/>
    <w:rsid w:val="0FFF8284"/>
    <w:rsid w:val="1008A765"/>
    <w:rsid w:val="1019698C"/>
    <w:rsid w:val="102D9D08"/>
    <w:rsid w:val="1030EB2B"/>
    <w:rsid w:val="1033C202"/>
    <w:rsid w:val="105649AE"/>
    <w:rsid w:val="10585E68"/>
    <w:rsid w:val="10769F17"/>
    <w:rsid w:val="107F8B01"/>
    <w:rsid w:val="108CEAEE"/>
    <w:rsid w:val="109F7631"/>
    <w:rsid w:val="10C9973B"/>
    <w:rsid w:val="10E5E2B3"/>
    <w:rsid w:val="10F41844"/>
    <w:rsid w:val="10F6BE25"/>
    <w:rsid w:val="10FFE7A2"/>
    <w:rsid w:val="1117BF5F"/>
    <w:rsid w:val="111985CA"/>
    <w:rsid w:val="111D48B0"/>
    <w:rsid w:val="1127E92D"/>
    <w:rsid w:val="112B22C8"/>
    <w:rsid w:val="1131BA74"/>
    <w:rsid w:val="1152EE5D"/>
    <w:rsid w:val="1155C4E1"/>
    <w:rsid w:val="1156976F"/>
    <w:rsid w:val="115DDE45"/>
    <w:rsid w:val="116409C6"/>
    <w:rsid w:val="11767810"/>
    <w:rsid w:val="11775863"/>
    <w:rsid w:val="117CAA8A"/>
    <w:rsid w:val="117F20D7"/>
    <w:rsid w:val="118414C7"/>
    <w:rsid w:val="11A25408"/>
    <w:rsid w:val="11A7D201"/>
    <w:rsid w:val="11AB01F9"/>
    <w:rsid w:val="11AB4159"/>
    <w:rsid w:val="11ACAF66"/>
    <w:rsid w:val="11B066CA"/>
    <w:rsid w:val="11B0B3D2"/>
    <w:rsid w:val="11C7275F"/>
    <w:rsid w:val="11D4A727"/>
    <w:rsid w:val="11F21A0F"/>
    <w:rsid w:val="11FF84C0"/>
    <w:rsid w:val="1201EA39"/>
    <w:rsid w:val="1229456F"/>
    <w:rsid w:val="122C6F00"/>
    <w:rsid w:val="122CDAF6"/>
    <w:rsid w:val="122DCC9A"/>
    <w:rsid w:val="1265E54E"/>
    <w:rsid w:val="1270E3BB"/>
    <w:rsid w:val="12890122"/>
    <w:rsid w:val="128FEA65"/>
    <w:rsid w:val="1291C5A2"/>
    <w:rsid w:val="1298C7F0"/>
    <w:rsid w:val="12A48043"/>
    <w:rsid w:val="12E69C92"/>
    <w:rsid w:val="13334C09"/>
    <w:rsid w:val="134C372B"/>
    <w:rsid w:val="135E0279"/>
    <w:rsid w:val="136A3D16"/>
    <w:rsid w:val="13854B30"/>
    <w:rsid w:val="138CDD3E"/>
    <w:rsid w:val="138D15A8"/>
    <w:rsid w:val="138DEA70"/>
    <w:rsid w:val="138E8807"/>
    <w:rsid w:val="138FFF2A"/>
    <w:rsid w:val="1391CB3E"/>
    <w:rsid w:val="13984336"/>
    <w:rsid w:val="13A5446B"/>
    <w:rsid w:val="13AE3FD9"/>
    <w:rsid w:val="13B721DB"/>
    <w:rsid w:val="13C4953F"/>
    <w:rsid w:val="13CD5FF5"/>
    <w:rsid w:val="13CDA628"/>
    <w:rsid w:val="13D121EA"/>
    <w:rsid w:val="13D684C7"/>
    <w:rsid w:val="13DC0B35"/>
    <w:rsid w:val="13F32D5C"/>
    <w:rsid w:val="13F57D02"/>
    <w:rsid w:val="1407D987"/>
    <w:rsid w:val="140F5BF3"/>
    <w:rsid w:val="14170D5C"/>
    <w:rsid w:val="141F54E6"/>
    <w:rsid w:val="14380C98"/>
    <w:rsid w:val="1450E12B"/>
    <w:rsid w:val="14640B28"/>
    <w:rsid w:val="146671B7"/>
    <w:rsid w:val="1467D038"/>
    <w:rsid w:val="1472EA9B"/>
    <w:rsid w:val="1476265F"/>
    <w:rsid w:val="14779F47"/>
    <w:rsid w:val="147C0CAA"/>
    <w:rsid w:val="147E02E2"/>
    <w:rsid w:val="1499CC92"/>
    <w:rsid w:val="14C430DA"/>
    <w:rsid w:val="14CEDF10"/>
    <w:rsid w:val="14D8DB48"/>
    <w:rsid w:val="14E2DCCD"/>
    <w:rsid w:val="14EDB5A2"/>
    <w:rsid w:val="14F11483"/>
    <w:rsid w:val="14F140A0"/>
    <w:rsid w:val="14F54C03"/>
    <w:rsid w:val="15135015"/>
    <w:rsid w:val="1521BEBA"/>
    <w:rsid w:val="1528AE09"/>
    <w:rsid w:val="152D1EA7"/>
    <w:rsid w:val="1530E7DD"/>
    <w:rsid w:val="153AD499"/>
    <w:rsid w:val="1544F67B"/>
    <w:rsid w:val="154A103A"/>
    <w:rsid w:val="154EB9BA"/>
    <w:rsid w:val="1554ED05"/>
    <w:rsid w:val="1566CF26"/>
    <w:rsid w:val="157AACDF"/>
    <w:rsid w:val="157BA0D2"/>
    <w:rsid w:val="157E733E"/>
    <w:rsid w:val="158963F6"/>
    <w:rsid w:val="158D09D3"/>
    <w:rsid w:val="15A1DA33"/>
    <w:rsid w:val="15B39757"/>
    <w:rsid w:val="15B90CF6"/>
    <w:rsid w:val="15C1B31A"/>
    <w:rsid w:val="15C34B09"/>
    <w:rsid w:val="15CACC9C"/>
    <w:rsid w:val="15E525F3"/>
    <w:rsid w:val="16022CCF"/>
    <w:rsid w:val="160B8892"/>
    <w:rsid w:val="1613CC0A"/>
    <w:rsid w:val="1617DD0B"/>
    <w:rsid w:val="16266601"/>
    <w:rsid w:val="162ECD7E"/>
    <w:rsid w:val="1640E6E8"/>
    <w:rsid w:val="16AF4834"/>
    <w:rsid w:val="16B23300"/>
    <w:rsid w:val="16C38A31"/>
    <w:rsid w:val="16C4F404"/>
    <w:rsid w:val="16E452B7"/>
    <w:rsid w:val="16EA8A1B"/>
    <w:rsid w:val="16F18EA0"/>
    <w:rsid w:val="16F256DE"/>
    <w:rsid w:val="16F90FD1"/>
    <w:rsid w:val="1706E6B1"/>
    <w:rsid w:val="1712EACD"/>
    <w:rsid w:val="1716398D"/>
    <w:rsid w:val="17253457"/>
    <w:rsid w:val="1733B354"/>
    <w:rsid w:val="17340F6A"/>
    <w:rsid w:val="174BC9BB"/>
    <w:rsid w:val="17608FCC"/>
    <w:rsid w:val="1774E80F"/>
    <w:rsid w:val="17780256"/>
    <w:rsid w:val="177C2965"/>
    <w:rsid w:val="1786DB47"/>
    <w:rsid w:val="1792BD5E"/>
    <w:rsid w:val="17A5F43C"/>
    <w:rsid w:val="17A90E05"/>
    <w:rsid w:val="17ADFB4E"/>
    <w:rsid w:val="17BEEB55"/>
    <w:rsid w:val="17CEC274"/>
    <w:rsid w:val="17DD0B99"/>
    <w:rsid w:val="17DD4930"/>
    <w:rsid w:val="180F1653"/>
    <w:rsid w:val="1821D155"/>
    <w:rsid w:val="182C16AE"/>
    <w:rsid w:val="183F49F1"/>
    <w:rsid w:val="18433FB1"/>
    <w:rsid w:val="1849F6FD"/>
    <w:rsid w:val="184A42D2"/>
    <w:rsid w:val="18525F0E"/>
    <w:rsid w:val="1863C570"/>
    <w:rsid w:val="18643960"/>
    <w:rsid w:val="187AB49F"/>
    <w:rsid w:val="188521EE"/>
    <w:rsid w:val="18989E3E"/>
    <w:rsid w:val="18A5B624"/>
    <w:rsid w:val="18A80345"/>
    <w:rsid w:val="18A88181"/>
    <w:rsid w:val="18B81086"/>
    <w:rsid w:val="18D66A23"/>
    <w:rsid w:val="18DE809A"/>
    <w:rsid w:val="18E2E30A"/>
    <w:rsid w:val="18ED7FFA"/>
    <w:rsid w:val="18F833DC"/>
    <w:rsid w:val="19028D6E"/>
    <w:rsid w:val="1928C490"/>
    <w:rsid w:val="192B069C"/>
    <w:rsid w:val="19390279"/>
    <w:rsid w:val="194335E1"/>
    <w:rsid w:val="1944DE66"/>
    <w:rsid w:val="195D08CC"/>
    <w:rsid w:val="195F774C"/>
    <w:rsid w:val="1965AF27"/>
    <w:rsid w:val="196DC6B6"/>
    <w:rsid w:val="19A46F31"/>
    <w:rsid w:val="19A6F981"/>
    <w:rsid w:val="19C6019C"/>
    <w:rsid w:val="19CE846A"/>
    <w:rsid w:val="19CFF059"/>
    <w:rsid w:val="19D28484"/>
    <w:rsid w:val="19D8B663"/>
    <w:rsid w:val="19DA3B41"/>
    <w:rsid w:val="19E3301B"/>
    <w:rsid w:val="19FDC693"/>
    <w:rsid w:val="1A1E92C5"/>
    <w:rsid w:val="1A44F929"/>
    <w:rsid w:val="1A556205"/>
    <w:rsid w:val="1A75BCA6"/>
    <w:rsid w:val="1A784586"/>
    <w:rsid w:val="1A7B018E"/>
    <w:rsid w:val="1A7D76C4"/>
    <w:rsid w:val="1AA40F91"/>
    <w:rsid w:val="1AD59DF2"/>
    <w:rsid w:val="1ADD2742"/>
    <w:rsid w:val="1B029B74"/>
    <w:rsid w:val="1B073159"/>
    <w:rsid w:val="1B1390EB"/>
    <w:rsid w:val="1B242648"/>
    <w:rsid w:val="1B29D5E5"/>
    <w:rsid w:val="1B2C482C"/>
    <w:rsid w:val="1B3CE61E"/>
    <w:rsid w:val="1B457089"/>
    <w:rsid w:val="1B559D46"/>
    <w:rsid w:val="1B57B11B"/>
    <w:rsid w:val="1B5D38FA"/>
    <w:rsid w:val="1B98EE5C"/>
    <w:rsid w:val="1B9D0DAD"/>
    <w:rsid w:val="1BA55144"/>
    <w:rsid w:val="1BB08072"/>
    <w:rsid w:val="1BB9B6D4"/>
    <w:rsid w:val="1BDA6690"/>
    <w:rsid w:val="1BE6F219"/>
    <w:rsid w:val="1BEDE4C7"/>
    <w:rsid w:val="1C03880A"/>
    <w:rsid w:val="1C040DFB"/>
    <w:rsid w:val="1C068974"/>
    <w:rsid w:val="1C072246"/>
    <w:rsid w:val="1C0CC3E4"/>
    <w:rsid w:val="1C1DFF14"/>
    <w:rsid w:val="1C297E98"/>
    <w:rsid w:val="1C3951EC"/>
    <w:rsid w:val="1C40E3EA"/>
    <w:rsid w:val="1C4CBFD7"/>
    <w:rsid w:val="1C5E01AF"/>
    <w:rsid w:val="1C608D97"/>
    <w:rsid w:val="1C76B3F2"/>
    <w:rsid w:val="1C78B870"/>
    <w:rsid w:val="1C7C7F28"/>
    <w:rsid w:val="1C7FBE4F"/>
    <w:rsid w:val="1C8767C9"/>
    <w:rsid w:val="1C8C0704"/>
    <w:rsid w:val="1C8F2A88"/>
    <w:rsid w:val="1C933762"/>
    <w:rsid w:val="1C9AC8C3"/>
    <w:rsid w:val="1C9BF55D"/>
    <w:rsid w:val="1CBD5AFD"/>
    <w:rsid w:val="1CCF5410"/>
    <w:rsid w:val="1CE1E338"/>
    <w:rsid w:val="1CEB9DEE"/>
    <w:rsid w:val="1CF3603C"/>
    <w:rsid w:val="1CFD8148"/>
    <w:rsid w:val="1D296053"/>
    <w:rsid w:val="1D2C7A1C"/>
    <w:rsid w:val="1D4A6320"/>
    <w:rsid w:val="1D4D5B46"/>
    <w:rsid w:val="1D512ED8"/>
    <w:rsid w:val="1D57941E"/>
    <w:rsid w:val="1D67CB64"/>
    <w:rsid w:val="1D6B1B22"/>
    <w:rsid w:val="1D781381"/>
    <w:rsid w:val="1D81342B"/>
    <w:rsid w:val="1D8190AA"/>
    <w:rsid w:val="1D82ED7B"/>
    <w:rsid w:val="1DAA6CDA"/>
    <w:rsid w:val="1DC7B04D"/>
    <w:rsid w:val="1DE8F16C"/>
    <w:rsid w:val="1DF33EC9"/>
    <w:rsid w:val="1E04B83A"/>
    <w:rsid w:val="1E06BAB9"/>
    <w:rsid w:val="1E0E5A1A"/>
    <w:rsid w:val="1E13B44E"/>
    <w:rsid w:val="1E1848B2"/>
    <w:rsid w:val="1E2042AA"/>
    <w:rsid w:val="1E27BC2D"/>
    <w:rsid w:val="1E2900DB"/>
    <w:rsid w:val="1E32E86F"/>
    <w:rsid w:val="1E4049E2"/>
    <w:rsid w:val="1E4F398D"/>
    <w:rsid w:val="1E59B04D"/>
    <w:rsid w:val="1E6DD311"/>
    <w:rsid w:val="1E85EA5E"/>
    <w:rsid w:val="1E8BDEAB"/>
    <w:rsid w:val="1E990344"/>
    <w:rsid w:val="1E9F6BCF"/>
    <w:rsid w:val="1EB1B75D"/>
    <w:rsid w:val="1EB9DE97"/>
    <w:rsid w:val="1EBDDAD5"/>
    <w:rsid w:val="1EC3869C"/>
    <w:rsid w:val="1EC3ADB7"/>
    <w:rsid w:val="1EC6BF53"/>
    <w:rsid w:val="1EE0C08E"/>
    <w:rsid w:val="1EEE0E6B"/>
    <w:rsid w:val="1EEEE9DD"/>
    <w:rsid w:val="1EF4966A"/>
    <w:rsid w:val="1F0C4239"/>
    <w:rsid w:val="1F151873"/>
    <w:rsid w:val="1F1A9519"/>
    <w:rsid w:val="1F28ED42"/>
    <w:rsid w:val="1F37BA89"/>
    <w:rsid w:val="1F3D1777"/>
    <w:rsid w:val="1F4E72B1"/>
    <w:rsid w:val="1F5415C5"/>
    <w:rsid w:val="1F698468"/>
    <w:rsid w:val="1F6B102F"/>
    <w:rsid w:val="1F77A87E"/>
    <w:rsid w:val="1F77AA1F"/>
    <w:rsid w:val="1F88CDFC"/>
    <w:rsid w:val="1F99F929"/>
    <w:rsid w:val="1F9BB130"/>
    <w:rsid w:val="1F9D342C"/>
    <w:rsid w:val="1FACDD5A"/>
    <w:rsid w:val="1FB9809E"/>
    <w:rsid w:val="1FBA2F60"/>
    <w:rsid w:val="1FC0F3A4"/>
    <w:rsid w:val="1FC8C1A2"/>
    <w:rsid w:val="1FCD9F21"/>
    <w:rsid w:val="1FE13D9D"/>
    <w:rsid w:val="1FE3E70D"/>
    <w:rsid w:val="1FE5806C"/>
    <w:rsid w:val="1FEC0C31"/>
    <w:rsid w:val="200845A5"/>
    <w:rsid w:val="201B2EA6"/>
    <w:rsid w:val="202577D7"/>
    <w:rsid w:val="202B423B"/>
    <w:rsid w:val="202D42E8"/>
    <w:rsid w:val="203727D2"/>
    <w:rsid w:val="2040F542"/>
    <w:rsid w:val="2046A00F"/>
    <w:rsid w:val="20514730"/>
    <w:rsid w:val="206571D5"/>
    <w:rsid w:val="207989EB"/>
    <w:rsid w:val="207E32B8"/>
    <w:rsid w:val="207F40B8"/>
    <w:rsid w:val="2083F195"/>
    <w:rsid w:val="208CF7F7"/>
    <w:rsid w:val="209627D7"/>
    <w:rsid w:val="209D20AB"/>
    <w:rsid w:val="209F8746"/>
    <w:rsid w:val="20ADBFD9"/>
    <w:rsid w:val="20B7FBA6"/>
    <w:rsid w:val="20BBF869"/>
    <w:rsid w:val="20BD0D65"/>
    <w:rsid w:val="20D3A2FA"/>
    <w:rsid w:val="20DD0123"/>
    <w:rsid w:val="20F49008"/>
    <w:rsid w:val="20FD9DC5"/>
    <w:rsid w:val="210EEED9"/>
    <w:rsid w:val="213E0D56"/>
    <w:rsid w:val="214A2758"/>
    <w:rsid w:val="215963C2"/>
    <w:rsid w:val="216C1A60"/>
    <w:rsid w:val="218B72FF"/>
    <w:rsid w:val="2193D8CA"/>
    <w:rsid w:val="21AFB20F"/>
    <w:rsid w:val="21C91349"/>
    <w:rsid w:val="21CE0E6C"/>
    <w:rsid w:val="21D0F9AF"/>
    <w:rsid w:val="21D275C1"/>
    <w:rsid w:val="21DA0C81"/>
    <w:rsid w:val="21E36B2D"/>
    <w:rsid w:val="21E8A112"/>
    <w:rsid w:val="21EEB099"/>
    <w:rsid w:val="21F7E9AB"/>
    <w:rsid w:val="21FB4C9B"/>
    <w:rsid w:val="22014236"/>
    <w:rsid w:val="22069999"/>
    <w:rsid w:val="2208D878"/>
    <w:rsid w:val="22118B3B"/>
    <w:rsid w:val="22194ADE"/>
    <w:rsid w:val="221FC1F6"/>
    <w:rsid w:val="222FF35F"/>
    <w:rsid w:val="2233A3FE"/>
    <w:rsid w:val="223C5B2D"/>
    <w:rsid w:val="224A41A4"/>
    <w:rsid w:val="224DC162"/>
    <w:rsid w:val="226DBDF0"/>
    <w:rsid w:val="227AC4DC"/>
    <w:rsid w:val="227E710F"/>
    <w:rsid w:val="227F7EBD"/>
    <w:rsid w:val="227F9589"/>
    <w:rsid w:val="2297B18E"/>
    <w:rsid w:val="22AB92F9"/>
    <w:rsid w:val="22C72C08"/>
    <w:rsid w:val="22D32240"/>
    <w:rsid w:val="22D6E057"/>
    <w:rsid w:val="22EBC0AC"/>
    <w:rsid w:val="22F089E8"/>
    <w:rsid w:val="22F2D4D8"/>
    <w:rsid w:val="2301585F"/>
    <w:rsid w:val="230832A5"/>
    <w:rsid w:val="23253837"/>
    <w:rsid w:val="232F516A"/>
    <w:rsid w:val="233E73F9"/>
    <w:rsid w:val="233FE667"/>
    <w:rsid w:val="2348E446"/>
    <w:rsid w:val="235833EE"/>
    <w:rsid w:val="23794741"/>
    <w:rsid w:val="237F0A52"/>
    <w:rsid w:val="23AAF292"/>
    <w:rsid w:val="23AB1B22"/>
    <w:rsid w:val="23B4E3FD"/>
    <w:rsid w:val="23B61049"/>
    <w:rsid w:val="23BA478B"/>
    <w:rsid w:val="23C91F85"/>
    <w:rsid w:val="23CC3FE4"/>
    <w:rsid w:val="23D32E08"/>
    <w:rsid w:val="23D77192"/>
    <w:rsid w:val="23E4C685"/>
    <w:rsid w:val="23E7A463"/>
    <w:rsid w:val="23EFC971"/>
    <w:rsid w:val="2409AF89"/>
    <w:rsid w:val="240ED63B"/>
    <w:rsid w:val="241BFAD5"/>
    <w:rsid w:val="2428B41C"/>
    <w:rsid w:val="243CF58B"/>
    <w:rsid w:val="2446F1A4"/>
    <w:rsid w:val="24496CC4"/>
    <w:rsid w:val="244F6D71"/>
    <w:rsid w:val="2453558C"/>
    <w:rsid w:val="245D71A6"/>
    <w:rsid w:val="2460B989"/>
    <w:rsid w:val="246C7DA5"/>
    <w:rsid w:val="247BA3CD"/>
    <w:rsid w:val="247E3A82"/>
    <w:rsid w:val="247FCF78"/>
    <w:rsid w:val="2482FA08"/>
    <w:rsid w:val="248FAC35"/>
    <w:rsid w:val="249E8595"/>
    <w:rsid w:val="24AB0E68"/>
    <w:rsid w:val="24AE5517"/>
    <w:rsid w:val="24B3E51C"/>
    <w:rsid w:val="24C10898"/>
    <w:rsid w:val="24CB73C5"/>
    <w:rsid w:val="24CBA577"/>
    <w:rsid w:val="24CD768C"/>
    <w:rsid w:val="24CDC041"/>
    <w:rsid w:val="24D32A72"/>
    <w:rsid w:val="24D7779C"/>
    <w:rsid w:val="24E1DFE5"/>
    <w:rsid w:val="24EC8875"/>
    <w:rsid w:val="24F5EA98"/>
    <w:rsid w:val="2500B40B"/>
    <w:rsid w:val="25045265"/>
    <w:rsid w:val="25160688"/>
    <w:rsid w:val="251EF649"/>
    <w:rsid w:val="2529E9E1"/>
    <w:rsid w:val="252BD141"/>
    <w:rsid w:val="252EA976"/>
    <w:rsid w:val="2531AFA4"/>
    <w:rsid w:val="2538E2F8"/>
    <w:rsid w:val="2542366D"/>
    <w:rsid w:val="254429CD"/>
    <w:rsid w:val="254D55E6"/>
    <w:rsid w:val="255369C3"/>
    <w:rsid w:val="2558AE65"/>
    <w:rsid w:val="25798A46"/>
    <w:rsid w:val="257E37A3"/>
    <w:rsid w:val="258DFF60"/>
    <w:rsid w:val="259C8A50"/>
    <w:rsid w:val="25BD4B9D"/>
    <w:rsid w:val="25E761A0"/>
    <w:rsid w:val="25E8DDEC"/>
    <w:rsid w:val="25EE7F8B"/>
    <w:rsid w:val="260A246D"/>
    <w:rsid w:val="260D12B0"/>
    <w:rsid w:val="260F99C5"/>
    <w:rsid w:val="261F0F2F"/>
    <w:rsid w:val="2623616E"/>
    <w:rsid w:val="2631E5FD"/>
    <w:rsid w:val="264C2DCB"/>
    <w:rsid w:val="265CB999"/>
    <w:rsid w:val="267E3423"/>
    <w:rsid w:val="267E62F7"/>
    <w:rsid w:val="269E5290"/>
    <w:rsid w:val="26AC4171"/>
    <w:rsid w:val="26ACC4B6"/>
    <w:rsid w:val="26C8C9B3"/>
    <w:rsid w:val="26E85136"/>
    <w:rsid w:val="26EBD273"/>
    <w:rsid w:val="26ED5A78"/>
    <w:rsid w:val="26EF524B"/>
    <w:rsid w:val="26F36853"/>
    <w:rsid w:val="27290A7B"/>
    <w:rsid w:val="2729A4C0"/>
    <w:rsid w:val="273276CD"/>
    <w:rsid w:val="273BDE00"/>
    <w:rsid w:val="274A7C52"/>
    <w:rsid w:val="27538203"/>
    <w:rsid w:val="27579238"/>
    <w:rsid w:val="275E5246"/>
    <w:rsid w:val="27910B6A"/>
    <w:rsid w:val="27B64992"/>
    <w:rsid w:val="27C3E1B9"/>
    <w:rsid w:val="27E5CDC0"/>
    <w:rsid w:val="280D0FBF"/>
    <w:rsid w:val="280ED709"/>
    <w:rsid w:val="28106927"/>
    <w:rsid w:val="281B7D1D"/>
    <w:rsid w:val="282C12D4"/>
    <w:rsid w:val="283854CD"/>
    <w:rsid w:val="2839368B"/>
    <w:rsid w:val="28399E9C"/>
    <w:rsid w:val="2860483F"/>
    <w:rsid w:val="288AFAC5"/>
    <w:rsid w:val="28920CDE"/>
    <w:rsid w:val="28A48AF1"/>
    <w:rsid w:val="28A59752"/>
    <w:rsid w:val="28C22BB4"/>
    <w:rsid w:val="28CE43B5"/>
    <w:rsid w:val="28E825B0"/>
    <w:rsid w:val="29013A6A"/>
    <w:rsid w:val="2910BEA2"/>
    <w:rsid w:val="2914D62D"/>
    <w:rsid w:val="2920496C"/>
    <w:rsid w:val="2936E561"/>
    <w:rsid w:val="294FB3B6"/>
    <w:rsid w:val="295641A0"/>
    <w:rsid w:val="295FB21A"/>
    <w:rsid w:val="2976E273"/>
    <w:rsid w:val="299D0A66"/>
    <w:rsid w:val="29B14BF6"/>
    <w:rsid w:val="29D4252E"/>
    <w:rsid w:val="29E50566"/>
    <w:rsid w:val="29F47831"/>
    <w:rsid w:val="29F769EC"/>
    <w:rsid w:val="2A07E250"/>
    <w:rsid w:val="2A129EE5"/>
    <w:rsid w:val="2A3D6E2C"/>
    <w:rsid w:val="2A778F95"/>
    <w:rsid w:val="2A836FAE"/>
    <w:rsid w:val="2A874878"/>
    <w:rsid w:val="2A9D0ACB"/>
    <w:rsid w:val="2A9D7A9F"/>
    <w:rsid w:val="2A9DEF86"/>
    <w:rsid w:val="2AD696A2"/>
    <w:rsid w:val="2AD852E5"/>
    <w:rsid w:val="2AE11170"/>
    <w:rsid w:val="2AE9284B"/>
    <w:rsid w:val="2AEDC358"/>
    <w:rsid w:val="2AFA22C3"/>
    <w:rsid w:val="2B03FCAC"/>
    <w:rsid w:val="2B160C96"/>
    <w:rsid w:val="2B2801D7"/>
    <w:rsid w:val="2B33BD09"/>
    <w:rsid w:val="2B376AD9"/>
    <w:rsid w:val="2B3D05EC"/>
    <w:rsid w:val="2B461166"/>
    <w:rsid w:val="2B4D679B"/>
    <w:rsid w:val="2B5E3B54"/>
    <w:rsid w:val="2B6B3019"/>
    <w:rsid w:val="2B7285AB"/>
    <w:rsid w:val="2B7BECEB"/>
    <w:rsid w:val="2B9627DC"/>
    <w:rsid w:val="2BAB06BA"/>
    <w:rsid w:val="2BAD08B3"/>
    <w:rsid w:val="2BC45AF4"/>
    <w:rsid w:val="2BD2EA7F"/>
    <w:rsid w:val="2BDC20D3"/>
    <w:rsid w:val="2BE51E91"/>
    <w:rsid w:val="2BFCDF0E"/>
    <w:rsid w:val="2C0320B4"/>
    <w:rsid w:val="2C0576DB"/>
    <w:rsid w:val="2C2A3DF4"/>
    <w:rsid w:val="2C3420CC"/>
    <w:rsid w:val="2C392D73"/>
    <w:rsid w:val="2C48CA16"/>
    <w:rsid w:val="2C578EE2"/>
    <w:rsid w:val="2C5D99F7"/>
    <w:rsid w:val="2C787971"/>
    <w:rsid w:val="2C79CE9D"/>
    <w:rsid w:val="2C927E6B"/>
    <w:rsid w:val="2C987C61"/>
    <w:rsid w:val="2CA95882"/>
    <w:rsid w:val="2CAAC9AF"/>
    <w:rsid w:val="2CC7EFF0"/>
    <w:rsid w:val="2CCBF1E0"/>
    <w:rsid w:val="2CD719C8"/>
    <w:rsid w:val="2D066C39"/>
    <w:rsid w:val="2D088461"/>
    <w:rsid w:val="2D2E722D"/>
    <w:rsid w:val="2D3CA85F"/>
    <w:rsid w:val="2D3D9677"/>
    <w:rsid w:val="2D419FEF"/>
    <w:rsid w:val="2D41EB9A"/>
    <w:rsid w:val="2D602DB7"/>
    <w:rsid w:val="2D7665E5"/>
    <w:rsid w:val="2D96E355"/>
    <w:rsid w:val="2D98E644"/>
    <w:rsid w:val="2D9A1D8E"/>
    <w:rsid w:val="2DA03DA1"/>
    <w:rsid w:val="2DA61532"/>
    <w:rsid w:val="2DB091CF"/>
    <w:rsid w:val="2DB2B025"/>
    <w:rsid w:val="2DBA90E1"/>
    <w:rsid w:val="2DBD0AB3"/>
    <w:rsid w:val="2DCB7A00"/>
    <w:rsid w:val="2DE83977"/>
    <w:rsid w:val="2DF3E62C"/>
    <w:rsid w:val="2DF56748"/>
    <w:rsid w:val="2DFDE3A0"/>
    <w:rsid w:val="2E013649"/>
    <w:rsid w:val="2E05B1B9"/>
    <w:rsid w:val="2E0B5587"/>
    <w:rsid w:val="2E1ABDBC"/>
    <w:rsid w:val="2E261DA8"/>
    <w:rsid w:val="2E34CF0D"/>
    <w:rsid w:val="2E408935"/>
    <w:rsid w:val="2E4E6307"/>
    <w:rsid w:val="2E4F7FF1"/>
    <w:rsid w:val="2E53A03A"/>
    <w:rsid w:val="2E5CD03E"/>
    <w:rsid w:val="2E66E51D"/>
    <w:rsid w:val="2E6D4ADD"/>
    <w:rsid w:val="2E86EF33"/>
    <w:rsid w:val="2E87CB80"/>
    <w:rsid w:val="2E8BB700"/>
    <w:rsid w:val="2E90E444"/>
    <w:rsid w:val="2E943629"/>
    <w:rsid w:val="2E9B037E"/>
    <w:rsid w:val="2EB37110"/>
    <w:rsid w:val="2ECC1CAD"/>
    <w:rsid w:val="2ECCDBB1"/>
    <w:rsid w:val="2EE0C398"/>
    <w:rsid w:val="2EE34DAD"/>
    <w:rsid w:val="2EF73A6F"/>
    <w:rsid w:val="2EF79BD8"/>
    <w:rsid w:val="2EF7DEBB"/>
    <w:rsid w:val="2EFF16EB"/>
    <w:rsid w:val="2F0F006E"/>
    <w:rsid w:val="2F100E7A"/>
    <w:rsid w:val="2F11C8CF"/>
    <w:rsid w:val="2F1E8E2E"/>
    <w:rsid w:val="2F2082B6"/>
    <w:rsid w:val="2F210917"/>
    <w:rsid w:val="2F2557B8"/>
    <w:rsid w:val="2F4CA038"/>
    <w:rsid w:val="2F4E0AD4"/>
    <w:rsid w:val="2F6B0D24"/>
    <w:rsid w:val="2F6DF3F5"/>
    <w:rsid w:val="2F73AD38"/>
    <w:rsid w:val="2F7BD8A3"/>
    <w:rsid w:val="2F83740E"/>
    <w:rsid w:val="2FB3B984"/>
    <w:rsid w:val="2FBCF5DB"/>
    <w:rsid w:val="2FC0AFA9"/>
    <w:rsid w:val="2FCD76E2"/>
    <w:rsid w:val="2FDD78D7"/>
    <w:rsid w:val="2FEB3C48"/>
    <w:rsid w:val="2FF301FB"/>
    <w:rsid w:val="2FFE6714"/>
    <w:rsid w:val="3002FFD4"/>
    <w:rsid w:val="3010CEC3"/>
    <w:rsid w:val="30173728"/>
    <w:rsid w:val="301AA390"/>
    <w:rsid w:val="302E0BC1"/>
    <w:rsid w:val="3032A77D"/>
    <w:rsid w:val="3058DEDA"/>
    <w:rsid w:val="305AEBAF"/>
    <w:rsid w:val="3064E7FB"/>
    <w:rsid w:val="306B5661"/>
    <w:rsid w:val="306D1FF9"/>
    <w:rsid w:val="30798C5C"/>
    <w:rsid w:val="3085FFD2"/>
    <w:rsid w:val="30ABE599"/>
    <w:rsid w:val="30BEF725"/>
    <w:rsid w:val="30BF8A13"/>
    <w:rsid w:val="30C19F5E"/>
    <w:rsid w:val="30C6BA71"/>
    <w:rsid w:val="30CDED22"/>
    <w:rsid w:val="30D430E6"/>
    <w:rsid w:val="30E620AF"/>
    <w:rsid w:val="30FADE77"/>
    <w:rsid w:val="310C268D"/>
    <w:rsid w:val="310C4C4F"/>
    <w:rsid w:val="3119A120"/>
    <w:rsid w:val="3129BA24"/>
    <w:rsid w:val="31380B63"/>
    <w:rsid w:val="313C6CB8"/>
    <w:rsid w:val="315C585C"/>
    <w:rsid w:val="3160F466"/>
    <w:rsid w:val="3165D3F4"/>
    <w:rsid w:val="31775BCE"/>
    <w:rsid w:val="317CA2FA"/>
    <w:rsid w:val="318012A2"/>
    <w:rsid w:val="318D4CF3"/>
    <w:rsid w:val="31982D85"/>
    <w:rsid w:val="31989A3E"/>
    <w:rsid w:val="319B1C49"/>
    <w:rsid w:val="319E7AE7"/>
    <w:rsid w:val="31A340A4"/>
    <w:rsid w:val="31ABF812"/>
    <w:rsid w:val="31BBF145"/>
    <w:rsid w:val="31C2EE73"/>
    <w:rsid w:val="31C54CC6"/>
    <w:rsid w:val="31CA47FC"/>
    <w:rsid w:val="31DFC0EF"/>
    <w:rsid w:val="31F7A79F"/>
    <w:rsid w:val="323C8E42"/>
    <w:rsid w:val="3253AC6C"/>
    <w:rsid w:val="325A425C"/>
    <w:rsid w:val="326BB1FC"/>
    <w:rsid w:val="32760C1A"/>
    <w:rsid w:val="32792938"/>
    <w:rsid w:val="3296188D"/>
    <w:rsid w:val="32A1E614"/>
    <w:rsid w:val="32A8886E"/>
    <w:rsid w:val="32AAF562"/>
    <w:rsid w:val="32B321ED"/>
    <w:rsid w:val="32BA4443"/>
    <w:rsid w:val="32C2108C"/>
    <w:rsid w:val="32C40C6F"/>
    <w:rsid w:val="32C557B1"/>
    <w:rsid w:val="32CD662A"/>
    <w:rsid w:val="32E05C67"/>
    <w:rsid w:val="32E14117"/>
    <w:rsid w:val="32E63042"/>
    <w:rsid w:val="32EE9C3B"/>
    <w:rsid w:val="32F7EF07"/>
    <w:rsid w:val="33108056"/>
    <w:rsid w:val="33148DF2"/>
    <w:rsid w:val="3320CA75"/>
    <w:rsid w:val="3338EEE6"/>
    <w:rsid w:val="3347C873"/>
    <w:rsid w:val="3347FA2E"/>
    <w:rsid w:val="335ABD6C"/>
    <w:rsid w:val="33647304"/>
    <w:rsid w:val="336B1ED7"/>
    <w:rsid w:val="33895684"/>
    <w:rsid w:val="33B646DE"/>
    <w:rsid w:val="33EAF9A6"/>
    <w:rsid w:val="33F1C92C"/>
    <w:rsid w:val="33F4A8C8"/>
    <w:rsid w:val="33F4AF1B"/>
    <w:rsid w:val="340C462F"/>
    <w:rsid w:val="3426CCC7"/>
    <w:rsid w:val="342CBADC"/>
    <w:rsid w:val="34301C49"/>
    <w:rsid w:val="34321441"/>
    <w:rsid w:val="344458CF"/>
    <w:rsid w:val="344F88C4"/>
    <w:rsid w:val="3469D8EF"/>
    <w:rsid w:val="34740D7A"/>
    <w:rsid w:val="348F2A66"/>
    <w:rsid w:val="34956739"/>
    <w:rsid w:val="34A5A25D"/>
    <w:rsid w:val="34BC07D7"/>
    <w:rsid w:val="34D4381E"/>
    <w:rsid w:val="34D89A1C"/>
    <w:rsid w:val="34E36A68"/>
    <w:rsid w:val="34E3F369"/>
    <w:rsid w:val="34EAFB4F"/>
    <w:rsid w:val="3502C5F7"/>
    <w:rsid w:val="35165411"/>
    <w:rsid w:val="351A6FC8"/>
    <w:rsid w:val="3530716E"/>
    <w:rsid w:val="3534782D"/>
    <w:rsid w:val="3545DE1E"/>
    <w:rsid w:val="354C1565"/>
    <w:rsid w:val="35525FB5"/>
    <w:rsid w:val="35546446"/>
    <w:rsid w:val="3559F2D8"/>
    <w:rsid w:val="3560B4F4"/>
    <w:rsid w:val="35655078"/>
    <w:rsid w:val="35B5642A"/>
    <w:rsid w:val="35B6E96E"/>
    <w:rsid w:val="35DCEB3C"/>
    <w:rsid w:val="36048C5D"/>
    <w:rsid w:val="361B6B14"/>
    <w:rsid w:val="361C3BD8"/>
    <w:rsid w:val="36439954"/>
    <w:rsid w:val="36458B4C"/>
    <w:rsid w:val="3660A17F"/>
    <w:rsid w:val="3661649D"/>
    <w:rsid w:val="36644EE5"/>
    <w:rsid w:val="366C0C70"/>
    <w:rsid w:val="3682196D"/>
    <w:rsid w:val="36959879"/>
    <w:rsid w:val="3697AD52"/>
    <w:rsid w:val="36AB530A"/>
    <w:rsid w:val="36B0A895"/>
    <w:rsid w:val="36BAEEB7"/>
    <w:rsid w:val="36E8CDE0"/>
    <w:rsid w:val="36EE30A9"/>
    <w:rsid w:val="36F3A63D"/>
    <w:rsid w:val="36F860BF"/>
    <w:rsid w:val="36FCF480"/>
    <w:rsid w:val="370C841B"/>
    <w:rsid w:val="371DFB58"/>
    <w:rsid w:val="37285843"/>
    <w:rsid w:val="37344F6F"/>
    <w:rsid w:val="374701F2"/>
    <w:rsid w:val="3751A226"/>
    <w:rsid w:val="37528182"/>
    <w:rsid w:val="37647A2F"/>
    <w:rsid w:val="3766F4B6"/>
    <w:rsid w:val="377BF991"/>
    <w:rsid w:val="3786184F"/>
    <w:rsid w:val="3791D91F"/>
    <w:rsid w:val="379200CE"/>
    <w:rsid w:val="37938AFC"/>
    <w:rsid w:val="37972E5B"/>
    <w:rsid w:val="37A66078"/>
    <w:rsid w:val="37AFD8B7"/>
    <w:rsid w:val="37B5ACD4"/>
    <w:rsid w:val="37B91F36"/>
    <w:rsid w:val="37DD6541"/>
    <w:rsid w:val="37E3F179"/>
    <w:rsid w:val="380AC2A5"/>
    <w:rsid w:val="381448E4"/>
    <w:rsid w:val="3816D16C"/>
    <w:rsid w:val="3832CF43"/>
    <w:rsid w:val="38377E05"/>
    <w:rsid w:val="38445D44"/>
    <w:rsid w:val="385A6F80"/>
    <w:rsid w:val="385E7C05"/>
    <w:rsid w:val="386343B6"/>
    <w:rsid w:val="388B87CB"/>
    <w:rsid w:val="389C20D5"/>
    <w:rsid w:val="38A5FAC0"/>
    <w:rsid w:val="38A7E3FE"/>
    <w:rsid w:val="38D1007D"/>
    <w:rsid w:val="38E38671"/>
    <w:rsid w:val="3922F4A2"/>
    <w:rsid w:val="39345968"/>
    <w:rsid w:val="393F4F0B"/>
    <w:rsid w:val="3949F04A"/>
    <w:rsid w:val="3956B75A"/>
    <w:rsid w:val="3968543B"/>
    <w:rsid w:val="39816C0F"/>
    <w:rsid w:val="39861116"/>
    <w:rsid w:val="398C806F"/>
    <w:rsid w:val="39AF9E86"/>
    <w:rsid w:val="39B8BB16"/>
    <w:rsid w:val="39BB35B5"/>
    <w:rsid w:val="39BD29E7"/>
    <w:rsid w:val="39C1BC73"/>
    <w:rsid w:val="39D9ABAA"/>
    <w:rsid w:val="39DBE14D"/>
    <w:rsid w:val="39DC1B8D"/>
    <w:rsid w:val="39F175CD"/>
    <w:rsid w:val="3A0F4AC5"/>
    <w:rsid w:val="3A16A601"/>
    <w:rsid w:val="3A243821"/>
    <w:rsid w:val="3A38C19B"/>
    <w:rsid w:val="3A39FD51"/>
    <w:rsid w:val="3A40D26C"/>
    <w:rsid w:val="3A468C4A"/>
    <w:rsid w:val="3A4EF635"/>
    <w:rsid w:val="3A5E403F"/>
    <w:rsid w:val="3A65984C"/>
    <w:rsid w:val="3A675F80"/>
    <w:rsid w:val="3A68B545"/>
    <w:rsid w:val="3A6CE6C8"/>
    <w:rsid w:val="3A736AB2"/>
    <w:rsid w:val="3A811490"/>
    <w:rsid w:val="3A95C352"/>
    <w:rsid w:val="3A9B9986"/>
    <w:rsid w:val="3AA13366"/>
    <w:rsid w:val="3AA15C51"/>
    <w:rsid w:val="3AB0C08C"/>
    <w:rsid w:val="3ACC2591"/>
    <w:rsid w:val="3ACEA7C3"/>
    <w:rsid w:val="3AE16816"/>
    <w:rsid w:val="3AE62D73"/>
    <w:rsid w:val="3AED4F9E"/>
    <w:rsid w:val="3AFACCCD"/>
    <w:rsid w:val="3B003B00"/>
    <w:rsid w:val="3B2C4E9E"/>
    <w:rsid w:val="3B356CAD"/>
    <w:rsid w:val="3B437081"/>
    <w:rsid w:val="3B5D8CD4"/>
    <w:rsid w:val="3B60080D"/>
    <w:rsid w:val="3B626C4F"/>
    <w:rsid w:val="3B6F5C6E"/>
    <w:rsid w:val="3B9ED4B9"/>
    <w:rsid w:val="3BA30A02"/>
    <w:rsid w:val="3BABB678"/>
    <w:rsid w:val="3BEF2031"/>
    <w:rsid w:val="3C051962"/>
    <w:rsid w:val="3C06E295"/>
    <w:rsid w:val="3C0904E6"/>
    <w:rsid w:val="3C0D1D83"/>
    <w:rsid w:val="3C2F9815"/>
    <w:rsid w:val="3C48FF82"/>
    <w:rsid w:val="3C4C9B70"/>
    <w:rsid w:val="3C5470AB"/>
    <w:rsid w:val="3C6A316A"/>
    <w:rsid w:val="3C75A6AB"/>
    <w:rsid w:val="3C8E06EC"/>
    <w:rsid w:val="3C91EB58"/>
    <w:rsid w:val="3C9516F0"/>
    <w:rsid w:val="3C9BC418"/>
    <w:rsid w:val="3CB381CE"/>
    <w:rsid w:val="3CC469BA"/>
    <w:rsid w:val="3CDF40E2"/>
    <w:rsid w:val="3CE64209"/>
    <w:rsid w:val="3CFC2958"/>
    <w:rsid w:val="3D123DE8"/>
    <w:rsid w:val="3D13F812"/>
    <w:rsid w:val="3D186230"/>
    <w:rsid w:val="3D1F131D"/>
    <w:rsid w:val="3D230EF0"/>
    <w:rsid w:val="3D543CF9"/>
    <w:rsid w:val="3D617C18"/>
    <w:rsid w:val="3D6713E9"/>
    <w:rsid w:val="3D6CBBFA"/>
    <w:rsid w:val="3D704E80"/>
    <w:rsid w:val="3D7CA51F"/>
    <w:rsid w:val="3D929440"/>
    <w:rsid w:val="3D93A172"/>
    <w:rsid w:val="3DA106C0"/>
    <w:rsid w:val="3DA226BA"/>
    <w:rsid w:val="3DABD362"/>
    <w:rsid w:val="3DB0D07F"/>
    <w:rsid w:val="3DB17DD8"/>
    <w:rsid w:val="3E082152"/>
    <w:rsid w:val="3E14A9F3"/>
    <w:rsid w:val="3E250AEB"/>
    <w:rsid w:val="3E27B3F9"/>
    <w:rsid w:val="3E2DAE77"/>
    <w:rsid w:val="3E3FAD66"/>
    <w:rsid w:val="3E4070BC"/>
    <w:rsid w:val="3E5A546D"/>
    <w:rsid w:val="3E7CB579"/>
    <w:rsid w:val="3EAA5FD4"/>
    <w:rsid w:val="3EAEC097"/>
    <w:rsid w:val="3EB8BF74"/>
    <w:rsid w:val="3EC9326F"/>
    <w:rsid w:val="3ED677ED"/>
    <w:rsid w:val="3EF4A025"/>
    <w:rsid w:val="3F06A331"/>
    <w:rsid w:val="3F0A8E6B"/>
    <w:rsid w:val="3F10AF4B"/>
    <w:rsid w:val="3F145B20"/>
    <w:rsid w:val="3F1B2CDA"/>
    <w:rsid w:val="3F239255"/>
    <w:rsid w:val="3F2DAD9F"/>
    <w:rsid w:val="3F3AD0A3"/>
    <w:rsid w:val="3F52C7F5"/>
    <w:rsid w:val="3F571BD2"/>
    <w:rsid w:val="3F5B28ED"/>
    <w:rsid w:val="3F722D0A"/>
    <w:rsid w:val="3F79B683"/>
    <w:rsid w:val="3F80ED63"/>
    <w:rsid w:val="3F8F9DDD"/>
    <w:rsid w:val="3F8FA31C"/>
    <w:rsid w:val="3FAD476D"/>
    <w:rsid w:val="3FBC329B"/>
    <w:rsid w:val="3FCB2EEF"/>
    <w:rsid w:val="3FD99E24"/>
    <w:rsid w:val="3FDDADD1"/>
    <w:rsid w:val="3FDE994B"/>
    <w:rsid w:val="3FEE4CB5"/>
    <w:rsid w:val="3FFCD5DD"/>
    <w:rsid w:val="40080889"/>
    <w:rsid w:val="40165C21"/>
    <w:rsid w:val="402284F0"/>
    <w:rsid w:val="4022CE3B"/>
    <w:rsid w:val="403D8632"/>
    <w:rsid w:val="404E61C7"/>
    <w:rsid w:val="40573A6F"/>
    <w:rsid w:val="407B2C88"/>
    <w:rsid w:val="4083BB8F"/>
    <w:rsid w:val="40AAAD1D"/>
    <w:rsid w:val="40B2BCD9"/>
    <w:rsid w:val="40BC729D"/>
    <w:rsid w:val="40CC953B"/>
    <w:rsid w:val="40D07FDB"/>
    <w:rsid w:val="40F27D71"/>
    <w:rsid w:val="40FE3ABA"/>
    <w:rsid w:val="41114BDA"/>
    <w:rsid w:val="412535C4"/>
    <w:rsid w:val="412E0423"/>
    <w:rsid w:val="4135AB9E"/>
    <w:rsid w:val="416A7D90"/>
    <w:rsid w:val="416C3198"/>
    <w:rsid w:val="419DF846"/>
    <w:rsid w:val="419F4A31"/>
    <w:rsid w:val="41AEA290"/>
    <w:rsid w:val="41BD7351"/>
    <w:rsid w:val="41BE7127"/>
    <w:rsid w:val="41C87893"/>
    <w:rsid w:val="41FE2241"/>
    <w:rsid w:val="4203D542"/>
    <w:rsid w:val="42058EE4"/>
    <w:rsid w:val="42067075"/>
    <w:rsid w:val="420DB9BF"/>
    <w:rsid w:val="42190BBE"/>
    <w:rsid w:val="42198F07"/>
    <w:rsid w:val="421F868D"/>
    <w:rsid w:val="42240EAE"/>
    <w:rsid w:val="422B871E"/>
    <w:rsid w:val="422BB45F"/>
    <w:rsid w:val="4242F6C2"/>
    <w:rsid w:val="424717AE"/>
    <w:rsid w:val="424B7FAA"/>
    <w:rsid w:val="4256AB39"/>
    <w:rsid w:val="4261A39E"/>
    <w:rsid w:val="42777B32"/>
    <w:rsid w:val="428EE0D1"/>
    <w:rsid w:val="42989EEE"/>
    <w:rsid w:val="429E3810"/>
    <w:rsid w:val="42A7B312"/>
    <w:rsid w:val="42AAD7C4"/>
    <w:rsid w:val="42B4688A"/>
    <w:rsid w:val="42B7BE53"/>
    <w:rsid w:val="42B82426"/>
    <w:rsid w:val="42BDFDFB"/>
    <w:rsid w:val="42BEAC38"/>
    <w:rsid w:val="42C99E94"/>
    <w:rsid w:val="42CB9F55"/>
    <w:rsid w:val="42DE1405"/>
    <w:rsid w:val="42DFC0C3"/>
    <w:rsid w:val="42E532A3"/>
    <w:rsid w:val="42E60C5C"/>
    <w:rsid w:val="42EC82C6"/>
    <w:rsid w:val="4304FCBB"/>
    <w:rsid w:val="43143118"/>
    <w:rsid w:val="433E2238"/>
    <w:rsid w:val="434EC640"/>
    <w:rsid w:val="4356C952"/>
    <w:rsid w:val="4357355D"/>
    <w:rsid w:val="437B2AF1"/>
    <w:rsid w:val="43840CF3"/>
    <w:rsid w:val="43898A5E"/>
    <w:rsid w:val="43978B62"/>
    <w:rsid w:val="4398CFC8"/>
    <w:rsid w:val="43BF5373"/>
    <w:rsid w:val="43C3ABC2"/>
    <w:rsid w:val="43CC9242"/>
    <w:rsid w:val="43D027FC"/>
    <w:rsid w:val="43D4B19E"/>
    <w:rsid w:val="43DA54C9"/>
    <w:rsid w:val="43DB5510"/>
    <w:rsid w:val="43E0677B"/>
    <w:rsid w:val="43ED2498"/>
    <w:rsid w:val="43EEB3A9"/>
    <w:rsid w:val="440531F4"/>
    <w:rsid w:val="440A1002"/>
    <w:rsid w:val="440C3CB0"/>
    <w:rsid w:val="440D18D0"/>
    <w:rsid w:val="441AA4F7"/>
    <w:rsid w:val="443004BD"/>
    <w:rsid w:val="443188E8"/>
    <w:rsid w:val="443DE4A3"/>
    <w:rsid w:val="44565DAF"/>
    <w:rsid w:val="4465571F"/>
    <w:rsid w:val="44656EF5"/>
    <w:rsid w:val="446A0117"/>
    <w:rsid w:val="447F1EC1"/>
    <w:rsid w:val="44AD12B0"/>
    <w:rsid w:val="44BF0D5C"/>
    <w:rsid w:val="44D0DD92"/>
    <w:rsid w:val="44D818DC"/>
    <w:rsid w:val="44DF2AD6"/>
    <w:rsid w:val="450A861B"/>
    <w:rsid w:val="45105880"/>
    <w:rsid w:val="452E0D18"/>
    <w:rsid w:val="4562DA35"/>
    <w:rsid w:val="45663FFD"/>
    <w:rsid w:val="456908D8"/>
    <w:rsid w:val="456AD3CD"/>
    <w:rsid w:val="458293DF"/>
    <w:rsid w:val="45847763"/>
    <w:rsid w:val="45899E83"/>
    <w:rsid w:val="459C4F7B"/>
    <w:rsid w:val="459F0511"/>
    <w:rsid w:val="45A0725B"/>
    <w:rsid w:val="45CA0D68"/>
    <w:rsid w:val="45CF69D0"/>
    <w:rsid w:val="45DBD43A"/>
    <w:rsid w:val="45F64CFA"/>
    <w:rsid w:val="4606DE26"/>
    <w:rsid w:val="4612E4BC"/>
    <w:rsid w:val="462F4CAE"/>
    <w:rsid w:val="463F87E5"/>
    <w:rsid w:val="4642A116"/>
    <w:rsid w:val="464B24A2"/>
    <w:rsid w:val="465E30A9"/>
    <w:rsid w:val="4670151C"/>
    <w:rsid w:val="467152C5"/>
    <w:rsid w:val="4678E5AA"/>
    <w:rsid w:val="4685F327"/>
    <w:rsid w:val="469DD51A"/>
    <w:rsid w:val="46A04774"/>
    <w:rsid w:val="46A5C6DE"/>
    <w:rsid w:val="46AEEE9A"/>
    <w:rsid w:val="46BC89A9"/>
    <w:rsid w:val="46C37061"/>
    <w:rsid w:val="46C8E1CC"/>
    <w:rsid w:val="46CEE8D8"/>
    <w:rsid w:val="46D30CA0"/>
    <w:rsid w:val="46F007ED"/>
    <w:rsid w:val="46F17364"/>
    <w:rsid w:val="46F4030D"/>
    <w:rsid w:val="4711B516"/>
    <w:rsid w:val="47204E29"/>
    <w:rsid w:val="4726B912"/>
    <w:rsid w:val="472BF05E"/>
    <w:rsid w:val="473B1E57"/>
    <w:rsid w:val="474F357D"/>
    <w:rsid w:val="4757C484"/>
    <w:rsid w:val="475CE26F"/>
    <w:rsid w:val="47758565"/>
    <w:rsid w:val="47A6004D"/>
    <w:rsid w:val="47A8A9A9"/>
    <w:rsid w:val="47C0D767"/>
    <w:rsid w:val="47CAB896"/>
    <w:rsid w:val="47D36B09"/>
    <w:rsid w:val="47D3D2D7"/>
    <w:rsid w:val="47DC05FB"/>
    <w:rsid w:val="47EC71A8"/>
    <w:rsid w:val="480CAF94"/>
    <w:rsid w:val="481F7714"/>
    <w:rsid w:val="482A78F1"/>
    <w:rsid w:val="4848CD57"/>
    <w:rsid w:val="485FB6CE"/>
    <w:rsid w:val="48630C15"/>
    <w:rsid w:val="486FD9C7"/>
    <w:rsid w:val="48925E86"/>
    <w:rsid w:val="489856A2"/>
    <w:rsid w:val="48A30F07"/>
    <w:rsid w:val="48BC5840"/>
    <w:rsid w:val="48CE017F"/>
    <w:rsid w:val="48D6B567"/>
    <w:rsid w:val="48D7C1EE"/>
    <w:rsid w:val="48DE419F"/>
    <w:rsid w:val="48E548E8"/>
    <w:rsid w:val="48FA1DD9"/>
    <w:rsid w:val="491159E4"/>
    <w:rsid w:val="4937E303"/>
    <w:rsid w:val="4942F8EB"/>
    <w:rsid w:val="494F2948"/>
    <w:rsid w:val="49505D08"/>
    <w:rsid w:val="495A2447"/>
    <w:rsid w:val="49644746"/>
    <w:rsid w:val="4989CE1A"/>
    <w:rsid w:val="4993511F"/>
    <w:rsid w:val="4995CDB8"/>
    <w:rsid w:val="49A65D68"/>
    <w:rsid w:val="49B30B66"/>
    <w:rsid w:val="49C37FC2"/>
    <w:rsid w:val="49CFF048"/>
    <w:rsid w:val="49E92380"/>
    <w:rsid w:val="49F911BD"/>
    <w:rsid w:val="4A016A73"/>
    <w:rsid w:val="4A16E864"/>
    <w:rsid w:val="4A42A692"/>
    <w:rsid w:val="4A4302EC"/>
    <w:rsid w:val="4A43E353"/>
    <w:rsid w:val="4A613636"/>
    <w:rsid w:val="4A6AB32E"/>
    <w:rsid w:val="4AA0BBE4"/>
    <w:rsid w:val="4AA68103"/>
    <w:rsid w:val="4ABD5DD5"/>
    <w:rsid w:val="4AD7F4BC"/>
    <w:rsid w:val="4AEA3B02"/>
    <w:rsid w:val="4AFBEE5A"/>
    <w:rsid w:val="4AFC4B63"/>
    <w:rsid w:val="4AFDFA31"/>
    <w:rsid w:val="4B1AC9E2"/>
    <w:rsid w:val="4B28D73D"/>
    <w:rsid w:val="4B2B7839"/>
    <w:rsid w:val="4B2C7834"/>
    <w:rsid w:val="4B30BE4C"/>
    <w:rsid w:val="4B505725"/>
    <w:rsid w:val="4B72616D"/>
    <w:rsid w:val="4BA1F3A1"/>
    <w:rsid w:val="4BACCAF7"/>
    <w:rsid w:val="4BB2B8C5"/>
    <w:rsid w:val="4BBB0411"/>
    <w:rsid w:val="4BBDA6B9"/>
    <w:rsid w:val="4BCE19D7"/>
    <w:rsid w:val="4BD12E27"/>
    <w:rsid w:val="4BD40D5E"/>
    <w:rsid w:val="4C059B75"/>
    <w:rsid w:val="4C093AF8"/>
    <w:rsid w:val="4C12D0F9"/>
    <w:rsid w:val="4C2FCE2B"/>
    <w:rsid w:val="4C302541"/>
    <w:rsid w:val="4C32B16C"/>
    <w:rsid w:val="4C34CCF2"/>
    <w:rsid w:val="4C3A32AB"/>
    <w:rsid w:val="4C54E63C"/>
    <w:rsid w:val="4C599AC9"/>
    <w:rsid w:val="4C669087"/>
    <w:rsid w:val="4C6A8B0F"/>
    <w:rsid w:val="4C88DE43"/>
    <w:rsid w:val="4C97AFE8"/>
    <w:rsid w:val="4CA040FA"/>
    <w:rsid w:val="4CB73CB3"/>
    <w:rsid w:val="4CDACB61"/>
    <w:rsid w:val="4CDF1031"/>
    <w:rsid w:val="4CE7BBF5"/>
    <w:rsid w:val="4CEA5AEA"/>
    <w:rsid w:val="4CF96025"/>
    <w:rsid w:val="4CFA4421"/>
    <w:rsid w:val="4D0BE593"/>
    <w:rsid w:val="4D0CF9DC"/>
    <w:rsid w:val="4D1FC05F"/>
    <w:rsid w:val="4D3495F3"/>
    <w:rsid w:val="4D4CF747"/>
    <w:rsid w:val="4D4F8DD1"/>
    <w:rsid w:val="4D52B89E"/>
    <w:rsid w:val="4D595171"/>
    <w:rsid w:val="4D757D57"/>
    <w:rsid w:val="4DA4B1D0"/>
    <w:rsid w:val="4DAC59A4"/>
    <w:rsid w:val="4DB41E02"/>
    <w:rsid w:val="4DB42FCE"/>
    <w:rsid w:val="4DB947F0"/>
    <w:rsid w:val="4DBABDF3"/>
    <w:rsid w:val="4DD38C12"/>
    <w:rsid w:val="4DF4294C"/>
    <w:rsid w:val="4DF4441A"/>
    <w:rsid w:val="4DF7049A"/>
    <w:rsid w:val="4DF77558"/>
    <w:rsid w:val="4DFA3291"/>
    <w:rsid w:val="4DFAF894"/>
    <w:rsid w:val="4DFE145C"/>
    <w:rsid w:val="4E0642D3"/>
    <w:rsid w:val="4E094C65"/>
    <w:rsid w:val="4E16F9A6"/>
    <w:rsid w:val="4E332771"/>
    <w:rsid w:val="4E3C17E5"/>
    <w:rsid w:val="4E3C43B6"/>
    <w:rsid w:val="4E4DCA0F"/>
    <w:rsid w:val="4E6737E3"/>
    <w:rsid w:val="4E755B84"/>
    <w:rsid w:val="4E7867BA"/>
    <w:rsid w:val="4E7A17DE"/>
    <w:rsid w:val="4E80AA0D"/>
    <w:rsid w:val="4E86CE36"/>
    <w:rsid w:val="4EA7B5F4"/>
    <w:rsid w:val="4EACA371"/>
    <w:rsid w:val="4EAE3F29"/>
    <w:rsid w:val="4EAE48BA"/>
    <w:rsid w:val="4EB2EC89"/>
    <w:rsid w:val="4EC8B951"/>
    <w:rsid w:val="4ED3343E"/>
    <w:rsid w:val="4ED8F99C"/>
    <w:rsid w:val="4EED665E"/>
    <w:rsid w:val="4EEF3F86"/>
    <w:rsid w:val="4EF4D36D"/>
    <w:rsid w:val="4EFCD74E"/>
    <w:rsid w:val="4F039E9E"/>
    <w:rsid w:val="4F078666"/>
    <w:rsid w:val="4F19F900"/>
    <w:rsid w:val="4F1AE20C"/>
    <w:rsid w:val="4F24AD4B"/>
    <w:rsid w:val="4F2FEF2E"/>
    <w:rsid w:val="4F382429"/>
    <w:rsid w:val="4F57E423"/>
    <w:rsid w:val="4F642093"/>
    <w:rsid w:val="4F81CA85"/>
    <w:rsid w:val="4F8935AE"/>
    <w:rsid w:val="4F8F844A"/>
    <w:rsid w:val="4F92E1A0"/>
    <w:rsid w:val="4F9A0760"/>
    <w:rsid w:val="4F9BEC59"/>
    <w:rsid w:val="4FA9A1DB"/>
    <w:rsid w:val="4FAAED10"/>
    <w:rsid w:val="4FCA4DB9"/>
    <w:rsid w:val="4FE618DF"/>
    <w:rsid w:val="4FFFE957"/>
    <w:rsid w:val="500902AC"/>
    <w:rsid w:val="500A3DE4"/>
    <w:rsid w:val="5010B41F"/>
    <w:rsid w:val="502C35F6"/>
    <w:rsid w:val="503648DC"/>
    <w:rsid w:val="505A2C61"/>
    <w:rsid w:val="507BC834"/>
    <w:rsid w:val="50895A75"/>
    <w:rsid w:val="5089AF55"/>
    <w:rsid w:val="5089F04C"/>
    <w:rsid w:val="509DAB0E"/>
    <w:rsid w:val="509F6EFF"/>
    <w:rsid w:val="50C493C2"/>
    <w:rsid w:val="50C4B2AE"/>
    <w:rsid w:val="50CB62F4"/>
    <w:rsid w:val="50F4CAA5"/>
    <w:rsid w:val="50F6A87F"/>
    <w:rsid w:val="50F6D50B"/>
    <w:rsid w:val="512D2DCB"/>
    <w:rsid w:val="5135C8D8"/>
    <w:rsid w:val="5140ED27"/>
    <w:rsid w:val="514112D0"/>
    <w:rsid w:val="51632F9A"/>
    <w:rsid w:val="519FE810"/>
    <w:rsid w:val="51A18469"/>
    <w:rsid w:val="51A65E40"/>
    <w:rsid w:val="51ABBF74"/>
    <w:rsid w:val="51AE5E74"/>
    <w:rsid w:val="51B09E50"/>
    <w:rsid w:val="51B29FC4"/>
    <w:rsid w:val="51B8B0B9"/>
    <w:rsid w:val="51BD9CA2"/>
    <w:rsid w:val="51CDFFA9"/>
    <w:rsid w:val="51D65200"/>
    <w:rsid w:val="51E989D1"/>
    <w:rsid w:val="5203133C"/>
    <w:rsid w:val="522883B0"/>
    <w:rsid w:val="52434C72"/>
    <w:rsid w:val="524625AF"/>
    <w:rsid w:val="52764BA5"/>
    <w:rsid w:val="527FBAF6"/>
    <w:rsid w:val="528D4E56"/>
    <w:rsid w:val="529993A9"/>
    <w:rsid w:val="529C1658"/>
    <w:rsid w:val="52C34C9C"/>
    <w:rsid w:val="52DBC467"/>
    <w:rsid w:val="52F1C3DA"/>
    <w:rsid w:val="530350FD"/>
    <w:rsid w:val="530BE619"/>
    <w:rsid w:val="53362E6E"/>
    <w:rsid w:val="533BB871"/>
    <w:rsid w:val="533F130C"/>
    <w:rsid w:val="5350E71F"/>
    <w:rsid w:val="535E855D"/>
    <w:rsid w:val="5360FFB2"/>
    <w:rsid w:val="5365691C"/>
    <w:rsid w:val="5365A21F"/>
    <w:rsid w:val="5374BA41"/>
    <w:rsid w:val="537757F8"/>
    <w:rsid w:val="53875A8E"/>
    <w:rsid w:val="538A94B1"/>
    <w:rsid w:val="5391823C"/>
    <w:rsid w:val="539A65BD"/>
    <w:rsid w:val="53A4A24D"/>
    <w:rsid w:val="53B7F58E"/>
    <w:rsid w:val="53C26ACB"/>
    <w:rsid w:val="53C44471"/>
    <w:rsid w:val="53D7B4B9"/>
    <w:rsid w:val="53D7DC05"/>
    <w:rsid w:val="53DCCC24"/>
    <w:rsid w:val="53ED965A"/>
    <w:rsid w:val="53EE394C"/>
    <w:rsid w:val="53F5C55E"/>
    <w:rsid w:val="54177EA3"/>
    <w:rsid w:val="54241D92"/>
    <w:rsid w:val="5425BF42"/>
    <w:rsid w:val="54282152"/>
    <w:rsid w:val="542E0EC0"/>
    <w:rsid w:val="546485A1"/>
    <w:rsid w:val="5466FDEC"/>
    <w:rsid w:val="546F2A30"/>
    <w:rsid w:val="5477036F"/>
    <w:rsid w:val="547EE857"/>
    <w:rsid w:val="5489654D"/>
    <w:rsid w:val="548D31BA"/>
    <w:rsid w:val="54AEB75F"/>
    <w:rsid w:val="54BA321D"/>
    <w:rsid w:val="54BA93E3"/>
    <w:rsid w:val="54CDA902"/>
    <w:rsid w:val="54F32022"/>
    <w:rsid w:val="54F60E04"/>
    <w:rsid w:val="54FD464E"/>
    <w:rsid w:val="55167995"/>
    <w:rsid w:val="551D33C6"/>
    <w:rsid w:val="552EBF7C"/>
    <w:rsid w:val="552F0DF5"/>
    <w:rsid w:val="5552BCC1"/>
    <w:rsid w:val="5558C843"/>
    <w:rsid w:val="55754768"/>
    <w:rsid w:val="5579D305"/>
    <w:rsid w:val="558A9F4D"/>
    <w:rsid w:val="5590D4EF"/>
    <w:rsid w:val="55959821"/>
    <w:rsid w:val="559CE92E"/>
    <w:rsid w:val="55BBFD58"/>
    <w:rsid w:val="55C7FD2F"/>
    <w:rsid w:val="55CE191B"/>
    <w:rsid w:val="55DB7810"/>
    <w:rsid w:val="55DE581F"/>
    <w:rsid w:val="55DEF3CD"/>
    <w:rsid w:val="55E2A025"/>
    <w:rsid w:val="55E5A17A"/>
    <w:rsid w:val="55F6D0AC"/>
    <w:rsid w:val="5601A4A8"/>
    <w:rsid w:val="560626E4"/>
    <w:rsid w:val="560B48C7"/>
    <w:rsid w:val="5618C576"/>
    <w:rsid w:val="561B92B8"/>
    <w:rsid w:val="56366229"/>
    <w:rsid w:val="565E1E49"/>
    <w:rsid w:val="566D1089"/>
    <w:rsid w:val="567B4058"/>
    <w:rsid w:val="569F6844"/>
    <w:rsid w:val="56A128C8"/>
    <w:rsid w:val="56A46FB1"/>
    <w:rsid w:val="56AC3A55"/>
    <w:rsid w:val="56AE1029"/>
    <w:rsid w:val="56BD8682"/>
    <w:rsid w:val="56CD5882"/>
    <w:rsid w:val="56D17502"/>
    <w:rsid w:val="56D3C222"/>
    <w:rsid w:val="56E43470"/>
    <w:rsid w:val="570226B6"/>
    <w:rsid w:val="5708B1F5"/>
    <w:rsid w:val="57102410"/>
    <w:rsid w:val="57176B22"/>
    <w:rsid w:val="5720768F"/>
    <w:rsid w:val="57269249"/>
    <w:rsid w:val="5728C8DF"/>
    <w:rsid w:val="572ECE24"/>
    <w:rsid w:val="574F0342"/>
    <w:rsid w:val="575DDC78"/>
    <w:rsid w:val="57633EB4"/>
    <w:rsid w:val="57646B94"/>
    <w:rsid w:val="576E99DE"/>
    <w:rsid w:val="576EF9CE"/>
    <w:rsid w:val="577FCC95"/>
    <w:rsid w:val="5784A2EB"/>
    <w:rsid w:val="5791C4C3"/>
    <w:rsid w:val="57BE3657"/>
    <w:rsid w:val="57E3BB73"/>
    <w:rsid w:val="57E61A8C"/>
    <w:rsid w:val="57F2B25D"/>
    <w:rsid w:val="58040A61"/>
    <w:rsid w:val="58166AF3"/>
    <w:rsid w:val="582BC17C"/>
    <w:rsid w:val="582ECF69"/>
    <w:rsid w:val="5851B759"/>
    <w:rsid w:val="585CED78"/>
    <w:rsid w:val="586B6491"/>
    <w:rsid w:val="586F8ACE"/>
    <w:rsid w:val="588DD088"/>
    <w:rsid w:val="58912816"/>
    <w:rsid w:val="589B3526"/>
    <w:rsid w:val="58B4D773"/>
    <w:rsid w:val="58B8B784"/>
    <w:rsid w:val="58B984E6"/>
    <w:rsid w:val="58BBE94E"/>
    <w:rsid w:val="58C8D5BC"/>
    <w:rsid w:val="58D3953A"/>
    <w:rsid w:val="58D53E07"/>
    <w:rsid w:val="58D69508"/>
    <w:rsid w:val="58E595D2"/>
    <w:rsid w:val="58E8D533"/>
    <w:rsid w:val="58F10AA1"/>
    <w:rsid w:val="590B594D"/>
    <w:rsid w:val="59169651"/>
    <w:rsid w:val="59321EFF"/>
    <w:rsid w:val="593AF772"/>
    <w:rsid w:val="593CAB9D"/>
    <w:rsid w:val="59415302"/>
    <w:rsid w:val="5941DA4D"/>
    <w:rsid w:val="595096F6"/>
    <w:rsid w:val="595A5E50"/>
    <w:rsid w:val="595FBAB5"/>
    <w:rsid w:val="59628B5A"/>
    <w:rsid w:val="5984DCF4"/>
    <w:rsid w:val="5984F86B"/>
    <w:rsid w:val="598BF670"/>
    <w:rsid w:val="59974E1A"/>
    <w:rsid w:val="59CB2602"/>
    <w:rsid w:val="59D62726"/>
    <w:rsid w:val="59DAC596"/>
    <w:rsid w:val="59EA689B"/>
    <w:rsid w:val="5A2254EB"/>
    <w:rsid w:val="5A2C9E3C"/>
    <w:rsid w:val="5A2FEAA6"/>
    <w:rsid w:val="5A3B9259"/>
    <w:rsid w:val="5A5D6D42"/>
    <w:rsid w:val="5A68D26D"/>
    <w:rsid w:val="5A77777D"/>
    <w:rsid w:val="5A9EB9DE"/>
    <w:rsid w:val="5AA49558"/>
    <w:rsid w:val="5AAB4B57"/>
    <w:rsid w:val="5AAEF9E1"/>
    <w:rsid w:val="5AB20F1A"/>
    <w:rsid w:val="5AB2B610"/>
    <w:rsid w:val="5ABB67FE"/>
    <w:rsid w:val="5AD60181"/>
    <w:rsid w:val="5AE1BDBE"/>
    <w:rsid w:val="5AE5335E"/>
    <w:rsid w:val="5AEDBF7C"/>
    <w:rsid w:val="5AF4DE73"/>
    <w:rsid w:val="5AF9FA66"/>
    <w:rsid w:val="5AFBA0CE"/>
    <w:rsid w:val="5B042F88"/>
    <w:rsid w:val="5B0A1A50"/>
    <w:rsid w:val="5B0FB90A"/>
    <w:rsid w:val="5B15B914"/>
    <w:rsid w:val="5B231151"/>
    <w:rsid w:val="5B26FBB7"/>
    <w:rsid w:val="5B2F2126"/>
    <w:rsid w:val="5B3DA7FC"/>
    <w:rsid w:val="5B474C85"/>
    <w:rsid w:val="5B527E33"/>
    <w:rsid w:val="5B52C011"/>
    <w:rsid w:val="5B681ABE"/>
    <w:rsid w:val="5B6A6833"/>
    <w:rsid w:val="5B793FF6"/>
    <w:rsid w:val="5B920238"/>
    <w:rsid w:val="5BB07D5D"/>
    <w:rsid w:val="5BB22C2B"/>
    <w:rsid w:val="5BC0E09E"/>
    <w:rsid w:val="5BC2A2CC"/>
    <w:rsid w:val="5BD12A89"/>
    <w:rsid w:val="5BDD98E9"/>
    <w:rsid w:val="5BDDB4AD"/>
    <w:rsid w:val="5BE7147D"/>
    <w:rsid w:val="5BE80ED4"/>
    <w:rsid w:val="5BEF6D7D"/>
    <w:rsid w:val="5BF80D30"/>
    <w:rsid w:val="5C0508F3"/>
    <w:rsid w:val="5C05887B"/>
    <w:rsid w:val="5C174143"/>
    <w:rsid w:val="5C199236"/>
    <w:rsid w:val="5C4DDF7B"/>
    <w:rsid w:val="5C748744"/>
    <w:rsid w:val="5C82291C"/>
    <w:rsid w:val="5C8E9E97"/>
    <w:rsid w:val="5C91A77A"/>
    <w:rsid w:val="5C991C57"/>
    <w:rsid w:val="5CAE6E5F"/>
    <w:rsid w:val="5CB23890"/>
    <w:rsid w:val="5CB28961"/>
    <w:rsid w:val="5CB2F1D2"/>
    <w:rsid w:val="5CB657E7"/>
    <w:rsid w:val="5CC7DA20"/>
    <w:rsid w:val="5CD6B1AA"/>
    <w:rsid w:val="5CE3273E"/>
    <w:rsid w:val="5CE37E22"/>
    <w:rsid w:val="5CE52F13"/>
    <w:rsid w:val="5CE68DC7"/>
    <w:rsid w:val="5D0FF1A5"/>
    <w:rsid w:val="5D14E773"/>
    <w:rsid w:val="5D218040"/>
    <w:rsid w:val="5D22095D"/>
    <w:rsid w:val="5D2DAD1A"/>
    <w:rsid w:val="5D300737"/>
    <w:rsid w:val="5D308569"/>
    <w:rsid w:val="5D31E570"/>
    <w:rsid w:val="5D44C807"/>
    <w:rsid w:val="5D57B9D7"/>
    <w:rsid w:val="5D5E9A20"/>
    <w:rsid w:val="5D60AD4F"/>
    <w:rsid w:val="5D658E52"/>
    <w:rsid w:val="5D76E0F9"/>
    <w:rsid w:val="5D7D9960"/>
    <w:rsid w:val="5D942BE5"/>
    <w:rsid w:val="5D992A0D"/>
    <w:rsid w:val="5DA557C8"/>
    <w:rsid w:val="5DB2C1B8"/>
    <w:rsid w:val="5DC88948"/>
    <w:rsid w:val="5DCAB942"/>
    <w:rsid w:val="5DD3F2A6"/>
    <w:rsid w:val="5DF940C4"/>
    <w:rsid w:val="5DFB6BB9"/>
    <w:rsid w:val="5E0288DF"/>
    <w:rsid w:val="5E251772"/>
    <w:rsid w:val="5E2C83C9"/>
    <w:rsid w:val="5E374273"/>
    <w:rsid w:val="5E3C7148"/>
    <w:rsid w:val="5E3F8DEF"/>
    <w:rsid w:val="5E4D6B0C"/>
    <w:rsid w:val="5E5BB67B"/>
    <w:rsid w:val="5E5D52DC"/>
    <w:rsid w:val="5E5EDA2C"/>
    <w:rsid w:val="5E60DFDD"/>
    <w:rsid w:val="5E61E135"/>
    <w:rsid w:val="5E633F72"/>
    <w:rsid w:val="5E635DD7"/>
    <w:rsid w:val="5E6E2E51"/>
    <w:rsid w:val="5E73B91F"/>
    <w:rsid w:val="5E74AFEB"/>
    <w:rsid w:val="5E7EED47"/>
    <w:rsid w:val="5EA37693"/>
    <w:rsid w:val="5EA87614"/>
    <w:rsid w:val="5EA9A5E5"/>
    <w:rsid w:val="5EACC9E8"/>
    <w:rsid w:val="5EB32FF4"/>
    <w:rsid w:val="5EB48256"/>
    <w:rsid w:val="5EC94FA4"/>
    <w:rsid w:val="5ECB08AC"/>
    <w:rsid w:val="5ECCAE94"/>
    <w:rsid w:val="5EE9EAD8"/>
    <w:rsid w:val="5EFD0F9B"/>
    <w:rsid w:val="5F05D1EC"/>
    <w:rsid w:val="5F10567A"/>
    <w:rsid w:val="5F304901"/>
    <w:rsid w:val="5F41451B"/>
    <w:rsid w:val="5F4C2B2B"/>
    <w:rsid w:val="5F53BC1D"/>
    <w:rsid w:val="5F6202AD"/>
    <w:rsid w:val="5F6BB506"/>
    <w:rsid w:val="5F99DC90"/>
    <w:rsid w:val="5FA7B2C2"/>
    <w:rsid w:val="5FAAD1C2"/>
    <w:rsid w:val="5FAE6D35"/>
    <w:rsid w:val="5FB0AB8E"/>
    <w:rsid w:val="5FB3C907"/>
    <w:rsid w:val="5FB4CB1B"/>
    <w:rsid w:val="5FBE769D"/>
    <w:rsid w:val="5FC0B19A"/>
    <w:rsid w:val="5FC82FDC"/>
    <w:rsid w:val="5FE40EC8"/>
    <w:rsid w:val="5FEB4B16"/>
    <w:rsid w:val="5FF38171"/>
    <w:rsid w:val="5FF67657"/>
    <w:rsid w:val="5FF78188"/>
    <w:rsid w:val="601BBE9F"/>
    <w:rsid w:val="601DF00F"/>
    <w:rsid w:val="6020A3F3"/>
    <w:rsid w:val="6027B8AF"/>
    <w:rsid w:val="602A1DAB"/>
    <w:rsid w:val="602E2D43"/>
    <w:rsid w:val="602F917C"/>
    <w:rsid w:val="60365DB3"/>
    <w:rsid w:val="603BBA22"/>
    <w:rsid w:val="603D6E07"/>
    <w:rsid w:val="6042ECB5"/>
    <w:rsid w:val="60622D4B"/>
    <w:rsid w:val="60852D9F"/>
    <w:rsid w:val="608685BC"/>
    <w:rsid w:val="6088143E"/>
    <w:rsid w:val="608A1289"/>
    <w:rsid w:val="608DD9A2"/>
    <w:rsid w:val="60A44D5A"/>
    <w:rsid w:val="60C16280"/>
    <w:rsid w:val="60C6975D"/>
    <w:rsid w:val="60CC1962"/>
    <w:rsid w:val="60CE200C"/>
    <w:rsid w:val="60D10762"/>
    <w:rsid w:val="60DD3EF0"/>
    <w:rsid w:val="60DE1B0F"/>
    <w:rsid w:val="60E083B7"/>
    <w:rsid w:val="60EF3AFB"/>
    <w:rsid w:val="60EFE307"/>
    <w:rsid w:val="60FB6B33"/>
    <w:rsid w:val="60FDFFAF"/>
    <w:rsid w:val="613E4F2C"/>
    <w:rsid w:val="617177D3"/>
    <w:rsid w:val="6185FA84"/>
    <w:rsid w:val="618CB81F"/>
    <w:rsid w:val="618CDB43"/>
    <w:rsid w:val="6196802D"/>
    <w:rsid w:val="61C88357"/>
    <w:rsid w:val="61CF9FB9"/>
    <w:rsid w:val="61D1A32A"/>
    <w:rsid w:val="61E086F9"/>
    <w:rsid w:val="61F0A7CD"/>
    <w:rsid w:val="61F9897B"/>
    <w:rsid w:val="6200BBC8"/>
    <w:rsid w:val="6201A875"/>
    <w:rsid w:val="6201B437"/>
    <w:rsid w:val="620AAAA5"/>
    <w:rsid w:val="621D8609"/>
    <w:rsid w:val="6226F723"/>
    <w:rsid w:val="622B43DB"/>
    <w:rsid w:val="624481FB"/>
    <w:rsid w:val="625DB24A"/>
    <w:rsid w:val="62618D35"/>
    <w:rsid w:val="62644EF1"/>
    <w:rsid w:val="626D0780"/>
    <w:rsid w:val="62897946"/>
    <w:rsid w:val="628B9CA5"/>
    <w:rsid w:val="62952DA0"/>
    <w:rsid w:val="62A068F2"/>
    <w:rsid w:val="62B25CD0"/>
    <w:rsid w:val="62BE8368"/>
    <w:rsid w:val="62C30195"/>
    <w:rsid w:val="62C740EC"/>
    <w:rsid w:val="62D9E762"/>
    <w:rsid w:val="62DD0BC9"/>
    <w:rsid w:val="62EEAB56"/>
    <w:rsid w:val="62F452A2"/>
    <w:rsid w:val="62F5C5CC"/>
    <w:rsid w:val="62FBC77D"/>
    <w:rsid w:val="63022AEC"/>
    <w:rsid w:val="63034E12"/>
    <w:rsid w:val="63043FA6"/>
    <w:rsid w:val="6313191D"/>
    <w:rsid w:val="632ECA2F"/>
    <w:rsid w:val="633EB137"/>
    <w:rsid w:val="633F69F7"/>
    <w:rsid w:val="634BC577"/>
    <w:rsid w:val="634EFEB1"/>
    <w:rsid w:val="636561BB"/>
    <w:rsid w:val="6368227A"/>
    <w:rsid w:val="637E3D56"/>
    <w:rsid w:val="637F79E1"/>
    <w:rsid w:val="63B250BF"/>
    <w:rsid w:val="63BD4D93"/>
    <w:rsid w:val="63C84161"/>
    <w:rsid w:val="63F484C9"/>
    <w:rsid w:val="640284CF"/>
    <w:rsid w:val="640A9B8F"/>
    <w:rsid w:val="64201569"/>
    <w:rsid w:val="642DFEC1"/>
    <w:rsid w:val="644949C4"/>
    <w:rsid w:val="644E1FDD"/>
    <w:rsid w:val="64509293"/>
    <w:rsid w:val="646230CE"/>
    <w:rsid w:val="64756E0E"/>
    <w:rsid w:val="647F729C"/>
    <w:rsid w:val="6487E230"/>
    <w:rsid w:val="64A12F64"/>
    <w:rsid w:val="64AAC60E"/>
    <w:rsid w:val="64AEE97E"/>
    <w:rsid w:val="64BD2B0F"/>
    <w:rsid w:val="64BD9B46"/>
    <w:rsid w:val="64CB9841"/>
    <w:rsid w:val="64E956E3"/>
    <w:rsid w:val="64EC096E"/>
    <w:rsid w:val="653D267A"/>
    <w:rsid w:val="655FCAC2"/>
    <w:rsid w:val="65679644"/>
    <w:rsid w:val="657231CF"/>
    <w:rsid w:val="659BC856"/>
    <w:rsid w:val="65A01929"/>
    <w:rsid w:val="65A4CF86"/>
    <w:rsid w:val="65A9CFCC"/>
    <w:rsid w:val="65B55A78"/>
    <w:rsid w:val="65C0014B"/>
    <w:rsid w:val="65C1ADAC"/>
    <w:rsid w:val="65C689E1"/>
    <w:rsid w:val="65E36714"/>
    <w:rsid w:val="6602C5BA"/>
    <w:rsid w:val="6613148C"/>
    <w:rsid w:val="6618FA97"/>
    <w:rsid w:val="661B617F"/>
    <w:rsid w:val="662163A0"/>
    <w:rsid w:val="6625564F"/>
    <w:rsid w:val="662CB5E6"/>
    <w:rsid w:val="662EA0CA"/>
    <w:rsid w:val="6638F4B2"/>
    <w:rsid w:val="6654D767"/>
    <w:rsid w:val="6656B511"/>
    <w:rsid w:val="665CF71F"/>
    <w:rsid w:val="66639E82"/>
    <w:rsid w:val="6672B0C1"/>
    <w:rsid w:val="6673D28C"/>
    <w:rsid w:val="667FFE5B"/>
    <w:rsid w:val="6694ED3C"/>
    <w:rsid w:val="66B21956"/>
    <w:rsid w:val="66C20BB5"/>
    <w:rsid w:val="66CD5DC0"/>
    <w:rsid w:val="66E92BAA"/>
    <w:rsid w:val="66F11E6E"/>
    <w:rsid w:val="66F6E544"/>
    <w:rsid w:val="6712631E"/>
    <w:rsid w:val="672AA984"/>
    <w:rsid w:val="672FD594"/>
    <w:rsid w:val="673ABD1D"/>
    <w:rsid w:val="67407BA1"/>
    <w:rsid w:val="67512AD9"/>
    <w:rsid w:val="675DEEB6"/>
    <w:rsid w:val="676D9E26"/>
    <w:rsid w:val="6780EA86"/>
    <w:rsid w:val="678E1461"/>
    <w:rsid w:val="6795A9BA"/>
    <w:rsid w:val="67C06BB3"/>
    <w:rsid w:val="67C45C8D"/>
    <w:rsid w:val="67E90183"/>
    <w:rsid w:val="67F3064B"/>
    <w:rsid w:val="68007695"/>
    <w:rsid w:val="680269D4"/>
    <w:rsid w:val="68128D7B"/>
    <w:rsid w:val="6822D060"/>
    <w:rsid w:val="6827C32D"/>
    <w:rsid w:val="6833AC26"/>
    <w:rsid w:val="683FF17F"/>
    <w:rsid w:val="6840E4AE"/>
    <w:rsid w:val="68442EF7"/>
    <w:rsid w:val="6847CE7A"/>
    <w:rsid w:val="68508074"/>
    <w:rsid w:val="68604552"/>
    <w:rsid w:val="68638E42"/>
    <w:rsid w:val="686B2CB8"/>
    <w:rsid w:val="686C7672"/>
    <w:rsid w:val="6872E4A1"/>
    <w:rsid w:val="68742192"/>
    <w:rsid w:val="68795256"/>
    <w:rsid w:val="6883DD85"/>
    <w:rsid w:val="68884543"/>
    <w:rsid w:val="688EF3EC"/>
    <w:rsid w:val="68968534"/>
    <w:rsid w:val="68A02675"/>
    <w:rsid w:val="68A0E7AA"/>
    <w:rsid w:val="68A0ED0B"/>
    <w:rsid w:val="68A21DD7"/>
    <w:rsid w:val="68A56ABE"/>
    <w:rsid w:val="68AA97B5"/>
    <w:rsid w:val="68C1454C"/>
    <w:rsid w:val="68C88ACB"/>
    <w:rsid w:val="68CA639E"/>
    <w:rsid w:val="68CF2CFD"/>
    <w:rsid w:val="68D2A3ED"/>
    <w:rsid w:val="68DC0107"/>
    <w:rsid w:val="68E48D60"/>
    <w:rsid w:val="6908F1E5"/>
    <w:rsid w:val="690F8D75"/>
    <w:rsid w:val="6911F68C"/>
    <w:rsid w:val="691BEE56"/>
    <w:rsid w:val="692C6283"/>
    <w:rsid w:val="69369515"/>
    <w:rsid w:val="694AB54E"/>
    <w:rsid w:val="6956D67D"/>
    <w:rsid w:val="695FF3F1"/>
    <w:rsid w:val="6960F003"/>
    <w:rsid w:val="6965A2A7"/>
    <w:rsid w:val="697CBC89"/>
    <w:rsid w:val="69893B60"/>
    <w:rsid w:val="6991FA3B"/>
    <w:rsid w:val="6992D0B1"/>
    <w:rsid w:val="69AE1CC7"/>
    <w:rsid w:val="69B0D076"/>
    <w:rsid w:val="69B51C25"/>
    <w:rsid w:val="69B551EF"/>
    <w:rsid w:val="69E8CED0"/>
    <w:rsid w:val="69EF84C9"/>
    <w:rsid w:val="69F40EB6"/>
    <w:rsid w:val="69F900A1"/>
    <w:rsid w:val="6A0A903A"/>
    <w:rsid w:val="6A1AAD4E"/>
    <w:rsid w:val="6A2BAD86"/>
    <w:rsid w:val="6A32A8A1"/>
    <w:rsid w:val="6A428F3E"/>
    <w:rsid w:val="6A5545DC"/>
    <w:rsid w:val="6A6FA33E"/>
    <w:rsid w:val="6A72FBA8"/>
    <w:rsid w:val="6A802445"/>
    <w:rsid w:val="6A8708A7"/>
    <w:rsid w:val="6A96E641"/>
    <w:rsid w:val="6A9933BD"/>
    <w:rsid w:val="6A9E7EEC"/>
    <w:rsid w:val="6A9F25DE"/>
    <w:rsid w:val="6AADC6ED"/>
    <w:rsid w:val="6AB52118"/>
    <w:rsid w:val="6AC20A82"/>
    <w:rsid w:val="6AC4B140"/>
    <w:rsid w:val="6AF9FFE8"/>
    <w:rsid w:val="6B034B27"/>
    <w:rsid w:val="6B1CF9FD"/>
    <w:rsid w:val="6B1D8DF5"/>
    <w:rsid w:val="6B2366CA"/>
    <w:rsid w:val="6B339A65"/>
    <w:rsid w:val="6B363088"/>
    <w:rsid w:val="6B43ECED"/>
    <w:rsid w:val="6B6CD521"/>
    <w:rsid w:val="6B82F27C"/>
    <w:rsid w:val="6B864BBD"/>
    <w:rsid w:val="6BAA4257"/>
    <w:rsid w:val="6BB54A82"/>
    <w:rsid w:val="6BBC60C9"/>
    <w:rsid w:val="6BCA4BBC"/>
    <w:rsid w:val="6BCB38DA"/>
    <w:rsid w:val="6BD88DCD"/>
    <w:rsid w:val="6BE45F56"/>
    <w:rsid w:val="6BEE2824"/>
    <w:rsid w:val="6BF7E545"/>
    <w:rsid w:val="6C010828"/>
    <w:rsid w:val="6C16E5C8"/>
    <w:rsid w:val="6C1E61AE"/>
    <w:rsid w:val="6C31E0BC"/>
    <w:rsid w:val="6C3A0E9D"/>
    <w:rsid w:val="6C4EC4DC"/>
    <w:rsid w:val="6C540BAA"/>
    <w:rsid w:val="6C5A585E"/>
    <w:rsid w:val="6C6C97C1"/>
    <w:rsid w:val="6C6D566B"/>
    <w:rsid w:val="6C755914"/>
    <w:rsid w:val="6C85249A"/>
    <w:rsid w:val="6C89B07B"/>
    <w:rsid w:val="6C8A0D0D"/>
    <w:rsid w:val="6C9C0794"/>
    <w:rsid w:val="6CA26533"/>
    <w:rsid w:val="6CAD81E2"/>
    <w:rsid w:val="6CB9850F"/>
    <w:rsid w:val="6CC62DA2"/>
    <w:rsid w:val="6CD44559"/>
    <w:rsid w:val="6CDAB24D"/>
    <w:rsid w:val="6CDB6C2C"/>
    <w:rsid w:val="6CE79B6A"/>
    <w:rsid w:val="6CED3172"/>
    <w:rsid w:val="6D05A426"/>
    <w:rsid w:val="6D1239D6"/>
    <w:rsid w:val="6D271D51"/>
    <w:rsid w:val="6D34BD2F"/>
    <w:rsid w:val="6D3B25EF"/>
    <w:rsid w:val="6D49319A"/>
    <w:rsid w:val="6D497AF7"/>
    <w:rsid w:val="6D545BE6"/>
    <w:rsid w:val="6D5EC856"/>
    <w:rsid w:val="6D61CD7A"/>
    <w:rsid w:val="6D634E48"/>
    <w:rsid w:val="6D6A36E2"/>
    <w:rsid w:val="6D881EFB"/>
    <w:rsid w:val="6D8D0D7C"/>
    <w:rsid w:val="6D98B259"/>
    <w:rsid w:val="6DAFBD25"/>
    <w:rsid w:val="6DB2BF74"/>
    <w:rsid w:val="6DB76976"/>
    <w:rsid w:val="6DB89762"/>
    <w:rsid w:val="6DC151B8"/>
    <w:rsid w:val="6DCF3378"/>
    <w:rsid w:val="6DD32E00"/>
    <w:rsid w:val="6DF06534"/>
    <w:rsid w:val="6E042C36"/>
    <w:rsid w:val="6E10877E"/>
    <w:rsid w:val="6E12BCCC"/>
    <w:rsid w:val="6E1F9CE0"/>
    <w:rsid w:val="6E2B66FD"/>
    <w:rsid w:val="6E3A622E"/>
    <w:rsid w:val="6E5C1072"/>
    <w:rsid w:val="6E63F17B"/>
    <w:rsid w:val="6E6BDBE0"/>
    <w:rsid w:val="6E7B8DAF"/>
    <w:rsid w:val="6E852BC6"/>
    <w:rsid w:val="6EA95C22"/>
    <w:rsid w:val="6EAF65CB"/>
    <w:rsid w:val="6EB7BC75"/>
    <w:rsid w:val="6ECF5455"/>
    <w:rsid w:val="6EEEDBA7"/>
    <w:rsid w:val="6EF402C4"/>
    <w:rsid w:val="6EFF64CD"/>
    <w:rsid w:val="6F12DE35"/>
    <w:rsid w:val="6F1596F6"/>
    <w:rsid w:val="6F16058A"/>
    <w:rsid w:val="6F1B0656"/>
    <w:rsid w:val="6F1E0DBF"/>
    <w:rsid w:val="6F21DE03"/>
    <w:rsid w:val="6F2CFDD2"/>
    <w:rsid w:val="6F50CC90"/>
    <w:rsid w:val="6F590C02"/>
    <w:rsid w:val="6F76EBF7"/>
    <w:rsid w:val="6F7736F5"/>
    <w:rsid w:val="6F78DAAC"/>
    <w:rsid w:val="6F7E6870"/>
    <w:rsid w:val="6FA8B7B4"/>
    <w:rsid w:val="6FC311E3"/>
    <w:rsid w:val="6FC5A17B"/>
    <w:rsid w:val="6FC643A9"/>
    <w:rsid w:val="6FDA9065"/>
    <w:rsid w:val="6FE0614E"/>
    <w:rsid w:val="6FE39F03"/>
    <w:rsid w:val="6FF25701"/>
    <w:rsid w:val="6FFAA983"/>
    <w:rsid w:val="701D8588"/>
    <w:rsid w:val="7022A725"/>
    <w:rsid w:val="703A2FBE"/>
    <w:rsid w:val="703A33C2"/>
    <w:rsid w:val="7063E69F"/>
    <w:rsid w:val="707147D4"/>
    <w:rsid w:val="70744770"/>
    <w:rsid w:val="70763E9D"/>
    <w:rsid w:val="707AE70C"/>
    <w:rsid w:val="708FD1EC"/>
    <w:rsid w:val="70B4456C"/>
    <w:rsid w:val="70C8B9D6"/>
    <w:rsid w:val="70CD4E9F"/>
    <w:rsid w:val="70CFD960"/>
    <w:rsid w:val="70D1D704"/>
    <w:rsid w:val="70D23AE7"/>
    <w:rsid w:val="70D567EA"/>
    <w:rsid w:val="70E58233"/>
    <w:rsid w:val="70F763A5"/>
    <w:rsid w:val="7102F4C3"/>
    <w:rsid w:val="710DED72"/>
    <w:rsid w:val="71185A8D"/>
    <w:rsid w:val="711998CA"/>
    <w:rsid w:val="7119E8B1"/>
    <w:rsid w:val="7122BEB6"/>
    <w:rsid w:val="7127ABCB"/>
    <w:rsid w:val="7138B699"/>
    <w:rsid w:val="713DC4C6"/>
    <w:rsid w:val="714B29AC"/>
    <w:rsid w:val="7158536C"/>
    <w:rsid w:val="716307BF"/>
    <w:rsid w:val="716355F8"/>
    <w:rsid w:val="7165E685"/>
    <w:rsid w:val="7174F94D"/>
    <w:rsid w:val="718118B0"/>
    <w:rsid w:val="718BDB45"/>
    <w:rsid w:val="718D7A18"/>
    <w:rsid w:val="719B923D"/>
    <w:rsid w:val="719D65D4"/>
    <w:rsid w:val="719FC1E3"/>
    <w:rsid w:val="71A2278F"/>
    <w:rsid w:val="71A4D37B"/>
    <w:rsid w:val="71A79277"/>
    <w:rsid w:val="71B81735"/>
    <w:rsid w:val="71C7659F"/>
    <w:rsid w:val="71C7718B"/>
    <w:rsid w:val="71CC60B6"/>
    <w:rsid w:val="71D6001F"/>
    <w:rsid w:val="71D954DC"/>
    <w:rsid w:val="7216112C"/>
    <w:rsid w:val="721B67E2"/>
    <w:rsid w:val="722DF4DF"/>
    <w:rsid w:val="7232F0E5"/>
    <w:rsid w:val="723544F0"/>
    <w:rsid w:val="72453342"/>
    <w:rsid w:val="72467D2F"/>
    <w:rsid w:val="7247CF51"/>
    <w:rsid w:val="72561BC3"/>
    <w:rsid w:val="72705F37"/>
    <w:rsid w:val="72709D89"/>
    <w:rsid w:val="727530FF"/>
    <w:rsid w:val="729511C0"/>
    <w:rsid w:val="7296916B"/>
    <w:rsid w:val="72A0B238"/>
    <w:rsid w:val="72A75DAE"/>
    <w:rsid w:val="72B6A99B"/>
    <w:rsid w:val="72BFD30A"/>
    <w:rsid w:val="72C11E8A"/>
    <w:rsid w:val="72CEB71A"/>
    <w:rsid w:val="72D7734D"/>
    <w:rsid w:val="72D7BDC8"/>
    <w:rsid w:val="72D8A4B0"/>
    <w:rsid w:val="72ECE0DE"/>
    <w:rsid w:val="72FDD139"/>
    <w:rsid w:val="72FE4F5D"/>
    <w:rsid w:val="72FECEDB"/>
    <w:rsid w:val="730820FE"/>
    <w:rsid w:val="731002C8"/>
    <w:rsid w:val="73256EBD"/>
    <w:rsid w:val="73720A36"/>
    <w:rsid w:val="737D7535"/>
    <w:rsid w:val="739E5F17"/>
    <w:rsid w:val="73A0A65A"/>
    <w:rsid w:val="73AFDD7F"/>
    <w:rsid w:val="73B6B38A"/>
    <w:rsid w:val="73CDD290"/>
    <w:rsid w:val="73D64763"/>
    <w:rsid w:val="73D665C9"/>
    <w:rsid w:val="73E5B3E6"/>
    <w:rsid w:val="73F0433F"/>
    <w:rsid w:val="73FA2C00"/>
    <w:rsid w:val="740E3CBB"/>
    <w:rsid w:val="7434B804"/>
    <w:rsid w:val="74369E0E"/>
    <w:rsid w:val="7441403D"/>
    <w:rsid w:val="74415896"/>
    <w:rsid w:val="748282D0"/>
    <w:rsid w:val="74999356"/>
    <w:rsid w:val="749ED576"/>
    <w:rsid w:val="74B86B27"/>
    <w:rsid w:val="74BF914A"/>
    <w:rsid w:val="74D495F6"/>
    <w:rsid w:val="74D79C9E"/>
    <w:rsid w:val="74F185BC"/>
    <w:rsid w:val="74F41FA3"/>
    <w:rsid w:val="74F6DA68"/>
    <w:rsid w:val="74F9D6EE"/>
    <w:rsid w:val="750DDA97"/>
    <w:rsid w:val="751F7C42"/>
    <w:rsid w:val="752A9AFF"/>
    <w:rsid w:val="752CE6EF"/>
    <w:rsid w:val="752E3516"/>
    <w:rsid w:val="753BD576"/>
    <w:rsid w:val="754139FD"/>
    <w:rsid w:val="75422A39"/>
    <w:rsid w:val="7543E135"/>
    <w:rsid w:val="755E36C3"/>
    <w:rsid w:val="75803D79"/>
    <w:rsid w:val="7583AE09"/>
    <w:rsid w:val="758669E1"/>
    <w:rsid w:val="75889D2A"/>
    <w:rsid w:val="758AD049"/>
    <w:rsid w:val="759353AE"/>
    <w:rsid w:val="75A6B606"/>
    <w:rsid w:val="75A9B106"/>
    <w:rsid w:val="75CE3F9E"/>
    <w:rsid w:val="75D86426"/>
    <w:rsid w:val="75DBE2BC"/>
    <w:rsid w:val="75E52115"/>
    <w:rsid w:val="75F5E8EE"/>
    <w:rsid w:val="75FA1498"/>
    <w:rsid w:val="76030398"/>
    <w:rsid w:val="7625C728"/>
    <w:rsid w:val="7627FD1B"/>
    <w:rsid w:val="762BC7C6"/>
    <w:rsid w:val="762BF022"/>
    <w:rsid w:val="762F90B0"/>
    <w:rsid w:val="76403CCD"/>
    <w:rsid w:val="76543157"/>
    <w:rsid w:val="76687CDD"/>
    <w:rsid w:val="76791BC0"/>
    <w:rsid w:val="767A967D"/>
    <w:rsid w:val="767DBBC2"/>
    <w:rsid w:val="76833399"/>
    <w:rsid w:val="76929539"/>
    <w:rsid w:val="769A2DDC"/>
    <w:rsid w:val="769A6BB5"/>
    <w:rsid w:val="76B6393E"/>
    <w:rsid w:val="76BCBC17"/>
    <w:rsid w:val="76CBE545"/>
    <w:rsid w:val="76D624F6"/>
    <w:rsid w:val="76D8A22F"/>
    <w:rsid w:val="76F14281"/>
    <w:rsid w:val="7700E697"/>
    <w:rsid w:val="772A052E"/>
    <w:rsid w:val="772BE068"/>
    <w:rsid w:val="77370917"/>
    <w:rsid w:val="77394640"/>
    <w:rsid w:val="77396562"/>
    <w:rsid w:val="773BE03C"/>
    <w:rsid w:val="7748F515"/>
    <w:rsid w:val="774C1AD0"/>
    <w:rsid w:val="775EACC3"/>
    <w:rsid w:val="776E5250"/>
    <w:rsid w:val="77763D7D"/>
    <w:rsid w:val="778387EA"/>
    <w:rsid w:val="7795D2AD"/>
    <w:rsid w:val="7796EE80"/>
    <w:rsid w:val="779ED3F9"/>
    <w:rsid w:val="77A1A938"/>
    <w:rsid w:val="77A3AD0A"/>
    <w:rsid w:val="77A9711C"/>
    <w:rsid w:val="77B0856C"/>
    <w:rsid w:val="77B920E6"/>
    <w:rsid w:val="77B9478E"/>
    <w:rsid w:val="77C1829C"/>
    <w:rsid w:val="77C4F363"/>
    <w:rsid w:val="77D11D60"/>
    <w:rsid w:val="77D4E5C0"/>
    <w:rsid w:val="78194217"/>
    <w:rsid w:val="781981D2"/>
    <w:rsid w:val="78224D52"/>
    <w:rsid w:val="78382390"/>
    <w:rsid w:val="7856FD0F"/>
    <w:rsid w:val="78709F65"/>
    <w:rsid w:val="787463F9"/>
    <w:rsid w:val="787558C8"/>
    <w:rsid w:val="78816B11"/>
    <w:rsid w:val="789012E7"/>
    <w:rsid w:val="7896EA03"/>
    <w:rsid w:val="789EEB8A"/>
    <w:rsid w:val="78B22251"/>
    <w:rsid w:val="78B3BCCE"/>
    <w:rsid w:val="78C201B3"/>
    <w:rsid w:val="78CBE90C"/>
    <w:rsid w:val="78D81B91"/>
    <w:rsid w:val="78EA9BC2"/>
    <w:rsid w:val="78F93EAE"/>
    <w:rsid w:val="78FB4C8F"/>
    <w:rsid w:val="7903997A"/>
    <w:rsid w:val="7912D3EE"/>
    <w:rsid w:val="7919E508"/>
    <w:rsid w:val="791B48B2"/>
    <w:rsid w:val="7926AD4E"/>
    <w:rsid w:val="793DAAAC"/>
    <w:rsid w:val="7958C1F8"/>
    <w:rsid w:val="795A4B70"/>
    <w:rsid w:val="7960F3A6"/>
    <w:rsid w:val="79681B89"/>
    <w:rsid w:val="796D18DC"/>
    <w:rsid w:val="79723012"/>
    <w:rsid w:val="7981F699"/>
    <w:rsid w:val="799787C6"/>
    <w:rsid w:val="799C9C62"/>
    <w:rsid w:val="799D60CA"/>
    <w:rsid w:val="79AF643C"/>
    <w:rsid w:val="79B95094"/>
    <w:rsid w:val="79D1BA8F"/>
    <w:rsid w:val="79D98C92"/>
    <w:rsid w:val="79DDB99A"/>
    <w:rsid w:val="79F29473"/>
    <w:rsid w:val="79F2F4F9"/>
    <w:rsid w:val="79FBC656"/>
    <w:rsid w:val="79FC1DF0"/>
    <w:rsid w:val="79FE2EEC"/>
    <w:rsid w:val="79FEE97A"/>
    <w:rsid w:val="7A05A059"/>
    <w:rsid w:val="7A0D3C3A"/>
    <w:rsid w:val="7A10D418"/>
    <w:rsid w:val="7A19D4EA"/>
    <w:rsid w:val="7A25203E"/>
    <w:rsid w:val="7A277723"/>
    <w:rsid w:val="7A4D7EAF"/>
    <w:rsid w:val="7A600DFE"/>
    <w:rsid w:val="7A66044D"/>
    <w:rsid w:val="7A759A45"/>
    <w:rsid w:val="7A8341EA"/>
    <w:rsid w:val="7A85F661"/>
    <w:rsid w:val="7A9A501B"/>
    <w:rsid w:val="7A9B9ECE"/>
    <w:rsid w:val="7AB44D43"/>
    <w:rsid w:val="7AC1E011"/>
    <w:rsid w:val="7AC6EE25"/>
    <w:rsid w:val="7AC79541"/>
    <w:rsid w:val="7AC885AC"/>
    <w:rsid w:val="7AE01C8F"/>
    <w:rsid w:val="7AE37A50"/>
    <w:rsid w:val="7AF81BC7"/>
    <w:rsid w:val="7B0D51B0"/>
    <w:rsid w:val="7B14E604"/>
    <w:rsid w:val="7B1858B3"/>
    <w:rsid w:val="7B187D70"/>
    <w:rsid w:val="7B1A1C86"/>
    <w:rsid w:val="7B2313F5"/>
    <w:rsid w:val="7B386CC3"/>
    <w:rsid w:val="7B6C99AF"/>
    <w:rsid w:val="7B728334"/>
    <w:rsid w:val="7B778663"/>
    <w:rsid w:val="7B7830B9"/>
    <w:rsid w:val="7BC420BE"/>
    <w:rsid w:val="7BCB143D"/>
    <w:rsid w:val="7BCF5A8F"/>
    <w:rsid w:val="7BD90F72"/>
    <w:rsid w:val="7BEC40E5"/>
    <w:rsid w:val="7BEE67F5"/>
    <w:rsid w:val="7BF3A57E"/>
    <w:rsid w:val="7BF53D94"/>
    <w:rsid w:val="7BF7C8EB"/>
    <w:rsid w:val="7BFFEFFB"/>
    <w:rsid w:val="7C0C51C2"/>
    <w:rsid w:val="7C11D207"/>
    <w:rsid w:val="7C12B683"/>
    <w:rsid w:val="7C257A17"/>
    <w:rsid w:val="7C2B7365"/>
    <w:rsid w:val="7C36207C"/>
    <w:rsid w:val="7C42DF65"/>
    <w:rsid w:val="7C44222D"/>
    <w:rsid w:val="7C681A80"/>
    <w:rsid w:val="7C6943D0"/>
    <w:rsid w:val="7C72F408"/>
    <w:rsid w:val="7C7CB6C5"/>
    <w:rsid w:val="7C9981FC"/>
    <w:rsid w:val="7CAE622A"/>
    <w:rsid w:val="7CB410C3"/>
    <w:rsid w:val="7CB83C47"/>
    <w:rsid w:val="7CBC8883"/>
    <w:rsid w:val="7CBCEF12"/>
    <w:rsid w:val="7CBFC57A"/>
    <w:rsid w:val="7CC2CE35"/>
    <w:rsid w:val="7CC6D17F"/>
    <w:rsid w:val="7D0172CE"/>
    <w:rsid w:val="7D145101"/>
    <w:rsid w:val="7D1DC7F8"/>
    <w:rsid w:val="7D2B332A"/>
    <w:rsid w:val="7D2ECA4C"/>
    <w:rsid w:val="7D30DA8F"/>
    <w:rsid w:val="7D440CA6"/>
    <w:rsid w:val="7D4CB136"/>
    <w:rsid w:val="7D52DB5C"/>
    <w:rsid w:val="7D68E959"/>
    <w:rsid w:val="7D6D6D82"/>
    <w:rsid w:val="7D7B7373"/>
    <w:rsid w:val="7D8C424D"/>
    <w:rsid w:val="7D97D24B"/>
    <w:rsid w:val="7DA49A77"/>
    <w:rsid w:val="7DB1E741"/>
    <w:rsid w:val="7DD4D992"/>
    <w:rsid w:val="7DD70A9D"/>
    <w:rsid w:val="7DE57258"/>
    <w:rsid w:val="7DF031BE"/>
    <w:rsid w:val="7E188726"/>
    <w:rsid w:val="7E1DB785"/>
    <w:rsid w:val="7E30D90D"/>
    <w:rsid w:val="7E36BA56"/>
    <w:rsid w:val="7E4551D7"/>
    <w:rsid w:val="7E4A4449"/>
    <w:rsid w:val="7E546F07"/>
    <w:rsid w:val="7E5DB27D"/>
    <w:rsid w:val="7E5F5CCE"/>
    <w:rsid w:val="7E63A613"/>
    <w:rsid w:val="7E6F1B2E"/>
    <w:rsid w:val="7E7581EA"/>
    <w:rsid w:val="7E7B461D"/>
    <w:rsid w:val="7E7D7033"/>
    <w:rsid w:val="7E885EC4"/>
    <w:rsid w:val="7E8CE7A4"/>
    <w:rsid w:val="7E8E78E9"/>
    <w:rsid w:val="7E906FE4"/>
    <w:rsid w:val="7E915525"/>
    <w:rsid w:val="7E978996"/>
    <w:rsid w:val="7E9BB61E"/>
    <w:rsid w:val="7EA62D30"/>
    <w:rsid w:val="7EA8E92B"/>
    <w:rsid w:val="7EB5CE9D"/>
    <w:rsid w:val="7EC52C5F"/>
    <w:rsid w:val="7ECDD5BD"/>
    <w:rsid w:val="7ED40454"/>
    <w:rsid w:val="7EDEBC3E"/>
    <w:rsid w:val="7EE09722"/>
    <w:rsid w:val="7EECB731"/>
    <w:rsid w:val="7EF2C2FD"/>
    <w:rsid w:val="7EFFF543"/>
    <w:rsid w:val="7F0F6E9C"/>
    <w:rsid w:val="7F2011B9"/>
    <w:rsid w:val="7F27D97D"/>
    <w:rsid w:val="7F2B8CD9"/>
    <w:rsid w:val="7F394185"/>
    <w:rsid w:val="7F597CF1"/>
    <w:rsid w:val="7F6D6AC0"/>
    <w:rsid w:val="7F7C294A"/>
    <w:rsid w:val="7F83D663"/>
    <w:rsid w:val="7F899A6A"/>
    <w:rsid w:val="7F9582A5"/>
    <w:rsid w:val="7FB11B1D"/>
    <w:rsid w:val="7FB168C7"/>
    <w:rsid w:val="7FB81D06"/>
    <w:rsid w:val="7FD80822"/>
    <w:rsid w:val="7FD91A77"/>
    <w:rsid w:val="7FD9DC67"/>
    <w:rsid w:val="7FDF4760"/>
    <w:rsid w:val="7FE2C4CB"/>
    <w:rsid w:val="7FE7853D"/>
    <w:rsid w:val="7FEF7398"/>
    <w:rsid w:val="7FF48075"/>
    <w:rsid w:val="7FF624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524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90C"/>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6F3AE7"/>
    <w:pPr>
      <w:spacing w:before="240"/>
      <w:outlineLvl w:val="1"/>
    </w:pPr>
    <w:rPr>
      <w:b/>
      <w:i/>
      <w:kern w:val="28"/>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0C"/>
    <w:rPr>
      <w:rFonts w:ascii="Segoe UI" w:eastAsia="Times New Roman" w:hAnsi="Segoe UI" w:cs="Segoe UI"/>
      <w:sz w:val="18"/>
      <w:szCs w:val="18"/>
    </w:rPr>
  </w:style>
  <w:style w:type="paragraph" w:styleId="ListParagraph">
    <w:name w:val="List Paragraph"/>
    <w:aliases w:val="Recommendatio,Párrafo de lista,Recommendation,OBC Bullet,Dot pt,F5 List Paragraph,List Paragraph1,No Spacing1,List Paragraph Char Char Char,Indicator Text,Colorful List - Accent 11,Numbered Para 1,Bullet 1,Bullet Points,List Paragraph2,L"/>
    <w:basedOn w:val="Normal"/>
    <w:link w:val="ListParagraphChar"/>
    <w:uiPriority w:val="34"/>
    <w:qFormat/>
    <w:rsid w:val="0010590C"/>
    <w:pPr>
      <w:spacing w:after="240"/>
      <w:ind w:left="720"/>
      <w:contextualSpacing/>
    </w:pPr>
    <w:rPr>
      <w:szCs w:val="20"/>
      <w:lang w:eastAsia="en-GB"/>
    </w:rPr>
  </w:style>
  <w:style w:type="character" w:customStyle="1" w:styleId="ListParagraphChar">
    <w:name w:val="List Paragraph Char"/>
    <w:aliases w:val="Recommendatio Char,Párrafo de lista Char,Recommendation Char,OBC Bullet Char,Dot pt Char,F5 List Paragraph Char,List Paragraph1 Char,No Spacing1 Char,List Paragraph Char Char Char Char,Indicator Text Char,Numbered Para 1 Char,L Char"/>
    <w:basedOn w:val="DefaultParagraphFont"/>
    <w:link w:val="ListParagraph"/>
    <w:uiPriority w:val="34"/>
    <w:qFormat/>
    <w:locked/>
    <w:rsid w:val="0010590C"/>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6F3AE7"/>
    <w:rPr>
      <w:rFonts w:ascii="Arial" w:eastAsia="Times New Roman" w:hAnsi="Arial" w:cs="Times New Roman"/>
      <w:b/>
      <w:i/>
      <w:kern w:val="28"/>
      <w:sz w:val="28"/>
      <w:szCs w:val="28"/>
    </w:rPr>
  </w:style>
  <w:style w:type="table" w:styleId="TableGrid">
    <w:name w:val="Table Grid"/>
    <w:basedOn w:val="TableNormal"/>
    <w:rsid w:val="006F3A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F3AE7"/>
    <w:rPr>
      <w:color w:val="0563C1" w:themeColor="hyperlink"/>
      <w:u w:val="single"/>
    </w:rPr>
  </w:style>
  <w:style w:type="paragraph" w:styleId="Header">
    <w:name w:val="header"/>
    <w:basedOn w:val="Normal"/>
    <w:link w:val="HeaderChar"/>
    <w:uiPriority w:val="99"/>
    <w:unhideWhenUsed/>
    <w:rsid w:val="006E5785"/>
    <w:pPr>
      <w:tabs>
        <w:tab w:val="center" w:pos="4513"/>
        <w:tab w:val="right" w:pos="9026"/>
      </w:tabs>
    </w:pPr>
  </w:style>
  <w:style w:type="character" w:customStyle="1" w:styleId="HeaderChar">
    <w:name w:val="Header Char"/>
    <w:basedOn w:val="DefaultParagraphFont"/>
    <w:link w:val="Header"/>
    <w:uiPriority w:val="99"/>
    <w:rsid w:val="006E5785"/>
    <w:rPr>
      <w:rFonts w:ascii="Arial" w:eastAsia="Times New Roman" w:hAnsi="Arial" w:cs="Times New Roman"/>
      <w:sz w:val="24"/>
      <w:szCs w:val="24"/>
    </w:rPr>
  </w:style>
  <w:style w:type="paragraph" w:styleId="Footer">
    <w:name w:val="footer"/>
    <w:basedOn w:val="Normal"/>
    <w:link w:val="FooterChar"/>
    <w:uiPriority w:val="99"/>
    <w:unhideWhenUsed/>
    <w:rsid w:val="006E5785"/>
    <w:pPr>
      <w:tabs>
        <w:tab w:val="center" w:pos="4513"/>
        <w:tab w:val="right" w:pos="9026"/>
      </w:tabs>
    </w:pPr>
  </w:style>
  <w:style w:type="character" w:customStyle="1" w:styleId="FooterChar">
    <w:name w:val="Footer Char"/>
    <w:basedOn w:val="DefaultParagraphFont"/>
    <w:link w:val="Footer"/>
    <w:uiPriority w:val="99"/>
    <w:rsid w:val="006E5785"/>
    <w:rPr>
      <w:rFonts w:ascii="Arial" w:eastAsia="Times New Roman" w:hAnsi="Arial" w:cs="Times New Roman"/>
      <w:sz w:val="24"/>
      <w:szCs w:val="24"/>
    </w:rPr>
  </w:style>
  <w:style w:type="character" w:styleId="UnresolvedMention">
    <w:name w:val="Unresolved Mention"/>
    <w:basedOn w:val="DefaultParagraphFont"/>
    <w:uiPriority w:val="99"/>
    <w:unhideWhenUsed/>
    <w:rsid w:val="00B308C2"/>
    <w:rPr>
      <w:color w:val="605E5C"/>
      <w:shd w:val="clear" w:color="auto" w:fill="E1DFDD"/>
    </w:rPr>
  </w:style>
  <w:style w:type="character" w:styleId="CommentReference">
    <w:name w:val="annotation reference"/>
    <w:basedOn w:val="DefaultParagraphFont"/>
    <w:uiPriority w:val="99"/>
    <w:unhideWhenUsed/>
    <w:rsid w:val="000F5ADB"/>
    <w:rPr>
      <w:sz w:val="16"/>
      <w:szCs w:val="16"/>
    </w:rPr>
  </w:style>
  <w:style w:type="paragraph" w:styleId="CommentText">
    <w:name w:val="annotation text"/>
    <w:basedOn w:val="Normal"/>
    <w:link w:val="CommentTextChar"/>
    <w:uiPriority w:val="99"/>
    <w:unhideWhenUsed/>
    <w:rsid w:val="000F5ADB"/>
    <w:rPr>
      <w:sz w:val="20"/>
      <w:szCs w:val="20"/>
    </w:rPr>
  </w:style>
  <w:style w:type="character" w:customStyle="1" w:styleId="CommentTextChar">
    <w:name w:val="Comment Text Char"/>
    <w:basedOn w:val="DefaultParagraphFont"/>
    <w:link w:val="CommentText"/>
    <w:uiPriority w:val="99"/>
    <w:rsid w:val="000F5AD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F5ADB"/>
    <w:rPr>
      <w:b/>
      <w:bCs/>
    </w:rPr>
  </w:style>
  <w:style w:type="character" w:customStyle="1" w:styleId="CommentSubjectChar">
    <w:name w:val="Comment Subject Char"/>
    <w:basedOn w:val="CommentTextChar"/>
    <w:link w:val="CommentSubject"/>
    <w:uiPriority w:val="99"/>
    <w:semiHidden/>
    <w:rsid w:val="000F5AD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1525D"/>
    <w:rPr>
      <w:color w:val="954F72" w:themeColor="followedHyperlink"/>
      <w:u w:val="single"/>
    </w:rPr>
  </w:style>
  <w:style w:type="paragraph" w:customStyle="1" w:styleId="Normal1">
    <w:name w:val="Normal1"/>
    <w:rsid w:val="002F3488"/>
    <w:pPr>
      <w:spacing w:after="0" w:line="240" w:lineRule="auto"/>
    </w:pPr>
    <w:rPr>
      <w:rFonts w:ascii="Arial" w:eastAsia="Arial" w:hAnsi="Arial" w:cs="Arial"/>
      <w:color w:val="000000"/>
      <w:sz w:val="24"/>
      <w:szCs w:val="24"/>
    </w:rPr>
  </w:style>
  <w:style w:type="character" w:styleId="FootnoteReference">
    <w:name w:val="footnote reference"/>
    <w:basedOn w:val="DefaultParagraphFont"/>
    <w:uiPriority w:val="99"/>
    <w:semiHidden/>
    <w:unhideWhenUsed/>
    <w:rsid w:val="002F3488"/>
    <w:rPr>
      <w:vertAlign w:val="superscript"/>
    </w:r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49CFF048"/>
  </w:style>
  <w:style w:type="character" w:customStyle="1" w:styleId="eop">
    <w:name w:val="eop"/>
    <w:basedOn w:val="DefaultParagraphFont"/>
    <w:rsid w:val="49CFF048"/>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33634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5490">
      <w:bodyDiv w:val="1"/>
      <w:marLeft w:val="0"/>
      <w:marRight w:val="0"/>
      <w:marTop w:val="0"/>
      <w:marBottom w:val="0"/>
      <w:divBdr>
        <w:top w:val="none" w:sz="0" w:space="0" w:color="auto"/>
        <w:left w:val="none" w:sz="0" w:space="0" w:color="auto"/>
        <w:bottom w:val="none" w:sz="0" w:space="0" w:color="auto"/>
        <w:right w:val="none" w:sz="0" w:space="0" w:color="auto"/>
      </w:divBdr>
    </w:div>
    <w:div w:id="2912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obusiness.fund/fileadmin/user_upload/impact/the_pathway_to_impact/ecobusiness_Fund_Impact_Framework_Growing_Impact_201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obusiness.fund/fileadmin/user_upload/impact/Theory_of_Change/EBF_Theory_of_change_201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10234caf1ded442b"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actprinciple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obusiness.fund/en/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11</Value>
      <Value>10</Value>
      <Value>8</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xsi:nil="true"/>
    <Topic xmlns="662745e8-e224-48e8-a2e3-254862b8c2f5">ICF</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International</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lcf76f155ced4ddcb4097134ff3c332f xmlns="cd3c523b-aa8f-4804-a23e-31cb3efad401">
      <Terms xmlns="http://schemas.microsoft.com/office/infopath/2007/PartnerControls"/>
    </lcf76f155ced4ddcb4097134ff3c332f>
    <MediaLengthInSeconds xmlns="cd3c523b-aa8f-4804-a23e-31cb3efad401"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7F88C51DAF897B458237A9C1200953D8" ma:contentTypeVersion="20" ma:contentTypeDescription="Create a new document." ma:contentTypeScope="" ma:versionID="6bccc43fd84fcb2bc07a4d1b3b3e19eb">
  <xsd:schema xmlns:xsd="http://www.w3.org/2001/XMLSchema" xmlns:xs="http://www.w3.org/2001/XMLSchema" xmlns:p="http://schemas.microsoft.com/office/2006/metadata/properties" xmlns:ns1="http://schemas.microsoft.com/sharepoint/v3" xmlns:ns2="662745e8-e224-48e8-a2e3-254862b8c2f5" xmlns:ns3="cd3c523b-aa8f-4804-a23e-31cb3efad401" xmlns:ns4="c2a29bdd-637a-4f4b-b2b1-1338f72c8a40" targetNamespace="http://schemas.microsoft.com/office/2006/metadata/properties" ma:root="true" ma:fieldsID="b6bf59eafe58f12eb4bef7b239dea0b3" ns1:_="" ns2:_="" ns3:_="" ns4:_="">
    <xsd:import namespace="http://schemas.microsoft.com/sharepoint/v3"/>
    <xsd:import namespace="662745e8-e224-48e8-a2e3-254862b8c2f5"/>
    <xsd:import namespace="cd3c523b-aa8f-4804-a23e-31cb3efad401"/>
    <xsd:import namespace="c2a29bdd-637a-4f4b-b2b1-1338f72c8a40"/>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4dc0afb-fb50-45c9-b93d-3cf984feeaef}" ma:internalName="TaxCatchAll" ma:showField="CatchAllData"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4dc0afb-fb50-45c9-b93d-3cf984feeaef}" ma:internalName="TaxCatchAllLabel" ma:readOnly="true" ma:showField="CatchAllDataLabel" ma:web="c2a29bdd-637a-4f4b-b2b1-1338f72c8a4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International Nature Climate and Development Division INCD" ma:internalName="Team">
      <xsd:simpleType>
        <xsd:restriction base="dms:Text"/>
      </xsd:simpleType>
    </xsd:element>
    <xsd:element name="Topic" ma:index="20" nillable="true" ma:displayName="Topic" ma:default="Integrating Nature Document Librar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3c523b-aa8f-4804-a23e-31cb3efad401"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29bdd-637a-4f4b-b2b1-1338f72c8a40"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ADC3B-12C3-4EC5-8EDA-EB9EEB7F10DE}">
  <ds:schemaRefs>
    <ds:schemaRef ds:uri="Microsoft.SharePoint.Taxonomy.ContentTypeSync"/>
  </ds:schemaRefs>
</ds:datastoreItem>
</file>

<file path=customXml/itemProps2.xml><?xml version="1.0" encoding="utf-8"?>
<ds:datastoreItem xmlns:ds="http://schemas.openxmlformats.org/officeDocument/2006/customXml" ds:itemID="{CA9E4CF3-84AA-4B72-84CD-D888B2E21F4E}">
  <ds:schemaRefs>
    <ds:schemaRef ds:uri="http://schemas.microsoft.com/office/2006/metadata/properties"/>
    <ds:schemaRef ds:uri="http://schemas.microsoft.com/office/infopath/2007/PartnerControls"/>
    <ds:schemaRef ds:uri="f8107bcd-ca63-44d3-b746-0c7fa6d2c07a"/>
    <ds:schemaRef ds:uri="40fb5e5f-0581-4681-b87e-9c4bc73d06b0"/>
    <ds:schemaRef ds:uri="662745e8-e224-48e8-a2e3-254862b8c2f5"/>
    <ds:schemaRef ds:uri="0f50e317-d97a-4d4b-be23-be7479f90fa5"/>
    <ds:schemaRef ds:uri="cd3c523b-aa8f-4804-a23e-31cb3efad401"/>
    <ds:schemaRef ds:uri="http://schemas.microsoft.com/sharepoint/v3"/>
  </ds:schemaRefs>
</ds:datastoreItem>
</file>

<file path=customXml/itemProps3.xml><?xml version="1.0" encoding="utf-8"?>
<ds:datastoreItem xmlns:ds="http://schemas.openxmlformats.org/officeDocument/2006/customXml" ds:itemID="{950EDAE7-6F55-4DE2-A7F6-7FF48DDE5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cd3c523b-aa8f-4804-a23e-31cb3efad401"/>
    <ds:schemaRef ds:uri="c2a29bdd-637a-4f4b-b2b1-1338f72c8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31793-AE3E-4B42-9F05-5A619E9D4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8595</Words>
  <Characters>48995</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Annual Review Template</vt:lpstr>
    </vt:vector>
  </TitlesOfParts>
  <Company/>
  <LinksUpToDate>false</LinksUpToDate>
  <CharactersWithSpaces>57476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Template</dc:title>
  <dc:subject>Annual Review Template</dc:subject>
  <dc:creator/>
  <cp:keywords/>
  <dc:description>from April 2020</dc:description>
  <cp:lastModifiedBy/>
  <cp:revision>3</cp:revision>
  <dcterms:created xsi:type="dcterms:W3CDTF">2022-10-21T10:44:00Z</dcterms:created>
  <dcterms:modified xsi:type="dcterms:W3CDTF">2023-03-09T12:02:00Z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996da-17fa-4fc5-8989-2758fb4cf86b_Enabled">
    <vt:lpwstr>true</vt:lpwstr>
  </property>
  <property fmtid="{D5CDD505-2E9C-101B-9397-08002B2CF9AE}" pid="3" name="MSIP_Label_e4c996da-17fa-4fc5-8989-2758fb4cf86b_SetDate">
    <vt:lpwstr>2020-03-30T16:49:07Z</vt:lpwstr>
  </property>
  <property fmtid="{D5CDD505-2E9C-101B-9397-08002B2CF9AE}" pid="4" name="MSIP_Label_e4c996da-17fa-4fc5-8989-2758fb4cf86b_Method">
    <vt:lpwstr>Privileged</vt:lpwstr>
  </property>
  <property fmtid="{D5CDD505-2E9C-101B-9397-08002B2CF9AE}" pid="5" name="MSIP_Label_e4c996da-17fa-4fc5-8989-2758fb4cf86b_Name">
    <vt:lpwstr>OFFICIAL</vt:lpwstr>
  </property>
  <property fmtid="{D5CDD505-2E9C-101B-9397-08002B2CF9AE}" pid="6" name="MSIP_Label_e4c996da-17fa-4fc5-8989-2758fb4cf86b_SiteId">
    <vt:lpwstr>cdf709af-1a18-4c74-bd93-6d14a64d73b3</vt:lpwstr>
  </property>
  <property fmtid="{D5CDD505-2E9C-101B-9397-08002B2CF9AE}" pid="7" name="MSIP_Label_e4c996da-17fa-4fc5-8989-2758fb4cf86b_ActionId">
    <vt:lpwstr>919708a4-416e-499e-8edc-0000a189eb48</vt:lpwstr>
  </property>
  <property fmtid="{D5CDD505-2E9C-101B-9397-08002B2CF9AE}" pid="8" name="MSIP_Label_e4c996da-17fa-4fc5-8989-2758fb4cf86b_ContentBits">
    <vt:lpwstr>1</vt:lpwstr>
  </property>
  <property fmtid="{D5CDD505-2E9C-101B-9397-08002B2CF9AE}" pid="9" name="ContentTypeId">
    <vt:lpwstr>0x010100A5BF1C78D9F64B679A5EBDE1C6598EBC01007F88C51DAF897B458237A9C1200953D8</vt:lpwstr>
  </property>
  <property fmtid="{D5CDD505-2E9C-101B-9397-08002B2CF9AE}" pid="10" name="Business Document Type">
    <vt:lpwstr>Annual review</vt:lpwstr>
  </property>
  <property fmtid="{D5CDD505-2E9C-101B-9397-08002B2CF9AE}" pid="11" name="InformationType">
    <vt:lpwstr/>
  </property>
  <property fmtid="{D5CDD505-2E9C-101B-9397-08002B2CF9AE}" pid="12" name="Distribution">
    <vt:lpwstr>11;#Internal Defra Group|0867f7b3-e76e-40ca-bb1f-5ba341a49230</vt:lpwstr>
  </property>
  <property fmtid="{D5CDD505-2E9C-101B-9397-08002B2CF9AE}" pid="13" name="SecurityClassification">
    <vt:lpwstr/>
  </property>
  <property fmtid="{D5CDD505-2E9C-101B-9397-08002B2CF9AE}" pid="14" name="HOCopyrightLevel">
    <vt:lpwstr>7;#Crown|69589897-2828-4761-976e-717fd8e631c9</vt:lpwstr>
  </property>
  <property fmtid="{D5CDD505-2E9C-101B-9397-08002B2CF9AE}" pid="15" name="HOGovernmentSecurityClassification">
    <vt:lpwstr>6;#Official|14c80daa-741b-422c-9722-f71693c9ede4</vt:lpwstr>
  </property>
  <property fmtid="{D5CDD505-2E9C-101B-9397-08002B2CF9AE}" pid="16" name="HOSiteType">
    <vt:lpwstr>10;#Team|ff0485df-0575-416f-802f-e999165821b7</vt:lpwstr>
  </property>
  <property fmtid="{D5CDD505-2E9C-101B-9397-08002B2CF9AE}" pid="17" name="OrganisationalUnit">
    <vt:lpwstr>8;#Core Defra|026223dd-2e56-4615-868d-7c5bfd566810</vt:lpwstr>
  </property>
  <property fmtid="{D5CDD505-2E9C-101B-9397-08002B2CF9AE}" pid="18" name="Directorate">
    <vt:lpwstr/>
  </property>
  <property fmtid="{D5CDD505-2E9C-101B-9397-08002B2CF9AE}" pid="19" name="MediaServiceImageTags">
    <vt:lpwstr/>
  </property>
  <property fmtid="{D5CDD505-2E9C-101B-9397-08002B2CF9AE}" pid="20" name="lcf76f155ced4ddcb4097134ff3c332f">
    <vt:lpwstr/>
  </property>
  <property fmtid="{D5CDD505-2E9C-101B-9397-08002B2CF9AE}" pid="21" name="HOFrom">
    <vt:lpwstr/>
  </property>
  <property fmtid="{D5CDD505-2E9C-101B-9397-08002B2CF9AE}" pid="22" name="xd_ProgID">
    <vt:lpwstr/>
  </property>
  <property fmtid="{D5CDD505-2E9C-101B-9397-08002B2CF9AE}" pid="23" name="ComplianceAssetId">
    <vt:lpwstr/>
  </property>
  <property fmtid="{D5CDD505-2E9C-101B-9397-08002B2CF9AE}" pid="24" name="TemplateUrl">
    <vt:lpwstr/>
  </property>
  <property fmtid="{D5CDD505-2E9C-101B-9397-08002B2CF9AE}" pid="25" name="_ExtendedDescription">
    <vt:lpwstr/>
  </property>
  <property fmtid="{D5CDD505-2E9C-101B-9397-08002B2CF9AE}" pid="26" name="vti_imgdate">
    <vt:lpwstr/>
  </property>
  <property fmtid="{D5CDD505-2E9C-101B-9397-08002B2CF9AE}" pid="27" name="xd_Signature">
    <vt:bool>false</vt:bool>
  </property>
  <property fmtid="{D5CDD505-2E9C-101B-9397-08002B2CF9AE}" pid="28" name="HOSubject">
    <vt:lpwstr/>
  </property>
  <property fmtid="{D5CDD505-2E9C-101B-9397-08002B2CF9AE}" pid="29" name="wic_System_Copyright">
    <vt:lpwstr/>
  </property>
  <property fmtid="{D5CDD505-2E9C-101B-9397-08002B2CF9AE}" pid="30" name="HOCC">
    <vt:lpwstr/>
  </property>
  <property fmtid="{D5CDD505-2E9C-101B-9397-08002B2CF9AE}" pid="31" name="TriggerFlowInfo">
    <vt:lpwstr/>
  </property>
  <property fmtid="{D5CDD505-2E9C-101B-9397-08002B2CF9AE}" pid="32" name="HOTo">
    <vt:lpwstr/>
  </property>
</Properties>
</file>