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9FF65" w14:textId="15AC959C" w:rsidR="50E70105" w:rsidRPr="00A54B18" w:rsidRDefault="00852D60" w:rsidP="005E557A">
      <w:pPr>
        <w:jc w:val="center"/>
        <w:rPr>
          <w:rFonts w:eastAsia="Arial" w:cs="Arial"/>
        </w:rPr>
      </w:pPr>
      <w:proofErr w:type="spellStart"/>
      <w:proofErr w:type="gramStart"/>
      <w:r w:rsidRPr="00A54B18">
        <w:rPr>
          <w:rStyle w:val="normaltextrun"/>
          <w:rFonts w:eastAsia="Arial" w:cs="Arial"/>
          <w:b/>
          <w:bCs/>
          <w:color w:val="000000" w:themeColor="text1"/>
          <w:sz w:val="28"/>
          <w:szCs w:val="28"/>
        </w:rPr>
        <w:t>e</w:t>
      </w:r>
      <w:r w:rsidR="21B9E5E1" w:rsidRPr="00A54B18">
        <w:rPr>
          <w:rStyle w:val="normaltextrun"/>
          <w:rFonts w:eastAsia="Arial" w:cs="Arial"/>
          <w:b/>
          <w:bCs/>
          <w:color w:val="000000" w:themeColor="text1"/>
          <w:sz w:val="28"/>
          <w:szCs w:val="28"/>
        </w:rPr>
        <w:t>co.</w:t>
      </w:r>
      <w:r w:rsidRPr="00A54B18">
        <w:rPr>
          <w:rStyle w:val="normaltextrun"/>
          <w:rFonts w:eastAsia="Arial" w:cs="Arial"/>
          <w:b/>
          <w:bCs/>
          <w:color w:val="000000" w:themeColor="text1"/>
          <w:sz w:val="28"/>
          <w:szCs w:val="28"/>
        </w:rPr>
        <w:t>b</w:t>
      </w:r>
      <w:r w:rsidR="21B9E5E1" w:rsidRPr="00A54B18">
        <w:rPr>
          <w:rStyle w:val="normaltextrun"/>
          <w:rFonts w:eastAsia="Arial" w:cs="Arial"/>
          <w:b/>
          <w:bCs/>
          <w:color w:val="000000" w:themeColor="text1"/>
          <w:sz w:val="28"/>
          <w:szCs w:val="28"/>
        </w:rPr>
        <w:t>usiness</w:t>
      </w:r>
      <w:proofErr w:type="spellEnd"/>
      <w:proofErr w:type="gramEnd"/>
      <w:r w:rsidR="21B9E5E1" w:rsidRPr="00A54B18">
        <w:rPr>
          <w:rStyle w:val="normaltextrun"/>
          <w:rFonts w:eastAsia="Arial" w:cs="Arial"/>
          <w:b/>
          <w:bCs/>
          <w:color w:val="000000" w:themeColor="text1"/>
          <w:sz w:val="28"/>
          <w:szCs w:val="28"/>
        </w:rPr>
        <w:t xml:space="preserve"> Fund Annual Review 202</w:t>
      </w:r>
      <w:r w:rsidR="00254668">
        <w:rPr>
          <w:rStyle w:val="normaltextrun"/>
          <w:rFonts w:eastAsia="Arial" w:cs="Arial"/>
          <w:b/>
          <w:bCs/>
          <w:color w:val="000000" w:themeColor="text1"/>
          <w:sz w:val="28"/>
          <w:szCs w:val="28"/>
        </w:rPr>
        <w:t>2</w:t>
      </w:r>
    </w:p>
    <w:p w14:paraId="4F1FFEFD" w14:textId="77777777" w:rsidR="006F3AE7" w:rsidRPr="00A54B18" w:rsidRDefault="006F3AE7" w:rsidP="005E557A">
      <w:pPr>
        <w:rPr>
          <w:rFonts w:eastAsia="Arial" w:cs="Arial"/>
          <w:b/>
          <w:bCs/>
          <w:sz w:val="22"/>
          <w:szCs w:val="22"/>
        </w:rPr>
      </w:pPr>
    </w:p>
    <w:tbl>
      <w:tblPr>
        <w:tblStyle w:val="TableGrid"/>
        <w:tblW w:w="0" w:type="auto"/>
        <w:tblLook w:val="04A0" w:firstRow="1" w:lastRow="0" w:firstColumn="1" w:lastColumn="0" w:noHBand="0" w:noVBand="1"/>
      </w:tblPr>
      <w:tblGrid>
        <w:gridCol w:w="3964"/>
        <w:gridCol w:w="2410"/>
        <w:gridCol w:w="2642"/>
      </w:tblGrid>
      <w:tr w:rsidR="006F3AE7" w:rsidRPr="00A54B18" w14:paraId="47F4281E" w14:textId="77777777" w:rsidTr="09AA3986">
        <w:trPr>
          <w:trHeight w:val="407"/>
        </w:trPr>
        <w:tc>
          <w:tcPr>
            <w:tcW w:w="9016" w:type="dxa"/>
            <w:gridSpan w:val="3"/>
            <w:tcBorders>
              <w:top w:val="single" w:sz="4" w:space="0" w:color="auto"/>
              <w:left w:val="single" w:sz="4" w:space="0" w:color="auto"/>
              <w:bottom w:val="dotted" w:sz="2" w:space="0" w:color="000000" w:themeColor="text1"/>
              <w:right w:val="single" w:sz="4" w:space="0" w:color="auto"/>
            </w:tcBorders>
          </w:tcPr>
          <w:p w14:paraId="19861584" w14:textId="67D31D12" w:rsidR="006F3AE7" w:rsidRPr="00A54B18" w:rsidRDefault="7232A90E" w:rsidP="005E557A">
            <w:pPr>
              <w:rPr>
                <w:rFonts w:eastAsia="Arial" w:cs="Arial"/>
                <w:b/>
                <w:bCs/>
                <w:sz w:val="20"/>
                <w:szCs w:val="20"/>
              </w:rPr>
            </w:pPr>
            <w:r w:rsidRPr="00A54B18">
              <w:rPr>
                <w:rFonts w:eastAsia="Arial" w:cs="Arial"/>
                <w:b/>
                <w:bCs/>
                <w:sz w:val="20"/>
                <w:szCs w:val="20"/>
              </w:rPr>
              <w:t xml:space="preserve">Title:  </w:t>
            </w:r>
            <w:proofErr w:type="spellStart"/>
            <w:proofErr w:type="gramStart"/>
            <w:r w:rsidR="00852D60" w:rsidRPr="00A54B18">
              <w:rPr>
                <w:rFonts w:eastAsia="Arial" w:cs="Arial"/>
                <w:b/>
                <w:bCs/>
                <w:sz w:val="20"/>
                <w:szCs w:val="20"/>
              </w:rPr>
              <w:t>e</w:t>
            </w:r>
            <w:r w:rsidRPr="00A54B18">
              <w:rPr>
                <w:rFonts w:eastAsia="Arial" w:cs="Arial"/>
                <w:b/>
                <w:bCs/>
                <w:sz w:val="20"/>
                <w:szCs w:val="20"/>
              </w:rPr>
              <w:t>co.</w:t>
            </w:r>
            <w:r w:rsidR="00852D60" w:rsidRPr="00A54B18">
              <w:rPr>
                <w:rFonts w:eastAsia="Arial" w:cs="Arial"/>
                <w:b/>
                <w:bCs/>
                <w:sz w:val="20"/>
                <w:szCs w:val="20"/>
              </w:rPr>
              <w:t>b</w:t>
            </w:r>
            <w:r w:rsidRPr="00A54B18">
              <w:rPr>
                <w:rFonts w:eastAsia="Arial" w:cs="Arial"/>
                <w:b/>
                <w:bCs/>
                <w:sz w:val="20"/>
                <w:szCs w:val="20"/>
              </w:rPr>
              <w:t>usiness</w:t>
            </w:r>
            <w:proofErr w:type="spellEnd"/>
            <w:proofErr w:type="gramEnd"/>
            <w:r w:rsidRPr="00A54B18">
              <w:rPr>
                <w:rFonts w:eastAsia="Arial" w:cs="Arial"/>
                <w:b/>
                <w:bCs/>
                <w:sz w:val="20"/>
                <w:szCs w:val="20"/>
              </w:rPr>
              <w:t xml:space="preserve"> Fund</w:t>
            </w:r>
          </w:p>
        </w:tc>
      </w:tr>
      <w:tr w:rsidR="006F3AE7" w:rsidRPr="00A54B18" w14:paraId="0D529975" w14:textId="77777777" w:rsidTr="09AA3986">
        <w:trPr>
          <w:trHeight w:val="413"/>
        </w:trPr>
        <w:tc>
          <w:tcPr>
            <w:tcW w:w="6374" w:type="dxa"/>
            <w:gridSpan w:val="2"/>
            <w:tcBorders>
              <w:top w:val="dotted" w:sz="2" w:space="0" w:color="000000" w:themeColor="text1"/>
              <w:left w:val="single" w:sz="4" w:space="0" w:color="000000" w:themeColor="text1"/>
              <w:bottom w:val="dotted" w:sz="2" w:space="0" w:color="000000" w:themeColor="text1"/>
              <w:right w:val="dotted" w:sz="2" w:space="0" w:color="000000" w:themeColor="text1"/>
            </w:tcBorders>
            <w:hideMark/>
          </w:tcPr>
          <w:p w14:paraId="7CB3E574" w14:textId="62EB1A73" w:rsidR="006F3AE7" w:rsidRPr="00A54B18" w:rsidRDefault="7232A90E" w:rsidP="005E557A">
            <w:pPr>
              <w:rPr>
                <w:rFonts w:eastAsia="Arial" w:cs="Arial"/>
                <w:b/>
                <w:bCs/>
                <w:sz w:val="20"/>
                <w:szCs w:val="20"/>
              </w:rPr>
            </w:pPr>
            <w:r w:rsidRPr="00A54B18">
              <w:rPr>
                <w:rFonts w:eastAsia="Arial" w:cs="Arial"/>
                <w:b/>
                <w:bCs/>
                <w:sz w:val="20"/>
                <w:szCs w:val="20"/>
              </w:rPr>
              <w:t>Programme Value £ (full life): £32.6</w:t>
            </w:r>
            <w:r w:rsidR="005C4991" w:rsidRPr="00A54B18">
              <w:rPr>
                <w:rFonts w:eastAsia="Arial" w:cs="Arial"/>
                <w:b/>
                <w:bCs/>
                <w:sz w:val="20"/>
                <w:szCs w:val="20"/>
              </w:rPr>
              <w:t>m</w:t>
            </w:r>
          </w:p>
        </w:tc>
        <w:tc>
          <w:tcPr>
            <w:tcW w:w="2642" w:type="dxa"/>
            <w:tcBorders>
              <w:top w:val="dotted" w:sz="2" w:space="0" w:color="000000" w:themeColor="text1"/>
              <w:left w:val="dotted" w:sz="2" w:space="0" w:color="000000" w:themeColor="text1"/>
              <w:bottom w:val="dotted" w:sz="2" w:space="0" w:color="000000" w:themeColor="text1"/>
              <w:right w:val="single" w:sz="4" w:space="0" w:color="000000" w:themeColor="text1"/>
            </w:tcBorders>
            <w:hideMark/>
          </w:tcPr>
          <w:p w14:paraId="1C769C30" w14:textId="3909654D" w:rsidR="006F3AE7" w:rsidRPr="00A54B18" w:rsidRDefault="7232A90E" w:rsidP="005E557A">
            <w:pPr>
              <w:rPr>
                <w:rFonts w:eastAsia="Arial" w:cs="Arial"/>
                <w:b/>
                <w:bCs/>
                <w:sz w:val="20"/>
                <w:szCs w:val="20"/>
              </w:rPr>
            </w:pPr>
            <w:r w:rsidRPr="00A54B18">
              <w:rPr>
                <w:rFonts w:eastAsia="Arial" w:cs="Arial"/>
                <w:b/>
                <w:bCs/>
                <w:sz w:val="20"/>
                <w:szCs w:val="20"/>
              </w:rPr>
              <w:t xml:space="preserve">Review </w:t>
            </w:r>
            <w:r w:rsidR="6F6CCBE3" w:rsidRPr="00A54B18">
              <w:rPr>
                <w:rFonts w:eastAsia="Arial" w:cs="Arial"/>
                <w:b/>
                <w:bCs/>
                <w:sz w:val="20"/>
                <w:szCs w:val="20"/>
              </w:rPr>
              <w:t>d</w:t>
            </w:r>
            <w:r w:rsidRPr="00A54B18">
              <w:rPr>
                <w:rFonts w:eastAsia="Arial" w:cs="Arial"/>
                <w:b/>
                <w:bCs/>
                <w:sz w:val="20"/>
                <w:szCs w:val="20"/>
              </w:rPr>
              <w:t xml:space="preserve">ate: </w:t>
            </w:r>
            <w:r w:rsidR="00347802">
              <w:rPr>
                <w:rFonts w:eastAsia="Arial" w:cs="Arial"/>
                <w:b/>
                <w:bCs/>
                <w:sz w:val="20"/>
                <w:szCs w:val="20"/>
              </w:rPr>
              <w:t xml:space="preserve">Autumn </w:t>
            </w:r>
            <w:r w:rsidRPr="00A54B18">
              <w:rPr>
                <w:rFonts w:eastAsia="Arial" w:cs="Arial"/>
                <w:b/>
                <w:bCs/>
                <w:sz w:val="20"/>
                <w:szCs w:val="20"/>
              </w:rPr>
              <w:t>202</w:t>
            </w:r>
            <w:r w:rsidR="00347802">
              <w:rPr>
                <w:rFonts w:eastAsia="Arial" w:cs="Arial"/>
                <w:b/>
                <w:bCs/>
                <w:sz w:val="20"/>
                <w:szCs w:val="20"/>
              </w:rPr>
              <w:t>3</w:t>
            </w:r>
          </w:p>
        </w:tc>
      </w:tr>
      <w:tr w:rsidR="006F3AE7" w:rsidRPr="00A54B18" w14:paraId="7BCDC10B" w14:textId="77777777" w:rsidTr="09AA3986">
        <w:trPr>
          <w:trHeight w:val="300"/>
        </w:trPr>
        <w:tc>
          <w:tcPr>
            <w:tcW w:w="3964" w:type="dxa"/>
            <w:tcBorders>
              <w:top w:val="dotted" w:sz="2" w:space="0" w:color="000000" w:themeColor="text1"/>
              <w:left w:val="single" w:sz="4" w:space="0" w:color="auto"/>
              <w:bottom w:val="single" w:sz="4" w:space="0" w:color="auto"/>
              <w:right w:val="dotted" w:sz="2" w:space="0" w:color="000000" w:themeColor="text1"/>
            </w:tcBorders>
          </w:tcPr>
          <w:p w14:paraId="0C963E24" w14:textId="17369201" w:rsidR="006F3AE7" w:rsidRPr="00A54B18" w:rsidRDefault="7232A90E" w:rsidP="005E557A">
            <w:pPr>
              <w:rPr>
                <w:rFonts w:eastAsia="Arial" w:cs="Arial"/>
                <w:sz w:val="20"/>
                <w:szCs w:val="20"/>
              </w:rPr>
            </w:pPr>
            <w:r w:rsidRPr="00A54B18">
              <w:rPr>
                <w:rFonts w:eastAsia="Arial" w:cs="Arial"/>
                <w:b/>
                <w:bCs/>
                <w:sz w:val="20"/>
                <w:szCs w:val="20"/>
              </w:rPr>
              <w:t>Programme Code:</w:t>
            </w:r>
            <w:r w:rsidRPr="00A54B18">
              <w:rPr>
                <w:rFonts w:eastAsia="Arial" w:cs="Arial"/>
                <w:sz w:val="20"/>
                <w:szCs w:val="20"/>
              </w:rPr>
              <w:t xml:space="preserve"> </w:t>
            </w:r>
            <w:r w:rsidR="21B9E5E1" w:rsidRPr="00A54B18">
              <w:rPr>
                <w:rFonts w:eastAsia="Arial" w:cs="Arial"/>
                <w:sz w:val="20"/>
                <w:szCs w:val="20"/>
              </w:rPr>
              <w:t>GB-GOV-GB-7-P00052-ICF-P0003-ECO.B</w:t>
            </w:r>
          </w:p>
        </w:tc>
        <w:tc>
          <w:tcPr>
            <w:tcW w:w="2410" w:type="dxa"/>
            <w:tcBorders>
              <w:top w:val="dotted" w:sz="2" w:space="0" w:color="000000" w:themeColor="text1"/>
              <w:left w:val="dotted" w:sz="2" w:space="0" w:color="000000" w:themeColor="text1"/>
              <w:bottom w:val="single" w:sz="4" w:space="0" w:color="000000" w:themeColor="text1"/>
              <w:right w:val="dotted" w:sz="2" w:space="0" w:color="000000" w:themeColor="text1"/>
            </w:tcBorders>
            <w:hideMark/>
          </w:tcPr>
          <w:p w14:paraId="086469CF" w14:textId="4D843757" w:rsidR="006F3AE7" w:rsidRPr="00A54B18" w:rsidRDefault="6F6CCBE3" w:rsidP="005E557A">
            <w:pPr>
              <w:rPr>
                <w:rFonts w:eastAsia="Arial" w:cs="Arial"/>
                <w:b/>
                <w:bCs/>
                <w:sz w:val="20"/>
                <w:szCs w:val="20"/>
              </w:rPr>
            </w:pPr>
            <w:r w:rsidRPr="00A54B18">
              <w:rPr>
                <w:rFonts w:eastAsia="Arial" w:cs="Arial"/>
                <w:b/>
                <w:bCs/>
                <w:sz w:val="20"/>
                <w:szCs w:val="20"/>
              </w:rPr>
              <w:t>Start d</w:t>
            </w:r>
            <w:r w:rsidR="7232A90E" w:rsidRPr="00A54B18">
              <w:rPr>
                <w:rFonts w:eastAsia="Arial" w:cs="Arial"/>
                <w:b/>
                <w:bCs/>
                <w:sz w:val="20"/>
                <w:szCs w:val="20"/>
              </w:rPr>
              <w:t>ate:</w:t>
            </w:r>
            <w:r w:rsidR="7232A90E" w:rsidRPr="00A54B18">
              <w:rPr>
                <w:rFonts w:eastAsia="Arial" w:cs="Arial"/>
                <w:sz w:val="20"/>
                <w:szCs w:val="20"/>
              </w:rPr>
              <w:t xml:space="preserve"> </w:t>
            </w:r>
            <w:r w:rsidR="21B9E5E1" w:rsidRPr="00A54B18">
              <w:rPr>
                <w:rFonts w:eastAsia="Arial" w:cs="Arial"/>
                <w:sz w:val="20"/>
                <w:szCs w:val="20"/>
              </w:rPr>
              <w:t xml:space="preserve">Fund inception: January 2015  </w:t>
            </w:r>
          </w:p>
          <w:p w14:paraId="45976266" w14:textId="43D1C5E4" w:rsidR="006F3AE7" w:rsidRPr="00A54B18" w:rsidRDefault="21B9E5E1" w:rsidP="005E557A">
            <w:pPr>
              <w:rPr>
                <w:rFonts w:eastAsia="Arial" w:cs="Arial"/>
                <w:sz w:val="20"/>
                <w:szCs w:val="20"/>
              </w:rPr>
            </w:pPr>
            <w:r w:rsidRPr="00A54B18">
              <w:rPr>
                <w:rFonts w:eastAsia="Arial" w:cs="Arial"/>
                <w:sz w:val="20"/>
                <w:szCs w:val="20"/>
              </w:rPr>
              <w:t xml:space="preserve">Promissory Note (£20m): December 2015  </w:t>
            </w:r>
          </w:p>
          <w:p w14:paraId="7ADA9748" w14:textId="35BD96A0" w:rsidR="006F3AE7" w:rsidRPr="00A54B18" w:rsidRDefault="21B9E5E1" w:rsidP="005E557A">
            <w:pPr>
              <w:rPr>
                <w:rFonts w:eastAsia="Arial" w:cs="Arial"/>
                <w:sz w:val="20"/>
                <w:szCs w:val="20"/>
              </w:rPr>
            </w:pPr>
            <w:r w:rsidRPr="00A54B18">
              <w:rPr>
                <w:rFonts w:eastAsia="Arial" w:cs="Arial"/>
                <w:sz w:val="20"/>
                <w:szCs w:val="20"/>
              </w:rPr>
              <w:t>Further investment (£12.6m): December 2019</w:t>
            </w:r>
          </w:p>
        </w:tc>
        <w:tc>
          <w:tcPr>
            <w:tcW w:w="2642" w:type="dxa"/>
            <w:tcBorders>
              <w:top w:val="dotted" w:sz="2" w:space="0" w:color="000000" w:themeColor="text1"/>
              <w:left w:val="dotted" w:sz="2" w:space="0" w:color="000000" w:themeColor="text1"/>
              <w:bottom w:val="single" w:sz="4" w:space="0" w:color="auto"/>
              <w:right w:val="single" w:sz="4" w:space="0" w:color="auto"/>
            </w:tcBorders>
            <w:hideMark/>
          </w:tcPr>
          <w:p w14:paraId="2EEAABCE" w14:textId="27DE07BA" w:rsidR="006F3AE7" w:rsidRPr="00A54B18" w:rsidRDefault="6F6CCBE3" w:rsidP="005E557A">
            <w:pPr>
              <w:rPr>
                <w:rFonts w:eastAsia="Arial" w:cs="Arial"/>
                <w:b/>
                <w:bCs/>
                <w:sz w:val="20"/>
                <w:szCs w:val="20"/>
              </w:rPr>
            </w:pPr>
            <w:r w:rsidRPr="00A54B18">
              <w:rPr>
                <w:rFonts w:eastAsia="Arial" w:cs="Arial"/>
                <w:b/>
                <w:bCs/>
                <w:sz w:val="20"/>
                <w:szCs w:val="20"/>
              </w:rPr>
              <w:t>End d</w:t>
            </w:r>
            <w:r w:rsidR="7232A90E" w:rsidRPr="00A54B18">
              <w:rPr>
                <w:rFonts w:eastAsia="Arial" w:cs="Arial"/>
                <w:b/>
                <w:bCs/>
                <w:sz w:val="20"/>
                <w:szCs w:val="20"/>
              </w:rPr>
              <w:t>ate:</w:t>
            </w:r>
            <w:r w:rsidR="7232A90E" w:rsidRPr="00A54B18">
              <w:rPr>
                <w:rFonts w:eastAsia="Arial" w:cs="Arial"/>
                <w:sz w:val="20"/>
                <w:szCs w:val="20"/>
              </w:rPr>
              <w:t xml:space="preserve"> </w:t>
            </w:r>
            <w:r w:rsidR="21B9E5E1" w:rsidRPr="00A54B18">
              <w:rPr>
                <w:rFonts w:eastAsia="Arial" w:cs="Arial"/>
                <w:sz w:val="20"/>
                <w:szCs w:val="20"/>
              </w:rPr>
              <w:t xml:space="preserve">Provision for the Department for Environment, Food and Rural Affairs (Defra) investment to be returned in December 2030 and 2035 respectively  </w:t>
            </w:r>
          </w:p>
        </w:tc>
      </w:tr>
    </w:tbl>
    <w:p w14:paraId="1F73C094" w14:textId="77777777" w:rsidR="006F3AE7" w:rsidRPr="00A54B18" w:rsidRDefault="006F3AE7" w:rsidP="005E557A">
      <w:pPr>
        <w:rPr>
          <w:rFonts w:eastAsia="Arial" w:cs="Arial"/>
          <w:b/>
          <w:bCs/>
          <w:sz w:val="22"/>
          <w:szCs w:val="22"/>
        </w:rPr>
      </w:pPr>
    </w:p>
    <w:p w14:paraId="36AFB1BA" w14:textId="77777777" w:rsidR="006F3AE7" w:rsidRPr="00A54B18" w:rsidRDefault="7232A90E" w:rsidP="005E557A">
      <w:pPr>
        <w:rPr>
          <w:rFonts w:eastAsia="Arial" w:cs="Arial"/>
          <w:b/>
          <w:bCs/>
          <w:sz w:val="22"/>
          <w:szCs w:val="22"/>
        </w:rPr>
      </w:pPr>
      <w:r w:rsidRPr="00A54B18">
        <w:rPr>
          <w:rFonts w:eastAsia="Arial" w:cs="Arial"/>
          <w:b/>
          <w:bCs/>
          <w:sz w:val="22"/>
          <w:szCs w:val="22"/>
        </w:rPr>
        <w:t xml:space="preserve">Summary of Programme Performance </w:t>
      </w:r>
    </w:p>
    <w:tbl>
      <w:tblPr>
        <w:tblStyle w:val="TableGrid"/>
        <w:tblW w:w="9030" w:type="dxa"/>
        <w:tblLook w:val="04A0" w:firstRow="1" w:lastRow="0" w:firstColumn="1" w:lastColumn="0" w:noHBand="0" w:noVBand="1"/>
      </w:tblPr>
      <w:tblGrid>
        <w:gridCol w:w="2165"/>
        <w:gridCol w:w="1373"/>
        <w:gridCol w:w="1373"/>
        <w:gridCol w:w="1373"/>
        <w:gridCol w:w="1373"/>
        <w:gridCol w:w="1373"/>
      </w:tblGrid>
      <w:tr w:rsidR="00347802" w:rsidRPr="00A54B18" w14:paraId="3FAAC49F" w14:textId="6685FBD8" w:rsidTr="00347802">
        <w:trPr>
          <w:trHeight w:val="293"/>
        </w:trPr>
        <w:tc>
          <w:tcPr>
            <w:tcW w:w="216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D41FCBF" w14:textId="77777777" w:rsidR="00347802" w:rsidRPr="00A54B18" w:rsidRDefault="00347802" w:rsidP="005E557A">
            <w:pPr>
              <w:rPr>
                <w:rFonts w:eastAsia="Arial" w:cs="Arial"/>
                <w:sz w:val="20"/>
                <w:szCs w:val="20"/>
              </w:rPr>
            </w:pPr>
            <w:r w:rsidRPr="00A54B18">
              <w:rPr>
                <w:rFonts w:eastAsia="Arial" w:cs="Arial"/>
                <w:sz w:val="20"/>
                <w:szCs w:val="20"/>
              </w:rPr>
              <w:t>Year</w:t>
            </w:r>
          </w:p>
        </w:tc>
        <w:tc>
          <w:tcPr>
            <w:tcW w:w="1373" w:type="dxa"/>
            <w:tcBorders>
              <w:top w:val="single" w:sz="4" w:space="0" w:color="auto"/>
              <w:left w:val="single" w:sz="4" w:space="0" w:color="auto"/>
              <w:bottom w:val="single" w:sz="4" w:space="0" w:color="auto"/>
              <w:right w:val="single" w:sz="4" w:space="0" w:color="auto"/>
            </w:tcBorders>
          </w:tcPr>
          <w:p w14:paraId="4142BE6C" w14:textId="2B1904BA" w:rsidR="00347802" w:rsidRPr="00A54B18" w:rsidRDefault="00347802" w:rsidP="005E557A">
            <w:pPr>
              <w:rPr>
                <w:rFonts w:eastAsia="Arial" w:cs="Arial"/>
                <w:b/>
                <w:bCs/>
                <w:sz w:val="20"/>
                <w:szCs w:val="20"/>
              </w:rPr>
            </w:pPr>
            <w:r w:rsidRPr="00A54B18">
              <w:rPr>
                <w:rFonts w:eastAsia="Arial" w:cs="Arial"/>
                <w:b/>
                <w:bCs/>
                <w:sz w:val="20"/>
                <w:szCs w:val="20"/>
              </w:rPr>
              <w:t>2018</w:t>
            </w:r>
          </w:p>
        </w:tc>
        <w:tc>
          <w:tcPr>
            <w:tcW w:w="1373" w:type="dxa"/>
            <w:tcBorders>
              <w:top w:val="single" w:sz="4" w:space="0" w:color="auto"/>
              <w:left w:val="single" w:sz="4" w:space="0" w:color="auto"/>
              <w:bottom w:val="single" w:sz="4" w:space="0" w:color="auto"/>
              <w:right w:val="single" w:sz="4" w:space="0" w:color="auto"/>
            </w:tcBorders>
          </w:tcPr>
          <w:p w14:paraId="388FF97F" w14:textId="5967C163" w:rsidR="00347802" w:rsidRPr="00A54B18" w:rsidRDefault="00347802" w:rsidP="005E557A">
            <w:pPr>
              <w:rPr>
                <w:rFonts w:eastAsia="Arial" w:cs="Arial"/>
                <w:b/>
                <w:bCs/>
                <w:sz w:val="20"/>
                <w:szCs w:val="20"/>
              </w:rPr>
            </w:pPr>
            <w:r w:rsidRPr="00A54B18">
              <w:rPr>
                <w:rFonts w:eastAsia="Arial" w:cs="Arial"/>
                <w:b/>
                <w:bCs/>
                <w:sz w:val="20"/>
                <w:szCs w:val="20"/>
              </w:rPr>
              <w:t>2019</w:t>
            </w:r>
          </w:p>
        </w:tc>
        <w:tc>
          <w:tcPr>
            <w:tcW w:w="1373" w:type="dxa"/>
            <w:tcBorders>
              <w:top w:val="single" w:sz="4" w:space="0" w:color="auto"/>
              <w:left w:val="single" w:sz="4" w:space="0" w:color="auto"/>
              <w:bottom w:val="single" w:sz="4" w:space="0" w:color="auto"/>
              <w:right w:val="single" w:sz="4" w:space="0" w:color="auto"/>
            </w:tcBorders>
          </w:tcPr>
          <w:p w14:paraId="066342D3" w14:textId="0151EE72" w:rsidR="00347802" w:rsidRPr="00A54B18" w:rsidRDefault="00347802" w:rsidP="005E557A">
            <w:pPr>
              <w:rPr>
                <w:rFonts w:eastAsia="Arial" w:cs="Arial"/>
                <w:b/>
                <w:bCs/>
                <w:sz w:val="20"/>
                <w:szCs w:val="20"/>
              </w:rPr>
            </w:pPr>
            <w:r w:rsidRPr="00A54B18">
              <w:rPr>
                <w:rFonts w:eastAsia="Arial" w:cs="Arial"/>
                <w:b/>
                <w:bCs/>
                <w:sz w:val="20"/>
                <w:szCs w:val="20"/>
              </w:rPr>
              <w:t>2020</w:t>
            </w:r>
          </w:p>
        </w:tc>
        <w:tc>
          <w:tcPr>
            <w:tcW w:w="1373" w:type="dxa"/>
            <w:tcBorders>
              <w:top w:val="single" w:sz="4" w:space="0" w:color="auto"/>
              <w:left w:val="single" w:sz="4" w:space="0" w:color="auto"/>
              <w:bottom w:val="single" w:sz="4" w:space="0" w:color="auto"/>
              <w:right w:val="single" w:sz="4" w:space="0" w:color="auto"/>
            </w:tcBorders>
          </w:tcPr>
          <w:p w14:paraId="29074948" w14:textId="31CBFE8F" w:rsidR="00347802" w:rsidRPr="00A54B18" w:rsidRDefault="00347802" w:rsidP="005E557A">
            <w:pPr>
              <w:rPr>
                <w:rFonts w:eastAsia="Arial" w:cs="Arial"/>
                <w:b/>
                <w:bCs/>
                <w:sz w:val="20"/>
                <w:szCs w:val="20"/>
              </w:rPr>
            </w:pPr>
            <w:r w:rsidRPr="00A54B18">
              <w:rPr>
                <w:rFonts w:eastAsia="Arial" w:cs="Arial"/>
                <w:b/>
                <w:bCs/>
                <w:sz w:val="20"/>
                <w:szCs w:val="20"/>
              </w:rPr>
              <w:t>2021</w:t>
            </w:r>
          </w:p>
        </w:tc>
        <w:tc>
          <w:tcPr>
            <w:tcW w:w="1373" w:type="dxa"/>
            <w:tcBorders>
              <w:top w:val="single" w:sz="4" w:space="0" w:color="auto"/>
              <w:left w:val="single" w:sz="4" w:space="0" w:color="auto"/>
              <w:bottom w:val="single" w:sz="4" w:space="0" w:color="auto"/>
              <w:right w:val="single" w:sz="4" w:space="0" w:color="auto"/>
            </w:tcBorders>
          </w:tcPr>
          <w:p w14:paraId="3D1B7432" w14:textId="2161EC4C" w:rsidR="00347802" w:rsidRPr="00A54B18" w:rsidRDefault="00347802" w:rsidP="005E557A">
            <w:pPr>
              <w:rPr>
                <w:rFonts w:eastAsia="Arial" w:cs="Arial"/>
                <w:b/>
                <w:bCs/>
                <w:sz w:val="20"/>
                <w:szCs w:val="20"/>
              </w:rPr>
            </w:pPr>
            <w:r>
              <w:rPr>
                <w:rFonts w:eastAsia="Arial" w:cs="Arial"/>
                <w:b/>
                <w:bCs/>
                <w:sz w:val="20"/>
                <w:szCs w:val="20"/>
              </w:rPr>
              <w:t>2022</w:t>
            </w:r>
          </w:p>
        </w:tc>
      </w:tr>
      <w:tr w:rsidR="00347802" w:rsidRPr="00A54B18" w14:paraId="07C3274D" w14:textId="01CEDB06" w:rsidTr="00B111BD">
        <w:trPr>
          <w:trHeight w:val="339"/>
        </w:trPr>
        <w:tc>
          <w:tcPr>
            <w:tcW w:w="216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545D41E" w14:textId="2FC46EB2" w:rsidR="00347802" w:rsidRPr="00A54B18" w:rsidRDefault="00347802" w:rsidP="005E557A">
            <w:pPr>
              <w:rPr>
                <w:rFonts w:eastAsia="Arial" w:cs="Arial"/>
                <w:sz w:val="20"/>
                <w:szCs w:val="20"/>
              </w:rPr>
            </w:pPr>
            <w:r w:rsidRPr="00A54B18">
              <w:rPr>
                <w:rFonts w:eastAsia="Arial" w:cs="Arial"/>
                <w:sz w:val="20"/>
                <w:szCs w:val="20"/>
              </w:rPr>
              <w:t>Overall Output Score</w:t>
            </w:r>
          </w:p>
        </w:tc>
        <w:tc>
          <w:tcPr>
            <w:tcW w:w="1373" w:type="dxa"/>
            <w:tcBorders>
              <w:top w:val="single" w:sz="4" w:space="0" w:color="auto"/>
              <w:left w:val="single" w:sz="4" w:space="0" w:color="auto"/>
              <w:bottom w:val="single" w:sz="4" w:space="0" w:color="auto"/>
              <w:right w:val="single" w:sz="4" w:space="0" w:color="auto"/>
            </w:tcBorders>
          </w:tcPr>
          <w:p w14:paraId="6BA4EC77" w14:textId="1CAA8FB1" w:rsidR="00347802" w:rsidRPr="00A54B18" w:rsidRDefault="00347802" w:rsidP="005E557A">
            <w:pPr>
              <w:rPr>
                <w:rFonts w:eastAsia="Arial" w:cs="Arial"/>
                <w:b/>
                <w:bCs/>
                <w:sz w:val="20"/>
                <w:szCs w:val="20"/>
              </w:rPr>
            </w:pPr>
            <w:r w:rsidRPr="00A54B18">
              <w:rPr>
                <w:rFonts w:eastAsia="Arial" w:cs="Arial"/>
                <w:b/>
                <w:bCs/>
                <w:sz w:val="20"/>
                <w:szCs w:val="20"/>
              </w:rPr>
              <w:t>A</w:t>
            </w:r>
          </w:p>
        </w:tc>
        <w:tc>
          <w:tcPr>
            <w:tcW w:w="1373" w:type="dxa"/>
            <w:tcBorders>
              <w:top w:val="single" w:sz="4" w:space="0" w:color="auto"/>
              <w:left w:val="single" w:sz="4" w:space="0" w:color="auto"/>
              <w:bottom w:val="single" w:sz="4" w:space="0" w:color="auto"/>
              <w:right w:val="single" w:sz="4" w:space="0" w:color="auto"/>
            </w:tcBorders>
          </w:tcPr>
          <w:p w14:paraId="31108F1C" w14:textId="1982E282" w:rsidR="00347802" w:rsidRPr="00A54B18" w:rsidRDefault="00347802" w:rsidP="005E557A">
            <w:pPr>
              <w:rPr>
                <w:rFonts w:eastAsia="Arial" w:cs="Arial"/>
                <w:b/>
                <w:bCs/>
                <w:sz w:val="20"/>
                <w:szCs w:val="20"/>
              </w:rPr>
            </w:pPr>
            <w:r w:rsidRPr="00A54B18">
              <w:rPr>
                <w:rFonts w:eastAsia="Arial" w:cs="Arial"/>
                <w:b/>
                <w:bCs/>
                <w:sz w:val="20"/>
                <w:szCs w:val="20"/>
              </w:rPr>
              <w:t>A+</w:t>
            </w:r>
          </w:p>
        </w:tc>
        <w:tc>
          <w:tcPr>
            <w:tcW w:w="1373" w:type="dxa"/>
            <w:tcBorders>
              <w:top w:val="single" w:sz="4" w:space="0" w:color="auto"/>
              <w:left w:val="single" w:sz="4" w:space="0" w:color="auto"/>
              <w:bottom w:val="single" w:sz="4" w:space="0" w:color="auto"/>
              <w:right w:val="single" w:sz="4" w:space="0" w:color="auto"/>
            </w:tcBorders>
          </w:tcPr>
          <w:p w14:paraId="634F0501" w14:textId="01881ABA" w:rsidR="00347802" w:rsidRPr="00A54B18" w:rsidRDefault="00347802" w:rsidP="005E557A">
            <w:pPr>
              <w:rPr>
                <w:rFonts w:eastAsia="Arial" w:cs="Arial"/>
                <w:b/>
                <w:bCs/>
                <w:sz w:val="20"/>
                <w:szCs w:val="20"/>
              </w:rPr>
            </w:pPr>
            <w:r w:rsidRPr="00A54B18">
              <w:rPr>
                <w:rFonts w:eastAsia="Arial" w:cs="Arial"/>
                <w:b/>
                <w:bCs/>
                <w:sz w:val="20"/>
                <w:szCs w:val="20"/>
              </w:rPr>
              <w:t>A</w:t>
            </w:r>
          </w:p>
        </w:tc>
        <w:tc>
          <w:tcPr>
            <w:tcW w:w="1373" w:type="dxa"/>
            <w:tcBorders>
              <w:top w:val="single" w:sz="4" w:space="0" w:color="auto"/>
              <w:left w:val="single" w:sz="4" w:space="0" w:color="auto"/>
              <w:bottom w:val="single" w:sz="4" w:space="0" w:color="auto"/>
              <w:right w:val="single" w:sz="4" w:space="0" w:color="auto"/>
            </w:tcBorders>
          </w:tcPr>
          <w:p w14:paraId="697FDD6A" w14:textId="52A23CF9" w:rsidR="00347802" w:rsidRPr="00A54B18" w:rsidRDefault="00347802" w:rsidP="005E557A">
            <w:pPr>
              <w:rPr>
                <w:rFonts w:eastAsia="Arial" w:cs="Arial"/>
                <w:b/>
                <w:bCs/>
                <w:sz w:val="20"/>
                <w:szCs w:val="20"/>
              </w:rPr>
            </w:pPr>
            <w:r w:rsidRPr="00A54B18">
              <w:rPr>
                <w:rFonts w:eastAsia="Arial" w:cs="Arial"/>
                <w:b/>
                <w:bCs/>
                <w:sz w:val="20"/>
                <w:szCs w:val="20"/>
              </w:rPr>
              <w:t>A+</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77B522A8" w14:textId="6E89B78A" w:rsidR="004712B3" w:rsidRPr="00A54B18" w:rsidRDefault="0066495D" w:rsidP="005E557A">
            <w:pPr>
              <w:rPr>
                <w:rFonts w:eastAsia="Arial" w:cs="Arial"/>
                <w:b/>
                <w:bCs/>
                <w:sz w:val="20"/>
                <w:szCs w:val="20"/>
              </w:rPr>
            </w:pPr>
            <w:r>
              <w:rPr>
                <w:rFonts w:eastAsia="Arial" w:cs="Arial"/>
                <w:b/>
                <w:bCs/>
                <w:sz w:val="20"/>
                <w:szCs w:val="20"/>
              </w:rPr>
              <w:t>A+</w:t>
            </w:r>
          </w:p>
        </w:tc>
      </w:tr>
      <w:tr w:rsidR="00347802" w:rsidRPr="00A54B18" w14:paraId="29305AB3" w14:textId="128E8EE8" w:rsidTr="00B111BD">
        <w:trPr>
          <w:trHeight w:val="295"/>
        </w:trPr>
        <w:tc>
          <w:tcPr>
            <w:tcW w:w="216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4C76BE5" w14:textId="77777777" w:rsidR="00347802" w:rsidRPr="00A54B18" w:rsidRDefault="00347802" w:rsidP="005E557A">
            <w:pPr>
              <w:rPr>
                <w:rFonts w:eastAsia="Arial" w:cs="Arial"/>
                <w:sz w:val="20"/>
                <w:szCs w:val="20"/>
              </w:rPr>
            </w:pPr>
            <w:r w:rsidRPr="00A54B18">
              <w:rPr>
                <w:rFonts w:eastAsia="Arial" w:cs="Arial"/>
                <w:sz w:val="20"/>
                <w:szCs w:val="20"/>
              </w:rPr>
              <w:t>Risk Rating</w:t>
            </w:r>
            <w:r w:rsidRPr="00A54B18">
              <w:rPr>
                <w:rFonts w:eastAsia="Arial" w:cs="Arial"/>
                <w:sz w:val="22"/>
                <w:szCs w:val="22"/>
              </w:rPr>
              <w:t xml:space="preserve"> </w:t>
            </w:r>
          </w:p>
        </w:tc>
        <w:tc>
          <w:tcPr>
            <w:tcW w:w="1373" w:type="dxa"/>
            <w:tcBorders>
              <w:top w:val="single" w:sz="4" w:space="0" w:color="auto"/>
              <w:left w:val="single" w:sz="4" w:space="0" w:color="auto"/>
              <w:bottom w:val="single" w:sz="4" w:space="0" w:color="auto"/>
              <w:right w:val="single" w:sz="4" w:space="0" w:color="auto"/>
            </w:tcBorders>
          </w:tcPr>
          <w:p w14:paraId="2BF67D24" w14:textId="64B95742" w:rsidR="00347802" w:rsidRPr="00A54B18" w:rsidRDefault="00347802" w:rsidP="005E557A">
            <w:pPr>
              <w:rPr>
                <w:rFonts w:eastAsia="Arial" w:cs="Arial"/>
                <w:b/>
                <w:bCs/>
              </w:rPr>
            </w:pPr>
            <w:r w:rsidRPr="00A54B18">
              <w:rPr>
                <w:rFonts w:eastAsia="Arial" w:cs="Arial"/>
                <w:b/>
                <w:bCs/>
                <w:sz w:val="20"/>
                <w:szCs w:val="20"/>
              </w:rPr>
              <w:t>Moderate</w:t>
            </w:r>
          </w:p>
        </w:tc>
        <w:tc>
          <w:tcPr>
            <w:tcW w:w="1373" w:type="dxa"/>
            <w:tcBorders>
              <w:top w:val="single" w:sz="4" w:space="0" w:color="auto"/>
              <w:left w:val="single" w:sz="4" w:space="0" w:color="auto"/>
              <w:bottom w:val="single" w:sz="4" w:space="0" w:color="auto"/>
              <w:right w:val="single" w:sz="4" w:space="0" w:color="auto"/>
            </w:tcBorders>
          </w:tcPr>
          <w:p w14:paraId="2A2B872D" w14:textId="16529386" w:rsidR="00347802" w:rsidRPr="00A54B18" w:rsidRDefault="00347802" w:rsidP="005E557A">
            <w:pPr>
              <w:rPr>
                <w:rFonts w:eastAsia="Arial" w:cs="Arial"/>
                <w:b/>
                <w:bCs/>
              </w:rPr>
            </w:pPr>
            <w:r w:rsidRPr="00A54B18">
              <w:rPr>
                <w:rFonts w:eastAsia="Arial" w:cs="Arial"/>
                <w:b/>
                <w:bCs/>
                <w:sz w:val="20"/>
                <w:szCs w:val="20"/>
              </w:rPr>
              <w:t>Moderate</w:t>
            </w:r>
          </w:p>
        </w:tc>
        <w:tc>
          <w:tcPr>
            <w:tcW w:w="1373" w:type="dxa"/>
            <w:tcBorders>
              <w:top w:val="single" w:sz="4" w:space="0" w:color="auto"/>
              <w:left w:val="single" w:sz="4" w:space="0" w:color="auto"/>
              <w:bottom w:val="single" w:sz="4" w:space="0" w:color="auto"/>
              <w:right w:val="single" w:sz="4" w:space="0" w:color="auto"/>
            </w:tcBorders>
          </w:tcPr>
          <w:p w14:paraId="62ED8C8E" w14:textId="3094D1FA" w:rsidR="00347802" w:rsidRPr="00A54B18" w:rsidRDefault="00347802" w:rsidP="005E557A">
            <w:pPr>
              <w:rPr>
                <w:rFonts w:eastAsia="Arial" w:cs="Arial"/>
                <w:b/>
                <w:bCs/>
              </w:rPr>
            </w:pPr>
            <w:r w:rsidRPr="00A54B18">
              <w:rPr>
                <w:rFonts w:eastAsia="Arial" w:cs="Arial"/>
                <w:b/>
                <w:bCs/>
                <w:sz w:val="20"/>
                <w:szCs w:val="20"/>
              </w:rPr>
              <w:t>Moderate</w:t>
            </w:r>
          </w:p>
        </w:tc>
        <w:tc>
          <w:tcPr>
            <w:tcW w:w="1373" w:type="dxa"/>
            <w:tcBorders>
              <w:top w:val="single" w:sz="4" w:space="0" w:color="auto"/>
              <w:left w:val="single" w:sz="4" w:space="0" w:color="auto"/>
              <w:bottom w:val="single" w:sz="4" w:space="0" w:color="auto"/>
              <w:right w:val="single" w:sz="4" w:space="0" w:color="auto"/>
            </w:tcBorders>
          </w:tcPr>
          <w:p w14:paraId="4E36212A" w14:textId="550DD26C" w:rsidR="00347802" w:rsidRPr="00A54B18" w:rsidRDefault="00347802" w:rsidP="005E557A">
            <w:pPr>
              <w:rPr>
                <w:rFonts w:eastAsia="Arial" w:cs="Arial"/>
                <w:b/>
                <w:bCs/>
                <w:sz w:val="20"/>
                <w:szCs w:val="20"/>
              </w:rPr>
            </w:pPr>
            <w:r w:rsidRPr="00A54B18">
              <w:rPr>
                <w:rFonts w:eastAsia="Arial" w:cs="Arial"/>
                <w:b/>
                <w:bCs/>
                <w:sz w:val="20"/>
                <w:szCs w:val="20"/>
              </w:rPr>
              <w:t>Moderate</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020D1089" w14:textId="5396CB53" w:rsidR="00347802" w:rsidRPr="00A54B18" w:rsidRDefault="00547715" w:rsidP="005E557A">
            <w:pPr>
              <w:rPr>
                <w:rFonts w:eastAsia="Arial" w:cs="Arial"/>
                <w:b/>
                <w:bCs/>
                <w:sz w:val="20"/>
                <w:szCs w:val="20"/>
              </w:rPr>
            </w:pPr>
            <w:r>
              <w:rPr>
                <w:rFonts w:eastAsia="Arial" w:cs="Arial"/>
                <w:b/>
                <w:bCs/>
                <w:sz w:val="20"/>
                <w:szCs w:val="20"/>
              </w:rPr>
              <w:t>Low</w:t>
            </w:r>
          </w:p>
        </w:tc>
      </w:tr>
    </w:tbl>
    <w:p w14:paraId="3F14494A" w14:textId="77777777" w:rsidR="006F3AE7" w:rsidRPr="00A54B18" w:rsidRDefault="006F3AE7" w:rsidP="005E557A">
      <w:pPr>
        <w:rPr>
          <w:rFonts w:eastAsia="Arial" w:cs="Arial"/>
          <w:b/>
          <w:bCs/>
          <w:sz w:val="22"/>
          <w:szCs w:val="22"/>
        </w:rPr>
      </w:pPr>
    </w:p>
    <w:tbl>
      <w:tblPr>
        <w:tblStyle w:val="TableGrid"/>
        <w:tblW w:w="0" w:type="auto"/>
        <w:tblInd w:w="-5" w:type="dxa"/>
        <w:tblLook w:val="04A0" w:firstRow="1" w:lastRow="0" w:firstColumn="1" w:lastColumn="0" w:noHBand="0" w:noVBand="1"/>
      </w:tblPr>
      <w:tblGrid>
        <w:gridCol w:w="3969"/>
        <w:gridCol w:w="5052"/>
      </w:tblGrid>
      <w:tr w:rsidR="008879B4" w:rsidRPr="00A54B18" w14:paraId="5ED04B8A" w14:textId="77777777" w:rsidTr="09AA3986">
        <w:trPr>
          <w:trHeight w:val="355"/>
        </w:trPr>
        <w:tc>
          <w:tcPr>
            <w:tcW w:w="3969" w:type="dxa"/>
            <w:shd w:val="clear" w:color="auto" w:fill="B4C6E7" w:themeFill="accent1" w:themeFillTint="66"/>
            <w:hideMark/>
          </w:tcPr>
          <w:p w14:paraId="084C6192" w14:textId="77777777" w:rsidR="006F3AE7" w:rsidRPr="00A54B18" w:rsidRDefault="7232A90E" w:rsidP="005E557A">
            <w:pPr>
              <w:rPr>
                <w:rFonts w:eastAsia="Arial" w:cs="Arial"/>
                <w:sz w:val="20"/>
                <w:szCs w:val="20"/>
              </w:rPr>
            </w:pPr>
            <w:r w:rsidRPr="00A54B18">
              <w:rPr>
                <w:rFonts w:eastAsia="Arial" w:cs="Arial"/>
                <w:sz w:val="20"/>
                <w:szCs w:val="20"/>
              </w:rPr>
              <w:t xml:space="preserve">DevTracker Link to Business Case: </w:t>
            </w:r>
          </w:p>
        </w:tc>
        <w:tc>
          <w:tcPr>
            <w:tcW w:w="5052" w:type="dxa"/>
          </w:tcPr>
          <w:p w14:paraId="7547CEAA" w14:textId="77777777" w:rsidR="006F3AE7" w:rsidRPr="00A54B18" w:rsidRDefault="006F3AE7" w:rsidP="005E557A">
            <w:pPr>
              <w:rPr>
                <w:rFonts w:eastAsia="Arial" w:cs="Arial"/>
                <w:b/>
                <w:bCs/>
                <w:sz w:val="22"/>
                <w:szCs w:val="22"/>
              </w:rPr>
            </w:pPr>
          </w:p>
        </w:tc>
      </w:tr>
      <w:tr w:rsidR="008879B4" w:rsidRPr="00A54B18" w14:paraId="1BE27F98" w14:textId="77777777" w:rsidTr="09AA3986">
        <w:trPr>
          <w:trHeight w:val="403"/>
        </w:trPr>
        <w:tc>
          <w:tcPr>
            <w:tcW w:w="3969" w:type="dxa"/>
            <w:shd w:val="clear" w:color="auto" w:fill="B4C6E7" w:themeFill="accent1" w:themeFillTint="66"/>
            <w:hideMark/>
          </w:tcPr>
          <w:p w14:paraId="77EEC9AB" w14:textId="21B976EE" w:rsidR="006F3AE7" w:rsidRPr="00A54B18" w:rsidRDefault="7232A90E" w:rsidP="005E557A">
            <w:pPr>
              <w:rPr>
                <w:rFonts w:eastAsia="Arial" w:cs="Arial"/>
                <w:i/>
                <w:iCs/>
                <w:sz w:val="20"/>
                <w:szCs w:val="20"/>
              </w:rPr>
            </w:pPr>
            <w:r w:rsidRPr="00A54B18">
              <w:rPr>
                <w:rFonts w:eastAsia="Arial" w:cs="Arial"/>
                <w:sz w:val="20"/>
                <w:szCs w:val="20"/>
              </w:rPr>
              <w:t xml:space="preserve">DevTracker Link to results framework: </w:t>
            </w:r>
          </w:p>
        </w:tc>
        <w:tc>
          <w:tcPr>
            <w:tcW w:w="5052" w:type="dxa"/>
          </w:tcPr>
          <w:p w14:paraId="1EBB8B7A" w14:textId="77777777" w:rsidR="006F3AE7" w:rsidRPr="00A54B18" w:rsidRDefault="006F3AE7" w:rsidP="005E557A">
            <w:pPr>
              <w:rPr>
                <w:rFonts w:eastAsia="Arial" w:cs="Arial"/>
                <w:b/>
                <w:bCs/>
                <w:sz w:val="22"/>
                <w:szCs w:val="22"/>
              </w:rPr>
            </w:pPr>
          </w:p>
        </w:tc>
      </w:tr>
    </w:tbl>
    <w:p w14:paraId="22403C63" w14:textId="77777777" w:rsidR="003507A1" w:rsidRPr="00A54B18" w:rsidRDefault="003507A1" w:rsidP="005E557A">
      <w:pPr>
        <w:rPr>
          <w:rFonts w:eastAsia="Arial" w:cs="Arial"/>
          <w:sz w:val="20"/>
          <w:szCs w:val="20"/>
        </w:rPr>
      </w:pPr>
    </w:p>
    <w:p w14:paraId="2FEBAAA9" w14:textId="27B4B137" w:rsidR="006F3AE7" w:rsidRPr="00A54B18" w:rsidRDefault="7232A90E" w:rsidP="005E557A">
      <w:pPr>
        <w:pBdr>
          <w:top w:val="single" w:sz="4" w:space="1" w:color="auto"/>
          <w:left w:val="single" w:sz="4" w:space="4" w:color="auto"/>
          <w:bottom w:val="single" w:sz="4" w:space="1" w:color="auto"/>
          <w:right w:val="single" w:sz="4" w:space="4" w:color="auto"/>
        </w:pBdr>
        <w:shd w:val="clear" w:color="auto" w:fill="D9E2F3" w:themeFill="accent1" w:themeFillTint="33"/>
        <w:rPr>
          <w:rFonts w:eastAsia="Arial" w:cs="Arial"/>
          <w:sz w:val="20"/>
          <w:szCs w:val="20"/>
        </w:rPr>
      </w:pPr>
      <w:r w:rsidRPr="00A54B18">
        <w:rPr>
          <w:rFonts w:eastAsia="Arial" w:cs="Arial"/>
          <w:b/>
          <w:bCs/>
          <w:sz w:val="28"/>
          <w:szCs w:val="28"/>
        </w:rPr>
        <w:t>A. SUMMARY AND OVERVIEW</w:t>
      </w:r>
    </w:p>
    <w:p w14:paraId="7EFEDAB3" w14:textId="77777777" w:rsidR="006F3AE7" w:rsidRPr="00A54B18" w:rsidRDefault="006F3AE7" w:rsidP="005E557A">
      <w:pPr>
        <w:rPr>
          <w:rFonts w:eastAsia="Arial" w:cs="Arial"/>
          <w:b/>
          <w:bCs/>
          <w:sz w:val="22"/>
          <w:szCs w:val="22"/>
        </w:rPr>
      </w:pPr>
    </w:p>
    <w:p w14:paraId="121905E8" w14:textId="035BC48B" w:rsidR="006F3AE7" w:rsidRPr="00A54B18" w:rsidRDefault="7232A90E" w:rsidP="00F66B70">
      <w:pPr>
        <w:jc w:val="both"/>
        <w:rPr>
          <w:rFonts w:eastAsia="Arial" w:cs="Arial"/>
          <w:sz w:val="20"/>
          <w:szCs w:val="20"/>
        </w:rPr>
      </w:pPr>
      <w:r w:rsidRPr="237F14D3">
        <w:rPr>
          <w:rFonts w:eastAsia="Arial" w:cs="Arial"/>
          <w:b/>
          <w:bCs/>
          <w:sz w:val="22"/>
          <w:szCs w:val="22"/>
        </w:rPr>
        <w:t xml:space="preserve">Description of programme </w:t>
      </w:r>
    </w:p>
    <w:p w14:paraId="650458F1" w14:textId="77777777" w:rsidR="006F3AE7" w:rsidRPr="00A54B18" w:rsidRDefault="006F3AE7" w:rsidP="00F66B70">
      <w:pPr>
        <w:jc w:val="both"/>
        <w:rPr>
          <w:rFonts w:eastAsia="Arial" w:cs="Arial"/>
          <w:b/>
          <w:bCs/>
          <w:sz w:val="22"/>
          <w:szCs w:val="22"/>
        </w:rPr>
      </w:pPr>
    </w:p>
    <w:p w14:paraId="457F579B" w14:textId="3EBD2928" w:rsidR="006042A9" w:rsidRPr="006042A9" w:rsidRDefault="006042A9" w:rsidP="006042A9">
      <w:pPr>
        <w:jc w:val="both"/>
        <w:rPr>
          <w:rFonts w:eastAsia="Arial" w:cs="Arial"/>
          <w:sz w:val="22"/>
          <w:szCs w:val="22"/>
        </w:rPr>
      </w:pPr>
      <w:r w:rsidRPr="006042A9">
        <w:rPr>
          <w:rFonts w:eastAsia="Arial" w:cs="Arial"/>
          <w:sz w:val="22"/>
          <w:szCs w:val="22"/>
        </w:rPr>
        <w:t xml:space="preserve">The </w:t>
      </w:r>
      <w:proofErr w:type="spellStart"/>
      <w:proofErr w:type="gramStart"/>
      <w:r w:rsidRPr="006042A9">
        <w:rPr>
          <w:rFonts w:eastAsia="Arial" w:cs="Arial"/>
          <w:sz w:val="22"/>
          <w:szCs w:val="22"/>
        </w:rPr>
        <w:t>eco.business</w:t>
      </w:r>
      <w:proofErr w:type="spellEnd"/>
      <w:proofErr w:type="gramEnd"/>
      <w:r w:rsidRPr="006042A9">
        <w:rPr>
          <w:rFonts w:eastAsia="Arial" w:cs="Arial"/>
          <w:sz w:val="22"/>
          <w:szCs w:val="22"/>
        </w:rPr>
        <w:t xml:space="preserve"> Fund (EBF) was set up in December 2014 by the German Development Bank</w:t>
      </w:r>
      <w:r w:rsidR="00356307">
        <w:rPr>
          <w:rFonts w:eastAsia="Arial" w:cs="Arial"/>
          <w:sz w:val="22"/>
          <w:szCs w:val="22"/>
        </w:rPr>
        <w:t xml:space="preserve"> </w:t>
      </w:r>
      <w:proofErr w:type="spellStart"/>
      <w:r w:rsidR="00356307">
        <w:rPr>
          <w:rFonts w:eastAsia="Arial" w:cs="Arial"/>
          <w:sz w:val="22"/>
          <w:szCs w:val="22"/>
        </w:rPr>
        <w:t>KfW</w:t>
      </w:r>
      <w:proofErr w:type="spellEnd"/>
      <w:r w:rsidRPr="006042A9">
        <w:rPr>
          <w:rFonts w:eastAsia="Arial" w:cs="Arial"/>
          <w:sz w:val="22"/>
          <w:szCs w:val="22"/>
        </w:rPr>
        <w:t>, Conservation International and Finance in Motion (FiM – the Fund Advisor). EBF’s mission is to promote business and consumption practices that contribute to biodiversity conservation, to the sustainable use of natural resources, mitigation of climate change and adaptation to climate change impacts. The Fund creates impact by lending money to Partner Institutions (PIs) in target countries, with conditions attached that require those PIs to on-lend that capital to sub-borrowers who meet sustainability criteria. These criteria are set in advance by the Fund – typically certification by a recognised sustainability standard, or use of specific techniques recognised by the Fund as sustainable, depending on the business sector.</w:t>
      </w:r>
    </w:p>
    <w:p w14:paraId="4150B226" w14:textId="77777777" w:rsidR="006042A9" w:rsidRPr="006042A9" w:rsidRDefault="006042A9" w:rsidP="006042A9">
      <w:pPr>
        <w:jc w:val="both"/>
        <w:rPr>
          <w:rFonts w:eastAsia="Arial" w:cs="Arial"/>
          <w:sz w:val="22"/>
          <w:szCs w:val="22"/>
        </w:rPr>
      </w:pPr>
    </w:p>
    <w:p w14:paraId="4DA65699" w14:textId="1AEB2B48" w:rsidR="006641CA" w:rsidRDefault="006042A9" w:rsidP="006042A9">
      <w:pPr>
        <w:jc w:val="both"/>
        <w:rPr>
          <w:rFonts w:eastAsia="Arial" w:cs="Arial"/>
          <w:sz w:val="22"/>
          <w:szCs w:val="22"/>
        </w:rPr>
      </w:pPr>
      <w:r w:rsidRPr="006042A9">
        <w:rPr>
          <w:rFonts w:eastAsia="Arial" w:cs="Arial"/>
          <w:sz w:val="22"/>
          <w:szCs w:val="22"/>
        </w:rPr>
        <w:t>Sub-borrowers can be in the sustainable agriculture, forestry, aquaculture</w:t>
      </w:r>
      <w:r w:rsidR="005656A4">
        <w:rPr>
          <w:rFonts w:eastAsia="Arial" w:cs="Arial"/>
          <w:sz w:val="22"/>
          <w:szCs w:val="22"/>
        </w:rPr>
        <w:t>,</w:t>
      </w:r>
      <w:r w:rsidRPr="006042A9">
        <w:rPr>
          <w:rFonts w:eastAsia="Arial" w:cs="Arial"/>
          <w:sz w:val="22"/>
          <w:szCs w:val="22"/>
        </w:rPr>
        <w:t xml:space="preserve"> or tourism sectors. By providing finance to end-borrowers who already meet high sustainability requirements, EBF supports sustainable land use and encourages its spread, while making end-borrowers competitive against less sustainable alternatives and disincentivising damaging land use change.</w:t>
      </w:r>
      <w:r w:rsidR="00485397">
        <w:rPr>
          <w:rFonts w:eastAsia="Arial" w:cs="Arial"/>
          <w:sz w:val="22"/>
          <w:szCs w:val="22"/>
        </w:rPr>
        <w:t xml:space="preserve"> </w:t>
      </w:r>
      <w:r w:rsidR="00A0481C">
        <w:rPr>
          <w:rFonts w:cs="Arial"/>
          <w:sz w:val="22"/>
          <w:szCs w:val="22"/>
        </w:rPr>
        <w:t>As a source of finance for adaptation and mitigation in more vulnerable countries, this programme is aligned with the Paris Agreement to pursue efforts to limit warming to 1.5</w:t>
      </w:r>
      <w:r w:rsidR="00A0481C" w:rsidRPr="00F749A8">
        <w:rPr>
          <w:rFonts w:cs="Arial"/>
          <w:sz w:val="22"/>
          <w:szCs w:val="22"/>
          <w:shd w:val="clear" w:color="auto" w:fill="F5F7F6"/>
        </w:rPr>
        <w:t>°C</w:t>
      </w:r>
      <w:r w:rsidR="00A0481C" w:rsidRPr="00F749A8">
        <w:rPr>
          <w:rFonts w:cs="Arial"/>
          <w:sz w:val="22"/>
          <w:szCs w:val="22"/>
        </w:rPr>
        <w:t xml:space="preserve"> </w:t>
      </w:r>
      <w:r w:rsidR="00A0481C">
        <w:rPr>
          <w:rFonts w:cs="Arial"/>
          <w:sz w:val="22"/>
          <w:szCs w:val="22"/>
        </w:rPr>
        <w:t>by the end of this century.</w:t>
      </w:r>
    </w:p>
    <w:p w14:paraId="39588865" w14:textId="77777777" w:rsidR="006641CA" w:rsidRDefault="006641CA" w:rsidP="006042A9">
      <w:pPr>
        <w:jc w:val="both"/>
        <w:rPr>
          <w:rFonts w:eastAsia="Arial" w:cs="Arial"/>
          <w:sz w:val="22"/>
          <w:szCs w:val="22"/>
        </w:rPr>
      </w:pPr>
    </w:p>
    <w:p w14:paraId="43AC91D8" w14:textId="538BF092" w:rsidR="00796D7A" w:rsidRPr="006042A9" w:rsidRDefault="00796D7A" w:rsidP="00796D7A">
      <w:pPr>
        <w:jc w:val="both"/>
        <w:rPr>
          <w:rFonts w:eastAsia="Arial" w:cs="Arial"/>
          <w:sz w:val="22"/>
          <w:szCs w:val="22"/>
        </w:rPr>
      </w:pPr>
      <w:r>
        <w:rPr>
          <w:rFonts w:eastAsia="Arial" w:cs="Arial"/>
          <w:sz w:val="22"/>
          <w:szCs w:val="22"/>
        </w:rPr>
        <w:t xml:space="preserve">Defra holds ‘Junior Shares’ in the </w:t>
      </w:r>
      <w:r w:rsidR="0020083B">
        <w:rPr>
          <w:rFonts w:eastAsia="Arial" w:cs="Arial"/>
          <w:sz w:val="22"/>
          <w:szCs w:val="22"/>
        </w:rPr>
        <w:t>F</w:t>
      </w:r>
      <w:r>
        <w:rPr>
          <w:rFonts w:eastAsia="Arial" w:cs="Arial"/>
          <w:sz w:val="22"/>
          <w:szCs w:val="22"/>
        </w:rPr>
        <w:t xml:space="preserve">und, which carry a greater risk and lower reward than other investment options, </w:t>
      </w:r>
      <w:proofErr w:type="gramStart"/>
      <w:r>
        <w:rPr>
          <w:rFonts w:eastAsia="Arial" w:cs="Arial"/>
          <w:sz w:val="22"/>
          <w:szCs w:val="22"/>
        </w:rPr>
        <w:t>in order to</w:t>
      </w:r>
      <w:proofErr w:type="gramEnd"/>
      <w:r>
        <w:rPr>
          <w:rFonts w:eastAsia="Arial" w:cs="Arial"/>
          <w:sz w:val="22"/>
          <w:szCs w:val="22"/>
        </w:rPr>
        <w:t xml:space="preserve"> incentivise other private and public investment and multiply the impacts of Defra’s climate finance. As well as Junior Shares, the Fund offers Senior </w:t>
      </w:r>
      <w:r w:rsidR="00CF39DA">
        <w:rPr>
          <w:rFonts w:eastAsia="Arial" w:cs="Arial"/>
          <w:sz w:val="22"/>
          <w:szCs w:val="22"/>
        </w:rPr>
        <w:t xml:space="preserve">and Subordinated </w:t>
      </w:r>
      <w:r>
        <w:rPr>
          <w:rFonts w:eastAsia="Arial" w:cs="Arial"/>
          <w:sz w:val="22"/>
          <w:szCs w:val="22"/>
        </w:rPr>
        <w:t>Notes (loan commitments) and Senior Shares to investors seeking a financial return on their impact investments. A key measure of the success of this programme is the amount of public and private capital invested due to (‘leveraged from’) Defra’s investment</w:t>
      </w:r>
      <w:r w:rsidR="003640D1">
        <w:rPr>
          <w:rFonts w:eastAsia="Arial" w:cs="Arial"/>
          <w:sz w:val="22"/>
          <w:szCs w:val="22"/>
        </w:rPr>
        <w:t>.</w:t>
      </w:r>
    </w:p>
    <w:p w14:paraId="594A23A2" w14:textId="77777777" w:rsidR="006042A9" w:rsidRPr="006042A9" w:rsidRDefault="006042A9" w:rsidP="006042A9">
      <w:pPr>
        <w:jc w:val="both"/>
        <w:rPr>
          <w:rFonts w:eastAsia="Arial" w:cs="Arial"/>
          <w:sz w:val="22"/>
          <w:szCs w:val="22"/>
        </w:rPr>
      </w:pPr>
    </w:p>
    <w:p w14:paraId="0C45DBE4" w14:textId="47A875DD" w:rsidR="006042A9" w:rsidRPr="006042A9" w:rsidRDefault="006042A9" w:rsidP="006042A9">
      <w:pPr>
        <w:jc w:val="both"/>
        <w:rPr>
          <w:rFonts w:eastAsia="Arial" w:cs="Arial"/>
          <w:sz w:val="22"/>
          <w:szCs w:val="22"/>
        </w:rPr>
      </w:pPr>
      <w:r w:rsidRPr="006042A9">
        <w:rPr>
          <w:rFonts w:eastAsia="Arial" w:cs="Arial"/>
          <w:sz w:val="22"/>
          <w:szCs w:val="22"/>
        </w:rPr>
        <w:t xml:space="preserve">The Fund has two sub-funds, one for Latin America and </w:t>
      </w:r>
      <w:r w:rsidR="00D662AC">
        <w:rPr>
          <w:rFonts w:eastAsia="Arial" w:cs="Arial"/>
          <w:sz w:val="22"/>
          <w:szCs w:val="22"/>
        </w:rPr>
        <w:t xml:space="preserve">the </w:t>
      </w:r>
      <w:r w:rsidRPr="006042A9">
        <w:rPr>
          <w:rFonts w:eastAsia="Arial" w:cs="Arial"/>
          <w:sz w:val="22"/>
          <w:szCs w:val="22"/>
        </w:rPr>
        <w:t xml:space="preserve">Caribbean (LAC) and the other for </w:t>
      </w:r>
      <w:r w:rsidR="0042646A">
        <w:rPr>
          <w:rFonts w:eastAsia="Arial" w:cs="Arial"/>
          <w:sz w:val="22"/>
          <w:szCs w:val="22"/>
        </w:rPr>
        <w:t>s</w:t>
      </w:r>
      <w:r w:rsidRPr="006042A9">
        <w:rPr>
          <w:rFonts w:eastAsia="Arial" w:cs="Arial"/>
          <w:sz w:val="22"/>
          <w:szCs w:val="22"/>
        </w:rPr>
        <w:t>ub-Saharan Africa (SSA), which was launched mid-2019. Defra’s investment is in the LAC sub-fund. FiM acts as an advisor to the Board of Directors – the independent panel nominated by the Fund’s shareholders</w:t>
      </w:r>
      <w:r w:rsidR="00C76853" w:rsidRPr="00C76853">
        <w:rPr>
          <w:rFonts w:eastAsia="Arial" w:cs="Arial"/>
          <w:sz w:val="22"/>
          <w:szCs w:val="22"/>
        </w:rPr>
        <w:t xml:space="preserve"> </w:t>
      </w:r>
      <w:r w:rsidR="00C76853">
        <w:rPr>
          <w:rFonts w:eastAsia="Arial" w:cs="Arial"/>
          <w:sz w:val="22"/>
          <w:szCs w:val="22"/>
        </w:rPr>
        <w:t xml:space="preserve">– </w:t>
      </w:r>
      <w:r w:rsidR="00C76853" w:rsidRPr="006042A9">
        <w:rPr>
          <w:rFonts w:eastAsia="Arial" w:cs="Arial"/>
          <w:sz w:val="22"/>
          <w:szCs w:val="22"/>
        </w:rPr>
        <w:t>where Defra sits as an observer</w:t>
      </w:r>
      <w:r w:rsidRPr="006042A9">
        <w:rPr>
          <w:rFonts w:eastAsia="Arial" w:cs="Arial"/>
          <w:sz w:val="22"/>
          <w:szCs w:val="22"/>
        </w:rPr>
        <w:t>. The Board has the ultimate decision-making authority, provid</w:t>
      </w:r>
      <w:r w:rsidR="00D94F7E">
        <w:rPr>
          <w:rFonts w:eastAsia="Arial" w:cs="Arial"/>
          <w:sz w:val="22"/>
          <w:szCs w:val="22"/>
        </w:rPr>
        <w:t>ing</w:t>
      </w:r>
      <w:r w:rsidRPr="006042A9">
        <w:rPr>
          <w:rFonts w:eastAsia="Arial" w:cs="Arial"/>
          <w:sz w:val="22"/>
          <w:szCs w:val="22"/>
        </w:rPr>
        <w:t xml:space="preserve"> scrutiny for investments and </w:t>
      </w:r>
      <w:r w:rsidR="00CD40CB">
        <w:rPr>
          <w:rFonts w:eastAsia="Arial" w:cs="Arial"/>
          <w:sz w:val="22"/>
          <w:szCs w:val="22"/>
        </w:rPr>
        <w:t>guid</w:t>
      </w:r>
      <w:r w:rsidR="00D94F7E">
        <w:rPr>
          <w:rFonts w:eastAsia="Arial" w:cs="Arial"/>
          <w:sz w:val="22"/>
          <w:szCs w:val="22"/>
        </w:rPr>
        <w:t>ing</w:t>
      </w:r>
      <w:r w:rsidR="00CD40CB">
        <w:rPr>
          <w:rFonts w:eastAsia="Arial" w:cs="Arial"/>
          <w:sz w:val="22"/>
          <w:szCs w:val="22"/>
        </w:rPr>
        <w:t xml:space="preserve"> Fund strategy</w:t>
      </w:r>
      <w:r w:rsidRPr="006042A9">
        <w:rPr>
          <w:rFonts w:eastAsia="Arial" w:cs="Arial"/>
          <w:sz w:val="22"/>
          <w:szCs w:val="22"/>
        </w:rPr>
        <w:t xml:space="preserve">. </w:t>
      </w:r>
    </w:p>
    <w:p w14:paraId="5339BD8A" w14:textId="29CCD685" w:rsidR="006F3AE7" w:rsidRPr="006042A9" w:rsidRDefault="006042A9" w:rsidP="00F66B70">
      <w:pPr>
        <w:jc w:val="both"/>
        <w:rPr>
          <w:rFonts w:eastAsia="Arial" w:cs="Arial"/>
          <w:sz w:val="22"/>
          <w:szCs w:val="22"/>
        </w:rPr>
      </w:pPr>
      <w:r w:rsidRPr="006042A9">
        <w:rPr>
          <w:rFonts w:eastAsia="Arial" w:cs="Arial"/>
          <w:sz w:val="22"/>
          <w:szCs w:val="22"/>
        </w:rPr>
        <w:t xml:space="preserve"> </w:t>
      </w:r>
    </w:p>
    <w:p w14:paraId="69294281" w14:textId="08885295" w:rsidR="006F3AE7" w:rsidRPr="00A54B18" w:rsidRDefault="7232A90E" w:rsidP="00F66B70">
      <w:pPr>
        <w:jc w:val="both"/>
        <w:rPr>
          <w:rFonts w:eastAsia="Arial" w:cs="Arial"/>
          <w:sz w:val="20"/>
          <w:szCs w:val="20"/>
        </w:rPr>
      </w:pPr>
      <w:r w:rsidRPr="237F14D3">
        <w:rPr>
          <w:rFonts w:eastAsia="Arial" w:cs="Arial"/>
          <w:b/>
          <w:bCs/>
          <w:sz w:val="22"/>
          <w:szCs w:val="22"/>
        </w:rPr>
        <w:t xml:space="preserve">Summary supporting narrative for the overall score in this </w:t>
      </w:r>
      <w:proofErr w:type="gramStart"/>
      <w:r w:rsidRPr="237F14D3">
        <w:rPr>
          <w:rFonts w:eastAsia="Arial" w:cs="Arial"/>
          <w:b/>
          <w:bCs/>
          <w:sz w:val="22"/>
          <w:szCs w:val="22"/>
        </w:rPr>
        <w:t>review</w:t>
      </w:r>
      <w:proofErr w:type="gramEnd"/>
    </w:p>
    <w:p w14:paraId="6EE933DD" w14:textId="77777777" w:rsidR="006F3AE7" w:rsidRPr="00A54B18" w:rsidRDefault="006F3AE7" w:rsidP="00F66B70">
      <w:pPr>
        <w:jc w:val="both"/>
        <w:rPr>
          <w:rFonts w:eastAsia="Arial" w:cs="Arial"/>
          <w:sz w:val="18"/>
          <w:szCs w:val="18"/>
        </w:rPr>
      </w:pPr>
    </w:p>
    <w:p w14:paraId="3B73C416" w14:textId="2C6013D3" w:rsidR="00D37310" w:rsidRPr="00D37310" w:rsidRDefault="004712B3" w:rsidP="00F66B70">
      <w:pPr>
        <w:jc w:val="both"/>
        <w:rPr>
          <w:rFonts w:eastAsia="Arial" w:cs="Arial"/>
          <w:sz w:val="22"/>
          <w:szCs w:val="22"/>
        </w:rPr>
      </w:pPr>
      <w:r w:rsidRPr="237F14D3">
        <w:rPr>
          <w:rFonts w:eastAsia="Arial" w:cs="Arial"/>
          <w:sz w:val="22"/>
          <w:szCs w:val="22"/>
        </w:rPr>
        <w:lastRenderedPageBreak/>
        <w:t>In 2022, EBF-LAC met or exceeded all</w:t>
      </w:r>
      <w:r w:rsidR="40354896" w:rsidRPr="237F14D3">
        <w:rPr>
          <w:rFonts w:eastAsia="Arial" w:cs="Arial"/>
          <w:sz w:val="22"/>
          <w:szCs w:val="22"/>
        </w:rPr>
        <w:t xml:space="preserve"> bar one of the</w:t>
      </w:r>
      <w:r w:rsidRPr="237F14D3">
        <w:rPr>
          <w:rFonts w:eastAsia="Arial" w:cs="Arial"/>
          <w:sz w:val="22"/>
          <w:szCs w:val="22"/>
        </w:rPr>
        <w:t xml:space="preserve"> </w:t>
      </w:r>
      <w:r w:rsidR="00757614" w:rsidRPr="237F14D3">
        <w:rPr>
          <w:rFonts w:eastAsia="Arial" w:cs="Arial"/>
          <w:sz w:val="22"/>
          <w:szCs w:val="22"/>
        </w:rPr>
        <w:t xml:space="preserve">Output </w:t>
      </w:r>
      <w:r w:rsidRPr="237F14D3">
        <w:rPr>
          <w:rFonts w:eastAsia="Arial" w:cs="Arial"/>
          <w:sz w:val="22"/>
          <w:szCs w:val="22"/>
        </w:rPr>
        <w:t>milestones</w:t>
      </w:r>
      <w:r w:rsidR="00555AA6" w:rsidRPr="237F14D3">
        <w:rPr>
          <w:rFonts w:eastAsia="Arial" w:cs="Arial"/>
          <w:sz w:val="22"/>
          <w:szCs w:val="22"/>
        </w:rPr>
        <w:t>, many by a substantial margin</w:t>
      </w:r>
      <w:r w:rsidR="45F32F78" w:rsidRPr="237F14D3">
        <w:rPr>
          <w:rFonts w:eastAsia="Arial" w:cs="Arial"/>
          <w:sz w:val="22"/>
          <w:szCs w:val="22"/>
        </w:rPr>
        <w:t>.</w:t>
      </w:r>
      <w:r w:rsidR="00757614" w:rsidRPr="237F14D3">
        <w:rPr>
          <w:rFonts w:eastAsia="Arial" w:cs="Arial"/>
          <w:sz w:val="22"/>
          <w:szCs w:val="22"/>
        </w:rPr>
        <w:t xml:space="preserve"> </w:t>
      </w:r>
      <w:r w:rsidR="4092D08A" w:rsidRPr="237F14D3">
        <w:rPr>
          <w:rFonts w:eastAsia="Arial" w:cs="Arial"/>
          <w:sz w:val="22"/>
          <w:szCs w:val="22"/>
        </w:rPr>
        <w:t xml:space="preserve">The one </w:t>
      </w:r>
      <w:r w:rsidR="00555AA6" w:rsidRPr="237F14D3">
        <w:rPr>
          <w:rFonts w:eastAsia="Arial" w:cs="Arial"/>
          <w:sz w:val="22"/>
          <w:szCs w:val="22"/>
        </w:rPr>
        <w:t>except</w:t>
      </w:r>
      <w:r w:rsidR="0DE63F04" w:rsidRPr="237F14D3">
        <w:rPr>
          <w:rFonts w:eastAsia="Arial" w:cs="Arial"/>
          <w:sz w:val="22"/>
          <w:szCs w:val="22"/>
        </w:rPr>
        <w:t>ion is the Output</w:t>
      </w:r>
      <w:r w:rsidR="00555AA6" w:rsidRPr="237F14D3">
        <w:rPr>
          <w:rFonts w:eastAsia="Arial" w:cs="Arial"/>
          <w:sz w:val="22"/>
          <w:szCs w:val="22"/>
        </w:rPr>
        <w:t xml:space="preserve"> for </w:t>
      </w:r>
      <w:r w:rsidR="00EC43C4" w:rsidRPr="237F14D3">
        <w:rPr>
          <w:rFonts w:eastAsia="Arial" w:cs="Arial"/>
          <w:sz w:val="22"/>
          <w:szCs w:val="22"/>
        </w:rPr>
        <w:t>the volume of water saved</w:t>
      </w:r>
      <w:r w:rsidR="00A46745" w:rsidRPr="237F14D3">
        <w:rPr>
          <w:rFonts w:eastAsia="Arial" w:cs="Arial"/>
          <w:sz w:val="22"/>
          <w:szCs w:val="22"/>
        </w:rPr>
        <w:t xml:space="preserve"> (see discussion in Outcomes section)</w:t>
      </w:r>
      <w:r w:rsidR="63DC51D7" w:rsidRPr="237F14D3">
        <w:rPr>
          <w:rFonts w:eastAsia="Arial" w:cs="Arial"/>
          <w:sz w:val="22"/>
          <w:szCs w:val="22"/>
        </w:rPr>
        <w:t>.</w:t>
      </w:r>
      <w:r w:rsidR="00164A59" w:rsidRPr="237F14D3">
        <w:rPr>
          <w:rFonts w:eastAsia="Arial" w:cs="Arial"/>
          <w:sz w:val="22"/>
          <w:szCs w:val="22"/>
        </w:rPr>
        <w:t xml:space="preserve"> </w:t>
      </w:r>
      <w:r w:rsidR="61F75450" w:rsidRPr="237F14D3">
        <w:rPr>
          <w:rFonts w:eastAsia="Arial" w:cs="Arial"/>
          <w:sz w:val="22"/>
          <w:szCs w:val="22"/>
        </w:rPr>
        <w:t xml:space="preserve">The programme has therefore </w:t>
      </w:r>
      <w:r w:rsidR="00164A59" w:rsidRPr="237F14D3">
        <w:rPr>
          <w:rFonts w:eastAsia="Arial" w:cs="Arial"/>
          <w:sz w:val="22"/>
          <w:szCs w:val="22"/>
        </w:rPr>
        <w:t>been given an A+ as an overall sco</w:t>
      </w:r>
      <w:r w:rsidR="00AA77F8" w:rsidRPr="237F14D3">
        <w:rPr>
          <w:rFonts w:eastAsia="Arial" w:cs="Arial"/>
          <w:sz w:val="22"/>
          <w:szCs w:val="22"/>
        </w:rPr>
        <w:t>re.</w:t>
      </w:r>
      <w:r w:rsidR="004E7169" w:rsidRPr="237F14D3">
        <w:rPr>
          <w:rFonts w:eastAsia="Arial" w:cs="Arial"/>
          <w:sz w:val="22"/>
          <w:szCs w:val="22"/>
        </w:rPr>
        <w:t xml:space="preserve"> A summary of the </w:t>
      </w:r>
      <w:r w:rsidR="00900A80">
        <w:rPr>
          <w:rFonts w:eastAsia="Arial" w:cs="Arial"/>
          <w:sz w:val="22"/>
          <w:szCs w:val="22"/>
        </w:rPr>
        <w:t xml:space="preserve">year </w:t>
      </w:r>
      <w:r w:rsidR="004E7169" w:rsidRPr="237F14D3">
        <w:rPr>
          <w:rFonts w:eastAsia="Arial" w:cs="Arial"/>
          <w:sz w:val="22"/>
          <w:szCs w:val="22"/>
        </w:rPr>
        <w:t xml:space="preserve">follows here, with more detail </w:t>
      </w:r>
      <w:r w:rsidR="00B80AB6" w:rsidRPr="237F14D3">
        <w:rPr>
          <w:rFonts w:eastAsia="Arial" w:cs="Arial"/>
          <w:sz w:val="22"/>
          <w:szCs w:val="22"/>
        </w:rPr>
        <w:t>provided</w:t>
      </w:r>
      <w:r w:rsidR="004E7169" w:rsidRPr="237F14D3">
        <w:rPr>
          <w:rFonts w:eastAsia="Arial" w:cs="Arial"/>
          <w:sz w:val="22"/>
          <w:szCs w:val="22"/>
        </w:rPr>
        <w:t xml:space="preserve"> </w:t>
      </w:r>
      <w:r w:rsidR="00B80AB6" w:rsidRPr="237F14D3">
        <w:rPr>
          <w:rFonts w:eastAsia="Arial" w:cs="Arial"/>
          <w:sz w:val="22"/>
          <w:szCs w:val="22"/>
        </w:rPr>
        <w:t>in the next sections of the report.</w:t>
      </w:r>
    </w:p>
    <w:p w14:paraId="24B9CC86" w14:textId="77777777" w:rsidR="00D37310" w:rsidRDefault="00D37310" w:rsidP="00F66B70">
      <w:pPr>
        <w:jc w:val="both"/>
        <w:rPr>
          <w:rFonts w:eastAsia="Arial" w:cs="Arial"/>
          <w:sz w:val="20"/>
          <w:szCs w:val="20"/>
        </w:rPr>
      </w:pPr>
    </w:p>
    <w:p w14:paraId="24192E46" w14:textId="12D260D7" w:rsidR="001418EC" w:rsidRPr="00F53E94" w:rsidRDefault="00A4224C" w:rsidP="00F66B70">
      <w:pPr>
        <w:jc w:val="both"/>
        <w:rPr>
          <w:rFonts w:eastAsia="Arial" w:cs="Arial"/>
          <w:b/>
          <w:bCs/>
          <w:sz w:val="22"/>
          <w:szCs w:val="22"/>
        </w:rPr>
      </w:pPr>
      <w:r w:rsidRPr="00F53E94">
        <w:rPr>
          <w:rFonts w:eastAsia="Arial" w:cs="Arial"/>
          <w:b/>
          <w:bCs/>
          <w:sz w:val="22"/>
          <w:szCs w:val="22"/>
        </w:rPr>
        <w:t>Performance</w:t>
      </w:r>
    </w:p>
    <w:p w14:paraId="7DF9D555" w14:textId="77777777" w:rsidR="001418EC" w:rsidRDefault="001418EC" w:rsidP="00F66B70">
      <w:pPr>
        <w:jc w:val="both"/>
        <w:rPr>
          <w:rFonts w:eastAsia="Arial" w:cs="Arial"/>
          <w:sz w:val="20"/>
          <w:szCs w:val="20"/>
        </w:rPr>
      </w:pPr>
    </w:p>
    <w:p w14:paraId="7DE48520" w14:textId="14271B20" w:rsidR="50E70105" w:rsidRPr="008D3032" w:rsidRDefault="21B9E5E1" w:rsidP="00F66B70">
      <w:pPr>
        <w:jc w:val="both"/>
        <w:rPr>
          <w:rFonts w:eastAsia="Arial" w:cs="Arial"/>
          <w:sz w:val="22"/>
          <w:szCs w:val="22"/>
        </w:rPr>
      </w:pPr>
      <w:r w:rsidRPr="237F14D3">
        <w:rPr>
          <w:rFonts w:eastAsia="Arial" w:cs="Arial"/>
          <w:sz w:val="20"/>
          <w:szCs w:val="20"/>
        </w:rPr>
        <w:t>In</w:t>
      </w:r>
      <w:r w:rsidRPr="237F14D3">
        <w:rPr>
          <w:rFonts w:eastAsia="Arial" w:cs="Arial"/>
          <w:sz w:val="22"/>
          <w:szCs w:val="22"/>
        </w:rPr>
        <w:t xml:space="preserve"> 202</w:t>
      </w:r>
      <w:r w:rsidR="00347802" w:rsidRPr="237F14D3">
        <w:rPr>
          <w:rFonts w:eastAsia="Arial" w:cs="Arial"/>
          <w:sz w:val="22"/>
          <w:szCs w:val="22"/>
        </w:rPr>
        <w:t>2,</w:t>
      </w:r>
      <w:r w:rsidRPr="237F14D3">
        <w:rPr>
          <w:rFonts w:eastAsia="Arial" w:cs="Arial"/>
          <w:sz w:val="22"/>
          <w:szCs w:val="22"/>
        </w:rPr>
        <w:t xml:space="preserve"> EBF LAC completed 12 new investments amounting to a total of </w:t>
      </w:r>
      <w:r w:rsidR="00DE2CF5" w:rsidRPr="237F14D3">
        <w:rPr>
          <w:rFonts w:eastAsia="Arial" w:cs="Arial"/>
          <w:sz w:val="22"/>
          <w:szCs w:val="22"/>
        </w:rPr>
        <w:t xml:space="preserve">US Dollar (hereafter $) </w:t>
      </w:r>
      <w:r w:rsidRPr="237F14D3">
        <w:rPr>
          <w:rFonts w:eastAsia="Arial" w:cs="Arial"/>
          <w:sz w:val="22"/>
          <w:szCs w:val="22"/>
        </w:rPr>
        <w:t>2</w:t>
      </w:r>
      <w:r w:rsidR="00347802" w:rsidRPr="237F14D3">
        <w:rPr>
          <w:rFonts w:eastAsia="Arial" w:cs="Arial"/>
          <w:sz w:val="22"/>
          <w:szCs w:val="22"/>
        </w:rPr>
        <w:t>3</w:t>
      </w:r>
      <w:r w:rsidR="007154B2" w:rsidRPr="237F14D3">
        <w:rPr>
          <w:rFonts w:eastAsia="Arial" w:cs="Arial"/>
          <w:sz w:val="22"/>
          <w:szCs w:val="22"/>
        </w:rPr>
        <w:t>4.</w:t>
      </w:r>
      <w:proofErr w:type="gramStart"/>
      <w:r w:rsidR="007154B2" w:rsidRPr="237F14D3">
        <w:rPr>
          <w:rFonts w:eastAsia="Arial" w:cs="Arial"/>
          <w:sz w:val="22"/>
          <w:szCs w:val="22"/>
        </w:rPr>
        <w:t>6</w:t>
      </w:r>
      <w:r w:rsidR="005C4991" w:rsidRPr="237F14D3">
        <w:rPr>
          <w:rFonts w:eastAsia="Arial" w:cs="Arial"/>
          <w:sz w:val="22"/>
          <w:szCs w:val="22"/>
        </w:rPr>
        <w:t>m</w:t>
      </w:r>
      <w:r w:rsidR="00DE2CF5" w:rsidRPr="237F14D3">
        <w:rPr>
          <w:rFonts w:eastAsia="Arial" w:cs="Arial"/>
          <w:sz w:val="22"/>
          <w:szCs w:val="22"/>
        </w:rPr>
        <w:t>, and</w:t>
      </w:r>
      <w:proofErr w:type="gramEnd"/>
      <w:r w:rsidR="00DE2CF5" w:rsidRPr="237F14D3">
        <w:rPr>
          <w:rFonts w:eastAsia="Arial" w:cs="Arial"/>
          <w:sz w:val="22"/>
          <w:szCs w:val="22"/>
        </w:rPr>
        <w:t xml:space="preserve"> approved its first investment in Brazil for disbursement in 2023</w:t>
      </w:r>
      <w:r w:rsidRPr="237F14D3">
        <w:rPr>
          <w:rFonts w:eastAsia="Arial" w:cs="Arial"/>
          <w:sz w:val="22"/>
          <w:szCs w:val="22"/>
        </w:rPr>
        <w:t>.</w:t>
      </w:r>
      <w:r w:rsidR="396A8A39" w:rsidRPr="237F14D3">
        <w:rPr>
          <w:rFonts w:eastAsia="Arial" w:cs="Arial"/>
          <w:sz w:val="22"/>
          <w:szCs w:val="22"/>
        </w:rPr>
        <w:t xml:space="preserve"> </w:t>
      </w:r>
      <w:r w:rsidR="00DE2CF5" w:rsidRPr="237F14D3">
        <w:rPr>
          <w:rFonts w:eastAsia="Arial" w:cs="Arial"/>
          <w:sz w:val="22"/>
          <w:szCs w:val="22"/>
        </w:rPr>
        <w:t>As of December 2022,</w:t>
      </w:r>
      <w:r w:rsidR="396A8A39" w:rsidRPr="237F14D3">
        <w:rPr>
          <w:rFonts w:eastAsia="Arial" w:cs="Arial"/>
          <w:sz w:val="22"/>
          <w:szCs w:val="22"/>
        </w:rPr>
        <w:t xml:space="preserve"> the fund </w:t>
      </w:r>
      <w:r w:rsidR="00DE2CF5" w:rsidRPr="237F14D3">
        <w:rPr>
          <w:rFonts w:eastAsia="Arial" w:cs="Arial"/>
          <w:sz w:val="22"/>
          <w:szCs w:val="22"/>
        </w:rPr>
        <w:t>had invested in</w:t>
      </w:r>
      <w:r w:rsidR="00B23D5B" w:rsidRPr="237F14D3">
        <w:rPr>
          <w:rFonts w:eastAsia="Arial" w:cs="Arial"/>
          <w:sz w:val="22"/>
          <w:szCs w:val="22"/>
        </w:rPr>
        <w:t xml:space="preserve"> 3</w:t>
      </w:r>
      <w:r w:rsidR="00347802" w:rsidRPr="237F14D3">
        <w:rPr>
          <w:rFonts w:eastAsia="Arial" w:cs="Arial"/>
          <w:sz w:val="22"/>
          <w:szCs w:val="22"/>
        </w:rPr>
        <w:t>7</w:t>
      </w:r>
      <w:r w:rsidR="396A8A39" w:rsidRPr="237F14D3">
        <w:rPr>
          <w:rFonts w:eastAsia="Arial" w:cs="Arial"/>
          <w:sz w:val="22"/>
          <w:szCs w:val="22"/>
        </w:rPr>
        <w:t xml:space="preserve"> PI</w:t>
      </w:r>
      <w:r w:rsidR="00644579" w:rsidRPr="237F14D3">
        <w:rPr>
          <w:rFonts w:eastAsia="Arial" w:cs="Arial"/>
          <w:sz w:val="22"/>
          <w:szCs w:val="22"/>
        </w:rPr>
        <w:t>s</w:t>
      </w:r>
      <w:r w:rsidR="396A8A39" w:rsidRPr="237F14D3">
        <w:rPr>
          <w:rFonts w:eastAsia="Arial" w:cs="Arial"/>
          <w:sz w:val="22"/>
          <w:szCs w:val="22"/>
        </w:rPr>
        <w:t xml:space="preserve"> across </w:t>
      </w:r>
      <w:r w:rsidR="00347802" w:rsidRPr="237F14D3">
        <w:rPr>
          <w:rFonts w:eastAsia="Arial" w:cs="Arial"/>
          <w:sz w:val="22"/>
          <w:szCs w:val="22"/>
        </w:rPr>
        <w:t>10</w:t>
      </w:r>
      <w:r w:rsidR="396A8A39" w:rsidRPr="237F14D3">
        <w:rPr>
          <w:rFonts w:eastAsia="Arial" w:cs="Arial"/>
          <w:sz w:val="22"/>
          <w:szCs w:val="22"/>
        </w:rPr>
        <w:t xml:space="preserve"> countries</w:t>
      </w:r>
      <w:r w:rsidR="00644579" w:rsidRPr="237F14D3">
        <w:rPr>
          <w:rFonts w:eastAsia="Arial" w:cs="Arial"/>
          <w:sz w:val="22"/>
          <w:szCs w:val="22"/>
        </w:rPr>
        <w:t>.</w:t>
      </w:r>
      <w:r w:rsidR="00F86059">
        <w:rPr>
          <w:rStyle w:val="FootnoteReference"/>
          <w:rFonts w:eastAsia="Arial" w:cs="Arial"/>
          <w:sz w:val="22"/>
          <w:szCs w:val="22"/>
        </w:rPr>
        <w:footnoteReference w:id="2"/>
      </w:r>
      <w:r w:rsidR="00585A51" w:rsidRPr="00585A51">
        <w:rPr>
          <w:rFonts w:eastAsia="Arial" w:cs="Arial"/>
          <w:sz w:val="22"/>
          <w:szCs w:val="22"/>
        </w:rPr>
        <w:t xml:space="preserve"> </w:t>
      </w:r>
      <w:r w:rsidR="00585A51" w:rsidRPr="237F14D3">
        <w:rPr>
          <w:rFonts w:eastAsia="Arial" w:cs="Arial"/>
          <w:sz w:val="22"/>
          <w:szCs w:val="22"/>
        </w:rPr>
        <w:t>PIs repaid $111.4m of loans to EBF in 2022.</w:t>
      </w:r>
    </w:p>
    <w:p w14:paraId="4988CEB5" w14:textId="44AB13D9" w:rsidR="16381FB0" w:rsidRPr="008D3032" w:rsidRDefault="16381FB0" w:rsidP="00F66B70">
      <w:pPr>
        <w:jc w:val="both"/>
        <w:rPr>
          <w:rFonts w:eastAsia="Arial" w:cs="Arial"/>
          <w:sz w:val="22"/>
          <w:szCs w:val="22"/>
        </w:rPr>
      </w:pPr>
    </w:p>
    <w:p w14:paraId="1B7F84EF" w14:textId="6BE059AF" w:rsidR="330F7765" w:rsidRPr="008D3032" w:rsidRDefault="00EB5B18" w:rsidP="00F66B70">
      <w:pPr>
        <w:jc w:val="both"/>
        <w:rPr>
          <w:rFonts w:eastAsia="Arial" w:cs="Arial"/>
          <w:color w:val="FF0000"/>
          <w:sz w:val="22"/>
          <w:szCs w:val="22"/>
        </w:rPr>
      </w:pPr>
      <w:r w:rsidRPr="70DC0069">
        <w:rPr>
          <w:rFonts w:eastAsia="Arial" w:cs="Arial"/>
          <w:sz w:val="22"/>
          <w:szCs w:val="22"/>
        </w:rPr>
        <w:t xml:space="preserve">From establishment to </w:t>
      </w:r>
      <w:r w:rsidR="00D00520" w:rsidRPr="70DC0069">
        <w:rPr>
          <w:rFonts w:eastAsia="Arial" w:cs="Arial"/>
          <w:sz w:val="22"/>
          <w:szCs w:val="22"/>
        </w:rPr>
        <w:t>the end of 202</w:t>
      </w:r>
      <w:r w:rsidR="00DE2CF5" w:rsidRPr="70DC0069">
        <w:rPr>
          <w:rFonts w:eastAsia="Arial" w:cs="Arial"/>
          <w:sz w:val="22"/>
          <w:szCs w:val="22"/>
        </w:rPr>
        <w:t>2</w:t>
      </w:r>
      <w:r w:rsidR="00D00520" w:rsidRPr="70DC0069">
        <w:rPr>
          <w:rFonts w:eastAsia="Arial" w:cs="Arial"/>
          <w:sz w:val="22"/>
          <w:szCs w:val="22"/>
        </w:rPr>
        <w:t>, the work of the</w:t>
      </w:r>
      <w:r w:rsidR="554467BB" w:rsidRPr="70DC0069">
        <w:rPr>
          <w:rFonts w:eastAsia="Arial" w:cs="Arial"/>
          <w:sz w:val="22"/>
          <w:szCs w:val="22"/>
        </w:rPr>
        <w:t xml:space="preserve"> Fund and </w:t>
      </w:r>
      <w:r w:rsidR="00644579" w:rsidRPr="70DC0069">
        <w:rPr>
          <w:rFonts w:eastAsia="Arial" w:cs="Arial"/>
          <w:sz w:val="22"/>
          <w:szCs w:val="22"/>
        </w:rPr>
        <w:t>Development Facility (</w:t>
      </w:r>
      <w:r w:rsidR="554467BB" w:rsidRPr="70DC0069">
        <w:rPr>
          <w:rFonts w:eastAsia="Arial" w:cs="Arial"/>
          <w:sz w:val="22"/>
          <w:szCs w:val="22"/>
        </w:rPr>
        <w:t>DF</w:t>
      </w:r>
      <w:r w:rsidR="00644579" w:rsidRPr="70DC0069">
        <w:rPr>
          <w:rFonts w:eastAsia="Arial" w:cs="Arial"/>
          <w:sz w:val="22"/>
          <w:szCs w:val="22"/>
        </w:rPr>
        <w:t>)</w:t>
      </w:r>
      <w:r w:rsidR="00D00520" w:rsidRPr="70DC0069">
        <w:rPr>
          <w:rFonts w:eastAsia="Arial" w:cs="Arial"/>
          <w:sz w:val="22"/>
          <w:szCs w:val="22"/>
        </w:rPr>
        <w:t xml:space="preserve"> led to</w:t>
      </w:r>
      <w:r w:rsidR="554467BB" w:rsidRPr="70DC0069">
        <w:rPr>
          <w:rFonts w:eastAsia="Arial" w:cs="Arial"/>
          <w:sz w:val="22"/>
          <w:szCs w:val="22"/>
        </w:rPr>
        <w:t xml:space="preserve"> 3.</w:t>
      </w:r>
      <w:r w:rsidR="00DE2CF5" w:rsidRPr="70DC0069">
        <w:rPr>
          <w:rFonts w:eastAsia="Arial" w:cs="Arial"/>
          <w:sz w:val="22"/>
          <w:szCs w:val="22"/>
        </w:rPr>
        <w:t>6</w:t>
      </w:r>
      <w:r w:rsidR="00644579" w:rsidRPr="70DC0069">
        <w:rPr>
          <w:rFonts w:eastAsia="Arial" w:cs="Arial"/>
          <w:sz w:val="22"/>
          <w:szCs w:val="22"/>
        </w:rPr>
        <w:t>m</w:t>
      </w:r>
      <w:r w:rsidR="554467BB" w:rsidRPr="70DC0069">
        <w:rPr>
          <w:rFonts w:eastAsia="Arial" w:cs="Arial"/>
          <w:sz w:val="22"/>
          <w:szCs w:val="22"/>
        </w:rPr>
        <w:t xml:space="preserve"> ton</w:t>
      </w:r>
      <w:r w:rsidR="0089644D" w:rsidRPr="70DC0069">
        <w:rPr>
          <w:rFonts w:eastAsia="Arial" w:cs="Arial"/>
          <w:sz w:val="22"/>
          <w:szCs w:val="22"/>
        </w:rPr>
        <w:t>ne</w:t>
      </w:r>
      <w:r w:rsidR="554467BB" w:rsidRPr="70DC0069">
        <w:rPr>
          <w:rFonts w:eastAsia="Arial" w:cs="Arial"/>
          <w:sz w:val="22"/>
          <w:szCs w:val="22"/>
        </w:rPr>
        <w:t>s of CO</w:t>
      </w:r>
      <w:r w:rsidR="554467BB" w:rsidRPr="70DC0069">
        <w:rPr>
          <w:rFonts w:eastAsia="Arial" w:cs="Arial"/>
          <w:sz w:val="22"/>
          <w:szCs w:val="22"/>
          <w:vertAlign w:val="subscript"/>
        </w:rPr>
        <w:t>2</w:t>
      </w:r>
      <w:r w:rsidR="554467BB" w:rsidRPr="70DC0069">
        <w:rPr>
          <w:rFonts w:eastAsia="Arial" w:cs="Arial"/>
          <w:sz w:val="22"/>
          <w:szCs w:val="22"/>
        </w:rPr>
        <w:t xml:space="preserve"> </w:t>
      </w:r>
      <w:r w:rsidR="00D00520" w:rsidRPr="70DC0069">
        <w:rPr>
          <w:rFonts w:eastAsia="Arial" w:cs="Arial"/>
          <w:sz w:val="22"/>
          <w:szCs w:val="22"/>
        </w:rPr>
        <w:t>sequestered</w:t>
      </w:r>
      <w:r w:rsidR="554467BB" w:rsidRPr="70DC0069">
        <w:rPr>
          <w:rFonts w:eastAsia="Arial" w:cs="Arial"/>
          <w:sz w:val="22"/>
          <w:szCs w:val="22"/>
        </w:rPr>
        <w:t xml:space="preserve"> through agroforestry activities</w:t>
      </w:r>
      <w:r w:rsidR="0063138A" w:rsidRPr="70DC0069">
        <w:rPr>
          <w:rFonts w:eastAsia="Arial" w:cs="Arial"/>
          <w:sz w:val="22"/>
          <w:szCs w:val="22"/>
        </w:rPr>
        <w:t xml:space="preserve"> (net)</w:t>
      </w:r>
      <w:r w:rsidR="554467BB" w:rsidRPr="70DC0069">
        <w:rPr>
          <w:rFonts w:eastAsia="Arial" w:cs="Arial"/>
          <w:sz w:val="22"/>
          <w:szCs w:val="22"/>
        </w:rPr>
        <w:t>,</w:t>
      </w:r>
      <w:r w:rsidR="00DE2CF5" w:rsidRPr="70DC0069">
        <w:rPr>
          <w:rFonts w:eastAsia="Arial" w:cs="Arial"/>
          <w:sz w:val="22"/>
          <w:szCs w:val="22"/>
        </w:rPr>
        <w:t xml:space="preserve"> 5.2</w:t>
      </w:r>
      <w:r w:rsidR="00644579" w:rsidRPr="70DC0069">
        <w:rPr>
          <w:rFonts w:eastAsia="Arial" w:cs="Arial"/>
          <w:sz w:val="22"/>
          <w:szCs w:val="22"/>
        </w:rPr>
        <w:t>m</w:t>
      </w:r>
      <w:r w:rsidR="554467BB" w:rsidRPr="70DC0069">
        <w:rPr>
          <w:rFonts w:eastAsia="Arial" w:cs="Arial"/>
          <w:sz w:val="22"/>
          <w:szCs w:val="22"/>
        </w:rPr>
        <w:t xml:space="preserve"> m</w:t>
      </w:r>
      <w:r w:rsidR="554467BB" w:rsidRPr="70DC0069">
        <w:rPr>
          <w:rFonts w:eastAsia="Arial" w:cs="Arial"/>
          <w:sz w:val="22"/>
          <w:szCs w:val="22"/>
          <w:vertAlign w:val="superscript"/>
        </w:rPr>
        <w:t>3</w:t>
      </w:r>
      <w:r w:rsidR="554467BB" w:rsidRPr="70DC0069">
        <w:rPr>
          <w:rFonts w:eastAsia="Arial" w:cs="Arial"/>
          <w:sz w:val="22"/>
          <w:szCs w:val="22"/>
        </w:rPr>
        <w:t xml:space="preserve"> of water saved</w:t>
      </w:r>
      <w:r w:rsidR="00D00520" w:rsidRPr="70DC0069">
        <w:rPr>
          <w:rFonts w:eastAsia="Arial" w:cs="Arial"/>
          <w:sz w:val="22"/>
          <w:szCs w:val="22"/>
        </w:rPr>
        <w:t xml:space="preserve"> and</w:t>
      </w:r>
      <w:r w:rsidR="554467BB" w:rsidRPr="70DC0069">
        <w:rPr>
          <w:rFonts w:eastAsia="Arial" w:cs="Arial"/>
          <w:sz w:val="22"/>
          <w:szCs w:val="22"/>
        </w:rPr>
        <w:t xml:space="preserve"> </w:t>
      </w:r>
      <w:r w:rsidR="00DE2CF5" w:rsidRPr="70DC0069">
        <w:rPr>
          <w:rFonts w:eastAsia="Arial" w:cs="Arial"/>
          <w:sz w:val="22"/>
          <w:szCs w:val="22"/>
        </w:rPr>
        <w:t>971</w:t>
      </w:r>
      <w:r w:rsidR="554467BB" w:rsidRPr="70DC0069">
        <w:rPr>
          <w:rFonts w:eastAsia="Arial" w:cs="Arial"/>
          <w:sz w:val="22"/>
          <w:szCs w:val="22"/>
        </w:rPr>
        <w:t>,000 h</w:t>
      </w:r>
      <w:r w:rsidR="004C0BE7" w:rsidRPr="70DC0069">
        <w:rPr>
          <w:rFonts w:eastAsia="Arial" w:cs="Arial"/>
          <w:sz w:val="22"/>
          <w:szCs w:val="22"/>
        </w:rPr>
        <w:t>a</w:t>
      </w:r>
      <w:r w:rsidR="554467BB" w:rsidRPr="70DC0069">
        <w:rPr>
          <w:rFonts w:eastAsia="Arial" w:cs="Arial"/>
          <w:sz w:val="22"/>
          <w:szCs w:val="22"/>
        </w:rPr>
        <w:t xml:space="preserve"> of farmland under sustainable management</w:t>
      </w:r>
      <w:r w:rsidR="00DE2CF5" w:rsidRPr="70DC0069">
        <w:rPr>
          <w:rFonts w:eastAsia="Arial" w:cs="Arial"/>
          <w:sz w:val="22"/>
          <w:szCs w:val="22"/>
        </w:rPr>
        <w:t xml:space="preserve"> (up 13.4% from 202</w:t>
      </w:r>
      <w:r w:rsidR="00810D05">
        <w:rPr>
          <w:rFonts w:eastAsia="Arial" w:cs="Arial"/>
          <w:sz w:val="22"/>
          <w:szCs w:val="22"/>
        </w:rPr>
        <w:t>1</w:t>
      </w:r>
      <w:r w:rsidR="00DE2CF5" w:rsidRPr="70DC0069">
        <w:rPr>
          <w:rFonts w:eastAsia="Arial" w:cs="Arial"/>
          <w:sz w:val="22"/>
          <w:szCs w:val="22"/>
        </w:rPr>
        <w:t>)</w:t>
      </w:r>
      <w:r w:rsidR="554467BB" w:rsidRPr="70DC0069">
        <w:rPr>
          <w:rFonts w:eastAsia="Arial" w:cs="Arial"/>
          <w:sz w:val="22"/>
          <w:szCs w:val="22"/>
        </w:rPr>
        <w:t>.</w:t>
      </w:r>
    </w:p>
    <w:p w14:paraId="42F4186E" w14:textId="150D8B93" w:rsidR="2A1D9A31" w:rsidRDefault="2A1D9A31" w:rsidP="00F66B70">
      <w:pPr>
        <w:jc w:val="both"/>
        <w:rPr>
          <w:rFonts w:eastAsia="Arial" w:cs="Arial"/>
          <w:color w:val="FF0000"/>
          <w:sz w:val="22"/>
          <w:szCs w:val="22"/>
        </w:rPr>
      </w:pPr>
    </w:p>
    <w:p w14:paraId="335BE264" w14:textId="77777777" w:rsidR="00400BF1" w:rsidRPr="008D3032" w:rsidRDefault="00400BF1" w:rsidP="00400BF1">
      <w:pPr>
        <w:jc w:val="both"/>
        <w:rPr>
          <w:rFonts w:eastAsia="Arial" w:cs="Arial"/>
          <w:sz w:val="22"/>
          <w:szCs w:val="22"/>
        </w:rPr>
      </w:pPr>
      <w:r>
        <w:rPr>
          <w:rFonts w:eastAsia="Arial" w:cs="Arial"/>
          <w:sz w:val="22"/>
          <w:szCs w:val="22"/>
        </w:rPr>
        <w:t>S</w:t>
      </w:r>
      <w:r w:rsidRPr="1EF1250E">
        <w:rPr>
          <w:rFonts w:eastAsia="Arial" w:cs="Arial"/>
          <w:sz w:val="22"/>
          <w:szCs w:val="22"/>
        </w:rPr>
        <w:t>ince inception</w:t>
      </w:r>
      <w:r>
        <w:rPr>
          <w:rFonts w:eastAsia="Arial" w:cs="Arial"/>
          <w:sz w:val="22"/>
          <w:szCs w:val="22"/>
        </w:rPr>
        <w:t xml:space="preserve"> the Fund’s PIs</w:t>
      </w:r>
      <w:r w:rsidRPr="1EF1250E">
        <w:rPr>
          <w:rFonts w:eastAsia="Arial" w:cs="Arial"/>
          <w:sz w:val="22"/>
          <w:szCs w:val="22"/>
        </w:rPr>
        <w:t xml:space="preserve"> ha</w:t>
      </w:r>
      <w:r>
        <w:rPr>
          <w:rFonts w:eastAsia="Arial" w:cs="Arial"/>
          <w:sz w:val="22"/>
          <w:szCs w:val="22"/>
        </w:rPr>
        <w:t>ve</w:t>
      </w:r>
      <w:r w:rsidRPr="1EF1250E">
        <w:rPr>
          <w:rFonts w:eastAsia="Arial" w:cs="Arial"/>
          <w:sz w:val="22"/>
          <w:szCs w:val="22"/>
        </w:rPr>
        <w:t xml:space="preserve"> disbursed 34,934 sub</w:t>
      </w:r>
      <w:r>
        <w:rPr>
          <w:rFonts w:eastAsia="Arial" w:cs="Arial"/>
          <w:sz w:val="22"/>
          <w:szCs w:val="22"/>
        </w:rPr>
        <w:t>-</w:t>
      </w:r>
      <w:r w:rsidRPr="1EF1250E">
        <w:rPr>
          <w:rFonts w:eastAsia="Arial" w:cs="Arial"/>
          <w:sz w:val="22"/>
          <w:szCs w:val="22"/>
        </w:rPr>
        <w:t xml:space="preserve">loans </w:t>
      </w:r>
      <w:r>
        <w:rPr>
          <w:rFonts w:eastAsia="Arial" w:cs="Arial"/>
          <w:sz w:val="22"/>
          <w:szCs w:val="22"/>
        </w:rPr>
        <w:t xml:space="preserve">to end-borrowers, </w:t>
      </w:r>
      <w:r w:rsidRPr="1EF1250E">
        <w:rPr>
          <w:rFonts w:eastAsia="Arial" w:cs="Arial"/>
          <w:sz w:val="22"/>
          <w:szCs w:val="22"/>
        </w:rPr>
        <w:t>worth $3,430m</w:t>
      </w:r>
      <w:r>
        <w:rPr>
          <w:rFonts w:eastAsia="Arial" w:cs="Arial"/>
          <w:sz w:val="22"/>
          <w:szCs w:val="22"/>
        </w:rPr>
        <w:t xml:space="preserve"> in total</w:t>
      </w:r>
      <w:r w:rsidRPr="1EF1250E">
        <w:rPr>
          <w:rFonts w:eastAsia="Arial" w:cs="Arial"/>
          <w:sz w:val="22"/>
          <w:szCs w:val="22"/>
        </w:rPr>
        <w:t xml:space="preserve">. The fund is a recognised financier and knowledgeable partner in a range of sustainably focussed activities in a large and </w:t>
      </w:r>
      <w:proofErr w:type="spellStart"/>
      <w:r w:rsidRPr="1EF1250E">
        <w:rPr>
          <w:rFonts w:eastAsia="Arial" w:cs="Arial"/>
          <w:sz w:val="22"/>
          <w:szCs w:val="22"/>
        </w:rPr>
        <w:t>sectorally</w:t>
      </w:r>
      <w:proofErr w:type="spellEnd"/>
      <w:r w:rsidRPr="1EF1250E">
        <w:rPr>
          <w:rFonts w:eastAsia="Arial" w:cs="Arial"/>
          <w:sz w:val="22"/>
          <w:szCs w:val="22"/>
        </w:rPr>
        <w:t xml:space="preserve"> diverse region.</w:t>
      </w:r>
    </w:p>
    <w:p w14:paraId="413CC359" w14:textId="77777777" w:rsidR="00A4224C" w:rsidRPr="00400BF1" w:rsidRDefault="00A4224C" w:rsidP="00F66B70">
      <w:pPr>
        <w:jc w:val="both"/>
        <w:rPr>
          <w:rFonts w:eastAsia="Arial" w:cs="Arial"/>
          <w:b/>
          <w:bCs/>
          <w:color w:val="FF0000"/>
          <w:sz w:val="22"/>
          <w:szCs w:val="22"/>
        </w:rPr>
      </w:pPr>
    </w:p>
    <w:p w14:paraId="48BEAFBB" w14:textId="23592922" w:rsidR="00A4224C" w:rsidRPr="00400BF1" w:rsidRDefault="001D163E" w:rsidP="00F66B70">
      <w:pPr>
        <w:jc w:val="both"/>
        <w:rPr>
          <w:rFonts w:eastAsia="Arial" w:cs="Arial"/>
          <w:b/>
          <w:bCs/>
          <w:color w:val="FF0000"/>
          <w:sz w:val="22"/>
          <w:szCs w:val="22"/>
        </w:rPr>
      </w:pPr>
      <w:r w:rsidRPr="003E21A1">
        <w:rPr>
          <w:rFonts w:eastAsia="Arial" w:cs="Arial"/>
          <w:b/>
          <w:bCs/>
          <w:sz w:val="22"/>
          <w:szCs w:val="22"/>
        </w:rPr>
        <w:t>Investment</w:t>
      </w:r>
    </w:p>
    <w:p w14:paraId="6496DFC1" w14:textId="77777777" w:rsidR="00400BF1" w:rsidRPr="008D3032" w:rsidRDefault="00400BF1" w:rsidP="00F66B70">
      <w:pPr>
        <w:jc w:val="both"/>
        <w:rPr>
          <w:rFonts w:eastAsia="Arial" w:cs="Arial"/>
          <w:color w:val="FF0000"/>
          <w:sz w:val="22"/>
          <w:szCs w:val="22"/>
        </w:rPr>
      </w:pPr>
    </w:p>
    <w:p w14:paraId="64D46765" w14:textId="68110756" w:rsidR="2A1D9A31" w:rsidRPr="008D3032" w:rsidRDefault="0AD3E96E" w:rsidP="00F66B70">
      <w:pPr>
        <w:jc w:val="both"/>
        <w:rPr>
          <w:rFonts w:eastAsia="Arial" w:cs="Arial"/>
          <w:sz w:val="22"/>
          <w:szCs w:val="22"/>
        </w:rPr>
      </w:pPr>
      <w:r w:rsidRPr="237F14D3">
        <w:rPr>
          <w:rFonts w:eastAsia="Arial" w:cs="Arial"/>
          <w:sz w:val="22"/>
          <w:szCs w:val="22"/>
        </w:rPr>
        <w:t>The outstanding portfolio (principal value) increased</w:t>
      </w:r>
      <w:r w:rsidR="00682681" w:rsidRPr="237F14D3">
        <w:rPr>
          <w:rFonts w:eastAsia="Arial" w:cs="Arial"/>
          <w:sz w:val="22"/>
          <w:szCs w:val="22"/>
        </w:rPr>
        <w:t xml:space="preserve"> by $122</w:t>
      </w:r>
      <w:r w:rsidR="00DD0493" w:rsidRPr="237F14D3">
        <w:rPr>
          <w:rFonts w:eastAsia="Arial" w:cs="Arial"/>
          <w:sz w:val="22"/>
          <w:szCs w:val="22"/>
        </w:rPr>
        <w:t>.4</w:t>
      </w:r>
      <w:r w:rsidR="00682681" w:rsidRPr="237F14D3">
        <w:rPr>
          <w:rFonts w:eastAsia="Arial" w:cs="Arial"/>
          <w:sz w:val="22"/>
          <w:szCs w:val="22"/>
        </w:rPr>
        <w:t>m</w:t>
      </w:r>
      <w:r w:rsidRPr="237F14D3">
        <w:rPr>
          <w:rFonts w:eastAsia="Arial" w:cs="Arial"/>
          <w:sz w:val="22"/>
          <w:szCs w:val="22"/>
        </w:rPr>
        <w:t xml:space="preserve"> from </w:t>
      </w:r>
      <w:r w:rsidR="00DE2CF5" w:rsidRPr="237F14D3">
        <w:rPr>
          <w:rFonts w:eastAsia="Arial" w:cs="Arial"/>
          <w:sz w:val="22"/>
          <w:szCs w:val="22"/>
        </w:rPr>
        <w:t>$528</w:t>
      </w:r>
      <w:r w:rsidRPr="237F14D3">
        <w:rPr>
          <w:rFonts w:eastAsia="Arial" w:cs="Arial"/>
          <w:sz w:val="22"/>
          <w:szCs w:val="22"/>
        </w:rPr>
        <w:t>m at the end of 20</w:t>
      </w:r>
      <w:r w:rsidR="4DCE39D2" w:rsidRPr="237F14D3">
        <w:rPr>
          <w:rFonts w:eastAsia="Arial" w:cs="Arial"/>
          <w:sz w:val="22"/>
          <w:szCs w:val="22"/>
        </w:rPr>
        <w:t>2</w:t>
      </w:r>
      <w:r w:rsidR="005E7A9D">
        <w:rPr>
          <w:rFonts w:eastAsia="Arial" w:cs="Arial"/>
          <w:sz w:val="22"/>
          <w:szCs w:val="22"/>
        </w:rPr>
        <w:t>1</w:t>
      </w:r>
      <w:r w:rsidRPr="237F14D3">
        <w:rPr>
          <w:rFonts w:eastAsia="Arial" w:cs="Arial"/>
          <w:sz w:val="22"/>
          <w:szCs w:val="22"/>
        </w:rPr>
        <w:t xml:space="preserve"> to </w:t>
      </w:r>
      <w:r w:rsidR="00B112BB" w:rsidRPr="237F14D3">
        <w:rPr>
          <w:rFonts w:eastAsia="Arial" w:cs="Arial"/>
          <w:sz w:val="22"/>
          <w:szCs w:val="22"/>
        </w:rPr>
        <w:t>$</w:t>
      </w:r>
      <w:r w:rsidR="00DE2CF5" w:rsidRPr="237F14D3">
        <w:rPr>
          <w:rFonts w:eastAsia="Arial" w:cs="Arial"/>
          <w:sz w:val="22"/>
          <w:szCs w:val="22"/>
        </w:rPr>
        <w:t>650</w:t>
      </w:r>
      <w:r w:rsidR="007154B2" w:rsidRPr="237F14D3">
        <w:rPr>
          <w:rFonts w:eastAsia="Arial" w:cs="Arial"/>
          <w:sz w:val="22"/>
          <w:szCs w:val="22"/>
        </w:rPr>
        <w:t>.5</w:t>
      </w:r>
      <w:r w:rsidR="0D284415" w:rsidRPr="237F14D3">
        <w:rPr>
          <w:rFonts w:eastAsia="Arial" w:cs="Arial"/>
          <w:sz w:val="22"/>
          <w:szCs w:val="22"/>
        </w:rPr>
        <w:t>m</w:t>
      </w:r>
      <w:r w:rsidRPr="237F14D3">
        <w:rPr>
          <w:rFonts w:eastAsia="Arial" w:cs="Arial"/>
          <w:sz w:val="22"/>
          <w:szCs w:val="22"/>
        </w:rPr>
        <w:t xml:space="preserve"> at the end of 202</w:t>
      </w:r>
      <w:r w:rsidR="00A013E7" w:rsidRPr="237F14D3">
        <w:rPr>
          <w:rFonts w:eastAsia="Arial" w:cs="Arial"/>
          <w:sz w:val="22"/>
          <w:szCs w:val="22"/>
        </w:rPr>
        <w:t>2</w:t>
      </w:r>
      <w:r w:rsidRPr="237F14D3">
        <w:rPr>
          <w:rFonts w:eastAsia="Arial" w:cs="Arial"/>
          <w:sz w:val="22"/>
          <w:szCs w:val="22"/>
        </w:rPr>
        <w:t>.</w:t>
      </w:r>
      <w:r w:rsidR="00207B0C" w:rsidRPr="00207B0C">
        <w:rPr>
          <w:sz w:val="22"/>
          <w:szCs w:val="22"/>
        </w:rPr>
        <w:t xml:space="preserve"> </w:t>
      </w:r>
      <w:r w:rsidRPr="237F14D3">
        <w:rPr>
          <w:rFonts w:eastAsia="Arial" w:cs="Arial"/>
          <w:sz w:val="22"/>
          <w:szCs w:val="22"/>
        </w:rPr>
        <w:t xml:space="preserve">On top of the </w:t>
      </w:r>
      <w:r w:rsidR="005C4991" w:rsidRPr="237F14D3">
        <w:rPr>
          <w:rFonts w:eastAsia="Arial" w:cs="Arial"/>
          <w:sz w:val="22"/>
          <w:szCs w:val="22"/>
        </w:rPr>
        <w:t>$</w:t>
      </w:r>
      <w:r w:rsidR="00682681" w:rsidRPr="237F14D3">
        <w:rPr>
          <w:rFonts w:eastAsia="Arial" w:cs="Arial"/>
          <w:sz w:val="22"/>
          <w:szCs w:val="22"/>
        </w:rPr>
        <w:t>65</w:t>
      </w:r>
      <w:r w:rsidR="007154B2" w:rsidRPr="237F14D3">
        <w:rPr>
          <w:rFonts w:eastAsia="Arial" w:cs="Arial"/>
          <w:sz w:val="22"/>
          <w:szCs w:val="22"/>
        </w:rPr>
        <w:t>0.5</w:t>
      </w:r>
      <w:r w:rsidRPr="237F14D3">
        <w:rPr>
          <w:rFonts w:eastAsia="Arial" w:cs="Arial"/>
          <w:sz w:val="22"/>
          <w:szCs w:val="22"/>
        </w:rPr>
        <w:t xml:space="preserve">m, </w:t>
      </w:r>
      <w:r w:rsidR="006218B8" w:rsidRPr="237F14D3">
        <w:rPr>
          <w:rFonts w:eastAsia="Arial" w:cs="Arial"/>
          <w:sz w:val="22"/>
          <w:szCs w:val="22"/>
        </w:rPr>
        <w:t>the Fun</w:t>
      </w:r>
      <w:r w:rsidR="00EA49B8" w:rsidRPr="237F14D3">
        <w:rPr>
          <w:rFonts w:eastAsia="Arial" w:cs="Arial"/>
          <w:sz w:val="22"/>
          <w:szCs w:val="22"/>
        </w:rPr>
        <w:t>d</w:t>
      </w:r>
      <w:r w:rsidR="006218B8" w:rsidRPr="237F14D3">
        <w:rPr>
          <w:rFonts w:eastAsia="Arial" w:cs="Arial"/>
          <w:sz w:val="22"/>
          <w:szCs w:val="22"/>
        </w:rPr>
        <w:t xml:space="preserve"> has also </w:t>
      </w:r>
      <w:r w:rsidR="00EA49B8" w:rsidRPr="237F14D3">
        <w:rPr>
          <w:rFonts w:eastAsia="Arial" w:cs="Arial"/>
          <w:sz w:val="22"/>
          <w:szCs w:val="22"/>
        </w:rPr>
        <w:t>sold a part of some investments</w:t>
      </w:r>
      <w:r w:rsidRPr="237F14D3">
        <w:rPr>
          <w:rFonts w:eastAsia="Arial" w:cs="Arial"/>
          <w:sz w:val="22"/>
          <w:szCs w:val="22"/>
        </w:rPr>
        <w:t xml:space="preserve"> to </w:t>
      </w:r>
      <w:r w:rsidR="26008332" w:rsidRPr="237F14D3">
        <w:rPr>
          <w:rFonts w:eastAsia="Arial" w:cs="Arial"/>
          <w:sz w:val="22"/>
          <w:szCs w:val="22"/>
        </w:rPr>
        <w:t>a</w:t>
      </w:r>
      <w:r w:rsidRPr="237F14D3">
        <w:rPr>
          <w:rFonts w:eastAsia="Arial" w:cs="Arial"/>
          <w:sz w:val="22"/>
          <w:szCs w:val="22"/>
        </w:rPr>
        <w:t xml:space="preserve"> </w:t>
      </w:r>
      <w:r w:rsidR="26008332" w:rsidRPr="237F14D3">
        <w:rPr>
          <w:rFonts w:eastAsia="Arial" w:cs="Arial"/>
          <w:sz w:val="22"/>
          <w:szCs w:val="22"/>
        </w:rPr>
        <w:t>third-party impact investor</w:t>
      </w:r>
      <w:r w:rsidR="005B2CD3" w:rsidRPr="237F14D3">
        <w:rPr>
          <w:rFonts w:eastAsia="Arial" w:cs="Arial"/>
          <w:sz w:val="22"/>
          <w:szCs w:val="22"/>
        </w:rPr>
        <w:t>, Calvert Impact Capital,</w:t>
      </w:r>
      <w:r w:rsidR="66919A9A" w:rsidRPr="237F14D3">
        <w:rPr>
          <w:rFonts w:eastAsia="Arial" w:cs="Arial"/>
          <w:sz w:val="22"/>
          <w:szCs w:val="22"/>
        </w:rPr>
        <w:t xml:space="preserve"> </w:t>
      </w:r>
      <w:r w:rsidR="00EA49B8" w:rsidRPr="237F14D3">
        <w:rPr>
          <w:rFonts w:eastAsia="Arial" w:cs="Arial"/>
          <w:sz w:val="22"/>
          <w:szCs w:val="22"/>
        </w:rPr>
        <w:t xml:space="preserve">totalling </w:t>
      </w:r>
      <w:r w:rsidR="005C4991" w:rsidRPr="237F14D3">
        <w:rPr>
          <w:rFonts w:eastAsia="Arial" w:cs="Arial"/>
          <w:sz w:val="22"/>
          <w:szCs w:val="22"/>
        </w:rPr>
        <w:t>$</w:t>
      </w:r>
      <w:r w:rsidRPr="237F14D3">
        <w:rPr>
          <w:rFonts w:eastAsia="Arial" w:cs="Arial"/>
          <w:sz w:val="22"/>
          <w:szCs w:val="22"/>
        </w:rPr>
        <w:t>3</w:t>
      </w:r>
      <w:r w:rsidR="00DD0493" w:rsidRPr="237F14D3">
        <w:rPr>
          <w:rFonts w:eastAsia="Arial" w:cs="Arial"/>
          <w:sz w:val="22"/>
          <w:szCs w:val="22"/>
        </w:rPr>
        <w:t>7.7</w:t>
      </w:r>
      <w:r w:rsidRPr="237F14D3">
        <w:rPr>
          <w:rFonts w:eastAsia="Arial" w:cs="Arial"/>
          <w:sz w:val="22"/>
          <w:szCs w:val="22"/>
        </w:rPr>
        <w:t>m at year end 202</w:t>
      </w:r>
      <w:r w:rsidR="00682681" w:rsidRPr="237F14D3">
        <w:rPr>
          <w:rFonts w:eastAsia="Arial" w:cs="Arial"/>
          <w:sz w:val="22"/>
          <w:szCs w:val="22"/>
        </w:rPr>
        <w:t>2</w:t>
      </w:r>
      <w:r w:rsidR="004E130C">
        <w:rPr>
          <w:rFonts w:eastAsia="Arial" w:cs="Arial"/>
          <w:sz w:val="22"/>
          <w:szCs w:val="22"/>
        </w:rPr>
        <w:t xml:space="preserve">, with whom EBF </w:t>
      </w:r>
      <w:r w:rsidR="00970515">
        <w:rPr>
          <w:rFonts w:eastAsia="Arial" w:cs="Arial"/>
          <w:sz w:val="22"/>
          <w:szCs w:val="22"/>
        </w:rPr>
        <w:t xml:space="preserve">also </w:t>
      </w:r>
      <w:r w:rsidR="004E130C">
        <w:rPr>
          <w:rFonts w:eastAsia="Arial" w:cs="Arial"/>
          <w:sz w:val="22"/>
          <w:szCs w:val="22"/>
        </w:rPr>
        <w:t xml:space="preserve">co-invests in </w:t>
      </w:r>
      <w:r w:rsidR="00603ECB">
        <w:rPr>
          <w:rFonts w:eastAsia="Arial" w:cs="Arial"/>
          <w:sz w:val="22"/>
          <w:szCs w:val="22"/>
        </w:rPr>
        <w:t>some PIs</w:t>
      </w:r>
      <w:r w:rsidRPr="237F14D3">
        <w:rPr>
          <w:rFonts w:eastAsia="Arial" w:cs="Arial"/>
          <w:sz w:val="22"/>
          <w:szCs w:val="22"/>
        </w:rPr>
        <w:t>.</w:t>
      </w:r>
    </w:p>
    <w:p w14:paraId="1E01EEE2" w14:textId="0E404C86" w:rsidR="16381FB0" w:rsidRPr="00AE7076" w:rsidRDefault="0AD3E96E" w:rsidP="00F66B70">
      <w:pPr>
        <w:jc w:val="both"/>
        <w:rPr>
          <w:rFonts w:eastAsia="Arial" w:cs="Arial"/>
          <w:sz w:val="22"/>
          <w:szCs w:val="22"/>
        </w:rPr>
      </w:pPr>
      <w:r w:rsidRPr="008D3032">
        <w:rPr>
          <w:rFonts w:eastAsia="Arial" w:cs="Arial"/>
          <w:sz w:val="22"/>
          <w:szCs w:val="22"/>
        </w:rPr>
        <w:t xml:space="preserve"> </w:t>
      </w:r>
    </w:p>
    <w:p w14:paraId="2AE1848D" w14:textId="01315B55" w:rsidR="00054F98" w:rsidRDefault="1F387A53" w:rsidP="00F66B70">
      <w:pPr>
        <w:jc w:val="both"/>
        <w:rPr>
          <w:rFonts w:eastAsia="Arial" w:cs="Arial"/>
          <w:color w:val="000000" w:themeColor="text1"/>
          <w:sz w:val="22"/>
          <w:szCs w:val="22"/>
        </w:rPr>
      </w:pPr>
      <w:r w:rsidRPr="237F14D3">
        <w:rPr>
          <w:rFonts w:eastAsia="Arial" w:cs="Arial"/>
          <w:color w:val="000000" w:themeColor="text1"/>
          <w:sz w:val="22"/>
          <w:szCs w:val="22"/>
        </w:rPr>
        <w:t>In 202</w:t>
      </w:r>
      <w:r w:rsidR="00DD0493" w:rsidRPr="237F14D3">
        <w:rPr>
          <w:rFonts w:eastAsia="Arial" w:cs="Arial"/>
          <w:color w:val="000000" w:themeColor="text1"/>
          <w:sz w:val="22"/>
          <w:szCs w:val="22"/>
        </w:rPr>
        <w:t>2</w:t>
      </w:r>
      <w:r w:rsidRPr="237F14D3">
        <w:rPr>
          <w:rFonts w:eastAsia="Arial" w:cs="Arial"/>
          <w:color w:val="000000" w:themeColor="text1"/>
          <w:sz w:val="22"/>
          <w:szCs w:val="22"/>
        </w:rPr>
        <w:t>, EBF</w:t>
      </w:r>
      <w:r w:rsidR="4A925455" w:rsidRPr="237F14D3">
        <w:rPr>
          <w:rFonts w:eastAsia="Arial" w:cs="Arial"/>
          <w:color w:val="000000" w:themeColor="text1"/>
          <w:sz w:val="22"/>
          <w:szCs w:val="22"/>
        </w:rPr>
        <w:t>-</w:t>
      </w:r>
      <w:r w:rsidRPr="237F14D3">
        <w:rPr>
          <w:rFonts w:eastAsia="Arial" w:cs="Arial"/>
          <w:color w:val="000000" w:themeColor="text1"/>
          <w:sz w:val="22"/>
          <w:szCs w:val="22"/>
        </w:rPr>
        <w:t xml:space="preserve">LAC successfully attracted </w:t>
      </w:r>
      <w:r w:rsidR="005C4991" w:rsidRPr="237F14D3">
        <w:rPr>
          <w:rFonts w:eastAsia="Arial" w:cs="Arial"/>
          <w:color w:val="000000" w:themeColor="text1"/>
          <w:sz w:val="22"/>
          <w:szCs w:val="22"/>
        </w:rPr>
        <w:t>$</w:t>
      </w:r>
      <w:r w:rsidR="00BC408C" w:rsidRPr="237F14D3">
        <w:rPr>
          <w:rFonts w:eastAsia="Arial" w:cs="Arial"/>
          <w:color w:val="000000" w:themeColor="text1"/>
          <w:sz w:val="22"/>
          <w:szCs w:val="22"/>
        </w:rPr>
        <w:t>17</w:t>
      </w:r>
      <w:r w:rsidR="00DB15F6" w:rsidRPr="237F14D3">
        <w:rPr>
          <w:rFonts w:eastAsia="Arial" w:cs="Arial"/>
          <w:color w:val="000000" w:themeColor="text1"/>
          <w:sz w:val="22"/>
          <w:szCs w:val="22"/>
        </w:rPr>
        <w:t>2</w:t>
      </w:r>
      <w:r w:rsidR="00BC408C" w:rsidRPr="237F14D3">
        <w:rPr>
          <w:rFonts w:eastAsia="Arial" w:cs="Arial"/>
          <w:color w:val="000000" w:themeColor="text1"/>
          <w:sz w:val="22"/>
          <w:szCs w:val="22"/>
        </w:rPr>
        <w:t>.</w:t>
      </w:r>
      <w:r w:rsidR="00DB15F6" w:rsidRPr="237F14D3">
        <w:rPr>
          <w:rFonts w:eastAsia="Arial" w:cs="Arial"/>
          <w:color w:val="000000" w:themeColor="text1"/>
          <w:sz w:val="22"/>
          <w:szCs w:val="22"/>
        </w:rPr>
        <w:t>2</w:t>
      </w:r>
      <w:r w:rsidR="009E2C1E" w:rsidRPr="237F14D3">
        <w:rPr>
          <w:rFonts w:eastAsia="Arial" w:cs="Arial"/>
          <w:color w:val="000000" w:themeColor="text1"/>
          <w:sz w:val="22"/>
          <w:szCs w:val="22"/>
        </w:rPr>
        <w:t xml:space="preserve">m </w:t>
      </w:r>
      <w:r w:rsidRPr="237F14D3">
        <w:rPr>
          <w:rFonts w:eastAsia="Arial" w:cs="Arial"/>
          <w:color w:val="000000" w:themeColor="text1"/>
          <w:sz w:val="22"/>
          <w:szCs w:val="22"/>
        </w:rPr>
        <w:t xml:space="preserve">in funding from new and existing investors. The </w:t>
      </w:r>
      <w:r w:rsidR="00054F98" w:rsidRPr="237F14D3">
        <w:rPr>
          <w:rFonts w:eastAsia="Arial" w:cs="Arial"/>
          <w:color w:val="000000" w:themeColor="text1"/>
          <w:sz w:val="22"/>
          <w:szCs w:val="22"/>
        </w:rPr>
        <w:t>net asset value (NAV) of</w:t>
      </w:r>
      <w:r w:rsidRPr="237F14D3">
        <w:rPr>
          <w:rFonts w:eastAsia="Arial" w:cs="Arial"/>
          <w:color w:val="000000" w:themeColor="text1"/>
          <w:sz w:val="22"/>
          <w:szCs w:val="22"/>
        </w:rPr>
        <w:t xml:space="preserve"> Senior Shares</w:t>
      </w:r>
      <w:r w:rsidR="00054F98" w:rsidRPr="237F14D3">
        <w:rPr>
          <w:rFonts w:eastAsia="Arial" w:cs="Arial"/>
          <w:color w:val="000000" w:themeColor="text1"/>
          <w:sz w:val="22"/>
          <w:szCs w:val="22"/>
        </w:rPr>
        <w:t xml:space="preserve"> increased by $25m to $105.6m</w:t>
      </w:r>
      <w:r w:rsidRPr="237F14D3">
        <w:rPr>
          <w:rFonts w:eastAsia="Arial" w:cs="Arial"/>
          <w:color w:val="000000" w:themeColor="text1"/>
          <w:sz w:val="22"/>
          <w:szCs w:val="22"/>
        </w:rPr>
        <w:t>, Subordinated Notes</w:t>
      </w:r>
      <w:r w:rsidR="00054F98" w:rsidRPr="237F14D3">
        <w:rPr>
          <w:rFonts w:eastAsia="Arial" w:cs="Arial"/>
          <w:color w:val="000000" w:themeColor="text1"/>
          <w:sz w:val="22"/>
          <w:szCs w:val="22"/>
        </w:rPr>
        <w:t xml:space="preserve"> by $13.9m to $175.3m</w:t>
      </w:r>
      <w:r w:rsidRPr="237F14D3">
        <w:rPr>
          <w:rFonts w:eastAsia="Arial" w:cs="Arial"/>
          <w:color w:val="000000" w:themeColor="text1"/>
          <w:sz w:val="22"/>
          <w:szCs w:val="22"/>
        </w:rPr>
        <w:t xml:space="preserve"> and Senior Notes</w:t>
      </w:r>
      <w:r w:rsidR="00054F98" w:rsidRPr="237F14D3">
        <w:rPr>
          <w:rFonts w:eastAsia="Arial" w:cs="Arial"/>
          <w:color w:val="000000" w:themeColor="text1"/>
          <w:sz w:val="22"/>
          <w:szCs w:val="22"/>
        </w:rPr>
        <w:t xml:space="preserve"> by $62.5m to $184.4m. However, the NAV of Junior Shares fell by $14m to $185.3m</w:t>
      </w:r>
      <w:r w:rsidR="0074697B" w:rsidRPr="237F14D3">
        <w:rPr>
          <w:rFonts w:eastAsia="Arial" w:cs="Arial"/>
          <w:color w:val="000000" w:themeColor="text1"/>
          <w:sz w:val="22"/>
          <w:szCs w:val="22"/>
        </w:rPr>
        <w:t xml:space="preserve"> as the Fund</w:t>
      </w:r>
      <w:r w:rsidR="006539B0">
        <w:rPr>
          <w:rFonts w:eastAsia="Arial" w:cs="Arial"/>
          <w:color w:val="000000" w:themeColor="text1"/>
          <w:sz w:val="22"/>
          <w:szCs w:val="22"/>
        </w:rPr>
        <w:t>’s loan loss provisions increased</w:t>
      </w:r>
      <w:r w:rsidR="00C12ABB">
        <w:rPr>
          <w:rFonts w:eastAsia="Arial" w:cs="Arial"/>
          <w:color w:val="000000" w:themeColor="text1"/>
          <w:sz w:val="22"/>
          <w:szCs w:val="22"/>
        </w:rPr>
        <w:t>.</w:t>
      </w:r>
      <w:r w:rsidR="0074697B" w:rsidRPr="237F14D3">
        <w:rPr>
          <w:rFonts w:eastAsia="Arial" w:cs="Arial"/>
          <w:color w:val="000000" w:themeColor="text1"/>
          <w:sz w:val="22"/>
          <w:szCs w:val="22"/>
        </w:rPr>
        <w:t xml:space="preserve"> </w:t>
      </w:r>
      <w:r w:rsidR="003A1C14" w:rsidRPr="237F14D3">
        <w:rPr>
          <w:rFonts w:eastAsia="Arial" w:cs="Arial"/>
          <w:color w:val="000000" w:themeColor="text1"/>
          <w:sz w:val="22"/>
          <w:szCs w:val="22"/>
        </w:rPr>
        <w:t xml:space="preserve">This overall reduction to the value of Junior Shares of $30m meant that </w:t>
      </w:r>
      <w:r w:rsidR="003A1C14" w:rsidRPr="237F14D3">
        <w:rPr>
          <w:sz w:val="22"/>
          <w:szCs w:val="22"/>
        </w:rPr>
        <w:t>the value of Defra’s shares in the Fund fell by over 1</w:t>
      </w:r>
      <w:r w:rsidR="00E80BB1" w:rsidRPr="237F14D3">
        <w:rPr>
          <w:sz w:val="22"/>
          <w:szCs w:val="22"/>
        </w:rPr>
        <w:t>4</w:t>
      </w:r>
      <w:r w:rsidR="003A1C14" w:rsidRPr="237F14D3">
        <w:rPr>
          <w:sz w:val="22"/>
          <w:szCs w:val="22"/>
        </w:rPr>
        <w:t xml:space="preserve">% from $42.9m at the end of 2021 to $36.7m at the end of 2022, worth £30.3m </w:t>
      </w:r>
      <w:proofErr w:type="gramStart"/>
      <w:r w:rsidR="003A1C14" w:rsidRPr="237F14D3">
        <w:rPr>
          <w:sz w:val="22"/>
          <w:szCs w:val="22"/>
        </w:rPr>
        <w:t>at</w:t>
      </w:r>
      <w:proofErr w:type="gramEnd"/>
      <w:r w:rsidR="003A1C14" w:rsidRPr="237F14D3">
        <w:rPr>
          <w:sz w:val="22"/>
          <w:szCs w:val="22"/>
        </w:rPr>
        <w:t xml:space="preserve"> 31 December exchange rates and a loss </w:t>
      </w:r>
      <w:r w:rsidR="00FC7D5F" w:rsidRPr="237F14D3">
        <w:rPr>
          <w:sz w:val="22"/>
          <w:szCs w:val="22"/>
        </w:rPr>
        <w:t>of £2.3m</w:t>
      </w:r>
      <w:r w:rsidR="00FC7D5F">
        <w:rPr>
          <w:sz w:val="22"/>
          <w:szCs w:val="22"/>
        </w:rPr>
        <w:t xml:space="preserve"> </w:t>
      </w:r>
      <w:r w:rsidR="00B509FD">
        <w:rPr>
          <w:sz w:val="22"/>
          <w:szCs w:val="22"/>
        </w:rPr>
        <w:t>compared to Defra’s over</w:t>
      </w:r>
      <w:r w:rsidR="003A1C14" w:rsidRPr="237F14D3">
        <w:rPr>
          <w:sz w:val="22"/>
          <w:szCs w:val="22"/>
        </w:rPr>
        <w:t>a</w:t>
      </w:r>
      <w:r w:rsidR="00B509FD">
        <w:rPr>
          <w:sz w:val="22"/>
          <w:szCs w:val="22"/>
        </w:rPr>
        <w:t>l</w:t>
      </w:r>
      <w:r w:rsidR="003A1C14" w:rsidRPr="237F14D3">
        <w:rPr>
          <w:sz w:val="22"/>
          <w:szCs w:val="22"/>
        </w:rPr>
        <w:t xml:space="preserve">l investment. </w:t>
      </w:r>
      <w:r w:rsidR="00A61887">
        <w:rPr>
          <w:sz w:val="22"/>
          <w:szCs w:val="22"/>
        </w:rPr>
        <w:t>The value of EBF’s sh</w:t>
      </w:r>
      <w:r w:rsidR="00B509FD">
        <w:rPr>
          <w:sz w:val="22"/>
          <w:szCs w:val="22"/>
        </w:rPr>
        <w:t>a</w:t>
      </w:r>
      <w:r w:rsidR="00A61887">
        <w:rPr>
          <w:sz w:val="22"/>
          <w:szCs w:val="22"/>
        </w:rPr>
        <w:t xml:space="preserve">res, especially Junior Shares which </w:t>
      </w:r>
      <w:r w:rsidR="00B509FD">
        <w:rPr>
          <w:sz w:val="22"/>
          <w:szCs w:val="22"/>
        </w:rPr>
        <w:t xml:space="preserve">carry the highest risk, have gone up and down </w:t>
      </w:r>
      <w:r w:rsidR="00171726">
        <w:rPr>
          <w:sz w:val="22"/>
          <w:szCs w:val="22"/>
        </w:rPr>
        <w:t xml:space="preserve">since inception </w:t>
      </w:r>
      <w:r w:rsidR="00B509FD">
        <w:rPr>
          <w:sz w:val="22"/>
          <w:szCs w:val="22"/>
        </w:rPr>
        <w:t xml:space="preserve">with </w:t>
      </w:r>
      <w:r w:rsidR="00171726">
        <w:rPr>
          <w:sz w:val="22"/>
          <w:szCs w:val="22"/>
        </w:rPr>
        <w:t xml:space="preserve">international </w:t>
      </w:r>
      <w:r w:rsidR="00B509FD">
        <w:rPr>
          <w:sz w:val="22"/>
          <w:szCs w:val="22"/>
        </w:rPr>
        <w:t xml:space="preserve">markets </w:t>
      </w:r>
      <w:r w:rsidR="00171726">
        <w:rPr>
          <w:sz w:val="22"/>
          <w:szCs w:val="22"/>
        </w:rPr>
        <w:t>and the success or otherwise of its investments</w:t>
      </w:r>
      <w:r w:rsidR="00B509FD">
        <w:rPr>
          <w:sz w:val="22"/>
          <w:szCs w:val="22"/>
        </w:rPr>
        <w:t>.</w:t>
      </w:r>
      <w:r w:rsidR="003A1C14" w:rsidRPr="237F14D3">
        <w:rPr>
          <w:sz w:val="22"/>
          <w:szCs w:val="22"/>
        </w:rPr>
        <w:t xml:space="preserve"> </w:t>
      </w:r>
      <w:r w:rsidR="00B509FD">
        <w:rPr>
          <w:sz w:val="22"/>
          <w:szCs w:val="22"/>
        </w:rPr>
        <w:t>It</w:t>
      </w:r>
      <w:r w:rsidR="003A1C14" w:rsidRPr="237F14D3">
        <w:rPr>
          <w:sz w:val="22"/>
          <w:szCs w:val="22"/>
        </w:rPr>
        <w:t xml:space="preserve"> should be considered that Defra’s first loss position in the Fund is the reason </w:t>
      </w:r>
      <w:r w:rsidR="00E80BB1" w:rsidRPr="237F14D3">
        <w:rPr>
          <w:sz w:val="22"/>
          <w:szCs w:val="22"/>
        </w:rPr>
        <w:t>EBF</w:t>
      </w:r>
      <w:r w:rsidR="003A1C14" w:rsidRPr="237F14D3">
        <w:rPr>
          <w:sz w:val="22"/>
          <w:szCs w:val="22"/>
        </w:rPr>
        <w:t xml:space="preserve"> has been able to grow so rapidly and attract so much private </w:t>
      </w:r>
      <w:r w:rsidR="00E80BB1" w:rsidRPr="237F14D3">
        <w:rPr>
          <w:sz w:val="22"/>
          <w:szCs w:val="22"/>
        </w:rPr>
        <w:t>capital</w:t>
      </w:r>
      <w:r w:rsidR="003A1C14" w:rsidRPr="237F14D3">
        <w:rPr>
          <w:sz w:val="22"/>
          <w:szCs w:val="22"/>
        </w:rPr>
        <w:t xml:space="preserve">, </w:t>
      </w:r>
      <w:r w:rsidR="00FC7D5F">
        <w:rPr>
          <w:sz w:val="22"/>
          <w:szCs w:val="22"/>
        </w:rPr>
        <w:t xml:space="preserve">so these </w:t>
      </w:r>
      <w:r w:rsidR="004A788A">
        <w:rPr>
          <w:sz w:val="22"/>
          <w:szCs w:val="22"/>
        </w:rPr>
        <w:t>risks (and in some years losses) are precisely what make</w:t>
      </w:r>
      <w:r w:rsidR="003A1C14" w:rsidRPr="237F14D3">
        <w:rPr>
          <w:sz w:val="22"/>
          <w:szCs w:val="22"/>
        </w:rPr>
        <w:t xml:space="preserve"> it a</w:t>
      </w:r>
      <w:r w:rsidR="004A788A">
        <w:rPr>
          <w:sz w:val="22"/>
          <w:szCs w:val="22"/>
        </w:rPr>
        <w:t>n</w:t>
      </w:r>
      <w:r w:rsidR="003A1C14" w:rsidRPr="237F14D3">
        <w:rPr>
          <w:sz w:val="22"/>
          <w:szCs w:val="22"/>
        </w:rPr>
        <w:t xml:space="preserve"> impact</w:t>
      </w:r>
      <w:r w:rsidR="004A788A">
        <w:rPr>
          <w:sz w:val="22"/>
          <w:szCs w:val="22"/>
        </w:rPr>
        <w:t>ful</w:t>
      </w:r>
      <w:r w:rsidR="003A1C14" w:rsidRPr="237F14D3">
        <w:rPr>
          <w:sz w:val="22"/>
          <w:szCs w:val="22"/>
        </w:rPr>
        <w:t xml:space="preserve"> investment for Defra overall.</w:t>
      </w:r>
    </w:p>
    <w:p w14:paraId="56D7D749" w14:textId="77777777" w:rsidR="00054F98" w:rsidRDefault="00054F98" w:rsidP="00F66B70">
      <w:pPr>
        <w:jc w:val="both"/>
        <w:rPr>
          <w:rFonts w:eastAsia="Arial" w:cs="Arial"/>
          <w:color w:val="000000" w:themeColor="text1"/>
          <w:sz w:val="22"/>
          <w:szCs w:val="22"/>
        </w:rPr>
      </w:pPr>
    </w:p>
    <w:p w14:paraId="01AE7826" w14:textId="71514DD6" w:rsidR="6E94B2C1" w:rsidRPr="008D3032" w:rsidRDefault="002A551C" w:rsidP="00F66B70">
      <w:pPr>
        <w:spacing w:after="160"/>
        <w:jc w:val="both"/>
        <w:rPr>
          <w:rFonts w:eastAsia="Arial" w:cs="Arial"/>
          <w:color w:val="000000" w:themeColor="text1"/>
          <w:sz w:val="22"/>
          <w:szCs w:val="22"/>
        </w:rPr>
      </w:pPr>
      <w:r>
        <w:rPr>
          <w:rFonts w:eastAsia="Arial" w:cs="Arial"/>
          <w:color w:val="000000" w:themeColor="text1"/>
          <w:sz w:val="22"/>
          <w:szCs w:val="22"/>
        </w:rPr>
        <w:t>A</w:t>
      </w:r>
      <w:r w:rsidRPr="237F14D3">
        <w:rPr>
          <w:rFonts w:eastAsia="Arial" w:cs="Arial"/>
          <w:color w:val="000000" w:themeColor="text1"/>
          <w:sz w:val="22"/>
          <w:szCs w:val="22"/>
        </w:rPr>
        <w:t xml:space="preserve"> </w:t>
      </w:r>
      <w:r w:rsidR="00054F98" w:rsidRPr="237F14D3">
        <w:rPr>
          <w:rFonts w:eastAsia="Arial" w:cs="Arial"/>
          <w:color w:val="000000" w:themeColor="text1"/>
          <w:sz w:val="22"/>
          <w:szCs w:val="22"/>
        </w:rPr>
        <w:t xml:space="preserve">BMZ investment </w:t>
      </w:r>
      <w:r>
        <w:rPr>
          <w:rFonts w:eastAsia="Arial" w:cs="Arial"/>
          <w:color w:val="000000" w:themeColor="text1"/>
          <w:sz w:val="22"/>
          <w:szCs w:val="22"/>
        </w:rPr>
        <w:t xml:space="preserve">of </w:t>
      </w:r>
      <w:r w:rsidR="006539B0">
        <w:rPr>
          <w:rFonts w:eastAsia="Arial" w:cs="Arial"/>
          <w:color w:val="000000" w:themeColor="text1"/>
          <w:sz w:val="22"/>
          <w:szCs w:val="22"/>
        </w:rPr>
        <w:t xml:space="preserve">$16m in Junior Shares, </w:t>
      </w:r>
      <w:r w:rsidR="00054F98" w:rsidRPr="237F14D3">
        <w:rPr>
          <w:rFonts w:eastAsia="Arial" w:cs="Arial"/>
          <w:color w:val="000000" w:themeColor="text1"/>
          <w:sz w:val="22"/>
          <w:szCs w:val="22"/>
        </w:rPr>
        <w:t xml:space="preserve">and $25m in Senior Shares issued to </w:t>
      </w:r>
      <w:proofErr w:type="spellStart"/>
      <w:r w:rsidR="00054F98" w:rsidRPr="237F14D3">
        <w:rPr>
          <w:rFonts w:eastAsia="Arial" w:cs="Arial"/>
          <w:color w:val="000000" w:themeColor="text1"/>
          <w:sz w:val="22"/>
          <w:szCs w:val="22"/>
        </w:rPr>
        <w:t>KfW</w:t>
      </w:r>
      <w:proofErr w:type="spellEnd"/>
      <w:r w:rsidR="00054F98" w:rsidRPr="237F14D3">
        <w:rPr>
          <w:rFonts w:eastAsia="Arial" w:cs="Arial"/>
          <w:color w:val="000000" w:themeColor="text1"/>
          <w:sz w:val="22"/>
          <w:szCs w:val="22"/>
        </w:rPr>
        <w:t xml:space="preserve"> </w:t>
      </w:r>
      <w:r w:rsidR="003674DB">
        <w:rPr>
          <w:rFonts w:eastAsia="Arial" w:cs="Arial"/>
          <w:color w:val="000000" w:themeColor="text1"/>
          <w:sz w:val="22"/>
          <w:szCs w:val="22"/>
        </w:rPr>
        <w:t xml:space="preserve">in 2022 </w:t>
      </w:r>
      <w:r w:rsidR="00054F98" w:rsidRPr="237F14D3">
        <w:rPr>
          <w:rFonts w:eastAsia="Arial" w:cs="Arial"/>
          <w:color w:val="000000" w:themeColor="text1"/>
          <w:sz w:val="22"/>
          <w:szCs w:val="22"/>
        </w:rPr>
        <w:t xml:space="preserve">represent a necessary increase in public investment that should encourage further private investment. At the end of 2022, </w:t>
      </w:r>
      <w:r w:rsidR="1F387A53" w:rsidRPr="237F14D3">
        <w:rPr>
          <w:rFonts w:eastAsia="Arial" w:cs="Arial"/>
          <w:color w:val="000000" w:themeColor="text1"/>
          <w:sz w:val="22"/>
          <w:szCs w:val="22"/>
        </w:rPr>
        <w:t xml:space="preserve">private participation in the sub-fund </w:t>
      </w:r>
      <w:r w:rsidR="00054F98" w:rsidRPr="237F14D3">
        <w:rPr>
          <w:rFonts w:eastAsia="Arial" w:cs="Arial"/>
          <w:color w:val="000000" w:themeColor="text1"/>
          <w:sz w:val="22"/>
          <w:szCs w:val="22"/>
        </w:rPr>
        <w:t xml:space="preserve">was at </w:t>
      </w:r>
      <w:r w:rsidR="1F387A53" w:rsidRPr="237F14D3">
        <w:rPr>
          <w:rFonts w:eastAsia="Arial" w:cs="Arial"/>
          <w:color w:val="000000" w:themeColor="text1"/>
          <w:sz w:val="22"/>
          <w:szCs w:val="22"/>
        </w:rPr>
        <w:t>4</w:t>
      </w:r>
      <w:r w:rsidR="009D162D" w:rsidRPr="237F14D3">
        <w:rPr>
          <w:rFonts w:eastAsia="Arial" w:cs="Arial"/>
          <w:color w:val="000000" w:themeColor="text1"/>
          <w:sz w:val="22"/>
          <w:szCs w:val="22"/>
        </w:rPr>
        <w:t>4</w:t>
      </w:r>
      <w:r w:rsidR="1F387A53" w:rsidRPr="237F14D3">
        <w:rPr>
          <w:rFonts w:eastAsia="Arial" w:cs="Arial"/>
          <w:color w:val="000000" w:themeColor="text1"/>
          <w:sz w:val="22"/>
          <w:szCs w:val="22"/>
        </w:rPr>
        <w:t>%</w:t>
      </w:r>
      <w:r w:rsidR="00DD71BF">
        <w:rPr>
          <w:rFonts w:eastAsia="Arial" w:cs="Arial"/>
          <w:color w:val="000000" w:themeColor="text1"/>
          <w:sz w:val="22"/>
          <w:szCs w:val="22"/>
        </w:rPr>
        <w:t xml:space="preserve"> of total Fund capital</w:t>
      </w:r>
      <w:r w:rsidR="009D162D" w:rsidRPr="237F14D3">
        <w:rPr>
          <w:rFonts w:eastAsia="Arial" w:cs="Arial"/>
          <w:color w:val="000000" w:themeColor="text1"/>
          <w:sz w:val="22"/>
          <w:szCs w:val="22"/>
        </w:rPr>
        <w:t>,</w:t>
      </w:r>
      <w:r w:rsidR="009F6613" w:rsidRPr="237F14D3">
        <w:rPr>
          <w:rFonts w:eastAsia="Arial" w:cs="Arial"/>
          <w:color w:val="000000" w:themeColor="text1"/>
          <w:sz w:val="22"/>
          <w:szCs w:val="22"/>
        </w:rPr>
        <w:t xml:space="preserve"> </w:t>
      </w:r>
      <w:r w:rsidR="009D162D" w:rsidRPr="237F14D3">
        <w:rPr>
          <w:rFonts w:eastAsia="Arial" w:cs="Arial"/>
          <w:color w:val="000000" w:themeColor="text1"/>
          <w:sz w:val="22"/>
          <w:szCs w:val="22"/>
        </w:rPr>
        <w:t xml:space="preserve">including sub-participation from </w:t>
      </w:r>
      <w:r w:rsidR="00571DB5" w:rsidRPr="237F14D3">
        <w:rPr>
          <w:rFonts w:eastAsia="Arial" w:cs="Arial"/>
          <w:color w:val="000000" w:themeColor="text1"/>
          <w:sz w:val="22"/>
          <w:szCs w:val="22"/>
        </w:rPr>
        <w:t xml:space="preserve">the Fund’s partner and co-investor </w:t>
      </w:r>
      <w:r w:rsidR="009D162D" w:rsidRPr="237F14D3">
        <w:rPr>
          <w:rFonts w:eastAsia="Arial" w:cs="Arial"/>
          <w:color w:val="000000" w:themeColor="text1"/>
          <w:sz w:val="22"/>
          <w:szCs w:val="22"/>
        </w:rPr>
        <w:t xml:space="preserve">Calvert Impact Capital </w:t>
      </w:r>
      <w:r w:rsidR="009F6613" w:rsidRPr="237F14D3">
        <w:rPr>
          <w:rFonts w:eastAsia="Arial" w:cs="Arial"/>
          <w:color w:val="000000" w:themeColor="text1"/>
          <w:sz w:val="22"/>
          <w:szCs w:val="22"/>
        </w:rPr>
        <w:t>(</w:t>
      </w:r>
      <w:r w:rsidR="00054F98" w:rsidRPr="237F14D3">
        <w:rPr>
          <w:rFonts w:eastAsia="Arial" w:cs="Arial"/>
          <w:color w:val="000000" w:themeColor="text1"/>
          <w:sz w:val="22"/>
          <w:szCs w:val="22"/>
        </w:rPr>
        <w:t>compared to 40</w:t>
      </w:r>
      <w:r w:rsidR="009F6613" w:rsidRPr="237F14D3">
        <w:rPr>
          <w:rFonts w:eastAsia="Arial" w:cs="Arial"/>
          <w:color w:val="000000" w:themeColor="text1"/>
          <w:sz w:val="22"/>
          <w:szCs w:val="22"/>
        </w:rPr>
        <w:t>% in 202</w:t>
      </w:r>
      <w:r w:rsidR="00054F98" w:rsidRPr="237F14D3">
        <w:rPr>
          <w:rFonts w:eastAsia="Arial" w:cs="Arial"/>
          <w:color w:val="000000" w:themeColor="text1"/>
          <w:sz w:val="22"/>
          <w:szCs w:val="22"/>
        </w:rPr>
        <w:t>1</w:t>
      </w:r>
      <w:r w:rsidR="009F6613" w:rsidRPr="237F14D3">
        <w:rPr>
          <w:rFonts w:eastAsia="Arial" w:cs="Arial"/>
          <w:color w:val="000000" w:themeColor="text1"/>
          <w:sz w:val="22"/>
          <w:szCs w:val="22"/>
        </w:rPr>
        <w:t>)</w:t>
      </w:r>
      <w:r w:rsidR="1F387A53" w:rsidRPr="237F14D3">
        <w:rPr>
          <w:rFonts w:eastAsia="Arial" w:cs="Arial"/>
          <w:color w:val="000000" w:themeColor="text1"/>
          <w:sz w:val="22"/>
          <w:szCs w:val="22"/>
        </w:rPr>
        <w:t xml:space="preserve">. Private investors have contributed a total of </w:t>
      </w:r>
      <w:r w:rsidR="005C4991" w:rsidRPr="237F14D3">
        <w:rPr>
          <w:rFonts w:eastAsia="Arial" w:cs="Arial"/>
          <w:color w:val="000000" w:themeColor="text1"/>
          <w:sz w:val="22"/>
          <w:szCs w:val="22"/>
        </w:rPr>
        <w:t>$</w:t>
      </w:r>
      <w:r w:rsidR="00305F45" w:rsidRPr="237F14D3">
        <w:rPr>
          <w:rFonts w:eastAsia="Arial" w:cs="Arial"/>
          <w:color w:val="000000" w:themeColor="text1"/>
          <w:sz w:val="22"/>
          <w:szCs w:val="22"/>
        </w:rPr>
        <w:t>378</w:t>
      </w:r>
      <w:r w:rsidR="005C4991" w:rsidRPr="237F14D3">
        <w:rPr>
          <w:rFonts w:eastAsia="Arial" w:cs="Arial"/>
          <w:color w:val="000000" w:themeColor="text1"/>
          <w:sz w:val="22"/>
          <w:szCs w:val="22"/>
        </w:rPr>
        <w:t>m</w:t>
      </w:r>
      <w:r w:rsidR="1F387A53" w:rsidRPr="237F14D3">
        <w:rPr>
          <w:rFonts w:eastAsia="Arial" w:cs="Arial"/>
          <w:color w:val="000000" w:themeColor="text1"/>
          <w:sz w:val="22"/>
          <w:szCs w:val="22"/>
        </w:rPr>
        <w:t xml:space="preserve"> since the inception of the Fund.</w:t>
      </w:r>
    </w:p>
    <w:p w14:paraId="3DDFBBD0" w14:textId="0B464ACB" w:rsidR="2A1D9A31" w:rsidRPr="008D3032" w:rsidRDefault="0AD3E96E" w:rsidP="00F66B70">
      <w:pPr>
        <w:jc w:val="both"/>
        <w:rPr>
          <w:rFonts w:eastAsia="Arial" w:cs="Arial"/>
          <w:sz w:val="22"/>
          <w:szCs w:val="22"/>
          <w:u w:val="single"/>
        </w:rPr>
      </w:pPr>
      <w:r w:rsidRPr="008D3032">
        <w:rPr>
          <w:rFonts w:eastAsia="Arial" w:cs="Arial"/>
          <w:sz w:val="22"/>
          <w:szCs w:val="22"/>
          <w:u w:val="single"/>
        </w:rPr>
        <w:t xml:space="preserve">The Development Facility </w:t>
      </w:r>
      <w:r w:rsidR="00644579" w:rsidRPr="008D3032">
        <w:rPr>
          <w:rFonts w:eastAsia="Arial" w:cs="Arial"/>
          <w:sz w:val="22"/>
          <w:szCs w:val="22"/>
          <w:u w:val="single"/>
        </w:rPr>
        <w:t>(DF)</w:t>
      </w:r>
    </w:p>
    <w:p w14:paraId="04E7F58A" w14:textId="466E2349" w:rsidR="16381FB0" w:rsidRPr="008D3032" w:rsidRDefault="16381FB0" w:rsidP="00F66B70">
      <w:pPr>
        <w:jc w:val="both"/>
        <w:rPr>
          <w:rFonts w:eastAsia="Arial" w:cs="Arial"/>
          <w:sz w:val="22"/>
          <w:szCs w:val="22"/>
        </w:rPr>
      </w:pPr>
    </w:p>
    <w:p w14:paraId="3F67C479" w14:textId="700E5734" w:rsidR="16381FB0" w:rsidRPr="000D4C1A" w:rsidRDefault="0AD3E96E" w:rsidP="00F66B70">
      <w:pPr>
        <w:jc w:val="both"/>
        <w:rPr>
          <w:rFonts w:eastAsia="Arial" w:cs="Arial"/>
          <w:sz w:val="22"/>
          <w:szCs w:val="22"/>
        </w:rPr>
      </w:pPr>
      <w:r w:rsidRPr="008D3032">
        <w:rPr>
          <w:rFonts w:eastAsia="Arial" w:cs="Arial"/>
          <w:sz w:val="22"/>
          <w:szCs w:val="22"/>
        </w:rPr>
        <w:t xml:space="preserve">The DF is a separate entity that sits alongside the EBF’s investment portfolio. The DF provides grant finance directed at Technical Assistance (TA) projects. Typical examples of these projects include promoting environmentally sustainable land-use practices within small businesses to enable environmental sustainability standards to be achieved, sponsoring events, running capacity building workshops, </w:t>
      </w:r>
      <w:r w:rsidR="00A37A35">
        <w:rPr>
          <w:rFonts w:eastAsia="Arial" w:cs="Arial"/>
          <w:sz w:val="22"/>
          <w:szCs w:val="22"/>
        </w:rPr>
        <w:t xml:space="preserve">and with </w:t>
      </w:r>
      <w:r w:rsidR="003A02D0">
        <w:rPr>
          <w:rFonts w:eastAsia="Arial" w:cs="Arial"/>
          <w:sz w:val="22"/>
          <w:szCs w:val="22"/>
        </w:rPr>
        <w:t xml:space="preserve">PIs </w:t>
      </w:r>
      <w:r w:rsidR="00E41EE7" w:rsidRPr="008D3032">
        <w:rPr>
          <w:rFonts w:eastAsia="Arial" w:cs="Arial"/>
          <w:sz w:val="22"/>
          <w:szCs w:val="22"/>
        </w:rPr>
        <w:t>developing sustainability strategies</w:t>
      </w:r>
      <w:r w:rsidRPr="008D3032">
        <w:rPr>
          <w:rFonts w:eastAsia="Arial" w:cs="Arial"/>
          <w:sz w:val="22"/>
          <w:szCs w:val="22"/>
        </w:rPr>
        <w:t xml:space="preserve"> and/or implementing Environmental and Social Management Systems (ESMS). In 202</w:t>
      </w:r>
      <w:r w:rsidR="008C1A5E">
        <w:rPr>
          <w:rFonts w:eastAsia="Arial" w:cs="Arial"/>
          <w:sz w:val="22"/>
          <w:szCs w:val="22"/>
        </w:rPr>
        <w:t>2</w:t>
      </w:r>
      <w:r w:rsidRPr="008D3032">
        <w:rPr>
          <w:rFonts w:eastAsia="Arial" w:cs="Arial"/>
          <w:sz w:val="22"/>
          <w:szCs w:val="22"/>
        </w:rPr>
        <w:t xml:space="preserve"> the DF </w:t>
      </w:r>
      <w:r w:rsidR="007100AA" w:rsidRPr="008D3032">
        <w:rPr>
          <w:rFonts w:eastAsia="Arial" w:cs="Arial"/>
          <w:sz w:val="22"/>
          <w:szCs w:val="22"/>
        </w:rPr>
        <w:t>received approval</w:t>
      </w:r>
      <w:r w:rsidR="00131D11" w:rsidRPr="008D3032">
        <w:rPr>
          <w:rFonts w:eastAsia="Arial" w:cs="Arial"/>
          <w:sz w:val="22"/>
          <w:szCs w:val="22"/>
        </w:rPr>
        <w:t xml:space="preserve"> for</w:t>
      </w:r>
      <w:r w:rsidRPr="008D3032">
        <w:rPr>
          <w:rFonts w:eastAsia="Arial" w:cs="Arial"/>
          <w:sz w:val="22"/>
          <w:szCs w:val="22"/>
        </w:rPr>
        <w:t xml:space="preserve"> </w:t>
      </w:r>
      <w:r w:rsidR="00801CA0" w:rsidRPr="008D3032">
        <w:rPr>
          <w:rFonts w:eastAsia="Arial" w:cs="Arial"/>
          <w:sz w:val="22"/>
          <w:szCs w:val="22"/>
        </w:rPr>
        <w:t>1</w:t>
      </w:r>
      <w:r w:rsidR="008C1A5E">
        <w:rPr>
          <w:rFonts w:eastAsia="Arial" w:cs="Arial"/>
          <w:sz w:val="22"/>
          <w:szCs w:val="22"/>
        </w:rPr>
        <w:t>4</w:t>
      </w:r>
      <w:r w:rsidR="00E41EE7" w:rsidRPr="008D3032">
        <w:rPr>
          <w:rFonts w:eastAsia="Arial" w:cs="Arial"/>
          <w:sz w:val="22"/>
          <w:szCs w:val="22"/>
        </w:rPr>
        <w:t xml:space="preserve"> individual projects </w:t>
      </w:r>
      <w:r w:rsidR="008C1A5E">
        <w:rPr>
          <w:rFonts w:eastAsia="Arial" w:cs="Arial"/>
          <w:sz w:val="22"/>
          <w:szCs w:val="22"/>
        </w:rPr>
        <w:t xml:space="preserve">and completed 18 projects, with </w:t>
      </w:r>
      <w:r w:rsidR="00E41EE7" w:rsidRPr="008D3032">
        <w:rPr>
          <w:rFonts w:eastAsia="Arial" w:cs="Arial"/>
          <w:sz w:val="22"/>
          <w:szCs w:val="22"/>
        </w:rPr>
        <w:t>a</w:t>
      </w:r>
      <w:r w:rsidR="008C1A5E">
        <w:rPr>
          <w:rFonts w:eastAsia="Arial" w:cs="Arial"/>
          <w:sz w:val="22"/>
          <w:szCs w:val="22"/>
        </w:rPr>
        <w:t>n average</w:t>
      </w:r>
      <w:r w:rsidR="00E41EE7" w:rsidRPr="008D3032">
        <w:rPr>
          <w:rFonts w:eastAsia="Arial" w:cs="Arial"/>
          <w:sz w:val="22"/>
          <w:szCs w:val="22"/>
        </w:rPr>
        <w:t xml:space="preserve"> budget </w:t>
      </w:r>
      <w:r w:rsidR="008C1A5E">
        <w:rPr>
          <w:rFonts w:eastAsia="Arial" w:cs="Arial"/>
          <w:sz w:val="22"/>
          <w:szCs w:val="22"/>
        </w:rPr>
        <w:t xml:space="preserve">since inception </w:t>
      </w:r>
      <w:r w:rsidR="00E41EE7" w:rsidRPr="008D3032">
        <w:rPr>
          <w:rFonts w:eastAsia="Arial" w:cs="Arial"/>
          <w:sz w:val="22"/>
          <w:szCs w:val="22"/>
        </w:rPr>
        <w:t xml:space="preserve">of </w:t>
      </w:r>
      <w:r w:rsidR="005C4991" w:rsidRPr="008D3032">
        <w:rPr>
          <w:rFonts w:eastAsia="Arial" w:cs="Arial"/>
          <w:sz w:val="22"/>
          <w:szCs w:val="22"/>
        </w:rPr>
        <w:t>$</w:t>
      </w:r>
      <w:r w:rsidR="008C1A5E">
        <w:rPr>
          <w:rFonts w:eastAsia="Arial" w:cs="Arial"/>
          <w:sz w:val="22"/>
          <w:szCs w:val="22"/>
        </w:rPr>
        <w:t>55,427</w:t>
      </w:r>
      <w:r w:rsidRPr="008D3032">
        <w:rPr>
          <w:rFonts w:eastAsia="Arial" w:cs="Arial"/>
          <w:sz w:val="22"/>
          <w:szCs w:val="22"/>
        </w:rPr>
        <w:t>. This is described further in output 3.</w:t>
      </w:r>
    </w:p>
    <w:p w14:paraId="500742DF" w14:textId="77777777" w:rsidR="00F76241" w:rsidRDefault="00F76241" w:rsidP="00F66B70">
      <w:pPr>
        <w:jc w:val="both"/>
        <w:rPr>
          <w:rFonts w:eastAsia="Arial" w:cs="Arial"/>
          <w:color w:val="000000" w:themeColor="text1"/>
          <w:sz w:val="22"/>
          <w:szCs w:val="22"/>
        </w:rPr>
      </w:pPr>
    </w:p>
    <w:p w14:paraId="28B8767C" w14:textId="20DD89E5" w:rsidR="00F76241" w:rsidRDefault="00F76241" w:rsidP="00F66B70">
      <w:pPr>
        <w:jc w:val="both"/>
        <w:rPr>
          <w:rFonts w:eastAsia="Arial" w:cs="Arial"/>
          <w:color w:val="000000" w:themeColor="text1"/>
          <w:sz w:val="22"/>
          <w:szCs w:val="22"/>
        </w:rPr>
      </w:pPr>
      <w:r>
        <w:rPr>
          <w:rFonts w:eastAsia="Arial" w:cs="Arial"/>
          <w:color w:val="000000" w:themeColor="text1"/>
          <w:sz w:val="22"/>
          <w:szCs w:val="22"/>
          <w:u w:val="single"/>
        </w:rPr>
        <w:t>Independent Review</w:t>
      </w:r>
    </w:p>
    <w:p w14:paraId="4E9ED7A4" w14:textId="77777777" w:rsidR="00F76241" w:rsidRDefault="00F76241" w:rsidP="00F66B70">
      <w:pPr>
        <w:jc w:val="both"/>
        <w:rPr>
          <w:rFonts w:eastAsia="Arial" w:cs="Arial"/>
          <w:color w:val="000000" w:themeColor="text1"/>
          <w:sz w:val="22"/>
          <w:szCs w:val="22"/>
        </w:rPr>
      </w:pPr>
    </w:p>
    <w:p w14:paraId="13082040" w14:textId="3759076C" w:rsidR="000D4C1A" w:rsidRDefault="005B22BB" w:rsidP="00F66B70">
      <w:pPr>
        <w:jc w:val="both"/>
        <w:rPr>
          <w:rFonts w:eastAsia="Arial" w:cs="Arial"/>
          <w:color w:val="000000" w:themeColor="text1"/>
          <w:sz w:val="22"/>
          <w:szCs w:val="22"/>
        </w:rPr>
      </w:pPr>
      <w:r>
        <w:rPr>
          <w:rFonts w:eastAsia="Arial" w:cs="Arial"/>
          <w:color w:val="000000" w:themeColor="text1"/>
          <w:sz w:val="22"/>
          <w:szCs w:val="22"/>
        </w:rPr>
        <w:t>In 2022, a</w:t>
      </w:r>
      <w:r w:rsidR="00F76241" w:rsidRPr="1EF1250E">
        <w:rPr>
          <w:rFonts w:eastAsia="Arial" w:cs="Arial"/>
          <w:color w:val="000000" w:themeColor="text1"/>
          <w:sz w:val="22"/>
          <w:szCs w:val="22"/>
        </w:rPr>
        <w:t xml:space="preserve">n external </w:t>
      </w:r>
      <w:r w:rsidR="000D4C1A" w:rsidRPr="1EF1250E">
        <w:rPr>
          <w:rFonts w:eastAsia="Arial" w:cs="Arial"/>
          <w:color w:val="000000" w:themeColor="text1"/>
          <w:sz w:val="22"/>
          <w:szCs w:val="22"/>
        </w:rPr>
        <w:t xml:space="preserve">midterm </w:t>
      </w:r>
      <w:r w:rsidR="00F76241" w:rsidRPr="1EF1250E">
        <w:rPr>
          <w:rFonts w:eastAsia="Arial" w:cs="Arial"/>
          <w:color w:val="000000" w:themeColor="text1"/>
          <w:sz w:val="22"/>
          <w:szCs w:val="22"/>
        </w:rPr>
        <w:t xml:space="preserve">review </w:t>
      </w:r>
      <w:r w:rsidR="000D4C1A" w:rsidRPr="1EF1250E">
        <w:rPr>
          <w:rFonts w:eastAsia="Arial" w:cs="Arial"/>
          <w:color w:val="000000" w:themeColor="text1"/>
          <w:sz w:val="22"/>
          <w:szCs w:val="22"/>
        </w:rPr>
        <w:t xml:space="preserve">of EBF LAC and the DF </w:t>
      </w:r>
      <w:r w:rsidR="00F76241" w:rsidRPr="1EF1250E">
        <w:rPr>
          <w:rFonts w:eastAsia="Arial" w:cs="Arial"/>
          <w:color w:val="000000" w:themeColor="text1"/>
          <w:sz w:val="22"/>
          <w:szCs w:val="22"/>
        </w:rPr>
        <w:t xml:space="preserve">was carried out by sustainability consultancy firm Steward </w:t>
      </w:r>
      <w:proofErr w:type="spellStart"/>
      <w:r w:rsidR="00F76241" w:rsidRPr="1EF1250E">
        <w:rPr>
          <w:rFonts w:eastAsia="Arial" w:cs="Arial"/>
          <w:color w:val="000000" w:themeColor="text1"/>
          <w:sz w:val="22"/>
          <w:szCs w:val="22"/>
        </w:rPr>
        <w:t>Redqueen</w:t>
      </w:r>
      <w:proofErr w:type="spellEnd"/>
      <w:r w:rsidR="00F76241" w:rsidRPr="1EF1250E">
        <w:rPr>
          <w:rFonts w:eastAsia="Arial" w:cs="Arial"/>
          <w:color w:val="000000" w:themeColor="text1"/>
          <w:sz w:val="22"/>
          <w:szCs w:val="22"/>
        </w:rPr>
        <w:t xml:space="preserve">, engaging with </w:t>
      </w:r>
      <w:r w:rsidR="532DC6E3" w:rsidRPr="1EF1250E">
        <w:rPr>
          <w:rFonts w:eastAsia="Arial" w:cs="Arial"/>
          <w:color w:val="000000" w:themeColor="text1"/>
          <w:sz w:val="22"/>
          <w:szCs w:val="22"/>
        </w:rPr>
        <w:t>many</w:t>
      </w:r>
      <w:r w:rsidR="00F76241" w:rsidRPr="1EF1250E">
        <w:rPr>
          <w:rFonts w:eastAsia="Arial" w:cs="Arial"/>
          <w:color w:val="000000" w:themeColor="text1"/>
          <w:sz w:val="22"/>
          <w:szCs w:val="22"/>
        </w:rPr>
        <w:t xml:space="preserve"> stakeholders including Defra. The Review </w:t>
      </w:r>
      <w:r w:rsidR="003C287E">
        <w:rPr>
          <w:rFonts w:eastAsia="Arial" w:cs="Arial"/>
          <w:color w:val="000000" w:themeColor="text1"/>
          <w:sz w:val="22"/>
          <w:szCs w:val="22"/>
        </w:rPr>
        <w:t xml:space="preserve">reported back to the Board in December 2022 and </w:t>
      </w:r>
      <w:r w:rsidR="00F76241" w:rsidRPr="1EF1250E">
        <w:rPr>
          <w:rFonts w:eastAsia="Arial" w:cs="Arial"/>
          <w:color w:val="000000" w:themeColor="text1"/>
          <w:sz w:val="22"/>
          <w:szCs w:val="22"/>
        </w:rPr>
        <w:t xml:space="preserve">was </w:t>
      </w:r>
      <w:r w:rsidR="003C287E">
        <w:rPr>
          <w:rFonts w:eastAsia="Arial" w:cs="Arial"/>
          <w:color w:val="000000" w:themeColor="text1"/>
          <w:sz w:val="22"/>
          <w:szCs w:val="22"/>
        </w:rPr>
        <w:t xml:space="preserve">overall </w:t>
      </w:r>
      <w:r w:rsidR="00000EB6">
        <w:rPr>
          <w:rFonts w:eastAsia="Arial" w:cs="Arial"/>
          <w:color w:val="000000" w:themeColor="text1"/>
          <w:sz w:val="22"/>
          <w:szCs w:val="22"/>
        </w:rPr>
        <w:t xml:space="preserve">very </w:t>
      </w:r>
      <w:r w:rsidR="00F76241" w:rsidRPr="1EF1250E">
        <w:rPr>
          <w:rFonts w:eastAsia="Arial" w:cs="Arial"/>
          <w:color w:val="000000" w:themeColor="text1"/>
          <w:sz w:val="22"/>
          <w:szCs w:val="22"/>
        </w:rPr>
        <w:t>positive,</w:t>
      </w:r>
      <w:r w:rsidR="00F76241" w:rsidRPr="1EF1250E">
        <w:rPr>
          <w:rFonts w:cs="Arial"/>
          <w:sz w:val="22"/>
          <w:szCs w:val="22"/>
          <w:lang w:eastAsia="en-GB"/>
        </w:rPr>
        <w:t xml:space="preserve"> </w:t>
      </w:r>
      <w:r w:rsidR="00F76241" w:rsidRPr="1EF1250E">
        <w:rPr>
          <w:rFonts w:eastAsia="Arial" w:cs="Arial"/>
          <w:color w:val="000000" w:themeColor="text1"/>
          <w:sz w:val="22"/>
          <w:szCs w:val="22"/>
        </w:rPr>
        <w:t>praising EBF-LAC’s effectiveness and performance</w:t>
      </w:r>
      <w:r w:rsidR="00280C82">
        <w:rPr>
          <w:rFonts w:eastAsia="Arial" w:cs="Arial"/>
          <w:color w:val="000000" w:themeColor="text1"/>
          <w:sz w:val="22"/>
          <w:szCs w:val="22"/>
        </w:rPr>
        <w:t xml:space="preserve"> and the robustness of its impact </w:t>
      </w:r>
      <w:r w:rsidR="00F96BFA">
        <w:rPr>
          <w:rFonts w:eastAsia="Arial" w:cs="Arial"/>
          <w:color w:val="000000" w:themeColor="text1"/>
          <w:sz w:val="22"/>
          <w:szCs w:val="22"/>
        </w:rPr>
        <w:t>rep</w:t>
      </w:r>
      <w:r w:rsidR="00280C82">
        <w:rPr>
          <w:rFonts w:eastAsia="Arial" w:cs="Arial"/>
          <w:color w:val="000000" w:themeColor="text1"/>
          <w:sz w:val="22"/>
          <w:szCs w:val="22"/>
        </w:rPr>
        <w:t>or</w:t>
      </w:r>
      <w:r w:rsidR="00F96BFA">
        <w:rPr>
          <w:rFonts w:eastAsia="Arial" w:cs="Arial"/>
          <w:color w:val="000000" w:themeColor="text1"/>
          <w:sz w:val="22"/>
          <w:szCs w:val="22"/>
        </w:rPr>
        <w:t>t</w:t>
      </w:r>
      <w:r w:rsidR="00280C82">
        <w:rPr>
          <w:rFonts w:eastAsia="Arial" w:cs="Arial"/>
          <w:color w:val="000000" w:themeColor="text1"/>
          <w:sz w:val="22"/>
          <w:szCs w:val="22"/>
        </w:rPr>
        <w:t>ing</w:t>
      </w:r>
      <w:r w:rsidR="00F76241" w:rsidRPr="1EF1250E">
        <w:rPr>
          <w:rFonts w:eastAsia="Arial" w:cs="Arial"/>
          <w:color w:val="000000" w:themeColor="text1"/>
          <w:sz w:val="22"/>
          <w:szCs w:val="22"/>
        </w:rPr>
        <w:t>, and describing it as a major contributor to sustainable land management. See more details in Section E: Programme Management.</w:t>
      </w:r>
    </w:p>
    <w:p w14:paraId="61E71BB5" w14:textId="77777777" w:rsidR="000D4C1A" w:rsidRDefault="000D4C1A" w:rsidP="00F66B70">
      <w:pPr>
        <w:jc w:val="both"/>
        <w:rPr>
          <w:rFonts w:eastAsia="Arial" w:cs="Arial"/>
          <w:color w:val="000000" w:themeColor="text1"/>
          <w:sz w:val="22"/>
          <w:szCs w:val="22"/>
        </w:rPr>
      </w:pPr>
    </w:p>
    <w:p w14:paraId="1B73F20A" w14:textId="555BAEDF" w:rsidR="70DC0069" w:rsidRDefault="00E503AB" w:rsidP="70DC0069">
      <w:pPr>
        <w:jc w:val="both"/>
        <w:rPr>
          <w:rFonts w:eastAsia="Arial" w:cs="Arial"/>
          <w:color w:val="000000" w:themeColor="text1"/>
          <w:sz w:val="22"/>
          <w:szCs w:val="22"/>
        </w:rPr>
      </w:pPr>
      <w:r>
        <w:rPr>
          <w:rFonts w:eastAsia="Arial" w:cs="Arial"/>
          <w:color w:val="000000" w:themeColor="text1"/>
          <w:sz w:val="22"/>
          <w:szCs w:val="22"/>
        </w:rPr>
        <w:t>In conclusion,</w:t>
      </w:r>
      <w:r w:rsidR="000D4C1A" w:rsidRPr="70DC0069">
        <w:rPr>
          <w:rFonts w:eastAsia="Arial" w:cs="Arial"/>
          <w:color w:val="000000" w:themeColor="text1"/>
          <w:sz w:val="22"/>
          <w:szCs w:val="22"/>
        </w:rPr>
        <w:t xml:space="preserve"> the impact of Defra’s investment into the EBF continues to grow and contribute to Defra’s and </w:t>
      </w:r>
      <w:r w:rsidR="003E33BF">
        <w:rPr>
          <w:rFonts w:eastAsia="Arial" w:cs="Arial"/>
          <w:color w:val="000000" w:themeColor="text1"/>
          <w:sz w:val="22"/>
          <w:szCs w:val="22"/>
        </w:rPr>
        <w:t xml:space="preserve">the </w:t>
      </w:r>
      <w:r w:rsidR="000D4C1A" w:rsidRPr="70DC0069">
        <w:rPr>
          <w:rFonts w:eastAsia="Arial" w:cs="Arial"/>
          <w:color w:val="000000" w:themeColor="text1"/>
          <w:sz w:val="22"/>
          <w:szCs w:val="22"/>
        </w:rPr>
        <w:t>UK Government’s strategic climate and nature objectives while supporting sustainable livelihoods and delivering long-term systemic change in the financial system.</w:t>
      </w:r>
    </w:p>
    <w:p w14:paraId="49973694" w14:textId="2B53742C" w:rsidR="16381FB0" w:rsidRPr="008B63E0" w:rsidRDefault="16381FB0" w:rsidP="00F66B70">
      <w:pPr>
        <w:jc w:val="both"/>
        <w:rPr>
          <w:rFonts w:eastAsia="Arial" w:cs="Arial"/>
          <w:color w:val="000000" w:themeColor="text1"/>
          <w:sz w:val="22"/>
          <w:szCs w:val="22"/>
        </w:rPr>
      </w:pPr>
    </w:p>
    <w:p w14:paraId="4ADBC453" w14:textId="63F2890A" w:rsidR="006F3AE7" w:rsidRDefault="7232A90E" w:rsidP="00F66B70">
      <w:pPr>
        <w:tabs>
          <w:tab w:val="left" w:pos="6915"/>
          <w:tab w:val="left" w:pos="9495"/>
        </w:tabs>
        <w:jc w:val="both"/>
        <w:rPr>
          <w:rFonts w:eastAsia="Arial" w:cs="Arial"/>
          <w:b/>
          <w:bCs/>
          <w:sz w:val="22"/>
          <w:szCs w:val="22"/>
        </w:rPr>
      </w:pPr>
      <w:r w:rsidRPr="008D3032">
        <w:rPr>
          <w:rFonts w:eastAsia="Arial" w:cs="Arial"/>
          <w:b/>
          <w:bCs/>
          <w:sz w:val="22"/>
          <w:szCs w:val="22"/>
        </w:rPr>
        <w:t>Major lessons and recommendations for the year ahead</w:t>
      </w:r>
    </w:p>
    <w:p w14:paraId="6A802BA8" w14:textId="77777777" w:rsidR="00A076EE" w:rsidRPr="008D3032" w:rsidRDefault="00A076EE" w:rsidP="00F66B70">
      <w:pPr>
        <w:tabs>
          <w:tab w:val="left" w:pos="6915"/>
          <w:tab w:val="left" w:pos="9495"/>
        </w:tabs>
        <w:jc w:val="both"/>
        <w:rPr>
          <w:rFonts w:eastAsia="Arial" w:cs="Arial"/>
          <w:sz w:val="20"/>
          <w:szCs w:val="20"/>
        </w:rPr>
      </w:pPr>
    </w:p>
    <w:p w14:paraId="62116EB7" w14:textId="49E89A42" w:rsidR="00C33A0F" w:rsidRDefault="00B8261A" w:rsidP="007933C2">
      <w:pPr>
        <w:pStyle w:val="ListParagraph"/>
        <w:numPr>
          <w:ilvl w:val="0"/>
          <w:numId w:val="18"/>
        </w:numPr>
        <w:spacing w:after="0"/>
        <w:jc w:val="both"/>
        <w:rPr>
          <w:rFonts w:eastAsia="Arial" w:cs="Arial"/>
          <w:color w:val="000000" w:themeColor="text1"/>
          <w:sz w:val="22"/>
          <w:szCs w:val="22"/>
        </w:rPr>
      </w:pPr>
      <w:r>
        <w:rPr>
          <w:rFonts w:eastAsia="Arial" w:cs="Arial"/>
          <w:color w:val="000000" w:themeColor="text1"/>
          <w:sz w:val="22"/>
          <w:szCs w:val="22"/>
        </w:rPr>
        <w:t xml:space="preserve">From 2024, </w:t>
      </w:r>
      <w:r w:rsidR="7BBEECC1" w:rsidRPr="237F14D3">
        <w:rPr>
          <w:rFonts w:eastAsia="Arial" w:cs="Arial"/>
          <w:color w:val="000000" w:themeColor="text1"/>
          <w:sz w:val="22"/>
          <w:szCs w:val="22"/>
        </w:rPr>
        <w:t xml:space="preserve">Defra </w:t>
      </w:r>
      <w:r w:rsidR="0065666E" w:rsidRPr="237F14D3">
        <w:rPr>
          <w:rFonts w:eastAsia="Arial" w:cs="Arial"/>
          <w:color w:val="000000" w:themeColor="text1"/>
          <w:sz w:val="22"/>
          <w:szCs w:val="22"/>
        </w:rPr>
        <w:t xml:space="preserve">will </w:t>
      </w:r>
      <w:r w:rsidR="7BBEECC1" w:rsidRPr="237F14D3">
        <w:rPr>
          <w:rFonts w:eastAsia="Arial" w:cs="Arial"/>
          <w:color w:val="000000" w:themeColor="text1"/>
          <w:sz w:val="22"/>
          <w:szCs w:val="22"/>
        </w:rPr>
        <w:t xml:space="preserve">work with the Fund to </w:t>
      </w:r>
      <w:r w:rsidR="002B3CD6" w:rsidRPr="237F14D3">
        <w:rPr>
          <w:rFonts w:eastAsia="Arial" w:cs="Arial"/>
          <w:color w:val="000000" w:themeColor="text1"/>
          <w:sz w:val="22"/>
          <w:szCs w:val="22"/>
        </w:rPr>
        <w:t xml:space="preserve">begin reporting on KPI 15, assessing ‘the extent to which ICF intervention is likely to lead to transformational change’ so that it can be included in the 2023 </w:t>
      </w:r>
      <w:r w:rsidR="00976176">
        <w:rPr>
          <w:rFonts w:eastAsia="Arial" w:cs="Arial"/>
          <w:color w:val="000000" w:themeColor="text1"/>
          <w:sz w:val="22"/>
          <w:szCs w:val="22"/>
        </w:rPr>
        <w:t>AR</w:t>
      </w:r>
      <w:r w:rsidR="002B3CD6" w:rsidRPr="237F14D3">
        <w:rPr>
          <w:rFonts w:eastAsia="Arial" w:cs="Arial"/>
          <w:color w:val="000000" w:themeColor="text1"/>
          <w:sz w:val="22"/>
          <w:szCs w:val="22"/>
        </w:rPr>
        <w:t xml:space="preserve"> and subsequently.</w:t>
      </w:r>
    </w:p>
    <w:p w14:paraId="19961C72" w14:textId="2AD7604B" w:rsidR="00A66A0E" w:rsidRDefault="00545F5D" w:rsidP="007933C2">
      <w:pPr>
        <w:pStyle w:val="ListParagraph"/>
        <w:numPr>
          <w:ilvl w:val="0"/>
          <w:numId w:val="18"/>
        </w:numPr>
        <w:spacing w:after="0"/>
        <w:contextualSpacing w:val="0"/>
        <w:jc w:val="both"/>
        <w:rPr>
          <w:rFonts w:eastAsia="Arial" w:cs="Arial"/>
          <w:color w:val="000000" w:themeColor="text1"/>
          <w:sz w:val="22"/>
          <w:szCs w:val="22"/>
        </w:rPr>
      </w:pPr>
      <w:r>
        <w:rPr>
          <w:rFonts w:eastAsia="Arial" w:cs="Arial"/>
          <w:color w:val="000000" w:themeColor="text1"/>
          <w:sz w:val="22"/>
          <w:szCs w:val="22"/>
        </w:rPr>
        <w:t>From 2024</w:t>
      </w:r>
      <w:r w:rsidR="00B8261A">
        <w:rPr>
          <w:rFonts w:eastAsia="Arial" w:cs="Arial"/>
          <w:color w:val="000000" w:themeColor="text1"/>
          <w:sz w:val="22"/>
          <w:szCs w:val="22"/>
        </w:rPr>
        <w:t xml:space="preserve">, </w:t>
      </w:r>
      <w:r w:rsidR="007042C0">
        <w:rPr>
          <w:rFonts w:eastAsia="Arial" w:cs="Arial"/>
          <w:color w:val="000000" w:themeColor="text1"/>
          <w:sz w:val="22"/>
          <w:szCs w:val="22"/>
        </w:rPr>
        <w:t xml:space="preserve">Defra and the Fund </w:t>
      </w:r>
      <w:r w:rsidR="003E1DB3">
        <w:rPr>
          <w:rFonts w:eastAsia="Arial" w:cs="Arial"/>
          <w:color w:val="000000" w:themeColor="text1"/>
          <w:sz w:val="22"/>
          <w:szCs w:val="22"/>
        </w:rPr>
        <w:t xml:space="preserve">will </w:t>
      </w:r>
      <w:r w:rsidR="007042C0">
        <w:rPr>
          <w:rFonts w:eastAsia="Arial" w:cs="Arial"/>
          <w:color w:val="000000" w:themeColor="text1"/>
          <w:sz w:val="22"/>
          <w:szCs w:val="22"/>
        </w:rPr>
        <w:t xml:space="preserve">work to </w:t>
      </w:r>
      <w:r w:rsidR="002B311A">
        <w:rPr>
          <w:rFonts w:eastAsia="Arial" w:cs="Arial"/>
          <w:color w:val="000000" w:themeColor="text1"/>
          <w:sz w:val="22"/>
          <w:szCs w:val="22"/>
        </w:rPr>
        <w:t xml:space="preserve">implement reporting on KPI 10, </w:t>
      </w:r>
      <w:r w:rsidR="00967254">
        <w:rPr>
          <w:rFonts w:eastAsia="Arial" w:cs="Arial"/>
          <w:color w:val="000000" w:themeColor="text1"/>
          <w:sz w:val="22"/>
          <w:szCs w:val="22"/>
        </w:rPr>
        <w:t>to capture the unique value created by funding targeting sustainable land use, compared to traditional conservation funding. EBF’s funding allows producers to combine climate and nature benefits with economic production, deriving multiple benefits from the same land and reducing the risk of agriculture expanding into new areas</w:t>
      </w:r>
      <w:r w:rsidR="00873615">
        <w:rPr>
          <w:rFonts w:eastAsia="Arial" w:cs="Arial"/>
          <w:color w:val="000000" w:themeColor="text1"/>
          <w:sz w:val="22"/>
          <w:szCs w:val="22"/>
        </w:rPr>
        <w:t xml:space="preserve">, and KPI 10 will allow the AR to capture </w:t>
      </w:r>
      <w:r w:rsidR="00454E3B">
        <w:rPr>
          <w:rFonts w:eastAsia="Arial" w:cs="Arial"/>
          <w:color w:val="000000" w:themeColor="text1"/>
          <w:sz w:val="22"/>
          <w:szCs w:val="22"/>
        </w:rPr>
        <w:t>t</w:t>
      </w:r>
      <w:r w:rsidR="002D1D0A">
        <w:rPr>
          <w:rFonts w:eastAsia="Arial" w:cs="Arial"/>
          <w:color w:val="000000" w:themeColor="text1"/>
          <w:sz w:val="22"/>
          <w:szCs w:val="22"/>
        </w:rPr>
        <w:t>he value of t</w:t>
      </w:r>
      <w:r w:rsidR="009E3EF6">
        <w:rPr>
          <w:rFonts w:eastAsia="Arial" w:cs="Arial"/>
          <w:color w:val="000000" w:themeColor="text1"/>
          <w:sz w:val="22"/>
          <w:szCs w:val="22"/>
        </w:rPr>
        <w:t>hose multiple benefits</w:t>
      </w:r>
      <w:r w:rsidR="00967254">
        <w:rPr>
          <w:rFonts w:eastAsia="Arial" w:cs="Arial"/>
          <w:color w:val="000000" w:themeColor="text1"/>
          <w:sz w:val="22"/>
          <w:szCs w:val="22"/>
        </w:rPr>
        <w:t>.</w:t>
      </w:r>
    </w:p>
    <w:p w14:paraId="2908C187" w14:textId="39FC1B99" w:rsidR="003B2A8D" w:rsidRPr="005E557A" w:rsidRDefault="005162FD" w:rsidP="007933C2">
      <w:pPr>
        <w:pStyle w:val="ListParagraph"/>
        <w:numPr>
          <w:ilvl w:val="0"/>
          <w:numId w:val="18"/>
        </w:numPr>
        <w:spacing w:after="0"/>
        <w:contextualSpacing w:val="0"/>
        <w:jc w:val="both"/>
        <w:rPr>
          <w:rFonts w:eastAsia="Arial" w:cs="Arial"/>
          <w:color w:val="000000" w:themeColor="text1"/>
          <w:sz w:val="22"/>
          <w:szCs w:val="22"/>
        </w:rPr>
      </w:pPr>
      <w:r>
        <w:rPr>
          <w:rFonts w:eastAsia="Arial" w:cs="Arial"/>
          <w:color w:val="000000" w:themeColor="text1"/>
          <w:sz w:val="22"/>
          <w:szCs w:val="22"/>
        </w:rPr>
        <w:t>In January 2024</w:t>
      </w:r>
      <w:r w:rsidR="002E2F82">
        <w:rPr>
          <w:rFonts w:eastAsia="Arial" w:cs="Arial"/>
          <w:color w:val="000000" w:themeColor="text1"/>
          <w:sz w:val="22"/>
          <w:szCs w:val="22"/>
        </w:rPr>
        <w:t>,</w:t>
      </w:r>
      <w:r>
        <w:rPr>
          <w:rFonts w:eastAsia="Arial" w:cs="Arial"/>
          <w:color w:val="000000" w:themeColor="text1"/>
          <w:sz w:val="22"/>
          <w:szCs w:val="22"/>
        </w:rPr>
        <w:t xml:space="preserve"> a</w:t>
      </w:r>
      <w:r w:rsidR="003B2A8D">
        <w:rPr>
          <w:rFonts w:eastAsia="Arial" w:cs="Arial"/>
          <w:color w:val="000000" w:themeColor="text1"/>
          <w:sz w:val="22"/>
          <w:szCs w:val="22"/>
        </w:rPr>
        <w:t xml:space="preserve"> new five</w:t>
      </w:r>
      <w:r w:rsidR="002E2F82">
        <w:rPr>
          <w:rFonts w:eastAsia="Arial" w:cs="Arial"/>
          <w:color w:val="000000" w:themeColor="text1"/>
          <w:sz w:val="22"/>
          <w:szCs w:val="22"/>
        </w:rPr>
        <w:t>-</w:t>
      </w:r>
      <w:r w:rsidR="003B2A8D">
        <w:rPr>
          <w:rFonts w:eastAsia="Arial" w:cs="Arial"/>
          <w:color w:val="000000" w:themeColor="text1"/>
          <w:sz w:val="22"/>
          <w:szCs w:val="22"/>
        </w:rPr>
        <w:t xml:space="preserve">year set of </w:t>
      </w:r>
      <w:r w:rsidR="00EA30BC">
        <w:rPr>
          <w:rFonts w:eastAsia="Arial" w:cs="Arial"/>
          <w:color w:val="000000" w:themeColor="text1"/>
          <w:sz w:val="22"/>
          <w:szCs w:val="22"/>
        </w:rPr>
        <w:t xml:space="preserve">more stretching </w:t>
      </w:r>
      <w:r w:rsidR="003B2A8D">
        <w:rPr>
          <w:rFonts w:eastAsia="Arial" w:cs="Arial"/>
          <w:color w:val="000000" w:themeColor="text1"/>
          <w:sz w:val="22"/>
          <w:szCs w:val="22"/>
        </w:rPr>
        <w:t>milestones</w:t>
      </w:r>
      <w:r w:rsidR="006A3230">
        <w:rPr>
          <w:rFonts w:eastAsia="Arial" w:cs="Arial"/>
          <w:color w:val="000000" w:themeColor="text1"/>
          <w:sz w:val="22"/>
          <w:szCs w:val="22"/>
        </w:rPr>
        <w:t xml:space="preserve"> </w:t>
      </w:r>
      <w:r w:rsidR="003E1DB3">
        <w:rPr>
          <w:rFonts w:eastAsia="Arial" w:cs="Arial"/>
          <w:color w:val="000000" w:themeColor="text1"/>
          <w:sz w:val="22"/>
          <w:szCs w:val="22"/>
        </w:rPr>
        <w:t xml:space="preserve">will </w:t>
      </w:r>
      <w:r w:rsidR="006A3230">
        <w:rPr>
          <w:rFonts w:eastAsia="Arial" w:cs="Arial"/>
          <w:color w:val="000000" w:themeColor="text1"/>
          <w:sz w:val="22"/>
          <w:szCs w:val="22"/>
        </w:rPr>
        <w:t>be set for 2024-28</w:t>
      </w:r>
      <w:r w:rsidR="009E11C3">
        <w:rPr>
          <w:rFonts w:eastAsia="Arial" w:cs="Arial"/>
          <w:color w:val="000000" w:themeColor="text1"/>
          <w:sz w:val="22"/>
          <w:szCs w:val="22"/>
        </w:rPr>
        <w:t xml:space="preserve">, based on the Fund’s business plan for that period, and </w:t>
      </w:r>
      <w:proofErr w:type="gramStart"/>
      <w:r w:rsidR="00EA30BC">
        <w:rPr>
          <w:rFonts w:eastAsia="Arial" w:cs="Arial"/>
          <w:color w:val="000000" w:themeColor="text1"/>
          <w:sz w:val="22"/>
          <w:szCs w:val="22"/>
        </w:rPr>
        <w:t>taking into account</w:t>
      </w:r>
      <w:proofErr w:type="gramEnd"/>
      <w:r w:rsidR="009E11C3">
        <w:rPr>
          <w:rFonts w:eastAsia="Arial" w:cs="Arial"/>
          <w:color w:val="000000" w:themeColor="text1"/>
          <w:sz w:val="22"/>
          <w:szCs w:val="22"/>
        </w:rPr>
        <w:t xml:space="preserve"> </w:t>
      </w:r>
      <w:r w:rsidR="00EA30BC">
        <w:rPr>
          <w:rFonts w:eastAsia="Arial" w:cs="Arial"/>
          <w:color w:val="000000" w:themeColor="text1"/>
          <w:sz w:val="22"/>
          <w:szCs w:val="22"/>
        </w:rPr>
        <w:t>the Fund’s success so far in exceeding</w:t>
      </w:r>
      <w:r w:rsidR="00776C36">
        <w:rPr>
          <w:rFonts w:eastAsia="Arial" w:cs="Arial"/>
          <w:color w:val="000000" w:themeColor="text1"/>
          <w:sz w:val="22"/>
          <w:szCs w:val="22"/>
        </w:rPr>
        <w:t xml:space="preserve"> by a large margin most targets</w:t>
      </w:r>
      <w:r w:rsidR="006A3230">
        <w:rPr>
          <w:rFonts w:eastAsia="Arial" w:cs="Arial"/>
          <w:color w:val="000000" w:themeColor="text1"/>
          <w:sz w:val="22"/>
          <w:szCs w:val="22"/>
        </w:rPr>
        <w:t xml:space="preserve">. This is </w:t>
      </w:r>
      <w:r w:rsidR="001A1B60">
        <w:rPr>
          <w:rFonts w:eastAsia="Arial" w:cs="Arial"/>
          <w:color w:val="000000" w:themeColor="text1"/>
          <w:sz w:val="22"/>
          <w:szCs w:val="22"/>
        </w:rPr>
        <w:t xml:space="preserve">also </w:t>
      </w:r>
      <w:r w:rsidR="006A3230">
        <w:rPr>
          <w:rFonts w:eastAsia="Arial" w:cs="Arial"/>
          <w:color w:val="000000" w:themeColor="text1"/>
          <w:sz w:val="22"/>
          <w:szCs w:val="22"/>
        </w:rPr>
        <w:t xml:space="preserve">an opportunity to review the </w:t>
      </w:r>
      <w:proofErr w:type="spellStart"/>
      <w:r w:rsidR="006A3230">
        <w:rPr>
          <w:rFonts w:eastAsia="Arial" w:cs="Arial"/>
          <w:color w:val="000000" w:themeColor="text1"/>
          <w:sz w:val="22"/>
          <w:szCs w:val="22"/>
        </w:rPr>
        <w:t>LogFrame</w:t>
      </w:r>
      <w:proofErr w:type="spellEnd"/>
      <w:r w:rsidR="006A3230">
        <w:rPr>
          <w:rFonts w:eastAsia="Arial" w:cs="Arial"/>
          <w:color w:val="000000" w:themeColor="text1"/>
          <w:sz w:val="22"/>
          <w:szCs w:val="22"/>
        </w:rPr>
        <w:t xml:space="preserve"> </w:t>
      </w:r>
      <w:r w:rsidR="00886F1A">
        <w:rPr>
          <w:rFonts w:eastAsia="Arial" w:cs="Arial"/>
          <w:color w:val="000000" w:themeColor="text1"/>
          <w:sz w:val="22"/>
          <w:szCs w:val="22"/>
        </w:rPr>
        <w:t>and remove indicators which have not been useful or possible to report on, as well as considering a re</w:t>
      </w:r>
      <w:r w:rsidR="00A0649C">
        <w:rPr>
          <w:rFonts w:eastAsia="Arial" w:cs="Arial"/>
          <w:color w:val="000000" w:themeColor="text1"/>
          <w:sz w:val="22"/>
          <w:szCs w:val="22"/>
        </w:rPr>
        <w:t xml:space="preserve">balancing of </w:t>
      </w:r>
      <w:r w:rsidR="00FD2038">
        <w:rPr>
          <w:rFonts w:eastAsia="Arial" w:cs="Arial"/>
          <w:color w:val="000000" w:themeColor="text1"/>
          <w:sz w:val="22"/>
          <w:szCs w:val="22"/>
        </w:rPr>
        <w:t xml:space="preserve">Output </w:t>
      </w:r>
      <w:r w:rsidR="00A0649C">
        <w:rPr>
          <w:rFonts w:eastAsia="Arial" w:cs="Arial"/>
          <w:color w:val="000000" w:themeColor="text1"/>
          <w:sz w:val="22"/>
          <w:szCs w:val="22"/>
        </w:rPr>
        <w:t>weighting</w:t>
      </w:r>
      <w:r w:rsidR="00FD2038">
        <w:rPr>
          <w:rFonts w:eastAsia="Arial" w:cs="Arial"/>
          <w:color w:val="000000" w:themeColor="text1"/>
          <w:sz w:val="22"/>
          <w:szCs w:val="22"/>
        </w:rPr>
        <w:t>.</w:t>
      </w:r>
      <w:r w:rsidR="001B4636">
        <w:rPr>
          <w:rFonts w:eastAsia="Arial" w:cs="Arial"/>
          <w:color w:val="000000" w:themeColor="text1"/>
          <w:sz w:val="22"/>
          <w:szCs w:val="22"/>
        </w:rPr>
        <w:t xml:space="preserve"> Revisions to the </w:t>
      </w:r>
      <w:proofErr w:type="spellStart"/>
      <w:r w:rsidR="00A45BF4">
        <w:rPr>
          <w:rFonts w:eastAsia="Arial" w:cs="Arial"/>
          <w:color w:val="000000" w:themeColor="text1"/>
          <w:sz w:val="22"/>
          <w:szCs w:val="22"/>
        </w:rPr>
        <w:t>L</w:t>
      </w:r>
      <w:r w:rsidR="001B4636">
        <w:rPr>
          <w:rFonts w:eastAsia="Arial" w:cs="Arial"/>
          <w:color w:val="000000" w:themeColor="text1"/>
          <w:sz w:val="22"/>
          <w:szCs w:val="22"/>
        </w:rPr>
        <w:t>og</w:t>
      </w:r>
      <w:r w:rsidR="00A45BF4">
        <w:rPr>
          <w:rFonts w:eastAsia="Arial" w:cs="Arial"/>
          <w:color w:val="000000" w:themeColor="text1"/>
          <w:sz w:val="22"/>
          <w:szCs w:val="22"/>
        </w:rPr>
        <w:t>F</w:t>
      </w:r>
      <w:r w:rsidR="001B4636">
        <w:rPr>
          <w:rFonts w:eastAsia="Arial" w:cs="Arial"/>
          <w:color w:val="000000" w:themeColor="text1"/>
          <w:sz w:val="22"/>
          <w:szCs w:val="22"/>
        </w:rPr>
        <w:t>rame</w:t>
      </w:r>
      <w:proofErr w:type="spellEnd"/>
      <w:r w:rsidR="001B4636">
        <w:rPr>
          <w:rFonts w:eastAsia="Arial" w:cs="Arial"/>
          <w:color w:val="000000" w:themeColor="text1"/>
          <w:sz w:val="22"/>
          <w:szCs w:val="22"/>
        </w:rPr>
        <w:t xml:space="preserve"> will be approved </w:t>
      </w:r>
      <w:r w:rsidR="00A45BF4">
        <w:rPr>
          <w:rFonts w:eastAsia="Arial" w:cs="Arial"/>
          <w:color w:val="000000" w:themeColor="text1"/>
          <w:sz w:val="22"/>
          <w:szCs w:val="22"/>
        </w:rPr>
        <w:t>at Deputy Director level.</w:t>
      </w:r>
    </w:p>
    <w:p w14:paraId="77631FC8" w14:textId="79D47403" w:rsidR="00C33A0F" w:rsidRPr="000D4C1A" w:rsidRDefault="00BF1431" w:rsidP="007933C2">
      <w:pPr>
        <w:pStyle w:val="ListParagraph"/>
        <w:numPr>
          <w:ilvl w:val="0"/>
          <w:numId w:val="18"/>
        </w:numPr>
        <w:spacing w:after="0"/>
        <w:jc w:val="both"/>
        <w:rPr>
          <w:rFonts w:eastAsia="Arial" w:cs="Arial"/>
          <w:color w:val="000000" w:themeColor="text1"/>
          <w:sz w:val="22"/>
          <w:szCs w:val="22"/>
        </w:rPr>
      </w:pPr>
      <w:r>
        <w:rPr>
          <w:rFonts w:eastAsia="Arial" w:cs="Arial"/>
          <w:color w:val="000000" w:themeColor="text1"/>
          <w:sz w:val="22"/>
          <w:szCs w:val="22"/>
        </w:rPr>
        <w:t xml:space="preserve">In </w:t>
      </w:r>
      <w:r w:rsidR="00CF2E16">
        <w:rPr>
          <w:rFonts w:eastAsia="Arial" w:cs="Arial"/>
          <w:color w:val="000000" w:themeColor="text1"/>
          <w:sz w:val="22"/>
          <w:szCs w:val="22"/>
        </w:rPr>
        <w:t>2024, f</w:t>
      </w:r>
      <w:r w:rsidR="000D4C1A" w:rsidRPr="70DC0069">
        <w:rPr>
          <w:rFonts w:eastAsia="Arial" w:cs="Arial"/>
          <w:color w:val="000000" w:themeColor="text1"/>
          <w:sz w:val="22"/>
          <w:szCs w:val="22"/>
        </w:rPr>
        <w:t>ollowing one of the recommendations of the midterm review, the Fund should continue exploring ways to make more finance available to the ‘willing but not yet able’</w:t>
      </w:r>
      <w:r w:rsidR="00A379D2" w:rsidRPr="70DC0069">
        <w:rPr>
          <w:rFonts w:eastAsia="Arial" w:cs="Arial"/>
          <w:color w:val="000000" w:themeColor="text1"/>
          <w:sz w:val="22"/>
          <w:szCs w:val="22"/>
        </w:rPr>
        <w:t xml:space="preserve">, to increase its additionality by reaching more </w:t>
      </w:r>
      <w:r w:rsidR="000F455D">
        <w:rPr>
          <w:rFonts w:eastAsia="Arial" w:cs="Arial"/>
          <w:color w:val="000000" w:themeColor="text1"/>
          <w:sz w:val="22"/>
          <w:szCs w:val="22"/>
        </w:rPr>
        <w:t xml:space="preserve">uncertified </w:t>
      </w:r>
      <w:r w:rsidR="00B53AF7">
        <w:rPr>
          <w:rFonts w:eastAsia="Arial" w:cs="Arial"/>
          <w:color w:val="000000" w:themeColor="text1"/>
          <w:sz w:val="22"/>
          <w:szCs w:val="22"/>
        </w:rPr>
        <w:t>end-</w:t>
      </w:r>
      <w:r w:rsidR="00A379D2" w:rsidRPr="70DC0069">
        <w:rPr>
          <w:rFonts w:eastAsia="Arial" w:cs="Arial"/>
          <w:color w:val="000000" w:themeColor="text1"/>
          <w:sz w:val="22"/>
          <w:szCs w:val="22"/>
        </w:rPr>
        <w:t>borrowers with limited other options for finance.</w:t>
      </w:r>
      <w:r w:rsidR="00CC07EB">
        <w:rPr>
          <w:rFonts w:eastAsia="Arial" w:cs="Arial"/>
          <w:color w:val="000000" w:themeColor="text1"/>
          <w:sz w:val="22"/>
          <w:szCs w:val="22"/>
        </w:rPr>
        <w:t xml:space="preserve"> </w:t>
      </w:r>
      <w:r w:rsidR="008C0D0C">
        <w:rPr>
          <w:rFonts w:eastAsia="Arial" w:cs="Arial"/>
          <w:color w:val="000000" w:themeColor="text1"/>
          <w:sz w:val="22"/>
          <w:szCs w:val="22"/>
        </w:rPr>
        <w:t xml:space="preserve">This measure will </w:t>
      </w:r>
      <w:r w:rsidR="00B83AC6">
        <w:rPr>
          <w:rFonts w:eastAsia="Arial" w:cs="Arial"/>
          <w:color w:val="000000" w:themeColor="text1"/>
          <w:sz w:val="22"/>
          <w:szCs w:val="22"/>
        </w:rPr>
        <w:t xml:space="preserve">address </w:t>
      </w:r>
      <w:r w:rsidR="004B3B56">
        <w:rPr>
          <w:rFonts w:eastAsia="Arial" w:cs="Arial"/>
          <w:color w:val="000000" w:themeColor="text1"/>
          <w:sz w:val="22"/>
          <w:szCs w:val="22"/>
        </w:rPr>
        <w:t>a</w:t>
      </w:r>
      <w:r w:rsidR="00B83AC6">
        <w:rPr>
          <w:rFonts w:eastAsia="Arial" w:cs="Arial"/>
          <w:color w:val="000000" w:themeColor="text1"/>
          <w:sz w:val="22"/>
          <w:szCs w:val="22"/>
        </w:rPr>
        <w:t xml:space="preserve"> poverty barrier </w:t>
      </w:r>
      <w:r w:rsidR="00A31563">
        <w:rPr>
          <w:rFonts w:eastAsia="Arial" w:cs="Arial"/>
          <w:color w:val="000000" w:themeColor="text1"/>
          <w:sz w:val="22"/>
          <w:szCs w:val="22"/>
        </w:rPr>
        <w:t xml:space="preserve">by making more micro-finance available to </w:t>
      </w:r>
      <w:r w:rsidR="00EA48F4">
        <w:rPr>
          <w:rFonts w:eastAsia="Arial" w:cs="Arial"/>
          <w:color w:val="000000" w:themeColor="text1"/>
          <w:sz w:val="22"/>
          <w:szCs w:val="22"/>
        </w:rPr>
        <w:t>lower-income borrowers</w:t>
      </w:r>
      <w:r w:rsidR="00CC2F1C">
        <w:rPr>
          <w:rFonts w:eastAsia="Arial" w:cs="Arial"/>
          <w:color w:val="000000" w:themeColor="text1"/>
          <w:sz w:val="22"/>
          <w:szCs w:val="22"/>
        </w:rPr>
        <w:t xml:space="preserve"> with limited credit </w:t>
      </w:r>
      <w:proofErr w:type="gramStart"/>
      <w:r w:rsidR="00CC2F1C">
        <w:rPr>
          <w:rFonts w:eastAsia="Arial" w:cs="Arial"/>
          <w:color w:val="000000" w:themeColor="text1"/>
          <w:sz w:val="22"/>
          <w:szCs w:val="22"/>
        </w:rPr>
        <w:t>options</w:t>
      </w:r>
      <w:r w:rsidR="00EA48F4">
        <w:rPr>
          <w:rFonts w:eastAsia="Arial" w:cs="Arial"/>
          <w:color w:val="000000" w:themeColor="text1"/>
          <w:sz w:val="22"/>
          <w:szCs w:val="22"/>
        </w:rPr>
        <w:t xml:space="preserve">, </w:t>
      </w:r>
      <w:r w:rsidR="00B83AC6">
        <w:rPr>
          <w:rFonts w:eastAsia="Arial" w:cs="Arial"/>
          <w:color w:val="000000" w:themeColor="text1"/>
          <w:sz w:val="22"/>
          <w:szCs w:val="22"/>
        </w:rPr>
        <w:t>and</w:t>
      </w:r>
      <w:proofErr w:type="gramEnd"/>
      <w:r w:rsidR="00B83AC6">
        <w:rPr>
          <w:rFonts w:eastAsia="Arial" w:cs="Arial"/>
          <w:color w:val="000000" w:themeColor="text1"/>
          <w:sz w:val="22"/>
          <w:szCs w:val="22"/>
        </w:rPr>
        <w:t xml:space="preserve"> create more environmental impact</w:t>
      </w:r>
      <w:r w:rsidR="00EA48F4">
        <w:rPr>
          <w:rFonts w:eastAsia="Arial" w:cs="Arial"/>
          <w:color w:val="000000" w:themeColor="text1"/>
          <w:sz w:val="22"/>
          <w:szCs w:val="22"/>
        </w:rPr>
        <w:t xml:space="preserve"> as a result</w:t>
      </w:r>
      <w:r w:rsidR="00B83AC6">
        <w:rPr>
          <w:rFonts w:eastAsia="Arial" w:cs="Arial"/>
          <w:color w:val="000000" w:themeColor="text1"/>
          <w:sz w:val="22"/>
          <w:szCs w:val="22"/>
        </w:rPr>
        <w:t xml:space="preserve">. </w:t>
      </w:r>
      <w:r w:rsidR="00A379D2" w:rsidRPr="70DC0069">
        <w:rPr>
          <w:rFonts w:eastAsia="Arial" w:cs="Arial"/>
          <w:color w:val="000000" w:themeColor="text1"/>
          <w:sz w:val="22"/>
          <w:szCs w:val="22"/>
        </w:rPr>
        <w:t xml:space="preserve">The proportion of Green List end-borrowers in the portfolio has increased again </w:t>
      </w:r>
      <w:r w:rsidR="004B3B56">
        <w:rPr>
          <w:rFonts w:eastAsia="Arial" w:cs="Arial"/>
          <w:color w:val="000000" w:themeColor="text1"/>
          <w:sz w:val="22"/>
          <w:szCs w:val="22"/>
        </w:rPr>
        <w:t>in 2022</w:t>
      </w:r>
      <w:r w:rsidR="00A379D2" w:rsidRPr="70DC0069">
        <w:rPr>
          <w:rFonts w:eastAsia="Arial" w:cs="Arial"/>
          <w:color w:val="000000" w:themeColor="text1"/>
          <w:sz w:val="22"/>
          <w:szCs w:val="22"/>
        </w:rPr>
        <w:t>, suggesting the Fund is already on a good trajectory.</w:t>
      </w:r>
    </w:p>
    <w:p w14:paraId="4F8EEA50" w14:textId="4B27D2A6" w:rsidR="000D4C1A" w:rsidRDefault="00A379D2" w:rsidP="007933C2">
      <w:pPr>
        <w:pStyle w:val="ListParagraph"/>
        <w:numPr>
          <w:ilvl w:val="0"/>
          <w:numId w:val="18"/>
        </w:numPr>
        <w:spacing w:after="0"/>
        <w:jc w:val="both"/>
        <w:rPr>
          <w:rFonts w:eastAsia="Arial" w:cs="Arial"/>
          <w:color w:val="000000" w:themeColor="text1"/>
          <w:sz w:val="22"/>
          <w:szCs w:val="22"/>
        </w:rPr>
      </w:pPr>
      <w:r w:rsidRPr="70DC0069">
        <w:rPr>
          <w:rFonts w:eastAsia="Arial" w:cs="Arial"/>
          <w:color w:val="000000" w:themeColor="text1"/>
          <w:sz w:val="22"/>
          <w:szCs w:val="22"/>
        </w:rPr>
        <w:t xml:space="preserve">The </w:t>
      </w:r>
      <w:r w:rsidR="003D5304" w:rsidRPr="70DC0069">
        <w:rPr>
          <w:rFonts w:eastAsia="Arial" w:cs="Arial"/>
          <w:color w:val="000000" w:themeColor="text1"/>
          <w:sz w:val="22"/>
          <w:szCs w:val="22"/>
        </w:rPr>
        <w:t xml:space="preserve">DF was highlighted in the midterm review as critical to the Fund’s impact and success, as a way of identifying, </w:t>
      </w:r>
      <w:proofErr w:type="gramStart"/>
      <w:r w:rsidR="003D5304" w:rsidRPr="70DC0069">
        <w:rPr>
          <w:rFonts w:eastAsia="Arial" w:cs="Arial"/>
          <w:color w:val="000000" w:themeColor="text1"/>
          <w:sz w:val="22"/>
          <w:szCs w:val="22"/>
        </w:rPr>
        <w:t>improving</w:t>
      </w:r>
      <w:proofErr w:type="gramEnd"/>
      <w:r w:rsidR="003D5304" w:rsidRPr="70DC0069">
        <w:rPr>
          <w:rFonts w:eastAsia="Arial" w:cs="Arial"/>
          <w:color w:val="000000" w:themeColor="text1"/>
          <w:sz w:val="22"/>
          <w:szCs w:val="22"/>
        </w:rPr>
        <w:t xml:space="preserve"> and helping clients qualify for loans. FiM and Defra should look at ways to raise more money for the DF </w:t>
      </w:r>
      <w:r w:rsidR="00802B48">
        <w:rPr>
          <w:rFonts w:eastAsia="Arial" w:cs="Arial"/>
          <w:color w:val="000000" w:themeColor="text1"/>
          <w:sz w:val="22"/>
          <w:szCs w:val="22"/>
        </w:rPr>
        <w:t xml:space="preserve">in 2024 </w:t>
      </w:r>
      <w:r w:rsidR="003D5304" w:rsidRPr="70DC0069">
        <w:rPr>
          <w:rFonts w:eastAsia="Arial" w:cs="Arial"/>
          <w:color w:val="000000" w:themeColor="text1"/>
          <w:sz w:val="22"/>
          <w:szCs w:val="22"/>
        </w:rPr>
        <w:t>so it can continue and expand its work, as it represents excellent value both for the Fund and its commercial success, as well as for the nature and climate impacts.</w:t>
      </w:r>
    </w:p>
    <w:p w14:paraId="24FE9A2C" w14:textId="56066711" w:rsidR="00702790" w:rsidRPr="00126021" w:rsidRDefault="0045186D" w:rsidP="00702790">
      <w:pPr>
        <w:pStyle w:val="ListParagraph"/>
        <w:numPr>
          <w:ilvl w:val="0"/>
          <w:numId w:val="18"/>
        </w:numPr>
        <w:spacing w:after="0"/>
        <w:jc w:val="both"/>
        <w:rPr>
          <w:color w:val="000000" w:themeColor="text1"/>
          <w:szCs w:val="24"/>
        </w:rPr>
      </w:pPr>
      <w:r>
        <w:rPr>
          <w:color w:val="000000" w:themeColor="text1"/>
          <w:sz w:val="22"/>
          <w:szCs w:val="22"/>
        </w:rPr>
        <w:t>In 2024 t</w:t>
      </w:r>
      <w:r w:rsidR="00702790" w:rsidRPr="00126021">
        <w:rPr>
          <w:color w:val="000000" w:themeColor="text1"/>
          <w:sz w:val="22"/>
          <w:szCs w:val="22"/>
        </w:rPr>
        <w:t xml:space="preserve">he Fund should continue working towards disaggregating by gender the share of sub-borrower capital </w:t>
      </w:r>
      <w:proofErr w:type="gramStart"/>
      <w:r w:rsidR="00702790" w:rsidRPr="00126021">
        <w:rPr>
          <w:color w:val="000000" w:themeColor="text1"/>
          <w:sz w:val="22"/>
          <w:szCs w:val="22"/>
        </w:rPr>
        <w:t>and also</w:t>
      </w:r>
      <w:proofErr w:type="gramEnd"/>
      <w:r w:rsidR="00702790" w:rsidRPr="00126021">
        <w:rPr>
          <w:color w:val="000000" w:themeColor="text1"/>
          <w:sz w:val="22"/>
          <w:szCs w:val="22"/>
        </w:rPr>
        <w:t xml:space="preserve"> the number of jobs supported in its impact reporting, in line with Defra’s GESI (Gender </w:t>
      </w:r>
      <w:r w:rsidR="007F757E">
        <w:rPr>
          <w:color w:val="000000" w:themeColor="text1"/>
          <w:sz w:val="22"/>
          <w:szCs w:val="22"/>
        </w:rPr>
        <w:t>E</w:t>
      </w:r>
      <w:r w:rsidR="00702790" w:rsidRPr="00126021">
        <w:rPr>
          <w:color w:val="000000" w:themeColor="text1"/>
          <w:sz w:val="22"/>
          <w:szCs w:val="22"/>
        </w:rPr>
        <w:t xml:space="preserve">quality and </w:t>
      </w:r>
      <w:r w:rsidR="007F757E">
        <w:rPr>
          <w:color w:val="000000" w:themeColor="text1"/>
          <w:sz w:val="22"/>
          <w:szCs w:val="22"/>
        </w:rPr>
        <w:t>So</w:t>
      </w:r>
      <w:r w:rsidR="00702790" w:rsidRPr="00126021">
        <w:rPr>
          <w:color w:val="000000" w:themeColor="text1"/>
          <w:sz w:val="22"/>
          <w:szCs w:val="22"/>
        </w:rPr>
        <w:t xml:space="preserve">cial </w:t>
      </w:r>
      <w:r w:rsidR="007F757E">
        <w:rPr>
          <w:color w:val="000000" w:themeColor="text1"/>
          <w:sz w:val="22"/>
          <w:szCs w:val="22"/>
        </w:rPr>
        <w:t>I</w:t>
      </w:r>
      <w:r w:rsidR="00702790" w:rsidRPr="00126021">
        <w:rPr>
          <w:color w:val="000000" w:themeColor="text1"/>
          <w:sz w:val="22"/>
          <w:szCs w:val="22"/>
        </w:rPr>
        <w:t>nclusion) mainstreaming.</w:t>
      </w:r>
      <w:r w:rsidR="00BF6E41" w:rsidRPr="00126021">
        <w:rPr>
          <w:color w:val="000000" w:themeColor="text1"/>
          <w:sz w:val="22"/>
          <w:szCs w:val="22"/>
        </w:rPr>
        <w:t xml:space="preserve"> </w:t>
      </w:r>
      <w:r w:rsidR="00AD56B8">
        <w:rPr>
          <w:color w:val="000000" w:themeColor="text1"/>
          <w:sz w:val="22"/>
          <w:szCs w:val="22"/>
        </w:rPr>
        <w:t xml:space="preserve">Disaggregation of jobs should be included in the 2023 Annual Review, and </w:t>
      </w:r>
      <w:r w:rsidR="003476DA">
        <w:rPr>
          <w:color w:val="000000" w:themeColor="text1"/>
          <w:sz w:val="22"/>
          <w:szCs w:val="22"/>
        </w:rPr>
        <w:t>a report included on piloting of disaggregation of sub-loan volume</w:t>
      </w:r>
      <w:r w:rsidR="001772DF">
        <w:rPr>
          <w:color w:val="000000" w:themeColor="text1"/>
          <w:sz w:val="22"/>
          <w:szCs w:val="22"/>
        </w:rPr>
        <w:t xml:space="preserve">. </w:t>
      </w:r>
      <w:r w:rsidR="00BF6E41" w:rsidRPr="00126021">
        <w:rPr>
          <w:color w:val="000000" w:themeColor="text1"/>
          <w:sz w:val="22"/>
          <w:szCs w:val="22"/>
        </w:rPr>
        <w:t xml:space="preserve">The Fund and DF should consider </w:t>
      </w:r>
      <w:r w:rsidR="000D6FE0">
        <w:rPr>
          <w:color w:val="000000" w:themeColor="text1"/>
          <w:sz w:val="22"/>
          <w:szCs w:val="22"/>
        </w:rPr>
        <w:t>t</w:t>
      </w:r>
      <w:r w:rsidR="006A7428">
        <w:rPr>
          <w:color w:val="000000" w:themeColor="text1"/>
          <w:sz w:val="22"/>
          <w:szCs w:val="22"/>
        </w:rPr>
        <w:t>he</w:t>
      </w:r>
      <w:r w:rsidR="00BF6E41" w:rsidRPr="00126021">
        <w:rPr>
          <w:color w:val="000000" w:themeColor="text1"/>
          <w:sz w:val="22"/>
          <w:szCs w:val="22"/>
        </w:rPr>
        <w:t xml:space="preserve"> levers they may have available to further integrate gender </w:t>
      </w:r>
      <w:r w:rsidR="00FA6148">
        <w:rPr>
          <w:color w:val="000000" w:themeColor="text1"/>
          <w:sz w:val="22"/>
          <w:szCs w:val="22"/>
        </w:rPr>
        <w:t xml:space="preserve">and social </w:t>
      </w:r>
      <w:r w:rsidR="00BF6E41" w:rsidRPr="00126021">
        <w:rPr>
          <w:color w:val="000000" w:themeColor="text1"/>
          <w:sz w:val="22"/>
          <w:szCs w:val="22"/>
        </w:rPr>
        <w:t>inclusion into the programme</w:t>
      </w:r>
      <w:r w:rsidR="00F839F2" w:rsidRPr="00126021">
        <w:rPr>
          <w:color w:val="000000" w:themeColor="text1"/>
          <w:sz w:val="22"/>
          <w:szCs w:val="22"/>
        </w:rPr>
        <w:t xml:space="preserve"> and its impacts</w:t>
      </w:r>
      <w:r w:rsidR="00BF6E41" w:rsidRPr="00126021">
        <w:rPr>
          <w:color w:val="000000" w:themeColor="text1"/>
          <w:sz w:val="22"/>
          <w:szCs w:val="22"/>
        </w:rPr>
        <w:t>.</w:t>
      </w:r>
      <w:r w:rsidR="006A7428">
        <w:rPr>
          <w:color w:val="000000" w:themeColor="text1"/>
          <w:sz w:val="22"/>
          <w:szCs w:val="22"/>
        </w:rPr>
        <w:t xml:space="preserve"> </w:t>
      </w:r>
      <w:r w:rsidR="00E407E0">
        <w:rPr>
          <w:rFonts w:eastAsia="Arial" w:cs="Arial"/>
          <w:color w:val="000000" w:themeColor="text1"/>
          <w:sz w:val="22"/>
          <w:szCs w:val="22"/>
        </w:rPr>
        <w:t>Defra will work with the Fund to establish what it is achieving in terms of equity of other excluded and vulnerable groups, and how this impact can be further improved.</w:t>
      </w:r>
      <w:r w:rsidR="00163D17">
        <w:rPr>
          <w:rFonts w:eastAsia="Arial" w:cs="Arial"/>
          <w:color w:val="000000" w:themeColor="text1"/>
          <w:sz w:val="22"/>
          <w:szCs w:val="22"/>
        </w:rPr>
        <w:t xml:space="preserve"> Strong progress was made in 2022, as set out in the Equity sub-section of Section E.</w:t>
      </w:r>
    </w:p>
    <w:p w14:paraId="5BD3103A" w14:textId="77777777" w:rsidR="00702790" w:rsidRPr="003D5304" w:rsidRDefault="00702790" w:rsidP="00702790">
      <w:pPr>
        <w:pStyle w:val="ListParagraph"/>
        <w:spacing w:after="0"/>
        <w:jc w:val="both"/>
        <w:rPr>
          <w:rFonts w:eastAsia="Arial" w:cs="Arial"/>
          <w:color w:val="000000" w:themeColor="text1"/>
          <w:sz w:val="22"/>
          <w:szCs w:val="22"/>
        </w:rPr>
      </w:pPr>
    </w:p>
    <w:p w14:paraId="5B0C6A76" w14:textId="3201DBDE" w:rsidR="006F3AE7" w:rsidRPr="00A54B18" w:rsidRDefault="7232A90E" w:rsidP="005E557A">
      <w:pPr>
        <w:pStyle w:val="Heading2"/>
        <w:pBdr>
          <w:top w:val="single" w:sz="4" w:space="1" w:color="auto"/>
          <w:left w:val="single" w:sz="4" w:space="4" w:color="auto"/>
          <w:bottom w:val="single" w:sz="4" w:space="1" w:color="auto"/>
          <w:right w:val="single" w:sz="4" w:space="4" w:color="auto"/>
        </w:pBdr>
        <w:shd w:val="clear" w:color="auto" w:fill="D9E2F3" w:themeFill="accent1" w:themeFillTint="33"/>
        <w:spacing w:before="0"/>
        <w:rPr>
          <w:rFonts w:eastAsia="Arial" w:cs="Arial"/>
          <w:b w:val="0"/>
          <w:i w:val="0"/>
          <w:sz w:val="20"/>
          <w:szCs w:val="20"/>
        </w:rPr>
      </w:pPr>
      <w:r w:rsidRPr="00A54B18">
        <w:rPr>
          <w:rFonts w:eastAsia="Arial" w:cs="Arial"/>
          <w:i w:val="0"/>
        </w:rPr>
        <w:t>B: THEORY OF CHANGE AND PROGRESS TOWARDS OUTCOMES</w:t>
      </w:r>
    </w:p>
    <w:p w14:paraId="065D0850" w14:textId="77777777" w:rsidR="006F3AE7" w:rsidRPr="00A54B18" w:rsidRDefault="006F3AE7" w:rsidP="005E557A">
      <w:pPr>
        <w:rPr>
          <w:rFonts w:eastAsia="Arial" w:cs="Arial"/>
          <w:b/>
          <w:bCs/>
          <w:sz w:val="22"/>
          <w:szCs w:val="22"/>
        </w:rPr>
      </w:pPr>
    </w:p>
    <w:p w14:paraId="748B9119" w14:textId="7D5563F9" w:rsidR="0D311865" w:rsidRDefault="5B65B8F3" w:rsidP="005E557A">
      <w:pPr>
        <w:jc w:val="both"/>
        <w:rPr>
          <w:rFonts w:eastAsia="Arial" w:cs="Arial"/>
          <w:color w:val="000000" w:themeColor="text1"/>
          <w:sz w:val="22"/>
          <w:szCs w:val="22"/>
        </w:rPr>
      </w:pPr>
      <w:r w:rsidRPr="008D3032">
        <w:rPr>
          <w:rFonts w:eastAsia="Arial" w:cs="Arial"/>
          <w:color w:val="000000" w:themeColor="text1"/>
          <w:sz w:val="22"/>
          <w:szCs w:val="22"/>
        </w:rPr>
        <w:t>E</w:t>
      </w:r>
      <w:r w:rsidR="12715272" w:rsidRPr="008D3032">
        <w:rPr>
          <w:rFonts w:eastAsia="Arial" w:cs="Arial"/>
          <w:color w:val="000000" w:themeColor="text1"/>
          <w:sz w:val="22"/>
          <w:szCs w:val="22"/>
        </w:rPr>
        <w:t>BF manages its impact based on a Theory of Change (</w:t>
      </w:r>
      <w:proofErr w:type="spellStart"/>
      <w:r w:rsidR="12715272" w:rsidRPr="008D3032">
        <w:rPr>
          <w:rFonts w:eastAsia="Arial" w:cs="Arial"/>
          <w:color w:val="000000" w:themeColor="text1"/>
          <w:sz w:val="22"/>
          <w:szCs w:val="22"/>
        </w:rPr>
        <w:t>ToC</w:t>
      </w:r>
      <w:proofErr w:type="spellEnd"/>
      <w:r w:rsidR="12715272" w:rsidRPr="008D3032">
        <w:rPr>
          <w:rFonts w:eastAsia="Arial" w:cs="Arial"/>
          <w:color w:val="000000" w:themeColor="text1"/>
          <w:sz w:val="22"/>
          <w:szCs w:val="22"/>
        </w:rPr>
        <w:t xml:space="preserve">) and in alignment with the </w:t>
      </w:r>
      <w:hyperlink r:id="rId12">
        <w:r w:rsidR="12715272" w:rsidRPr="008D3032">
          <w:rPr>
            <w:rStyle w:val="Hyperlink"/>
            <w:rFonts w:eastAsia="Arial" w:cs="Arial"/>
            <w:sz w:val="22"/>
            <w:szCs w:val="22"/>
          </w:rPr>
          <w:t>Operating Principles for Impact Management</w:t>
        </w:r>
      </w:hyperlink>
      <w:r w:rsidR="12715272" w:rsidRPr="008D3032">
        <w:rPr>
          <w:rFonts w:eastAsia="Arial" w:cs="Arial"/>
          <w:color w:val="000000" w:themeColor="text1"/>
          <w:sz w:val="22"/>
          <w:szCs w:val="22"/>
        </w:rPr>
        <w:t xml:space="preserve">. The </w:t>
      </w:r>
      <w:proofErr w:type="spellStart"/>
      <w:r w:rsidR="12715272" w:rsidRPr="008D3032">
        <w:rPr>
          <w:rFonts w:eastAsia="Arial" w:cs="Arial"/>
          <w:color w:val="000000" w:themeColor="text1"/>
          <w:sz w:val="22"/>
          <w:szCs w:val="22"/>
        </w:rPr>
        <w:t>ToC</w:t>
      </w:r>
      <w:proofErr w:type="spellEnd"/>
      <w:r w:rsidR="12715272" w:rsidRPr="008D3032">
        <w:rPr>
          <w:rFonts w:eastAsia="Arial" w:cs="Arial"/>
          <w:color w:val="000000" w:themeColor="text1"/>
          <w:sz w:val="22"/>
          <w:szCs w:val="22"/>
        </w:rPr>
        <w:t xml:space="preserve"> considers four levels</w:t>
      </w:r>
      <w:r w:rsidR="00046384">
        <w:rPr>
          <w:rFonts w:eastAsia="Arial" w:cs="Arial"/>
          <w:color w:val="000000" w:themeColor="text1"/>
          <w:sz w:val="22"/>
          <w:szCs w:val="22"/>
        </w:rPr>
        <w:t>:</w:t>
      </w:r>
      <w:r w:rsidR="12715272" w:rsidRPr="008D3032">
        <w:rPr>
          <w:rFonts w:eastAsia="Arial" w:cs="Arial"/>
          <w:color w:val="000000" w:themeColor="text1"/>
          <w:sz w:val="22"/>
          <w:szCs w:val="22"/>
        </w:rPr>
        <w:t xml:space="preserve"> activities, outputs, outcomes, and final impact. Some elements of the </w:t>
      </w:r>
      <w:proofErr w:type="spellStart"/>
      <w:r w:rsidR="12715272" w:rsidRPr="008D3032">
        <w:rPr>
          <w:rFonts w:eastAsia="Arial" w:cs="Arial"/>
          <w:color w:val="000000" w:themeColor="text1"/>
          <w:sz w:val="22"/>
          <w:szCs w:val="22"/>
        </w:rPr>
        <w:t>ToC</w:t>
      </w:r>
      <w:proofErr w:type="spellEnd"/>
      <w:r w:rsidR="12715272" w:rsidRPr="008D3032">
        <w:rPr>
          <w:rFonts w:eastAsia="Arial" w:cs="Arial"/>
          <w:color w:val="000000" w:themeColor="text1"/>
          <w:sz w:val="22"/>
          <w:szCs w:val="22"/>
        </w:rPr>
        <w:t xml:space="preserve"> are directly controlled by the Fund, for example raising public and private capital or providing </w:t>
      </w:r>
      <w:r w:rsidR="00D0174A">
        <w:rPr>
          <w:rFonts w:eastAsia="Arial" w:cs="Arial"/>
          <w:color w:val="000000" w:themeColor="text1"/>
          <w:sz w:val="22"/>
          <w:szCs w:val="22"/>
        </w:rPr>
        <w:t>TA</w:t>
      </w:r>
      <w:r w:rsidR="12715272" w:rsidRPr="008D3032">
        <w:rPr>
          <w:rFonts w:eastAsia="Arial" w:cs="Arial"/>
          <w:color w:val="000000" w:themeColor="text1"/>
          <w:sz w:val="22"/>
          <w:szCs w:val="22"/>
        </w:rPr>
        <w:t xml:space="preserve"> to financial institutions</w:t>
      </w:r>
      <w:r w:rsidR="00EA44A7">
        <w:rPr>
          <w:rFonts w:eastAsia="Arial" w:cs="Arial"/>
          <w:color w:val="000000" w:themeColor="text1"/>
          <w:sz w:val="22"/>
          <w:szCs w:val="22"/>
        </w:rPr>
        <w:t xml:space="preserve"> (FIs)</w:t>
      </w:r>
      <w:r w:rsidR="12715272" w:rsidRPr="008D3032">
        <w:rPr>
          <w:rFonts w:eastAsia="Arial" w:cs="Arial"/>
          <w:color w:val="000000" w:themeColor="text1"/>
          <w:sz w:val="22"/>
          <w:szCs w:val="22"/>
        </w:rPr>
        <w:t xml:space="preserve"> (activities and outputs). However, some are a result of both the </w:t>
      </w:r>
      <w:r w:rsidR="007E633F">
        <w:rPr>
          <w:rFonts w:eastAsia="Arial" w:cs="Arial"/>
          <w:color w:val="000000" w:themeColor="text1"/>
          <w:sz w:val="22"/>
          <w:szCs w:val="22"/>
        </w:rPr>
        <w:t>F</w:t>
      </w:r>
      <w:r w:rsidR="12715272" w:rsidRPr="008D3032">
        <w:rPr>
          <w:rFonts w:eastAsia="Arial" w:cs="Arial"/>
          <w:color w:val="000000" w:themeColor="text1"/>
          <w:sz w:val="22"/>
          <w:szCs w:val="22"/>
        </w:rPr>
        <w:t xml:space="preserve">und and external factors, </w:t>
      </w:r>
      <w:r w:rsidR="12715272" w:rsidRPr="008D3032">
        <w:rPr>
          <w:rFonts w:eastAsia="Arial" w:cs="Arial"/>
          <w:color w:val="000000" w:themeColor="text1"/>
          <w:sz w:val="22"/>
          <w:szCs w:val="22"/>
        </w:rPr>
        <w:lastRenderedPageBreak/>
        <w:t>for example an increased integration of sustainability considerations in investment and production practices in the short term and scaling sustainable investment and production practices in the long term (outcomes and final impacts).</w:t>
      </w:r>
      <w:r w:rsidR="005214FC" w:rsidRPr="005214FC">
        <w:rPr>
          <w:rFonts w:eastAsia="Arial" w:cs="Arial"/>
          <w:color w:val="000000" w:themeColor="text1"/>
          <w:sz w:val="22"/>
          <w:szCs w:val="22"/>
        </w:rPr>
        <w:t xml:space="preserve"> </w:t>
      </w:r>
      <w:r w:rsidR="005214FC" w:rsidRPr="008D3032">
        <w:rPr>
          <w:rFonts w:eastAsia="Arial" w:cs="Arial"/>
          <w:color w:val="000000" w:themeColor="text1"/>
          <w:sz w:val="22"/>
          <w:szCs w:val="22"/>
        </w:rPr>
        <w:t xml:space="preserve">The Fund’s </w:t>
      </w:r>
      <w:proofErr w:type="spellStart"/>
      <w:r w:rsidR="005214FC" w:rsidRPr="008D3032">
        <w:rPr>
          <w:rFonts w:eastAsia="Arial" w:cs="Arial"/>
          <w:color w:val="000000" w:themeColor="text1"/>
          <w:sz w:val="22"/>
          <w:szCs w:val="22"/>
        </w:rPr>
        <w:t>ToC</w:t>
      </w:r>
      <w:proofErr w:type="spellEnd"/>
      <w:r w:rsidR="005214FC" w:rsidRPr="008D3032">
        <w:rPr>
          <w:rFonts w:eastAsia="Arial" w:cs="Arial"/>
          <w:color w:val="000000" w:themeColor="text1"/>
          <w:sz w:val="22"/>
          <w:szCs w:val="22"/>
        </w:rPr>
        <w:t xml:space="preserve"> can be found </w:t>
      </w:r>
      <w:hyperlink r:id="rId13">
        <w:r w:rsidR="005214FC" w:rsidRPr="008D3032">
          <w:rPr>
            <w:rStyle w:val="Hyperlink"/>
            <w:rFonts w:eastAsia="Arial" w:cs="Arial"/>
            <w:sz w:val="22"/>
            <w:szCs w:val="22"/>
            <w:lang w:val="en-US"/>
          </w:rPr>
          <w:t>here.</w:t>
        </w:r>
      </w:hyperlink>
      <w:r w:rsidR="007D26E4">
        <w:rPr>
          <w:rStyle w:val="CommentReference"/>
        </w:rPr>
        <w:t xml:space="preserve"> </w:t>
      </w:r>
      <w:r w:rsidR="007D26E4" w:rsidRPr="00F25D81">
        <w:rPr>
          <w:rStyle w:val="CommentReference"/>
          <w:sz w:val="22"/>
          <w:szCs w:val="22"/>
        </w:rPr>
        <w:t xml:space="preserve">FiM plan to revisit the </w:t>
      </w:r>
      <w:proofErr w:type="spellStart"/>
      <w:r w:rsidR="007D26E4" w:rsidRPr="00F25D81">
        <w:rPr>
          <w:rStyle w:val="CommentReference"/>
          <w:sz w:val="22"/>
          <w:szCs w:val="22"/>
        </w:rPr>
        <w:t>ToC</w:t>
      </w:r>
      <w:proofErr w:type="spellEnd"/>
      <w:r w:rsidR="007D26E4" w:rsidRPr="00F25D81">
        <w:rPr>
          <w:rStyle w:val="CommentReference"/>
          <w:sz w:val="22"/>
          <w:szCs w:val="22"/>
        </w:rPr>
        <w:t xml:space="preserve"> </w:t>
      </w:r>
      <w:r w:rsidR="00F25D81" w:rsidRPr="00F25D81">
        <w:rPr>
          <w:rStyle w:val="CommentReference"/>
          <w:sz w:val="22"/>
          <w:szCs w:val="22"/>
        </w:rPr>
        <w:t>in late 2024</w:t>
      </w:r>
      <w:r w:rsidR="00343C9E">
        <w:rPr>
          <w:rStyle w:val="CommentReference"/>
          <w:sz w:val="22"/>
          <w:szCs w:val="22"/>
        </w:rPr>
        <w:t xml:space="preserve"> to integrat</w:t>
      </w:r>
      <w:r w:rsidR="000941B4">
        <w:rPr>
          <w:rStyle w:val="CommentReference"/>
          <w:sz w:val="22"/>
          <w:szCs w:val="22"/>
        </w:rPr>
        <w:t xml:space="preserve">e </w:t>
      </w:r>
      <w:r w:rsidR="000776F5">
        <w:rPr>
          <w:rStyle w:val="CommentReference"/>
          <w:sz w:val="22"/>
          <w:szCs w:val="22"/>
        </w:rPr>
        <w:t>newer initiatives, for example on climate change</w:t>
      </w:r>
      <w:r w:rsidR="00194E21">
        <w:rPr>
          <w:rStyle w:val="CommentReference"/>
          <w:sz w:val="22"/>
          <w:szCs w:val="22"/>
        </w:rPr>
        <w:t xml:space="preserve">. The assumptions underlying the </w:t>
      </w:r>
      <w:proofErr w:type="spellStart"/>
      <w:r w:rsidR="00194E21">
        <w:rPr>
          <w:rStyle w:val="CommentReference"/>
          <w:sz w:val="22"/>
          <w:szCs w:val="22"/>
        </w:rPr>
        <w:t>ToC</w:t>
      </w:r>
      <w:proofErr w:type="spellEnd"/>
      <w:r w:rsidR="00194E21">
        <w:rPr>
          <w:rStyle w:val="CommentReference"/>
          <w:sz w:val="22"/>
          <w:szCs w:val="22"/>
        </w:rPr>
        <w:t xml:space="preserve"> are </w:t>
      </w:r>
      <w:r w:rsidR="00D521A7">
        <w:rPr>
          <w:rStyle w:val="CommentReference"/>
          <w:sz w:val="22"/>
          <w:szCs w:val="22"/>
        </w:rPr>
        <w:t>reviewed periodically</w:t>
      </w:r>
      <w:r w:rsidR="00B1457C">
        <w:rPr>
          <w:rStyle w:val="CommentReference"/>
          <w:sz w:val="22"/>
          <w:szCs w:val="22"/>
        </w:rPr>
        <w:t xml:space="preserve"> outside the </w:t>
      </w:r>
      <w:proofErr w:type="spellStart"/>
      <w:r w:rsidR="00B1457C">
        <w:rPr>
          <w:rStyle w:val="CommentReference"/>
          <w:sz w:val="22"/>
          <w:szCs w:val="22"/>
        </w:rPr>
        <w:t>ToC</w:t>
      </w:r>
      <w:proofErr w:type="spellEnd"/>
      <w:r w:rsidR="00B1457C">
        <w:rPr>
          <w:rStyle w:val="CommentReference"/>
          <w:sz w:val="22"/>
          <w:szCs w:val="22"/>
        </w:rPr>
        <w:t xml:space="preserve"> review cycle, and a</w:t>
      </w:r>
      <w:r w:rsidR="00FE70B2">
        <w:rPr>
          <w:rStyle w:val="CommentReference"/>
          <w:sz w:val="22"/>
          <w:szCs w:val="22"/>
        </w:rPr>
        <w:t xml:space="preserve">n impact scoring tool </w:t>
      </w:r>
      <w:r w:rsidR="006C415F">
        <w:rPr>
          <w:rStyle w:val="CommentReference"/>
          <w:sz w:val="22"/>
          <w:szCs w:val="22"/>
        </w:rPr>
        <w:t xml:space="preserve">is used to </w:t>
      </w:r>
      <w:r w:rsidR="00257368">
        <w:rPr>
          <w:rStyle w:val="CommentReference"/>
          <w:sz w:val="22"/>
          <w:szCs w:val="22"/>
        </w:rPr>
        <w:t>monitor assumptions at outcome level</w:t>
      </w:r>
      <w:r w:rsidR="004001B0">
        <w:rPr>
          <w:rStyle w:val="CommentReference"/>
          <w:sz w:val="22"/>
          <w:szCs w:val="22"/>
        </w:rPr>
        <w:t>, giving reassurance that underlying assumptions are still valid.</w:t>
      </w:r>
    </w:p>
    <w:p w14:paraId="1210D3D8" w14:textId="77777777" w:rsidR="007954D4" w:rsidRDefault="007954D4" w:rsidP="005E557A">
      <w:pPr>
        <w:jc w:val="both"/>
        <w:rPr>
          <w:rFonts w:eastAsia="Arial" w:cs="Arial"/>
          <w:color w:val="000000" w:themeColor="text1"/>
          <w:sz w:val="22"/>
          <w:szCs w:val="22"/>
        </w:rPr>
      </w:pPr>
    </w:p>
    <w:p w14:paraId="32FBEE9F" w14:textId="62ACEEA4" w:rsidR="007954D4" w:rsidRPr="008D3032" w:rsidRDefault="007954D4" w:rsidP="00C4038E">
      <w:pPr>
        <w:jc w:val="both"/>
        <w:rPr>
          <w:rFonts w:eastAsia="Arial" w:cs="Arial"/>
          <w:color w:val="000000" w:themeColor="text1"/>
          <w:sz w:val="22"/>
          <w:szCs w:val="22"/>
        </w:rPr>
      </w:pPr>
      <w:r>
        <w:rPr>
          <w:rFonts w:eastAsia="Arial" w:cs="Arial"/>
          <w:color w:val="000000" w:themeColor="text1"/>
          <w:sz w:val="22"/>
          <w:szCs w:val="22"/>
        </w:rPr>
        <w:t xml:space="preserve">EBF’s work toward its impact objectives is guided by a holistic impact management system. This system helps manage and mitigate </w:t>
      </w:r>
      <w:r w:rsidR="00D215DB">
        <w:rPr>
          <w:rFonts w:eastAsia="Arial" w:cs="Arial"/>
          <w:color w:val="000000" w:themeColor="text1"/>
          <w:sz w:val="22"/>
          <w:szCs w:val="22"/>
        </w:rPr>
        <w:t>possible</w:t>
      </w:r>
      <w:r>
        <w:rPr>
          <w:rFonts w:eastAsia="Arial" w:cs="Arial"/>
          <w:color w:val="000000" w:themeColor="text1"/>
          <w:sz w:val="22"/>
          <w:szCs w:val="22"/>
        </w:rPr>
        <w:t xml:space="preserve"> negative outcomes while enhancing positive impact. These aspects are integrated into the </w:t>
      </w:r>
      <w:r w:rsidR="00D215DB">
        <w:rPr>
          <w:rFonts w:eastAsia="Arial" w:cs="Arial"/>
          <w:color w:val="000000" w:themeColor="text1"/>
          <w:sz w:val="22"/>
          <w:szCs w:val="22"/>
        </w:rPr>
        <w:t>F</w:t>
      </w:r>
      <w:r>
        <w:rPr>
          <w:rFonts w:eastAsia="Arial" w:cs="Arial"/>
          <w:color w:val="000000" w:themeColor="text1"/>
          <w:sz w:val="22"/>
          <w:szCs w:val="22"/>
        </w:rPr>
        <w:t>und’s investment cycle, from setting the objectives in core strategy and policy documents to thoroughly screening potential investees.</w:t>
      </w:r>
    </w:p>
    <w:p w14:paraId="6E8A8B38" w14:textId="3E19DAFB" w:rsidR="0D311865" w:rsidRPr="008D3032" w:rsidRDefault="0D311865" w:rsidP="005E557A">
      <w:pPr>
        <w:jc w:val="both"/>
        <w:rPr>
          <w:rFonts w:eastAsia="Arial" w:cs="Arial"/>
          <w:color w:val="000000" w:themeColor="text1"/>
          <w:sz w:val="22"/>
          <w:szCs w:val="22"/>
        </w:rPr>
      </w:pPr>
    </w:p>
    <w:p w14:paraId="3BCC5E80" w14:textId="2F8F462A" w:rsidR="0D311865" w:rsidRPr="008D3032" w:rsidRDefault="12715272" w:rsidP="005E557A">
      <w:pPr>
        <w:jc w:val="both"/>
        <w:rPr>
          <w:rFonts w:eastAsia="Arial" w:cs="Arial"/>
          <w:color w:val="000000" w:themeColor="text1"/>
          <w:sz w:val="22"/>
          <w:szCs w:val="22"/>
        </w:rPr>
      </w:pPr>
      <w:r w:rsidRPr="008D3032">
        <w:rPr>
          <w:rFonts w:eastAsia="Arial" w:cs="Arial"/>
          <w:color w:val="000000" w:themeColor="text1"/>
          <w:sz w:val="22"/>
          <w:szCs w:val="22"/>
        </w:rPr>
        <w:t xml:space="preserve">Given the nature of the </w:t>
      </w:r>
      <w:r w:rsidR="00D215DB">
        <w:rPr>
          <w:rFonts w:eastAsia="Arial" w:cs="Arial"/>
          <w:color w:val="000000" w:themeColor="text1"/>
          <w:sz w:val="22"/>
          <w:szCs w:val="22"/>
        </w:rPr>
        <w:t>F</w:t>
      </w:r>
      <w:r w:rsidRPr="008D3032">
        <w:rPr>
          <w:rFonts w:eastAsia="Arial" w:cs="Arial"/>
          <w:color w:val="000000" w:themeColor="text1"/>
          <w:sz w:val="22"/>
          <w:szCs w:val="22"/>
        </w:rPr>
        <w:t xml:space="preserve">und (lending to </w:t>
      </w:r>
      <w:r w:rsidR="00EA44A7">
        <w:rPr>
          <w:rFonts w:eastAsia="Arial" w:cs="Arial"/>
          <w:color w:val="000000" w:themeColor="text1"/>
          <w:sz w:val="22"/>
          <w:szCs w:val="22"/>
        </w:rPr>
        <w:t>FIs</w:t>
      </w:r>
      <w:r w:rsidRPr="008D3032">
        <w:rPr>
          <w:rFonts w:eastAsia="Arial" w:cs="Arial"/>
          <w:color w:val="000000" w:themeColor="text1"/>
          <w:sz w:val="22"/>
          <w:szCs w:val="22"/>
        </w:rPr>
        <w:t xml:space="preserve"> who then on-lend to end borrowers) and the complex environments in which the </w:t>
      </w:r>
      <w:r w:rsidR="00D215DB">
        <w:rPr>
          <w:rFonts w:eastAsia="Arial" w:cs="Arial"/>
          <w:color w:val="000000" w:themeColor="text1"/>
          <w:sz w:val="22"/>
          <w:szCs w:val="22"/>
        </w:rPr>
        <w:t>F</w:t>
      </w:r>
      <w:r w:rsidRPr="008D3032">
        <w:rPr>
          <w:rFonts w:eastAsia="Arial" w:cs="Arial"/>
          <w:color w:val="000000" w:themeColor="text1"/>
          <w:sz w:val="22"/>
          <w:szCs w:val="22"/>
        </w:rPr>
        <w:t xml:space="preserve">und’s investees and stakeholders operate in, the EBF does not attribute the total change happening at outcome and final impact level exclusively to the Fund’s contributions. Instead, the </w:t>
      </w:r>
      <w:proofErr w:type="spellStart"/>
      <w:r w:rsidRPr="008D3032">
        <w:rPr>
          <w:rFonts w:eastAsia="Arial" w:cs="Arial"/>
          <w:color w:val="000000" w:themeColor="text1"/>
          <w:sz w:val="22"/>
          <w:szCs w:val="22"/>
        </w:rPr>
        <w:t>ToC</w:t>
      </w:r>
      <w:proofErr w:type="spellEnd"/>
      <w:r w:rsidRPr="008D3032">
        <w:rPr>
          <w:rFonts w:eastAsia="Arial" w:cs="Arial"/>
          <w:color w:val="000000" w:themeColor="text1"/>
          <w:sz w:val="22"/>
          <w:szCs w:val="22"/>
        </w:rPr>
        <w:t xml:space="preserve"> focuses on the processes that are likely to be triggered by the Fund’s activities and how these lead to the final environmental and socio-economic impacts. This analysis draws on evidence from </w:t>
      </w:r>
      <w:r w:rsidR="000D0504">
        <w:rPr>
          <w:rFonts w:eastAsia="Arial" w:cs="Arial"/>
          <w:color w:val="000000" w:themeColor="text1"/>
          <w:sz w:val="22"/>
          <w:szCs w:val="22"/>
        </w:rPr>
        <w:t>FIs</w:t>
      </w:r>
      <w:r w:rsidRPr="008D3032">
        <w:rPr>
          <w:rFonts w:eastAsia="Arial" w:cs="Arial"/>
          <w:color w:val="000000" w:themeColor="text1"/>
          <w:sz w:val="22"/>
          <w:szCs w:val="22"/>
        </w:rPr>
        <w:t xml:space="preserve">, industry networks, international institutions, academia, and conservation organisations. </w:t>
      </w:r>
    </w:p>
    <w:p w14:paraId="69582ADA" w14:textId="3D86ECFE" w:rsidR="0D311865" w:rsidRPr="008D3032" w:rsidRDefault="0D311865" w:rsidP="005E557A">
      <w:pPr>
        <w:jc w:val="both"/>
        <w:rPr>
          <w:rFonts w:eastAsia="Arial" w:cs="Arial"/>
          <w:color w:val="000000" w:themeColor="text1"/>
        </w:rPr>
      </w:pPr>
    </w:p>
    <w:p w14:paraId="7DDB1CBF" w14:textId="3B358CCB" w:rsidR="0D311865" w:rsidRPr="008D3032" w:rsidRDefault="12715272" w:rsidP="005E557A">
      <w:pPr>
        <w:jc w:val="both"/>
        <w:rPr>
          <w:rFonts w:eastAsia="Arial" w:cs="Arial"/>
          <w:color w:val="000000" w:themeColor="text1"/>
          <w:sz w:val="22"/>
          <w:szCs w:val="22"/>
        </w:rPr>
      </w:pPr>
      <w:r w:rsidRPr="008D3032">
        <w:rPr>
          <w:rFonts w:eastAsia="Arial" w:cs="Arial"/>
          <w:color w:val="000000" w:themeColor="text1"/>
          <w:sz w:val="22"/>
          <w:szCs w:val="22"/>
          <w:lang w:val="en-US"/>
        </w:rPr>
        <w:t xml:space="preserve">The Fund’s </w:t>
      </w:r>
      <w:hyperlink r:id="rId14">
        <w:r w:rsidRPr="008D3032">
          <w:rPr>
            <w:rStyle w:val="Hyperlink"/>
            <w:rFonts w:eastAsia="Arial" w:cs="Arial"/>
            <w:sz w:val="22"/>
            <w:szCs w:val="22"/>
          </w:rPr>
          <w:t>Impact Framework</w:t>
        </w:r>
      </w:hyperlink>
      <w:r w:rsidRPr="008D3032">
        <w:rPr>
          <w:rFonts w:eastAsia="Arial" w:cs="Arial"/>
          <w:color w:val="000000" w:themeColor="text1"/>
          <w:sz w:val="20"/>
          <w:szCs w:val="20"/>
          <w:lang w:val="en-US"/>
        </w:rPr>
        <w:t xml:space="preserve"> </w:t>
      </w:r>
      <w:r w:rsidRPr="008D3032">
        <w:rPr>
          <w:rFonts w:eastAsia="Arial" w:cs="Arial"/>
          <w:color w:val="000000" w:themeColor="text1"/>
          <w:sz w:val="22"/>
          <w:szCs w:val="22"/>
          <w:lang w:val="en-US"/>
        </w:rPr>
        <w:t xml:space="preserve">complements the </w:t>
      </w:r>
      <w:proofErr w:type="spellStart"/>
      <w:r w:rsidRPr="008D3032">
        <w:rPr>
          <w:rFonts w:eastAsia="Arial" w:cs="Arial"/>
          <w:color w:val="000000" w:themeColor="text1"/>
          <w:sz w:val="22"/>
          <w:szCs w:val="22"/>
          <w:lang w:val="en-US"/>
        </w:rPr>
        <w:t>ToC</w:t>
      </w:r>
      <w:proofErr w:type="spellEnd"/>
      <w:r w:rsidRPr="008D3032">
        <w:rPr>
          <w:rFonts w:eastAsia="Arial" w:cs="Arial"/>
          <w:color w:val="000000" w:themeColor="text1"/>
          <w:sz w:val="22"/>
          <w:szCs w:val="22"/>
          <w:lang w:val="en-US"/>
        </w:rPr>
        <w:t xml:space="preserve"> and illustrates how the Fund meets its objectives by connecting actions to defined outcomes and final impacts. It also maps out how progress is measured and reported.</w:t>
      </w:r>
      <w:r w:rsidR="00CD70EB" w:rsidRPr="00CD70EB">
        <w:rPr>
          <w:rFonts w:ascii="Times New Roman" w:eastAsiaTheme="minorEastAsia" w:hAnsi="Times New Roman"/>
          <w:lang w:eastAsia="en-GB"/>
        </w:rPr>
        <w:t xml:space="preserve"> </w:t>
      </w:r>
      <w:r w:rsidR="00CD70EB">
        <w:rPr>
          <w:rFonts w:eastAsia="Arial" w:cs="Arial"/>
          <w:color w:val="000000" w:themeColor="text1"/>
          <w:sz w:val="22"/>
          <w:szCs w:val="22"/>
        </w:rPr>
        <w:t>I</w:t>
      </w:r>
      <w:r w:rsidR="00CD70EB" w:rsidRPr="00CD70EB">
        <w:rPr>
          <w:rFonts w:eastAsia="Arial" w:cs="Arial"/>
          <w:color w:val="000000" w:themeColor="text1"/>
          <w:sz w:val="22"/>
          <w:szCs w:val="22"/>
        </w:rPr>
        <w:t xml:space="preserve">n 2022, </w:t>
      </w:r>
      <w:r w:rsidR="00CD70EB">
        <w:rPr>
          <w:rFonts w:eastAsia="Arial" w:cs="Arial"/>
          <w:color w:val="000000" w:themeColor="text1"/>
          <w:sz w:val="22"/>
          <w:szCs w:val="22"/>
        </w:rPr>
        <w:t>FiM</w:t>
      </w:r>
      <w:r w:rsidR="00CD70EB" w:rsidRPr="00CD70EB">
        <w:rPr>
          <w:rFonts w:eastAsia="Arial" w:cs="Arial"/>
          <w:color w:val="000000" w:themeColor="text1"/>
          <w:sz w:val="22"/>
          <w:szCs w:val="22"/>
        </w:rPr>
        <w:t xml:space="preserve"> developed an Impact Scoring Tool to strengthen the fund’s impact management. This tool evaluates the impact of its investments consistently and systematically throughout the investment cycle. It considers both the </w:t>
      </w:r>
      <w:r w:rsidR="00810998">
        <w:rPr>
          <w:rFonts w:eastAsia="Arial" w:cs="Arial"/>
          <w:color w:val="000000" w:themeColor="text1"/>
          <w:sz w:val="22"/>
          <w:szCs w:val="22"/>
        </w:rPr>
        <w:t>F</w:t>
      </w:r>
      <w:r w:rsidR="00CD70EB" w:rsidRPr="00CD70EB">
        <w:rPr>
          <w:rFonts w:eastAsia="Arial" w:cs="Arial"/>
          <w:color w:val="000000" w:themeColor="text1"/>
          <w:sz w:val="22"/>
          <w:szCs w:val="22"/>
        </w:rPr>
        <w:t xml:space="preserve">und’s impacts on its investees and the final environmental impact supported through its investments. The tool is aligned with industry best practices, including the </w:t>
      </w:r>
      <w:hyperlink r:id="rId15" w:history="1">
        <w:r w:rsidR="00CD70EB" w:rsidRPr="008C0708">
          <w:rPr>
            <w:rStyle w:val="Hyperlink"/>
            <w:rFonts w:eastAsia="Arial" w:cs="Arial"/>
            <w:sz w:val="22"/>
            <w:szCs w:val="22"/>
          </w:rPr>
          <w:t>five Dimensions of Impact</w:t>
        </w:r>
      </w:hyperlink>
      <w:r w:rsidR="00CD70EB" w:rsidRPr="00CD70EB">
        <w:rPr>
          <w:rFonts w:eastAsia="Arial" w:cs="Arial"/>
          <w:color w:val="000000" w:themeColor="text1"/>
          <w:sz w:val="22"/>
          <w:szCs w:val="22"/>
        </w:rPr>
        <w:t>.</w:t>
      </w:r>
      <w:r w:rsidR="00B3101A">
        <w:rPr>
          <w:rFonts w:eastAsia="Arial" w:cs="Arial"/>
          <w:color w:val="000000" w:themeColor="text1"/>
          <w:sz w:val="22"/>
          <w:szCs w:val="22"/>
        </w:rPr>
        <w:t xml:space="preserve"> </w:t>
      </w:r>
      <w:r w:rsidR="0075433C">
        <w:rPr>
          <w:rFonts w:eastAsia="Arial" w:cs="Arial"/>
          <w:color w:val="000000" w:themeColor="text1"/>
          <w:sz w:val="22"/>
          <w:szCs w:val="22"/>
        </w:rPr>
        <w:t xml:space="preserve">In terms of </w:t>
      </w:r>
      <w:r w:rsidR="00B616E1">
        <w:rPr>
          <w:rFonts w:eastAsia="Arial" w:cs="Arial"/>
          <w:color w:val="000000" w:themeColor="text1"/>
          <w:sz w:val="22"/>
          <w:szCs w:val="22"/>
        </w:rPr>
        <w:t>‘who’ is impacted</w:t>
      </w:r>
      <w:r w:rsidR="00CC5204">
        <w:rPr>
          <w:rFonts w:eastAsia="Arial" w:cs="Arial"/>
          <w:color w:val="000000" w:themeColor="text1"/>
          <w:sz w:val="22"/>
          <w:szCs w:val="22"/>
        </w:rPr>
        <w:t xml:space="preserve"> and how poverty is addressed</w:t>
      </w:r>
      <w:r w:rsidR="0075433C">
        <w:rPr>
          <w:rFonts w:eastAsia="Arial" w:cs="Arial"/>
          <w:color w:val="000000" w:themeColor="text1"/>
          <w:sz w:val="22"/>
          <w:szCs w:val="22"/>
        </w:rPr>
        <w:t>, t</w:t>
      </w:r>
      <w:r w:rsidR="00100AA6">
        <w:rPr>
          <w:rFonts w:eastAsia="Arial" w:cs="Arial"/>
          <w:color w:val="000000" w:themeColor="text1"/>
          <w:sz w:val="22"/>
          <w:szCs w:val="22"/>
        </w:rPr>
        <w:t>he Fund’s primary target group are FI</w:t>
      </w:r>
      <w:r w:rsidR="0008079B">
        <w:rPr>
          <w:rFonts w:eastAsia="Arial" w:cs="Arial"/>
          <w:color w:val="000000" w:themeColor="text1"/>
          <w:sz w:val="22"/>
          <w:szCs w:val="22"/>
        </w:rPr>
        <w:t>s</w:t>
      </w:r>
      <w:r w:rsidR="001C3C3E">
        <w:rPr>
          <w:rFonts w:eastAsia="Arial" w:cs="Arial"/>
          <w:color w:val="000000" w:themeColor="text1"/>
          <w:sz w:val="22"/>
          <w:szCs w:val="22"/>
        </w:rPr>
        <w:t xml:space="preserve">, and through them </w:t>
      </w:r>
      <w:proofErr w:type="spellStart"/>
      <w:r w:rsidR="001C3C3E">
        <w:rPr>
          <w:rFonts w:eastAsia="Arial" w:cs="Arial"/>
          <w:color w:val="000000" w:themeColor="text1"/>
          <w:sz w:val="22"/>
          <w:szCs w:val="22"/>
        </w:rPr>
        <w:t>agri</w:t>
      </w:r>
      <w:proofErr w:type="spellEnd"/>
      <w:r w:rsidR="001C3C3E">
        <w:rPr>
          <w:rFonts w:eastAsia="Arial" w:cs="Arial"/>
          <w:color w:val="000000" w:themeColor="text1"/>
          <w:sz w:val="22"/>
          <w:szCs w:val="22"/>
        </w:rPr>
        <w:t>-corporates and agricultural producers</w:t>
      </w:r>
      <w:r w:rsidR="002D01AB">
        <w:rPr>
          <w:rFonts w:eastAsia="Arial" w:cs="Arial"/>
          <w:color w:val="000000" w:themeColor="text1"/>
          <w:sz w:val="22"/>
          <w:szCs w:val="22"/>
        </w:rPr>
        <w:t xml:space="preserve">, </w:t>
      </w:r>
      <w:proofErr w:type="gramStart"/>
      <w:r w:rsidR="002D01AB">
        <w:rPr>
          <w:rFonts w:eastAsia="Arial" w:cs="Arial"/>
          <w:color w:val="000000" w:themeColor="text1"/>
          <w:sz w:val="22"/>
          <w:szCs w:val="22"/>
        </w:rPr>
        <w:t>traders</w:t>
      </w:r>
      <w:proofErr w:type="gramEnd"/>
      <w:r w:rsidR="002D01AB">
        <w:rPr>
          <w:rFonts w:eastAsia="Arial" w:cs="Arial"/>
          <w:color w:val="000000" w:themeColor="text1"/>
          <w:sz w:val="22"/>
          <w:szCs w:val="22"/>
        </w:rPr>
        <w:t xml:space="preserve"> and processors; </w:t>
      </w:r>
      <w:r w:rsidR="00EF364D">
        <w:rPr>
          <w:rFonts w:eastAsia="Arial" w:cs="Arial"/>
          <w:color w:val="000000" w:themeColor="text1"/>
          <w:sz w:val="22"/>
          <w:szCs w:val="22"/>
        </w:rPr>
        <w:t xml:space="preserve">this funding </w:t>
      </w:r>
      <w:r w:rsidR="00C67155">
        <w:rPr>
          <w:rFonts w:eastAsia="Arial" w:cs="Arial"/>
          <w:color w:val="000000" w:themeColor="text1"/>
          <w:sz w:val="22"/>
          <w:szCs w:val="22"/>
        </w:rPr>
        <w:t xml:space="preserve">in turn </w:t>
      </w:r>
      <w:r w:rsidR="00EF364D">
        <w:rPr>
          <w:rFonts w:eastAsia="Arial" w:cs="Arial"/>
          <w:color w:val="000000" w:themeColor="text1"/>
          <w:sz w:val="22"/>
          <w:szCs w:val="22"/>
        </w:rPr>
        <w:t>benefits</w:t>
      </w:r>
      <w:r w:rsidR="00723117">
        <w:rPr>
          <w:rFonts w:eastAsia="Arial" w:cs="Arial"/>
          <w:color w:val="000000" w:themeColor="text1"/>
          <w:sz w:val="22"/>
          <w:szCs w:val="22"/>
        </w:rPr>
        <w:t xml:space="preserve"> women and local communities who represent a large share of the agricultural labour force</w:t>
      </w:r>
      <w:r w:rsidR="00F33F47">
        <w:rPr>
          <w:rFonts w:eastAsia="Arial" w:cs="Arial"/>
          <w:color w:val="000000" w:themeColor="text1"/>
          <w:sz w:val="22"/>
          <w:szCs w:val="22"/>
        </w:rPr>
        <w:t>.</w:t>
      </w:r>
      <w:r w:rsidR="00F74D25">
        <w:rPr>
          <w:rFonts w:eastAsia="Arial" w:cs="Arial"/>
          <w:color w:val="000000" w:themeColor="text1"/>
          <w:sz w:val="22"/>
          <w:szCs w:val="22"/>
        </w:rPr>
        <w:t xml:space="preserve"> T</w:t>
      </w:r>
      <w:r w:rsidR="006224C1">
        <w:rPr>
          <w:rFonts w:eastAsia="Arial" w:cs="Arial"/>
          <w:color w:val="000000" w:themeColor="text1"/>
          <w:sz w:val="22"/>
          <w:szCs w:val="22"/>
        </w:rPr>
        <w:t>o</w:t>
      </w:r>
      <w:r w:rsidR="00F74D25">
        <w:rPr>
          <w:rFonts w:eastAsia="Arial" w:cs="Arial"/>
          <w:color w:val="000000" w:themeColor="text1"/>
          <w:sz w:val="22"/>
          <w:szCs w:val="22"/>
        </w:rPr>
        <w:t xml:space="preserve"> enhance outreach to smallholder farmers, the Fund also </w:t>
      </w:r>
      <w:r w:rsidR="006224C1">
        <w:rPr>
          <w:rFonts w:eastAsia="Arial" w:cs="Arial"/>
          <w:color w:val="000000" w:themeColor="text1"/>
          <w:sz w:val="22"/>
          <w:szCs w:val="22"/>
        </w:rPr>
        <w:t>partners</w:t>
      </w:r>
      <w:r w:rsidR="00F74D25">
        <w:rPr>
          <w:rFonts w:eastAsia="Arial" w:cs="Arial"/>
          <w:color w:val="000000" w:themeColor="text1"/>
          <w:sz w:val="22"/>
          <w:szCs w:val="22"/>
        </w:rPr>
        <w:t xml:space="preserve"> with F</w:t>
      </w:r>
      <w:r w:rsidR="006224C1">
        <w:rPr>
          <w:rFonts w:eastAsia="Arial" w:cs="Arial"/>
          <w:color w:val="000000" w:themeColor="text1"/>
          <w:sz w:val="22"/>
          <w:szCs w:val="22"/>
        </w:rPr>
        <w:t>I</w:t>
      </w:r>
      <w:r w:rsidR="00F74D25">
        <w:rPr>
          <w:rFonts w:eastAsia="Arial" w:cs="Arial"/>
          <w:color w:val="000000" w:themeColor="text1"/>
          <w:sz w:val="22"/>
          <w:szCs w:val="22"/>
        </w:rPr>
        <w:t xml:space="preserve">s dedicated to </w:t>
      </w:r>
      <w:r w:rsidR="006224C1">
        <w:rPr>
          <w:rFonts w:eastAsia="Arial" w:cs="Arial"/>
          <w:color w:val="000000" w:themeColor="text1"/>
          <w:sz w:val="22"/>
          <w:szCs w:val="22"/>
        </w:rPr>
        <w:t>providing micro-finance, such as Caja Municipal Arequipa in Peru.</w:t>
      </w:r>
    </w:p>
    <w:p w14:paraId="3D87C0DE" w14:textId="7A73B6BD" w:rsidR="16381FB0" w:rsidRPr="008D3032" w:rsidRDefault="16381FB0" w:rsidP="005E557A">
      <w:pPr>
        <w:jc w:val="both"/>
        <w:rPr>
          <w:rFonts w:eastAsia="Arial" w:cs="Arial"/>
          <w:sz w:val="22"/>
          <w:szCs w:val="22"/>
          <w:lang w:val="en-US"/>
        </w:rPr>
      </w:pPr>
    </w:p>
    <w:p w14:paraId="3DEA4163" w14:textId="5208A842" w:rsidR="0D311865" w:rsidRPr="00A54B18" w:rsidRDefault="46CA9E58" w:rsidP="00F66B70">
      <w:pPr>
        <w:jc w:val="both"/>
        <w:rPr>
          <w:rFonts w:eastAsia="Arial" w:cs="Arial"/>
          <w:sz w:val="22"/>
          <w:szCs w:val="22"/>
        </w:rPr>
      </w:pPr>
      <w:r w:rsidRPr="008D3032">
        <w:rPr>
          <w:rFonts w:eastAsia="Arial" w:cs="Arial"/>
          <w:sz w:val="22"/>
          <w:szCs w:val="22"/>
        </w:rPr>
        <w:t>EBF</w:t>
      </w:r>
      <w:r w:rsidR="7F0C0882" w:rsidRPr="008D3032">
        <w:rPr>
          <w:rFonts w:eastAsia="Arial" w:cs="Arial"/>
          <w:sz w:val="22"/>
          <w:szCs w:val="22"/>
        </w:rPr>
        <w:t xml:space="preserve"> published its </w:t>
      </w:r>
      <w:r w:rsidR="00F34EC8">
        <w:rPr>
          <w:rFonts w:eastAsia="Arial" w:cs="Arial"/>
          <w:sz w:val="22"/>
          <w:szCs w:val="22"/>
        </w:rPr>
        <w:t>fifth</w:t>
      </w:r>
      <w:r w:rsidR="7F0C0882" w:rsidRPr="008D3032">
        <w:rPr>
          <w:rFonts w:eastAsia="Arial" w:cs="Arial"/>
          <w:sz w:val="22"/>
          <w:szCs w:val="22"/>
        </w:rPr>
        <w:t xml:space="preserve"> Impact Report</w:t>
      </w:r>
      <w:r w:rsidR="00F34EC8">
        <w:rPr>
          <w:rFonts w:eastAsia="Arial" w:cs="Arial"/>
          <w:sz w:val="22"/>
          <w:szCs w:val="22"/>
        </w:rPr>
        <w:t xml:space="preserve"> in 2022</w:t>
      </w:r>
      <w:r w:rsidR="7F0C0882" w:rsidRPr="008D3032">
        <w:rPr>
          <w:rFonts w:eastAsia="Arial" w:cs="Arial"/>
          <w:sz w:val="22"/>
          <w:szCs w:val="22"/>
        </w:rPr>
        <w:t xml:space="preserve">, titled </w:t>
      </w:r>
      <w:r w:rsidRPr="008D3032">
        <w:rPr>
          <w:rFonts w:eastAsia="Arial" w:cs="Arial"/>
          <w:sz w:val="22"/>
          <w:szCs w:val="22"/>
        </w:rPr>
        <w:t>‘</w:t>
      </w:r>
      <w:r w:rsidR="00F34EC8">
        <w:rPr>
          <w:rFonts w:eastAsia="Arial" w:cs="Arial"/>
          <w:sz w:val="22"/>
          <w:szCs w:val="22"/>
        </w:rPr>
        <w:t>Conserving Biodiversity</w:t>
      </w:r>
      <w:r w:rsidRPr="008D3032">
        <w:rPr>
          <w:rFonts w:eastAsia="Arial" w:cs="Arial"/>
          <w:sz w:val="22"/>
          <w:szCs w:val="22"/>
        </w:rPr>
        <w:t>’,</w:t>
      </w:r>
      <w:r w:rsidR="7F0C0882" w:rsidRPr="008D3032">
        <w:rPr>
          <w:rFonts w:eastAsia="Arial" w:cs="Arial"/>
          <w:sz w:val="22"/>
          <w:szCs w:val="22"/>
        </w:rPr>
        <w:t xml:space="preserve"> </w:t>
      </w:r>
      <w:r w:rsidR="00F34EC8">
        <w:rPr>
          <w:rFonts w:eastAsia="Arial" w:cs="Arial"/>
          <w:sz w:val="22"/>
          <w:szCs w:val="22"/>
        </w:rPr>
        <w:t xml:space="preserve">with a focus on </w:t>
      </w:r>
      <w:r w:rsidR="00331A16">
        <w:rPr>
          <w:rFonts w:eastAsia="Arial" w:cs="Arial"/>
          <w:sz w:val="22"/>
          <w:szCs w:val="22"/>
        </w:rPr>
        <w:t>increasing</w:t>
      </w:r>
      <w:r w:rsidR="00F34EC8">
        <w:rPr>
          <w:rFonts w:eastAsia="Arial" w:cs="Arial"/>
          <w:sz w:val="22"/>
          <w:szCs w:val="22"/>
        </w:rPr>
        <w:t xml:space="preserve"> global efforts to tackle biodiversity loss. The Report features three TA projects funded by the </w:t>
      </w:r>
      <w:r w:rsidR="001D6F65">
        <w:rPr>
          <w:rFonts w:eastAsia="Arial" w:cs="Arial"/>
          <w:sz w:val="22"/>
          <w:szCs w:val="22"/>
        </w:rPr>
        <w:t>DF</w:t>
      </w:r>
      <w:r w:rsidR="00F34EC8">
        <w:rPr>
          <w:rFonts w:eastAsia="Arial" w:cs="Arial"/>
          <w:sz w:val="22"/>
          <w:szCs w:val="22"/>
        </w:rPr>
        <w:t>, as well as public impact and operating results</w:t>
      </w:r>
      <w:r w:rsidR="7F0C0882" w:rsidRPr="008D3032">
        <w:rPr>
          <w:rFonts w:eastAsia="Arial" w:cs="Arial"/>
          <w:sz w:val="22"/>
          <w:szCs w:val="22"/>
        </w:rPr>
        <w:t xml:space="preserve">. </w:t>
      </w:r>
    </w:p>
    <w:p w14:paraId="2EFDE787" w14:textId="47D65D64" w:rsidR="0D311865" w:rsidRPr="00A54B18" w:rsidRDefault="0D311865" w:rsidP="005E557A">
      <w:pPr>
        <w:rPr>
          <w:rFonts w:eastAsia="Arial" w:cs="Arial"/>
          <w:color w:val="FF0000"/>
        </w:rPr>
      </w:pPr>
    </w:p>
    <w:p w14:paraId="40F0D1CD" w14:textId="00B69757" w:rsidR="0D311865" w:rsidRPr="00A54B18" w:rsidRDefault="12715272" w:rsidP="005E557A">
      <w:pPr>
        <w:pStyle w:val="Normal1"/>
        <w:spacing w:after="120"/>
        <w:jc w:val="both"/>
      </w:pPr>
      <w:r w:rsidRPr="00A54B18">
        <w:rPr>
          <w:b/>
          <w:bCs/>
        </w:rPr>
        <w:t xml:space="preserve">Annual outcome assessment  </w:t>
      </w:r>
    </w:p>
    <w:p w14:paraId="00A22DE8" w14:textId="2E43831A" w:rsidR="0D311865" w:rsidRPr="008D3032" w:rsidRDefault="12715272" w:rsidP="005E557A">
      <w:pPr>
        <w:pStyle w:val="Normal1"/>
        <w:spacing w:after="120"/>
        <w:jc w:val="both"/>
        <w:rPr>
          <w:sz w:val="22"/>
          <w:szCs w:val="22"/>
        </w:rPr>
      </w:pPr>
      <w:r w:rsidRPr="008D3032">
        <w:rPr>
          <w:sz w:val="22"/>
          <w:szCs w:val="22"/>
        </w:rPr>
        <w:t xml:space="preserve">In Defra’s </w:t>
      </w:r>
      <w:proofErr w:type="spellStart"/>
      <w:r w:rsidR="00A0386B">
        <w:rPr>
          <w:sz w:val="22"/>
          <w:szCs w:val="22"/>
        </w:rPr>
        <w:t>L</w:t>
      </w:r>
      <w:r w:rsidR="00EF2578" w:rsidRPr="008D3032">
        <w:rPr>
          <w:sz w:val="22"/>
          <w:szCs w:val="22"/>
        </w:rPr>
        <w:t>og</w:t>
      </w:r>
      <w:r w:rsidR="00A0386B">
        <w:rPr>
          <w:sz w:val="22"/>
          <w:szCs w:val="22"/>
        </w:rPr>
        <w:t>F</w:t>
      </w:r>
      <w:r w:rsidR="00EF2578" w:rsidRPr="008D3032">
        <w:rPr>
          <w:sz w:val="22"/>
          <w:szCs w:val="22"/>
        </w:rPr>
        <w:t>rame</w:t>
      </w:r>
      <w:proofErr w:type="spellEnd"/>
      <w:r w:rsidRPr="008D3032">
        <w:rPr>
          <w:sz w:val="22"/>
          <w:szCs w:val="22"/>
        </w:rPr>
        <w:t xml:space="preserve"> for the EBF, outcome indicators are </w:t>
      </w:r>
      <w:r w:rsidR="2ABE4508" w:rsidRPr="008D3032">
        <w:rPr>
          <w:sz w:val="22"/>
          <w:szCs w:val="22"/>
        </w:rPr>
        <w:t xml:space="preserve">categorised </w:t>
      </w:r>
      <w:r w:rsidRPr="008D3032">
        <w:rPr>
          <w:sz w:val="22"/>
          <w:szCs w:val="22"/>
        </w:rPr>
        <w:t>as</w:t>
      </w:r>
      <w:r w:rsidR="23151AB2" w:rsidRPr="008D3032">
        <w:rPr>
          <w:sz w:val="22"/>
          <w:szCs w:val="22"/>
        </w:rPr>
        <w:t xml:space="preserve"> either measuring</w:t>
      </w:r>
      <w:r w:rsidRPr="008D3032">
        <w:rPr>
          <w:sz w:val="22"/>
          <w:szCs w:val="22"/>
        </w:rPr>
        <w:t xml:space="preserve">: </w:t>
      </w:r>
    </w:p>
    <w:p w14:paraId="72DE1684" w14:textId="5F448370" w:rsidR="0D311865" w:rsidRPr="008D3032" w:rsidRDefault="12715272" w:rsidP="005E557A">
      <w:pPr>
        <w:pStyle w:val="Normal1"/>
        <w:numPr>
          <w:ilvl w:val="0"/>
          <w:numId w:val="4"/>
        </w:numPr>
        <w:spacing w:after="120"/>
        <w:jc w:val="both"/>
        <w:rPr>
          <w:sz w:val="22"/>
          <w:szCs w:val="22"/>
        </w:rPr>
      </w:pPr>
      <w:r w:rsidRPr="008D3032">
        <w:rPr>
          <w:sz w:val="22"/>
          <w:szCs w:val="22"/>
        </w:rPr>
        <w:t xml:space="preserve">EBF's success in contributing to biodiversity conservation, the sustainable use of natural resources and climate change adaptation and mitigation; and this success creating an incentive for others to also act towards these goals. </w:t>
      </w:r>
    </w:p>
    <w:p w14:paraId="4DD7C395" w14:textId="69CC68DC" w:rsidR="00563447" w:rsidRDefault="12715272" w:rsidP="005E557A">
      <w:pPr>
        <w:pStyle w:val="Normal1"/>
        <w:numPr>
          <w:ilvl w:val="0"/>
          <w:numId w:val="4"/>
        </w:numPr>
        <w:spacing w:after="120"/>
        <w:jc w:val="both"/>
        <w:rPr>
          <w:sz w:val="22"/>
          <w:szCs w:val="22"/>
        </w:rPr>
      </w:pPr>
      <w:r w:rsidRPr="008D3032">
        <w:rPr>
          <w:sz w:val="22"/>
          <w:szCs w:val="22"/>
        </w:rPr>
        <w:t>Level of behavioural change embedded in downstream lenders and Financial Institutions.</w:t>
      </w:r>
    </w:p>
    <w:p w14:paraId="5E7F438A" w14:textId="1BD19841" w:rsidR="00E67495" w:rsidRDefault="00E67495" w:rsidP="00E67495">
      <w:pPr>
        <w:pStyle w:val="Normal1"/>
        <w:spacing w:after="120"/>
        <w:jc w:val="both"/>
        <w:rPr>
          <w:sz w:val="22"/>
          <w:szCs w:val="22"/>
        </w:rPr>
      </w:pPr>
      <w:r>
        <w:rPr>
          <w:sz w:val="22"/>
          <w:szCs w:val="22"/>
        </w:rPr>
        <w:t>A summary of Outcome indicator results can be found in the table below</w:t>
      </w:r>
      <w:r w:rsidR="002E4795">
        <w:rPr>
          <w:sz w:val="22"/>
          <w:szCs w:val="22"/>
        </w:rPr>
        <w:t>.</w:t>
      </w:r>
      <w:r w:rsidR="00B274B7">
        <w:rPr>
          <w:sz w:val="22"/>
          <w:szCs w:val="22"/>
        </w:rPr>
        <w:t xml:space="preserve"> </w:t>
      </w:r>
      <w:r w:rsidR="00B274B7" w:rsidRPr="005816E7">
        <w:rPr>
          <w:i/>
          <w:iCs/>
          <w:sz w:val="22"/>
          <w:szCs w:val="22"/>
        </w:rPr>
        <w:t xml:space="preserve">All </w:t>
      </w:r>
      <w:r w:rsidR="00B274B7">
        <w:rPr>
          <w:i/>
          <w:iCs/>
          <w:sz w:val="22"/>
          <w:szCs w:val="22"/>
        </w:rPr>
        <w:t>Outcome</w:t>
      </w:r>
      <w:r w:rsidR="00B274B7" w:rsidRPr="005816E7">
        <w:rPr>
          <w:i/>
          <w:iCs/>
          <w:sz w:val="22"/>
          <w:szCs w:val="22"/>
        </w:rPr>
        <w:t>s are given as cumulative figures in line with the Fund’s other reporting responsibilities, with in-year figures included in brackets.</w:t>
      </w:r>
    </w:p>
    <w:p w14:paraId="1810BDBE" w14:textId="77777777" w:rsidR="00B32A8B" w:rsidRDefault="00B32A8B" w:rsidP="00E67495">
      <w:pPr>
        <w:pStyle w:val="Normal1"/>
        <w:spacing w:after="120"/>
        <w:jc w:val="both"/>
        <w:rPr>
          <w:sz w:val="22"/>
          <w:szCs w:val="22"/>
        </w:rPr>
      </w:pPr>
    </w:p>
    <w:p w14:paraId="1555306A" w14:textId="3B1F32EB" w:rsidR="00B14405" w:rsidRPr="00E67495" w:rsidRDefault="00B14405" w:rsidP="00E67495">
      <w:pPr>
        <w:pStyle w:val="Normal1"/>
        <w:spacing w:after="120"/>
        <w:jc w:val="both"/>
        <w:rPr>
          <w:sz w:val="22"/>
          <w:szCs w:val="22"/>
        </w:rPr>
        <w:sectPr w:rsidR="00B14405" w:rsidRPr="00E67495" w:rsidSect="00BC22C2">
          <w:headerReference w:type="default" r:id="rId16"/>
          <w:footerReference w:type="default" r:id="rId17"/>
          <w:pgSz w:w="11906" w:h="16838" w:code="9"/>
          <w:pgMar w:top="709" w:right="1440" w:bottom="709" w:left="1440" w:header="284" w:footer="284" w:gutter="0"/>
          <w:cols w:space="708"/>
          <w:docGrid w:linePitch="360"/>
        </w:sectPr>
      </w:pPr>
    </w:p>
    <w:p w14:paraId="7301F853" w14:textId="260D10BC" w:rsidR="00501D1F" w:rsidRPr="00E436B8" w:rsidRDefault="00ED754A" w:rsidP="005E557A">
      <w:pPr>
        <w:rPr>
          <w:rFonts w:eastAsia="Arial" w:cs="Arial"/>
          <w:b/>
          <w:bCs/>
          <w:sz w:val="22"/>
          <w:szCs w:val="22"/>
        </w:rPr>
      </w:pPr>
      <w:r w:rsidRPr="00E436B8">
        <w:rPr>
          <w:rFonts w:eastAsia="Arial" w:cs="Arial"/>
          <w:b/>
          <w:bCs/>
          <w:sz w:val="22"/>
          <w:szCs w:val="22"/>
        </w:rPr>
        <w:lastRenderedPageBreak/>
        <w:t>Outcome Indicator Results Table</w:t>
      </w:r>
    </w:p>
    <w:tbl>
      <w:tblPr>
        <w:tblStyle w:val="TableGrid"/>
        <w:tblpPr w:leftFromText="181" w:rightFromText="181" w:vertAnchor="page" w:horzAnchor="margin" w:tblpXSpec="center" w:tblpY="1424"/>
        <w:tblW w:w="10500" w:type="dxa"/>
        <w:tblLayout w:type="fixed"/>
        <w:tblLook w:val="04A0" w:firstRow="1" w:lastRow="0" w:firstColumn="1" w:lastColumn="0" w:noHBand="0" w:noVBand="1"/>
      </w:tblPr>
      <w:tblGrid>
        <w:gridCol w:w="6956"/>
        <w:gridCol w:w="1843"/>
        <w:gridCol w:w="1701"/>
      </w:tblGrid>
      <w:tr w:rsidR="00095F17" w:rsidRPr="008B73F2" w14:paraId="03C8E085" w14:textId="77777777" w:rsidTr="00095F17">
        <w:trPr>
          <w:trHeight w:val="300"/>
        </w:trPr>
        <w:tc>
          <w:tcPr>
            <w:tcW w:w="6956" w:type="dxa"/>
            <w:shd w:val="clear" w:color="auto" w:fill="D9E2F3" w:themeFill="accent1" w:themeFillTint="33"/>
          </w:tcPr>
          <w:p w14:paraId="544C356A" w14:textId="77777777" w:rsidR="00095F17" w:rsidRPr="008B73F2" w:rsidRDefault="00095F17" w:rsidP="00285896">
            <w:pPr>
              <w:pStyle w:val="Normal1"/>
              <w:spacing w:after="120"/>
              <w:rPr>
                <w:b/>
                <w:bCs/>
                <w:sz w:val="20"/>
                <w:szCs w:val="20"/>
              </w:rPr>
            </w:pPr>
            <w:r w:rsidRPr="008B73F2">
              <w:rPr>
                <w:b/>
                <w:bCs/>
                <w:sz w:val="20"/>
                <w:szCs w:val="20"/>
              </w:rPr>
              <w:t xml:space="preserve">Outcome indicator </w:t>
            </w:r>
            <w:r>
              <w:rPr>
                <w:b/>
                <w:bCs/>
                <w:sz w:val="20"/>
                <w:szCs w:val="20"/>
              </w:rPr>
              <w:t>(cumulative, 2022 change in brackets)</w:t>
            </w:r>
          </w:p>
        </w:tc>
        <w:tc>
          <w:tcPr>
            <w:tcW w:w="1843" w:type="dxa"/>
            <w:shd w:val="clear" w:color="auto" w:fill="D9E2F3" w:themeFill="accent1" w:themeFillTint="33"/>
          </w:tcPr>
          <w:p w14:paraId="0AAA0CEF" w14:textId="77777777" w:rsidR="00095F17" w:rsidRPr="008B73F2" w:rsidRDefault="00095F17" w:rsidP="00285896">
            <w:pPr>
              <w:pStyle w:val="Normal1"/>
              <w:spacing w:after="120"/>
              <w:rPr>
                <w:b/>
                <w:bCs/>
                <w:sz w:val="20"/>
                <w:szCs w:val="20"/>
              </w:rPr>
            </w:pPr>
            <w:r w:rsidRPr="008B73F2">
              <w:rPr>
                <w:b/>
                <w:bCs/>
                <w:sz w:val="20"/>
                <w:szCs w:val="20"/>
              </w:rPr>
              <w:t xml:space="preserve">Defra Target 2022 </w:t>
            </w:r>
            <w:r w:rsidRPr="008B73F2">
              <w:rPr>
                <w:sz w:val="20"/>
                <w:szCs w:val="20"/>
              </w:rPr>
              <w:t>(cumulative fund level)</w:t>
            </w:r>
          </w:p>
        </w:tc>
        <w:tc>
          <w:tcPr>
            <w:tcW w:w="1701" w:type="dxa"/>
            <w:shd w:val="clear" w:color="auto" w:fill="D9E2F3" w:themeFill="accent1" w:themeFillTint="33"/>
          </w:tcPr>
          <w:p w14:paraId="38BEF61B" w14:textId="77777777" w:rsidR="00095F17" w:rsidRPr="008B73F2" w:rsidRDefault="00095F17" w:rsidP="00285896">
            <w:pPr>
              <w:pStyle w:val="Normal1"/>
              <w:spacing w:after="120"/>
              <w:rPr>
                <w:b/>
                <w:bCs/>
                <w:sz w:val="20"/>
                <w:szCs w:val="20"/>
              </w:rPr>
            </w:pPr>
            <w:r w:rsidRPr="008B73F2">
              <w:rPr>
                <w:b/>
                <w:bCs/>
                <w:sz w:val="20"/>
                <w:szCs w:val="20"/>
              </w:rPr>
              <w:t>Achieved 2022</w:t>
            </w:r>
            <w:r w:rsidRPr="008B73F2">
              <w:rPr>
                <w:sz w:val="20"/>
                <w:szCs w:val="20"/>
              </w:rPr>
              <w:t xml:space="preserve"> (cumulative fund level)</w:t>
            </w:r>
          </w:p>
        </w:tc>
      </w:tr>
      <w:tr w:rsidR="00095F17" w:rsidRPr="008B73F2" w14:paraId="2AB50405" w14:textId="77777777" w:rsidTr="00095F17">
        <w:trPr>
          <w:trHeight w:val="304"/>
        </w:trPr>
        <w:tc>
          <w:tcPr>
            <w:tcW w:w="6956" w:type="dxa"/>
          </w:tcPr>
          <w:p w14:paraId="4C59F01C" w14:textId="77777777" w:rsidR="00095F17" w:rsidRPr="008B73F2" w:rsidRDefault="00095F17" w:rsidP="00285896">
            <w:pPr>
              <w:pStyle w:val="Normal1"/>
              <w:spacing w:after="120"/>
              <w:rPr>
                <w:sz w:val="20"/>
                <w:szCs w:val="20"/>
              </w:rPr>
            </w:pPr>
            <w:r w:rsidRPr="008B73F2">
              <w:rPr>
                <w:sz w:val="20"/>
                <w:szCs w:val="20"/>
              </w:rPr>
              <w:t>1.1 Amount of water savings entirely or partly attributable to the intervention of the EBF (million m</w:t>
            </w:r>
            <w:r w:rsidRPr="008B73F2">
              <w:rPr>
                <w:sz w:val="20"/>
                <w:szCs w:val="20"/>
                <w:vertAlign w:val="superscript"/>
              </w:rPr>
              <w:t>3</w:t>
            </w:r>
            <w:r w:rsidRPr="008B73F2">
              <w:rPr>
                <w:sz w:val="20"/>
                <w:szCs w:val="20"/>
              </w:rPr>
              <w:t>)</w:t>
            </w:r>
          </w:p>
        </w:tc>
        <w:tc>
          <w:tcPr>
            <w:tcW w:w="1843" w:type="dxa"/>
          </w:tcPr>
          <w:p w14:paraId="315D38F1" w14:textId="77777777" w:rsidR="00095F17" w:rsidRPr="008B73F2" w:rsidRDefault="00095F17" w:rsidP="00285896">
            <w:pPr>
              <w:pStyle w:val="Normal1"/>
              <w:spacing w:after="120"/>
              <w:rPr>
                <w:sz w:val="20"/>
                <w:szCs w:val="20"/>
              </w:rPr>
            </w:pPr>
            <w:r w:rsidRPr="008B73F2">
              <w:rPr>
                <w:sz w:val="20"/>
                <w:szCs w:val="20"/>
              </w:rPr>
              <w:t>10.5</w:t>
            </w:r>
          </w:p>
        </w:tc>
        <w:tc>
          <w:tcPr>
            <w:tcW w:w="1701" w:type="dxa"/>
            <w:shd w:val="clear" w:color="auto" w:fill="F4B083" w:themeFill="accent2" w:themeFillTint="99"/>
          </w:tcPr>
          <w:p w14:paraId="605E3610" w14:textId="77777777" w:rsidR="00095F17" w:rsidRPr="008B73F2" w:rsidRDefault="00095F17" w:rsidP="00285896">
            <w:pPr>
              <w:pStyle w:val="Normal1"/>
              <w:spacing w:after="120"/>
              <w:rPr>
                <w:sz w:val="20"/>
                <w:szCs w:val="20"/>
              </w:rPr>
            </w:pPr>
            <w:r w:rsidRPr="008B73F2">
              <w:rPr>
                <w:sz w:val="20"/>
                <w:szCs w:val="20"/>
              </w:rPr>
              <w:t xml:space="preserve">5.2 (+0.4) </w:t>
            </w:r>
          </w:p>
        </w:tc>
      </w:tr>
      <w:tr w:rsidR="00095F17" w:rsidRPr="008B73F2" w14:paraId="1B667FE5" w14:textId="77777777" w:rsidTr="00095F17">
        <w:trPr>
          <w:trHeight w:val="305"/>
        </w:trPr>
        <w:tc>
          <w:tcPr>
            <w:tcW w:w="6956" w:type="dxa"/>
          </w:tcPr>
          <w:p w14:paraId="7D68009D" w14:textId="77777777" w:rsidR="00095F17" w:rsidRPr="008B73F2" w:rsidRDefault="00095F17" w:rsidP="00285896">
            <w:pPr>
              <w:pStyle w:val="Normal1"/>
              <w:spacing w:after="120"/>
              <w:rPr>
                <w:sz w:val="20"/>
                <w:szCs w:val="20"/>
              </w:rPr>
            </w:pPr>
            <w:r w:rsidRPr="008B73F2">
              <w:rPr>
                <w:sz w:val="20"/>
                <w:szCs w:val="20"/>
              </w:rPr>
              <w:t>1.2 Level of funding provided by FIs to businesses that adopt sustainable practices ($m)</w:t>
            </w:r>
          </w:p>
        </w:tc>
        <w:tc>
          <w:tcPr>
            <w:tcW w:w="1843" w:type="dxa"/>
          </w:tcPr>
          <w:p w14:paraId="19EC8E35" w14:textId="77777777" w:rsidR="00095F17" w:rsidRPr="008B73F2" w:rsidRDefault="00095F17" w:rsidP="00285896">
            <w:pPr>
              <w:pStyle w:val="Normal1"/>
              <w:spacing w:after="120"/>
              <w:rPr>
                <w:sz w:val="20"/>
                <w:szCs w:val="20"/>
              </w:rPr>
            </w:pPr>
            <w:r w:rsidRPr="008B73F2">
              <w:rPr>
                <w:sz w:val="20"/>
                <w:szCs w:val="20"/>
              </w:rPr>
              <w:t>1400</w:t>
            </w:r>
          </w:p>
        </w:tc>
        <w:tc>
          <w:tcPr>
            <w:tcW w:w="1701" w:type="dxa"/>
            <w:shd w:val="clear" w:color="auto" w:fill="A8D08D" w:themeFill="accent6" w:themeFillTint="99"/>
          </w:tcPr>
          <w:p w14:paraId="231854CF" w14:textId="77777777" w:rsidR="00095F17" w:rsidRPr="008B73F2" w:rsidRDefault="00095F17" w:rsidP="00285896">
            <w:pPr>
              <w:pStyle w:val="Normal1"/>
              <w:spacing w:after="120"/>
              <w:rPr>
                <w:sz w:val="20"/>
                <w:szCs w:val="20"/>
              </w:rPr>
            </w:pPr>
            <w:r w:rsidRPr="008B73F2">
              <w:rPr>
                <w:sz w:val="20"/>
                <w:szCs w:val="20"/>
              </w:rPr>
              <w:t>3,430 (+857)</w:t>
            </w:r>
          </w:p>
        </w:tc>
      </w:tr>
      <w:tr w:rsidR="00095F17" w:rsidRPr="008B73F2" w14:paraId="22F9BF95" w14:textId="77777777" w:rsidTr="00095F17">
        <w:trPr>
          <w:trHeight w:val="221"/>
        </w:trPr>
        <w:tc>
          <w:tcPr>
            <w:tcW w:w="6956" w:type="dxa"/>
          </w:tcPr>
          <w:p w14:paraId="464522A6" w14:textId="77777777" w:rsidR="00095F17" w:rsidRPr="008B73F2" w:rsidRDefault="00095F17" w:rsidP="00285896">
            <w:pPr>
              <w:pStyle w:val="Normal1"/>
              <w:spacing w:after="120"/>
              <w:rPr>
                <w:sz w:val="20"/>
                <w:szCs w:val="20"/>
              </w:rPr>
            </w:pPr>
            <w:r w:rsidRPr="008B73F2">
              <w:rPr>
                <w:sz w:val="20"/>
                <w:szCs w:val="20"/>
              </w:rPr>
              <w:t>1.3 Land sustainably managed through the EBF's portfolio (Ha)</w:t>
            </w:r>
          </w:p>
        </w:tc>
        <w:tc>
          <w:tcPr>
            <w:tcW w:w="1843" w:type="dxa"/>
          </w:tcPr>
          <w:p w14:paraId="654F0575" w14:textId="77777777" w:rsidR="00095F17" w:rsidRPr="008B73F2" w:rsidRDefault="00095F17" w:rsidP="00285896">
            <w:pPr>
              <w:pStyle w:val="Normal1"/>
              <w:spacing w:after="120"/>
              <w:rPr>
                <w:sz w:val="20"/>
                <w:szCs w:val="20"/>
              </w:rPr>
            </w:pPr>
            <w:r w:rsidRPr="008B73F2">
              <w:rPr>
                <w:sz w:val="20"/>
                <w:szCs w:val="20"/>
              </w:rPr>
              <w:t>350,000</w:t>
            </w:r>
          </w:p>
        </w:tc>
        <w:tc>
          <w:tcPr>
            <w:tcW w:w="1701" w:type="dxa"/>
            <w:shd w:val="clear" w:color="auto" w:fill="A8D08D" w:themeFill="accent6" w:themeFillTint="99"/>
          </w:tcPr>
          <w:p w14:paraId="23913A77" w14:textId="77777777" w:rsidR="00095F17" w:rsidRPr="008B73F2" w:rsidRDefault="00095F17" w:rsidP="00285896">
            <w:pPr>
              <w:pStyle w:val="Normal1"/>
              <w:spacing w:after="120"/>
              <w:rPr>
                <w:sz w:val="20"/>
                <w:szCs w:val="20"/>
              </w:rPr>
            </w:pPr>
            <w:r w:rsidRPr="008B73F2">
              <w:rPr>
                <w:sz w:val="20"/>
                <w:szCs w:val="20"/>
              </w:rPr>
              <w:t>970,000 (+115,000)</w:t>
            </w:r>
          </w:p>
        </w:tc>
      </w:tr>
      <w:tr w:rsidR="00095F17" w:rsidRPr="008B73F2" w14:paraId="5FD987CF" w14:textId="77777777" w:rsidTr="00095F17">
        <w:trPr>
          <w:trHeight w:val="304"/>
        </w:trPr>
        <w:tc>
          <w:tcPr>
            <w:tcW w:w="6956" w:type="dxa"/>
          </w:tcPr>
          <w:p w14:paraId="62378D98" w14:textId="77777777" w:rsidR="00095F17" w:rsidRPr="00E348D9" w:rsidRDefault="00095F17" w:rsidP="00285896">
            <w:pPr>
              <w:pStyle w:val="Normal1"/>
              <w:spacing w:after="120"/>
              <w:rPr>
                <w:sz w:val="20"/>
                <w:szCs w:val="20"/>
              </w:rPr>
            </w:pPr>
            <w:r w:rsidRPr="00E348D9">
              <w:rPr>
                <w:sz w:val="20"/>
                <w:szCs w:val="20"/>
              </w:rPr>
              <w:t>1.4 Land held by sub-borrowers committed to deforestation-free activities in EBF portfolio (Ha)</w:t>
            </w:r>
          </w:p>
        </w:tc>
        <w:tc>
          <w:tcPr>
            <w:tcW w:w="1843" w:type="dxa"/>
          </w:tcPr>
          <w:p w14:paraId="083FF197" w14:textId="77777777" w:rsidR="00095F17" w:rsidRPr="008B73F2" w:rsidRDefault="00095F17" w:rsidP="00285896">
            <w:pPr>
              <w:pStyle w:val="Normal1"/>
              <w:spacing w:after="120"/>
              <w:rPr>
                <w:sz w:val="20"/>
                <w:szCs w:val="20"/>
              </w:rPr>
            </w:pPr>
            <w:r w:rsidRPr="008B73F2">
              <w:rPr>
                <w:sz w:val="20"/>
                <w:szCs w:val="20"/>
              </w:rPr>
              <w:t>280,000</w:t>
            </w:r>
          </w:p>
        </w:tc>
        <w:tc>
          <w:tcPr>
            <w:tcW w:w="1701" w:type="dxa"/>
            <w:shd w:val="clear" w:color="auto" w:fill="A8D08D" w:themeFill="accent6" w:themeFillTint="99"/>
          </w:tcPr>
          <w:p w14:paraId="1823DA84" w14:textId="77777777" w:rsidR="00095F17" w:rsidRPr="008B73F2" w:rsidRDefault="00095F17" w:rsidP="00285896">
            <w:pPr>
              <w:pStyle w:val="Normal1"/>
              <w:spacing w:after="120"/>
              <w:rPr>
                <w:sz w:val="20"/>
                <w:szCs w:val="20"/>
              </w:rPr>
            </w:pPr>
            <w:r w:rsidRPr="008B73F2">
              <w:rPr>
                <w:sz w:val="20"/>
                <w:szCs w:val="20"/>
              </w:rPr>
              <w:t>438,000 (+61,000)</w:t>
            </w:r>
          </w:p>
        </w:tc>
      </w:tr>
      <w:tr w:rsidR="00095F17" w:rsidRPr="008B73F2" w14:paraId="5B428347" w14:textId="77777777" w:rsidTr="006A2595">
        <w:trPr>
          <w:trHeight w:val="393"/>
        </w:trPr>
        <w:tc>
          <w:tcPr>
            <w:tcW w:w="6956" w:type="dxa"/>
          </w:tcPr>
          <w:p w14:paraId="373BE984" w14:textId="77777777" w:rsidR="00095F17" w:rsidRPr="008B73F2" w:rsidRDefault="00095F17" w:rsidP="00285896">
            <w:pPr>
              <w:pStyle w:val="Normal1"/>
              <w:spacing w:after="120"/>
              <w:rPr>
                <w:sz w:val="20"/>
                <w:szCs w:val="20"/>
              </w:rPr>
            </w:pPr>
            <w:r w:rsidRPr="008B73F2">
              <w:rPr>
                <w:sz w:val="20"/>
                <w:szCs w:val="20"/>
              </w:rPr>
              <w:t xml:space="preserve">1.5 ICF KPI 12: Volume of private finance mobilised for climate change purposes </w:t>
            </w:r>
            <w:proofErr w:type="gramStart"/>
            <w:r w:rsidRPr="008B73F2">
              <w:rPr>
                <w:sz w:val="20"/>
                <w:szCs w:val="20"/>
              </w:rPr>
              <w:t>as a result of</w:t>
            </w:r>
            <w:proofErr w:type="gramEnd"/>
            <w:r w:rsidRPr="008B73F2">
              <w:rPr>
                <w:sz w:val="20"/>
                <w:szCs w:val="20"/>
              </w:rPr>
              <w:t xml:space="preserve"> ICF funding ($m)</w:t>
            </w:r>
          </w:p>
        </w:tc>
        <w:tc>
          <w:tcPr>
            <w:tcW w:w="1843" w:type="dxa"/>
          </w:tcPr>
          <w:p w14:paraId="107A3437" w14:textId="1C9AD3E0" w:rsidR="00095F17" w:rsidRPr="008B73F2" w:rsidRDefault="006A2595" w:rsidP="00285896">
            <w:pPr>
              <w:pStyle w:val="Normal1"/>
              <w:spacing w:after="120"/>
              <w:rPr>
                <w:sz w:val="20"/>
                <w:szCs w:val="20"/>
              </w:rPr>
            </w:pPr>
            <w:r>
              <w:rPr>
                <w:sz w:val="20"/>
                <w:szCs w:val="20"/>
              </w:rPr>
              <w:t>n/a</w:t>
            </w:r>
          </w:p>
        </w:tc>
        <w:tc>
          <w:tcPr>
            <w:tcW w:w="1701" w:type="dxa"/>
            <w:shd w:val="clear" w:color="auto" w:fill="A8D08D" w:themeFill="accent6" w:themeFillTint="99"/>
          </w:tcPr>
          <w:p w14:paraId="3B31CB7E" w14:textId="55748C76" w:rsidR="00095F17" w:rsidRPr="008B73F2" w:rsidRDefault="006A2595" w:rsidP="00285896">
            <w:pPr>
              <w:pStyle w:val="Normal1"/>
              <w:spacing w:after="120"/>
              <w:rPr>
                <w:sz w:val="20"/>
                <w:szCs w:val="20"/>
              </w:rPr>
            </w:pPr>
            <w:r>
              <w:rPr>
                <w:sz w:val="20"/>
                <w:szCs w:val="20"/>
              </w:rPr>
              <w:t>n/a</w:t>
            </w:r>
          </w:p>
        </w:tc>
      </w:tr>
      <w:tr w:rsidR="00095F17" w:rsidRPr="008B73F2" w14:paraId="077FFB1C" w14:textId="77777777" w:rsidTr="006A2595">
        <w:trPr>
          <w:trHeight w:val="393"/>
        </w:trPr>
        <w:tc>
          <w:tcPr>
            <w:tcW w:w="6956" w:type="dxa"/>
          </w:tcPr>
          <w:p w14:paraId="21B323EC" w14:textId="77777777" w:rsidR="00095F17" w:rsidRPr="008B73F2" w:rsidRDefault="00095F17" w:rsidP="00285896">
            <w:pPr>
              <w:pStyle w:val="Normal1"/>
              <w:spacing w:after="120"/>
              <w:rPr>
                <w:sz w:val="20"/>
                <w:szCs w:val="20"/>
              </w:rPr>
            </w:pPr>
            <w:r w:rsidRPr="008B73F2">
              <w:rPr>
                <w:sz w:val="20"/>
                <w:szCs w:val="20"/>
              </w:rPr>
              <w:t xml:space="preserve">1.6 ICF KPI 11: Volume of public finance mobilised for climate change purposes </w:t>
            </w:r>
            <w:proofErr w:type="gramStart"/>
            <w:r w:rsidRPr="008B73F2">
              <w:rPr>
                <w:sz w:val="20"/>
                <w:szCs w:val="20"/>
              </w:rPr>
              <w:t>as a result of</w:t>
            </w:r>
            <w:proofErr w:type="gramEnd"/>
            <w:r w:rsidRPr="008B73F2">
              <w:rPr>
                <w:sz w:val="20"/>
                <w:szCs w:val="20"/>
              </w:rPr>
              <w:t xml:space="preserve"> ICF funding ($m)</w:t>
            </w:r>
          </w:p>
        </w:tc>
        <w:tc>
          <w:tcPr>
            <w:tcW w:w="1843" w:type="dxa"/>
          </w:tcPr>
          <w:p w14:paraId="7075D086" w14:textId="16ABF5A7" w:rsidR="00095F17" w:rsidRPr="008B73F2" w:rsidRDefault="006A2595" w:rsidP="00285896">
            <w:pPr>
              <w:pStyle w:val="Normal1"/>
              <w:spacing w:after="120"/>
              <w:rPr>
                <w:sz w:val="20"/>
                <w:szCs w:val="20"/>
              </w:rPr>
            </w:pPr>
            <w:r>
              <w:rPr>
                <w:sz w:val="20"/>
                <w:szCs w:val="20"/>
              </w:rPr>
              <w:t>n/a</w:t>
            </w:r>
          </w:p>
        </w:tc>
        <w:tc>
          <w:tcPr>
            <w:tcW w:w="1701" w:type="dxa"/>
            <w:shd w:val="clear" w:color="auto" w:fill="A8D08D" w:themeFill="accent6" w:themeFillTint="99"/>
          </w:tcPr>
          <w:p w14:paraId="72CDA2EE" w14:textId="60B7750B" w:rsidR="00095F17" w:rsidRPr="008B73F2" w:rsidRDefault="006A2595" w:rsidP="00285896">
            <w:pPr>
              <w:pStyle w:val="Normal1"/>
              <w:spacing w:after="120"/>
              <w:rPr>
                <w:sz w:val="20"/>
                <w:szCs w:val="20"/>
              </w:rPr>
            </w:pPr>
            <w:r>
              <w:rPr>
                <w:sz w:val="20"/>
                <w:szCs w:val="20"/>
              </w:rPr>
              <w:t>n/a</w:t>
            </w:r>
          </w:p>
        </w:tc>
      </w:tr>
      <w:tr w:rsidR="00095F17" w:rsidRPr="008B73F2" w14:paraId="21C53CE5" w14:textId="77777777" w:rsidTr="00095F17">
        <w:trPr>
          <w:trHeight w:val="304"/>
        </w:trPr>
        <w:tc>
          <w:tcPr>
            <w:tcW w:w="6956" w:type="dxa"/>
          </w:tcPr>
          <w:p w14:paraId="53D12881" w14:textId="77777777" w:rsidR="00095F17" w:rsidRPr="008B73F2" w:rsidRDefault="00095F17" w:rsidP="00285896">
            <w:pPr>
              <w:pStyle w:val="Normal1"/>
              <w:spacing w:after="120"/>
              <w:rPr>
                <w:sz w:val="20"/>
                <w:szCs w:val="20"/>
              </w:rPr>
            </w:pPr>
            <w:r w:rsidRPr="008B73F2">
              <w:rPr>
                <w:sz w:val="20"/>
                <w:szCs w:val="20"/>
              </w:rPr>
              <w:t xml:space="preserve">1.7 Number of jobs supported by sub-borrowers </w:t>
            </w:r>
            <w:proofErr w:type="gramStart"/>
            <w:r w:rsidRPr="008B73F2">
              <w:rPr>
                <w:sz w:val="20"/>
                <w:szCs w:val="20"/>
              </w:rPr>
              <w:t>as a result of</w:t>
            </w:r>
            <w:proofErr w:type="gramEnd"/>
            <w:r w:rsidRPr="008B73F2">
              <w:rPr>
                <w:sz w:val="20"/>
                <w:szCs w:val="20"/>
              </w:rPr>
              <w:t xml:space="preserve"> EBF support</w:t>
            </w:r>
          </w:p>
        </w:tc>
        <w:tc>
          <w:tcPr>
            <w:tcW w:w="1843" w:type="dxa"/>
          </w:tcPr>
          <w:p w14:paraId="1A0BB3B5" w14:textId="77777777" w:rsidR="00095F17" w:rsidRPr="008B73F2" w:rsidRDefault="00095F17" w:rsidP="00285896">
            <w:pPr>
              <w:pStyle w:val="Normal1"/>
              <w:spacing w:after="120"/>
              <w:rPr>
                <w:sz w:val="20"/>
                <w:szCs w:val="20"/>
              </w:rPr>
            </w:pPr>
            <w:r w:rsidRPr="008B73F2">
              <w:rPr>
                <w:sz w:val="20"/>
                <w:szCs w:val="20"/>
              </w:rPr>
              <w:t>500,000</w:t>
            </w:r>
          </w:p>
        </w:tc>
        <w:tc>
          <w:tcPr>
            <w:tcW w:w="1701" w:type="dxa"/>
            <w:shd w:val="clear" w:color="auto" w:fill="A8D08D" w:themeFill="accent6" w:themeFillTint="99"/>
          </w:tcPr>
          <w:p w14:paraId="4DF9EE3C" w14:textId="77777777" w:rsidR="00095F17" w:rsidRPr="008B73F2" w:rsidRDefault="00095F17" w:rsidP="00285896">
            <w:pPr>
              <w:pStyle w:val="Normal1"/>
              <w:spacing w:after="120"/>
              <w:rPr>
                <w:sz w:val="20"/>
                <w:szCs w:val="20"/>
              </w:rPr>
            </w:pPr>
            <w:r w:rsidRPr="008B73F2">
              <w:rPr>
                <w:sz w:val="20"/>
                <w:szCs w:val="20"/>
              </w:rPr>
              <w:t>660,000 (+35,000)</w:t>
            </w:r>
          </w:p>
        </w:tc>
      </w:tr>
      <w:tr w:rsidR="00095F17" w:rsidRPr="008B73F2" w14:paraId="73061C9D" w14:textId="77777777" w:rsidTr="00095F17">
        <w:trPr>
          <w:trHeight w:val="418"/>
        </w:trPr>
        <w:tc>
          <w:tcPr>
            <w:tcW w:w="6956" w:type="dxa"/>
          </w:tcPr>
          <w:p w14:paraId="26BDD564" w14:textId="77777777" w:rsidR="00095F17" w:rsidRPr="008B73F2" w:rsidRDefault="00095F17" w:rsidP="00285896">
            <w:pPr>
              <w:pStyle w:val="Normal1"/>
              <w:spacing w:after="120"/>
              <w:rPr>
                <w:sz w:val="20"/>
                <w:szCs w:val="20"/>
              </w:rPr>
            </w:pPr>
            <w:r w:rsidRPr="008B73F2">
              <w:rPr>
                <w:sz w:val="20"/>
                <w:szCs w:val="20"/>
              </w:rPr>
              <w:t>1.8 ICF KPI 6: Net CO</w:t>
            </w:r>
            <w:r w:rsidRPr="008B73F2">
              <w:rPr>
                <w:sz w:val="20"/>
                <w:szCs w:val="20"/>
                <w:vertAlign w:val="subscript"/>
              </w:rPr>
              <w:t>2</w:t>
            </w:r>
            <w:r w:rsidRPr="008B73F2">
              <w:rPr>
                <w:sz w:val="20"/>
                <w:szCs w:val="20"/>
                <w:vertAlign w:val="superscript"/>
              </w:rPr>
              <w:t xml:space="preserve"> </w:t>
            </w:r>
            <w:r w:rsidRPr="008B73F2">
              <w:rPr>
                <w:sz w:val="20"/>
                <w:szCs w:val="20"/>
              </w:rPr>
              <w:t xml:space="preserve">storage </w:t>
            </w:r>
            <w:proofErr w:type="gramStart"/>
            <w:r w:rsidRPr="008B73F2">
              <w:rPr>
                <w:sz w:val="20"/>
                <w:szCs w:val="20"/>
              </w:rPr>
              <w:t>as a result of</w:t>
            </w:r>
            <w:proofErr w:type="gramEnd"/>
            <w:r w:rsidRPr="008B73F2">
              <w:rPr>
                <w:sz w:val="20"/>
                <w:szCs w:val="20"/>
              </w:rPr>
              <w:t xml:space="preserve"> EBF support to agroforestry (tonnes)</w:t>
            </w:r>
          </w:p>
        </w:tc>
        <w:tc>
          <w:tcPr>
            <w:tcW w:w="1843" w:type="dxa"/>
          </w:tcPr>
          <w:p w14:paraId="5BB02525" w14:textId="77777777" w:rsidR="00095F17" w:rsidRPr="008B73F2" w:rsidRDefault="00095F17" w:rsidP="00285896">
            <w:pPr>
              <w:pStyle w:val="Normal1"/>
              <w:spacing w:after="120"/>
              <w:rPr>
                <w:sz w:val="20"/>
                <w:szCs w:val="20"/>
              </w:rPr>
            </w:pPr>
            <w:r w:rsidRPr="008B73F2">
              <w:rPr>
                <w:sz w:val="20"/>
                <w:szCs w:val="20"/>
              </w:rPr>
              <w:t>1,500,000</w:t>
            </w:r>
          </w:p>
        </w:tc>
        <w:tc>
          <w:tcPr>
            <w:tcW w:w="1701" w:type="dxa"/>
            <w:shd w:val="clear" w:color="auto" w:fill="A8D08D" w:themeFill="accent6" w:themeFillTint="99"/>
          </w:tcPr>
          <w:p w14:paraId="0F8DED66" w14:textId="77777777" w:rsidR="00095F17" w:rsidRPr="008B73F2" w:rsidRDefault="00095F17" w:rsidP="00285896">
            <w:pPr>
              <w:pStyle w:val="Normal1"/>
              <w:spacing w:after="120"/>
              <w:rPr>
                <w:sz w:val="20"/>
                <w:szCs w:val="20"/>
              </w:rPr>
            </w:pPr>
            <w:r w:rsidRPr="008B73F2">
              <w:rPr>
                <w:sz w:val="20"/>
                <w:szCs w:val="20"/>
              </w:rPr>
              <w:t>3,644,000 (+244,000)</w:t>
            </w:r>
          </w:p>
        </w:tc>
      </w:tr>
      <w:tr w:rsidR="00095F17" w:rsidRPr="008B73F2" w14:paraId="210C5CD1" w14:textId="77777777" w:rsidTr="00095F17">
        <w:trPr>
          <w:trHeight w:val="300"/>
        </w:trPr>
        <w:tc>
          <w:tcPr>
            <w:tcW w:w="6956" w:type="dxa"/>
          </w:tcPr>
          <w:p w14:paraId="4C8498DD" w14:textId="77777777" w:rsidR="00095F17" w:rsidRPr="008B73F2" w:rsidRDefault="00095F17" w:rsidP="00285896">
            <w:pPr>
              <w:pStyle w:val="Normal1"/>
              <w:spacing w:after="120"/>
              <w:rPr>
                <w:sz w:val="20"/>
                <w:szCs w:val="20"/>
              </w:rPr>
            </w:pPr>
            <w:r w:rsidRPr="008B73F2">
              <w:rPr>
                <w:sz w:val="20"/>
                <w:szCs w:val="20"/>
              </w:rPr>
              <w:t>2.1 Number of sub-borrowers supported by EBF’s PIs to incorporate sustainable practices</w:t>
            </w:r>
          </w:p>
        </w:tc>
        <w:tc>
          <w:tcPr>
            <w:tcW w:w="1843" w:type="dxa"/>
          </w:tcPr>
          <w:p w14:paraId="15E92A6F" w14:textId="6DC7DF4A" w:rsidR="00095F17" w:rsidRPr="008B73F2" w:rsidRDefault="006A2595" w:rsidP="00285896">
            <w:pPr>
              <w:pStyle w:val="Normal1"/>
              <w:spacing w:after="120"/>
              <w:rPr>
                <w:sz w:val="20"/>
                <w:szCs w:val="20"/>
              </w:rPr>
            </w:pPr>
            <w:r>
              <w:rPr>
                <w:sz w:val="20"/>
                <w:szCs w:val="20"/>
              </w:rPr>
              <w:t>n/a</w:t>
            </w:r>
          </w:p>
        </w:tc>
        <w:tc>
          <w:tcPr>
            <w:tcW w:w="1701" w:type="dxa"/>
            <w:shd w:val="clear" w:color="auto" w:fill="A8D08D" w:themeFill="accent6" w:themeFillTint="99"/>
          </w:tcPr>
          <w:p w14:paraId="2D0D9721" w14:textId="302D5AA8" w:rsidR="00095F17" w:rsidRPr="008B73F2" w:rsidRDefault="006A2595" w:rsidP="00285896">
            <w:pPr>
              <w:pStyle w:val="Normal1"/>
              <w:spacing w:after="120"/>
              <w:rPr>
                <w:sz w:val="20"/>
                <w:szCs w:val="20"/>
              </w:rPr>
            </w:pPr>
            <w:r>
              <w:rPr>
                <w:sz w:val="20"/>
                <w:szCs w:val="20"/>
              </w:rPr>
              <w:t>n/a</w:t>
            </w:r>
          </w:p>
        </w:tc>
      </w:tr>
      <w:tr w:rsidR="00095F17" w:rsidRPr="008B73F2" w14:paraId="3265A3B2" w14:textId="77777777" w:rsidTr="00095F17">
        <w:trPr>
          <w:trHeight w:val="300"/>
        </w:trPr>
        <w:tc>
          <w:tcPr>
            <w:tcW w:w="6956" w:type="dxa"/>
          </w:tcPr>
          <w:p w14:paraId="725188C7" w14:textId="77777777" w:rsidR="00095F17" w:rsidRPr="008B73F2" w:rsidRDefault="00095F17" w:rsidP="00285896">
            <w:pPr>
              <w:pStyle w:val="Normal1"/>
              <w:spacing w:after="120"/>
              <w:rPr>
                <w:sz w:val="20"/>
                <w:szCs w:val="20"/>
              </w:rPr>
            </w:pPr>
            <w:r w:rsidRPr="008B73F2">
              <w:rPr>
                <w:sz w:val="20"/>
                <w:szCs w:val="20"/>
              </w:rPr>
              <w:t>2.2 Number of individuals reached through conferences and events</w:t>
            </w:r>
          </w:p>
        </w:tc>
        <w:tc>
          <w:tcPr>
            <w:tcW w:w="1843" w:type="dxa"/>
          </w:tcPr>
          <w:p w14:paraId="3CF925BE" w14:textId="77777777" w:rsidR="00095F17" w:rsidRPr="008B73F2" w:rsidRDefault="00095F17" w:rsidP="00285896">
            <w:pPr>
              <w:pStyle w:val="Normal1"/>
              <w:spacing w:after="120"/>
              <w:rPr>
                <w:sz w:val="20"/>
                <w:szCs w:val="20"/>
              </w:rPr>
            </w:pPr>
            <w:r w:rsidRPr="008B73F2">
              <w:rPr>
                <w:sz w:val="20"/>
                <w:szCs w:val="20"/>
              </w:rPr>
              <w:t>n/a</w:t>
            </w:r>
          </w:p>
        </w:tc>
        <w:tc>
          <w:tcPr>
            <w:tcW w:w="1701" w:type="dxa"/>
            <w:shd w:val="clear" w:color="auto" w:fill="A8D08D" w:themeFill="accent6" w:themeFillTint="99"/>
          </w:tcPr>
          <w:p w14:paraId="3D29AFC8" w14:textId="77777777" w:rsidR="00095F17" w:rsidRPr="008B73F2" w:rsidRDefault="00095F17" w:rsidP="00285896">
            <w:pPr>
              <w:pStyle w:val="Normal1"/>
              <w:spacing w:after="120"/>
              <w:rPr>
                <w:sz w:val="20"/>
                <w:szCs w:val="20"/>
              </w:rPr>
            </w:pPr>
            <w:r w:rsidRPr="008B73F2">
              <w:rPr>
                <w:sz w:val="20"/>
                <w:szCs w:val="20"/>
              </w:rPr>
              <w:t>418,000 (new)</w:t>
            </w:r>
          </w:p>
        </w:tc>
      </w:tr>
      <w:tr w:rsidR="00095F17" w:rsidRPr="008B73F2" w14:paraId="0846A762" w14:textId="77777777" w:rsidTr="00095F17">
        <w:trPr>
          <w:trHeight w:val="300"/>
        </w:trPr>
        <w:tc>
          <w:tcPr>
            <w:tcW w:w="6956" w:type="dxa"/>
          </w:tcPr>
          <w:p w14:paraId="0045C095" w14:textId="77777777" w:rsidR="00095F17" w:rsidRPr="008B73F2" w:rsidRDefault="00095F17" w:rsidP="00285896">
            <w:pPr>
              <w:pStyle w:val="Normal1"/>
              <w:spacing w:after="120"/>
              <w:rPr>
                <w:sz w:val="20"/>
                <w:szCs w:val="20"/>
              </w:rPr>
            </w:pPr>
            <w:r w:rsidRPr="008B73F2">
              <w:rPr>
                <w:sz w:val="20"/>
                <w:szCs w:val="20"/>
              </w:rPr>
              <w:t>2.3 Individuals benefitting from Technical Assistance (M/F)</w:t>
            </w:r>
          </w:p>
        </w:tc>
        <w:tc>
          <w:tcPr>
            <w:tcW w:w="1843" w:type="dxa"/>
          </w:tcPr>
          <w:p w14:paraId="0EF9C13D" w14:textId="77777777" w:rsidR="00095F17" w:rsidRPr="008B73F2" w:rsidRDefault="00095F17" w:rsidP="00285896">
            <w:pPr>
              <w:pStyle w:val="Normal1"/>
              <w:spacing w:after="120"/>
              <w:rPr>
                <w:sz w:val="20"/>
                <w:szCs w:val="20"/>
              </w:rPr>
            </w:pPr>
            <w:r w:rsidRPr="008B73F2">
              <w:rPr>
                <w:sz w:val="20"/>
                <w:szCs w:val="20"/>
              </w:rPr>
              <w:t>n/a</w:t>
            </w:r>
          </w:p>
        </w:tc>
        <w:tc>
          <w:tcPr>
            <w:tcW w:w="1701" w:type="dxa"/>
            <w:shd w:val="clear" w:color="auto" w:fill="A8D08D" w:themeFill="accent6" w:themeFillTint="99"/>
          </w:tcPr>
          <w:p w14:paraId="1E7701FA" w14:textId="77777777" w:rsidR="00095F17" w:rsidRPr="008B73F2" w:rsidRDefault="00095F17" w:rsidP="00285896">
            <w:pPr>
              <w:pStyle w:val="Normal1"/>
              <w:rPr>
                <w:sz w:val="20"/>
                <w:szCs w:val="20"/>
              </w:rPr>
            </w:pPr>
            <w:r w:rsidRPr="008B73F2">
              <w:rPr>
                <w:sz w:val="20"/>
                <w:szCs w:val="20"/>
              </w:rPr>
              <w:t>M: 3204 (new)</w:t>
            </w:r>
          </w:p>
          <w:p w14:paraId="56939A3C" w14:textId="77777777" w:rsidR="00095F17" w:rsidRPr="008B73F2" w:rsidRDefault="00095F17" w:rsidP="00285896">
            <w:pPr>
              <w:pStyle w:val="Normal1"/>
              <w:rPr>
                <w:sz w:val="20"/>
                <w:szCs w:val="20"/>
              </w:rPr>
            </w:pPr>
            <w:r w:rsidRPr="008B73F2">
              <w:rPr>
                <w:sz w:val="20"/>
                <w:szCs w:val="20"/>
              </w:rPr>
              <w:t>F:3644</w:t>
            </w:r>
          </w:p>
        </w:tc>
      </w:tr>
      <w:tr w:rsidR="00095F17" w:rsidRPr="008B73F2" w14:paraId="2DEABC5D" w14:textId="77777777" w:rsidTr="00095F17">
        <w:trPr>
          <w:trHeight w:val="300"/>
        </w:trPr>
        <w:tc>
          <w:tcPr>
            <w:tcW w:w="6956" w:type="dxa"/>
          </w:tcPr>
          <w:p w14:paraId="199009E2" w14:textId="77777777" w:rsidR="00095F17" w:rsidRPr="008B73F2" w:rsidRDefault="00095F17" w:rsidP="00285896">
            <w:pPr>
              <w:pStyle w:val="Normal1"/>
              <w:spacing w:after="120"/>
              <w:rPr>
                <w:sz w:val="20"/>
                <w:szCs w:val="20"/>
              </w:rPr>
            </w:pPr>
            <w:r w:rsidRPr="008B73F2">
              <w:rPr>
                <w:sz w:val="20"/>
                <w:szCs w:val="20"/>
              </w:rPr>
              <w:t xml:space="preserve">2.4 Percentage of women employed by PIs: a) overall; b) management; c) Board </w:t>
            </w:r>
          </w:p>
        </w:tc>
        <w:tc>
          <w:tcPr>
            <w:tcW w:w="1843" w:type="dxa"/>
          </w:tcPr>
          <w:p w14:paraId="45D7EE2E" w14:textId="77777777" w:rsidR="00095F17" w:rsidRPr="008B73F2" w:rsidRDefault="00095F17" w:rsidP="00285896">
            <w:pPr>
              <w:pStyle w:val="Normal1"/>
              <w:spacing w:after="120"/>
              <w:rPr>
                <w:sz w:val="20"/>
                <w:szCs w:val="20"/>
              </w:rPr>
            </w:pPr>
            <w:r w:rsidRPr="008B73F2">
              <w:rPr>
                <w:sz w:val="20"/>
                <w:szCs w:val="20"/>
              </w:rPr>
              <w:t>n/a</w:t>
            </w:r>
          </w:p>
        </w:tc>
        <w:tc>
          <w:tcPr>
            <w:tcW w:w="1701" w:type="dxa"/>
            <w:shd w:val="clear" w:color="auto" w:fill="A8D08D" w:themeFill="accent6" w:themeFillTint="99"/>
          </w:tcPr>
          <w:p w14:paraId="07D934B4" w14:textId="77777777" w:rsidR="00095F17" w:rsidRPr="008B73F2" w:rsidRDefault="00095F17" w:rsidP="00285896">
            <w:pPr>
              <w:pStyle w:val="Normal1"/>
              <w:spacing w:after="120"/>
              <w:rPr>
                <w:sz w:val="20"/>
                <w:szCs w:val="20"/>
              </w:rPr>
            </w:pPr>
            <w:r w:rsidRPr="008B73F2">
              <w:rPr>
                <w:sz w:val="20"/>
                <w:szCs w:val="20"/>
              </w:rPr>
              <w:t>a) 56%; b) 39%; c) 18% (new)</w:t>
            </w:r>
          </w:p>
        </w:tc>
      </w:tr>
    </w:tbl>
    <w:p w14:paraId="7FBD042C" w14:textId="77777777" w:rsidR="00D96C8A" w:rsidRDefault="00D96C8A" w:rsidP="005E557A">
      <w:pPr>
        <w:rPr>
          <w:rFonts w:eastAsia="Arial" w:cs="Arial"/>
          <w:b/>
          <w:bCs/>
          <w:sz w:val="22"/>
          <w:szCs w:val="22"/>
        </w:rPr>
      </w:pPr>
    </w:p>
    <w:p w14:paraId="586B19CB" w14:textId="77777777" w:rsidR="00D96C8A" w:rsidRDefault="00D96C8A" w:rsidP="005E557A">
      <w:pPr>
        <w:rPr>
          <w:rFonts w:eastAsia="Arial" w:cs="Arial"/>
          <w:b/>
          <w:bCs/>
          <w:sz w:val="22"/>
          <w:szCs w:val="22"/>
        </w:rPr>
      </w:pPr>
    </w:p>
    <w:p w14:paraId="797DE76C" w14:textId="0F1B77E2" w:rsidR="00684A27" w:rsidRPr="00684A27" w:rsidRDefault="00684A27" w:rsidP="005E557A">
      <w:pPr>
        <w:rPr>
          <w:rFonts w:eastAsia="Arial" w:cs="Arial"/>
          <w:b/>
          <w:bCs/>
          <w:sz w:val="22"/>
          <w:szCs w:val="22"/>
        </w:rPr>
      </w:pPr>
      <w:r>
        <w:rPr>
          <w:rFonts w:eastAsia="Arial" w:cs="Arial"/>
          <w:b/>
          <w:bCs/>
          <w:sz w:val="22"/>
          <w:szCs w:val="22"/>
        </w:rPr>
        <w:t>Indicator progress since inception</w:t>
      </w:r>
      <w:r w:rsidR="00071FA1">
        <w:rPr>
          <w:rFonts w:eastAsia="Arial" w:cs="Arial"/>
          <w:b/>
          <w:bCs/>
          <w:sz w:val="22"/>
          <w:szCs w:val="22"/>
        </w:rPr>
        <w:t xml:space="preserve"> (Fund level)</w:t>
      </w:r>
    </w:p>
    <w:p w14:paraId="77458CD1" w14:textId="3A546A45" w:rsidR="00684A27" w:rsidRDefault="00D96C8A" w:rsidP="005E557A">
      <w:pPr>
        <w:rPr>
          <w:rFonts w:eastAsia="Arial" w:cs="Arial"/>
          <w:b/>
          <w:bCs/>
        </w:rPr>
      </w:pPr>
      <w:r>
        <w:rPr>
          <w:noProof/>
        </w:rPr>
        <w:drawing>
          <wp:anchor distT="0" distB="0" distL="114300" distR="114300" simplePos="0" relativeHeight="251658241" behindDoc="1" locked="0" layoutInCell="1" allowOverlap="1" wp14:anchorId="59E55F0B" wp14:editId="537DBB85">
            <wp:simplePos x="0" y="0"/>
            <wp:positionH relativeFrom="margin">
              <wp:align>left</wp:align>
            </wp:positionH>
            <wp:positionV relativeFrom="paragraph">
              <wp:posOffset>185420</wp:posOffset>
            </wp:positionV>
            <wp:extent cx="3242310" cy="2732405"/>
            <wp:effectExtent l="0" t="0" r="15240" b="10795"/>
            <wp:wrapTight wrapText="bothSides">
              <wp:wrapPolygon edited="0">
                <wp:start x="0" y="0"/>
                <wp:lineTo x="0" y="21535"/>
                <wp:lineTo x="21575" y="21535"/>
                <wp:lineTo x="21575" y="0"/>
                <wp:lineTo x="0" y="0"/>
              </wp:wrapPolygon>
            </wp:wrapTight>
            <wp:docPr id="653749289" name="Chart 1">
              <a:extLst xmlns:a="http://schemas.openxmlformats.org/drawingml/2006/main">
                <a:ext uri="{FF2B5EF4-FFF2-40B4-BE49-F238E27FC236}">
                  <a16:creationId xmlns:a16="http://schemas.microsoft.com/office/drawing/2014/main" id="{7F49AFCA-0A17-67AE-8819-A42BE181D2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657CB23E" wp14:editId="250A3162">
            <wp:simplePos x="0" y="0"/>
            <wp:positionH relativeFrom="margin">
              <wp:align>right</wp:align>
            </wp:positionH>
            <wp:positionV relativeFrom="paragraph">
              <wp:posOffset>175895</wp:posOffset>
            </wp:positionV>
            <wp:extent cx="3242310" cy="2732405"/>
            <wp:effectExtent l="0" t="0" r="15240" b="10795"/>
            <wp:wrapTight wrapText="bothSides">
              <wp:wrapPolygon edited="0">
                <wp:start x="0" y="0"/>
                <wp:lineTo x="0" y="21535"/>
                <wp:lineTo x="21575" y="21535"/>
                <wp:lineTo x="21575" y="0"/>
                <wp:lineTo x="0" y="0"/>
              </wp:wrapPolygon>
            </wp:wrapTight>
            <wp:docPr id="1538506195" name="Chart 2">
              <a:extLst xmlns:a="http://schemas.openxmlformats.org/drawingml/2006/main">
                <a:ext uri="{FF2B5EF4-FFF2-40B4-BE49-F238E27FC236}">
                  <a16:creationId xmlns:a16="http://schemas.microsoft.com/office/drawing/2014/main" id="{30E1F7B3-C452-FA74-A765-EE3CA2C46E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002F17E5" w14:textId="71B9899B" w:rsidR="00563447" w:rsidRDefault="00684A27" w:rsidP="005E557A">
      <w:pPr>
        <w:rPr>
          <w:rFonts w:eastAsia="Arial" w:cs="Arial"/>
          <w:b/>
          <w:bCs/>
        </w:rPr>
        <w:sectPr w:rsidR="00563447" w:rsidSect="00BC22C2">
          <w:pgSz w:w="11906" w:h="16838" w:code="9"/>
          <w:pgMar w:top="709" w:right="709" w:bottom="709" w:left="709" w:header="284" w:footer="284" w:gutter="0"/>
          <w:cols w:space="708"/>
          <w:docGrid w:linePitch="360"/>
        </w:sectPr>
      </w:pPr>
      <w:r>
        <w:rPr>
          <w:rFonts w:eastAsia="Arial" w:cs="Arial"/>
          <w:b/>
          <w:bCs/>
        </w:rPr>
        <w:t xml:space="preserve">     </w:t>
      </w:r>
    </w:p>
    <w:p w14:paraId="3FB118D0" w14:textId="539E2368" w:rsidR="0D311865" w:rsidRPr="00A54B18" w:rsidRDefault="00D96C8A" w:rsidP="005E557A">
      <w:pPr>
        <w:rPr>
          <w:rFonts w:eastAsia="Arial" w:cs="Arial"/>
          <w:b/>
          <w:bCs/>
        </w:rPr>
      </w:pPr>
      <w:r>
        <w:rPr>
          <w:noProof/>
        </w:rPr>
        <w:lastRenderedPageBreak/>
        <w:drawing>
          <wp:anchor distT="0" distB="0" distL="114300" distR="114300" simplePos="0" relativeHeight="251658245" behindDoc="1" locked="0" layoutInCell="1" allowOverlap="1" wp14:anchorId="17D2E56F" wp14:editId="047589D3">
            <wp:simplePos x="0" y="0"/>
            <wp:positionH relativeFrom="margin">
              <wp:posOffset>2929890</wp:posOffset>
            </wp:positionH>
            <wp:positionV relativeFrom="paragraph">
              <wp:posOffset>2814955</wp:posOffset>
            </wp:positionV>
            <wp:extent cx="3253105" cy="2743200"/>
            <wp:effectExtent l="0" t="0" r="4445" b="0"/>
            <wp:wrapTight wrapText="bothSides">
              <wp:wrapPolygon edited="0">
                <wp:start x="0" y="0"/>
                <wp:lineTo x="0" y="21450"/>
                <wp:lineTo x="21503" y="21450"/>
                <wp:lineTo x="21503" y="0"/>
                <wp:lineTo x="0" y="0"/>
              </wp:wrapPolygon>
            </wp:wrapTight>
            <wp:docPr id="2003778290" name="Chart 6">
              <a:extLst xmlns:a="http://schemas.openxmlformats.org/drawingml/2006/main">
                <a:ext uri="{FF2B5EF4-FFF2-40B4-BE49-F238E27FC236}">
                  <a16:creationId xmlns:a16="http://schemas.microsoft.com/office/drawing/2014/main" id="{AB3C0F95-E3E4-7245-7436-82A8B1D902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1" locked="0" layoutInCell="1" allowOverlap="1" wp14:anchorId="341A8023" wp14:editId="197183F6">
            <wp:simplePos x="0" y="0"/>
            <wp:positionH relativeFrom="margin">
              <wp:posOffset>-410845</wp:posOffset>
            </wp:positionH>
            <wp:positionV relativeFrom="paragraph">
              <wp:posOffset>2814955</wp:posOffset>
            </wp:positionV>
            <wp:extent cx="3252470" cy="2732405"/>
            <wp:effectExtent l="0" t="0" r="5080" b="10795"/>
            <wp:wrapTight wrapText="bothSides">
              <wp:wrapPolygon edited="0">
                <wp:start x="0" y="0"/>
                <wp:lineTo x="0" y="21535"/>
                <wp:lineTo x="21507" y="21535"/>
                <wp:lineTo x="21507" y="0"/>
                <wp:lineTo x="0" y="0"/>
              </wp:wrapPolygon>
            </wp:wrapTight>
            <wp:docPr id="675176388" name="Chart 5">
              <a:extLst xmlns:a="http://schemas.openxmlformats.org/drawingml/2006/main">
                <a:ext uri="{FF2B5EF4-FFF2-40B4-BE49-F238E27FC236}">
                  <a16:creationId xmlns:a16="http://schemas.microsoft.com/office/drawing/2014/main" id="{173D8328-2D93-0A00-374E-0C5C3E8BEF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D729689" wp14:editId="34E99E80">
            <wp:simplePos x="0" y="0"/>
            <wp:positionH relativeFrom="margin">
              <wp:posOffset>-421640</wp:posOffset>
            </wp:positionH>
            <wp:positionV relativeFrom="paragraph">
              <wp:posOffset>0</wp:posOffset>
            </wp:positionV>
            <wp:extent cx="3253105" cy="2743200"/>
            <wp:effectExtent l="0" t="0" r="4445" b="0"/>
            <wp:wrapTight wrapText="bothSides">
              <wp:wrapPolygon edited="0">
                <wp:start x="0" y="0"/>
                <wp:lineTo x="0" y="21450"/>
                <wp:lineTo x="21503" y="21450"/>
                <wp:lineTo x="21503" y="0"/>
                <wp:lineTo x="0" y="0"/>
              </wp:wrapPolygon>
            </wp:wrapTight>
            <wp:docPr id="1053844319" name="Chart 3">
              <a:extLst xmlns:a="http://schemas.openxmlformats.org/drawingml/2006/main">
                <a:ext uri="{FF2B5EF4-FFF2-40B4-BE49-F238E27FC236}">
                  <a16:creationId xmlns:a16="http://schemas.microsoft.com/office/drawing/2014/main" id="{8A2EDA66-D35F-2B7E-27CB-8AA2BF24B3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1" locked="0" layoutInCell="1" allowOverlap="1" wp14:anchorId="2DCA28CE" wp14:editId="0404B288">
            <wp:simplePos x="0" y="0"/>
            <wp:positionH relativeFrom="margin">
              <wp:posOffset>2939415</wp:posOffset>
            </wp:positionH>
            <wp:positionV relativeFrom="paragraph">
              <wp:posOffset>0</wp:posOffset>
            </wp:positionV>
            <wp:extent cx="3242310" cy="2732405"/>
            <wp:effectExtent l="0" t="0" r="15240" b="10795"/>
            <wp:wrapTight wrapText="bothSides">
              <wp:wrapPolygon edited="0">
                <wp:start x="0" y="0"/>
                <wp:lineTo x="0" y="21535"/>
                <wp:lineTo x="21575" y="21535"/>
                <wp:lineTo x="21575" y="0"/>
                <wp:lineTo x="0" y="0"/>
              </wp:wrapPolygon>
            </wp:wrapTight>
            <wp:docPr id="1875391823" name="Chart 4">
              <a:extLst xmlns:a="http://schemas.openxmlformats.org/drawingml/2006/main">
                <a:ext uri="{FF2B5EF4-FFF2-40B4-BE49-F238E27FC236}">
                  <a16:creationId xmlns:a16="http://schemas.microsoft.com/office/drawing/2014/main" id="{3E809352-2E3F-C6B8-E75C-50D06FF744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14:paraId="2A8D2D29" w14:textId="5260B3D5" w:rsidR="0D311865" w:rsidRPr="00A54B18" w:rsidRDefault="12715272" w:rsidP="005E557A">
      <w:pPr>
        <w:pStyle w:val="Normal1"/>
        <w:spacing w:after="120"/>
        <w:jc w:val="both"/>
        <w:rPr>
          <w:sz w:val="22"/>
          <w:szCs w:val="22"/>
        </w:rPr>
      </w:pPr>
      <w:r w:rsidRPr="00A54B18">
        <w:rPr>
          <w:b/>
          <w:bCs/>
          <w:sz w:val="22"/>
          <w:szCs w:val="22"/>
        </w:rPr>
        <w:t>Progress on Outcome targets</w:t>
      </w:r>
    </w:p>
    <w:p w14:paraId="1A8211B6" w14:textId="52D67C9C" w:rsidR="0D311865" w:rsidRPr="008D3032" w:rsidRDefault="21DE7896" w:rsidP="005E557A">
      <w:pPr>
        <w:jc w:val="both"/>
        <w:rPr>
          <w:rFonts w:eastAsia="Arial" w:cs="Arial"/>
          <w:color w:val="FF0000"/>
          <w:sz w:val="22"/>
          <w:szCs w:val="22"/>
        </w:rPr>
      </w:pPr>
      <w:r w:rsidRPr="70DC0069">
        <w:rPr>
          <w:rFonts w:eastAsia="Arial" w:cs="Arial"/>
          <w:sz w:val="22"/>
          <w:szCs w:val="22"/>
        </w:rPr>
        <w:t xml:space="preserve">The Fund is surpassing Defra targets for all indicators except </w:t>
      </w:r>
      <w:r w:rsidR="00564F86" w:rsidRPr="70DC0069">
        <w:rPr>
          <w:rFonts w:eastAsia="Arial" w:cs="Arial"/>
          <w:sz w:val="22"/>
          <w:szCs w:val="22"/>
        </w:rPr>
        <w:t>‘</w:t>
      </w:r>
      <w:r w:rsidRPr="70DC0069">
        <w:rPr>
          <w:rFonts w:eastAsia="Arial" w:cs="Arial"/>
          <w:sz w:val="22"/>
          <w:szCs w:val="22"/>
        </w:rPr>
        <w:t>water savings entirely or partly attributable to the intervention of the EBF</w:t>
      </w:r>
      <w:r w:rsidR="00564F86" w:rsidRPr="70DC0069">
        <w:rPr>
          <w:rFonts w:eastAsia="Arial" w:cs="Arial"/>
          <w:sz w:val="22"/>
          <w:szCs w:val="22"/>
        </w:rPr>
        <w:t>’</w:t>
      </w:r>
      <w:r w:rsidR="6BF4D313" w:rsidRPr="70DC0069">
        <w:rPr>
          <w:rFonts w:eastAsia="Arial" w:cs="Arial"/>
          <w:sz w:val="22"/>
          <w:szCs w:val="22"/>
        </w:rPr>
        <w:t xml:space="preserve"> (Outcome 1.1)</w:t>
      </w:r>
      <w:r w:rsidRPr="70DC0069">
        <w:rPr>
          <w:rFonts w:eastAsia="Arial" w:cs="Arial"/>
          <w:sz w:val="22"/>
          <w:szCs w:val="22"/>
        </w:rPr>
        <w:t>.</w:t>
      </w:r>
      <w:r w:rsidR="002362B6">
        <w:rPr>
          <w:rFonts w:eastAsia="Arial" w:cs="Arial"/>
          <w:color w:val="FF0000"/>
          <w:sz w:val="22"/>
          <w:szCs w:val="22"/>
        </w:rPr>
        <w:t xml:space="preserve"> </w:t>
      </w:r>
      <w:r w:rsidR="00953C2C" w:rsidRPr="70DC0069">
        <w:rPr>
          <w:rFonts w:eastAsia="Arial" w:cs="Arial"/>
          <w:sz w:val="22"/>
          <w:szCs w:val="22"/>
        </w:rPr>
        <w:t xml:space="preserve">Milestones were previously set only up to 2022, so as part of this </w:t>
      </w:r>
      <w:r w:rsidR="00575BC6">
        <w:rPr>
          <w:rFonts w:eastAsia="Arial" w:cs="Arial"/>
          <w:sz w:val="22"/>
          <w:szCs w:val="22"/>
        </w:rPr>
        <w:t>AR</w:t>
      </w:r>
      <w:r w:rsidR="00953C2C" w:rsidRPr="70DC0069">
        <w:rPr>
          <w:rFonts w:eastAsia="Arial" w:cs="Arial"/>
          <w:sz w:val="22"/>
          <w:szCs w:val="22"/>
        </w:rPr>
        <w:t>, milestones have been agree</w:t>
      </w:r>
      <w:r w:rsidR="77C612C1" w:rsidRPr="70DC0069">
        <w:rPr>
          <w:rFonts w:eastAsia="Arial" w:cs="Arial"/>
          <w:sz w:val="22"/>
          <w:szCs w:val="22"/>
        </w:rPr>
        <w:t>d</w:t>
      </w:r>
      <w:r w:rsidR="00953C2C" w:rsidRPr="70DC0069">
        <w:rPr>
          <w:rFonts w:eastAsia="Arial" w:cs="Arial"/>
          <w:sz w:val="22"/>
          <w:szCs w:val="22"/>
        </w:rPr>
        <w:t xml:space="preserve"> for 2023</w:t>
      </w:r>
      <w:r w:rsidR="00E81578">
        <w:rPr>
          <w:rFonts w:eastAsia="Arial" w:cs="Arial"/>
          <w:sz w:val="22"/>
          <w:szCs w:val="22"/>
        </w:rPr>
        <w:t xml:space="preserve">, with </w:t>
      </w:r>
      <w:r w:rsidR="006C5E13">
        <w:rPr>
          <w:rFonts w:eastAsia="Arial" w:cs="Arial"/>
          <w:sz w:val="22"/>
          <w:szCs w:val="22"/>
        </w:rPr>
        <w:t>targets for 2024 to 2028 to be set in December 2023</w:t>
      </w:r>
      <w:r w:rsidR="000163EC">
        <w:rPr>
          <w:rFonts w:eastAsia="Arial" w:cs="Arial"/>
          <w:sz w:val="22"/>
          <w:szCs w:val="22"/>
        </w:rPr>
        <w:t xml:space="preserve"> as part of a wider review of the </w:t>
      </w:r>
      <w:proofErr w:type="spellStart"/>
      <w:r w:rsidR="000163EC">
        <w:rPr>
          <w:rFonts w:eastAsia="Arial" w:cs="Arial"/>
          <w:sz w:val="22"/>
          <w:szCs w:val="22"/>
        </w:rPr>
        <w:t>LogFrame</w:t>
      </w:r>
      <w:proofErr w:type="spellEnd"/>
      <w:r w:rsidR="00953C2C" w:rsidRPr="70DC0069">
        <w:rPr>
          <w:rFonts w:eastAsia="Arial" w:cs="Arial"/>
          <w:sz w:val="22"/>
          <w:szCs w:val="22"/>
        </w:rPr>
        <w:t xml:space="preserve">. For most Outcomes this includes revising milestones upwards compared to previous trajectories, due to </w:t>
      </w:r>
      <w:r w:rsidR="37D05965" w:rsidRPr="70DC0069">
        <w:rPr>
          <w:rFonts w:eastAsia="Arial" w:cs="Arial"/>
          <w:sz w:val="22"/>
          <w:szCs w:val="22"/>
        </w:rPr>
        <w:t>higher-than-expected</w:t>
      </w:r>
      <w:r w:rsidR="00953C2C" w:rsidRPr="70DC0069">
        <w:rPr>
          <w:rFonts w:eastAsia="Arial" w:cs="Arial"/>
          <w:sz w:val="22"/>
          <w:szCs w:val="22"/>
        </w:rPr>
        <w:t xml:space="preserve"> progress, though for Outcome 1.1 this will involve a </w:t>
      </w:r>
      <w:r w:rsidR="006C1A9B">
        <w:rPr>
          <w:rFonts w:eastAsia="Arial" w:cs="Arial"/>
          <w:sz w:val="22"/>
          <w:szCs w:val="22"/>
        </w:rPr>
        <w:t>mod</w:t>
      </w:r>
      <w:r w:rsidR="0013535D">
        <w:rPr>
          <w:rFonts w:eastAsia="Arial" w:cs="Arial"/>
          <w:sz w:val="22"/>
          <w:szCs w:val="22"/>
        </w:rPr>
        <w:t xml:space="preserve">est </w:t>
      </w:r>
      <w:r w:rsidR="00953C2C" w:rsidRPr="70DC0069">
        <w:rPr>
          <w:rFonts w:eastAsia="Arial" w:cs="Arial"/>
          <w:sz w:val="22"/>
          <w:szCs w:val="22"/>
        </w:rPr>
        <w:t>downward revision.</w:t>
      </w:r>
    </w:p>
    <w:p w14:paraId="26B41103" w14:textId="45322CE8" w:rsidR="0D311865" w:rsidRPr="008D3032" w:rsidRDefault="0D311865" w:rsidP="005E557A">
      <w:pPr>
        <w:jc w:val="both"/>
        <w:rPr>
          <w:rFonts w:eastAsia="Arial" w:cs="Arial"/>
        </w:rPr>
      </w:pPr>
    </w:p>
    <w:p w14:paraId="15AD616C" w14:textId="7C021BDA" w:rsidR="381DBAD0" w:rsidRPr="008D3032" w:rsidRDefault="068AC965" w:rsidP="005E557A">
      <w:pPr>
        <w:jc w:val="both"/>
        <w:rPr>
          <w:rFonts w:eastAsia="Arial" w:cs="Arial"/>
          <w:color w:val="000000" w:themeColor="text1"/>
          <w:sz w:val="22"/>
          <w:szCs w:val="22"/>
        </w:rPr>
      </w:pPr>
      <w:r w:rsidRPr="70DC0069">
        <w:rPr>
          <w:rFonts w:eastAsia="Arial" w:cs="Arial"/>
          <w:color w:val="000000" w:themeColor="text1"/>
          <w:sz w:val="22"/>
          <w:szCs w:val="22"/>
        </w:rPr>
        <w:t xml:space="preserve">For </w:t>
      </w:r>
      <w:r w:rsidR="277A00CA" w:rsidRPr="70DC0069">
        <w:rPr>
          <w:rFonts w:eastAsia="Arial" w:cs="Arial"/>
          <w:color w:val="000000" w:themeColor="text1"/>
          <w:sz w:val="22"/>
          <w:szCs w:val="22"/>
        </w:rPr>
        <w:t>O</w:t>
      </w:r>
      <w:r w:rsidRPr="70DC0069">
        <w:rPr>
          <w:rFonts w:eastAsia="Arial" w:cs="Arial"/>
          <w:color w:val="000000" w:themeColor="text1"/>
          <w:sz w:val="22"/>
          <w:szCs w:val="22"/>
        </w:rPr>
        <w:t>utcome 1.1</w:t>
      </w:r>
      <w:r w:rsidR="00500AD6" w:rsidRPr="70DC0069">
        <w:rPr>
          <w:rFonts w:eastAsia="Arial" w:cs="Arial"/>
          <w:color w:val="000000" w:themeColor="text1"/>
          <w:sz w:val="22"/>
          <w:szCs w:val="22"/>
        </w:rPr>
        <w:t>, the current calculation methodology for water savings draws on a specific Green List item and crop combination for which scientific data on water savings is available.</w:t>
      </w:r>
      <w:r w:rsidRPr="70DC0069">
        <w:rPr>
          <w:rFonts w:eastAsia="Arial" w:cs="Arial"/>
          <w:color w:val="000000" w:themeColor="text1"/>
          <w:sz w:val="22"/>
          <w:szCs w:val="22"/>
        </w:rPr>
        <w:t xml:space="preserve"> </w:t>
      </w:r>
      <w:r w:rsidR="00500AD6" w:rsidRPr="70DC0069">
        <w:rPr>
          <w:rFonts w:eastAsia="Arial" w:cs="Arial"/>
          <w:color w:val="000000" w:themeColor="text1"/>
          <w:sz w:val="22"/>
          <w:szCs w:val="22"/>
        </w:rPr>
        <w:t>T</w:t>
      </w:r>
      <w:r w:rsidRPr="70DC0069">
        <w:rPr>
          <w:rFonts w:eastAsia="Arial" w:cs="Arial"/>
          <w:color w:val="000000" w:themeColor="text1"/>
          <w:sz w:val="22"/>
          <w:szCs w:val="22"/>
        </w:rPr>
        <w:t xml:space="preserve">he target </w:t>
      </w:r>
      <w:r w:rsidR="374DF737" w:rsidRPr="70DC0069">
        <w:rPr>
          <w:rFonts w:eastAsia="Arial" w:cs="Arial"/>
          <w:color w:val="000000" w:themeColor="text1"/>
          <w:sz w:val="22"/>
          <w:szCs w:val="22"/>
        </w:rPr>
        <w:t>was</w:t>
      </w:r>
      <w:r w:rsidRPr="70DC0069">
        <w:rPr>
          <w:rFonts w:eastAsia="Arial" w:cs="Arial"/>
          <w:color w:val="000000" w:themeColor="text1"/>
          <w:sz w:val="22"/>
          <w:szCs w:val="22"/>
        </w:rPr>
        <w:t xml:space="preserve"> missed </w:t>
      </w:r>
      <w:r w:rsidR="00500AD6" w:rsidRPr="70DC0069">
        <w:rPr>
          <w:rFonts w:eastAsia="Arial" w:cs="Arial"/>
          <w:color w:val="000000" w:themeColor="text1"/>
          <w:sz w:val="22"/>
          <w:szCs w:val="22"/>
        </w:rPr>
        <w:t>between 2018</w:t>
      </w:r>
      <w:r w:rsidRPr="70DC0069">
        <w:rPr>
          <w:rFonts w:eastAsia="Arial" w:cs="Arial"/>
          <w:color w:val="000000" w:themeColor="text1"/>
          <w:sz w:val="22"/>
          <w:szCs w:val="22"/>
        </w:rPr>
        <w:t xml:space="preserve"> </w:t>
      </w:r>
      <w:r w:rsidR="00500AD6" w:rsidRPr="70DC0069">
        <w:rPr>
          <w:rFonts w:eastAsia="Arial" w:cs="Arial"/>
          <w:color w:val="000000" w:themeColor="text1"/>
          <w:sz w:val="22"/>
          <w:szCs w:val="22"/>
        </w:rPr>
        <w:t>and 2022,</w:t>
      </w:r>
      <w:r w:rsidRPr="70DC0069">
        <w:rPr>
          <w:rFonts w:eastAsia="Arial" w:cs="Arial"/>
          <w:color w:val="000000" w:themeColor="text1"/>
          <w:sz w:val="22"/>
          <w:szCs w:val="22"/>
        </w:rPr>
        <w:t xml:space="preserve"> because</w:t>
      </w:r>
      <w:r w:rsidR="4929ED4F" w:rsidRPr="70DC0069">
        <w:rPr>
          <w:rFonts w:eastAsia="Arial" w:cs="Arial"/>
          <w:color w:val="000000" w:themeColor="text1"/>
          <w:sz w:val="22"/>
          <w:szCs w:val="22"/>
        </w:rPr>
        <w:t xml:space="preserve"> the </w:t>
      </w:r>
      <w:r w:rsidR="003E4487" w:rsidRPr="70DC0069">
        <w:rPr>
          <w:rFonts w:eastAsia="Arial" w:cs="Arial"/>
          <w:color w:val="000000" w:themeColor="text1"/>
          <w:sz w:val="22"/>
          <w:szCs w:val="22"/>
        </w:rPr>
        <w:t>PIs issu</w:t>
      </w:r>
      <w:r w:rsidR="259F9A13" w:rsidRPr="70DC0069">
        <w:rPr>
          <w:rFonts w:eastAsia="Arial" w:cs="Arial"/>
          <w:color w:val="000000" w:themeColor="text1"/>
          <w:sz w:val="22"/>
          <w:szCs w:val="22"/>
        </w:rPr>
        <w:t>e</w:t>
      </w:r>
      <w:r w:rsidR="003E4487" w:rsidRPr="70DC0069">
        <w:rPr>
          <w:rFonts w:eastAsia="Arial" w:cs="Arial"/>
          <w:color w:val="000000" w:themeColor="text1"/>
          <w:sz w:val="22"/>
          <w:szCs w:val="22"/>
        </w:rPr>
        <w:t xml:space="preserve"> sub-loans</w:t>
      </w:r>
      <w:r w:rsidR="00CB76E3" w:rsidRPr="70DC0069">
        <w:rPr>
          <w:rFonts w:eastAsia="Arial" w:cs="Arial"/>
          <w:color w:val="000000" w:themeColor="text1"/>
          <w:sz w:val="22"/>
          <w:szCs w:val="22"/>
        </w:rPr>
        <w:t xml:space="preserve"> across a range of land use </w:t>
      </w:r>
      <w:r w:rsidR="00BE10B0" w:rsidRPr="70DC0069">
        <w:rPr>
          <w:rFonts w:eastAsia="Arial" w:cs="Arial"/>
          <w:color w:val="000000" w:themeColor="text1"/>
          <w:sz w:val="22"/>
          <w:szCs w:val="22"/>
        </w:rPr>
        <w:t xml:space="preserve">systems </w:t>
      </w:r>
      <w:r w:rsidR="5DDDE8E0" w:rsidRPr="70DC0069">
        <w:rPr>
          <w:rFonts w:eastAsia="Arial" w:cs="Arial"/>
          <w:color w:val="000000" w:themeColor="text1"/>
          <w:sz w:val="22"/>
          <w:szCs w:val="22"/>
        </w:rPr>
        <w:t>which are identified through market demand and opportunities</w:t>
      </w:r>
      <w:r w:rsidR="4929ED4F" w:rsidRPr="70DC0069">
        <w:rPr>
          <w:rFonts w:eastAsia="Arial" w:cs="Arial"/>
          <w:color w:val="000000" w:themeColor="text1"/>
          <w:sz w:val="22"/>
          <w:szCs w:val="22"/>
        </w:rPr>
        <w:t>.</w:t>
      </w:r>
      <w:r w:rsidR="2EAE2CFA" w:rsidRPr="70DC0069">
        <w:rPr>
          <w:rFonts w:eastAsia="Arial" w:cs="Arial"/>
          <w:color w:val="000000" w:themeColor="text1"/>
          <w:sz w:val="22"/>
          <w:szCs w:val="22"/>
        </w:rPr>
        <w:t xml:space="preserve"> </w:t>
      </w:r>
      <w:r w:rsidR="00500AD6" w:rsidRPr="70DC0069">
        <w:rPr>
          <w:rFonts w:eastAsia="Arial" w:cs="Arial"/>
          <w:color w:val="000000" w:themeColor="text1"/>
          <w:sz w:val="22"/>
          <w:szCs w:val="22"/>
        </w:rPr>
        <w:t xml:space="preserve">The projections originally used for water savings </w:t>
      </w:r>
      <w:r w:rsidR="00407C38">
        <w:rPr>
          <w:rFonts w:eastAsia="Arial" w:cs="Arial"/>
          <w:color w:val="000000" w:themeColor="text1"/>
          <w:sz w:val="22"/>
          <w:szCs w:val="22"/>
        </w:rPr>
        <w:t>were</w:t>
      </w:r>
      <w:r w:rsidR="00260DFA">
        <w:rPr>
          <w:rFonts w:eastAsia="Arial" w:cs="Arial"/>
          <w:color w:val="000000" w:themeColor="text1"/>
          <w:sz w:val="22"/>
          <w:szCs w:val="22"/>
        </w:rPr>
        <w:t xml:space="preserve"> </w:t>
      </w:r>
      <w:r w:rsidR="00C2466F">
        <w:rPr>
          <w:rFonts w:eastAsia="Arial" w:cs="Arial"/>
          <w:color w:val="000000" w:themeColor="text1"/>
          <w:sz w:val="22"/>
          <w:szCs w:val="22"/>
        </w:rPr>
        <w:t>mainly calculated</w:t>
      </w:r>
      <w:r w:rsidR="00260DFA">
        <w:rPr>
          <w:rFonts w:eastAsia="Arial" w:cs="Arial"/>
          <w:color w:val="000000" w:themeColor="text1"/>
          <w:sz w:val="22"/>
          <w:szCs w:val="22"/>
        </w:rPr>
        <w:t xml:space="preserve"> </w:t>
      </w:r>
      <w:r w:rsidR="00551E1C">
        <w:rPr>
          <w:rFonts w:eastAsia="Arial" w:cs="Arial"/>
          <w:color w:val="000000" w:themeColor="text1"/>
          <w:sz w:val="22"/>
          <w:szCs w:val="22"/>
        </w:rPr>
        <w:t>on estimated area of</w:t>
      </w:r>
      <w:r w:rsidR="00260DFA">
        <w:rPr>
          <w:rFonts w:eastAsia="Arial" w:cs="Arial"/>
          <w:color w:val="000000" w:themeColor="text1"/>
          <w:sz w:val="22"/>
          <w:szCs w:val="22"/>
        </w:rPr>
        <w:t xml:space="preserve"> </w:t>
      </w:r>
      <w:r w:rsidR="004C546A">
        <w:rPr>
          <w:rFonts w:eastAsia="Arial" w:cs="Arial"/>
          <w:color w:val="000000" w:themeColor="text1"/>
          <w:sz w:val="22"/>
          <w:szCs w:val="22"/>
        </w:rPr>
        <w:t>rice cultivation, which has featured less in the portfolio than anticipated.</w:t>
      </w:r>
      <w:r w:rsidR="00500AD6" w:rsidRPr="70DC0069">
        <w:rPr>
          <w:rFonts w:eastAsia="Arial" w:cs="Arial"/>
          <w:color w:val="000000" w:themeColor="text1"/>
          <w:sz w:val="22"/>
          <w:szCs w:val="22"/>
        </w:rPr>
        <w:t xml:space="preserve"> </w:t>
      </w:r>
      <w:r w:rsidR="00FC7AE0">
        <w:rPr>
          <w:rFonts w:eastAsia="Arial" w:cs="Arial"/>
          <w:color w:val="000000" w:themeColor="text1"/>
          <w:sz w:val="22"/>
          <w:szCs w:val="22"/>
        </w:rPr>
        <w:t>Instead, other crop types</w:t>
      </w:r>
      <w:r w:rsidR="00EB1C50">
        <w:rPr>
          <w:rFonts w:eastAsia="Arial" w:cs="Arial"/>
          <w:color w:val="000000" w:themeColor="text1"/>
          <w:sz w:val="22"/>
          <w:szCs w:val="22"/>
        </w:rPr>
        <w:t xml:space="preserve"> have been more dominant in the portfolio</w:t>
      </w:r>
      <w:r w:rsidR="008150E8">
        <w:rPr>
          <w:rFonts w:eastAsia="Arial" w:cs="Arial"/>
          <w:color w:val="000000" w:themeColor="text1"/>
          <w:sz w:val="22"/>
          <w:szCs w:val="22"/>
        </w:rPr>
        <w:t>, with corresponding impact benefits across other targets</w:t>
      </w:r>
      <w:r w:rsidR="00002C36">
        <w:rPr>
          <w:rFonts w:eastAsia="Arial" w:cs="Arial"/>
          <w:color w:val="000000" w:themeColor="text1"/>
          <w:sz w:val="22"/>
          <w:szCs w:val="22"/>
        </w:rPr>
        <w:t xml:space="preserve"> instead</w:t>
      </w:r>
      <w:r w:rsidR="008150E8">
        <w:rPr>
          <w:rFonts w:eastAsia="Arial" w:cs="Arial"/>
          <w:color w:val="000000" w:themeColor="text1"/>
          <w:sz w:val="22"/>
          <w:szCs w:val="22"/>
        </w:rPr>
        <w:t xml:space="preserve">. </w:t>
      </w:r>
      <w:r w:rsidR="004C546A">
        <w:rPr>
          <w:rFonts w:eastAsia="Arial" w:cs="Arial"/>
          <w:color w:val="000000" w:themeColor="text1"/>
          <w:sz w:val="22"/>
          <w:szCs w:val="22"/>
        </w:rPr>
        <w:t>B</w:t>
      </w:r>
      <w:r w:rsidR="004C546A" w:rsidRPr="70DC0069">
        <w:rPr>
          <w:rFonts w:eastAsia="Arial" w:cs="Arial"/>
          <w:color w:val="000000" w:themeColor="text1"/>
          <w:sz w:val="22"/>
          <w:szCs w:val="22"/>
        </w:rPr>
        <w:t xml:space="preserve">y </w:t>
      </w:r>
      <w:r w:rsidR="00500AD6" w:rsidRPr="70DC0069">
        <w:rPr>
          <w:rFonts w:eastAsia="Arial" w:cs="Arial"/>
          <w:color w:val="000000" w:themeColor="text1"/>
          <w:sz w:val="22"/>
          <w:szCs w:val="22"/>
        </w:rPr>
        <w:t>2021 it was clear that the milestones were no longer helpful for assessing progress</w:t>
      </w:r>
      <w:r w:rsidR="00953C2C" w:rsidRPr="70DC0069">
        <w:rPr>
          <w:rFonts w:eastAsia="Arial" w:cs="Arial"/>
          <w:color w:val="000000" w:themeColor="text1"/>
          <w:sz w:val="22"/>
          <w:szCs w:val="22"/>
        </w:rPr>
        <w:t xml:space="preserve"> – </w:t>
      </w:r>
      <w:r w:rsidR="00500AD6" w:rsidRPr="70DC0069">
        <w:rPr>
          <w:rFonts w:eastAsia="Arial" w:cs="Arial"/>
          <w:color w:val="000000" w:themeColor="text1"/>
          <w:sz w:val="22"/>
          <w:szCs w:val="22"/>
        </w:rPr>
        <w:t xml:space="preserve">the 2022 target of 10.5m m3 is double what </w:t>
      </w:r>
      <w:r w:rsidR="003A67E6">
        <w:rPr>
          <w:rFonts w:eastAsia="Arial" w:cs="Arial"/>
          <w:color w:val="000000" w:themeColor="text1"/>
          <w:sz w:val="22"/>
          <w:szCs w:val="22"/>
        </w:rPr>
        <w:t>has so far been</w:t>
      </w:r>
      <w:r w:rsidR="00500AD6" w:rsidRPr="70DC0069">
        <w:rPr>
          <w:rFonts w:eastAsia="Arial" w:cs="Arial"/>
          <w:color w:val="000000" w:themeColor="text1"/>
          <w:sz w:val="22"/>
          <w:szCs w:val="22"/>
        </w:rPr>
        <w:t xml:space="preserve"> </w:t>
      </w:r>
      <w:r w:rsidR="7BD540AA" w:rsidRPr="70DC0069">
        <w:rPr>
          <w:rFonts w:eastAsia="Arial" w:cs="Arial"/>
          <w:color w:val="000000" w:themeColor="text1"/>
          <w:sz w:val="22"/>
          <w:szCs w:val="22"/>
        </w:rPr>
        <w:t>achieved</w:t>
      </w:r>
      <w:r w:rsidR="00500AD6" w:rsidRPr="70DC0069">
        <w:rPr>
          <w:rFonts w:eastAsia="Arial" w:cs="Arial"/>
          <w:color w:val="000000" w:themeColor="text1"/>
          <w:sz w:val="22"/>
          <w:szCs w:val="22"/>
        </w:rPr>
        <w:t xml:space="preserve">. </w:t>
      </w:r>
      <w:proofErr w:type="gramStart"/>
      <w:r w:rsidR="00500AD6" w:rsidRPr="70DC0069">
        <w:rPr>
          <w:rFonts w:eastAsia="Arial" w:cs="Arial"/>
          <w:color w:val="000000" w:themeColor="text1"/>
          <w:sz w:val="22"/>
          <w:szCs w:val="22"/>
        </w:rPr>
        <w:t xml:space="preserve">Following the 2021 </w:t>
      </w:r>
      <w:r w:rsidR="00575BC6">
        <w:rPr>
          <w:rFonts w:eastAsia="Arial" w:cs="Arial"/>
          <w:color w:val="000000" w:themeColor="text1"/>
          <w:sz w:val="22"/>
          <w:szCs w:val="22"/>
        </w:rPr>
        <w:t>AR</w:t>
      </w:r>
      <w:r w:rsidR="00500AD6" w:rsidRPr="70DC0069">
        <w:rPr>
          <w:rFonts w:eastAsia="Arial" w:cs="Arial"/>
          <w:color w:val="000000" w:themeColor="text1"/>
          <w:sz w:val="22"/>
          <w:szCs w:val="22"/>
        </w:rPr>
        <w:t>, it</w:t>
      </w:r>
      <w:proofErr w:type="gramEnd"/>
      <w:r w:rsidR="00500AD6" w:rsidRPr="70DC0069">
        <w:rPr>
          <w:rFonts w:eastAsia="Arial" w:cs="Arial"/>
          <w:color w:val="000000" w:themeColor="text1"/>
          <w:sz w:val="22"/>
          <w:szCs w:val="22"/>
        </w:rPr>
        <w:t xml:space="preserve"> was determined that milestones for </w:t>
      </w:r>
      <w:r w:rsidR="00B70230" w:rsidRPr="70DC0069">
        <w:rPr>
          <w:rFonts w:eastAsia="Arial" w:cs="Arial"/>
          <w:color w:val="000000" w:themeColor="text1"/>
          <w:sz w:val="22"/>
          <w:szCs w:val="22"/>
        </w:rPr>
        <w:t>this indicator should be revised downwards from 2023 to provide the Fund with a useful</w:t>
      </w:r>
      <w:r w:rsidR="009C03AA">
        <w:rPr>
          <w:rFonts w:eastAsia="Arial" w:cs="Arial"/>
          <w:color w:val="000000" w:themeColor="text1"/>
          <w:sz w:val="22"/>
          <w:szCs w:val="22"/>
        </w:rPr>
        <w:t xml:space="preserve"> but still stretching</w:t>
      </w:r>
      <w:r w:rsidR="00B70230" w:rsidRPr="70DC0069">
        <w:rPr>
          <w:rFonts w:eastAsia="Arial" w:cs="Arial"/>
          <w:color w:val="000000" w:themeColor="text1"/>
          <w:sz w:val="22"/>
          <w:szCs w:val="22"/>
        </w:rPr>
        <w:t xml:space="preserve"> target for future progress</w:t>
      </w:r>
      <w:r w:rsidR="00B97D2F">
        <w:rPr>
          <w:rFonts w:eastAsia="Arial" w:cs="Arial"/>
          <w:color w:val="000000" w:themeColor="text1"/>
          <w:sz w:val="22"/>
          <w:szCs w:val="22"/>
        </w:rPr>
        <w:t>.</w:t>
      </w:r>
      <w:r w:rsidR="00E41E3C">
        <w:rPr>
          <w:rFonts w:eastAsia="Arial" w:cs="Arial"/>
          <w:color w:val="000000" w:themeColor="text1"/>
          <w:sz w:val="22"/>
          <w:szCs w:val="22"/>
        </w:rPr>
        <w:t xml:space="preserve"> </w:t>
      </w:r>
      <w:r w:rsidR="00E15E1C">
        <w:rPr>
          <w:rFonts w:eastAsia="Arial" w:cs="Arial"/>
          <w:color w:val="000000" w:themeColor="text1"/>
          <w:sz w:val="22"/>
          <w:szCs w:val="22"/>
        </w:rPr>
        <w:t>Early indications suggest</w:t>
      </w:r>
      <w:r w:rsidR="00E41E3C">
        <w:rPr>
          <w:rFonts w:eastAsia="Arial" w:cs="Arial"/>
          <w:color w:val="000000" w:themeColor="text1"/>
          <w:sz w:val="22"/>
          <w:szCs w:val="22"/>
        </w:rPr>
        <w:t xml:space="preserve"> </w:t>
      </w:r>
      <w:r w:rsidR="00872151">
        <w:rPr>
          <w:rFonts w:eastAsia="Arial" w:cs="Arial"/>
          <w:color w:val="000000" w:themeColor="text1"/>
          <w:sz w:val="22"/>
          <w:szCs w:val="22"/>
        </w:rPr>
        <w:t>improved results</w:t>
      </w:r>
      <w:r w:rsidR="00695F82">
        <w:rPr>
          <w:rFonts w:eastAsia="Arial" w:cs="Arial"/>
          <w:color w:val="000000" w:themeColor="text1"/>
          <w:sz w:val="22"/>
          <w:szCs w:val="22"/>
        </w:rPr>
        <w:t xml:space="preserve"> should be expected</w:t>
      </w:r>
      <w:r w:rsidR="00872151">
        <w:rPr>
          <w:rFonts w:eastAsia="Arial" w:cs="Arial"/>
          <w:color w:val="000000" w:themeColor="text1"/>
          <w:sz w:val="22"/>
          <w:szCs w:val="22"/>
        </w:rPr>
        <w:t xml:space="preserve"> </w:t>
      </w:r>
      <w:r w:rsidR="00AB5761">
        <w:rPr>
          <w:rFonts w:eastAsia="Arial" w:cs="Arial"/>
          <w:color w:val="000000" w:themeColor="text1"/>
          <w:sz w:val="22"/>
          <w:szCs w:val="22"/>
        </w:rPr>
        <w:t>from 2023 onwards,</w:t>
      </w:r>
      <w:r w:rsidR="00872151">
        <w:rPr>
          <w:rFonts w:eastAsia="Arial" w:cs="Arial"/>
          <w:color w:val="000000" w:themeColor="text1"/>
          <w:sz w:val="22"/>
          <w:szCs w:val="22"/>
        </w:rPr>
        <w:t xml:space="preserve"> </w:t>
      </w:r>
      <w:r w:rsidR="00E15E1C">
        <w:rPr>
          <w:rFonts w:eastAsia="Arial" w:cs="Arial"/>
          <w:color w:val="000000" w:themeColor="text1"/>
          <w:sz w:val="22"/>
          <w:szCs w:val="22"/>
        </w:rPr>
        <w:t>with</w:t>
      </w:r>
      <w:r w:rsidR="00872151">
        <w:rPr>
          <w:rFonts w:eastAsia="Arial" w:cs="Arial"/>
          <w:color w:val="000000" w:themeColor="text1"/>
          <w:sz w:val="22"/>
          <w:szCs w:val="22"/>
        </w:rPr>
        <w:t xml:space="preserve"> rice cultivation becom</w:t>
      </w:r>
      <w:r w:rsidR="00E15E1C">
        <w:rPr>
          <w:rFonts w:eastAsia="Arial" w:cs="Arial"/>
          <w:color w:val="000000" w:themeColor="text1"/>
          <w:sz w:val="22"/>
          <w:szCs w:val="22"/>
        </w:rPr>
        <w:t>ing</w:t>
      </w:r>
      <w:r w:rsidR="00872151">
        <w:rPr>
          <w:rFonts w:eastAsia="Arial" w:cs="Arial"/>
          <w:color w:val="000000" w:themeColor="text1"/>
          <w:sz w:val="22"/>
          <w:szCs w:val="22"/>
        </w:rPr>
        <w:t xml:space="preserve"> more represented in the portfolio</w:t>
      </w:r>
      <w:r w:rsidR="000B496A">
        <w:rPr>
          <w:rFonts w:eastAsia="Arial" w:cs="Arial"/>
          <w:color w:val="000000" w:themeColor="text1"/>
          <w:sz w:val="22"/>
          <w:szCs w:val="22"/>
        </w:rPr>
        <w:t>,</w:t>
      </w:r>
      <w:r w:rsidR="00997B81">
        <w:rPr>
          <w:rFonts w:eastAsia="Arial" w:cs="Arial"/>
          <w:color w:val="000000" w:themeColor="text1"/>
          <w:sz w:val="22"/>
          <w:szCs w:val="22"/>
        </w:rPr>
        <w:t xml:space="preserve"> </w:t>
      </w:r>
      <w:r w:rsidR="000B496A">
        <w:rPr>
          <w:rFonts w:eastAsia="Arial" w:cs="Arial"/>
          <w:color w:val="000000" w:themeColor="text1"/>
          <w:sz w:val="22"/>
          <w:szCs w:val="22"/>
        </w:rPr>
        <w:t>closer to</w:t>
      </w:r>
      <w:r w:rsidR="00D42DC0">
        <w:rPr>
          <w:rFonts w:eastAsia="Arial" w:cs="Arial"/>
          <w:color w:val="000000" w:themeColor="text1"/>
          <w:sz w:val="22"/>
          <w:szCs w:val="22"/>
        </w:rPr>
        <w:t xml:space="preserve"> the original predictions</w:t>
      </w:r>
      <w:r w:rsidR="00B70230" w:rsidRPr="70DC0069">
        <w:rPr>
          <w:rFonts w:eastAsia="Arial" w:cs="Arial"/>
          <w:color w:val="000000" w:themeColor="text1"/>
          <w:sz w:val="22"/>
          <w:szCs w:val="22"/>
        </w:rPr>
        <w:t>.</w:t>
      </w:r>
    </w:p>
    <w:p w14:paraId="0D779026" w14:textId="0A34A2E0" w:rsidR="19A372B6" w:rsidRPr="008D3032" w:rsidRDefault="19A372B6" w:rsidP="005E557A">
      <w:pPr>
        <w:jc w:val="both"/>
        <w:rPr>
          <w:rFonts w:eastAsia="Arial" w:cs="Arial"/>
          <w:color w:val="000000" w:themeColor="text1"/>
          <w:sz w:val="22"/>
          <w:szCs w:val="22"/>
          <w:u w:val="single"/>
        </w:rPr>
      </w:pPr>
    </w:p>
    <w:p w14:paraId="1F7B20EF" w14:textId="3290C3F8" w:rsidR="003C5FB9" w:rsidRDefault="003C5FB9" w:rsidP="005E557A">
      <w:pPr>
        <w:jc w:val="both"/>
        <w:rPr>
          <w:rFonts w:eastAsia="Arial" w:cs="Arial"/>
          <w:color w:val="000000" w:themeColor="text1"/>
          <w:sz w:val="22"/>
          <w:szCs w:val="22"/>
        </w:rPr>
      </w:pPr>
      <w:r>
        <w:rPr>
          <w:rFonts w:eastAsia="Arial" w:cs="Arial"/>
          <w:color w:val="000000" w:themeColor="text1"/>
          <w:sz w:val="22"/>
          <w:szCs w:val="22"/>
        </w:rPr>
        <w:lastRenderedPageBreak/>
        <w:t>Outcome 1.2 represents the volume of sub-loans issued by PIs to end-borrowers</w:t>
      </w:r>
      <w:r w:rsidR="009D3B32">
        <w:rPr>
          <w:rFonts w:eastAsia="Arial" w:cs="Arial"/>
          <w:color w:val="000000" w:themeColor="text1"/>
          <w:sz w:val="22"/>
          <w:szCs w:val="22"/>
        </w:rPr>
        <w:t xml:space="preserve">, </w:t>
      </w:r>
      <w:r w:rsidR="000937F9">
        <w:rPr>
          <w:rFonts w:eastAsia="Arial" w:cs="Arial"/>
          <w:color w:val="000000" w:themeColor="text1"/>
          <w:sz w:val="22"/>
          <w:szCs w:val="22"/>
        </w:rPr>
        <w:t>in other words</w:t>
      </w:r>
      <w:r w:rsidR="009D3B32">
        <w:rPr>
          <w:rFonts w:eastAsia="Arial" w:cs="Arial"/>
          <w:color w:val="000000" w:themeColor="text1"/>
          <w:sz w:val="22"/>
          <w:szCs w:val="22"/>
        </w:rPr>
        <w:t xml:space="preserve"> </w:t>
      </w:r>
      <w:r w:rsidR="003677C4">
        <w:rPr>
          <w:rFonts w:eastAsia="Arial" w:cs="Arial"/>
          <w:color w:val="000000" w:themeColor="text1"/>
          <w:sz w:val="22"/>
          <w:szCs w:val="22"/>
        </w:rPr>
        <w:t xml:space="preserve">total sub-loans from the Fund plus </w:t>
      </w:r>
      <w:r w:rsidR="009D3B32">
        <w:rPr>
          <w:rFonts w:eastAsia="Arial" w:cs="Arial"/>
          <w:color w:val="000000" w:themeColor="text1"/>
          <w:sz w:val="22"/>
          <w:szCs w:val="22"/>
        </w:rPr>
        <w:t>sustainable co-investment from PIs</w:t>
      </w:r>
      <w:r w:rsidR="008A32CD">
        <w:rPr>
          <w:rFonts w:eastAsia="Arial" w:cs="Arial"/>
          <w:color w:val="000000" w:themeColor="text1"/>
          <w:sz w:val="22"/>
          <w:szCs w:val="22"/>
        </w:rPr>
        <w:t xml:space="preserve">. It demonstrates that this model of climate finance through investment vehicles and commercial banks can be extremely successful at leveraging an initial public investment to create </w:t>
      </w:r>
      <w:r w:rsidR="00D77F02">
        <w:rPr>
          <w:rFonts w:eastAsia="Arial" w:cs="Arial"/>
          <w:color w:val="000000" w:themeColor="text1"/>
          <w:sz w:val="22"/>
          <w:szCs w:val="22"/>
        </w:rPr>
        <w:t>greater impact</w:t>
      </w:r>
      <w:r w:rsidR="008A32CD">
        <w:rPr>
          <w:rFonts w:eastAsia="Arial" w:cs="Arial"/>
          <w:color w:val="000000" w:themeColor="text1"/>
          <w:sz w:val="22"/>
          <w:szCs w:val="22"/>
        </w:rPr>
        <w:t xml:space="preserve">.  </w:t>
      </w:r>
    </w:p>
    <w:p w14:paraId="2F799A2E" w14:textId="77777777" w:rsidR="003C5FB9" w:rsidRDefault="003C5FB9" w:rsidP="005E557A">
      <w:pPr>
        <w:jc w:val="both"/>
        <w:rPr>
          <w:rFonts w:eastAsia="Arial" w:cs="Arial"/>
          <w:color w:val="000000" w:themeColor="text1"/>
          <w:sz w:val="22"/>
          <w:szCs w:val="22"/>
        </w:rPr>
      </w:pPr>
    </w:p>
    <w:p w14:paraId="36E68EEF" w14:textId="47BDF3B5" w:rsidR="0088397F" w:rsidRPr="008D3032" w:rsidRDefault="5EA916C7" w:rsidP="005E557A">
      <w:pPr>
        <w:jc w:val="both"/>
        <w:rPr>
          <w:rFonts w:eastAsia="Arial" w:cs="Arial"/>
          <w:color w:val="000000" w:themeColor="text1"/>
          <w:sz w:val="22"/>
          <w:szCs w:val="22"/>
        </w:rPr>
      </w:pPr>
      <w:r w:rsidRPr="58D74F02">
        <w:rPr>
          <w:rFonts w:eastAsia="Arial" w:cs="Arial"/>
          <w:color w:val="000000" w:themeColor="text1"/>
          <w:sz w:val="22"/>
          <w:szCs w:val="22"/>
        </w:rPr>
        <w:t xml:space="preserve">For </w:t>
      </w:r>
      <w:r w:rsidR="3607BE2A" w:rsidRPr="58D74F02">
        <w:rPr>
          <w:rFonts w:eastAsia="Arial" w:cs="Arial"/>
          <w:color w:val="000000" w:themeColor="text1"/>
          <w:sz w:val="22"/>
          <w:szCs w:val="22"/>
        </w:rPr>
        <w:t>O</w:t>
      </w:r>
      <w:r w:rsidRPr="58D74F02">
        <w:rPr>
          <w:rFonts w:eastAsia="Arial" w:cs="Arial"/>
          <w:color w:val="000000" w:themeColor="text1"/>
          <w:sz w:val="22"/>
          <w:szCs w:val="22"/>
        </w:rPr>
        <w:t xml:space="preserve">utcome 1.3 </w:t>
      </w:r>
      <w:r w:rsidR="6FD6437D" w:rsidRPr="58D74F02">
        <w:rPr>
          <w:rFonts w:eastAsia="Arial" w:cs="Arial"/>
          <w:color w:val="000000" w:themeColor="text1"/>
          <w:sz w:val="22"/>
          <w:szCs w:val="22"/>
        </w:rPr>
        <w:t xml:space="preserve">the </w:t>
      </w:r>
      <w:r w:rsidR="10D89773" w:rsidRPr="58D74F02">
        <w:rPr>
          <w:rFonts w:eastAsia="Arial" w:cs="Arial"/>
          <w:color w:val="000000" w:themeColor="text1"/>
          <w:sz w:val="22"/>
          <w:szCs w:val="22"/>
        </w:rPr>
        <w:t xml:space="preserve">target </w:t>
      </w:r>
      <w:r w:rsidRPr="58D74F02">
        <w:rPr>
          <w:rFonts w:eastAsia="Arial" w:cs="Arial"/>
          <w:color w:val="000000" w:themeColor="text1"/>
          <w:sz w:val="22"/>
          <w:szCs w:val="22"/>
        </w:rPr>
        <w:t>has been exceeded</w:t>
      </w:r>
      <w:r w:rsidR="4ED15A6C" w:rsidRPr="58D74F02">
        <w:rPr>
          <w:rFonts w:eastAsia="Arial" w:cs="Arial"/>
          <w:color w:val="000000" w:themeColor="text1"/>
          <w:sz w:val="22"/>
          <w:szCs w:val="22"/>
        </w:rPr>
        <w:t xml:space="preserve"> </w:t>
      </w:r>
      <w:r w:rsidR="0C6041ED" w:rsidRPr="58D74F02">
        <w:rPr>
          <w:rFonts w:eastAsia="Arial" w:cs="Arial"/>
          <w:color w:val="000000" w:themeColor="text1"/>
          <w:sz w:val="22"/>
          <w:szCs w:val="22"/>
        </w:rPr>
        <w:t>substantially</w:t>
      </w:r>
      <w:r w:rsidRPr="58D74F02">
        <w:rPr>
          <w:rFonts w:eastAsia="Arial" w:cs="Arial"/>
          <w:color w:val="000000" w:themeColor="text1"/>
          <w:sz w:val="22"/>
          <w:szCs w:val="22"/>
        </w:rPr>
        <w:t xml:space="preserve"> – a total of </w:t>
      </w:r>
      <w:r w:rsidR="00953C2C" w:rsidRPr="58D74F02">
        <w:rPr>
          <w:rFonts w:eastAsia="Arial" w:cs="Arial"/>
          <w:color w:val="000000" w:themeColor="text1"/>
          <w:sz w:val="22"/>
          <w:szCs w:val="22"/>
        </w:rPr>
        <w:t>97</w:t>
      </w:r>
      <w:r w:rsidR="00E2143D" w:rsidRPr="58D74F02">
        <w:rPr>
          <w:rFonts w:eastAsia="Arial" w:cs="Arial"/>
          <w:color w:val="000000" w:themeColor="text1"/>
          <w:sz w:val="22"/>
          <w:szCs w:val="22"/>
        </w:rPr>
        <w:t>0</w:t>
      </w:r>
      <w:r w:rsidRPr="58D74F02">
        <w:rPr>
          <w:rFonts w:eastAsia="Arial" w:cs="Arial"/>
          <w:color w:val="000000" w:themeColor="text1"/>
          <w:sz w:val="22"/>
          <w:szCs w:val="22"/>
        </w:rPr>
        <w:t xml:space="preserve">,000ha against a </w:t>
      </w:r>
      <w:r w:rsidR="76C6BA6A" w:rsidRPr="58D74F02">
        <w:rPr>
          <w:rFonts w:eastAsia="Arial" w:cs="Arial"/>
          <w:color w:val="000000" w:themeColor="text1"/>
          <w:sz w:val="22"/>
          <w:szCs w:val="22"/>
        </w:rPr>
        <w:t>target</w:t>
      </w:r>
      <w:r w:rsidR="37569E23" w:rsidRPr="58D74F02">
        <w:rPr>
          <w:rFonts w:eastAsia="Arial" w:cs="Arial"/>
          <w:color w:val="000000" w:themeColor="text1"/>
          <w:sz w:val="22"/>
          <w:szCs w:val="22"/>
        </w:rPr>
        <w:t xml:space="preserve"> of </w:t>
      </w:r>
      <w:r w:rsidRPr="58D74F02">
        <w:rPr>
          <w:rFonts w:eastAsia="Arial" w:cs="Arial"/>
          <w:color w:val="000000" w:themeColor="text1"/>
          <w:sz w:val="22"/>
          <w:szCs w:val="22"/>
        </w:rPr>
        <w:t>3</w:t>
      </w:r>
      <w:r w:rsidR="00953C2C" w:rsidRPr="58D74F02">
        <w:rPr>
          <w:rFonts w:eastAsia="Arial" w:cs="Arial"/>
          <w:color w:val="000000" w:themeColor="text1"/>
          <w:sz w:val="22"/>
          <w:szCs w:val="22"/>
        </w:rPr>
        <w:t>5</w:t>
      </w:r>
      <w:r w:rsidRPr="58D74F02">
        <w:rPr>
          <w:rFonts w:eastAsia="Arial" w:cs="Arial"/>
          <w:color w:val="000000" w:themeColor="text1"/>
          <w:sz w:val="22"/>
          <w:szCs w:val="22"/>
        </w:rPr>
        <w:t>0,000ha</w:t>
      </w:r>
      <w:r w:rsidR="1A57D6AA" w:rsidRPr="58D74F02">
        <w:rPr>
          <w:rFonts w:eastAsia="Arial" w:cs="Arial"/>
          <w:color w:val="000000" w:themeColor="text1"/>
          <w:sz w:val="22"/>
          <w:szCs w:val="22"/>
        </w:rPr>
        <w:t xml:space="preserve">. </w:t>
      </w:r>
      <w:r w:rsidR="00953C2C" w:rsidRPr="58D74F02">
        <w:rPr>
          <w:rFonts w:eastAsia="Arial" w:cs="Arial"/>
          <w:color w:val="000000" w:themeColor="text1"/>
          <w:sz w:val="22"/>
          <w:szCs w:val="22"/>
        </w:rPr>
        <w:t>The bulk of this over-shoot occurred in 2021, when</w:t>
      </w:r>
      <w:r w:rsidR="1B3DD597" w:rsidRPr="58D74F02">
        <w:rPr>
          <w:rFonts w:eastAsia="Arial" w:cs="Arial"/>
          <w:color w:val="000000" w:themeColor="text1"/>
          <w:sz w:val="22"/>
          <w:szCs w:val="22"/>
        </w:rPr>
        <w:t xml:space="preserve"> three of the Fund’s </w:t>
      </w:r>
      <w:r w:rsidR="00EF2578" w:rsidRPr="58D74F02">
        <w:rPr>
          <w:rFonts w:eastAsia="Arial" w:cs="Arial"/>
          <w:color w:val="000000" w:themeColor="text1"/>
          <w:sz w:val="22"/>
          <w:szCs w:val="22"/>
        </w:rPr>
        <w:t>PIs</w:t>
      </w:r>
      <w:r w:rsidR="1B3DD597" w:rsidRPr="58D74F02">
        <w:rPr>
          <w:rFonts w:eastAsia="Arial" w:cs="Arial"/>
          <w:color w:val="000000" w:themeColor="text1"/>
          <w:sz w:val="22"/>
          <w:szCs w:val="22"/>
        </w:rPr>
        <w:t xml:space="preserve"> that on-lend financial support to farmers (end-borrowers) to implement sustainable production systems either start</w:t>
      </w:r>
      <w:r w:rsidR="00953C2C" w:rsidRPr="58D74F02">
        <w:rPr>
          <w:rFonts w:eastAsia="Arial" w:cs="Arial"/>
          <w:color w:val="000000" w:themeColor="text1"/>
          <w:sz w:val="22"/>
          <w:szCs w:val="22"/>
        </w:rPr>
        <w:t>ed</w:t>
      </w:r>
      <w:r w:rsidR="1B3DD597" w:rsidRPr="58D74F02">
        <w:rPr>
          <w:rFonts w:eastAsia="Arial" w:cs="Arial"/>
          <w:color w:val="000000" w:themeColor="text1"/>
          <w:sz w:val="22"/>
          <w:szCs w:val="22"/>
        </w:rPr>
        <w:t xml:space="preserve"> or increas</w:t>
      </w:r>
      <w:r w:rsidR="00953C2C" w:rsidRPr="58D74F02">
        <w:rPr>
          <w:rFonts w:eastAsia="Arial" w:cs="Arial"/>
          <w:color w:val="000000" w:themeColor="text1"/>
          <w:sz w:val="22"/>
          <w:szCs w:val="22"/>
        </w:rPr>
        <w:t>ed</w:t>
      </w:r>
      <w:r w:rsidR="1B3DD597" w:rsidRPr="58D74F02">
        <w:rPr>
          <w:rFonts w:eastAsia="Arial" w:cs="Arial"/>
          <w:color w:val="000000" w:themeColor="text1"/>
          <w:sz w:val="22"/>
          <w:szCs w:val="22"/>
        </w:rPr>
        <w:t xml:space="preserve"> their reporting on hectares under agroforestry systems. </w:t>
      </w:r>
      <w:r w:rsidR="00953C2C" w:rsidRPr="58D74F02">
        <w:rPr>
          <w:rFonts w:eastAsia="Arial" w:cs="Arial"/>
          <w:color w:val="000000" w:themeColor="text1"/>
          <w:sz w:val="22"/>
          <w:szCs w:val="22"/>
        </w:rPr>
        <w:t xml:space="preserve">In 2022 there was a return to a more stable trajectory with an increase of 115,000ha, though still almost </w:t>
      </w:r>
      <w:r w:rsidR="1B5F281F" w:rsidRPr="58D74F02">
        <w:rPr>
          <w:rFonts w:eastAsia="Arial" w:cs="Arial"/>
          <w:color w:val="000000" w:themeColor="text1"/>
          <w:sz w:val="22"/>
          <w:szCs w:val="22"/>
        </w:rPr>
        <w:t>three</w:t>
      </w:r>
      <w:r w:rsidR="00953C2C" w:rsidRPr="58D74F02">
        <w:rPr>
          <w:rFonts w:eastAsia="Arial" w:cs="Arial"/>
          <w:color w:val="000000" w:themeColor="text1"/>
          <w:sz w:val="22"/>
          <w:szCs w:val="22"/>
        </w:rPr>
        <w:t xml:space="preserve"> times the increase projected in the milestones</w:t>
      </w:r>
      <w:r w:rsidR="1B3DD597" w:rsidRPr="58D74F02">
        <w:rPr>
          <w:rFonts w:eastAsia="Arial" w:cs="Arial"/>
          <w:color w:val="000000" w:themeColor="text1"/>
          <w:sz w:val="22"/>
          <w:szCs w:val="22"/>
        </w:rPr>
        <w:t xml:space="preserve">. </w:t>
      </w:r>
      <w:r w:rsidR="0088397F" w:rsidRPr="58D74F02">
        <w:rPr>
          <w:rFonts w:eastAsia="Arial" w:cs="Arial"/>
          <w:color w:val="000000" w:themeColor="text1"/>
          <w:sz w:val="22"/>
          <w:szCs w:val="22"/>
        </w:rPr>
        <w:t xml:space="preserve">EBF’s use-of-proceeds criteria require that end-borrowers either hold an </w:t>
      </w:r>
      <w:proofErr w:type="spellStart"/>
      <w:proofErr w:type="gramStart"/>
      <w:r w:rsidR="0088397F" w:rsidRPr="58D74F02">
        <w:rPr>
          <w:rFonts w:eastAsia="Arial" w:cs="Arial"/>
          <w:color w:val="000000" w:themeColor="text1"/>
          <w:sz w:val="22"/>
          <w:szCs w:val="22"/>
        </w:rPr>
        <w:t>eco.business</w:t>
      </w:r>
      <w:proofErr w:type="spellEnd"/>
      <w:proofErr w:type="gramEnd"/>
      <w:r w:rsidR="0088397F" w:rsidRPr="58D74F02">
        <w:rPr>
          <w:rFonts w:eastAsia="Arial" w:cs="Arial"/>
          <w:color w:val="000000" w:themeColor="text1"/>
          <w:sz w:val="22"/>
          <w:szCs w:val="22"/>
        </w:rPr>
        <w:t xml:space="preserve"> Fund-eligible sustainability certification or implement a sustainable business practice included </w:t>
      </w:r>
      <w:r w:rsidR="00354A1B" w:rsidRPr="58D74F02">
        <w:rPr>
          <w:rFonts w:eastAsia="Arial" w:cs="Arial"/>
          <w:color w:val="000000" w:themeColor="text1"/>
          <w:sz w:val="22"/>
          <w:szCs w:val="22"/>
        </w:rPr>
        <w:t>i</w:t>
      </w:r>
      <w:r w:rsidR="0088397F" w:rsidRPr="58D74F02">
        <w:rPr>
          <w:rFonts w:eastAsia="Arial" w:cs="Arial"/>
          <w:color w:val="000000" w:themeColor="text1"/>
          <w:sz w:val="22"/>
          <w:szCs w:val="22"/>
        </w:rPr>
        <w:t>n the fund’s Green List, such as the purchase and installation of water-saving drip or micro-sprinkler irrigation systems or the renewal or establishment of cocoa and coffee plantations under agroforestry systems.</w:t>
      </w:r>
      <w:r w:rsidR="00BA27A2" w:rsidRPr="58D74F02">
        <w:rPr>
          <w:rFonts w:eastAsia="Arial" w:cs="Arial"/>
          <w:color w:val="000000" w:themeColor="text1"/>
          <w:sz w:val="22"/>
          <w:szCs w:val="22"/>
        </w:rPr>
        <w:t xml:space="preserve"> As well as </w:t>
      </w:r>
      <w:r w:rsidR="002E49BA" w:rsidRPr="58D74F02">
        <w:rPr>
          <w:rFonts w:eastAsia="Arial" w:cs="Arial"/>
          <w:color w:val="000000" w:themeColor="text1"/>
          <w:sz w:val="22"/>
          <w:szCs w:val="22"/>
        </w:rPr>
        <w:t>qualifying for support with</w:t>
      </w:r>
      <w:r w:rsidR="00BA27A2" w:rsidRPr="58D74F02">
        <w:rPr>
          <w:rFonts w:eastAsia="Arial" w:cs="Arial"/>
          <w:color w:val="000000" w:themeColor="text1"/>
          <w:sz w:val="22"/>
          <w:szCs w:val="22"/>
        </w:rPr>
        <w:t xml:space="preserve"> a Green List practice, end borrowers must also adhere to </w:t>
      </w:r>
      <w:r w:rsidR="002E49BA" w:rsidRPr="58D74F02">
        <w:rPr>
          <w:rFonts w:eastAsia="Arial" w:cs="Arial"/>
          <w:color w:val="000000" w:themeColor="text1"/>
          <w:sz w:val="22"/>
          <w:szCs w:val="22"/>
        </w:rPr>
        <w:t>the Fund’s other sustainability principles.</w:t>
      </w:r>
    </w:p>
    <w:p w14:paraId="771CC040" w14:textId="77777777" w:rsidR="0088397F" w:rsidRPr="008D3032" w:rsidRDefault="0088397F" w:rsidP="005E557A">
      <w:pPr>
        <w:jc w:val="both"/>
        <w:rPr>
          <w:rFonts w:eastAsia="Arial" w:cs="Arial"/>
          <w:color w:val="000000" w:themeColor="text1"/>
          <w:sz w:val="22"/>
          <w:szCs w:val="22"/>
        </w:rPr>
      </w:pPr>
    </w:p>
    <w:p w14:paraId="1E3FC522" w14:textId="5918B31C" w:rsidR="003A29DC" w:rsidRDefault="00BA27A2" w:rsidP="005E557A">
      <w:pPr>
        <w:jc w:val="both"/>
        <w:rPr>
          <w:rFonts w:eastAsia="Arial" w:cs="Arial"/>
          <w:color w:val="000000" w:themeColor="text1"/>
          <w:sz w:val="22"/>
          <w:szCs w:val="22"/>
        </w:rPr>
      </w:pPr>
      <w:r w:rsidRPr="008D3032">
        <w:rPr>
          <w:rFonts w:eastAsia="Arial" w:cs="Arial"/>
          <w:color w:val="000000" w:themeColor="text1"/>
          <w:sz w:val="22"/>
          <w:szCs w:val="22"/>
        </w:rPr>
        <w:t xml:space="preserve">Outcomes 1.5 and 1.6 are commercially sensitive and cannot be published, but </w:t>
      </w:r>
      <w:r w:rsidR="003A29DC">
        <w:rPr>
          <w:rFonts w:eastAsia="Arial" w:cs="Arial"/>
          <w:color w:val="000000" w:themeColor="text1"/>
          <w:sz w:val="22"/>
          <w:szCs w:val="22"/>
        </w:rPr>
        <w:t xml:space="preserve">both continue to exceed Defra’s targets more than twice over. However, it should be noted that the increase in public finance was lower than projected </w:t>
      </w:r>
      <w:r w:rsidR="00EA4ED9">
        <w:rPr>
          <w:rFonts w:eastAsia="Arial" w:cs="Arial"/>
          <w:color w:val="000000" w:themeColor="text1"/>
          <w:sz w:val="22"/>
          <w:szCs w:val="22"/>
        </w:rPr>
        <w:t>in</w:t>
      </w:r>
      <w:r w:rsidR="003A29DC">
        <w:rPr>
          <w:rFonts w:eastAsia="Arial" w:cs="Arial"/>
          <w:color w:val="000000" w:themeColor="text1"/>
          <w:sz w:val="22"/>
          <w:szCs w:val="22"/>
        </w:rPr>
        <w:t xml:space="preserve"> 2022, even though the overall figure remains far ahead of the milestone</w:t>
      </w:r>
      <w:r w:rsidRPr="008D3032">
        <w:rPr>
          <w:rFonts w:eastAsia="Arial" w:cs="Arial"/>
          <w:color w:val="000000" w:themeColor="text1"/>
          <w:sz w:val="22"/>
          <w:szCs w:val="22"/>
        </w:rPr>
        <w:t>.</w:t>
      </w:r>
      <w:r w:rsidR="003A29DC">
        <w:rPr>
          <w:rFonts w:eastAsia="Arial" w:cs="Arial"/>
          <w:color w:val="000000" w:themeColor="text1"/>
          <w:sz w:val="22"/>
          <w:szCs w:val="22"/>
        </w:rPr>
        <w:t xml:space="preserve"> The increase for private finance, however, was several times the projected increase, as well as the overall figure exceeding expectations. Milestones for both will be revised upwards to ensure that year-on-year progress remains good, as well as overall progress.</w:t>
      </w:r>
    </w:p>
    <w:p w14:paraId="63EC06D3" w14:textId="77777777" w:rsidR="003A29DC" w:rsidRDefault="003A29DC" w:rsidP="005E557A">
      <w:pPr>
        <w:jc w:val="both"/>
        <w:rPr>
          <w:rFonts w:eastAsia="Arial" w:cs="Arial"/>
          <w:color w:val="000000" w:themeColor="text1"/>
          <w:sz w:val="22"/>
          <w:szCs w:val="22"/>
        </w:rPr>
      </w:pPr>
    </w:p>
    <w:p w14:paraId="30D1DF97" w14:textId="07ED0E15" w:rsidR="00EC2ED1" w:rsidRDefault="003A29DC" w:rsidP="005E557A">
      <w:pPr>
        <w:jc w:val="both"/>
        <w:rPr>
          <w:rFonts w:eastAsia="Arial" w:cs="Arial"/>
          <w:color w:val="000000" w:themeColor="text1"/>
          <w:sz w:val="22"/>
          <w:szCs w:val="22"/>
        </w:rPr>
      </w:pPr>
      <w:r w:rsidRPr="58D74F02">
        <w:rPr>
          <w:rFonts w:eastAsia="Arial" w:cs="Arial"/>
          <w:color w:val="000000" w:themeColor="text1"/>
          <w:sz w:val="22"/>
          <w:szCs w:val="22"/>
        </w:rPr>
        <w:t>The</w:t>
      </w:r>
      <w:r w:rsidR="1E390340" w:rsidRPr="58D74F02">
        <w:rPr>
          <w:rFonts w:eastAsia="Arial" w:cs="Arial"/>
          <w:color w:val="000000" w:themeColor="text1"/>
          <w:sz w:val="22"/>
          <w:szCs w:val="22"/>
        </w:rPr>
        <w:t xml:space="preserve"> </w:t>
      </w:r>
      <w:r w:rsidR="00EF2578" w:rsidRPr="58D74F02">
        <w:rPr>
          <w:rFonts w:eastAsia="Arial" w:cs="Arial"/>
          <w:color w:val="000000" w:themeColor="text1"/>
          <w:sz w:val="22"/>
          <w:szCs w:val="22"/>
        </w:rPr>
        <w:t>n</w:t>
      </w:r>
      <w:r w:rsidR="31398083" w:rsidRPr="58D74F02">
        <w:rPr>
          <w:rFonts w:eastAsia="Arial" w:cs="Arial"/>
          <w:color w:val="000000" w:themeColor="text1"/>
          <w:sz w:val="22"/>
          <w:szCs w:val="22"/>
        </w:rPr>
        <w:t xml:space="preserve">umber of jobs supported by sub-borrowers </w:t>
      </w:r>
      <w:r w:rsidR="77B3275C" w:rsidRPr="58D74F02">
        <w:rPr>
          <w:rFonts w:eastAsia="Arial" w:cs="Arial"/>
          <w:color w:val="000000" w:themeColor="text1"/>
          <w:sz w:val="22"/>
          <w:szCs w:val="22"/>
        </w:rPr>
        <w:t>because of</w:t>
      </w:r>
      <w:r w:rsidR="31398083" w:rsidRPr="58D74F02">
        <w:rPr>
          <w:rFonts w:eastAsia="Arial" w:cs="Arial"/>
          <w:color w:val="000000" w:themeColor="text1"/>
          <w:sz w:val="22"/>
          <w:szCs w:val="22"/>
        </w:rPr>
        <w:t xml:space="preserve"> EBF support (1.7) </w:t>
      </w:r>
      <w:r w:rsidR="1E390340" w:rsidRPr="58D74F02">
        <w:rPr>
          <w:rFonts w:eastAsia="Arial" w:cs="Arial"/>
          <w:color w:val="000000" w:themeColor="text1"/>
          <w:sz w:val="22"/>
          <w:szCs w:val="22"/>
        </w:rPr>
        <w:t xml:space="preserve">increased </w:t>
      </w:r>
      <w:r w:rsidRPr="58D74F02">
        <w:rPr>
          <w:rFonts w:eastAsia="Arial" w:cs="Arial"/>
          <w:color w:val="000000" w:themeColor="text1"/>
          <w:sz w:val="22"/>
          <w:szCs w:val="22"/>
        </w:rPr>
        <w:t>in line with the greater area being supported under sustainable management</w:t>
      </w:r>
      <w:r w:rsidR="009A29AE">
        <w:rPr>
          <w:rFonts w:eastAsia="Arial" w:cs="Arial"/>
          <w:color w:val="000000" w:themeColor="text1"/>
          <w:sz w:val="22"/>
          <w:szCs w:val="22"/>
        </w:rPr>
        <w:t xml:space="preserve">, </w:t>
      </w:r>
      <w:r w:rsidR="00FA213D">
        <w:rPr>
          <w:rFonts w:eastAsia="Arial" w:cs="Arial"/>
          <w:color w:val="000000" w:themeColor="text1"/>
          <w:sz w:val="22"/>
          <w:szCs w:val="22"/>
        </w:rPr>
        <w:t xml:space="preserve">tackling poverty by </w:t>
      </w:r>
      <w:r w:rsidR="009C2399">
        <w:rPr>
          <w:rFonts w:eastAsia="Arial" w:cs="Arial"/>
          <w:color w:val="000000" w:themeColor="text1"/>
          <w:sz w:val="22"/>
          <w:szCs w:val="22"/>
        </w:rPr>
        <w:t xml:space="preserve">making finance available to small farmers and </w:t>
      </w:r>
      <w:r w:rsidR="00FA213D">
        <w:rPr>
          <w:rFonts w:eastAsia="Arial" w:cs="Arial"/>
          <w:color w:val="000000" w:themeColor="text1"/>
          <w:sz w:val="22"/>
          <w:szCs w:val="22"/>
        </w:rPr>
        <w:t xml:space="preserve">sustainable </w:t>
      </w:r>
      <w:r w:rsidR="009C2399">
        <w:rPr>
          <w:rFonts w:eastAsia="Arial" w:cs="Arial"/>
          <w:color w:val="000000" w:themeColor="text1"/>
          <w:sz w:val="22"/>
          <w:szCs w:val="22"/>
        </w:rPr>
        <w:t>businesses</w:t>
      </w:r>
      <w:r w:rsidR="1E390340" w:rsidRPr="58D74F02">
        <w:rPr>
          <w:rFonts w:eastAsia="Arial" w:cs="Arial"/>
          <w:color w:val="000000" w:themeColor="text1"/>
          <w:sz w:val="22"/>
          <w:szCs w:val="22"/>
        </w:rPr>
        <w:t>.</w:t>
      </w:r>
      <w:r w:rsidR="005F3B70">
        <w:rPr>
          <w:rFonts w:eastAsia="Arial" w:cs="Arial"/>
          <w:color w:val="000000" w:themeColor="text1"/>
          <w:sz w:val="22"/>
          <w:szCs w:val="22"/>
        </w:rPr>
        <w:t xml:space="preserve"> </w:t>
      </w:r>
      <w:r w:rsidR="001F42D5">
        <w:rPr>
          <w:rFonts w:eastAsia="Arial" w:cs="Arial"/>
          <w:color w:val="000000" w:themeColor="text1"/>
          <w:sz w:val="22"/>
          <w:szCs w:val="22"/>
        </w:rPr>
        <w:t>Regarding the quality and security of these jobs, m</w:t>
      </w:r>
      <w:r w:rsidR="008879B4">
        <w:rPr>
          <w:rFonts w:eastAsia="Arial" w:cs="Arial"/>
          <w:color w:val="000000" w:themeColor="text1"/>
          <w:sz w:val="22"/>
          <w:szCs w:val="22"/>
        </w:rPr>
        <w:t xml:space="preserve">any of the sustainability certifications which qualify end-borrowers for finance through the Fund </w:t>
      </w:r>
      <w:r w:rsidR="00A67448">
        <w:rPr>
          <w:rFonts w:eastAsia="Arial" w:cs="Arial"/>
          <w:color w:val="000000" w:themeColor="text1"/>
          <w:sz w:val="22"/>
          <w:szCs w:val="22"/>
        </w:rPr>
        <w:t>have requirements on labour practices</w:t>
      </w:r>
      <w:r w:rsidR="00321D5C">
        <w:rPr>
          <w:rFonts w:eastAsia="Arial" w:cs="Arial"/>
          <w:color w:val="000000" w:themeColor="text1"/>
          <w:sz w:val="22"/>
          <w:szCs w:val="22"/>
        </w:rPr>
        <w:t xml:space="preserve">. One example of this is Fairtrade, which requires compliance with local </w:t>
      </w:r>
      <w:r w:rsidR="00AC59C4">
        <w:rPr>
          <w:rFonts w:eastAsia="Arial" w:cs="Arial"/>
          <w:color w:val="000000" w:themeColor="text1"/>
          <w:sz w:val="22"/>
          <w:szCs w:val="22"/>
        </w:rPr>
        <w:t>r</w:t>
      </w:r>
      <w:r w:rsidR="00321D5C">
        <w:rPr>
          <w:rFonts w:eastAsia="Arial" w:cs="Arial"/>
          <w:color w:val="000000" w:themeColor="text1"/>
          <w:sz w:val="22"/>
          <w:szCs w:val="22"/>
        </w:rPr>
        <w:t xml:space="preserve">egulations and stipulates extra requirements in </w:t>
      </w:r>
      <w:r w:rsidR="00AC59C4" w:rsidRPr="00AC59C4">
        <w:rPr>
          <w:rFonts w:eastAsia="Arial" w:cs="Arial"/>
          <w:color w:val="000000" w:themeColor="text1"/>
          <w:sz w:val="22"/>
          <w:szCs w:val="22"/>
        </w:rPr>
        <w:t>areas such as freedom of association and collective bargaining, occupational health and safety, workplace conditions, contract requirements, annual leave and living wages</w:t>
      </w:r>
      <w:r w:rsidR="00C56C35">
        <w:rPr>
          <w:rFonts w:eastAsia="Arial" w:cs="Arial"/>
          <w:color w:val="000000" w:themeColor="text1"/>
          <w:sz w:val="22"/>
          <w:szCs w:val="22"/>
        </w:rPr>
        <w:t>,</w:t>
      </w:r>
      <w:r w:rsidR="00AC59C4" w:rsidRPr="00AC59C4">
        <w:rPr>
          <w:rFonts w:eastAsia="Arial" w:cs="Arial"/>
          <w:color w:val="000000" w:themeColor="text1"/>
          <w:sz w:val="22"/>
          <w:szCs w:val="22"/>
        </w:rPr>
        <w:t xml:space="preserve"> among</w:t>
      </w:r>
      <w:r w:rsidR="00C56C35">
        <w:rPr>
          <w:rFonts w:eastAsia="Arial" w:cs="Arial"/>
          <w:color w:val="000000" w:themeColor="text1"/>
          <w:sz w:val="22"/>
          <w:szCs w:val="22"/>
        </w:rPr>
        <w:t>st</w:t>
      </w:r>
      <w:r w:rsidR="00AC59C4" w:rsidRPr="00AC59C4">
        <w:rPr>
          <w:rFonts w:eastAsia="Arial" w:cs="Arial"/>
          <w:color w:val="000000" w:themeColor="text1"/>
          <w:sz w:val="22"/>
          <w:szCs w:val="22"/>
        </w:rPr>
        <w:t xml:space="preserve"> other</w:t>
      </w:r>
      <w:r w:rsidR="00C56C35">
        <w:rPr>
          <w:rFonts w:eastAsia="Arial" w:cs="Arial"/>
          <w:color w:val="000000" w:themeColor="text1"/>
          <w:sz w:val="22"/>
          <w:szCs w:val="22"/>
        </w:rPr>
        <w:t>s</w:t>
      </w:r>
      <w:r w:rsidR="00AC59C4" w:rsidRPr="00AC59C4">
        <w:rPr>
          <w:rFonts w:eastAsia="Arial" w:cs="Arial"/>
          <w:color w:val="000000" w:themeColor="text1"/>
          <w:sz w:val="22"/>
          <w:szCs w:val="22"/>
        </w:rPr>
        <w:t xml:space="preserve">. </w:t>
      </w:r>
      <w:r w:rsidR="00C56C35">
        <w:rPr>
          <w:rFonts w:eastAsia="Arial" w:cs="Arial"/>
          <w:color w:val="000000" w:themeColor="text1"/>
          <w:sz w:val="22"/>
          <w:szCs w:val="22"/>
        </w:rPr>
        <w:t>The</w:t>
      </w:r>
      <w:r w:rsidR="00AC59C4" w:rsidRPr="00AC59C4">
        <w:rPr>
          <w:rFonts w:eastAsia="Arial" w:cs="Arial"/>
          <w:color w:val="000000" w:themeColor="text1"/>
          <w:sz w:val="22"/>
          <w:szCs w:val="22"/>
        </w:rPr>
        <w:t xml:space="preserve"> Fund</w:t>
      </w:r>
      <w:r w:rsidR="00C56C35">
        <w:rPr>
          <w:rFonts w:eastAsia="Arial" w:cs="Arial"/>
          <w:color w:val="000000" w:themeColor="text1"/>
          <w:sz w:val="22"/>
          <w:szCs w:val="22"/>
        </w:rPr>
        <w:t xml:space="preserve"> always</w:t>
      </w:r>
      <w:r w:rsidR="00AC59C4" w:rsidRPr="00AC59C4">
        <w:rPr>
          <w:rFonts w:eastAsia="Arial" w:cs="Arial"/>
          <w:color w:val="000000" w:themeColor="text1"/>
          <w:sz w:val="22"/>
          <w:szCs w:val="22"/>
        </w:rPr>
        <w:t xml:space="preserve"> requires that activities financed are compliant with local labour regulations for both certified and non-certified borrowers.</w:t>
      </w:r>
    </w:p>
    <w:p w14:paraId="5FC90768" w14:textId="77777777" w:rsidR="00EC2ED1" w:rsidRDefault="00EC2ED1" w:rsidP="005E557A">
      <w:pPr>
        <w:jc w:val="both"/>
        <w:rPr>
          <w:rFonts w:eastAsia="Arial" w:cs="Arial"/>
          <w:color w:val="000000" w:themeColor="text1"/>
          <w:sz w:val="22"/>
          <w:szCs w:val="22"/>
        </w:rPr>
      </w:pPr>
    </w:p>
    <w:p w14:paraId="32D02520" w14:textId="77777777" w:rsidR="009D2C70" w:rsidRDefault="003A29DC" w:rsidP="005E557A">
      <w:pPr>
        <w:jc w:val="both"/>
        <w:rPr>
          <w:rFonts w:eastAsia="Arial" w:cs="Arial"/>
          <w:color w:val="000000" w:themeColor="text1"/>
          <w:sz w:val="22"/>
          <w:szCs w:val="22"/>
        </w:rPr>
      </w:pPr>
      <w:r w:rsidRPr="58D74F02">
        <w:rPr>
          <w:rFonts w:eastAsia="Arial" w:cs="Arial"/>
          <w:color w:val="000000" w:themeColor="text1"/>
          <w:sz w:val="22"/>
          <w:szCs w:val="22"/>
        </w:rPr>
        <w:t>The</w:t>
      </w:r>
      <w:r w:rsidR="65B67A95" w:rsidRPr="58D74F02">
        <w:rPr>
          <w:rFonts w:eastAsia="Arial" w:cs="Arial"/>
          <w:color w:val="000000" w:themeColor="text1"/>
          <w:sz w:val="22"/>
          <w:szCs w:val="22"/>
        </w:rPr>
        <w:t xml:space="preserve"> </w:t>
      </w:r>
      <w:r w:rsidR="07E0C146" w:rsidRPr="58D74F02">
        <w:rPr>
          <w:rFonts w:eastAsia="Arial" w:cs="Arial"/>
          <w:color w:val="000000" w:themeColor="text1"/>
          <w:sz w:val="22"/>
          <w:szCs w:val="22"/>
        </w:rPr>
        <w:t>CO</w:t>
      </w:r>
      <w:r w:rsidR="07E0C146" w:rsidRPr="58D74F02">
        <w:rPr>
          <w:rFonts w:eastAsia="Arial" w:cs="Arial"/>
          <w:color w:val="000000" w:themeColor="text1"/>
          <w:sz w:val="22"/>
          <w:szCs w:val="22"/>
          <w:vertAlign w:val="subscript"/>
        </w:rPr>
        <w:t>2</w:t>
      </w:r>
      <w:r w:rsidR="07E0C146" w:rsidRPr="58D74F02">
        <w:rPr>
          <w:rFonts w:eastAsia="Arial" w:cs="Arial"/>
          <w:color w:val="000000" w:themeColor="text1"/>
          <w:sz w:val="22"/>
          <w:szCs w:val="22"/>
        </w:rPr>
        <w:t xml:space="preserve"> </w:t>
      </w:r>
      <w:r w:rsidR="00016BFE">
        <w:rPr>
          <w:rFonts w:eastAsia="Arial" w:cs="Arial"/>
          <w:color w:val="000000" w:themeColor="text1"/>
          <w:sz w:val="22"/>
          <w:szCs w:val="22"/>
        </w:rPr>
        <w:t>net storage</w:t>
      </w:r>
      <w:r w:rsidR="07E0C146" w:rsidRPr="58D74F02">
        <w:rPr>
          <w:rFonts w:eastAsia="Arial" w:cs="Arial"/>
          <w:color w:val="000000" w:themeColor="text1"/>
          <w:sz w:val="22"/>
          <w:szCs w:val="22"/>
        </w:rPr>
        <w:t xml:space="preserve"> indicator 1.8 </w:t>
      </w:r>
      <w:r w:rsidRPr="58D74F02">
        <w:rPr>
          <w:rFonts w:eastAsia="Arial" w:cs="Arial"/>
          <w:color w:val="000000" w:themeColor="text1"/>
          <w:sz w:val="22"/>
          <w:szCs w:val="22"/>
        </w:rPr>
        <w:t>(</w:t>
      </w:r>
      <w:r w:rsidR="07E0C146" w:rsidRPr="58D74F02">
        <w:rPr>
          <w:rFonts w:eastAsia="Arial" w:cs="Arial"/>
          <w:color w:val="000000" w:themeColor="text1"/>
          <w:sz w:val="22"/>
          <w:szCs w:val="22"/>
        </w:rPr>
        <w:t>ICF KPI 6) also increased accordingly</w:t>
      </w:r>
      <w:r w:rsidRPr="58D74F02">
        <w:rPr>
          <w:rFonts w:eastAsia="Arial" w:cs="Arial"/>
          <w:color w:val="000000" w:themeColor="text1"/>
          <w:sz w:val="22"/>
          <w:szCs w:val="22"/>
        </w:rPr>
        <w:t>,</w:t>
      </w:r>
      <w:r w:rsidR="07E0C146" w:rsidRPr="58D74F02">
        <w:rPr>
          <w:rFonts w:eastAsia="Arial" w:cs="Arial"/>
          <w:color w:val="000000" w:themeColor="text1"/>
          <w:sz w:val="22"/>
          <w:szCs w:val="22"/>
        </w:rPr>
        <w:t xml:space="preserve"> as the calculation of the indicator is based on </w:t>
      </w:r>
      <w:r w:rsidR="005C17E6" w:rsidRPr="58D74F02">
        <w:rPr>
          <w:rFonts w:eastAsia="Arial" w:cs="Arial"/>
          <w:color w:val="000000" w:themeColor="text1"/>
          <w:sz w:val="22"/>
          <w:szCs w:val="22"/>
        </w:rPr>
        <w:t>a share of</w:t>
      </w:r>
      <w:r w:rsidR="07E0C146" w:rsidRPr="58D74F02">
        <w:rPr>
          <w:rFonts w:eastAsia="Arial" w:cs="Arial"/>
          <w:color w:val="000000" w:themeColor="text1"/>
          <w:sz w:val="22"/>
          <w:szCs w:val="22"/>
        </w:rPr>
        <w:t xml:space="preserve"> hectares reported, </w:t>
      </w:r>
      <w:r w:rsidR="002C0FA6" w:rsidRPr="58D74F02">
        <w:rPr>
          <w:rFonts w:eastAsia="Arial" w:cs="Arial"/>
          <w:color w:val="000000" w:themeColor="text1"/>
          <w:sz w:val="22"/>
          <w:szCs w:val="22"/>
        </w:rPr>
        <w:t xml:space="preserve">namely those under agroforestry practices, </w:t>
      </w:r>
      <w:proofErr w:type="gramStart"/>
      <w:r w:rsidR="07E0C146" w:rsidRPr="58D74F02">
        <w:rPr>
          <w:rFonts w:eastAsia="Arial" w:cs="Arial"/>
          <w:color w:val="000000" w:themeColor="text1"/>
          <w:sz w:val="22"/>
          <w:szCs w:val="22"/>
        </w:rPr>
        <w:t>coffee</w:t>
      </w:r>
      <w:proofErr w:type="gramEnd"/>
      <w:r w:rsidR="07E0C146" w:rsidRPr="58D74F02">
        <w:rPr>
          <w:rFonts w:eastAsia="Arial" w:cs="Arial"/>
          <w:color w:val="000000" w:themeColor="text1"/>
          <w:sz w:val="22"/>
          <w:szCs w:val="22"/>
        </w:rPr>
        <w:t xml:space="preserve"> and cocoa, the two products for which the methodology is built.</w:t>
      </w:r>
      <w:r w:rsidRPr="58D74F02">
        <w:rPr>
          <w:rFonts w:eastAsia="Arial" w:cs="Arial"/>
          <w:color w:val="000000" w:themeColor="text1"/>
          <w:sz w:val="22"/>
          <w:szCs w:val="22"/>
        </w:rPr>
        <w:t xml:space="preserve"> Both are exceeding milestones by a healthy </w:t>
      </w:r>
      <w:proofErr w:type="gramStart"/>
      <w:r w:rsidRPr="58D74F02">
        <w:rPr>
          <w:rFonts w:eastAsia="Arial" w:cs="Arial"/>
          <w:color w:val="000000" w:themeColor="text1"/>
          <w:sz w:val="22"/>
          <w:szCs w:val="22"/>
        </w:rPr>
        <w:t>margin, and</w:t>
      </w:r>
      <w:proofErr w:type="gramEnd"/>
      <w:r w:rsidRPr="58D74F02">
        <w:rPr>
          <w:rFonts w:eastAsia="Arial" w:cs="Arial"/>
          <w:color w:val="000000" w:themeColor="text1"/>
          <w:sz w:val="22"/>
          <w:szCs w:val="22"/>
        </w:rPr>
        <w:t xml:space="preserve"> will be revised upwards for 2023 and beyond.</w:t>
      </w:r>
      <w:r w:rsidR="00BD1DAD">
        <w:rPr>
          <w:rFonts w:eastAsia="Arial" w:cs="Arial"/>
          <w:color w:val="000000" w:themeColor="text1"/>
          <w:sz w:val="22"/>
          <w:szCs w:val="22"/>
        </w:rPr>
        <w:t xml:space="preserve"> </w:t>
      </w:r>
    </w:p>
    <w:p w14:paraId="3992F29D" w14:textId="77777777" w:rsidR="009D2C70" w:rsidRDefault="009D2C70" w:rsidP="005E557A">
      <w:pPr>
        <w:jc w:val="both"/>
        <w:rPr>
          <w:rFonts w:eastAsia="Arial" w:cs="Arial"/>
          <w:color w:val="000000" w:themeColor="text1"/>
          <w:sz w:val="22"/>
          <w:szCs w:val="22"/>
        </w:rPr>
      </w:pPr>
    </w:p>
    <w:p w14:paraId="46371F9B" w14:textId="762D0E85" w:rsidR="009E1645" w:rsidRPr="008D3032" w:rsidRDefault="00944DE7" w:rsidP="005E557A">
      <w:pPr>
        <w:jc w:val="both"/>
        <w:rPr>
          <w:rFonts w:eastAsia="Arial" w:cs="Arial"/>
          <w:color w:val="000000" w:themeColor="text1"/>
          <w:sz w:val="22"/>
          <w:szCs w:val="22"/>
        </w:rPr>
      </w:pPr>
      <w:r w:rsidRPr="58D74F02">
        <w:rPr>
          <w:rFonts w:eastAsia="Arial" w:cs="Arial"/>
          <w:color w:val="000000" w:themeColor="text1"/>
          <w:sz w:val="22"/>
          <w:szCs w:val="22"/>
        </w:rPr>
        <w:t xml:space="preserve">EBF also records </w:t>
      </w:r>
      <w:r w:rsidR="15704565" w:rsidRPr="58D74F02">
        <w:rPr>
          <w:rFonts w:eastAsia="Arial" w:cs="Arial"/>
          <w:color w:val="000000" w:themeColor="text1"/>
          <w:sz w:val="22"/>
          <w:szCs w:val="22"/>
        </w:rPr>
        <w:t>several</w:t>
      </w:r>
      <w:r w:rsidRPr="58D74F02">
        <w:rPr>
          <w:rFonts w:eastAsia="Arial" w:cs="Arial"/>
          <w:color w:val="000000" w:themeColor="text1"/>
          <w:sz w:val="22"/>
          <w:szCs w:val="22"/>
        </w:rPr>
        <w:t xml:space="preserve"> other </w:t>
      </w:r>
      <w:r w:rsidR="00F50158" w:rsidRPr="58D74F02">
        <w:rPr>
          <w:rFonts w:eastAsia="Arial" w:cs="Arial"/>
          <w:color w:val="000000" w:themeColor="text1"/>
          <w:sz w:val="22"/>
          <w:szCs w:val="22"/>
        </w:rPr>
        <w:t>impacts</w:t>
      </w:r>
      <w:r w:rsidR="002D02D1" w:rsidRPr="58D74F02">
        <w:rPr>
          <w:rFonts w:eastAsia="Arial" w:cs="Arial"/>
          <w:color w:val="000000" w:themeColor="text1"/>
          <w:sz w:val="22"/>
          <w:szCs w:val="22"/>
        </w:rPr>
        <w:t xml:space="preserve"> that</w:t>
      </w:r>
      <w:r w:rsidR="009E1645" w:rsidRPr="58D74F02">
        <w:rPr>
          <w:rFonts w:eastAsia="Arial" w:cs="Arial"/>
          <w:color w:val="000000" w:themeColor="text1"/>
          <w:sz w:val="22"/>
          <w:szCs w:val="22"/>
        </w:rPr>
        <w:t xml:space="preserve"> capture more detail on the types of change EBF is driving in Latin America and the Caribbean. This includes farming techniques which reduce soil erosion, and reduced use of herbicides and fertilisers, all essential parts of sustainable production practices.</w:t>
      </w:r>
      <w:r w:rsidR="007C6F64" w:rsidRPr="58D74F02">
        <w:rPr>
          <w:rFonts w:eastAsia="Arial" w:cs="Arial"/>
          <w:color w:val="000000" w:themeColor="text1"/>
          <w:sz w:val="22"/>
          <w:szCs w:val="22"/>
        </w:rPr>
        <w:t xml:space="preserve"> As of</w:t>
      </w:r>
      <w:r w:rsidR="00C85B4C" w:rsidRPr="58D74F02">
        <w:rPr>
          <w:rFonts w:eastAsia="Arial" w:cs="Arial"/>
          <w:color w:val="000000" w:themeColor="text1"/>
          <w:sz w:val="22"/>
          <w:szCs w:val="22"/>
        </w:rPr>
        <w:t xml:space="preserve"> 2022, the Fund’s </w:t>
      </w:r>
      <w:r w:rsidR="009A7C79" w:rsidRPr="58D74F02">
        <w:rPr>
          <w:rFonts w:eastAsia="Arial" w:cs="Arial"/>
          <w:color w:val="000000" w:themeColor="text1"/>
          <w:sz w:val="22"/>
          <w:szCs w:val="22"/>
        </w:rPr>
        <w:t xml:space="preserve">support had </w:t>
      </w:r>
      <w:r w:rsidR="00BB3B5E" w:rsidRPr="58D74F02">
        <w:rPr>
          <w:rFonts w:eastAsia="Arial" w:cs="Arial"/>
          <w:color w:val="000000" w:themeColor="text1"/>
          <w:sz w:val="22"/>
          <w:szCs w:val="22"/>
        </w:rPr>
        <w:t xml:space="preserve">helped avoid 540 hectares of soil erosion, </w:t>
      </w:r>
      <w:r w:rsidR="00BE578B" w:rsidRPr="58D74F02">
        <w:rPr>
          <w:rFonts w:eastAsia="Arial" w:cs="Arial"/>
          <w:color w:val="000000" w:themeColor="text1"/>
          <w:sz w:val="22"/>
          <w:szCs w:val="22"/>
        </w:rPr>
        <w:t xml:space="preserve">144,000 litres of </w:t>
      </w:r>
      <w:r w:rsidR="000A23A9" w:rsidRPr="58D74F02">
        <w:rPr>
          <w:rFonts w:eastAsia="Arial" w:cs="Arial"/>
          <w:color w:val="000000" w:themeColor="text1"/>
          <w:sz w:val="22"/>
          <w:szCs w:val="22"/>
        </w:rPr>
        <w:t>herbicide use and 1,450 tonnes of nutrient overload.</w:t>
      </w:r>
    </w:p>
    <w:p w14:paraId="36B18CD9" w14:textId="31753CD8" w:rsidR="00D849E3" w:rsidRPr="008D3032" w:rsidRDefault="00D849E3" w:rsidP="005E557A">
      <w:pPr>
        <w:jc w:val="both"/>
        <w:rPr>
          <w:rFonts w:eastAsia="Arial" w:cs="Arial"/>
          <w:color w:val="000000" w:themeColor="text1"/>
          <w:sz w:val="22"/>
          <w:szCs w:val="22"/>
        </w:rPr>
      </w:pPr>
    </w:p>
    <w:p w14:paraId="195A5978" w14:textId="722D910B" w:rsidR="00AF6F81" w:rsidRDefault="00BA27A2" w:rsidP="00F66B70">
      <w:pPr>
        <w:jc w:val="both"/>
        <w:rPr>
          <w:rFonts w:eastAsia="Arial" w:cs="Arial"/>
          <w:color w:val="000000" w:themeColor="text1"/>
          <w:sz w:val="22"/>
          <w:szCs w:val="22"/>
        </w:rPr>
      </w:pPr>
      <w:r w:rsidRPr="008D3032">
        <w:rPr>
          <w:rFonts w:eastAsia="Arial" w:cs="Arial"/>
          <w:color w:val="000000" w:themeColor="text1"/>
          <w:sz w:val="22"/>
          <w:szCs w:val="22"/>
        </w:rPr>
        <w:t xml:space="preserve">Outcome 2.1 </w:t>
      </w:r>
      <w:r w:rsidR="003A29DC">
        <w:rPr>
          <w:rFonts w:eastAsia="Arial" w:cs="Arial"/>
          <w:color w:val="000000" w:themeColor="text1"/>
          <w:sz w:val="22"/>
          <w:szCs w:val="22"/>
        </w:rPr>
        <w:t>on sub-borrowers incorporating sustainable practi</w:t>
      </w:r>
      <w:r w:rsidR="004207F3">
        <w:rPr>
          <w:rFonts w:eastAsia="Arial" w:cs="Arial"/>
          <w:color w:val="000000" w:themeColor="text1"/>
          <w:sz w:val="22"/>
          <w:szCs w:val="22"/>
        </w:rPr>
        <w:t>c</w:t>
      </w:r>
      <w:r w:rsidR="003A29DC">
        <w:rPr>
          <w:rFonts w:eastAsia="Arial" w:cs="Arial"/>
          <w:color w:val="000000" w:themeColor="text1"/>
          <w:sz w:val="22"/>
          <w:szCs w:val="22"/>
        </w:rPr>
        <w:t xml:space="preserve">es </w:t>
      </w:r>
      <w:r w:rsidRPr="008D3032">
        <w:rPr>
          <w:rFonts w:eastAsia="Arial" w:cs="Arial"/>
          <w:color w:val="000000" w:themeColor="text1"/>
          <w:sz w:val="22"/>
          <w:szCs w:val="22"/>
        </w:rPr>
        <w:t xml:space="preserve">exceeded Defra’s target by about </w:t>
      </w:r>
      <w:r w:rsidR="003A29DC">
        <w:rPr>
          <w:rFonts w:eastAsia="Arial" w:cs="Arial"/>
          <w:color w:val="000000" w:themeColor="text1"/>
          <w:sz w:val="22"/>
          <w:szCs w:val="22"/>
        </w:rPr>
        <w:t>4</w:t>
      </w:r>
      <w:r w:rsidRPr="008D3032">
        <w:rPr>
          <w:rFonts w:eastAsia="Arial" w:cs="Arial"/>
          <w:color w:val="000000" w:themeColor="text1"/>
          <w:sz w:val="22"/>
          <w:szCs w:val="22"/>
        </w:rPr>
        <w:t xml:space="preserve">0%, but these figures are also commercially sensitive and cannot be published. </w:t>
      </w:r>
      <w:r w:rsidR="00803814">
        <w:rPr>
          <w:rFonts w:eastAsia="Arial" w:cs="Arial"/>
          <w:color w:val="000000" w:themeColor="text1"/>
          <w:sz w:val="22"/>
          <w:szCs w:val="22"/>
        </w:rPr>
        <w:t>Three further outcomes on sustainability policies</w:t>
      </w:r>
      <w:r w:rsidR="21280143" w:rsidRPr="008D3032">
        <w:rPr>
          <w:rFonts w:eastAsia="Arial" w:cs="Arial"/>
          <w:color w:val="000000" w:themeColor="text1"/>
          <w:sz w:val="22"/>
          <w:szCs w:val="22"/>
        </w:rPr>
        <w:t xml:space="preserve"> </w:t>
      </w:r>
      <w:r w:rsidR="00803814">
        <w:rPr>
          <w:rFonts w:eastAsia="Arial" w:cs="Arial"/>
          <w:color w:val="000000" w:themeColor="text1"/>
          <w:sz w:val="22"/>
          <w:szCs w:val="22"/>
        </w:rPr>
        <w:t xml:space="preserve">and knowledge of them were included in the original </w:t>
      </w:r>
      <w:proofErr w:type="spellStart"/>
      <w:r w:rsidR="00803814">
        <w:rPr>
          <w:rFonts w:eastAsia="Arial" w:cs="Arial"/>
          <w:color w:val="000000" w:themeColor="text1"/>
          <w:sz w:val="22"/>
          <w:szCs w:val="22"/>
        </w:rPr>
        <w:t>LogFrame</w:t>
      </w:r>
      <w:proofErr w:type="spellEnd"/>
      <w:r w:rsidR="00803814">
        <w:rPr>
          <w:rFonts w:eastAsia="Arial" w:cs="Arial"/>
          <w:color w:val="000000" w:themeColor="text1"/>
          <w:sz w:val="22"/>
          <w:szCs w:val="22"/>
        </w:rPr>
        <w:t xml:space="preserve"> and reported on</w:t>
      </w:r>
      <w:r w:rsidR="00F562A7">
        <w:rPr>
          <w:rFonts w:eastAsia="Arial" w:cs="Arial"/>
          <w:color w:val="000000" w:themeColor="text1"/>
          <w:sz w:val="22"/>
          <w:szCs w:val="22"/>
        </w:rPr>
        <w:t xml:space="preserve"> qualitatively</w:t>
      </w:r>
      <w:r w:rsidR="00803814">
        <w:rPr>
          <w:rFonts w:eastAsia="Arial" w:cs="Arial"/>
          <w:color w:val="000000" w:themeColor="text1"/>
          <w:sz w:val="22"/>
          <w:szCs w:val="22"/>
        </w:rPr>
        <w:t xml:space="preserve"> in previous </w:t>
      </w:r>
      <w:r w:rsidR="004207F3">
        <w:rPr>
          <w:rFonts w:eastAsia="Arial" w:cs="Arial"/>
          <w:color w:val="000000" w:themeColor="text1"/>
          <w:sz w:val="22"/>
          <w:szCs w:val="22"/>
        </w:rPr>
        <w:t>ARs</w:t>
      </w:r>
      <w:r w:rsidR="00803814">
        <w:rPr>
          <w:rFonts w:eastAsia="Arial" w:cs="Arial"/>
          <w:color w:val="000000" w:themeColor="text1"/>
          <w:sz w:val="22"/>
          <w:szCs w:val="22"/>
        </w:rPr>
        <w:t xml:space="preserve">, but it has proved difficult to assess this across the Fund. The 2021 </w:t>
      </w:r>
      <w:r w:rsidR="004207F3">
        <w:rPr>
          <w:rFonts w:eastAsia="Arial" w:cs="Arial"/>
          <w:color w:val="000000" w:themeColor="text1"/>
          <w:sz w:val="22"/>
          <w:szCs w:val="22"/>
        </w:rPr>
        <w:t>AR</w:t>
      </w:r>
      <w:r w:rsidR="00803814">
        <w:rPr>
          <w:rFonts w:eastAsia="Arial" w:cs="Arial"/>
          <w:color w:val="000000" w:themeColor="text1"/>
          <w:sz w:val="22"/>
          <w:szCs w:val="22"/>
        </w:rPr>
        <w:t xml:space="preserve"> recommended</w:t>
      </w:r>
      <w:r w:rsidR="21280143" w:rsidRPr="008D3032">
        <w:rPr>
          <w:rFonts w:eastAsia="Arial" w:cs="Arial"/>
          <w:color w:val="000000" w:themeColor="text1"/>
          <w:sz w:val="22"/>
          <w:szCs w:val="22"/>
        </w:rPr>
        <w:t xml:space="preserve"> </w:t>
      </w:r>
      <w:r w:rsidR="23C032D6" w:rsidRPr="008D3032">
        <w:rPr>
          <w:rFonts w:eastAsia="Arial" w:cs="Arial"/>
          <w:color w:val="000000" w:themeColor="text1"/>
          <w:sz w:val="22"/>
          <w:szCs w:val="22"/>
        </w:rPr>
        <w:t xml:space="preserve">removing these outcomes and integrating qualitative information </w:t>
      </w:r>
      <w:r w:rsidR="002E49BA" w:rsidRPr="008D3032">
        <w:rPr>
          <w:rFonts w:eastAsia="Arial" w:cs="Arial"/>
          <w:color w:val="000000" w:themeColor="text1"/>
          <w:sz w:val="22"/>
          <w:szCs w:val="22"/>
        </w:rPr>
        <w:t xml:space="preserve">relating to them </w:t>
      </w:r>
      <w:r w:rsidR="5140CC87" w:rsidRPr="008D3032">
        <w:rPr>
          <w:rFonts w:eastAsia="Arial" w:cs="Arial"/>
          <w:color w:val="000000" w:themeColor="text1"/>
          <w:sz w:val="22"/>
          <w:szCs w:val="22"/>
        </w:rPr>
        <w:t xml:space="preserve">into the </w:t>
      </w:r>
      <w:r w:rsidR="00CB76E3" w:rsidRPr="008D3032">
        <w:rPr>
          <w:rFonts w:eastAsia="Arial" w:cs="Arial"/>
          <w:color w:val="000000" w:themeColor="text1"/>
          <w:sz w:val="22"/>
          <w:szCs w:val="22"/>
        </w:rPr>
        <w:t>description for 2.1</w:t>
      </w:r>
      <w:r w:rsidR="4A4D5DD1" w:rsidRPr="008D3032">
        <w:rPr>
          <w:rFonts w:eastAsia="Arial" w:cs="Arial"/>
          <w:color w:val="000000" w:themeColor="text1"/>
          <w:sz w:val="22"/>
          <w:szCs w:val="22"/>
        </w:rPr>
        <w:t>, drawing on specific examples which highlight the wider changes in behaviour.</w:t>
      </w:r>
      <w:r w:rsidR="00803814">
        <w:rPr>
          <w:rFonts w:eastAsia="Arial" w:cs="Arial"/>
          <w:color w:val="000000" w:themeColor="text1"/>
          <w:sz w:val="22"/>
          <w:szCs w:val="22"/>
        </w:rPr>
        <w:t xml:space="preserve"> This recommendation has been followed, and the following qualitative examples reflect on increased use and knowledge of sustainability policies among PIs and sub-borrowers.</w:t>
      </w:r>
    </w:p>
    <w:p w14:paraId="0A37F126" w14:textId="77777777" w:rsidR="00AF6F81" w:rsidRDefault="00AF6F81" w:rsidP="00F66B70">
      <w:pPr>
        <w:jc w:val="both"/>
        <w:rPr>
          <w:rFonts w:eastAsia="Arial" w:cs="Arial"/>
          <w:color w:val="000000" w:themeColor="text1"/>
          <w:sz w:val="22"/>
          <w:szCs w:val="22"/>
        </w:rPr>
      </w:pPr>
    </w:p>
    <w:p w14:paraId="5D9ED64A" w14:textId="1FFC20BF" w:rsidR="004048E4" w:rsidRPr="003E2F40" w:rsidRDefault="004048E4" w:rsidP="70DC0069">
      <w:pPr>
        <w:pStyle w:val="ListParagraph"/>
        <w:numPr>
          <w:ilvl w:val="0"/>
          <w:numId w:val="20"/>
        </w:numPr>
        <w:jc w:val="both"/>
        <w:rPr>
          <w:rFonts w:eastAsia="Arial" w:cs="Arial"/>
          <w:color w:val="000000" w:themeColor="text1"/>
          <w:sz w:val="22"/>
          <w:szCs w:val="22"/>
        </w:rPr>
      </w:pPr>
      <w:r w:rsidRPr="70DC0069">
        <w:rPr>
          <w:rFonts w:eastAsia="Arial" w:cs="Arial"/>
          <w:color w:val="000000" w:themeColor="text1"/>
          <w:sz w:val="22"/>
          <w:szCs w:val="22"/>
        </w:rPr>
        <w:t xml:space="preserve">The EBF DF implemented a pilot project with </w:t>
      </w:r>
      <w:r w:rsidR="000C69CB">
        <w:rPr>
          <w:rFonts w:eastAsia="Arial" w:cs="Arial"/>
          <w:color w:val="000000" w:themeColor="text1"/>
          <w:sz w:val="22"/>
          <w:szCs w:val="22"/>
        </w:rPr>
        <w:t>a bank in</w:t>
      </w:r>
      <w:r w:rsidRPr="70DC0069">
        <w:rPr>
          <w:rFonts w:eastAsia="Arial" w:cs="Arial"/>
          <w:color w:val="000000" w:themeColor="text1"/>
          <w:sz w:val="22"/>
          <w:szCs w:val="22"/>
        </w:rPr>
        <w:t xml:space="preserve"> Costa Rica to support two end-borrowers </w:t>
      </w:r>
      <w:r w:rsidR="00727704" w:rsidRPr="70DC0069">
        <w:rPr>
          <w:rFonts w:eastAsia="Arial" w:cs="Arial"/>
          <w:color w:val="000000" w:themeColor="text1"/>
          <w:sz w:val="22"/>
          <w:szCs w:val="22"/>
        </w:rPr>
        <w:t>with</w:t>
      </w:r>
      <w:r w:rsidRPr="70DC0069">
        <w:rPr>
          <w:rFonts w:eastAsia="Arial" w:cs="Arial"/>
          <w:color w:val="000000" w:themeColor="text1"/>
          <w:sz w:val="22"/>
          <w:szCs w:val="22"/>
        </w:rPr>
        <w:t xml:space="preserve"> closing gaps to</w:t>
      </w:r>
      <w:r w:rsidR="00F4603F" w:rsidRPr="70DC0069">
        <w:rPr>
          <w:rFonts w:eastAsia="Arial" w:cs="Arial"/>
          <w:color w:val="000000" w:themeColor="text1"/>
          <w:sz w:val="22"/>
          <w:szCs w:val="22"/>
        </w:rPr>
        <w:t>wards</w:t>
      </w:r>
      <w:r w:rsidRPr="70DC0069">
        <w:rPr>
          <w:rFonts w:eastAsia="Arial" w:cs="Arial"/>
          <w:color w:val="000000" w:themeColor="text1"/>
          <w:sz w:val="22"/>
          <w:szCs w:val="22"/>
        </w:rPr>
        <w:t xml:space="preserve"> obtaining the Costa Rican Sustainable Tourism </w:t>
      </w:r>
      <w:r w:rsidRPr="70DC0069">
        <w:rPr>
          <w:rFonts w:eastAsia="Arial" w:cs="Arial"/>
          <w:color w:val="000000" w:themeColor="text1"/>
          <w:sz w:val="22"/>
          <w:szCs w:val="22"/>
        </w:rPr>
        <w:lastRenderedPageBreak/>
        <w:t xml:space="preserve">certification and piloting </w:t>
      </w:r>
      <w:r w:rsidR="00B8373E" w:rsidRPr="70DC0069">
        <w:rPr>
          <w:rFonts w:eastAsia="Arial" w:cs="Arial"/>
          <w:color w:val="000000" w:themeColor="text1"/>
          <w:sz w:val="22"/>
          <w:szCs w:val="22"/>
        </w:rPr>
        <w:t xml:space="preserve">EBF’s </w:t>
      </w:r>
      <w:r w:rsidRPr="70DC0069">
        <w:rPr>
          <w:rFonts w:eastAsia="Arial" w:cs="Arial"/>
          <w:color w:val="000000" w:themeColor="text1"/>
          <w:sz w:val="22"/>
          <w:szCs w:val="22"/>
        </w:rPr>
        <w:t xml:space="preserve">tourism green list measures. One of the hotels has obtained the certification and both have advanced significantly in the implementation of sustainable practices. As a result of this project, </w:t>
      </w:r>
      <w:r w:rsidR="0019659C">
        <w:rPr>
          <w:rFonts w:eastAsia="Arial" w:cs="Arial"/>
          <w:color w:val="000000" w:themeColor="text1"/>
          <w:sz w:val="22"/>
          <w:szCs w:val="22"/>
        </w:rPr>
        <w:t xml:space="preserve">the bank </w:t>
      </w:r>
      <w:r w:rsidRPr="70DC0069">
        <w:rPr>
          <w:rFonts w:eastAsia="Arial" w:cs="Arial"/>
          <w:color w:val="000000" w:themeColor="text1"/>
          <w:sz w:val="22"/>
          <w:szCs w:val="22"/>
        </w:rPr>
        <w:t>has built capacit</w:t>
      </w:r>
      <w:r w:rsidR="00B8373E" w:rsidRPr="70DC0069">
        <w:rPr>
          <w:rFonts w:eastAsia="Arial" w:cs="Arial"/>
          <w:color w:val="000000" w:themeColor="text1"/>
          <w:sz w:val="22"/>
          <w:szCs w:val="22"/>
        </w:rPr>
        <w:t>y</w:t>
      </w:r>
      <w:r w:rsidRPr="70DC0069">
        <w:rPr>
          <w:rFonts w:eastAsia="Arial" w:cs="Arial"/>
          <w:color w:val="000000" w:themeColor="text1"/>
          <w:sz w:val="22"/>
          <w:szCs w:val="22"/>
        </w:rPr>
        <w:t xml:space="preserve"> and strengthened their offer </w:t>
      </w:r>
      <w:r w:rsidR="00056201" w:rsidRPr="70DC0069">
        <w:rPr>
          <w:rFonts w:eastAsia="Arial" w:cs="Arial"/>
          <w:color w:val="000000" w:themeColor="text1"/>
          <w:sz w:val="22"/>
          <w:szCs w:val="22"/>
        </w:rPr>
        <w:t>for</w:t>
      </w:r>
      <w:r w:rsidRPr="70DC0069">
        <w:rPr>
          <w:rFonts w:eastAsia="Arial" w:cs="Arial"/>
          <w:color w:val="000000" w:themeColor="text1"/>
          <w:sz w:val="22"/>
          <w:szCs w:val="22"/>
        </w:rPr>
        <w:t xml:space="preserve"> financing the adoption of sustainable measures in the tourism sector.  </w:t>
      </w:r>
    </w:p>
    <w:p w14:paraId="318FAB93" w14:textId="06EF7A9B" w:rsidR="004048E4" w:rsidRPr="00096348" w:rsidRDefault="004048E4" w:rsidP="00AB3BB3">
      <w:pPr>
        <w:pStyle w:val="ListParagraph"/>
        <w:numPr>
          <w:ilvl w:val="0"/>
          <w:numId w:val="20"/>
        </w:numPr>
        <w:spacing w:after="0"/>
        <w:contextualSpacing w:val="0"/>
        <w:jc w:val="both"/>
        <w:rPr>
          <w:rFonts w:eastAsia="Arial" w:cs="Arial"/>
          <w:color w:val="000000" w:themeColor="text1"/>
          <w:sz w:val="22"/>
          <w:szCs w:val="22"/>
        </w:rPr>
      </w:pPr>
      <w:r w:rsidRPr="00096348">
        <w:rPr>
          <w:rFonts w:eastAsia="Arial" w:cs="Arial"/>
          <w:color w:val="000000" w:themeColor="text1"/>
          <w:sz w:val="22"/>
          <w:szCs w:val="22"/>
        </w:rPr>
        <w:t xml:space="preserve">To promote sustainable practices in the aquaculture sector, the DF supported two shrimp producers, clients of </w:t>
      </w:r>
      <w:r w:rsidR="0019659C">
        <w:rPr>
          <w:rFonts w:eastAsia="Arial" w:cs="Arial"/>
          <w:color w:val="000000" w:themeColor="text1"/>
          <w:sz w:val="22"/>
          <w:szCs w:val="22"/>
        </w:rPr>
        <w:t>a bank</w:t>
      </w:r>
      <w:r w:rsidRPr="00096348">
        <w:rPr>
          <w:rFonts w:eastAsia="Arial" w:cs="Arial"/>
          <w:color w:val="000000" w:themeColor="text1"/>
          <w:sz w:val="22"/>
          <w:szCs w:val="22"/>
        </w:rPr>
        <w:t xml:space="preserve"> in Ecuador, </w:t>
      </w:r>
      <w:r w:rsidR="00644962">
        <w:rPr>
          <w:rFonts w:eastAsia="Arial" w:cs="Arial"/>
          <w:color w:val="000000" w:themeColor="text1"/>
          <w:sz w:val="22"/>
          <w:szCs w:val="22"/>
        </w:rPr>
        <w:t>towards</w:t>
      </w:r>
      <w:r w:rsidRPr="00096348">
        <w:rPr>
          <w:rFonts w:eastAsia="Arial" w:cs="Arial"/>
          <w:color w:val="000000" w:themeColor="text1"/>
          <w:sz w:val="22"/>
          <w:szCs w:val="22"/>
        </w:rPr>
        <w:t xml:space="preserve"> obtain</w:t>
      </w:r>
      <w:r w:rsidR="00644962">
        <w:rPr>
          <w:rFonts w:eastAsia="Arial" w:cs="Arial"/>
          <w:color w:val="000000" w:themeColor="text1"/>
          <w:sz w:val="22"/>
          <w:szCs w:val="22"/>
        </w:rPr>
        <w:t>ing</w:t>
      </w:r>
      <w:r w:rsidRPr="00096348">
        <w:rPr>
          <w:rFonts w:eastAsia="Arial" w:cs="Arial"/>
          <w:color w:val="000000" w:themeColor="text1"/>
          <w:sz w:val="22"/>
          <w:szCs w:val="22"/>
        </w:rPr>
        <w:t xml:space="preserve"> the ASC certification.</w:t>
      </w:r>
      <w:r w:rsidRPr="00096348">
        <w:t xml:space="preserve"> </w:t>
      </w:r>
      <w:r w:rsidRPr="00096348">
        <w:rPr>
          <w:rFonts w:eastAsia="Arial" w:cs="Arial"/>
          <w:color w:val="000000" w:themeColor="text1"/>
          <w:sz w:val="22"/>
          <w:szCs w:val="22"/>
        </w:rPr>
        <w:t xml:space="preserve">The project explored how </w:t>
      </w:r>
      <w:r w:rsidR="000D0504">
        <w:rPr>
          <w:rFonts w:eastAsia="Arial" w:cs="Arial"/>
          <w:color w:val="000000" w:themeColor="text1"/>
          <w:sz w:val="22"/>
          <w:szCs w:val="22"/>
        </w:rPr>
        <w:t>FI</w:t>
      </w:r>
      <w:r w:rsidRPr="00096348">
        <w:rPr>
          <w:rFonts w:eastAsia="Arial" w:cs="Arial"/>
          <w:color w:val="000000" w:themeColor="text1"/>
          <w:sz w:val="22"/>
          <w:szCs w:val="22"/>
        </w:rPr>
        <w:t xml:space="preserve">s could offer financing for aquaculture companies committed </w:t>
      </w:r>
      <w:r w:rsidR="00750F76">
        <w:rPr>
          <w:rFonts w:eastAsia="Arial" w:cs="Arial"/>
          <w:color w:val="000000" w:themeColor="text1"/>
          <w:sz w:val="22"/>
          <w:szCs w:val="22"/>
        </w:rPr>
        <w:t>to</w:t>
      </w:r>
      <w:r w:rsidRPr="00096348">
        <w:rPr>
          <w:rFonts w:eastAsia="Arial" w:cs="Arial"/>
          <w:color w:val="000000" w:themeColor="text1"/>
          <w:sz w:val="22"/>
          <w:szCs w:val="22"/>
        </w:rPr>
        <w:t xml:space="preserve"> transitioning to sustainable production.</w:t>
      </w:r>
      <w:r>
        <w:rPr>
          <w:rFonts w:eastAsia="Arial" w:cs="Arial"/>
          <w:color w:val="000000" w:themeColor="text1"/>
          <w:sz w:val="22"/>
          <w:szCs w:val="22"/>
        </w:rPr>
        <w:t xml:space="preserve"> The learnings of the project have been scaled up to 15 additional producers through on-site trainings, increasing the PI’s portfolio.</w:t>
      </w:r>
    </w:p>
    <w:p w14:paraId="6FB6064F" w14:textId="0B08A50E" w:rsidR="004048E4" w:rsidRDefault="004048E4" w:rsidP="70DC0069">
      <w:pPr>
        <w:pStyle w:val="ListParagraph"/>
        <w:numPr>
          <w:ilvl w:val="0"/>
          <w:numId w:val="20"/>
        </w:numPr>
        <w:jc w:val="both"/>
        <w:rPr>
          <w:rFonts w:eastAsia="Arial" w:cs="Arial"/>
          <w:color w:val="000000" w:themeColor="text1"/>
          <w:sz w:val="22"/>
          <w:szCs w:val="22"/>
        </w:rPr>
      </w:pPr>
      <w:r w:rsidRPr="58D74F02">
        <w:rPr>
          <w:rFonts w:eastAsia="Arial" w:cs="Arial"/>
          <w:color w:val="000000" w:themeColor="text1"/>
          <w:sz w:val="22"/>
          <w:szCs w:val="22"/>
        </w:rPr>
        <w:t xml:space="preserve">In 2022, the DF supported </w:t>
      </w:r>
      <w:r w:rsidR="0019659C">
        <w:rPr>
          <w:rFonts w:eastAsia="Arial" w:cs="Arial"/>
          <w:color w:val="000000" w:themeColor="text1"/>
          <w:sz w:val="22"/>
          <w:szCs w:val="22"/>
        </w:rPr>
        <w:t>a bank</w:t>
      </w:r>
      <w:r w:rsidRPr="58D74F02">
        <w:rPr>
          <w:rFonts w:eastAsia="Arial" w:cs="Arial"/>
          <w:color w:val="000000" w:themeColor="text1"/>
          <w:sz w:val="22"/>
          <w:szCs w:val="22"/>
        </w:rPr>
        <w:t xml:space="preserve"> in Ecuador in developing and implementing a green financial product (GFP). It is the first GFP that is based on the fund’s eligibility criteria and, among other sectors, is intended to finance drip irrigation systems for banana producers and energy reconversion projects on shrimp farms. Through this new credit line, the bank </w:t>
      </w:r>
      <w:r w:rsidR="15264D05" w:rsidRPr="58D74F02">
        <w:rPr>
          <w:rFonts w:eastAsia="Arial" w:cs="Arial"/>
          <w:color w:val="000000" w:themeColor="text1"/>
          <w:sz w:val="22"/>
          <w:szCs w:val="22"/>
        </w:rPr>
        <w:t>can</w:t>
      </w:r>
      <w:r w:rsidRPr="58D74F02">
        <w:rPr>
          <w:rFonts w:eastAsia="Arial" w:cs="Arial"/>
          <w:color w:val="000000" w:themeColor="text1"/>
          <w:sz w:val="22"/>
          <w:szCs w:val="22"/>
        </w:rPr>
        <w:t xml:space="preserve"> extend their green agricultural portfolio and further foster a sustainable agriculture sector in Ecuador.</w:t>
      </w:r>
    </w:p>
    <w:p w14:paraId="042E9142" w14:textId="0DFE4259" w:rsidR="00ED4D24" w:rsidRDefault="00FC0ED1" w:rsidP="00F66B70">
      <w:pPr>
        <w:jc w:val="both"/>
        <w:rPr>
          <w:rFonts w:eastAsia="Arial" w:cs="Arial"/>
          <w:sz w:val="22"/>
          <w:szCs w:val="22"/>
        </w:rPr>
      </w:pPr>
      <w:r>
        <w:rPr>
          <w:rFonts w:eastAsia="Arial" w:cs="Arial"/>
          <w:sz w:val="22"/>
          <w:szCs w:val="22"/>
        </w:rPr>
        <w:t xml:space="preserve">The new </w:t>
      </w:r>
      <w:r w:rsidR="00ED4D24">
        <w:rPr>
          <w:rFonts w:eastAsia="Arial" w:cs="Arial"/>
          <w:sz w:val="22"/>
          <w:szCs w:val="22"/>
        </w:rPr>
        <w:t>Outcome</w:t>
      </w:r>
      <w:r>
        <w:rPr>
          <w:rFonts w:eastAsia="Arial" w:cs="Arial"/>
          <w:sz w:val="22"/>
          <w:szCs w:val="22"/>
        </w:rPr>
        <w:t>s</w:t>
      </w:r>
      <w:r w:rsidR="00ED4D24">
        <w:rPr>
          <w:rFonts w:eastAsia="Arial" w:cs="Arial"/>
          <w:sz w:val="22"/>
          <w:szCs w:val="22"/>
        </w:rPr>
        <w:t xml:space="preserve"> 2.2</w:t>
      </w:r>
      <w:r w:rsidR="00F07DC3">
        <w:rPr>
          <w:rFonts w:eastAsia="Arial" w:cs="Arial"/>
          <w:sz w:val="22"/>
          <w:szCs w:val="22"/>
        </w:rPr>
        <w:t>, 2.3 and 2.4</w:t>
      </w:r>
      <w:r w:rsidR="00ED4D24">
        <w:rPr>
          <w:rFonts w:eastAsia="Arial" w:cs="Arial"/>
          <w:sz w:val="22"/>
          <w:szCs w:val="22"/>
        </w:rPr>
        <w:t xml:space="preserve"> </w:t>
      </w:r>
      <w:r w:rsidR="00F07DC3">
        <w:rPr>
          <w:rFonts w:eastAsia="Arial" w:cs="Arial"/>
          <w:sz w:val="22"/>
          <w:szCs w:val="22"/>
        </w:rPr>
        <w:t>are</w:t>
      </w:r>
      <w:r w:rsidR="00ED4D24">
        <w:rPr>
          <w:rFonts w:eastAsia="Arial" w:cs="Arial"/>
          <w:sz w:val="22"/>
          <w:szCs w:val="22"/>
        </w:rPr>
        <w:t xml:space="preserve"> a new addition replacing in part the qualitative outcomes previously referenced in this section. Though new to the Outcomes section, information was included in the Programme Management section of previous </w:t>
      </w:r>
      <w:r w:rsidR="00446C40">
        <w:rPr>
          <w:rFonts w:eastAsia="Arial" w:cs="Arial"/>
          <w:sz w:val="22"/>
          <w:szCs w:val="22"/>
        </w:rPr>
        <w:t>ARs</w:t>
      </w:r>
      <w:r w:rsidR="00ED4D24">
        <w:rPr>
          <w:rFonts w:eastAsia="Arial" w:cs="Arial"/>
          <w:sz w:val="22"/>
          <w:szCs w:val="22"/>
        </w:rPr>
        <w:t xml:space="preserve"> on the number of</w:t>
      </w:r>
      <w:r w:rsidR="00ED4D24" w:rsidRPr="006B4633">
        <w:rPr>
          <w:rFonts w:eastAsia="Arial" w:cs="Arial"/>
          <w:sz w:val="22"/>
          <w:szCs w:val="22"/>
        </w:rPr>
        <w:t xml:space="preserve"> individuals reached through events and other training activities co- or fully sponsored by the DF to promote sustainability in the region</w:t>
      </w:r>
      <w:r w:rsidR="00314F6F">
        <w:rPr>
          <w:rFonts w:eastAsia="Arial" w:cs="Arial"/>
          <w:sz w:val="22"/>
          <w:szCs w:val="22"/>
        </w:rPr>
        <w:t>.</w:t>
      </w:r>
    </w:p>
    <w:p w14:paraId="36C0551C" w14:textId="77777777" w:rsidR="001A4DC1" w:rsidRDefault="001A4DC1" w:rsidP="00F66B70">
      <w:pPr>
        <w:jc w:val="both"/>
        <w:rPr>
          <w:rFonts w:eastAsia="Arial" w:cs="Arial"/>
          <w:sz w:val="22"/>
          <w:szCs w:val="22"/>
        </w:rPr>
      </w:pPr>
    </w:p>
    <w:p w14:paraId="601AAEA1" w14:textId="4149B37A" w:rsidR="001A4DC1" w:rsidRPr="00ED4D24" w:rsidRDefault="001A4DC1" w:rsidP="00F66B70">
      <w:pPr>
        <w:jc w:val="both"/>
        <w:rPr>
          <w:rFonts w:eastAsia="Arial" w:cs="Arial"/>
          <w:color w:val="000000" w:themeColor="text1"/>
          <w:sz w:val="22"/>
          <w:szCs w:val="22"/>
        </w:rPr>
      </w:pPr>
      <w:r>
        <w:rPr>
          <w:rFonts w:eastAsia="Arial" w:cs="Arial"/>
          <w:sz w:val="22"/>
          <w:szCs w:val="22"/>
        </w:rPr>
        <w:t xml:space="preserve">Regarding </w:t>
      </w:r>
      <w:r w:rsidR="005275C8">
        <w:rPr>
          <w:rFonts w:eastAsia="Arial" w:cs="Arial"/>
          <w:sz w:val="22"/>
          <w:szCs w:val="22"/>
        </w:rPr>
        <w:t xml:space="preserve">disaggregation of </w:t>
      </w:r>
      <w:r w:rsidR="00B862F0">
        <w:rPr>
          <w:rFonts w:eastAsia="Arial" w:cs="Arial"/>
          <w:sz w:val="22"/>
          <w:szCs w:val="22"/>
        </w:rPr>
        <w:t>employment data</w:t>
      </w:r>
      <w:r w:rsidR="00CB7446">
        <w:rPr>
          <w:rFonts w:eastAsia="Arial" w:cs="Arial"/>
          <w:sz w:val="22"/>
          <w:szCs w:val="22"/>
        </w:rPr>
        <w:t xml:space="preserve"> by protected characteristics</w:t>
      </w:r>
      <w:r w:rsidR="00FF0559">
        <w:rPr>
          <w:rFonts w:eastAsia="Arial" w:cs="Arial"/>
          <w:sz w:val="22"/>
          <w:szCs w:val="22"/>
        </w:rPr>
        <w:t xml:space="preserve">, the Fund </w:t>
      </w:r>
      <w:r w:rsidR="00E70346">
        <w:rPr>
          <w:rFonts w:eastAsia="Arial" w:cs="Arial"/>
          <w:sz w:val="22"/>
          <w:szCs w:val="22"/>
        </w:rPr>
        <w:t xml:space="preserve">faces challenges </w:t>
      </w:r>
      <w:r w:rsidR="005A0CBC">
        <w:rPr>
          <w:rFonts w:eastAsia="Arial" w:cs="Arial"/>
          <w:sz w:val="22"/>
          <w:szCs w:val="22"/>
        </w:rPr>
        <w:t xml:space="preserve">at investee-level, where </w:t>
      </w:r>
      <w:r w:rsidR="0038641C">
        <w:rPr>
          <w:rFonts w:eastAsia="Arial" w:cs="Arial"/>
          <w:sz w:val="22"/>
          <w:szCs w:val="22"/>
        </w:rPr>
        <w:t>metrics on disability</w:t>
      </w:r>
      <w:r w:rsidR="00AD2C62" w:rsidRPr="00AD2C62">
        <w:rPr>
          <w:rFonts w:eastAsia="Arial" w:cs="Arial"/>
          <w:sz w:val="22"/>
          <w:szCs w:val="22"/>
        </w:rPr>
        <w:t xml:space="preserve"> </w:t>
      </w:r>
      <w:r w:rsidR="00AD2C62">
        <w:rPr>
          <w:rFonts w:eastAsia="Arial" w:cs="Arial"/>
          <w:sz w:val="22"/>
          <w:szCs w:val="22"/>
        </w:rPr>
        <w:t>and</w:t>
      </w:r>
      <w:r w:rsidR="00AE5945">
        <w:rPr>
          <w:rFonts w:eastAsia="Arial" w:cs="Arial"/>
          <w:sz w:val="22"/>
          <w:szCs w:val="22"/>
        </w:rPr>
        <w:t xml:space="preserve"> ethnicity</w:t>
      </w:r>
      <w:r w:rsidR="0038641C">
        <w:rPr>
          <w:rFonts w:eastAsia="Arial" w:cs="Arial"/>
          <w:sz w:val="22"/>
          <w:szCs w:val="22"/>
        </w:rPr>
        <w:t xml:space="preserve">, for example, </w:t>
      </w:r>
      <w:r w:rsidR="00D478E3">
        <w:rPr>
          <w:rFonts w:eastAsia="Arial" w:cs="Arial"/>
          <w:sz w:val="22"/>
          <w:szCs w:val="22"/>
        </w:rPr>
        <w:t xml:space="preserve">can be considered highly sensitive, </w:t>
      </w:r>
      <w:r w:rsidR="005A0E8C">
        <w:rPr>
          <w:rFonts w:eastAsia="Arial" w:cs="Arial"/>
          <w:sz w:val="22"/>
          <w:szCs w:val="22"/>
        </w:rPr>
        <w:t xml:space="preserve">and the collection of data on them may even be prohibited by </w:t>
      </w:r>
      <w:r w:rsidR="00105736">
        <w:rPr>
          <w:rFonts w:eastAsia="Arial" w:cs="Arial"/>
          <w:sz w:val="22"/>
          <w:szCs w:val="22"/>
        </w:rPr>
        <w:t>local law</w:t>
      </w:r>
      <w:r w:rsidR="00AE5945">
        <w:rPr>
          <w:rFonts w:eastAsia="Arial" w:cs="Arial"/>
          <w:sz w:val="22"/>
          <w:szCs w:val="22"/>
        </w:rPr>
        <w:t>.</w:t>
      </w:r>
      <w:r w:rsidR="00690169">
        <w:rPr>
          <w:rFonts w:eastAsia="Arial" w:cs="Arial"/>
          <w:sz w:val="22"/>
          <w:szCs w:val="22"/>
        </w:rPr>
        <w:t xml:space="preserve"> Consequently, the Fund concentrates on collecting sex-</w:t>
      </w:r>
      <w:r w:rsidR="00935341">
        <w:rPr>
          <w:rFonts w:eastAsia="Arial" w:cs="Arial"/>
          <w:sz w:val="22"/>
          <w:szCs w:val="22"/>
        </w:rPr>
        <w:t>disaggregated data</w:t>
      </w:r>
      <w:r w:rsidR="00DA7275">
        <w:rPr>
          <w:rFonts w:eastAsia="Arial" w:cs="Arial"/>
          <w:sz w:val="22"/>
          <w:szCs w:val="22"/>
        </w:rPr>
        <w:t xml:space="preserve"> at present</w:t>
      </w:r>
      <w:r w:rsidR="00072A1C">
        <w:rPr>
          <w:rFonts w:eastAsia="Arial" w:cs="Arial"/>
          <w:sz w:val="22"/>
          <w:szCs w:val="22"/>
        </w:rPr>
        <w:t xml:space="preserve">. It’s GESI agenda is focused on raising </w:t>
      </w:r>
      <w:r w:rsidR="007A121D">
        <w:rPr>
          <w:rFonts w:eastAsia="Arial" w:cs="Arial"/>
          <w:sz w:val="22"/>
          <w:szCs w:val="22"/>
        </w:rPr>
        <w:t xml:space="preserve">female employment percentages </w:t>
      </w:r>
      <w:r w:rsidR="00FD3522">
        <w:rPr>
          <w:rFonts w:eastAsia="Arial" w:cs="Arial"/>
          <w:sz w:val="22"/>
          <w:szCs w:val="22"/>
        </w:rPr>
        <w:t xml:space="preserve">at </w:t>
      </w:r>
      <w:r w:rsidR="000D7342">
        <w:rPr>
          <w:rFonts w:eastAsia="Arial" w:cs="Arial"/>
          <w:sz w:val="22"/>
          <w:szCs w:val="22"/>
        </w:rPr>
        <w:t>different levels in PIs</w:t>
      </w:r>
      <w:r w:rsidR="004D4937">
        <w:rPr>
          <w:rFonts w:eastAsia="Arial" w:cs="Arial"/>
          <w:sz w:val="22"/>
          <w:szCs w:val="22"/>
        </w:rPr>
        <w:t>,</w:t>
      </w:r>
      <w:r w:rsidR="009C0A76">
        <w:rPr>
          <w:rFonts w:eastAsia="Arial" w:cs="Arial"/>
          <w:sz w:val="22"/>
          <w:szCs w:val="22"/>
        </w:rPr>
        <w:t xml:space="preserve"> with the aim of meeting </w:t>
      </w:r>
      <w:hyperlink r:id="rId24" w:history="1">
        <w:r w:rsidR="009C0A76" w:rsidRPr="006F0E9F">
          <w:rPr>
            <w:rStyle w:val="Hyperlink"/>
            <w:rFonts w:eastAsia="Arial" w:cs="Arial"/>
            <w:sz w:val="22"/>
            <w:szCs w:val="22"/>
          </w:rPr>
          <w:t>2X</w:t>
        </w:r>
        <w:r w:rsidR="00D64DF3" w:rsidRPr="006F0E9F">
          <w:rPr>
            <w:rStyle w:val="Hyperlink"/>
            <w:rFonts w:eastAsia="Arial" w:cs="Arial"/>
            <w:sz w:val="22"/>
            <w:szCs w:val="22"/>
          </w:rPr>
          <w:t xml:space="preserve"> </w:t>
        </w:r>
        <w:r w:rsidR="004D4937">
          <w:rPr>
            <w:rStyle w:val="Hyperlink"/>
            <w:rFonts w:eastAsia="Arial" w:cs="Arial"/>
            <w:sz w:val="22"/>
            <w:szCs w:val="22"/>
          </w:rPr>
          <w:t>Global</w:t>
        </w:r>
      </w:hyperlink>
      <w:r w:rsidR="006F0E9F">
        <w:rPr>
          <w:rFonts w:eastAsia="Arial" w:cs="Arial"/>
          <w:sz w:val="22"/>
          <w:szCs w:val="22"/>
        </w:rPr>
        <w:t xml:space="preserve"> </w:t>
      </w:r>
      <w:r w:rsidR="00D64DF3">
        <w:rPr>
          <w:rFonts w:eastAsia="Arial" w:cs="Arial"/>
          <w:sz w:val="22"/>
          <w:szCs w:val="22"/>
        </w:rPr>
        <w:t>targets at institutional level.</w:t>
      </w:r>
    </w:p>
    <w:p w14:paraId="1B4B61AE" w14:textId="77777777" w:rsidR="00514E0C" w:rsidRPr="00A54B18" w:rsidRDefault="00514E0C" w:rsidP="00F66B70">
      <w:pPr>
        <w:jc w:val="both"/>
        <w:rPr>
          <w:rFonts w:eastAsia="Arial" w:cs="Arial"/>
          <w:b/>
          <w:bCs/>
          <w:sz w:val="22"/>
          <w:szCs w:val="22"/>
        </w:rPr>
      </w:pPr>
    </w:p>
    <w:p w14:paraId="5A3C7F9B" w14:textId="2BD6C0A4" w:rsidR="006F3AE7" w:rsidRPr="00A54B18" w:rsidRDefault="7232A90E" w:rsidP="00F66B70">
      <w:pPr>
        <w:jc w:val="both"/>
        <w:rPr>
          <w:rFonts w:eastAsia="Arial" w:cs="Arial"/>
          <w:b/>
          <w:bCs/>
          <w:sz w:val="22"/>
          <w:szCs w:val="22"/>
        </w:rPr>
      </w:pPr>
      <w:r w:rsidRPr="00A54B18">
        <w:rPr>
          <w:rFonts w:eastAsia="Arial" w:cs="Arial"/>
          <w:b/>
          <w:bCs/>
          <w:sz w:val="22"/>
          <w:szCs w:val="22"/>
        </w:rPr>
        <w:t>Describe where the programme is on/off track to contribute to the expected outcomes and impact. What action is planned in the year ahead?</w:t>
      </w:r>
      <w:r w:rsidRPr="00A54B18">
        <w:rPr>
          <w:rFonts w:eastAsia="Arial" w:cs="Arial"/>
          <w:sz w:val="22"/>
          <w:szCs w:val="22"/>
        </w:rPr>
        <w:t xml:space="preserve"> </w:t>
      </w:r>
    </w:p>
    <w:p w14:paraId="3357F9ED" w14:textId="77777777" w:rsidR="00A71920" w:rsidRPr="00A54B18" w:rsidRDefault="00A71920" w:rsidP="00F66B70">
      <w:pPr>
        <w:jc w:val="both"/>
        <w:rPr>
          <w:rFonts w:eastAsia="Arial" w:cs="Arial"/>
          <w:color w:val="000000" w:themeColor="text1"/>
          <w:sz w:val="20"/>
          <w:szCs w:val="20"/>
        </w:rPr>
      </w:pPr>
    </w:p>
    <w:p w14:paraId="4840F134" w14:textId="322D72ED" w:rsidR="001506C9" w:rsidRDefault="2651A5CA" w:rsidP="00F66B70">
      <w:pPr>
        <w:jc w:val="both"/>
        <w:rPr>
          <w:rFonts w:eastAsia="Arial" w:cs="Arial"/>
          <w:color w:val="000000" w:themeColor="text1"/>
          <w:sz w:val="22"/>
          <w:szCs w:val="22"/>
        </w:rPr>
      </w:pPr>
      <w:r w:rsidRPr="58D74F02">
        <w:rPr>
          <w:rFonts w:eastAsia="Arial" w:cs="Arial"/>
          <w:color w:val="000000" w:themeColor="text1"/>
          <w:sz w:val="22"/>
          <w:szCs w:val="22"/>
        </w:rPr>
        <w:t>The programme is on track to contribute to Defra’s expected outcomes and impact</w:t>
      </w:r>
      <w:r w:rsidR="0074697B" w:rsidRPr="58D74F02">
        <w:rPr>
          <w:rFonts w:eastAsia="Arial" w:cs="Arial"/>
          <w:color w:val="000000" w:themeColor="text1"/>
          <w:sz w:val="22"/>
          <w:szCs w:val="22"/>
        </w:rPr>
        <w:t xml:space="preserve">, and </w:t>
      </w:r>
      <w:r w:rsidRPr="58D74F02">
        <w:rPr>
          <w:rFonts w:eastAsia="Arial" w:cs="Arial"/>
          <w:color w:val="000000" w:themeColor="text1"/>
          <w:sz w:val="22"/>
          <w:szCs w:val="22"/>
        </w:rPr>
        <w:t xml:space="preserve">in </w:t>
      </w:r>
      <w:r w:rsidR="0074697B" w:rsidRPr="58D74F02">
        <w:rPr>
          <w:rFonts w:eastAsia="Arial" w:cs="Arial"/>
          <w:color w:val="000000" w:themeColor="text1"/>
          <w:sz w:val="22"/>
          <w:szCs w:val="22"/>
        </w:rPr>
        <w:t>most</w:t>
      </w:r>
      <w:r w:rsidRPr="58D74F02">
        <w:rPr>
          <w:rFonts w:eastAsia="Arial" w:cs="Arial"/>
          <w:color w:val="000000" w:themeColor="text1"/>
          <w:sz w:val="22"/>
          <w:szCs w:val="22"/>
        </w:rPr>
        <w:t xml:space="preserve"> </w:t>
      </w:r>
      <w:r w:rsidR="5C96C609" w:rsidRPr="58D74F02">
        <w:rPr>
          <w:rFonts w:eastAsia="Arial" w:cs="Arial"/>
          <w:color w:val="000000" w:themeColor="text1"/>
          <w:sz w:val="22"/>
          <w:szCs w:val="22"/>
        </w:rPr>
        <w:t>areas,</w:t>
      </w:r>
      <w:r w:rsidRPr="58D74F02">
        <w:rPr>
          <w:rFonts w:eastAsia="Arial" w:cs="Arial"/>
          <w:color w:val="000000" w:themeColor="text1"/>
          <w:sz w:val="22"/>
          <w:szCs w:val="22"/>
        </w:rPr>
        <w:t xml:space="preserve"> targets are being surpassed. </w:t>
      </w:r>
      <w:r w:rsidR="0074697B" w:rsidRPr="58D74F02">
        <w:rPr>
          <w:rFonts w:eastAsia="Arial" w:cs="Arial"/>
          <w:color w:val="000000" w:themeColor="text1"/>
          <w:sz w:val="22"/>
          <w:szCs w:val="22"/>
        </w:rPr>
        <w:t>T</w:t>
      </w:r>
      <w:r w:rsidRPr="58D74F02">
        <w:rPr>
          <w:rFonts w:eastAsia="Arial" w:cs="Arial"/>
          <w:color w:val="000000" w:themeColor="text1"/>
          <w:sz w:val="22"/>
          <w:szCs w:val="22"/>
        </w:rPr>
        <w:t xml:space="preserve">argets in the Defra </w:t>
      </w:r>
      <w:proofErr w:type="spellStart"/>
      <w:r w:rsidRPr="58D74F02">
        <w:rPr>
          <w:rFonts w:eastAsia="Arial" w:cs="Arial"/>
          <w:color w:val="000000" w:themeColor="text1"/>
          <w:sz w:val="22"/>
          <w:szCs w:val="22"/>
        </w:rPr>
        <w:t>logframe</w:t>
      </w:r>
      <w:proofErr w:type="spellEnd"/>
      <w:r w:rsidRPr="58D74F02">
        <w:rPr>
          <w:rFonts w:eastAsia="Arial" w:cs="Arial"/>
          <w:color w:val="000000" w:themeColor="text1"/>
          <w:sz w:val="22"/>
          <w:szCs w:val="22"/>
        </w:rPr>
        <w:t xml:space="preserve"> </w:t>
      </w:r>
      <w:r w:rsidR="00763930">
        <w:rPr>
          <w:rFonts w:eastAsia="Arial" w:cs="Arial"/>
          <w:color w:val="000000" w:themeColor="text1"/>
          <w:sz w:val="22"/>
          <w:szCs w:val="22"/>
        </w:rPr>
        <w:t>will be</w:t>
      </w:r>
      <w:r w:rsidR="0074697B" w:rsidRPr="58D74F02">
        <w:rPr>
          <w:rFonts w:eastAsia="Arial" w:cs="Arial"/>
          <w:color w:val="000000" w:themeColor="text1"/>
          <w:sz w:val="22"/>
          <w:szCs w:val="22"/>
        </w:rPr>
        <w:t xml:space="preserve"> revised </w:t>
      </w:r>
      <w:r w:rsidRPr="58D74F02">
        <w:rPr>
          <w:rFonts w:eastAsia="Arial" w:cs="Arial"/>
          <w:color w:val="000000" w:themeColor="text1"/>
          <w:sz w:val="22"/>
          <w:szCs w:val="22"/>
        </w:rPr>
        <w:t xml:space="preserve">for the next few years in line with the current trend in results. </w:t>
      </w:r>
      <w:r w:rsidR="0074697B" w:rsidRPr="58D74F02">
        <w:rPr>
          <w:rFonts w:eastAsia="Arial" w:cs="Arial"/>
          <w:color w:val="000000" w:themeColor="text1"/>
          <w:sz w:val="22"/>
          <w:szCs w:val="22"/>
        </w:rPr>
        <w:t>For most outcomes</w:t>
      </w:r>
      <w:r w:rsidRPr="58D74F02">
        <w:rPr>
          <w:rFonts w:eastAsia="Arial" w:cs="Arial"/>
          <w:color w:val="000000" w:themeColor="text1"/>
          <w:sz w:val="22"/>
          <w:szCs w:val="22"/>
        </w:rPr>
        <w:t xml:space="preserve"> this will raise the ambition of the fund and hopefully lead to greater results at final impact level, </w:t>
      </w:r>
      <w:r w:rsidR="0074697B" w:rsidRPr="58D74F02">
        <w:rPr>
          <w:rFonts w:eastAsia="Arial" w:cs="Arial"/>
          <w:color w:val="000000" w:themeColor="text1"/>
          <w:sz w:val="22"/>
          <w:szCs w:val="22"/>
        </w:rPr>
        <w:t xml:space="preserve">though for water use this will mean a revision down to establish a more realistic set of milestones to encourage progress over the next </w:t>
      </w:r>
      <w:r w:rsidR="4832B1BF" w:rsidRPr="58D74F02">
        <w:rPr>
          <w:rFonts w:eastAsia="Arial" w:cs="Arial"/>
          <w:color w:val="000000" w:themeColor="text1"/>
          <w:sz w:val="22"/>
          <w:szCs w:val="22"/>
        </w:rPr>
        <w:t>five-year</w:t>
      </w:r>
      <w:r w:rsidR="0074697B" w:rsidRPr="58D74F02">
        <w:rPr>
          <w:rFonts w:eastAsia="Arial" w:cs="Arial"/>
          <w:color w:val="000000" w:themeColor="text1"/>
          <w:sz w:val="22"/>
          <w:szCs w:val="22"/>
        </w:rPr>
        <w:t xml:space="preserve"> period. It</w:t>
      </w:r>
      <w:r w:rsidRPr="58D74F02">
        <w:rPr>
          <w:rFonts w:eastAsia="Arial" w:cs="Arial"/>
          <w:color w:val="000000" w:themeColor="text1"/>
          <w:sz w:val="22"/>
          <w:szCs w:val="22"/>
        </w:rPr>
        <w:t xml:space="preserve"> </w:t>
      </w:r>
      <w:r w:rsidR="0074697B" w:rsidRPr="58D74F02">
        <w:rPr>
          <w:rFonts w:eastAsia="Arial" w:cs="Arial"/>
          <w:color w:val="000000" w:themeColor="text1"/>
          <w:sz w:val="22"/>
          <w:szCs w:val="22"/>
        </w:rPr>
        <w:t>should</w:t>
      </w:r>
      <w:r w:rsidRPr="58D74F02">
        <w:rPr>
          <w:rFonts w:eastAsia="Arial" w:cs="Arial"/>
          <w:color w:val="000000" w:themeColor="text1"/>
          <w:sz w:val="22"/>
          <w:szCs w:val="22"/>
        </w:rPr>
        <w:t xml:space="preserve"> be noted that indicators</w:t>
      </w:r>
      <w:r w:rsidR="65256AA6" w:rsidRPr="58D74F02">
        <w:rPr>
          <w:rFonts w:eastAsia="Arial" w:cs="Arial"/>
          <w:color w:val="000000" w:themeColor="text1"/>
          <w:sz w:val="22"/>
          <w:szCs w:val="22"/>
        </w:rPr>
        <w:t xml:space="preserve"> like water use</w:t>
      </w:r>
      <w:r w:rsidRPr="58D74F02">
        <w:rPr>
          <w:rFonts w:eastAsia="Arial" w:cs="Arial"/>
          <w:color w:val="000000" w:themeColor="text1"/>
          <w:sz w:val="22"/>
          <w:szCs w:val="22"/>
        </w:rPr>
        <w:t xml:space="preserve"> are difficult to accurately set targets for and are dictated by market conditions and</w:t>
      </w:r>
      <w:r w:rsidR="0074697B" w:rsidRPr="58D74F02">
        <w:rPr>
          <w:rFonts w:eastAsia="Arial" w:cs="Arial"/>
          <w:color w:val="000000" w:themeColor="text1"/>
          <w:sz w:val="22"/>
          <w:szCs w:val="22"/>
        </w:rPr>
        <w:t xml:space="preserve"> sub-lending trends</w:t>
      </w:r>
      <w:r w:rsidRPr="58D74F02">
        <w:rPr>
          <w:rFonts w:eastAsia="Arial" w:cs="Arial"/>
          <w:color w:val="000000" w:themeColor="text1"/>
          <w:sz w:val="22"/>
          <w:szCs w:val="22"/>
        </w:rPr>
        <w:t xml:space="preserve">. Defra </w:t>
      </w:r>
      <w:r w:rsidR="0074697B" w:rsidRPr="58D74F02">
        <w:rPr>
          <w:rFonts w:eastAsia="Arial" w:cs="Arial"/>
          <w:color w:val="000000" w:themeColor="text1"/>
          <w:sz w:val="22"/>
          <w:szCs w:val="22"/>
        </w:rPr>
        <w:t>has</w:t>
      </w:r>
      <w:r w:rsidRPr="58D74F02">
        <w:rPr>
          <w:rFonts w:eastAsia="Arial" w:cs="Arial"/>
          <w:color w:val="000000" w:themeColor="text1"/>
          <w:sz w:val="22"/>
          <w:szCs w:val="22"/>
        </w:rPr>
        <w:t xml:space="preserve"> work</w:t>
      </w:r>
      <w:r w:rsidR="0074697B" w:rsidRPr="58D74F02">
        <w:rPr>
          <w:rFonts w:eastAsia="Arial" w:cs="Arial"/>
          <w:color w:val="000000" w:themeColor="text1"/>
          <w:sz w:val="22"/>
          <w:szCs w:val="22"/>
        </w:rPr>
        <w:t>ed</w:t>
      </w:r>
      <w:r w:rsidRPr="58D74F02">
        <w:rPr>
          <w:rFonts w:eastAsia="Arial" w:cs="Arial"/>
          <w:color w:val="000000" w:themeColor="text1"/>
          <w:sz w:val="22"/>
          <w:szCs w:val="22"/>
        </w:rPr>
        <w:t xml:space="preserve"> with the Fund to ensure realistic targets are set based upon the best available evidenc</w:t>
      </w:r>
      <w:r w:rsidR="0074697B" w:rsidRPr="58D74F02">
        <w:rPr>
          <w:rFonts w:eastAsia="Arial" w:cs="Arial"/>
          <w:color w:val="000000" w:themeColor="text1"/>
          <w:sz w:val="22"/>
          <w:szCs w:val="22"/>
        </w:rPr>
        <w:t>e, to encourage maximum impact</w:t>
      </w:r>
      <w:r w:rsidRPr="58D74F02">
        <w:rPr>
          <w:rFonts w:eastAsia="Arial" w:cs="Arial"/>
          <w:color w:val="000000" w:themeColor="text1"/>
          <w:sz w:val="22"/>
          <w:szCs w:val="22"/>
        </w:rPr>
        <w:t>.</w:t>
      </w:r>
    </w:p>
    <w:p w14:paraId="2716176E" w14:textId="77777777" w:rsidR="006F3AE7" w:rsidRPr="00A54B18" w:rsidRDefault="006F3AE7" w:rsidP="00F66B70">
      <w:pPr>
        <w:jc w:val="both"/>
        <w:rPr>
          <w:rFonts w:eastAsia="Arial" w:cs="Arial"/>
          <w:b/>
          <w:bCs/>
        </w:rPr>
      </w:pPr>
    </w:p>
    <w:p w14:paraId="158DB094" w14:textId="4A8937CD" w:rsidR="006F3AE7" w:rsidRPr="00A54B18" w:rsidRDefault="7232A90E" w:rsidP="00F66B70">
      <w:pPr>
        <w:jc w:val="both"/>
        <w:rPr>
          <w:rFonts w:eastAsia="Arial" w:cs="Arial"/>
          <w:sz w:val="22"/>
          <w:szCs w:val="22"/>
        </w:rPr>
      </w:pPr>
      <w:r w:rsidRPr="00A54B18">
        <w:rPr>
          <w:rFonts w:eastAsia="Arial" w:cs="Arial"/>
          <w:b/>
          <w:bCs/>
          <w:sz w:val="22"/>
          <w:szCs w:val="22"/>
          <w:lang w:val="en" w:eastAsia="en-GB"/>
        </w:rPr>
        <w:t xml:space="preserve">Justify whether the </w:t>
      </w:r>
      <w:proofErr w:type="spellStart"/>
      <w:r w:rsidRPr="00A54B18">
        <w:rPr>
          <w:rFonts w:eastAsia="Arial" w:cs="Arial"/>
          <w:b/>
          <w:bCs/>
          <w:sz w:val="22"/>
          <w:szCs w:val="22"/>
          <w:lang w:val="en" w:eastAsia="en-GB"/>
        </w:rPr>
        <w:t>programme</w:t>
      </w:r>
      <w:proofErr w:type="spellEnd"/>
      <w:r w:rsidRPr="00A54B18">
        <w:rPr>
          <w:rFonts w:eastAsia="Arial" w:cs="Arial"/>
          <w:b/>
          <w:bCs/>
          <w:sz w:val="22"/>
          <w:szCs w:val="22"/>
          <w:lang w:val="en" w:eastAsia="en-GB"/>
        </w:rPr>
        <w:t xml:space="preserve"> should continue, based on its own merits and in the context of the wider portfolio</w:t>
      </w:r>
      <w:r w:rsidR="006C1DAF">
        <w:rPr>
          <w:rFonts w:eastAsia="Arial" w:cs="Arial"/>
          <w:b/>
          <w:bCs/>
          <w:sz w:val="22"/>
          <w:szCs w:val="22"/>
          <w:lang w:val="en" w:eastAsia="en-GB"/>
        </w:rPr>
        <w:t>.</w:t>
      </w:r>
    </w:p>
    <w:p w14:paraId="77BBDA88" w14:textId="77777777" w:rsidR="006F3AE7" w:rsidRPr="00A54B18" w:rsidRDefault="006F3AE7" w:rsidP="00F66B70">
      <w:pPr>
        <w:jc w:val="both"/>
        <w:rPr>
          <w:rFonts w:eastAsia="Arial" w:cs="Arial"/>
          <w:sz w:val="22"/>
          <w:szCs w:val="22"/>
        </w:rPr>
      </w:pPr>
    </w:p>
    <w:p w14:paraId="26679FF4" w14:textId="04BD078D" w:rsidR="00514E0C" w:rsidRPr="0074697B" w:rsidRDefault="001506C9" w:rsidP="00F66B70">
      <w:pPr>
        <w:jc w:val="both"/>
        <w:rPr>
          <w:rFonts w:eastAsia="Arial" w:cs="Arial"/>
          <w:sz w:val="22"/>
          <w:szCs w:val="22"/>
          <w:lang w:val="en" w:eastAsia="en-GB"/>
        </w:rPr>
      </w:pPr>
      <w:r w:rsidRPr="001E0775">
        <w:rPr>
          <w:rFonts w:eastAsia="Arial" w:cs="Arial"/>
          <w:sz w:val="22"/>
          <w:szCs w:val="22"/>
          <w:lang w:val="en" w:eastAsia="en-GB"/>
        </w:rPr>
        <w:t xml:space="preserve">Based on the above analysis of outcome and output achievement, </w:t>
      </w:r>
      <w:proofErr w:type="spellStart"/>
      <w:proofErr w:type="gramStart"/>
      <w:r w:rsidRPr="001E0775">
        <w:rPr>
          <w:rFonts w:eastAsia="Arial" w:cs="Arial"/>
          <w:sz w:val="22"/>
          <w:szCs w:val="22"/>
          <w:lang w:val="en" w:eastAsia="en-GB"/>
        </w:rPr>
        <w:t>ToC</w:t>
      </w:r>
      <w:proofErr w:type="spellEnd"/>
      <w:proofErr w:type="gramEnd"/>
      <w:r w:rsidRPr="001E0775">
        <w:rPr>
          <w:rFonts w:eastAsia="Arial" w:cs="Arial"/>
          <w:sz w:val="22"/>
          <w:szCs w:val="22"/>
          <w:lang w:val="en" w:eastAsia="en-GB"/>
        </w:rPr>
        <w:t xml:space="preserve"> and </w:t>
      </w:r>
      <w:r w:rsidR="00216904" w:rsidRPr="001E0775">
        <w:rPr>
          <w:rFonts w:eastAsia="Arial" w:cs="Arial"/>
          <w:sz w:val="22"/>
          <w:szCs w:val="22"/>
          <w:lang w:val="en" w:eastAsia="en-GB"/>
        </w:rPr>
        <w:t>value for money (</w:t>
      </w:r>
      <w:proofErr w:type="spellStart"/>
      <w:r w:rsidRPr="001E0775">
        <w:rPr>
          <w:rFonts w:eastAsia="Arial" w:cs="Arial"/>
          <w:sz w:val="22"/>
          <w:szCs w:val="22"/>
          <w:lang w:val="en" w:eastAsia="en-GB"/>
        </w:rPr>
        <w:t>VfM</w:t>
      </w:r>
      <w:proofErr w:type="spellEnd"/>
      <w:r w:rsidR="00216904" w:rsidRPr="001E0775">
        <w:rPr>
          <w:rFonts w:eastAsia="Arial" w:cs="Arial"/>
          <w:sz w:val="22"/>
          <w:szCs w:val="22"/>
          <w:lang w:val="en" w:eastAsia="en-GB"/>
        </w:rPr>
        <w:t>)</w:t>
      </w:r>
      <w:r w:rsidRPr="001E0775">
        <w:rPr>
          <w:rFonts w:eastAsia="Arial" w:cs="Arial"/>
          <w:sz w:val="22"/>
          <w:szCs w:val="22"/>
          <w:lang w:val="en" w:eastAsia="en-GB"/>
        </w:rPr>
        <w:t xml:space="preserve"> analysis</w:t>
      </w:r>
      <w:r w:rsidR="00EF2578" w:rsidRPr="001E0775">
        <w:rPr>
          <w:rFonts w:eastAsia="Arial" w:cs="Arial"/>
          <w:sz w:val="22"/>
          <w:szCs w:val="22"/>
          <w:lang w:val="en" w:eastAsia="en-GB"/>
        </w:rPr>
        <w:t xml:space="preserve"> (see </w:t>
      </w:r>
      <w:r w:rsidR="00216904" w:rsidRPr="001E0775">
        <w:rPr>
          <w:rFonts w:eastAsia="Arial" w:cs="Arial"/>
          <w:sz w:val="22"/>
          <w:szCs w:val="22"/>
          <w:lang w:val="en" w:eastAsia="en-GB"/>
        </w:rPr>
        <w:t>Section E)</w:t>
      </w:r>
      <w:r w:rsidRPr="001E0775">
        <w:rPr>
          <w:rFonts w:eastAsia="Arial" w:cs="Arial"/>
          <w:sz w:val="22"/>
          <w:szCs w:val="22"/>
          <w:lang w:val="en" w:eastAsia="en-GB"/>
        </w:rPr>
        <w:t xml:space="preserve">, the </w:t>
      </w:r>
      <w:proofErr w:type="spellStart"/>
      <w:r w:rsidRPr="001E0775">
        <w:rPr>
          <w:rFonts w:eastAsia="Arial" w:cs="Arial"/>
          <w:sz w:val="22"/>
          <w:szCs w:val="22"/>
          <w:lang w:val="en" w:eastAsia="en-GB"/>
        </w:rPr>
        <w:t>programme</w:t>
      </w:r>
      <w:proofErr w:type="spellEnd"/>
      <w:r w:rsidRPr="001E0775">
        <w:rPr>
          <w:rFonts w:eastAsia="Arial" w:cs="Arial"/>
          <w:sz w:val="22"/>
          <w:szCs w:val="22"/>
          <w:lang w:val="en" w:eastAsia="en-GB"/>
        </w:rPr>
        <w:t xml:space="preserve"> is performing well, continues to represent good </w:t>
      </w:r>
      <w:proofErr w:type="spellStart"/>
      <w:r w:rsidRPr="001E0775">
        <w:rPr>
          <w:rFonts w:eastAsia="Arial" w:cs="Arial"/>
          <w:sz w:val="22"/>
          <w:szCs w:val="22"/>
          <w:lang w:val="en" w:eastAsia="en-GB"/>
        </w:rPr>
        <w:t>VfM</w:t>
      </w:r>
      <w:proofErr w:type="spellEnd"/>
      <w:r w:rsidRPr="001E0775">
        <w:rPr>
          <w:rFonts w:eastAsia="Arial" w:cs="Arial"/>
          <w:sz w:val="22"/>
          <w:szCs w:val="22"/>
          <w:lang w:val="en" w:eastAsia="en-GB"/>
        </w:rPr>
        <w:t xml:space="preserve"> and fits with Defra’s I</w:t>
      </w:r>
      <w:r w:rsidR="00E7363B" w:rsidRPr="001E0775">
        <w:rPr>
          <w:rFonts w:eastAsia="Arial" w:cs="Arial"/>
          <w:sz w:val="22"/>
          <w:szCs w:val="22"/>
          <w:lang w:val="en" w:eastAsia="en-GB"/>
        </w:rPr>
        <w:t>nternational Climate Finance (ICF) and Official Development Assistance (</w:t>
      </w:r>
      <w:r w:rsidRPr="001E0775">
        <w:rPr>
          <w:rFonts w:eastAsia="Arial" w:cs="Arial"/>
          <w:sz w:val="22"/>
          <w:szCs w:val="22"/>
          <w:lang w:val="en" w:eastAsia="en-GB"/>
        </w:rPr>
        <w:t>ODA</w:t>
      </w:r>
      <w:r w:rsidR="00E7363B" w:rsidRPr="001E0775">
        <w:rPr>
          <w:rFonts w:eastAsia="Arial" w:cs="Arial"/>
          <w:sz w:val="22"/>
          <w:szCs w:val="22"/>
          <w:lang w:val="en" w:eastAsia="en-GB"/>
        </w:rPr>
        <w:t>)</w:t>
      </w:r>
      <w:r w:rsidRPr="001E0775">
        <w:rPr>
          <w:rFonts w:eastAsia="Arial" w:cs="Arial"/>
          <w:sz w:val="22"/>
          <w:szCs w:val="22"/>
          <w:lang w:val="en" w:eastAsia="en-GB"/>
        </w:rPr>
        <w:t xml:space="preserve"> priorities including </w:t>
      </w:r>
      <w:proofErr w:type="spellStart"/>
      <w:r w:rsidRPr="001E0775">
        <w:rPr>
          <w:rFonts w:eastAsia="Arial" w:cs="Arial"/>
          <w:sz w:val="22"/>
          <w:szCs w:val="22"/>
          <w:lang w:val="en" w:eastAsia="en-GB"/>
        </w:rPr>
        <w:t>mobilising</w:t>
      </w:r>
      <w:proofErr w:type="spellEnd"/>
      <w:r w:rsidRPr="001E0775">
        <w:rPr>
          <w:rFonts w:eastAsia="Arial" w:cs="Arial"/>
          <w:sz w:val="22"/>
          <w:szCs w:val="22"/>
          <w:lang w:val="en" w:eastAsia="en-GB"/>
        </w:rPr>
        <w:t xml:space="preserve"> finance for nature and testing and demonstrating innovative investment models</w:t>
      </w:r>
      <w:r w:rsidR="009E3E4E">
        <w:rPr>
          <w:rFonts w:eastAsia="Arial" w:cs="Arial"/>
          <w:sz w:val="22"/>
          <w:szCs w:val="22"/>
          <w:lang w:val="en" w:eastAsia="en-GB"/>
        </w:rPr>
        <w:t>,</w:t>
      </w:r>
      <w:r w:rsidRPr="001E0775">
        <w:rPr>
          <w:rFonts w:eastAsia="Arial" w:cs="Arial"/>
          <w:sz w:val="22"/>
          <w:szCs w:val="22"/>
          <w:lang w:val="en" w:eastAsia="en-GB"/>
        </w:rPr>
        <w:t xml:space="preserve"> i.e. blended finance and </w:t>
      </w:r>
      <w:r w:rsidR="00D0174A">
        <w:rPr>
          <w:rFonts w:eastAsia="Arial" w:cs="Arial"/>
          <w:sz w:val="22"/>
          <w:szCs w:val="22"/>
          <w:lang w:val="en" w:eastAsia="en-GB"/>
        </w:rPr>
        <w:t>TA</w:t>
      </w:r>
      <w:r w:rsidRPr="001E0775">
        <w:rPr>
          <w:rFonts w:eastAsia="Arial" w:cs="Arial"/>
          <w:sz w:val="22"/>
          <w:szCs w:val="22"/>
          <w:lang w:val="en" w:eastAsia="en-GB"/>
        </w:rPr>
        <w:t xml:space="preserve"> for implementation of sustainable agriculture. It is working to address barriers to progress in climate change adaptation and sustainable livelihoods and transformational change of the financial system. It is recommended that the </w:t>
      </w:r>
      <w:proofErr w:type="spellStart"/>
      <w:r w:rsidRPr="001E0775">
        <w:rPr>
          <w:rFonts w:eastAsia="Arial" w:cs="Arial"/>
          <w:sz w:val="22"/>
          <w:szCs w:val="22"/>
          <w:lang w:val="en" w:eastAsia="en-GB"/>
        </w:rPr>
        <w:t>programme</w:t>
      </w:r>
      <w:proofErr w:type="spellEnd"/>
      <w:r w:rsidRPr="001E0775">
        <w:rPr>
          <w:rFonts w:eastAsia="Arial" w:cs="Arial"/>
          <w:sz w:val="22"/>
          <w:szCs w:val="22"/>
          <w:lang w:val="en" w:eastAsia="en-GB"/>
        </w:rPr>
        <w:t xml:space="preserve"> continue.</w:t>
      </w:r>
    </w:p>
    <w:p w14:paraId="7C518865" w14:textId="03C3886D" w:rsidR="00514E0C" w:rsidRDefault="00514E0C" w:rsidP="005E557A">
      <w:pPr>
        <w:rPr>
          <w:rFonts w:eastAsia="Arial" w:cs="Arial"/>
          <w:sz w:val="20"/>
          <w:szCs w:val="20"/>
          <w:lang w:val="en" w:eastAsia="en-GB"/>
        </w:rPr>
      </w:pPr>
    </w:p>
    <w:p w14:paraId="7F557232" w14:textId="77777777" w:rsidR="00514E0C" w:rsidRPr="00A54B18" w:rsidRDefault="00514E0C" w:rsidP="005E557A">
      <w:pPr>
        <w:rPr>
          <w:rFonts w:eastAsia="Arial" w:cs="Arial"/>
          <w:sz w:val="20"/>
          <w:szCs w:val="20"/>
          <w:lang w:val="en" w:eastAsia="en-GB"/>
        </w:rPr>
      </w:pPr>
    </w:p>
    <w:p w14:paraId="2071A61A" w14:textId="1D01CF0D" w:rsidR="006F3AE7" w:rsidRPr="00A54B18" w:rsidRDefault="7232A90E" w:rsidP="005E557A">
      <w:pPr>
        <w:pStyle w:val="Heading2"/>
        <w:pBdr>
          <w:top w:val="single" w:sz="4" w:space="1" w:color="auto"/>
          <w:left w:val="single" w:sz="4" w:space="6" w:color="auto"/>
          <w:bottom w:val="single" w:sz="4" w:space="1" w:color="auto"/>
          <w:right w:val="single" w:sz="4" w:space="4" w:color="auto"/>
        </w:pBdr>
        <w:shd w:val="clear" w:color="auto" w:fill="D9E2F3" w:themeFill="accent1" w:themeFillTint="33"/>
        <w:spacing w:before="0"/>
        <w:rPr>
          <w:rFonts w:eastAsia="Arial" w:cs="Arial"/>
          <w:b w:val="0"/>
          <w:i w:val="0"/>
          <w:sz w:val="20"/>
          <w:szCs w:val="20"/>
        </w:rPr>
      </w:pPr>
      <w:r w:rsidRPr="00A54B18">
        <w:rPr>
          <w:rFonts w:eastAsia="Arial" w:cs="Arial"/>
          <w:i w:val="0"/>
        </w:rPr>
        <w:t>C. DETAILED OUTPUT SCORING</w:t>
      </w:r>
    </w:p>
    <w:p w14:paraId="662C714B" w14:textId="77777777" w:rsidR="00535C82" w:rsidRPr="00A54B18" w:rsidRDefault="00535C82" w:rsidP="005E557A">
      <w:pPr>
        <w:rPr>
          <w:rFonts w:eastAsia="Arial" w:cs="Arial"/>
          <w:b/>
          <w:bCs/>
          <w:i/>
          <w:iCs/>
          <w:color w:val="000000" w:themeColor="text1"/>
        </w:rPr>
      </w:pPr>
    </w:p>
    <w:p w14:paraId="6C064463" w14:textId="41DA138A" w:rsidR="00535C82" w:rsidRPr="00A54B18" w:rsidRDefault="00535C82" w:rsidP="00F66B70">
      <w:pPr>
        <w:jc w:val="both"/>
        <w:rPr>
          <w:rFonts w:eastAsia="Arial" w:cs="Arial"/>
          <w:color w:val="000000" w:themeColor="text1"/>
          <w:lang w:val="en"/>
        </w:rPr>
      </w:pPr>
      <w:r w:rsidRPr="00A54B18">
        <w:rPr>
          <w:rFonts w:eastAsia="Arial" w:cs="Arial"/>
          <w:b/>
          <w:bCs/>
          <w:i/>
          <w:iCs/>
          <w:color w:val="000000" w:themeColor="text1"/>
        </w:rPr>
        <w:t xml:space="preserve">Output level </w:t>
      </w:r>
      <w:proofErr w:type="gramStart"/>
      <w:r w:rsidRPr="00A54B18">
        <w:rPr>
          <w:rFonts w:eastAsia="Arial" w:cs="Arial"/>
          <w:b/>
          <w:bCs/>
          <w:i/>
          <w:iCs/>
          <w:color w:val="000000" w:themeColor="text1"/>
        </w:rPr>
        <w:t>Summary</w:t>
      </w:r>
      <w:proofErr w:type="gramEnd"/>
    </w:p>
    <w:p w14:paraId="42FDE965" w14:textId="1517DB75" w:rsidR="006F3AE7" w:rsidRPr="00A54B18" w:rsidRDefault="00535C82" w:rsidP="00F66B70">
      <w:pPr>
        <w:jc w:val="both"/>
        <w:rPr>
          <w:rFonts w:eastAsia="Arial" w:cs="Arial"/>
          <w:color w:val="000000" w:themeColor="text1"/>
          <w:sz w:val="22"/>
          <w:szCs w:val="22"/>
        </w:rPr>
      </w:pPr>
      <w:r w:rsidRPr="001E0775">
        <w:rPr>
          <w:rFonts w:eastAsia="Arial" w:cs="Arial"/>
          <w:color w:val="000000" w:themeColor="text1"/>
          <w:sz w:val="22"/>
          <w:szCs w:val="22"/>
        </w:rPr>
        <w:lastRenderedPageBreak/>
        <w:t xml:space="preserve">Outputs have been decided based on the objectives of the EBF to promote business and consumption practices that contribute to biodiversity conservation, to the sustainable use of natural resources, and to mitigate climate change and adapt to its impacts. Outputs have been weighted in accordance with their importance to the success of the EBF and alignment with Defra ICF’s strategic </w:t>
      </w:r>
      <w:r w:rsidR="00E67F25" w:rsidRPr="001E0775">
        <w:rPr>
          <w:rFonts w:eastAsia="Arial" w:cs="Arial"/>
          <w:color w:val="000000" w:themeColor="text1"/>
          <w:sz w:val="22"/>
          <w:szCs w:val="22"/>
        </w:rPr>
        <w:t>priorities.</w:t>
      </w:r>
      <w:r w:rsidR="004B16AA">
        <w:rPr>
          <w:rFonts w:eastAsia="Arial" w:cs="Arial"/>
          <w:color w:val="000000" w:themeColor="text1"/>
          <w:sz w:val="22"/>
          <w:szCs w:val="22"/>
        </w:rPr>
        <w:t xml:space="preserve"> </w:t>
      </w:r>
      <w:r w:rsidR="004B16AA" w:rsidRPr="005816E7">
        <w:rPr>
          <w:rFonts w:eastAsia="Arial" w:cs="Arial"/>
          <w:i/>
          <w:iCs/>
          <w:color w:val="000000" w:themeColor="text1"/>
          <w:sz w:val="22"/>
          <w:szCs w:val="22"/>
        </w:rPr>
        <w:t xml:space="preserve">All outputs are </w:t>
      </w:r>
      <w:r w:rsidR="00864889" w:rsidRPr="005816E7">
        <w:rPr>
          <w:rFonts w:eastAsia="Arial" w:cs="Arial"/>
          <w:i/>
          <w:iCs/>
          <w:color w:val="000000" w:themeColor="text1"/>
          <w:sz w:val="22"/>
          <w:szCs w:val="22"/>
        </w:rPr>
        <w:t xml:space="preserve">given as cumulative figures in line with the Fund’s </w:t>
      </w:r>
      <w:r w:rsidR="00E5147B" w:rsidRPr="005816E7">
        <w:rPr>
          <w:rFonts w:eastAsia="Arial" w:cs="Arial"/>
          <w:i/>
          <w:iCs/>
          <w:color w:val="000000" w:themeColor="text1"/>
          <w:sz w:val="22"/>
          <w:szCs w:val="22"/>
        </w:rPr>
        <w:t xml:space="preserve">other </w:t>
      </w:r>
      <w:r w:rsidR="00864889" w:rsidRPr="005816E7">
        <w:rPr>
          <w:rFonts w:eastAsia="Arial" w:cs="Arial"/>
          <w:i/>
          <w:iCs/>
          <w:color w:val="000000" w:themeColor="text1"/>
          <w:sz w:val="22"/>
          <w:szCs w:val="22"/>
        </w:rPr>
        <w:t>reporting</w:t>
      </w:r>
      <w:r w:rsidR="00E5147B" w:rsidRPr="005816E7">
        <w:rPr>
          <w:rFonts w:eastAsia="Arial" w:cs="Arial"/>
          <w:i/>
          <w:iCs/>
          <w:color w:val="000000" w:themeColor="text1"/>
          <w:sz w:val="22"/>
          <w:szCs w:val="22"/>
        </w:rPr>
        <w:t xml:space="preserve"> responsibilities</w:t>
      </w:r>
      <w:r w:rsidR="00864889" w:rsidRPr="005816E7">
        <w:rPr>
          <w:rFonts w:eastAsia="Arial" w:cs="Arial"/>
          <w:i/>
          <w:iCs/>
          <w:color w:val="000000" w:themeColor="text1"/>
          <w:sz w:val="22"/>
          <w:szCs w:val="22"/>
        </w:rPr>
        <w:t>, with in-year figures included in brackets.</w:t>
      </w:r>
    </w:p>
    <w:p w14:paraId="5FF355FD" w14:textId="77777777" w:rsidR="00535C82" w:rsidRPr="00A54B18" w:rsidRDefault="00535C82" w:rsidP="005E557A">
      <w:pPr>
        <w:rPr>
          <w:rFonts w:eastAsia="Arial" w:cs="Arial"/>
          <w:sz w:val="22"/>
          <w:szCs w:val="22"/>
        </w:rPr>
      </w:pPr>
    </w:p>
    <w:tbl>
      <w:tblPr>
        <w:tblStyle w:val="TableGrid"/>
        <w:tblW w:w="9214" w:type="dxa"/>
        <w:tblInd w:w="-147" w:type="dxa"/>
        <w:tblLook w:val="04A0" w:firstRow="1" w:lastRow="0" w:firstColumn="1" w:lastColumn="0" w:noHBand="0" w:noVBand="1"/>
      </w:tblPr>
      <w:tblGrid>
        <w:gridCol w:w="1708"/>
        <w:gridCol w:w="616"/>
        <w:gridCol w:w="937"/>
        <w:gridCol w:w="3283"/>
        <w:gridCol w:w="2670"/>
      </w:tblGrid>
      <w:tr w:rsidR="00605E79" w:rsidRPr="00A54B18" w14:paraId="52E574E6" w14:textId="77777777" w:rsidTr="00CE3085">
        <w:trPr>
          <w:trHeight w:val="489"/>
        </w:trPr>
        <w:tc>
          <w:tcPr>
            <w:tcW w:w="17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1EF9924" w14:textId="77777777" w:rsidR="006F3AE7" w:rsidRPr="00A54B18" w:rsidRDefault="7232A90E" w:rsidP="005E557A">
            <w:pPr>
              <w:rPr>
                <w:rFonts w:eastAsia="Arial" w:cs="Arial"/>
                <w:b/>
                <w:bCs/>
                <w:sz w:val="20"/>
                <w:szCs w:val="20"/>
              </w:rPr>
            </w:pPr>
            <w:r w:rsidRPr="00A54B18">
              <w:rPr>
                <w:rFonts w:eastAsia="Arial" w:cs="Arial"/>
                <w:b/>
                <w:bCs/>
                <w:sz w:val="20"/>
                <w:szCs w:val="20"/>
              </w:rPr>
              <w:t xml:space="preserve">Output Title </w:t>
            </w:r>
          </w:p>
        </w:tc>
        <w:tc>
          <w:tcPr>
            <w:tcW w:w="750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FD2BE8F" w14:textId="5012C752" w:rsidR="006F3AE7" w:rsidRPr="00A54B18" w:rsidRDefault="3E4AC18A" w:rsidP="005E557A">
            <w:pPr>
              <w:rPr>
                <w:rFonts w:eastAsia="Arial" w:cs="Arial"/>
                <w:i/>
                <w:iCs/>
                <w:color w:val="FF0000"/>
                <w:sz w:val="22"/>
                <w:szCs w:val="22"/>
              </w:rPr>
            </w:pPr>
            <w:r w:rsidRPr="00A54B18">
              <w:rPr>
                <w:rStyle w:val="normaltextrun"/>
                <w:rFonts w:eastAsia="Arial" w:cs="Arial"/>
                <w:color w:val="000000"/>
                <w:sz w:val="22"/>
                <w:szCs w:val="22"/>
                <w:shd w:val="clear" w:color="auto" w:fill="FFFFFF"/>
              </w:rPr>
              <w:t>EBF has a diversified portfolio supporting a range of geographies and sectors</w:t>
            </w:r>
            <w:r w:rsidRPr="00A54B18">
              <w:rPr>
                <w:rStyle w:val="eop"/>
                <w:rFonts w:eastAsia="Arial" w:cs="Arial"/>
                <w:color w:val="000000"/>
                <w:sz w:val="22"/>
                <w:szCs w:val="22"/>
                <w:shd w:val="clear" w:color="auto" w:fill="FFFFFF"/>
              </w:rPr>
              <w:t> </w:t>
            </w:r>
          </w:p>
        </w:tc>
      </w:tr>
      <w:tr w:rsidR="00F45458" w:rsidRPr="00A54B18" w14:paraId="5136958B" w14:textId="77777777" w:rsidTr="00CE3085">
        <w:trPr>
          <w:trHeight w:val="347"/>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7C28C9F" w14:textId="77777777" w:rsidR="006F3AE7" w:rsidRPr="00A54B18" w:rsidRDefault="7232A90E" w:rsidP="005E557A">
            <w:pPr>
              <w:rPr>
                <w:rFonts w:eastAsia="Arial" w:cs="Arial"/>
                <w:sz w:val="20"/>
                <w:szCs w:val="20"/>
              </w:rPr>
            </w:pPr>
            <w:r w:rsidRPr="00A54B18">
              <w:rPr>
                <w:rFonts w:eastAsia="Arial" w:cs="Arial"/>
                <w:sz w:val="20"/>
                <w:szCs w:val="20"/>
              </w:rPr>
              <w:t xml:space="preserve">Output number: </w:t>
            </w:r>
          </w:p>
        </w:tc>
        <w:tc>
          <w:tcPr>
            <w:tcW w:w="937" w:type="dxa"/>
            <w:tcBorders>
              <w:top w:val="single" w:sz="4" w:space="0" w:color="auto"/>
              <w:left w:val="single" w:sz="4" w:space="0" w:color="auto"/>
              <w:bottom w:val="single" w:sz="4" w:space="0" w:color="auto"/>
              <w:right w:val="single" w:sz="4" w:space="0" w:color="auto"/>
            </w:tcBorders>
          </w:tcPr>
          <w:p w14:paraId="0D998D47" w14:textId="206DD742" w:rsidR="006F3AE7" w:rsidRPr="00A54B18" w:rsidRDefault="6B49CB7E" w:rsidP="005E557A">
            <w:pPr>
              <w:rPr>
                <w:rFonts w:eastAsia="Arial" w:cs="Arial"/>
                <w:sz w:val="20"/>
                <w:szCs w:val="20"/>
              </w:rPr>
            </w:pPr>
            <w:r w:rsidRPr="00A54B18">
              <w:rPr>
                <w:rFonts w:eastAsia="Arial" w:cs="Arial"/>
                <w:sz w:val="20"/>
                <w:szCs w:val="20"/>
              </w:rPr>
              <w:t>1</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6CD8447" w14:textId="77777777" w:rsidR="006F3AE7" w:rsidRPr="00A54B18" w:rsidRDefault="7232A90E" w:rsidP="005E557A">
            <w:pPr>
              <w:rPr>
                <w:rFonts w:eastAsia="Arial" w:cs="Arial"/>
                <w:sz w:val="20"/>
                <w:szCs w:val="20"/>
              </w:rPr>
            </w:pPr>
            <w:r w:rsidRPr="00A54B18">
              <w:rPr>
                <w:rFonts w:eastAsia="Arial" w:cs="Arial"/>
                <w:sz w:val="20"/>
                <w:szCs w:val="20"/>
              </w:rPr>
              <w:t xml:space="preserve">Output Score: </w:t>
            </w:r>
          </w:p>
        </w:tc>
        <w:tc>
          <w:tcPr>
            <w:tcW w:w="2670" w:type="dxa"/>
            <w:tcBorders>
              <w:top w:val="single" w:sz="4" w:space="0" w:color="auto"/>
              <w:left w:val="single" w:sz="4" w:space="0" w:color="auto"/>
              <w:bottom w:val="single" w:sz="4" w:space="0" w:color="auto"/>
              <w:right w:val="single" w:sz="4" w:space="0" w:color="auto"/>
            </w:tcBorders>
          </w:tcPr>
          <w:p w14:paraId="25588D6F" w14:textId="4F28D332" w:rsidR="006F3AE7" w:rsidRPr="00A54B18" w:rsidRDefault="355C43C0" w:rsidP="005E557A">
            <w:pPr>
              <w:rPr>
                <w:rFonts w:eastAsia="Arial" w:cs="Arial"/>
                <w:b/>
                <w:bCs/>
                <w:i/>
                <w:iCs/>
                <w:sz w:val="20"/>
                <w:szCs w:val="20"/>
              </w:rPr>
            </w:pPr>
            <w:r w:rsidRPr="00A54B18">
              <w:rPr>
                <w:rFonts w:eastAsia="Arial" w:cs="Arial"/>
                <w:b/>
                <w:bCs/>
                <w:i/>
                <w:iCs/>
                <w:sz w:val="20"/>
                <w:szCs w:val="20"/>
              </w:rPr>
              <w:t>A+</w:t>
            </w:r>
          </w:p>
        </w:tc>
      </w:tr>
      <w:tr w:rsidR="00F45458" w:rsidRPr="00A54B18" w14:paraId="2E063A5F" w14:textId="77777777" w:rsidTr="00CE3085">
        <w:trPr>
          <w:trHeight w:val="345"/>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613D482" w14:textId="77777777" w:rsidR="006F3AE7" w:rsidRPr="00A54B18" w:rsidRDefault="7232A90E" w:rsidP="005E557A">
            <w:pPr>
              <w:rPr>
                <w:rFonts w:eastAsia="Arial" w:cs="Arial"/>
                <w:sz w:val="20"/>
                <w:szCs w:val="20"/>
              </w:rPr>
            </w:pPr>
            <w:r w:rsidRPr="00A54B18">
              <w:rPr>
                <w:rFonts w:eastAsia="Arial" w:cs="Arial"/>
                <w:sz w:val="20"/>
                <w:szCs w:val="20"/>
              </w:rPr>
              <w:t xml:space="preserve">Impact weighting (%):  </w:t>
            </w:r>
          </w:p>
        </w:tc>
        <w:tc>
          <w:tcPr>
            <w:tcW w:w="937" w:type="dxa"/>
            <w:tcBorders>
              <w:top w:val="single" w:sz="4" w:space="0" w:color="auto"/>
              <w:left w:val="single" w:sz="4" w:space="0" w:color="auto"/>
              <w:bottom w:val="single" w:sz="4" w:space="0" w:color="auto"/>
              <w:right w:val="single" w:sz="4" w:space="0" w:color="auto"/>
            </w:tcBorders>
            <w:hideMark/>
          </w:tcPr>
          <w:p w14:paraId="31CC3EFE" w14:textId="5134F5E5" w:rsidR="006F3AE7" w:rsidRPr="00A54B18" w:rsidRDefault="55817DA2" w:rsidP="005E557A">
            <w:pPr>
              <w:rPr>
                <w:rFonts w:eastAsia="Arial" w:cs="Arial"/>
                <w:sz w:val="20"/>
                <w:szCs w:val="20"/>
              </w:rPr>
            </w:pPr>
            <w:r w:rsidRPr="00A54B18">
              <w:rPr>
                <w:rFonts w:eastAsia="Arial" w:cs="Arial"/>
                <w:sz w:val="20"/>
                <w:szCs w:val="20"/>
              </w:rPr>
              <w:t>35</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995FDB" w14:textId="2FF2D427" w:rsidR="006F3AE7" w:rsidRPr="00A54B18" w:rsidRDefault="7232A90E" w:rsidP="005E557A">
            <w:pPr>
              <w:rPr>
                <w:rFonts w:eastAsia="Arial" w:cs="Arial"/>
                <w:sz w:val="20"/>
                <w:szCs w:val="20"/>
              </w:rPr>
            </w:pPr>
            <w:r w:rsidRPr="00A54B18">
              <w:rPr>
                <w:rFonts w:eastAsia="Arial" w:cs="Arial"/>
                <w:sz w:val="20"/>
                <w:szCs w:val="20"/>
              </w:rPr>
              <w:t xml:space="preserve">Weighting revised since last </w:t>
            </w:r>
            <w:proofErr w:type="gramStart"/>
            <w:r w:rsidRPr="00A54B18">
              <w:rPr>
                <w:rFonts w:eastAsia="Arial" w:cs="Arial"/>
                <w:sz w:val="20"/>
                <w:szCs w:val="20"/>
              </w:rPr>
              <w:t>AR?</w:t>
            </w:r>
            <w:proofErr w:type="gramEnd"/>
            <w:r w:rsidRPr="00A54B18">
              <w:rPr>
                <w:rFonts w:eastAsia="Arial" w:cs="Arial"/>
                <w:sz w:val="20"/>
                <w:szCs w:val="20"/>
              </w:rPr>
              <w:t xml:space="preserve"> </w:t>
            </w:r>
          </w:p>
        </w:tc>
        <w:tc>
          <w:tcPr>
            <w:tcW w:w="2670" w:type="dxa"/>
            <w:tcBorders>
              <w:top w:val="single" w:sz="4" w:space="0" w:color="auto"/>
              <w:left w:val="single" w:sz="4" w:space="0" w:color="auto"/>
              <w:bottom w:val="single" w:sz="4" w:space="0" w:color="auto"/>
              <w:right w:val="single" w:sz="4" w:space="0" w:color="auto"/>
            </w:tcBorders>
          </w:tcPr>
          <w:p w14:paraId="2DFF1646" w14:textId="1C5429D1" w:rsidR="006F3AE7" w:rsidRPr="00A54B18" w:rsidRDefault="21E3158F" w:rsidP="005E557A">
            <w:pPr>
              <w:rPr>
                <w:rFonts w:eastAsia="Arial" w:cs="Arial"/>
                <w:sz w:val="20"/>
                <w:szCs w:val="20"/>
              </w:rPr>
            </w:pPr>
            <w:r w:rsidRPr="00A54B18">
              <w:rPr>
                <w:rFonts w:eastAsia="Arial" w:cs="Arial"/>
                <w:sz w:val="20"/>
                <w:szCs w:val="20"/>
              </w:rPr>
              <w:t>No</w:t>
            </w:r>
          </w:p>
        </w:tc>
      </w:tr>
    </w:tbl>
    <w:p w14:paraId="3FFA182B" w14:textId="77777777" w:rsidR="006F3AE7" w:rsidRPr="00A54B18" w:rsidRDefault="006F3AE7" w:rsidP="005E557A">
      <w:pPr>
        <w:rPr>
          <w:rFonts w:eastAsia="Arial" w:cs="Arial"/>
          <w:b/>
          <w:bCs/>
        </w:rPr>
      </w:pPr>
    </w:p>
    <w:tbl>
      <w:tblPr>
        <w:tblStyle w:val="TableGrid"/>
        <w:tblpPr w:leftFromText="180" w:rightFromText="180" w:vertAnchor="text" w:horzAnchor="page" w:tblpX="1325" w:tblpY="-10"/>
        <w:tblOverlap w:val="never"/>
        <w:tblW w:w="9193" w:type="dxa"/>
        <w:tblLook w:val="04A0" w:firstRow="1" w:lastRow="0" w:firstColumn="1" w:lastColumn="0" w:noHBand="0" w:noVBand="1"/>
      </w:tblPr>
      <w:tblGrid>
        <w:gridCol w:w="5382"/>
        <w:gridCol w:w="1984"/>
        <w:gridCol w:w="1827"/>
      </w:tblGrid>
      <w:tr w:rsidR="00882442" w:rsidRPr="00A54B18" w14:paraId="12589E58" w14:textId="2BA6FC84" w:rsidTr="00C03A48">
        <w:trPr>
          <w:trHeight w:val="209"/>
        </w:trPr>
        <w:tc>
          <w:tcPr>
            <w:tcW w:w="538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87DF24C" w14:textId="23873839" w:rsidR="00882442" w:rsidRPr="00A54B18" w:rsidRDefault="00882442" w:rsidP="005E557A">
            <w:pPr>
              <w:rPr>
                <w:rFonts w:eastAsia="Arial" w:cs="Arial"/>
                <w:b/>
                <w:bCs/>
                <w:sz w:val="20"/>
                <w:szCs w:val="20"/>
              </w:rPr>
            </w:pPr>
            <w:r w:rsidRPr="00A54B18">
              <w:rPr>
                <w:rFonts w:eastAsia="Arial" w:cs="Arial"/>
                <w:b/>
                <w:bCs/>
                <w:sz w:val="20"/>
                <w:szCs w:val="20"/>
              </w:rPr>
              <w:t>Indicator</w:t>
            </w:r>
          </w:p>
        </w:tc>
        <w:tc>
          <w:tcPr>
            <w:tcW w:w="198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2C55528" w14:textId="71420779" w:rsidR="00882442" w:rsidRPr="00A54B18" w:rsidRDefault="00882442" w:rsidP="005E557A">
            <w:pPr>
              <w:jc w:val="center"/>
              <w:rPr>
                <w:rFonts w:eastAsia="Arial" w:cs="Arial"/>
                <w:b/>
                <w:bCs/>
                <w:sz w:val="20"/>
                <w:szCs w:val="20"/>
              </w:rPr>
            </w:pPr>
            <w:r>
              <w:rPr>
                <w:rFonts w:eastAsia="Arial" w:cs="Arial"/>
                <w:b/>
                <w:bCs/>
                <w:sz w:val="20"/>
                <w:szCs w:val="20"/>
              </w:rPr>
              <w:t xml:space="preserve">2022 </w:t>
            </w:r>
            <w:r w:rsidRPr="00A54B18">
              <w:rPr>
                <w:rFonts w:eastAsia="Arial" w:cs="Arial"/>
                <w:b/>
                <w:bCs/>
                <w:sz w:val="20"/>
                <w:szCs w:val="20"/>
              </w:rPr>
              <w:t>Milestone</w:t>
            </w:r>
          </w:p>
        </w:tc>
        <w:tc>
          <w:tcPr>
            <w:tcW w:w="182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760A9A3" w14:textId="39966755" w:rsidR="00882442" w:rsidRPr="00A54B18" w:rsidRDefault="00882442" w:rsidP="005E557A">
            <w:pPr>
              <w:jc w:val="center"/>
              <w:rPr>
                <w:rFonts w:eastAsia="Arial" w:cs="Arial"/>
                <w:b/>
                <w:bCs/>
                <w:sz w:val="20"/>
                <w:szCs w:val="20"/>
              </w:rPr>
            </w:pPr>
            <w:r w:rsidRPr="00A54B18">
              <w:rPr>
                <w:rFonts w:eastAsia="Arial" w:cs="Arial"/>
                <w:b/>
                <w:bCs/>
                <w:sz w:val="20"/>
                <w:szCs w:val="20"/>
              </w:rPr>
              <w:t>Progress</w:t>
            </w:r>
          </w:p>
        </w:tc>
      </w:tr>
      <w:tr w:rsidR="00882442" w:rsidRPr="00A54B18" w14:paraId="63BE3357" w14:textId="3EE3A445" w:rsidTr="00A170CB">
        <w:trPr>
          <w:trHeight w:val="259"/>
        </w:trPr>
        <w:tc>
          <w:tcPr>
            <w:tcW w:w="5382" w:type="dxa"/>
            <w:tcBorders>
              <w:top w:val="single" w:sz="4" w:space="0" w:color="auto"/>
              <w:left w:val="single" w:sz="4" w:space="0" w:color="auto"/>
              <w:bottom w:val="single" w:sz="4" w:space="0" w:color="auto"/>
              <w:right w:val="single" w:sz="4" w:space="0" w:color="auto"/>
            </w:tcBorders>
          </w:tcPr>
          <w:p w14:paraId="6CBF5E6C" w14:textId="49CD8F02" w:rsidR="00882442" w:rsidRPr="00A54B18" w:rsidRDefault="00882442" w:rsidP="005E557A">
            <w:pPr>
              <w:rPr>
                <w:rFonts w:eastAsia="Arial" w:cs="Arial"/>
                <w:sz w:val="20"/>
                <w:szCs w:val="20"/>
              </w:rPr>
            </w:pPr>
            <w:r w:rsidRPr="00A54B18">
              <w:rPr>
                <w:rFonts w:eastAsia="Arial" w:cs="Arial"/>
                <w:color w:val="000000" w:themeColor="text1"/>
                <w:sz w:val="22"/>
                <w:szCs w:val="22"/>
              </w:rPr>
              <w:t>1.1 Number of financial institutions in EBF’s portfolio</w:t>
            </w:r>
          </w:p>
        </w:tc>
        <w:tc>
          <w:tcPr>
            <w:tcW w:w="1984" w:type="dxa"/>
            <w:tcBorders>
              <w:top w:val="single" w:sz="4" w:space="0" w:color="auto"/>
              <w:left w:val="single" w:sz="4" w:space="0" w:color="auto"/>
              <w:bottom w:val="single" w:sz="4" w:space="0" w:color="auto"/>
              <w:right w:val="single" w:sz="4" w:space="0" w:color="auto"/>
            </w:tcBorders>
          </w:tcPr>
          <w:p w14:paraId="049647E1" w14:textId="729CE007" w:rsidR="00882442" w:rsidRPr="00A54B18" w:rsidRDefault="00882442" w:rsidP="005E557A">
            <w:pPr>
              <w:jc w:val="center"/>
              <w:rPr>
                <w:rFonts w:eastAsia="Arial" w:cs="Arial"/>
                <w:sz w:val="22"/>
                <w:szCs w:val="22"/>
              </w:rPr>
            </w:pPr>
            <w:r>
              <w:rPr>
                <w:rFonts w:eastAsia="Arial" w:cs="Arial"/>
                <w:sz w:val="22"/>
                <w:szCs w:val="22"/>
              </w:rPr>
              <w:t>20</w:t>
            </w:r>
          </w:p>
        </w:tc>
        <w:tc>
          <w:tcPr>
            <w:tcW w:w="1827"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45032EC" w14:textId="7BE199BC" w:rsidR="00882442" w:rsidRPr="00A54B18" w:rsidRDefault="00882442" w:rsidP="005E557A">
            <w:pPr>
              <w:jc w:val="center"/>
              <w:rPr>
                <w:rFonts w:eastAsia="Arial" w:cs="Arial"/>
                <w:sz w:val="22"/>
                <w:szCs w:val="22"/>
              </w:rPr>
            </w:pPr>
            <w:r w:rsidRPr="00A54B18">
              <w:rPr>
                <w:rFonts w:eastAsia="Arial" w:cs="Arial"/>
                <w:sz w:val="22"/>
                <w:szCs w:val="22"/>
              </w:rPr>
              <w:t>3</w:t>
            </w:r>
            <w:r>
              <w:rPr>
                <w:rFonts w:eastAsia="Arial" w:cs="Arial"/>
                <w:sz w:val="22"/>
                <w:szCs w:val="22"/>
              </w:rPr>
              <w:t>6</w:t>
            </w:r>
            <w:r w:rsidR="00D31EA2">
              <w:rPr>
                <w:sz w:val="22"/>
                <w:szCs w:val="22"/>
              </w:rPr>
              <w:t xml:space="preserve"> (+6)</w:t>
            </w:r>
          </w:p>
        </w:tc>
      </w:tr>
      <w:tr w:rsidR="00882442" w:rsidRPr="00A54B18" w14:paraId="723D0A09" w14:textId="06B9AAD4" w:rsidTr="00A170CB">
        <w:trPr>
          <w:trHeight w:val="259"/>
        </w:trPr>
        <w:tc>
          <w:tcPr>
            <w:tcW w:w="5382" w:type="dxa"/>
            <w:tcBorders>
              <w:top w:val="single" w:sz="4" w:space="0" w:color="auto"/>
              <w:left w:val="single" w:sz="4" w:space="0" w:color="auto"/>
              <w:bottom w:val="single" w:sz="4" w:space="0" w:color="auto"/>
              <w:right w:val="single" w:sz="4" w:space="0" w:color="auto"/>
            </w:tcBorders>
          </w:tcPr>
          <w:p w14:paraId="12C485DF" w14:textId="7A0A7F82" w:rsidR="00882442" w:rsidRPr="00A54B18" w:rsidRDefault="00882442" w:rsidP="005E557A">
            <w:pPr>
              <w:rPr>
                <w:rFonts w:eastAsia="Arial" w:cs="Arial"/>
                <w:sz w:val="20"/>
                <w:szCs w:val="20"/>
              </w:rPr>
            </w:pPr>
            <w:r w:rsidRPr="00A54B18">
              <w:rPr>
                <w:rStyle w:val="normaltextrun"/>
                <w:rFonts w:eastAsia="Arial" w:cs="Arial"/>
                <w:color w:val="000000"/>
                <w:sz w:val="22"/>
                <w:szCs w:val="22"/>
                <w:shd w:val="clear" w:color="auto" w:fill="FFFFFF"/>
              </w:rPr>
              <w:t>1.2 Number of commodities supported</w:t>
            </w:r>
            <w:r w:rsidRPr="00A54B18">
              <w:rPr>
                <w:rStyle w:val="eop"/>
                <w:rFonts w:eastAsia="Arial" w:cs="Arial"/>
                <w:color w:val="000000"/>
                <w:sz w:val="22"/>
                <w:szCs w:val="22"/>
                <w:shd w:val="clear" w:color="auto" w:fill="FFFFFF"/>
              </w:rPr>
              <w:t> </w:t>
            </w:r>
          </w:p>
        </w:tc>
        <w:tc>
          <w:tcPr>
            <w:tcW w:w="1984" w:type="dxa"/>
            <w:tcBorders>
              <w:top w:val="single" w:sz="4" w:space="0" w:color="auto"/>
              <w:left w:val="single" w:sz="4" w:space="0" w:color="auto"/>
              <w:bottom w:val="single" w:sz="4" w:space="0" w:color="auto"/>
              <w:right w:val="single" w:sz="4" w:space="0" w:color="auto"/>
            </w:tcBorders>
          </w:tcPr>
          <w:p w14:paraId="185079C1" w14:textId="4BEABC7C" w:rsidR="00882442" w:rsidRPr="00A54B18" w:rsidRDefault="00882442" w:rsidP="005E557A">
            <w:pPr>
              <w:jc w:val="center"/>
              <w:rPr>
                <w:rFonts w:eastAsia="Arial" w:cs="Arial"/>
                <w:sz w:val="22"/>
                <w:szCs w:val="22"/>
              </w:rPr>
            </w:pPr>
            <w:r w:rsidRPr="00A54B18">
              <w:rPr>
                <w:rFonts w:eastAsia="Arial" w:cs="Arial"/>
                <w:sz w:val="22"/>
                <w:szCs w:val="22"/>
              </w:rPr>
              <w:t>2</w:t>
            </w:r>
            <w:r>
              <w:rPr>
                <w:rFonts w:eastAsia="Arial" w:cs="Arial"/>
                <w:sz w:val="22"/>
                <w:szCs w:val="22"/>
              </w:rPr>
              <w:t>3</w:t>
            </w:r>
          </w:p>
        </w:tc>
        <w:tc>
          <w:tcPr>
            <w:tcW w:w="1827"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25BAE5D" w14:textId="6FAC90D7" w:rsidR="00882442" w:rsidRPr="00A54B18" w:rsidRDefault="00882442" w:rsidP="005E557A">
            <w:pPr>
              <w:jc w:val="center"/>
              <w:rPr>
                <w:rFonts w:eastAsia="Arial" w:cs="Arial"/>
                <w:sz w:val="22"/>
                <w:szCs w:val="22"/>
              </w:rPr>
            </w:pPr>
            <w:r>
              <w:rPr>
                <w:rFonts w:eastAsia="Arial" w:cs="Arial"/>
                <w:sz w:val="22"/>
                <w:szCs w:val="22"/>
              </w:rPr>
              <w:t>33</w:t>
            </w:r>
            <w:r w:rsidR="00EE1E12">
              <w:rPr>
                <w:sz w:val="22"/>
                <w:szCs w:val="22"/>
              </w:rPr>
              <w:t xml:space="preserve"> (+11)</w:t>
            </w:r>
          </w:p>
        </w:tc>
      </w:tr>
      <w:tr w:rsidR="00882442" w:rsidRPr="00A54B18" w14:paraId="38E2173F" w14:textId="277E36E7" w:rsidTr="00A170CB">
        <w:trPr>
          <w:trHeight w:val="259"/>
        </w:trPr>
        <w:tc>
          <w:tcPr>
            <w:tcW w:w="5382" w:type="dxa"/>
            <w:tcBorders>
              <w:top w:val="single" w:sz="4" w:space="0" w:color="auto"/>
              <w:left w:val="single" w:sz="4" w:space="0" w:color="auto"/>
              <w:bottom w:val="single" w:sz="4" w:space="0" w:color="auto"/>
              <w:right w:val="single" w:sz="4" w:space="0" w:color="auto"/>
            </w:tcBorders>
          </w:tcPr>
          <w:p w14:paraId="1662C785" w14:textId="3EDE0FAC" w:rsidR="00882442" w:rsidRPr="00A54B18" w:rsidRDefault="00882442" w:rsidP="005E557A">
            <w:pPr>
              <w:rPr>
                <w:rFonts w:eastAsia="Arial" w:cs="Arial"/>
                <w:sz w:val="20"/>
                <w:szCs w:val="20"/>
              </w:rPr>
            </w:pPr>
            <w:r w:rsidRPr="00A54B18">
              <w:rPr>
                <w:rStyle w:val="normaltextrun"/>
                <w:rFonts w:eastAsia="Arial" w:cs="Arial"/>
                <w:color w:val="000000"/>
                <w:sz w:val="22"/>
                <w:szCs w:val="22"/>
                <w:shd w:val="clear" w:color="auto" w:fill="FFFFFF"/>
              </w:rPr>
              <w:t>1.3 Number of countries in which the Fund operates</w:t>
            </w:r>
            <w:r w:rsidRPr="00A54B18">
              <w:rPr>
                <w:rStyle w:val="eop"/>
                <w:rFonts w:eastAsia="Arial" w:cs="Arial"/>
                <w:color w:val="000000"/>
                <w:sz w:val="22"/>
                <w:szCs w:val="22"/>
                <w:shd w:val="clear" w:color="auto" w:fill="FFFFFF"/>
              </w:rPr>
              <w:t> </w:t>
            </w:r>
          </w:p>
        </w:tc>
        <w:tc>
          <w:tcPr>
            <w:tcW w:w="1984" w:type="dxa"/>
            <w:tcBorders>
              <w:top w:val="single" w:sz="4" w:space="0" w:color="auto"/>
              <w:left w:val="single" w:sz="4" w:space="0" w:color="auto"/>
              <w:bottom w:val="single" w:sz="4" w:space="0" w:color="auto"/>
              <w:right w:val="single" w:sz="4" w:space="0" w:color="auto"/>
            </w:tcBorders>
          </w:tcPr>
          <w:p w14:paraId="668CF0E9" w14:textId="5C551497" w:rsidR="00882442" w:rsidRPr="00A54B18" w:rsidRDefault="00882442" w:rsidP="005E557A">
            <w:pPr>
              <w:jc w:val="center"/>
              <w:rPr>
                <w:rFonts w:eastAsia="Arial" w:cs="Arial"/>
                <w:sz w:val="22"/>
                <w:szCs w:val="22"/>
              </w:rPr>
            </w:pPr>
            <w:r w:rsidRPr="00A54B18">
              <w:rPr>
                <w:rFonts w:eastAsia="Arial" w:cs="Arial"/>
                <w:sz w:val="22"/>
                <w:szCs w:val="22"/>
              </w:rPr>
              <w:t>8</w:t>
            </w:r>
          </w:p>
        </w:tc>
        <w:tc>
          <w:tcPr>
            <w:tcW w:w="1827"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803124E" w14:textId="31BD9D40" w:rsidR="00882442" w:rsidRPr="00A54B18" w:rsidRDefault="00882442" w:rsidP="005E557A">
            <w:pPr>
              <w:jc w:val="center"/>
              <w:rPr>
                <w:rFonts w:eastAsia="Arial" w:cs="Arial"/>
                <w:sz w:val="22"/>
                <w:szCs w:val="22"/>
              </w:rPr>
            </w:pPr>
            <w:r>
              <w:rPr>
                <w:rFonts w:eastAsia="Arial" w:cs="Arial"/>
                <w:sz w:val="22"/>
                <w:szCs w:val="22"/>
              </w:rPr>
              <w:t>10</w:t>
            </w:r>
            <w:r w:rsidR="00EE1E12">
              <w:rPr>
                <w:sz w:val="22"/>
                <w:szCs w:val="22"/>
              </w:rPr>
              <w:t xml:space="preserve"> (+1)</w:t>
            </w:r>
          </w:p>
        </w:tc>
      </w:tr>
    </w:tbl>
    <w:p w14:paraId="6AE21648" w14:textId="6852328C" w:rsidR="088E442B" w:rsidRPr="00A54B18" w:rsidRDefault="10E9296E" w:rsidP="005E557A">
      <w:pPr>
        <w:pStyle w:val="Normal1"/>
        <w:spacing w:after="120"/>
        <w:jc w:val="both"/>
        <w:rPr>
          <w:sz w:val="22"/>
          <w:szCs w:val="22"/>
        </w:rPr>
      </w:pPr>
      <w:r w:rsidRPr="00A54B18">
        <w:rPr>
          <w:b/>
          <w:bCs/>
          <w:sz w:val="22"/>
          <w:szCs w:val="22"/>
        </w:rPr>
        <w:t>Key Points</w:t>
      </w:r>
    </w:p>
    <w:p w14:paraId="7A1F0FE7" w14:textId="186FEF5A" w:rsidR="00FA0051" w:rsidRPr="001E0775" w:rsidRDefault="00F8493F" w:rsidP="00F8488B">
      <w:pPr>
        <w:pStyle w:val="ListParagraph"/>
        <w:numPr>
          <w:ilvl w:val="0"/>
          <w:numId w:val="8"/>
        </w:numPr>
        <w:spacing w:before="60" w:after="0"/>
        <w:ind w:left="357" w:hanging="357"/>
        <w:contextualSpacing w:val="0"/>
        <w:rPr>
          <w:rFonts w:eastAsia="Arial" w:cs="Arial"/>
          <w:color w:val="000000" w:themeColor="text1"/>
          <w:sz w:val="22"/>
          <w:szCs w:val="22"/>
        </w:rPr>
      </w:pPr>
      <w:r w:rsidRPr="008D3032">
        <w:rPr>
          <w:rFonts w:eastAsia="Arial" w:cs="Arial"/>
          <w:sz w:val="22"/>
          <w:szCs w:val="22"/>
        </w:rPr>
        <w:t xml:space="preserve">EBF LAC completed </w:t>
      </w:r>
      <w:r w:rsidRPr="00347802">
        <w:rPr>
          <w:rFonts w:eastAsia="Arial" w:cs="Arial"/>
          <w:sz w:val="22"/>
          <w:szCs w:val="22"/>
        </w:rPr>
        <w:t xml:space="preserve">12 new investments amounting to a total of </w:t>
      </w:r>
      <w:r w:rsidRPr="008D3032">
        <w:rPr>
          <w:rFonts w:eastAsia="Arial" w:cs="Arial"/>
          <w:sz w:val="22"/>
          <w:szCs w:val="22"/>
        </w:rPr>
        <w:t>$</w:t>
      </w:r>
      <w:r w:rsidRPr="00347802">
        <w:rPr>
          <w:rFonts w:eastAsia="Arial" w:cs="Arial"/>
          <w:sz w:val="22"/>
          <w:szCs w:val="22"/>
        </w:rPr>
        <w:t>23</w:t>
      </w:r>
      <w:r>
        <w:rPr>
          <w:rFonts w:eastAsia="Arial" w:cs="Arial"/>
          <w:sz w:val="22"/>
          <w:szCs w:val="22"/>
        </w:rPr>
        <w:t>4.6</w:t>
      </w:r>
      <w:r w:rsidRPr="00347802">
        <w:rPr>
          <w:rFonts w:eastAsia="Arial" w:cs="Arial"/>
          <w:sz w:val="22"/>
          <w:szCs w:val="22"/>
        </w:rPr>
        <w:t>m</w:t>
      </w:r>
      <w:r w:rsidR="00FA0051" w:rsidRPr="001E0775">
        <w:rPr>
          <w:rFonts w:eastAsia="Arial" w:cs="Arial"/>
          <w:color w:val="000000" w:themeColor="text1"/>
          <w:sz w:val="22"/>
          <w:szCs w:val="22"/>
        </w:rPr>
        <w:t>.</w:t>
      </w:r>
    </w:p>
    <w:p w14:paraId="37DB1E74" w14:textId="3156A2C4" w:rsidR="002E3D7A" w:rsidRPr="001E0775" w:rsidRDefault="00F8493F" w:rsidP="00F8488B">
      <w:pPr>
        <w:pStyle w:val="ListParagraph"/>
        <w:numPr>
          <w:ilvl w:val="0"/>
          <w:numId w:val="8"/>
        </w:numPr>
        <w:spacing w:before="60" w:after="0"/>
        <w:ind w:left="357" w:hanging="357"/>
        <w:contextualSpacing w:val="0"/>
        <w:jc w:val="both"/>
        <w:rPr>
          <w:rFonts w:eastAsia="Arial" w:cs="Arial"/>
          <w:sz w:val="22"/>
          <w:szCs w:val="22"/>
        </w:rPr>
      </w:pPr>
      <w:r>
        <w:rPr>
          <w:rFonts w:eastAsia="Arial" w:cs="Arial"/>
          <w:color w:val="000000" w:themeColor="text1"/>
          <w:sz w:val="22"/>
          <w:szCs w:val="22"/>
        </w:rPr>
        <w:t>T</w:t>
      </w:r>
      <w:r w:rsidR="002E3D7A" w:rsidRPr="001E0775">
        <w:rPr>
          <w:rFonts w:eastAsia="Arial" w:cs="Arial"/>
          <w:color w:val="000000" w:themeColor="text1"/>
          <w:sz w:val="22"/>
          <w:szCs w:val="22"/>
        </w:rPr>
        <w:t xml:space="preserve">he Fund’s outstanding sub-loan portfolio </w:t>
      </w:r>
      <w:r>
        <w:rPr>
          <w:rFonts w:eastAsia="Arial" w:cs="Arial"/>
          <w:color w:val="000000" w:themeColor="text1"/>
          <w:sz w:val="22"/>
          <w:szCs w:val="22"/>
        </w:rPr>
        <w:t>has become more balanced in 2022, with</w:t>
      </w:r>
      <w:r w:rsidR="002E3D7A" w:rsidRPr="001E0775">
        <w:rPr>
          <w:rFonts w:eastAsia="Arial" w:cs="Arial"/>
          <w:color w:val="000000" w:themeColor="text1"/>
          <w:sz w:val="22"/>
          <w:szCs w:val="22"/>
        </w:rPr>
        <w:t xml:space="preserve"> coffee</w:t>
      </w:r>
      <w:r>
        <w:rPr>
          <w:rFonts w:eastAsia="Arial" w:cs="Arial"/>
          <w:color w:val="000000" w:themeColor="text1"/>
          <w:sz w:val="22"/>
          <w:szCs w:val="22"/>
        </w:rPr>
        <w:t xml:space="preserve"> reducing from 30% to 18% of the portfolio.</w:t>
      </w:r>
      <w:r w:rsidR="00E7363B" w:rsidRPr="001E0775">
        <w:rPr>
          <w:rFonts w:eastAsia="Arial" w:cs="Arial"/>
          <w:color w:val="000000" w:themeColor="text1"/>
          <w:sz w:val="22"/>
          <w:szCs w:val="22"/>
        </w:rPr>
        <w:t xml:space="preserve"> </w:t>
      </w:r>
      <w:r>
        <w:rPr>
          <w:rFonts w:eastAsia="Arial" w:cs="Arial"/>
          <w:color w:val="000000" w:themeColor="text1"/>
          <w:sz w:val="22"/>
          <w:szCs w:val="22"/>
        </w:rPr>
        <w:t>T</w:t>
      </w:r>
      <w:r w:rsidR="002E3D7A" w:rsidRPr="001E0775">
        <w:rPr>
          <w:rFonts w:eastAsia="Arial" w:cs="Arial"/>
          <w:color w:val="000000" w:themeColor="text1"/>
          <w:sz w:val="22"/>
          <w:szCs w:val="22"/>
        </w:rPr>
        <w:t>he “blue sector” (farmed fish and shrimp) represents the second most relevant produce in the Fund’s sub-loan portfolio</w:t>
      </w:r>
      <w:r>
        <w:rPr>
          <w:rFonts w:eastAsia="Arial" w:cs="Arial"/>
          <w:color w:val="000000" w:themeColor="text1"/>
          <w:sz w:val="22"/>
          <w:szCs w:val="22"/>
        </w:rPr>
        <w:t>,</w:t>
      </w:r>
      <w:r w:rsidR="002E3D7A" w:rsidRPr="001E0775">
        <w:rPr>
          <w:rFonts w:eastAsia="Arial" w:cs="Arial"/>
          <w:color w:val="000000" w:themeColor="text1"/>
          <w:sz w:val="22"/>
          <w:szCs w:val="22"/>
        </w:rPr>
        <w:t xml:space="preserve"> totalling 1</w:t>
      </w:r>
      <w:r>
        <w:rPr>
          <w:rFonts w:eastAsia="Arial" w:cs="Arial"/>
          <w:color w:val="000000" w:themeColor="text1"/>
          <w:sz w:val="22"/>
          <w:szCs w:val="22"/>
        </w:rPr>
        <w:t>6</w:t>
      </w:r>
      <w:r w:rsidR="002E3D7A" w:rsidRPr="001E0775">
        <w:rPr>
          <w:rFonts w:eastAsia="Arial" w:cs="Arial"/>
          <w:color w:val="000000" w:themeColor="text1"/>
          <w:sz w:val="22"/>
          <w:szCs w:val="22"/>
        </w:rPr>
        <w:t>%</w:t>
      </w:r>
      <w:r>
        <w:rPr>
          <w:rFonts w:eastAsia="Arial" w:cs="Arial"/>
          <w:color w:val="000000" w:themeColor="text1"/>
          <w:sz w:val="22"/>
          <w:szCs w:val="22"/>
        </w:rPr>
        <w:t xml:space="preserve"> (unchanged since 2021</w:t>
      </w:r>
      <w:r w:rsidR="002E3D7A" w:rsidRPr="001E0775">
        <w:rPr>
          <w:rFonts w:eastAsia="Arial" w:cs="Arial"/>
          <w:color w:val="000000" w:themeColor="text1"/>
          <w:sz w:val="22"/>
          <w:szCs w:val="22"/>
        </w:rPr>
        <w:t>)</w:t>
      </w:r>
      <w:r w:rsidR="00E7363B" w:rsidRPr="001E0775">
        <w:rPr>
          <w:rFonts w:eastAsia="Arial" w:cs="Arial"/>
          <w:color w:val="000000" w:themeColor="text1"/>
          <w:sz w:val="22"/>
          <w:szCs w:val="22"/>
        </w:rPr>
        <w:t xml:space="preserve">. </w:t>
      </w:r>
      <w:r>
        <w:rPr>
          <w:rFonts w:eastAsia="Arial" w:cs="Arial"/>
          <w:color w:val="000000" w:themeColor="text1"/>
          <w:sz w:val="22"/>
          <w:szCs w:val="22"/>
        </w:rPr>
        <w:t>Sugar cane is third with 12%</w:t>
      </w:r>
      <w:r w:rsidR="00E824D2">
        <w:rPr>
          <w:rFonts w:eastAsia="Arial" w:cs="Arial"/>
          <w:color w:val="000000" w:themeColor="text1"/>
          <w:sz w:val="22"/>
          <w:szCs w:val="22"/>
        </w:rPr>
        <w:t xml:space="preserve"> (down from 13%)</w:t>
      </w:r>
      <w:r>
        <w:rPr>
          <w:rFonts w:eastAsia="Arial" w:cs="Arial"/>
          <w:color w:val="000000" w:themeColor="text1"/>
          <w:sz w:val="22"/>
          <w:szCs w:val="22"/>
        </w:rPr>
        <w:t>, while bananas and forestry for timber have grown</w:t>
      </w:r>
      <w:r w:rsidR="00E824D2">
        <w:rPr>
          <w:rFonts w:eastAsia="Arial" w:cs="Arial"/>
          <w:color w:val="000000" w:themeColor="text1"/>
          <w:sz w:val="22"/>
          <w:szCs w:val="22"/>
        </w:rPr>
        <w:t>,</w:t>
      </w:r>
      <w:r>
        <w:rPr>
          <w:rFonts w:eastAsia="Arial" w:cs="Arial"/>
          <w:color w:val="000000" w:themeColor="text1"/>
          <w:sz w:val="22"/>
          <w:szCs w:val="22"/>
        </w:rPr>
        <w:t xml:space="preserve"> to 7% and 5% respectively</w:t>
      </w:r>
      <w:r w:rsidR="00E824D2">
        <w:rPr>
          <w:rFonts w:eastAsia="Arial" w:cs="Arial"/>
          <w:color w:val="000000" w:themeColor="text1"/>
          <w:sz w:val="22"/>
          <w:szCs w:val="22"/>
        </w:rPr>
        <w:t xml:space="preserve"> (previously 4% and 3%), as have other smaller sectors too</w:t>
      </w:r>
      <w:r>
        <w:rPr>
          <w:rFonts w:eastAsia="Arial" w:cs="Arial"/>
          <w:color w:val="000000" w:themeColor="text1"/>
          <w:sz w:val="22"/>
          <w:szCs w:val="22"/>
        </w:rPr>
        <w:t xml:space="preserve">. </w:t>
      </w:r>
      <w:r w:rsidR="00E7363B" w:rsidRPr="001E0775">
        <w:rPr>
          <w:rFonts w:eastAsia="Arial" w:cs="Arial"/>
          <w:color w:val="000000" w:themeColor="text1"/>
          <w:sz w:val="22"/>
          <w:szCs w:val="22"/>
        </w:rPr>
        <w:t>Th</w:t>
      </w:r>
      <w:r>
        <w:rPr>
          <w:rFonts w:eastAsia="Arial" w:cs="Arial"/>
          <w:color w:val="000000" w:themeColor="text1"/>
          <w:sz w:val="22"/>
          <w:szCs w:val="22"/>
        </w:rPr>
        <w:t>is shows that while</w:t>
      </w:r>
      <w:r w:rsidR="002E3D7A" w:rsidRPr="001E0775">
        <w:rPr>
          <w:rFonts w:eastAsia="Arial" w:cs="Arial"/>
          <w:color w:val="000000" w:themeColor="text1"/>
          <w:sz w:val="22"/>
          <w:szCs w:val="22"/>
        </w:rPr>
        <w:t xml:space="preserve"> the Fund </w:t>
      </w:r>
      <w:r>
        <w:rPr>
          <w:rFonts w:eastAsia="Arial" w:cs="Arial"/>
          <w:color w:val="000000" w:themeColor="text1"/>
          <w:sz w:val="22"/>
          <w:szCs w:val="22"/>
        </w:rPr>
        <w:t xml:space="preserve">continues </w:t>
      </w:r>
      <w:r w:rsidR="00186DB1">
        <w:rPr>
          <w:rFonts w:eastAsia="Arial" w:cs="Arial"/>
          <w:color w:val="000000" w:themeColor="text1"/>
          <w:sz w:val="22"/>
          <w:szCs w:val="22"/>
        </w:rPr>
        <w:t>to support</w:t>
      </w:r>
      <w:r w:rsidR="002E3D7A" w:rsidRPr="001E0775">
        <w:rPr>
          <w:rFonts w:eastAsia="Arial" w:cs="Arial"/>
          <w:color w:val="000000" w:themeColor="text1"/>
          <w:sz w:val="22"/>
          <w:szCs w:val="22"/>
        </w:rPr>
        <w:t xml:space="preserve"> </w:t>
      </w:r>
      <w:r w:rsidR="00E824D2">
        <w:rPr>
          <w:rFonts w:eastAsia="Arial" w:cs="Arial"/>
          <w:color w:val="000000" w:themeColor="text1"/>
          <w:sz w:val="22"/>
          <w:szCs w:val="22"/>
        </w:rPr>
        <w:t>larger</w:t>
      </w:r>
      <w:r w:rsidR="002E3D7A" w:rsidRPr="001E0775">
        <w:rPr>
          <w:rFonts w:eastAsia="Arial" w:cs="Arial"/>
          <w:color w:val="000000" w:themeColor="text1"/>
          <w:sz w:val="22"/>
          <w:szCs w:val="22"/>
        </w:rPr>
        <w:t xml:space="preserve"> economic </w:t>
      </w:r>
      <w:r w:rsidR="00E7363B" w:rsidRPr="001E0775">
        <w:rPr>
          <w:rFonts w:eastAsia="Arial" w:cs="Arial"/>
          <w:color w:val="000000" w:themeColor="text1"/>
          <w:sz w:val="22"/>
          <w:szCs w:val="22"/>
        </w:rPr>
        <w:t>sectors</w:t>
      </w:r>
      <w:r w:rsidR="00CD4F02">
        <w:rPr>
          <w:rFonts w:eastAsia="Arial" w:cs="Arial"/>
          <w:color w:val="000000" w:themeColor="text1"/>
          <w:sz w:val="22"/>
          <w:szCs w:val="22"/>
        </w:rPr>
        <w:t xml:space="preserve"> with opportunities to drive change at scale</w:t>
      </w:r>
      <w:r w:rsidR="00186DB1">
        <w:rPr>
          <w:rFonts w:eastAsia="Arial" w:cs="Arial"/>
          <w:color w:val="000000" w:themeColor="text1"/>
          <w:sz w:val="22"/>
          <w:szCs w:val="22"/>
        </w:rPr>
        <w:t>, it has successfully diversified the portfolio to reach other sectors as well</w:t>
      </w:r>
      <w:r w:rsidR="002E3D7A" w:rsidRPr="001E0775">
        <w:rPr>
          <w:rFonts w:eastAsia="Arial" w:cs="Arial"/>
          <w:color w:val="000000" w:themeColor="text1"/>
          <w:sz w:val="22"/>
          <w:szCs w:val="22"/>
        </w:rPr>
        <w:t>.</w:t>
      </w:r>
    </w:p>
    <w:p w14:paraId="1FD01A39" w14:textId="17FE18C3" w:rsidR="227556C2" w:rsidRPr="001E0775" w:rsidRDefault="71C3C50A" w:rsidP="00F8488B">
      <w:pPr>
        <w:pStyle w:val="ListParagraph"/>
        <w:numPr>
          <w:ilvl w:val="0"/>
          <w:numId w:val="8"/>
        </w:numPr>
        <w:spacing w:before="60" w:after="0"/>
        <w:ind w:left="357" w:hanging="357"/>
        <w:contextualSpacing w:val="0"/>
        <w:jc w:val="both"/>
        <w:rPr>
          <w:rFonts w:eastAsia="Arial" w:cs="Arial"/>
          <w:sz w:val="22"/>
          <w:szCs w:val="22"/>
        </w:rPr>
      </w:pPr>
      <w:r w:rsidRPr="001E0775">
        <w:rPr>
          <w:rFonts w:eastAsia="Arial" w:cs="Arial"/>
          <w:color w:val="000000" w:themeColor="text1"/>
          <w:sz w:val="22"/>
          <w:szCs w:val="22"/>
        </w:rPr>
        <w:t>The Fund close</w:t>
      </w:r>
      <w:r w:rsidR="002E3D7A" w:rsidRPr="001E0775">
        <w:rPr>
          <w:rFonts w:eastAsia="Arial" w:cs="Arial"/>
          <w:color w:val="000000" w:themeColor="text1"/>
          <w:sz w:val="22"/>
          <w:szCs w:val="22"/>
        </w:rPr>
        <w:t>d</w:t>
      </w:r>
      <w:r w:rsidRPr="001E0775">
        <w:rPr>
          <w:rFonts w:eastAsia="Arial" w:cs="Arial"/>
          <w:color w:val="000000" w:themeColor="text1"/>
          <w:sz w:val="22"/>
          <w:szCs w:val="22"/>
        </w:rPr>
        <w:t xml:space="preserve"> the year with a loan portfolio of </w:t>
      </w:r>
      <w:r w:rsidR="005C4991" w:rsidRPr="001E0775">
        <w:rPr>
          <w:rFonts w:eastAsia="Arial" w:cs="Arial"/>
          <w:color w:val="000000" w:themeColor="text1"/>
          <w:sz w:val="22"/>
          <w:szCs w:val="22"/>
        </w:rPr>
        <w:t>$</w:t>
      </w:r>
      <w:r w:rsidR="00F05A53">
        <w:rPr>
          <w:rFonts w:eastAsia="Arial" w:cs="Arial"/>
          <w:color w:val="000000" w:themeColor="text1"/>
          <w:sz w:val="22"/>
          <w:szCs w:val="22"/>
        </w:rPr>
        <w:t>650.5</w:t>
      </w:r>
      <w:r w:rsidR="005C4991" w:rsidRPr="001E0775">
        <w:rPr>
          <w:rFonts w:eastAsia="Arial" w:cs="Arial"/>
          <w:color w:val="000000" w:themeColor="text1"/>
          <w:sz w:val="22"/>
          <w:szCs w:val="22"/>
        </w:rPr>
        <w:t>m</w:t>
      </w:r>
      <w:r w:rsidRPr="001E0775">
        <w:rPr>
          <w:rFonts w:eastAsia="Arial" w:cs="Arial"/>
          <w:color w:val="000000" w:themeColor="text1"/>
          <w:sz w:val="22"/>
          <w:szCs w:val="22"/>
        </w:rPr>
        <w:t xml:space="preserve">, distributed across </w:t>
      </w:r>
      <w:r w:rsidR="00F05A53">
        <w:rPr>
          <w:rFonts w:eastAsia="Arial" w:cs="Arial"/>
          <w:color w:val="000000" w:themeColor="text1"/>
          <w:sz w:val="22"/>
          <w:szCs w:val="22"/>
        </w:rPr>
        <w:t>ten</w:t>
      </w:r>
      <w:r w:rsidRPr="001E0775">
        <w:rPr>
          <w:rFonts w:eastAsia="Arial" w:cs="Arial"/>
          <w:color w:val="000000" w:themeColor="text1"/>
          <w:sz w:val="22"/>
          <w:szCs w:val="22"/>
        </w:rPr>
        <w:t xml:space="preserve"> countries </w:t>
      </w:r>
      <w:r w:rsidRPr="001E0775">
        <w:rPr>
          <w:rFonts w:eastAsia="Arial" w:cs="Arial"/>
          <w:color w:val="000000" w:themeColor="text1"/>
          <w:sz w:val="22"/>
          <w:szCs w:val="22"/>
          <w:lang w:val="en-US"/>
        </w:rPr>
        <w:t xml:space="preserve">(Colombia, Costa Rica, Ecuador, El Salvador, Nicaragua, Panama, Honduras, </w:t>
      </w:r>
      <w:r w:rsidR="00D31141" w:rsidRPr="001E0775">
        <w:rPr>
          <w:rFonts w:eastAsia="Arial" w:cs="Arial"/>
          <w:color w:val="000000" w:themeColor="text1"/>
          <w:sz w:val="22"/>
          <w:szCs w:val="22"/>
          <w:lang w:val="en-US"/>
        </w:rPr>
        <w:t>Peru</w:t>
      </w:r>
      <w:r w:rsidR="00F05A53">
        <w:rPr>
          <w:rFonts w:eastAsia="Arial" w:cs="Arial"/>
          <w:color w:val="000000" w:themeColor="text1"/>
          <w:sz w:val="22"/>
          <w:szCs w:val="22"/>
          <w:lang w:val="en-US"/>
        </w:rPr>
        <w:t>,</w:t>
      </w:r>
      <w:r w:rsidR="00D31141" w:rsidRPr="001E0775">
        <w:rPr>
          <w:rFonts w:eastAsia="Arial" w:cs="Arial"/>
          <w:color w:val="000000" w:themeColor="text1"/>
          <w:sz w:val="22"/>
          <w:szCs w:val="22"/>
          <w:lang w:val="en-US"/>
        </w:rPr>
        <w:t xml:space="preserve"> </w:t>
      </w:r>
      <w:r w:rsidR="00556025" w:rsidRPr="001E0775">
        <w:rPr>
          <w:rFonts w:eastAsia="Arial" w:cs="Arial"/>
          <w:color w:val="000000" w:themeColor="text1"/>
          <w:sz w:val="22"/>
          <w:szCs w:val="22"/>
          <w:lang w:val="en-US"/>
        </w:rPr>
        <w:t>Mexico</w:t>
      </w:r>
      <w:r w:rsidR="00F05A53">
        <w:rPr>
          <w:rFonts w:eastAsia="Arial" w:cs="Arial"/>
          <w:color w:val="000000" w:themeColor="text1"/>
          <w:sz w:val="22"/>
          <w:szCs w:val="22"/>
          <w:lang w:val="en-US"/>
        </w:rPr>
        <w:t>, and Guatemala</w:t>
      </w:r>
      <w:r w:rsidRPr="001E0775">
        <w:rPr>
          <w:rFonts w:eastAsia="Arial" w:cs="Arial"/>
          <w:color w:val="000000" w:themeColor="text1"/>
          <w:sz w:val="22"/>
          <w:szCs w:val="22"/>
          <w:lang w:val="en-US"/>
        </w:rPr>
        <w:t xml:space="preserve">) </w:t>
      </w:r>
      <w:r w:rsidRPr="001E0775">
        <w:rPr>
          <w:rFonts w:eastAsia="Arial" w:cs="Arial"/>
          <w:color w:val="000000" w:themeColor="text1"/>
          <w:sz w:val="22"/>
          <w:szCs w:val="22"/>
        </w:rPr>
        <w:t>and 3</w:t>
      </w:r>
      <w:r w:rsidR="00F05A53">
        <w:rPr>
          <w:rFonts w:eastAsia="Arial" w:cs="Arial"/>
          <w:color w:val="000000" w:themeColor="text1"/>
          <w:sz w:val="22"/>
          <w:szCs w:val="22"/>
        </w:rPr>
        <w:t>7</w:t>
      </w:r>
      <w:r w:rsidRPr="001E0775">
        <w:rPr>
          <w:rFonts w:eastAsia="Arial" w:cs="Arial"/>
          <w:color w:val="000000" w:themeColor="text1"/>
          <w:sz w:val="22"/>
          <w:szCs w:val="22"/>
        </w:rPr>
        <w:t xml:space="preserve"> P</w:t>
      </w:r>
      <w:r w:rsidR="002E3D7A" w:rsidRPr="001E0775">
        <w:rPr>
          <w:rFonts w:eastAsia="Arial" w:cs="Arial"/>
          <w:color w:val="000000" w:themeColor="text1"/>
          <w:sz w:val="22"/>
          <w:szCs w:val="22"/>
        </w:rPr>
        <w:t>Is</w:t>
      </w:r>
      <w:r w:rsidR="00F8488B">
        <w:rPr>
          <w:rFonts w:eastAsia="Arial" w:cs="Arial"/>
          <w:color w:val="000000" w:themeColor="text1"/>
          <w:sz w:val="22"/>
          <w:szCs w:val="22"/>
        </w:rPr>
        <w:t xml:space="preserve"> (36 </w:t>
      </w:r>
      <w:r w:rsidR="000D0504">
        <w:rPr>
          <w:rFonts w:eastAsia="Arial" w:cs="Arial"/>
          <w:color w:val="000000" w:themeColor="text1"/>
          <w:sz w:val="22"/>
          <w:szCs w:val="22"/>
        </w:rPr>
        <w:t>FIs</w:t>
      </w:r>
      <w:r w:rsidR="00F8488B">
        <w:rPr>
          <w:rFonts w:eastAsia="Arial" w:cs="Arial"/>
          <w:color w:val="000000" w:themeColor="text1"/>
          <w:sz w:val="22"/>
          <w:szCs w:val="22"/>
        </w:rPr>
        <w:t xml:space="preserve"> and one direct investment in a large aquaculture business)</w:t>
      </w:r>
      <w:r w:rsidRPr="001E0775">
        <w:rPr>
          <w:rFonts w:eastAsia="Arial" w:cs="Arial"/>
          <w:color w:val="000000" w:themeColor="text1"/>
          <w:sz w:val="22"/>
          <w:szCs w:val="22"/>
        </w:rPr>
        <w:t xml:space="preserve">. An additional investment </w:t>
      </w:r>
      <w:r w:rsidR="00551C21" w:rsidRPr="001E0775">
        <w:rPr>
          <w:rFonts w:eastAsia="Arial" w:cs="Arial"/>
          <w:color w:val="000000" w:themeColor="text1"/>
          <w:sz w:val="22"/>
          <w:szCs w:val="22"/>
        </w:rPr>
        <w:t xml:space="preserve">in </w:t>
      </w:r>
      <w:r w:rsidR="00F05A53">
        <w:rPr>
          <w:rFonts w:eastAsia="Arial" w:cs="Arial"/>
          <w:color w:val="000000" w:themeColor="text1"/>
          <w:sz w:val="22"/>
          <w:szCs w:val="22"/>
        </w:rPr>
        <w:t>Brazil</w:t>
      </w:r>
      <w:r w:rsidR="00556025" w:rsidRPr="001E0775">
        <w:rPr>
          <w:rFonts w:eastAsia="Arial" w:cs="Arial"/>
          <w:color w:val="000000" w:themeColor="text1"/>
          <w:sz w:val="22"/>
          <w:szCs w:val="22"/>
        </w:rPr>
        <w:t xml:space="preserve"> </w:t>
      </w:r>
      <w:r w:rsidRPr="001E0775">
        <w:rPr>
          <w:rFonts w:eastAsia="Arial" w:cs="Arial"/>
          <w:color w:val="000000" w:themeColor="text1"/>
          <w:sz w:val="22"/>
          <w:szCs w:val="22"/>
        </w:rPr>
        <w:t xml:space="preserve">was </w:t>
      </w:r>
      <w:r w:rsidR="00F05A53">
        <w:rPr>
          <w:rFonts w:eastAsia="Arial" w:cs="Arial"/>
          <w:color w:val="000000" w:themeColor="text1"/>
          <w:sz w:val="22"/>
          <w:szCs w:val="22"/>
        </w:rPr>
        <w:t xml:space="preserve">approved, </w:t>
      </w:r>
      <w:r w:rsidRPr="001E0775">
        <w:rPr>
          <w:rFonts w:eastAsia="Arial" w:cs="Arial"/>
          <w:color w:val="000000" w:themeColor="text1"/>
          <w:sz w:val="22"/>
          <w:szCs w:val="22"/>
        </w:rPr>
        <w:t xml:space="preserve">making that the </w:t>
      </w:r>
      <w:r w:rsidR="00F05A53">
        <w:rPr>
          <w:rFonts w:eastAsia="Arial" w:cs="Arial"/>
          <w:color w:val="000000" w:themeColor="text1"/>
          <w:sz w:val="22"/>
          <w:szCs w:val="22"/>
        </w:rPr>
        <w:t>eleventh</w:t>
      </w:r>
      <w:r w:rsidRPr="001E0775">
        <w:rPr>
          <w:rFonts w:eastAsia="Arial" w:cs="Arial"/>
          <w:color w:val="000000" w:themeColor="text1"/>
          <w:sz w:val="22"/>
          <w:szCs w:val="22"/>
        </w:rPr>
        <w:t xml:space="preserve"> country of activity</w:t>
      </w:r>
      <w:r w:rsidR="00FE2818">
        <w:rPr>
          <w:rFonts w:eastAsia="Arial" w:cs="Arial"/>
          <w:color w:val="000000" w:themeColor="text1"/>
          <w:sz w:val="22"/>
          <w:szCs w:val="22"/>
        </w:rPr>
        <w:t xml:space="preserve"> from 2023</w:t>
      </w:r>
      <w:r w:rsidRPr="001E0775">
        <w:rPr>
          <w:rFonts w:eastAsia="Arial" w:cs="Arial"/>
          <w:color w:val="000000" w:themeColor="text1"/>
          <w:sz w:val="22"/>
          <w:szCs w:val="22"/>
        </w:rPr>
        <w:t>.</w:t>
      </w:r>
    </w:p>
    <w:p w14:paraId="26FABD10" w14:textId="6636A792" w:rsidR="00610AAC" w:rsidRDefault="10E9296E" w:rsidP="00610AAC">
      <w:pPr>
        <w:spacing w:before="120"/>
        <w:jc w:val="both"/>
        <w:rPr>
          <w:rFonts w:eastAsia="Arial" w:cs="Arial"/>
          <w:color w:val="000000" w:themeColor="text1"/>
          <w:sz w:val="22"/>
          <w:szCs w:val="22"/>
        </w:rPr>
      </w:pPr>
      <w:r w:rsidRPr="58D74F02">
        <w:rPr>
          <w:rFonts w:eastAsia="Arial" w:cs="Arial"/>
          <w:b/>
          <w:bCs/>
          <w:color w:val="000000" w:themeColor="text1"/>
          <w:sz w:val="22"/>
          <w:szCs w:val="22"/>
        </w:rPr>
        <w:t>Recommendation</w:t>
      </w:r>
      <w:r w:rsidR="00940A13">
        <w:rPr>
          <w:rFonts w:eastAsia="Arial" w:cs="Arial"/>
          <w:b/>
          <w:bCs/>
          <w:color w:val="000000" w:themeColor="text1"/>
          <w:sz w:val="22"/>
          <w:szCs w:val="22"/>
        </w:rPr>
        <w:t>s</w:t>
      </w:r>
      <w:r w:rsidRPr="58D74F02">
        <w:rPr>
          <w:rFonts w:eastAsia="Arial" w:cs="Arial"/>
          <w:b/>
          <w:bCs/>
          <w:color w:val="000000" w:themeColor="text1"/>
          <w:sz w:val="22"/>
          <w:szCs w:val="22"/>
        </w:rPr>
        <w:t>:</w:t>
      </w:r>
      <w:r w:rsidR="00551C21" w:rsidRPr="58D74F02">
        <w:rPr>
          <w:rFonts w:eastAsia="Arial" w:cs="Arial"/>
          <w:color w:val="000000" w:themeColor="text1"/>
          <w:sz w:val="22"/>
          <w:szCs w:val="22"/>
        </w:rPr>
        <w:t xml:space="preserve"> </w:t>
      </w:r>
      <w:r w:rsidR="00F8488B" w:rsidRPr="58D74F02">
        <w:rPr>
          <w:rFonts w:eastAsia="Arial" w:cs="Arial"/>
          <w:color w:val="000000" w:themeColor="text1"/>
          <w:sz w:val="22"/>
          <w:szCs w:val="22"/>
        </w:rPr>
        <w:t xml:space="preserve">As part of this 2022 </w:t>
      </w:r>
      <w:r w:rsidR="00CF1F00">
        <w:rPr>
          <w:rFonts w:eastAsia="Arial" w:cs="Arial"/>
          <w:color w:val="000000" w:themeColor="text1"/>
          <w:sz w:val="22"/>
          <w:szCs w:val="22"/>
        </w:rPr>
        <w:t>AR</w:t>
      </w:r>
      <w:r w:rsidR="00F8488B" w:rsidRPr="58D74F02">
        <w:rPr>
          <w:rFonts w:eastAsia="Arial" w:cs="Arial"/>
          <w:color w:val="000000" w:themeColor="text1"/>
          <w:sz w:val="22"/>
          <w:szCs w:val="22"/>
        </w:rPr>
        <w:t xml:space="preserve">, milestones have been set for </w:t>
      </w:r>
      <w:r w:rsidR="00FF2967">
        <w:rPr>
          <w:rFonts w:eastAsia="Arial" w:cs="Arial"/>
          <w:color w:val="000000" w:themeColor="text1"/>
          <w:sz w:val="22"/>
          <w:szCs w:val="22"/>
        </w:rPr>
        <w:t xml:space="preserve">2023 that </w:t>
      </w:r>
      <w:proofErr w:type="gramStart"/>
      <w:r w:rsidR="00FF2967" w:rsidRPr="00FF2967">
        <w:rPr>
          <w:rFonts w:eastAsia="Arial" w:cs="Arial"/>
          <w:color w:val="000000" w:themeColor="text1"/>
          <w:sz w:val="22"/>
          <w:szCs w:val="22"/>
        </w:rPr>
        <w:t>take into account</w:t>
      </w:r>
      <w:proofErr w:type="gramEnd"/>
      <w:r w:rsidR="00FF2967" w:rsidRPr="00FF2967">
        <w:rPr>
          <w:rFonts w:eastAsia="Arial" w:cs="Arial"/>
          <w:color w:val="000000" w:themeColor="text1"/>
          <w:sz w:val="22"/>
          <w:szCs w:val="22"/>
        </w:rPr>
        <w:t xml:space="preserve"> trends over the last few years (both exceeding and missing targets). </w:t>
      </w:r>
      <w:r w:rsidR="002831EF">
        <w:rPr>
          <w:rFonts w:eastAsia="Arial" w:cs="Arial"/>
          <w:color w:val="000000" w:themeColor="text1"/>
          <w:sz w:val="22"/>
          <w:szCs w:val="22"/>
        </w:rPr>
        <w:t>Milestone setting</w:t>
      </w:r>
      <w:r w:rsidR="00FF2967" w:rsidRPr="00FF2967">
        <w:rPr>
          <w:rFonts w:eastAsia="Arial" w:cs="Arial"/>
          <w:color w:val="000000" w:themeColor="text1"/>
          <w:sz w:val="22"/>
          <w:szCs w:val="22"/>
        </w:rPr>
        <w:t xml:space="preserve"> for 2024-8</w:t>
      </w:r>
      <w:r w:rsidR="002831EF">
        <w:rPr>
          <w:rFonts w:eastAsia="Arial" w:cs="Arial"/>
          <w:color w:val="000000" w:themeColor="text1"/>
          <w:sz w:val="22"/>
          <w:szCs w:val="22"/>
        </w:rPr>
        <w:t xml:space="preserve"> </w:t>
      </w:r>
      <w:r w:rsidR="00C76191">
        <w:rPr>
          <w:rFonts w:eastAsia="Arial" w:cs="Arial"/>
          <w:color w:val="000000" w:themeColor="text1"/>
          <w:sz w:val="22"/>
          <w:szCs w:val="22"/>
        </w:rPr>
        <w:t>will take place in early 2024</w:t>
      </w:r>
      <w:r w:rsidR="008E01DF">
        <w:rPr>
          <w:rFonts w:eastAsia="Arial" w:cs="Arial"/>
          <w:color w:val="000000" w:themeColor="text1"/>
          <w:sz w:val="22"/>
          <w:szCs w:val="22"/>
        </w:rPr>
        <w:t xml:space="preserve"> </w:t>
      </w:r>
      <w:proofErr w:type="gramStart"/>
      <w:r w:rsidR="008E01DF">
        <w:rPr>
          <w:rFonts w:eastAsia="Arial" w:cs="Arial"/>
          <w:color w:val="000000" w:themeColor="text1"/>
          <w:sz w:val="22"/>
          <w:szCs w:val="22"/>
        </w:rPr>
        <w:t xml:space="preserve">and </w:t>
      </w:r>
      <w:r w:rsidR="002831EF">
        <w:rPr>
          <w:rFonts w:eastAsia="Arial" w:cs="Arial"/>
          <w:color w:val="000000" w:themeColor="text1"/>
          <w:sz w:val="22"/>
          <w:szCs w:val="22"/>
        </w:rPr>
        <w:t>also</w:t>
      </w:r>
      <w:proofErr w:type="gramEnd"/>
      <w:r w:rsidR="002831EF">
        <w:rPr>
          <w:rFonts w:eastAsia="Arial" w:cs="Arial"/>
          <w:color w:val="000000" w:themeColor="text1"/>
          <w:sz w:val="22"/>
          <w:szCs w:val="22"/>
        </w:rPr>
        <w:t xml:space="preserve"> take this</w:t>
      </w:r>
      <w:r w:rsidR="00CF4CA9">
        <w:rPr>
          <w:rFonts w:eastAsia="Arial" w:cs="Arial"/>
          <w:color w:val="000000" w:themeColor="text1"/>
          <w:sz w:val="22"/>
          <w:szCs w:val="22"/>
        </w:rPr>
        <w:t xml:space="preserve"> into account.</w:t>
      </w:r>
    </w:p>
    <w:p w14:paraId="1ECE357F" w14:textId="2DFCBB4F" w:rsidR="00CE3085" w:rsidRPr="009F7EB5" w:rsidRDefault="00C76191" w:rsidP="009F7EB5">
      <w:pPr>
        <w:spacing w:before="120"/>
        <w:jc w:val="both"/>
        <w:rPr>
          <w:rFonts w:eastAsia="Arial" w:cs="Arial"/>
          <w:color w:val="000000" w:themeColor="text1"/>
          <w:sz w:val="22"/>
          <w:szCs w:val="22"/>
        </w:rPr>
      </w:pPr>
      <w:r>
        <w:rPr>
          <w:rFonts w:eastAsia="Arial" w:cs="Arial"/>
          <w:color w:val="000000" w:themeColor="text1"/>
          <w:sz w:val="22"/>
          <w:szCs w:val="22"/>
        </w:rPr>
        <w:t>Recommend increasing weighting of Output 1 to 40%</w:t>
      </w:r>
      <w:r w:rsidR="00D171BB">
        <w:rPr>
          <w:rFonts w:eastAsia="Arial" w:cs="Arial"/>
          <w:color w:val="000000" w:themeColor="text1"/>
          <w:sz w:val="22"/>
          <w:szCs w:val="22"/>
        </w:rPr>
        <w:t>, as t</w:t>
      </w:r>
      <w:r w:rsidR="00D171BB" w:rsidRPr="00D171BB">
        <w:rPr>
          <w:rFonts w:eastAsia="Arial" w:cs="Arial"/>
          <w:color w:val="000000" w:themeColor="text1"/>
          <w:sz w:val="22"/>
          <w:szCs w:val="22"/>
        </w:rPr>
        <w:t xml:space="preserve">his Output covers three major indicators for the programme’s reach and </w:t>
      </w:r>
      <w:proofErr w:type="gramStart"/>
      <w:r w:rsidR="00D171BB" w:rsidRPr="00D171BB">
        <w:rPr>
          <w:rFonts w:eastAsia="Arial" w:cs="Arial"/>
          <w:color w:val="000000" w:themeColor="text1"/>
          <w:sz w:val="22"/>
          <w:szCs w:val="22"/>
        </w:rPr>
        <w:t>breadth, and</w:t>
      </w:r>
      <w:proofErr w:type="gramEnd"/>
      <w:r w:rsidR="00D171BB" w:rsidRPr="00D171BB">
        <w:rPr>
          <w:rFonts w:eastAsia="Arial" w:cs="Arial"/>
          <w:color w:val="000000" w:themeColor="text1"/>
          <w:sz w:val="22"/>
          <w:szCs w:val="22"/>
        </w:rPr>
        <w:t xml:space="preserve"> should be more heavily weighted</w:t>
      </w:r>
      <w:r w:rsidR="00D171BB">
        <w:rPr>
          <w:rFonts w:eastAsia="Arial" w:cs="Arial"/>
          <w:color w:val="000000" w:themeColor="text1"/>
          <w:sz w:val="22"/>
          <w:szCs w:val="22"/>
        </w:rPr>
        <w:t>.</w:t>
      </w:r>
    </w:p>
    <w:p w14:paraId="508DF89B" w14:textId="77777777" w:rsidR="00610AAC" w:rsidRPr="00A54B18" w:rsidRDefault="00610AAC" w:rsidP="005E557A">
      <w:pPr>
        <w:jc w:val="both"/>
        <w:rPr>
          <w:rFonts w:eastAsia="Arial" w:cs="Arial"/>
          <w:sz w:val="22"/>
          <w:szCs w:val="22"/>
        </w:rPr>
      </w:pPr>
    </w:p>
    <w:tbl>
      <w:tblPr>
        <w:tblStyle w:val="TableGrid"/>
        <w:tblW w:w="9214" w:type="dxa"/>
        <w:tblInd w:w="-147" w:type="dxa"/>
        <w:tblLayout w:type="fixed"/>
        <w:tblLook w:val="04A0" w:firstRow="1" w:lastRow="0" w:firstColumn="1" w:lastColumn="0" w:noHBand="0" w:noVBand="1"/>
      </w:tblPr>
      <w:tblGrid>
        <w:gridCol w:w="1394"/>
        <w:gridCol w:w="596"/>
        <w:gridCol w:w="890"/>
        <w:gridCol w:w="2507"/>
        <w:gridCol w:w="784"/>
        <w:gridCol w:w="1201"/>
        <w:gridCol w:w="1788"/>
        <w:gridCol w:w="54"/>
      </w:tblGrid>
      <w:tr w:rsidR="006649CB" w:rsidRPr="00A54B18" w14:paraId="4DD5EE70" w14:textId="00FB3ECA" w:rsidTr="009D1F5B">
        <w:trPr>
          <w:gridAfter w:val="1"/>
          <w:wAfter w:w="54" w:type="dxa"/>
          <w:trHeight w:val="657"/>
        </w:trPr>
        <w:tc>
          <w:tcPr>
            <w:tcW w:w="13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07D1757" w14:textId="77777777" w:rsidR="006649CB" w:rsidRPr="00A54B18" w:rsidRDefault="006649CB" w:rsidP="005E557A">
            <w:pPr>
              <w:rPr>
                <w:rFonts w:eastAsia="Arial" w:cs="Arial"/>
                <w:b/>
                <w:bCs/>
                <w:sz w:val="20"/>
                <w:szCs w:val="20"/>
              </w:rPr>
            </w:pPr>
            <w:r w:rsidRPr="00A54B18">
              <w:rPr>
                <w:rFonts w:eastAsia="Arial" w:cs="Arial"/>
                <w:b/>
                <w:bCs/>
                <w:sz w:val="20"/>
                <w:szCs w:val="20"/>
              </w:rPr>
              <w:t xml:space="preserve">Output Title </w:t>
            </w:r>
          </w:p>
        </w:tc>
        <w:tc>
          <w:tcPr>
            <w:tcW w:w="776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1A48946" w14:textId="7DD1C1A3" w:rsidR="006649CB" w:rsidRPr="00A54B18" w:rsidRDefault="006649CB" w:rsidP="005E557A">
            <w:pPr>
              <w:rPr>
                <w:rStyle w:val="normaltextrun"/>
                <w:rFonts w:eastAsia="Arial" w:cs="Arial"/>
                <w:color w:val="000000"/>
                <w:sz w:val="22"/>
                <w:szCs w:val="22"/>
                <w:shd w:val="clear" w:color="auto" w:fill="FFFFFF"/>
              </w:rPr>
            </w:pPr>
            <w:r w:rsidRPr="00A54B18">
              <w:rPr>
                <w:rStyle w:val="normaltextrun"/>
                <w:rFonts w:eastAsia="Arial" w:cs="Arial"/>
                <w:color w:val="000000"/>
                <w:sz w:val="22"/>
                <w:szCs w:val="22"/>
                <w:shd w:val="clear" w:color="auto" w:fill="FFFFFF"/>
              </w:rPr>
              <w:t>Broad support to sustainability practices reflected in the composition of the portfolio</w:t>
            </w:r>
            <w:r w:rsidRPr="00A54B18">
              <w:rPr>
                <w:rStyle w:val="eop"/>
                <w:rFonts w:eastAsia="Arial" w:cs="Arial"/>
                <w:color w:val="000000"/>
                <w:sz w:val="22"/>
                <w:szCs w:val="22"/>
                <w:shd w:val="clear" w:color="auto" w:fill="FFFFFF"/>
              </w:rPr>
              <w:t> </w:t>
            </w:r>
          </w:p>
        </w:tc>
      </w:tr>
      <w:tr w:rsidR="006649CB" w:rsidRPr="00A54B18" w14:paraId="3ABFA508" w14:textId="4CFAEE4B" w:rsidTr="009D1F5B">
        <w:trPr>
          <w:gridAfter w:val="1"/>
          <w:wAfter w:w="54" w:type="dxa"/>
          <w:trHeight w:val="466"/>
        </w:trPr>
        <w:tc>
          <w:tcPr>
            <w:tcW w:w="19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AF6F69" w14:textId="77777777" w:rsidR="006649CB" w:rsidRPr="00A54B18" w:rsidRDefault="006649CB" w:rsidP="005E557A">
            <w:pPr>
              <w:rPr>
                <w:rFonts w:eastAsia="Arial" w:cs="Arial"/>
                <w:sz w:val="20"/>
                <w:szCs w:val="20"/>
              </w:rPr>
            </w:pPr>
            <w:r w:rsidRPr="00A54B18">
              <w:rPr>
                <w:rFonts w:eastAsia="Arial" w:cs="Arial"/>
                <w:sz w:val="20"/>
                <w:szCs w:val="20"/>
              </w:rPr>
              <w:t xml:space="preserve">Output number: </w:t>
            </w:r>
          </w:p>
        </w:tc>
        <w:tc>
          <w:tcPr>
            <w:tcW w:w="890" w:type="dxa"/>
            <w:tcBorders>
              <w:top w:val="single" w:sz="4" w:space="0" w:color="auto"/>
              <w:left w:val="single" w:sz="4" w:space="0" w:color="auto"/>
              <w:bottom w:val="single" w:sz="4" w:space="0" w:color="auto"/>
              <w:right w:val="single" w:sz="4" w:space="0" w:color="auto"/>
            </w:tcBorders>
          </w:tcPr>
          <w:p w14:paraId="7F6DCEE4" w14:textId="633ED375" w:rsidR="006649CB" w:rsidRPr="00A54B18" w:rsidRDefault="006649CB" w:rsidP="005E557A">
            <w:pPr>
              <w:rPr>
                <w:rFonts w:eastAsia="Arial" w:cs="Arial"/>
                <w:sz w:val="20"/>
                <w:szCs w:val="20"/>
              </w:rPr>
            </w:pPr>
            <w:r w:rsidRPr="00A54B18">
              <w:rPr>
                <w:rFonts w:eastAsia="Arial" w:cs="Arial"/>
                <w:sz w:val="20"/>
                <w:szCs w:val="20"/>
              </w:rPr>
              <w:t>2</w:t>
            </w:r>
          </w:p>
        </w:tc>
        <w:tc>
          <w:tcPr>
            <w:tcW w:w="329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C8E2810" w14:textId="77777777" w:rsidR="006649CB" w:rsidRPr="00A54B18" w:rsidRDefault="006649CB" w:rsidP="005E557A">
            <w:pPr>
              <w:rPr>
                <w:rFonts w:eastAsia="Arial" w:cs="Arial"/>
                <w:sz w:val="20"/>
                <w:szCs w:val="20"/>
              </w:rPr>
            </w:pPr>
            <w:r w:rsidRPr="00A54B18">
              <w:rPr>
                <w:rFonts w:eastAsia="Arial" w:cs="Arial"/>
                <w:sz w:val="20"/>
                <w:szCs w:val="20"/>
              </w:rPr>
              <w:t xml:space="preserve">Output Score: </w:t>
            </w:r>
          </w:p>
        </w:tc>
        <w:tc>
          <w:tcPr>
            <w:tcW w:w="2989" w:type="dxa"/>
            <w:gridSpan w:val="2"/>
            <w:tcBorders>
              <w:top w:val="single" w:sz="4" w:space="0" w:color="auto"/>
              <w:left w:val="single" w:sz="4" w:space="0" w:color="auto"/>
              <w:bottom w:val="single" w:sz="4" w:space="0" w:color="auto"/>
              <w:right w:val="single" w:sz="4" w:space="0" w:color="auto"/>
            </w:tcBorders>
          </w:tcPr>
          <w:p w14:paraId="51949DDE" w14:textId="39584576" w:rsidR="006649CB" w:rsidRPr="00A54B18" w:rsidRDefault="006649CB" w:rsidP="005E557A">
            <w:pPr>
              <w:rPr>
                <w:rFonts w:eastAsia="Arial" w:cs="Arial"/>
                <w:b/>
                <w:bCs/>
                <w:i/>
                <w:iCs/>
                <w:sz w:val="20"/>
                <w:szCs w:val="20"/>
              </w:rPr>
            </w:pPr>
            <w:r w:rsidRPr="00A54B18">
              <w:rPr>
                <w:rFonts w:eastAsia="Arial" w:cs="Arial"/>
                <w:b/>
                <w:bCs/>
                <w:i/>
                <w:iCs/>
                <w:sz w:val="20"/>
                <w:szCs w:val="20"/>
              </w:rPr>
              <w:t>A+</w:t>
            </w:r>
          </w:p>
        </w:tc>
      </w:tr>
      <w:tr w:rsidR="006649CB" w:rsidRPr="00A54B18" w14:paraId="244C8FD1" w14:textId="30355A73" w:rsidTr="009D1F5B">
        <w:trPr>
          <w:gridAfter w:val="1"/>
          <w:wAfter w:w="54" w:type="dxa"/>
          <w:trHeight w:val="464"/>
        </w:trPr>
        <w:tc>
          <w:tcPr>
            <w:tcW w:w="19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C49B34" w14:textId="77777777" w:rsidR="006649CB" w:rsidRPr="00A54B18" w:rsidRDefault="006649CB" w:rsidP="005E557A">
            <w:pPr>
              <w:rPr>
                <w:rFonts w:eastAsia="Arial" w:cs="Arial"/>
                <w:sz w:val="20"/>
                <w:szCs w:val="20"/>
              </w:rPr>
            </w:pPr>
            <w:r w:rsidRPr="00A54B18">
              <w:rPr>
                <w:rFonts w:eastAsia="Arial" w:cs="Arial"/>
                <w:sz w:val="20"/>
                <w:szCs w:val="20"/>
              </w:rPr>
              <w:t xml:space="preserve">Impact weighting (%):  </w:t>
            </w:r>
          </w:p>
        </w:tc>
        <w:tc>
          <w:tcPr>
            <w:tcW w:w="890" w:type="dxa"/>
            <w:tcBorders>
              <w:top w:val="single" w:sz="4" w:space="0" w:color="auto"/>
              <w:left w:val="single" w:sz="4" w:space="0" w:color="auto"/>
              <w:bottom w:val="single" w:sz="4" w:space="0" w:color="auto"/>
              <w:right w:val="single" w:sz="4" w:space="0" w:color="auto"/>
            </w:tcBorders>
          </w:tcPr>
          <w:p w14:paraId="3143826B" w14:textId="5E406960" w:rsidR="006649CB" w:rsidRPr="00A54B18" w:rsidRDefault="006649CB" w:rsidP="005E557A">
            <w:pPr>
              <w:rPr>
                <w:rFonts w:eastAsia="Arial" w:cs="Arial"/>
                <w:sz w:val="20"/>
                <w:szCs w:val="20"/>
              </w:rPr>
            </w:pPr>
            <w:r w:rsidRPr="00A54B18">
              <w:rPr>
                <w:rFonts w:eastAsia="Arial" w:cs="Arial"/>
                <w:sz w:val="20"/>
                <w:szCs w:val="20"/>
              </w:rPr>
              <w:t>35</w:t>
            </w:r>
          </w:p>
        </w:tc>
        <w:tc>
          <w:tcPr>
            <w:tcW w:w="329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E56072D" w14:textId="2FF2D427" w:rsidR="006649CB" w:rsidRPr="00A54B18" w:rsidRDefault="006649CB" w:rsidP="005E557A">
            <w:pPr>
              <w:rPr>
                <w:rFonts w:eastAsia="Arial" w:cs="Arial"/>
                <w:sz w:val="20"/>
                <w:szCs w:val="20"/>
              </w:rPr>
            </w:pPr>
            <w:r w:rsidRPr="00A54B18">
              <w:rPr>
                <w:rFonts w:eastAsia="Arial" w:cs="Arial"/>
                <w:sz w:val="20"/>
                <w:szCs w:val="20"/>
              </w:rPr>
              <w:t xml:space="preserve">Weighting revised since last </w:t>
            </w:r>
            <w:proofErr w:type="gramStart"/>
            <w:r w:rsidRPr="00A54B18">
              <w:rPr>
                <w:rFonts w:eastAsia="Arial" w:cs="Arial"/>
                <w:sz w:val="20"/>
                <w:szCs w:val="20"/>
              </w:rPr>
              <w:t>AR?</w:t>
            </w:r>
            <w:proofErr w:type="gramEnd"/>
            <w:r w:rsidRPr="00A54B18">
              <w:rPr>
                <w:rFonts w:eastAsia="Arial" w:cs="Arial"/>
                <w:sz w:val="20"/>
                <w:szCs w:val="20"/>
              </w:rPr>
              <w:t xml:space="preserve"> </w:t>
            </w:r>
          </w:p>
        </w:tc>
        <w:tc>
          <w:tcPr>
            <w:tcW w:w="2989" w:type="dxa"/>
            <w:gridSpan w:val="2"/>
            <w:tcBorders>
              <w:top w:val="single" w:sz="4" w:space="0" w:color="auto"/>
              <w:left w:val="single" w:sz="4" w:space="0" w:color="auto"/>
              <w:bottom w:val="single" w:sz="4" w:space="0" w:color="auto"/>
              <w:right w:val="single" w:sz="4" w:space="0" w:color="auto"/>
            </w:tcBorders>
          </w:tcPr>
          <w:p w14:paraId="09DBCA51" w14:textId="574F8507" w:rsidR="006649CB" w:rsidRPr="00A54B18" w:rsidRDefault="006649CB" w:rsidP="005E557A">
            <w:pPr>
              <w:rPr>
                <w:rFonts w:eastAsia="Arial" w:cs="Arial"/>
                <w:sz w:val="20"/>
                <w:szCs w:val="20"/>
              </w:rPr>
            </w:pPr>
            <w:r w:rsidRPr="00A54B18">
              <w:rPr>
                <w:rFonts w:eastAsia="Arial" w:cs="Arial"/>
                <w:sz w:val="20"/>
                <w:szCs w:val="20"/>
              </w:rPr>
              <w:t>No</w:t>
            </w:r>
          </w:p>
        </w:tc>
      </w:tr>
      <w:tr w:rsidR="009D1F5B" w:rsidRPr="00A54B18" w14:paraId="54E72674" w14:textId="2160D8FD" w:rsidTr="009D1F5B">
        <w:trPr>
          <w:trHeight w:val="367"/>
        </w:trPr>
        <w:tc>
          <w:tcPr>
            <w:tcW w:w="5387"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09CF7C9" w14:textId="77C01AE9" w:rsidR="009D1F5B" w:rsidRPr="00A54B18" w:rsidRDefault="009D1F5B" w:rsidP="005E557A">
            <w:pPr>
              <w:rPr>
                <w:rFonts w:eastAsia="Arial" w:cs="Arial"/>
                <w:b/>
                <w:bCs/>
                <w:sz w:val="20"/>
                <w:szCs w:val="20"/>
              </w:rPr>
            </w:pPr>
            <w:r w:rsidRPr="00A54B18">
              <w:rPr>
                <w:rFonts w:eastAsia="Arial" w:cs="Arial"/>
                <w:b/>
                <w:bCs/>
                <w:sz w:val="20"/>
                <w:szCs w:val="20"/>
              </w:rPr>
              <w:t>Indicator</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8FD5B8" w14:textId="1FD54506" w:rsidR="009D1F5B" w:rsidRPr="00A54B18" w:rsidRDefault="009D1F5B" w:rsidP="007C70B1">
            <w:pPr>
              <w:jc w:val="center"/>
              <w:rPr>
                <w:rFonts w:eastAsia="Arial" w:cs="Arial"/>
                <w:b/>
                <w:bCs/>
                <w:sz w:val="20"/>
                <w:szCs w:val="20"/>
              </w:rPr>
            </w:pPr>
            <w:r w:rsidRPr="00A54B18">
              <w:rPr>
                <w:rFonts w:eastAsia="Arial" w:cs="Arial"/>
                <w:b/>
                <w:bCs/>
                <w:sz w:val="20"/>
                <w:szCs w:val="20"/>
              </w:rPr>
              <w:t>Milestone</w:t>
            </w:r>
          </w:p>
        </w:tc>
        <w:tc>
          <w:tcPr>
            <w:tcW w:w="184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01AAA9E" w14:textId="357B1988" w:rsidR="009D1F5B" w:rsidRPr="00A54B18" w:rsidRDefault="009D1F5B" w:rsidP="007C70B1">
            <w:pPr>
              <w:jc w:val="center"/>
              <w:rPr>
                <w:rFonts w:eastAsia="Arial" w:cs="Arial"/>
                <w:b/>
                <w:bCs/>
                <w:sz w:val="20"/>
                <w:szCs w:val="20"/>
              </w:rPr>
            </w:pPr>
            <w:r w:rsidRPr="00A54B18">
              <w:rPr>
                <w:rFonts w:eastAsia="Arial" w:cs="Arial"/>
                <w:b/>
                <w:bCs/>
                <w:sz w:val="20"/>
                <w:szCs w:val="20"/>
              </w:rPr>
              <w:t>Progress</w:t>
            </w:r>
          </w:p>
        </w:tc>
      </w:tr>
      <w:tr w:rsidR="009D1F5B" w:rsidRPr="00A54B18" w14:paraId="5F3BD6E1" w14:textId="26C5A09A" w:rsidTr="00993E73">
        <w:trPr>
          <w:trHeight w:val="403"/>
        </w:trPr>
        <w:tc>
          <w:tcPr>
            <w:tcW w:w="5387" w:type="dxa"/>
            <w:gridSpan w:val="4"/>
            <w:tcBorders>
              <w:top w:val="single" w:sz="4" w:space="0" w:color="auto"/>
              <w:left w:val="single" w:sz="4" w:space="0" w:color="auto"/>
              <w:bottom w:val="single" w:sz="4" w:space="0" w:color="auto"/>
              <w:right w:val="single" w:sz="4" w:space="0" w:color="auto"/>
            </w:tcBorders>
          </w:tcPr>
          <w:p w14:paraId="615703BD" w14:textId="150BA5C5" w:rsidR="009D1F5B" w:rsidRPr="00C427B8" w:rsidRDefault="009D1F5B" w:rsidP="005E557A">
            <w:pPr>
              <w:rPr>
                <w:rFonts w:eastAsia="Arial" w:cs="Arial"/>
                <w:sz w:val="22"/>
                <w:szCs w:val="22"/>
              </w:rPr>
            </w:pPr>
            <w:r w:rsidRPr="00C427B8">
              <w:rPr>
                <w:rStyle w:val="normaltextrun"/>
                <w:rFonts w:eastAsia="Arial" w:cs="Arial"/>
                <w:color w:val="000000"/>
                <w:sz w:val="22"/>
                <w:szCs w:val="22"/>
                <w:shd w:val="clear" w:color="auto" w:fill="FFFFFF"/>
              </w:rPr>
              <w:t>2.1 Number of sustainability standards represented in the portfolio of sub-borrowers</w:t>
            </w:r>
            <w:r w:rsidRPr="00C427B8">
              <w:rPr>
                <w:rStyle w:val="eop"/>
                <w:rFonts w:eastAsia="Arial" w:cs="Arial"/>
                <w:color w:val="000000"/>
                <w:sz w:val="22"/>
                <w:szCs w:val="22"/>
                <w:shd w:val="clear" w:color="auto" w:fill="FFFFFF"/>
              </w:rPr>
              <w:t> </w:t>
            </w:r>
          </w:p>
        </w:tc>
        <w:tc>
          <w:tcPr>
            <w:tcW w:w="1985" w:type="dxa"/>
            <w:gridSpan w:val="2"/>
            <w:tcBorders>
              <w:top w:val="single" w:sz="4" w:space="0" w:color="auto"/>
              <w:left w:val="single" w:sz="4" w:space="0" w:color="auto"/>
              <w:bottom w:val="single" w:sz="4" w:space="0" w:color="auto"/>
              <w:right w:val="single" w:sz="4" w:space="0" w:color="auto"/>
            </w:tcBorders>
          </w:tcPr>
          <w:p w14:paraId="6E0EE37F" w14:textId="1A75CC92" w:rsidR="009D1F5B" w:rsidRPr="00C427B8" w:rsidRDefault="009D1F5B" w:rsidP="007C70B1">
            <w:pPr>
              <w:jc w:val="center"/>
              <w:rPr>
                <w:rFonts w:eastAsia="Arial" w:cs="Arial"/>
                <w:sz w:val="22"/>
                <w:szCs w:val="22"/>
              </w:rPr>
            </w:pPr>
            <w:r w:rsidRPr="00C427B8">
              <w:rPr>
                <w:rFonts w:eastAsia="Arial" w:cs="Arial"/>
                <w:sz w:val="22"/>
                <w:szCs w:val="22"/>
              </w:rPr>
              <w:t>15</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6E4E000" w14:textId="708AE6C8" w:rsidR="009D1F5B" w:rsidRPr="00C427B8" w:rsidRDefault="009D1F5B" w:rsidP="007C70B1">
            <w:pPr>
              <w:jc w:val="center"/>
              <w:rPr>
                <w:rFonts w:eastAsia="Arial" w:cs="Arial"/>
                <w:sz w:val="22"/>
                <w:szCs w:val="22"/>
              </w:rPr>
            </w:pPr>
            <w:r w:rsidRPr="00C427B8">
              <w:rPr>
                <w:rFonts w:eastAsia="Arial" w:cs="Arial"/>
                <w:sz w:val="22"/>
                <w:szCs w:val="22"/>
              </w:rPr>
              <w:t>27</w:t>
            </w:r>
            <w:r w:rsidR="00EE1E12" w:rsidRPr="00C427B8">
              <w:rPr>
                <w:sz w:val="22"/>
                <w:szCs w:val="22"/>
              </w:rPr>
              <w:t xml:space="preserve"> (+4)</w:t>
            </w:r>
          </w:p>
        </w:tc>
      </w:tr>
      <w:tr w:rsidR="009D1F5B" w:rsidRPr="00A54B18" w14:paraId="1A3C6ACC" w14:textId="4E99F69C" w:rsidTr="00993E73">
        <w:trPr>
          <w:trHeight w:val="403"/>
        </w:trPr>
        <w:tc>
          <w:tcPr>
            <w:tcW w:w="5387" w:type="dxa"/>
            <w:gridSpan w:val="4"/>
            <w:tcBorders>
              <w:top w:val="single" w:sz="4" w:space="0" w:color="auto"/>
              <w:left w:val="single" w:sz="4" w:space="0" w:color="auto"/>
              <w:bottom w:val="single" w:sz="4" w:space="0" w:color="auto"/>
              <w:right w:val="single" w:sz="4" w:space="0" w:color="auto"/>
            </w:tcBorders>
          </w:tcPr>
          <w:p w14:paraId="2FAC4797" w14:textId="4A95106A" w:rsidR="009D1F5B" w:rsidRPr="00C427B8" w:rsidRDefault="009D1F5B" w:rsidP="005E557A">
            <w:pPr>
              <w:rPr>
                <w:rFonts w:eastAsia="Arial" w:cs="Arial"/>
                <w:sz w:val="22"/>
                <w:szCs w:val="22"/>
              </w:rPr>
            </w:pPr>
            <w:r w:rsidRPr="00C427B8">
              <w:rPr>
                <w:rStyle w:val="normaltextrun"/>
                <w:rFonts w:eastAsia="Arial" w:cs="Arial"/>
                <w:color w:val="000000"/>
                <w:sz w:val="22"/>
                <w:szCs w:val="22"/>
                <w:shd w:val="clear" w:color="auto" w:fill="FFFFFF"/>
              </w:rPr>
              <w:t>2.2 Number of Green List measures represented in the portfolio of sub-borrowers</w:t>
            </w:r>
            <w:r w:rsidRPr="00C427B8">
              <w:rPr>
                <w:rStyle w:val="eop"/>
                <w:rFonts w:eastAsia="Arial" w:cs="Arial"/>
                <w:color w:val="000000"/>
                <w:sz w:val="22"/>
                <w:szCs w:val="22"/>
                <w:shd w:val="clear" w:color="auto" w:fill="FFFFFF"/>
              </w:rPr>
              <w:t> </w:t>
            </w:r>
          </w:p>
        </w:tc>
        <w:tc>
          <w:tcPr>
            <w:tcW w:w="1985" w:type="dxa"/>
            <w:gridSpan w:val="2"/>
            <w:tcBorders>
              <w:top w:val="single" w:sz="4" w:space="0" w:color="auto"/>
              <w:left w:val="single" w:sz="4" w:space="0" w:color="auto"/>
              <w:bottom w:val="single" w:sz="4" w:space="0" w:color="auto"/>
              <w:right w:val="single" w:sz="4" w:space="0" w:color="auto"/>
            </w:tcBorders>
          </w:tcPr>
          <w:p w14:paraId="7036B4FF" w14:textId="41EF4853" w:rsidR="009D1F5B" w:rsidRPr="00C427B8" w:rsidRDefault="009D1F5B" w:rsidP="007C70B1">
            <w:pPr>
              <w:jc w:val="center"/>
              <w:rPr>
                <w:rFonts w:eastAsia="Arial" w:cs="Arial"/>
                <w:sz w:val="22"/>
                <w:szCs w:val="22"/>
              </w:rPr>
            </w:pPr>
            <w:r w:rsidRPr="00C427B8">
              <w:rPr>
                <w:rFonts w:eastAsia="Arial" w:cs="Arial"/>
                <w:sz w:val="22"/>
                <w:szCs w:val="22"/>
              </w:rPr>
              <w:t>20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8FFCE5A" w14:textId="35983970" w:rsidR="009D1F5B" w:rsidRPr="00C427B8" w:rsidRDefault="009D1F5B" w:rsidP="007C70B1">
            <w:pPr>
              <w:jc w:val="center"/>
              <w:rPr>
                <w:rFonts w:eastAsia="Arial" w:cs="Arial"/>
                <w:sz w:val="22"/>
                <w:szCs w:val="22"/>
              </w:rPr>
            </w:pPr>
            <w:r w:rsidRPr="00C427B8">
              <w:rPr>
                <w:rFonts w:eastAsia="Arial" w:cs="Arial"/>
                <w:sz w:val="22"/>
                <w:szCs w:val="22"/>
              </w:rPr>
              <w:t>41</w:t>
            </w:r>
            <w:r w:rsidR="00EE1E12" w:rsidRPr="00C427B8">
              <w:rPr>
                <w:sz w:val="22"/>
                <w:szCs w:val="22"/>
              </w:rPr>
              <w:t xml:space="preserve"> (+</w:t>
            </w:r>
            <w:r w:rsidR="007818C0" w:rsidRPr="00C427B8">
              <w:rPr>
                <w:sz w:val="22"/>
                <w:szCs w:val="22"/>
              </w:rPr>
              <w:t>6</w:t>
            </w:r>
            <w:r w:rsidR="00EE1E12" w:rsidRPr="00C427B8">
              <w:rPr>
                <w:sz w:val="22"/>
                <w:szCs w:val="22"/>
              </w:rPr>
              <w:t>)</w:t>
            </w:r>
          </w:p>
        </w:tc>
      </w:tr>
      <w:tr w:rsidR="009D1F5B" w:rsidRPr="00A54B18" w14:paraId="6B101521" w14:textId="65426073" w:rsidTr="009D1F5B">
        <w:trPr>
          <w:trHeight w:val="403"/>
        </w:trPr>
        <w:tc>
          <w:tcPr>
            <w:tcW w:w="5387" w:type="dxa"/>
            <w:gridSpan w:val="4"/>
            <w:tcBorders>
              <w:top w:val="single" w:sz="4" w:space="0" w:color="auto"/>
              <w:left w:val="single" w:sz="4" w:space="0" w:color="auto"/>
              <w:bottom w:val="single" w:sz="4" w:space="0" w:color="auto"/>
              <w:right w:val="single" w:sz="4" w:space="0" w:color="auto"/>
            </w:tcBorders>
          </w:tcPr>
          <w:p w14:paraId="6230AEC8" w14:textId="3367A2DD" w:rsidR="009D1F5B" w:rsidRPr="00C427B8" w:rsidRDefault="009D1F5B" w:rsidP="005E557A">
            <w:pPr>
              <w:rPr>
                <w:rFonts w:eastAsia="Arial" w:cs="Arial"/>
                <w:sz w:val="22"/>
                <w:szCs w:val="22"/>
              </w:rPr>
            </w:pPr>
            <w:r w:rsidRPr="00C427B8">
              <w:rPr>
                <w:rStyle w:val="normaltextrun"/>
                <w:rFonts w:eastAsia="Arial" w:cs="Arial"/>
                <w:color w:val="000000"/>
                <w:sz w:val="22"/>
                <w:szCs w:val="22"/>
                <w:shd w:val="clear" w:color="auto" w:fill="FFFFFF"/>
              </w:rPr>
              <w:t>2.3 Outstanding Amount ($million) invested in certified sub-borrowers</w:t>
            </w:r>
          </w:p>
        </w:tc>
        <w:tc>
          <w:tcPr>
            <w:tcW w:w="1985" w:type="dxa"/>
            <w:gridSpan w:val="2"/>
            <w:tcBorders>
              <w:top w:val="single" w:sz="4" w:space="0" w:color="auto"/>
              <w:left w:val="single" w:sz="4" w:space="0" w:color="auto"/>
              <w:bottom w:val="single" w:sz="4" w:space="0" w:color="auto"/>
              <w:right w:val="single" w:sz="4" w:space="0" w:color="auto"/>
            </w:tcBorders>
          </w:tcPr>
          <w:p w14:paraId="00AE1AA2" w14:textId="00045DDB" w:rsidR="009D1F5B" w:rsidRPr="00C427B8" w:rsidRDefault="009D1F5B" w:rsidP="007C70B1">
            <w:pPr>
              <w:jc w:val="center"/>
              <w:rPr>
                <w:rFonts w:eastAsia="Arial" w:cs="Arial"/>
                <w:sz w:val="22"/>
                <w:szCs w:val="22"/>
              </w:rPr>
            </w:pPr>
            <w:r w:rsidRPr="00C427B8">
              <w:rPr>
                <w:rFonts w:eastAsia="Arial" w:cs="Arial"/>
                <w:sz w:val="22"/>
                <w:szCs w:val="22"/>
              </w:rPr>
              <w:t>n/a</w:t>
            </w:r>
          </w:p>
        </w:tc>
        <w:tc>
          <w:tcPr>
            <w:tcW w:w="1842" w:type="dxa"/>
            <w:gridSpan w:val="2"/>
            <w:tcBorders>
              <w:top w:val="single" w:sz="4" w:space="0" w:color="auto"/>
              <w:left w:val="single" w:sz="4" w:space="0" w:color="auto"/>
              <w:bottom w:val="single" w:sz="4" w:space="0" w:color="auto"/>
              <w:right w:val="single" w:sz="4" w:space="0" w:color="auto"/>
            </w:tcBorders>
          </w:tcPr>
          <w:p w14:paraId="32406283" w14:textId="7C4F37A2" w:rsidR="009D1F5B" w:rsidRPr="00C427B8" w:rsidRDefault="007C0C19" w:rsidP="007C70B1">
            <w:pPr>
              <w:jc w:val="center"/>
              <w:rPr>
                <w:rFonts w:eastAsia="Arial" w:cs="Arial"/>
                <w:sz w:val="22"/>
                <w:szCs w:val="22"/>
              </w:rPr>
            </w:pPr>
            <w:r>
              <w:rPr>
                <w:sz w:val="22"/>
                <w:szCs w:val="22"/>
              </w:rPr>
              <w:t>n/a</w:t>
            </w:r>
          </w:p>
        </w:tc>
      </w:tr>
      <w:tr w:rsidR="009D1F5B" w:rsidRPr="00A54B18" w14:paraId="0CB6FE1A" w14:textId="5CF884BC" w:rsidTr="009D1F5B">
        <w:trPr>
          <w:trHeight w:val="403"/>
        </w:trPr>
        <w:tc>
          <w:tcPr>
            <w:tcW w:w="5387" w:type="dxa"/>
            <w:gridSpan w:val="4"/>
            <w:tcBorders>
              <w:top w:val="single" w:sz="4" w:space="0" w:color="auto"/>
              <w:left w:val="single" w:sz="4" w:space="0" w:color="auto"/>
              <w:bottom w:val="single" w:sz="4" w:space="0" w:color="auto"/>
              <w:right w:val="single" w:sz="4" w:space="0" w:color="auto"/>
            </w:tcBorders>
          </w:tcPr>
          <w:p w14:paraId="63077AA6" w14:textId="082E6297" w:rsidR="009D1F5B" w:rsidRPr="00C427B8" w:rsidRDefault="009D1F5B" w:rsidP="005E557A">
            <w:pPr>
              <w:rPr>
                <w:rFonts w:eastAsia="Arial" w:cs="Arial"/>
                <w:sz w:val="22"/>
                <w:szCs w:val="22"/>
              </w:rPr>
            </w:pPr>
            <w:r w:rsidRPr="00C427B8">
              <w:rPr>
                <w:rStyle w:val="normaltextrun"/>
                <w:rFonts w:eastAsia="Arial" w:cs="Arial"/>
                <w:color w:val="000000"/>
                <w:sz w:val="22"/>
                <w:szCs w:val="22"/>
                <w:shd w:val="clear" w:color="auto" w:fill="FFFFFF"/>
              </w:rPr>
              <w:t>2.4 Outstanding Amount ($million) invested in green list measures</w:t>
            </w:r>
          </w:p>
        </w:tc>
        <w:tc>
          <w:tcPr>
            <w:tcW w:w="1985" w:type="dxa"/>
            <w:gridSpan w:val="2"/>
            <w:tcBorders>
              <w:top w:val="single" w:sz="4" w:space="0" w:color="auto"/>
              <w:left w:val="single" w:sz="4" w:space="0" w:color="auto"/>
              <w:bottom w:val="single" w:sz="4" w:space="0" w:color="auto"/>
              <w:right w:val="single" w:sz="4" w:space="0" w:color="auto"/>
            </w:tcBorders>
          </w:tcPr>
          <w:p w14:paraId="30F92ADE" w14:textId="2D087B8C" w:rsidR="009D1F5B" w:rsidRPr="00C427B8" w:rsidRDefault="009D1F5B" w:rsidP="007C70B1">
            <w:pPr>
              <w:jc w:val="center"/>
              <w:rPr>
                <w:rFonts w:eastAsia="Arial" w:cs="Arial"/>
                <w:sz w:val="22"/>
                <w:szCs w:val="22"/>
              </w:rPr>
            </w:pPr>
            <w:r w:rsidRPr="00C427B8">
              <w:rPr>
                <w:rFonts w:eastAsia="Arial" w:cs="Arial"/>
                <w:sz w:val="22"/>
                <w:szCs w:val="22"/>
              </w:rPr>
              <w:t>n/a</w:t>
            </w:r>
          </w:p>
        </w:tc>
        <w:tc>
          <w:tcPr>
            <w:tcW w:w="1842" w:type="dxa"/>
            <w:gridSpan w:val="2"/>
            <w:tcBorders>
              <w:top w:val="single" w:sz="4" w:space="0" w:color="auto"/>
              <w:left w:val="single" w:sz="4" w:space="0" w:color="auto"/>
              <w:bottom w:val="single" w:sz="4" w:space="0" w:color="auto"/>
              <w:right w:val="single" w:sz="4" w:space="0" w:color="auto"/>
            </w:tcBorders>
          </w:tcPr>
          <w:p w14:paraId="61EE4417" w14:textId="246D1AD0" w:rsidR="009D1F5B" w:rsidRPr="00C427B8" w:rsidRDefault="007C0C19" w:rsidP="007C70B1">
            <w:pPr>
              <w:jc w:val="center"/>
              <w:rPr>
                <w:rFonts w:eastAsia="Arial" w:cs="Arial"/>
                <w:sz w:val="22"/>
                <w:szCs w:val="22"/>
              </w:rPr>
            </w:pPr>
            <w:r>
              <w:rPr>
                <w:sz w:val="20"/>
                <w:szCs w:val="20"/>
              </w:rPr>
              <w:t>n/a</w:t>
            </w:r>
          </w:p>
        </w:tc>
      </w:tr>
    </w:tbl>
    <w:p w14:paraId="0C9F9350" w14:textId="77777777" w:rsidR="003B74CB" w:rsidRPr="00A54B18" w:rsidRDefault="003B74CB" w:rsidP="005E557A">
      <w:pPr>
        <w:pStyle w:val="Normal1"/>
        <w:spacing w:after="120"/>
        <w:jc w:val="both"/>
        <w:rPr>
          <w:b/>
          <w:bCs/>
          <w:sz w:val="22"/>
          <w:szCs w:val="22"/>
        </w:rPr>
      </w:pPr>
    </w:p>
    <w:p w14:paraId="05DCE31E" w14:textId="0518346B" w:rsidR="00E75614" w:rsidRPr="00A54B18" w:rsidRDefault="5ECAB7EF" w:rsidP="005E557A">
      <w:pPr>
        <w:pStyle w:val="Normal1"/>
        <w:spacing w:after="120"/>
        <w:jc w:val="both"/>
        <w:rPr>
          <w:sz w:val="22"/>
          <w:szCs w:val="22"/>
        </w:rPr>
      </w:pPr>
      <w:r w:rsidRPr="00A54B18">
        <w:rPr>
          <w:b/>
          <w:bCs/>
          <w:sz w:val="22"/>
          <w:szCs w:val="22"/>
        </w:rPr>
        <w:t>Key Points</w:t>
      </w:r>
    </w:p>
    <w:p w14:paraId="5B9F80A5" w14:textId="619F26C4" w:rsidR="6DD73775" w:rsidRPr="001E0775" w:rsidRDefault="5DA9AA80" w:rsidP="00F66B70">
      <w:pPr>
        <w:pStyle w:val="Normal1"/>
        <w:numPr>
          <w:ilvl w:val="0"/>
          <w:numId w:val="7"/>
        </w:numPr>
        <w:spacing w:before="60"/>
        <w:ind w:hanging="357"/>
        <w:jc w:val="both"/>
        <w:rPr>
          <w:sz w:val="22"/>
          <w:szCs w:val="22"/>
        </w:rPr>
      </w:pPr>
      <w:r w:rsidRPr="001E0775">
        <w:rPr>
          <w:sz w:val="22"/>
          <w:szCs w:val="22"/>
        </w:rPr>
        <w:lastRenderedPageBreak/>
        <w:t xml:space="preserve">There </w:t>
      </w:r>
      <w:r w:rsidR="007C70B1">
        <w:rPr>
          <w:sz w:val="22"/>
          <w:szCs w:val="22"/>
        </w:rPr>
        <w:t>has been</w:t>
      </w:r>
      <w:r w:rsidRPr="001E0775">
        <w:rPr>
          <w:sz w:val="22"/>
          <w:szCs w:val="22"/>
        </w:rPr>
        <w:t xml:space="preserve"> strong progress against targets for both indicators 2.1 and 2.2 since 2019</w:t>
      </w:r>
      <w:r w:rsidR="007C70B1">
        <w:rPr>
          <w:sz w:val="22"/>
          <w:szCs w:val="22"/>
        </w:rPr>
        <w:t>, exceeding both the overall targets and the expected increases for 2021 to 2022</w:t>
      </w:r>
      <w:r w:rsidRPr="001E0775">
        <w:rPr>
          <w:sz w:val="22"/>
          <w:szCs w:val="22"/>
        </w:rPr>
        <w:t>.</w:t>
      </w:r>
    </w:p>
    <w:p w14:paraId="1D7D4077" w14:textId="2B14B216" w:rsidR="6DD73775" w:rsidRPr="00A407A0" w:rsidRDefault="3E245958" w:rsidP="00F66B70">
      <w:pPr>
        <w:pStyle w:val="ListParagraph"/>
        <w:numPr>
          <w:ilvl w:val="0"/>
          <w:numId w:val="7"/>
        </w:numPr>
        <w:spacing w:before="60" w:after="0"/>
        <w:ind w:hanging="357"/>
        <w:contextualSpacing w:val="0"/>
        <w:jc w:val="both"/>
        <w:rPr>
          <w:strike/>
          <w:sz w:val="20"/>
        </w:rPr>
      </w:pPr>
      <w:r w:rsidRPr="001E0775">
        <w:rPr>
          <w:rFonts w:eastAsia="Arial" w:cs="Arial"/>
          <w:sz w:val="22"/>
          <w:szCs w:val="22"/>
        </w:rPr>
        <w:t>For indic</w:t>
      </w:r>
      <w:r w:rsidR="002E3D7A" w:rsidRPr="001E0775">
        <w:rPr>
          <w:rFonts w:eastAsia="Arial" w:cs="Arial"/>
          <w:sz w:val="22"/>
          <w:szCs w:val="22"/>
        </w:rPr>
        <w:t>a</w:t>
      </w:r>
      <w:r w:rsidRPr="001E0775">
        <w:rPr>
          <w:rFonts w:eastAsia="Arial" w:cs="Arial"/>
          <w:sz w:val="22"/>
          <w:szCs w:val="22"/>
        </w:rPr>
        <w:t>tor 2.1 the</w:t>
      </w:r>
      <w:r w:rsidR="00F476F8" w:rsidRPr="001E0775">
        <w:rPr>
          <w:rFonts w:eastAsia="Arial" w:cs="Arial"/>
          <w:sz w:val="22"/>
          <w:szCs w:val="22"/>
        </w:rPr>
        <w:t xml:space="preserve">re </w:t>
      </w:r>
      <w:r w:rsidR="007C70B1">
        <w:rPr>
          <w:rFonts w:eastAsia="Arial" w:cs="Arial"/>
          <w:sz w:val="22"/>
          <w:szCs w:val="22"/>
        </w:rPr>
        <w:t>were four</w:t>
      </w:r>
      <w:r w:rsidRPr="001E0775">
        <w:rPr>
          <w:rFonts w:eastAsia="Arial" w:cs="Arial"/>
          <w:sz w:val="22"/>
          <w:szCs w:val="22"/>
        </w:rPr>
        <w:t xml:space="preserve"> new certification</w:t>
      </w:r>
      <w:r w:rsidR="007C70B1">
        <w:rPr>
          <w:rFonts w:eastAsia="Arial" w:cs="Arial"/>
          <w:sz w:val="22"/>
          <w:szCs w:val="22"/>
        </w:rPr>
        <w:t>s</w:t>
      </w:r>
      <w:r w:rsidR="00F476F8" w:rsidRPr="001E0775">
        <w:rPr>
          <w:rFonts w:eastAsia="Arial" w:cs="Arial"/>
          <w:sz w:val="22"/>
          <w:szCs w:val="22"/>
        </w:rPr>
        <w:t>,</w:t>
      </w:r>
      <w:r w:rsidRPr="001E0775">
        <w:rPr>
          <w:rFonts w:eastAsia="Arial" w:cs="Arial"/>
          <w:sz w:val="22"/>
          <w:szCs w:val="22"/>
        </w:rPr>
        <w:t xml:space="preserve"> </w:t>
      </w:r>
      <w:r w:rsidR="056DC2ED" w:rsidRPr="3F557E4B">
        <w:rPr>
          <w:rFonts w:eastAsia="Arial" w:cs="Arial"/>
          <w:sz w:val="22"/>
          <w:szCs w:val="22"/>
        </w:rPr>
        <w:t xml:space="preserve">and </w:t>
      </w:r>
      <w:r w:rsidR="056DC2ED" w:rsidRPr="31FC2042">
        <w:rPr>
          <w:rFonts w:eastAsia="Arial" w:cs="Arial"/>
          <w:sz w:val="22"/>
          <w:szCs w:val="22"/>
        </w:rPr>
        <w:t xml:space="preserve">for 2.2 </w:t>
      </w:r>
      <w:r w:rsidR="007C70B1">
        <w:rPr>
          <w:rFonts w:eastAsia="Arial" w:cs="Arial"/>
          <w:sz w:val="22"/>
          <w:szCs w:val="22"/>
        </w:rPr>
        <w:t>six</w:t>
      </w:r>
      <w:r w:rsidR="056DC2ED" w:rsidRPr="31FC2042">
        <w:rPr>
          <w:rFonts w:eastAsia="Arial" w:cs="Arial"/>
          <w:sz w:val="22"/>
          <w:szCs w:val="22"/>
        </w:rPr>
        <w:t xml:space="preserve"> new Green List </w:t>
      </w:r>
      <w:r w:rsidR="056DC2ED" w:rsidRPr="0CB968DA">
        <w:rPr>
          <w:rFonts w:eastAsia="Arial" w:cs="Arial"/>
          <w:sz w:val="22"/>
          <w:szCs w:val="22"/>
        </w:rPr>
        <w:t>measures</w:t>
      </w:r>
      <w:r w:rsidR="056DC2ED" w:rsidRPr="4A221B4E">
        <w:rPr>
          <w:rFonts w:eastAsia="Arial" w:cs="Arial"/>
          <w:sz w:val="22"/>
          <w:szCs w:val="22"/>
        </w:rPr>
        <w:t xml:space="preserve"> were </w:t>
      </w:r>
      <w:r w:rsidR="056DC2ED" w:rsidRPr="0CB968DA">
        <w:rPr>
          <w:rFonts w:eastAsia="Arial" w:cs="Arial"/>
          <w:sz w:val="22"/>
          <w:szCs w:val="22"/>
        </w:rPr>
        <w:t>added</w:t>
      </w:r>
      <w:r w:rsidR="007C70B1">
        <w:rPr>
          <w:rFonts w:eastAsia="Arial" w:cs="Arial"/>
          <w:sz w:val="22"/>
          <w:szCs w:val="22"/>
        </w:rPr>
        <w:t>.</w:t>
      </w:r>
    </w:p>
    <w:p w14:paraId="5958F3EA" w14:textId="7B707739" w:rsidR="00EE0F0A" w:rsidRPr="00A407A0" w:rsidRDefault="00EE0F0A" w:rsidP="005E557A">
      <w:pPr>
        <w:pStyle w:val="ListParagraph"/>
        <w:numPr>
          <w:ilvl w:val="0"/>
          <w:numId w:val="7"/>
        </w:numPr>
        <w:spacing w:before="60" w:after="0"/>
        <w:ind w:hanging="357"/>
        <w:contextualSpacing w:val="0"/>
        <w:jc w:val="both"/>
        <w:rPr>
          <w:rFonts w:eastAsia="Arial" w:cs="Arial"/>
          <w:color w:val="000000" w:themeColor="text1"/>
          <w:sz w:val="22"/>
          <w:szCs w:val="22"/>
        </w:rPr>
      </w:pPr>
      <w:r w:rsidRPr="00F679AC">
        <w:rPr>
          <w:rFonts w:eastAsia="Arial" w:cs="Arial"/>
          <w:color w:val="000000" w:themeColor="text1"/>
          <w:sz w:val="22"/>
          <w:szCs w:val="22"/>
        </w:rPr>
        <w:t>When financing a new PI using the G</w:t>
      </w:r>
      <w:r w:rsidR="00274381">
        <w:rPr>
          <w:rFonts w:eastAsia="Arial" w:cs="Arial"/>
          <w:color w:val="000000" w:themeColor="text1"/>
          <w:sz w:val="22"/>
          <w:szCs w:val="22"/>
        </w:rPr>
        <w:t xml:space="preserve">reen </w:t>
      </w:r>
      <w:r w:rsidRPr="00F679AC">
        <w:rPr>
          <w:rFonts w:eastAsia="Arial" w:cs="Arial"/>
          <w:color w:val="000000" w:themeColor="text1"/>
          <w:sz w:val="22"/>
          <w:szCs w:val="22"/>
        </w:rPr>
        <w:t>L</w:t>
      </w:r>
      <w:r w:rsidR="00274381">
        <w:rPr>
          <w:rFonts w:eastAsia="Arial" w:cs="Arial"/>
          <w:color w:val="000000" w:themeColor="text1"/>
          <w:sz w:val="22"/>
          <w:szCs w:val="22"/>
        </w:rPr>
        <w:t>ist (GL)</w:t>
      </w:r>
      <w:r w:rsidRPr="00F679AC">
        <w:rPr>
          <w:rFonts w:eastAsia="Arial" w:cs="Arial"/>
          <w:color w:val="000000" w:themeColor="text1"/>
          <w:sz w:val="22"/>
          <w:szCs w:val="22"/>
        </w:rPr>
        <w:t xml:space="preserve"> approach, EBF discusses and agrees with the PI which GL measures (of the ~70 available) are the most appropriate. The actual financing then follows the fund’s market logic, based on the needs and interest of the end-clients. New GL measures added to the portfolio in 202</w:t>
      </w:r>
      <w:r w:rsidR="007C70B1">
        <w:rPr>
          <w:rFonts w:eastAsia="Arial" w:cs="Arial"/>
          <w:color w:val="000000" w:themeColor="text1"/>
          <w:sz w:val="22"/>
          <w:szCs w:val="22"/>
        </w:rPr>
        <w:t>2</w:t>
      </w:r>
      <w:r w:rsidRPr="00F679AC">
        <w:rPr>
          <w:rFonts w:eastAsia="Arial" w:cs="Arial"/>
          <w:color w:val="000000" w:themeColor="text1"/>
          <w:sz w:val="22"/>
          <w:szCs w:val="22"/>
        </w:rPr>
        <w:t xml:space="preserve"> include: </w:t>
      </w:r>
      <w:proofErr w:type="spellStart"/>
      <w:r w:rsidR="00E73606" w:rsidRPr="00271276">
        <w:rPr>
          <w:rFonts w:eastAsia="Arial" w:cs="Arial"/>
          <w:color w:val="000000" w:themeColor="text1"/>
          <w:sz w:val="22"/>
          <w:szCs w:val="22"/>
        </w:rPr>
        <w:t>i</w:t>
      </w:r>
      <w:proofErr w:type="spellEnd"/>
      <w:r w:rsidR="00E73606" w:rsidRPr="00271276">
        <w:rPr>
          <w:rFonts w:eastAsia="Arial" w:cs="Arial"/>
          <w:color w:val="000000" w:themeColor="text1"/>
          <w:sz w:val="22"/>
          <w:szCs w:val="22"/>
        </w:rPr>
        <w:t xml:space="preserve">) Direct seeding or planting machinery </w:t>
      </w:r>
      <w:r w:rsidR="004D3D05">
        <w:rPr>
          <w:rFonts w:eastAsia="Arial" w:cs="Arial"/>
          <w:color w:val="000000" w:themeColor="text1"/>
          <w:sz w:val="22"/>
          <w:szCs w:val="22"/>
        </w:rPr>
        <w:t xml:space="preserve">(e.g. </w:t>
      </w:r>
      <w:r w:rsidR="00E73606" w:rsidRPr="00271276">
        <w:rPr>
          <w:rFonts w:eastAsia="Arial" w:cs="Arial"/>
          <w:color w:val="000000" w:themeColor="text1"/>
          <w:sz w:val="22"/>
          <w:szCs w:val="22"/>
        </w:rPr>
        <w:t xml:space="preserve">air </w:t>
      </w:r>
      <w:proofErr w:type="spellStart"/>
      <w:r w:rsidR="00E73606" w:rsidRPr="00271276">
        <w:rPr>
          <w:rFonts w:eastAsia="Arial" w:cs="Arial"/>
          <w:color w:val="000000" w:themeColor="text1"/>
          <w:sz w:val="22"/>
          <w:szCs w:val="22"/>
        </w:rPr>
        <w:t>seeder</w:t>
      </w:r>
      <w:r w:rsidR="00456D6A">
        <w:rPr>
          <w:rFonts w:eastAsia="Arial" w:cs="Arial"/>
          <w:color w:val="000000" w:themeColor="text1"/>
          <w:sz w:val="22"/>
          <w:szCs w:val="22"/>
        </w:rPr>
        <w:t>s</w:t>
      </w:r>
      <w:proofErr w:type="spellEnd"/>
      <w:r w:rsidR="00456D6A">
        <w:rPr>
          <w:rFonts w:eastAsia="Arial" w:cs="Arial"/>
          <w:color w:val="000000" w:themeColor="text1"/>
          <w:sz w:val="22"/>
          <w:szCs w:val="22"/>
        </w:rPr>
        <w:t xml:space="preserve"> and</w:t>
      </w:r>
      <w:r w:rsidR="00E73606" w:rsidRPr="00271276">
        <w:rPr>
          <w:rFonts w:eastAsia="Arial" w:cs="Arial"/>
          <w:color w:val="000000" w:themeColor="text1"/>
          <w:sz w:val="22"/>
          <w:szCs w:val="22"/>
        </w:rPr>
        <w:t xml:space="preserve"> air drills</w:t>
      </w:r>
      <w:r w:rsidR="004D3D05">
        <w:rPr>
          <w:rFonts w:eastAsia="Arial" w:cs="Arial"/>
          <w:color w:val="000000" w:themeColor="text1"/>
          <w:sz w:val="22"/>
          <w:szCs w:val="22"/>
        </w:rPr>
        <w:t>)</w:t>
      </w:r>
      <w:r w:rsidR="00E73606" w:rsidRPr="00271276">
        <w:rPr>
          <w:rFonts w:eastAsia="Arial" w:cs="Arial"/>
          <w:color w:val="000000" w:themeColor="text1"/>
          <w:sz w:val="22"/>
          <w:szCs w:val="22"/>
        </w:rPr>
        <w:t xml:space="preserve">; ii) </w:t>
      </w:r>
      <w:r w:rsidR="006E56A1">
        <w:rPr>
          <w:rFonts w:eastAsia="Arial" w:cs="Arial"/>
          <w:color w:val="000000" w:themeColor="text1"/>
          <w:sz w:val="22"/>
          <w:szCs w:val="22"/>
        </w:rPr>
        <w:t>e</w:t>
      </w:r>
      <w:r w:rsidR="00E73606" w:rsidRPr="00271276">
        <w:rPr>
          <w:rFonts w:eastAsia="Arial" w:cs="Arial"/>
          <w:color w:val="000000" w:themeColor="text1"/>
          <w:sz w:val="22"/>
          <w:szCs w:val="22"/>
        </w:rPr>
        <w:t xml:space="preserve">nvironmentally friendly harvesting machines, as defined by third party experts for individual crops; iii) </w:t>
      </w:r>
      <w:r w:rsidR="006E56A1">
        <w:rPr>
          <w:rFonts w:eastAsia="Arial" w:cs="Arial"/>
          <w:color w:val="000000" w:themeColor="text1"/>
          <w:sz w:val="22"/>
          <w:szCs w:val="22"/>
        </w:rPr>
        <w:t>p</w:t>
      </w:r>
      <w:r w:rsidR="00E73606" w:rsidRPr="00271276">
        <w:rPr>
          <w:rFonts w:eastAsia="Arial" w:cs="Arial"/>
          <w:color w:val="000000" w:themeColor="text1"/>
          <w:sz w:val="22"/>
          <w:szCs w:val="22"/>
        </w:rPr>
        <w:t>rocurement of sustainable feed (e.g. shrimp feed produced with ingredients derived from fish by-products, insects and plant-based proteins, and non-GMO ingredients).</w:t>
      </w:r>
    </w:p>
    <w:p w14:paraId="0F8A5823" w14:textId="4EA06669" w:rsidR="00610AAC" w:rsidRPr="00610AAC" w:rsidRDefault="00397DAB" w:rsidP="005E557A">
      <w:pPr>
        <w:pStyle w:val="ListParagraph"/>
        <w:numPr>
          <w:ilvl w:val="0"/>
          <w:numId w:val="7"/>
        </w:numPr>
        <w:spacing w:before="60" w:after="0"/>
        <w:ind w:hanging="357"/>
        <w:contextualSpacing w:val="0"/>
        <w:jc w:val="both"/>
        <w:rPr>
          <w:rFonts w:eastAsia="Arial" w:cs="Arial"/>
        </w:rPr>
      </w:pPr>
      <w:r w:rsidRPr="001E0775">
        <w:rPr>
          <w:rFonts w:eastAsia="Arial" w:cs="Arial"/>
          <w:color w:val="000000" w:themeColor="text1"/>
          <w:sz w:val="22"/>
          <w:szCs w:val="22"/>
        </w:rPr>
        <w:t xml:space="preserve">The volume of finance invested in </w:t>
      </w:r>
      <w:proofErr w:type="gramStart"/>
      <w:r w:rsidRPr="001E0775">
        <w:rPr>
          <w:rFonts w:eastAsia="Arial" w:cs="Arial"/>
          <w:color w:val="000000" w:themeColor="text1"/>
          <w:sz w:val="22"/>
          <w:szCs w:val="22"/>
        </w:rPr>
        <w:t>certified</w:t>
      </w:r>
      <w:proofErr w:type="gramEnd"/>
      <w:r w:rsidRPr="001E0775">
        <w:rPr>
          <w:rFonts w:eastAsia="Arial" w:cs="Arial"/>
          <w:color w:val="000000" w:themeColor="text1"/>
          <w:sz w:val="22"/>
          <w:szCs w:val="22"/>
        </w:rPr>
        <w:t xml:space="preserve"> and </w:t>
      </w:r>
      <w:r w:rsidR="00944024">
        <w:rPr>
          <w:rFonts w:eastAsia="Arial" w:cs="Arial"/>
          <w:color w:val="000000" w:themeColor="text1"/>
          <w:sz w:val="22"/>
          <w:szCs w:val="22"/>
        </w:rPr>
        <w:t>GL</w:t>
      </w:r>
      <w:r w:rsidRPr="001E0775">
        <w:rPr>
          <w:rFonts w:eastAsia="Arial" w:cs="Arial"/>
          <w:color w:val="000000" w:themeColor="text1"/>
          <w:sz w:val="22"/>
          <w:szCs w:val="22"/>
        </w:rPr>
        <w:t xml:space="preserve"> sub-borrowers is commercially sensitive and cannot be published. However, a</w:t>
      </w:r>
      <w:r w:rsidR="478EA26C" w:rsidRPr="001E0775">
        <w:rPr>
          <w:rFonts w:eastAsia="Arial" w:cs="Arial"/>
          <w:color w:val="000000" w:themeColor="text1"/>
          <w:sz w:val="22"/>
          <w:szCs w:val="22"/>
        </w:rPr>
        <w:t>mongst eligible labels financed throughout 2021, Rainforest Alliance represent the largest share (</w:t>
      </w:r>
      <w:r w:rsidR="00F20AF3" w:rsidRPr="00101714">
        <w:rPr>
          <w:rFonts w:eastAsia="Arial" w:cs="Arial"/>
          <w:color w:val="000000" w:themeColor="text1"/>
          <w:sz w:val="22"/>
          <w:szCs w:val="22"/>
        </w:rPr>
        <w:t>2</w:t>
      </w:r>
      <w:r w:rsidR="00610AAC">
        <w:rPr>
          <w:rFonts w:eastAsia="Arial" w:cs="Arial"/>
          <w:color w:val="000000" w:themeColor="text1"/>
          <w:sz w:val="22"/>
          <w:szCs w:val="22"/>
        </w:rPr>
        <w:t>5</w:t>
      </w:r>
      <w:r w:rsidR="478EA26C" w:rsidRPr="001E0775">
        <w:rPr>
          <w:rFonts w:eastAsia="Arial" w:cs="Arial"/>
          <w:color w:val="000000" w:themeColor="text1"/>
          <w:sz w:val="22"/>
          <w:szCs w:val="22"/>
        </w:rPr>
        <w:t xml:space="preserve">%), followed by Fairtrade Standard for </w:t>
      </w:r>
      <w:r w:rsidR="00E32BEA" w:rsidRPr="00101714">
        <w:rPr>
          <w:rFonts w:eastAsia="Arial" w:cs="Arial"/>
          <w:color w:val="000000" w:themeColor="text1"/>
          <w:sz w:val="22"/>
          <w:szCs w:val="22"/>
        </w:rPr>
        <w:t>Small Producer</w:t>
      </w:r>
      <w:r w:rsidR="00633EBE" w:rsidRPr="00101714">
        <w:rPr>
          <w:rFonts w:eastAsia="Arial" w:cs="Arial"/>
          <w:color w:val="000000" w:themeColor="text1"/>
          <w:sz w:val="22"/>
          <w:szCs w:val="22"/>
        </w:rPr>
        <w:t xml:space="preserve"> Organizations</w:t>
      </w:r>
      <w:r w:rsidR="478EA26C" w:rsidRPr="001E0775">
        <w:rPr>
          <w:rFonts w:eastAsia="Arial" w:cs="Arial"/>
          <w:color w:val="000000" w:themeColor="text1"/>
          <w:sz w:val="22"/>
          <w:szCs w:val="22"/>
        </w:rPr>
        <w:t xml:space="preserve"> (</w:t>
      </w:r>
      <w:r w:rsidR="00610AAC">
        <w:rPr>
          <w:rFonts w:eastAsia="Arial" w:cs="Arial"/>
          <w:color w:val="000000" w:themeColor="text1"/>
          <w:sz w:val="22"/>
          <w:szCs w:val="22"/>
        </w:rPr>
        <w:t>19</w:t>
      </w:r>
      <w:r w:rsidR="478EA26C" w:rsidRPr="001E0775">
        <w:rPr>
          <w:rFonts w:eastAsia="Arial" w:cs="Arial"/>
          <w:color w:val="000000" w:themeColor="text1"/>
          <w:sz w:val="22"/>
          <w:szCs w:val="22"/>
        </w:rPr>
        <w:t>%).</w:t>
      </w:r>
    </w:p>
    <w:p w14:paraId="45116C89" w14:textId="4963F62E" w:rsidR="230895CE" w:rsidRPr="00A407A0" w:rsidRDefault="478EA26C" w:rsidP="005E557A">
      <w:pPr>
        <w:pStyle w:val="ListParagraph"/>
        <w:numPr>
          <w:ilvl w:val="0"/>
          <w:numId w:val="7"/>
        </w:numPr>
        <w:spacing w:before="60" w:after="0"/>
        <w:ind w:hanging="357"/>
        <w:contextualSpacing w:val="0"/>
        <w:jc w:val="both"/>
        <w:rPr>
          <w:rFonts w:eastAsia="Arial" w:cs="Arial"/>
        </w:rPr>
      </w:pPr>
      <w:r w:rsidRPr="001E0775">
        <w:rPr>
          <w:rFonts w:eastAsia="Arial" w:cs="Arial"/>
          <w:color w:val="000000" w:themeColor="text1"/>
          <w:sz w:val="22"/>
          <w:szCs w:val="22"/>
        </w:rPr>
        <w:t xml:space="preserve">Amongst supported </w:t>
      </w:r>
      <w:r w:rsidR="23C31667" w:rsidRPr="001E0775">
        <w:rPr>
          <w:rFonts w:eastAsia="Arial" w:cs="Arial"/>
          <w:color w:val="000000" w:themeColor="text1"/>
          <w:sz w:val="22"/>
          <w:szCs w:val="22"/>
        </w:rPr>
        <w:t>Green L</w:t>
      </w:r>
      <w:r w:rsidRPr="001E0775">
        <w:rPr>
          <w:rFonts w:eastAsia="Arial" w:cs="Arial"/>
          <w:color w:val="000000" w:themeColor="text1"/>
          <w:sz w:val="22"/>
          <w:szCs w:val="22"/>
        </w:rPr>
        <w:t xml:space="preserve">ist activities, the Fund’s PIs primarily on-lend for activities related to sustainable land use, </w:t>
      </w:r>
      <w:proofErr w:type="gramStart"/>
      <w:r w:rsidRPr="001E0775">
        <w:rPr>
          <w:rFonts w:eastAsia="Arial" w:cs="Arial"/>
          <w:color w:val="000000" w:themeColor="text1"/>
          <w:sz w:val="22"/>
          <w:szCs w:val="22"/>
        </w:rPr>
        <w:t>production</w:t>
      </w:r>
      <w:proofErr w:type="gramEnd"/>
      <w:r w:rsidRPr="001E0775">
        <w:rPr>
          <w:rFonts w:eastAsia="Arial" w:cs="Arial"/>
          <w:color w:val="000000" w:themeColor="text1"/>
          <w:sz w:val="22"/>
          <w:szCs w:val="22"/>
        </w:rPr>
        <w:t xml:space="preserve"> and extraction practices (</w:t>
      </w:r>
      <w:r w:rsidR="00610AAC">
        <w:rPr>
          <w:rFonts w:eastAsia="Arial" w:cs="Arial"/>
          <w:color w:val="000000" w:themeColor="text1"/>
          <w:sz w:val="22"/>
          <w:szCs w:val="22"/>
        </w:rPr>
        <w:t>44</w:t>
      </w:r>
      <w:r w:rsidRPr="001E0775">
        <w:rPr>
          <w:rFonts w:eastAsia="Arial" w:cs="Arial"/>
          <w:color w:val="000000" w:themeColor="text1"/>
          <w:sz w:val="22"/>
          <w:szCs w:val="22"/>
        </w:rPr>
        <w:t>%)</w:t>
      </w:r>
      <w:r w:rsidR="00610AAC">
        <w:rPr>
          <w:rFonts w:eastAsia="Arial" w:cs="Arial"/>
          <w:color w:val="000000" w:themeColor="text1"/>
          <w:sz w:val="22"/>
          <w:szCs w:val="22"/>
        </w:rPr>
        <w:t>, but this figure has fallen from 65% in 2021 as the Fund has expanded into new impact areas, notably resource efficiency (29%), as well as waste treatment (13%) and soil conservation (6%)</w:t>
      </w:r>
      <w:r w:rsidRPr="001E0775">
        <w:rPr>
          <w:rFonts w:eastAsia="Arial" w:cs="Arial"/>
          <w:color w:val="000000" w:themeColor="text1"/>
          <w:sz w:val="22"/>
          <w:szCs w:val="22"/>
        </w:rPr>
        <w:t>.</w:t>
      </w:r>
    </w:p>
    <w:p w14:paraId="114EB916" w14:textId="55304EC7" w:rsidR="00610AAC" w:rsidRDefault="5ECAB7EF" w:rsidP="00610AAC">
      <w:pPr>
        <w:spacing w:before="120"/>
        <w:jc w:val="both"/>
        <w:rPr>
          <w:rFonts w:eastAsia="Arial" w:cs="Arial"/>
          <w:color w:val="000000" w:themeColor="text1"/>
          <w:sz w:val="22"/>
          <w:szCs w:val="22"/>
        </w:rPr>
      </w:pPr>
      <w:r w:rsidRPr="58D74F02">
        <w:rPr>
          <w:rFonts w:eastAsia="Arial" w:cs="Arial"/>
          <w:b/>
          <w:bCs/>
          <w:color w:val="000000" w:themeColor="text1"/>
          <w:sz w:val="22"/>
          <w:szCs w:val="22"/>
        </w:rPr>
        <w:t>Recommendation</w:t>
      </w:r>
      <w:r w:rsidR="00940A13">
        <w:rPr>
          <w:rFonts w:eastAsia="Arial" w:cs="Arial"/>
          <w:b/>
          <w:bCs/>
          <w:color w:val="000000" w:themeColor="text1"/>
          <w:sz w:val="22"/>
          <w:szCs w:val="22"/>
        </w:rPr>
        <w:t>s</w:t>
      </w:r>
      <w:r w:rsidRPr="58D74F02">
        <w:rPr>
          <w:rFonts w:eastAsia="Arial" w:cs="Arial"/>
          <w:b/>
          <w:bCs/>
          <w:color w:val="000000" w:themeColor="text1"/>
          <w:sz w:val="22"/>
          <w:szCs w:val="22"/>
        </w:rPr>
        <w:t>:</w:t>
      </w:r>
      <w:r w:rsidR="00573F34" w:rsidRPr="58D74F02">
        <w:rPr>
          <w:rFonts w:eastAsia="Arial" w:cs="Arial"/>
          <w:b/>
          <w:bCs/>
          <w:color w:val="000000" w:themeColor="text1"/>
          <w:sz w:val="22"/>
          <w:szCs w:val="22"/>
        </w:rPr>
        <w:t xml:space="preserve"> </w:t>
      </w:r>
      <w:r w:rsidR="009D1F5B" w:rsidRPr="58D74F02">
        <w:rPr>
          <w:rFonts w:eastAsia="Arial" w:cs="Arial"/>
          <w:color w:val="000000" w:themeColor="text1"/>
          <w:sz w:val="22"/>
          <w:szCs w:val="22"/>
        </w:rPr>
        <w:t xml:space="preserve">As part of this 2022 </w:t>
      </w:r>
      <w:r w:rsidR="00CF1F00">
        <w:rPr>
          <w:rFonts w:eastAsia="Arial" w:cs="Arial"/>
          <w:color w:val="000000" w:themeColor="text1"/>
          <w:sz w:val="22"/>
          <w:szCs w:val="22"/>
        </w:rPr>
        <w:t>AR</w:t>
      </w:r>
      <w:r w:rsidR="009D1F5B" w:rsidRPr="58D74F02">
        <w:rPr>
          <w:rFonts w:eastAsia="Arial" w:cs="Arial"/>
          <w:color w:val="000000" w:themeColor="text1"/>
          <w:sz w:val="22"/>
          <w:szCs w:val="22"/>
        </w:rPr>
        <w:t xml:space="preserve">, milestones have been set for </w:t>
      </w:r>
      <w:r w:rsidR="009D1F5B">
        <w:rPr>
          <w:rFonts w:eastAsia="Arial" w:cs="Arial"/>
          <w:color w:val="000000" w:themeColor="text1"/>
          <w:sz w:val="22"/>
          <w:szCs w:val="22"/>
        </w:rPr>
        <w:t xml:space="preserve">2023 that </w:t>
      </w:r>
      <w:proofErr w:type="gramStart"/>
      <w:r w:rsidR="009D1F5B" w:rsidRPr="00FF2967">
        <w:rPr>
          <w:rFonts w:eastAsia="Arial" w:cs="Arial"/>
          <w:color w:val="000000" w:themeColor="text1"/>
          <w:sz w:val="22"/>
          <w:szCs w:val="22"/>
        </w:rPr>
        <w:t>take into account</w:t>
      </w:r>
      <w:proofErr w:type="gramEnd"/>
      <w:r w:rsidR="009D1F5B" w:rsidRPr="00FF2967">
        <w:rPr>
          <w:rFonts w:eastAsia="Arial" w:cs="Arial"/>
          <w:color w:val="000000" w:themeColor="text1"/>
          <w:sz w:val="22"/>
          <w:szCs w:val="22"/>
        </w:rPr>
        <w:t xml:space="preserve"> trends over the last few years (both exceeding and missing targets). </w:t>
      </w:r>
      <w:r w:rsidR="009D1F5B">
        <w:rPr>
          <w:rFonts w:eastAsia="Arial" w:cs="Arial"/>
          <w:color w:val="000000" w:themeColor="text1"/>
          <w:sz w:val="22"/>
          <w:szCs w:val="22"/>
        </w:rPr>
        <w:t>Milestone setting</w:t>
      </w:r>
      <w:r w:rsidR="009D1F5B" w:rsidRPr="00FF2967">
        <w:rPr>
          <w:rFonts w:eastAsia="Arial" w:cs="Arial"/>
          <w:color w:val="000000" w:themeColor="text1"/>
          <w:sz w:val="22"/>
          <w:szCs w:val="22"/>
        </w:rPr>
        <w:t xml:space="preserve"> for 2024-8</w:t>
      </w:r>
      <w:r w:rsidR="009D1F5B">
        <w:rPr>
          <w:rFonts w:eastAsia="Arial" w:cs="Arial"/>
          <w:color w:val="000000" w:themeColor="text1"/>
          <w:sz w:val="22"/>
          <w:szCs w:val="22"/>
        </w:rPr>
        <w:t xml:space="preserve"> </w:t>
      </w:r>
      <w:r w:rsidR="00D171BB">
        <w:rPr>
          <w:rFonts w:eastAsia="Arial" w:cs="Arial"/>
          <w:color w:val="000000" w:themeColor="text1"/>
          <w:sz w:val="22"/>
          <w:szCs w:val="22"/>
        </w:rPr>
        <w:t xml:space="preserve">will take place in early 2024 </w:t>
      </w:r>
      <w:proofErr w:type="gramStart"/>
      <w:r w:rsidR="008E01DF">
        <w:rPr>
          <w:rFonts w:eastAsia="Arial" w:cs="Arial"/>
          <w:color w:val="000000" w:themeColor="text1"/>
          <w:sz w:val="22"/>
          <w:szCs w:val="22"/>
        </w:rPr>
        <w:t>and also</w:t>
      </w:r>
      <w:proofErr w:type="gramEnd"/>
      <w:r w:rsidR="008E01DF">
        <w:rPr>
          <w:rFonts w:eastAsia="Arial" w:cs="Arial"/>
          <w:color w:val="000000" w:themeColor="text1"/>
          <w:sz w:val="22"/>
          <w:szCs w:val="22"/>
        </w:rPr>
        <w:t xml:space="preserve"> take this into account</w:t>
      </w:r>
      <w:r w:rsidR="009D1F5B">
        <w:rPr>
          <w:rFonts w:eastAsia="Arial" w:cs="Arial"/>
          <w:color w:val="000000" w:themeColor="text1"/>
          <w:sz w:val="22"/>
          <w:szCs w:val="22"/>
        </w:rPr>
        <w:t>.</w:t>
      </w:r>
    </w:p>
    <w:p w14:paraId="5B6ED26C" w14:textId="12E76198" w:rsidR="00867E6A" w:rsidRDefault="00D171BB" w:rsidP="00610AAC">
      <w:pPr>
        <w:spacing w:before="120"/>
        <w:jc w:val="both"/>
        <w:rPr>
          <w:rFonts w:eastAsia="Arial" w:cs="Arial"/>
          <w:color w:val="000000" w:themeColor="text1"/>
          <w:sz w:val="22"/>
          <w:szCs w:val="22"/>
        </w:rPr>
      </w:pPr>
      <w:r>
        <w:rPr>
          <w:rFonts w:eastAsia="Arial" w:cs="Arial"/>
          <w:color w:val="000000" w:themeColor="text1"/>
          <w:sz w:val="22"/>
          <w:szCs w:val="22"/>
        </w:rPr>
        <w:t>Recommend combining</w:t>
      </w:r>
      <w:r w:rsidR="00867E6A">
        <w:rPr>
          <w:rFonts w:eastAsia="Arial" w:cs="Arial"/>
          <w:color w:val="000000" w:themeColor="text1"/>
          <w:sz w:val="22"/>
          <w:szCs w:val="22"/>
        </w:rPr>
        <w:t xml:space="preserve"> Outputs 2.3 and 2.4 into a </w:t>
      </w:r>
      <w:r w:rsidR="00D4281C">
        <w:rPr>
          <w:rFonts w:eastAsia="Arial" w:cs="Arial"/>
          <w:color w:val="000000" w:themeColor="text1"/>
          <w:sz w:val="22"/>
          <w:szCs w:val="22"/>
        </w:rPr>
        <w:t>more helpful</w:t>
      </w:r>
      <w:r w:rsidR="00770E92">
        <w:rPr>
          <w:rFonts w:eastAsia="Arial" w:cs="Arial"/>
          <w:color w:val="000000" w:themeColor="text1"/>
          <w:sz w:val="22"/>
          <w:szCs w:val="22"/>
        </w:rPr>
        <w:t xml:space="preserve"> </w:t>
      </w:r>
      <w:r w:rsidR="00867E6A">
        <w:rPr>
          <w:rFonts w:eastAsia="Arial" w:cs="Arial"/>
          <w:color w:val="000000" w:themeColor="text1"/>
          <w:sz w:val="22"/>
          <w:szCs w:val="22"/>
        </w:rPr>
        <w:t xml:space="preserve">single Output </w:t>
      </w:r>
      <w:r w:rsidR="00D4281C">
        <w:rPr>
          <w:rFonts w:eastAsia="Arial" w:cs="Arial"/>
          <w:color w:val="000000" w:themeColor="text1"/>
          <w:sz w:val="22"/>
          <w:szCs w:val="22"/>
        </w:rPr>
        <w:t>directly comparing the percentage of the portfolio in certification compared to GL</w:t>
      </w:r>
      <w:r w:rsidR="00770E92">
        <w:rPr>
          <w:rFonts w:eastAsia="Arial" w:cs="Arial"/>
          <w:color w:val="000000" w:themeColor="text1"/>
          <w:sz w:val="22"/>
          <w:szCs w:val="22"/>
        </w:rPr>
        <w:t>, that would also be easier to publish.</w:t>
      </w:r>
    </w:p>
    <w:p w14:paraId="17B42E8F" w14:textId="7D834E1E" w:rsidR="00CE3085" w:rsidRPr="009F7EB5" w:rsidRDefault="002D0B58" w:rsidP="009F7EB5">
      <w:pPr>
        <w:spacing w:before="120"/>
        <w:jc w:val="both"/>
        <w:rPr>
          <w:rFonts w:eastAsia="Arial" w:cs="Arial"/>
          <w:color w:val="000000" w:themeColor="text1"/>
          <w:sz w:val="22"/>
          <w:szCs w:val="22"/>
        </w:rPr>
      </w:pPr>
      <w:r>
        <w:rPr>
          <w:rFonts w:eastAsia="Arial" w:cs="Arial"/>
          <w:color w:val="000000" w:themeColor="text1"/>
          <w:sz w:val="22"/>
          <w:szCs w:val="22"/>
        </w:rPr>
        <w:t>Recommend re-weighting to 30%</w:t>
      </w:r>
      <w:r w:rsidR="009F7EB5">
        <w:rPr>
          <w:rFonts w:eastAsia="Arial" w:cs="Arial"/>
          <w:color w:val="000000" w:themeColor="text1"/>
          <w:sz w:val="22"/>
          <w:szCs w:val="22"/>
        </w:rPr>
        <w:t>, as t</w:t>
      </w:r>
      <w:r w:rsidR="009F7EB5" w:rsidRPr="009F7EB5">
        <w:rPr>
          <w:rFonts w:eastAsia="Arial" w:cs="Arial"/>
          <w:color w:val="000000" w:themeColor="text1"/>
          <w:sz w:val="22"/>
          <w:szCs w:val="22"/>
        </w:rPr>
        <w:t xml:space="preserve">his output essentially covers one aspect of the programme, the range of certifications and Green List measures, and the balance between the two. Re-weighting </w:t>
      </w:r>
      <w:r w:rsidR="009F7EB5">
        <w:rPr>
          <w:rFonts w:eastAsia="Arial" w:cs="Arial"/>
          <w:color w:val="000000" w:themeColor="text1"/>
          <w:sz w:val="22"/>
          <w:szCs w:val="22"/>
        </w:rPr>
        <w:t xml:space="preserve">will </w:t>
      </w:r>
      <w:r w:rsidR="009F7EB5" w:rsidRPr="009F7EB5">
        <w:rPr>
          <w:rFonts w:eastAsia="Arial" w:cs="Arial"/>
          <w:color w:val="000000" w:themeColor="text1"/>
          <w:sz w:val="22"/>
          <w:szCs w:val="22"/>
        </w:rPr>
        <w:t>allow more focus on TA</w:t>
      </w:r>
      <w:r w:rsidR="009F7EB5">
        <w:rPr>
          <w:rFonts w:eastAsia="Arial" w:cs="Arial"/>
          <w:color w:val="000000" w:themeColor="text1"/>
          <w:sz w:val="22"/>
          <w:szCs w:val="22"/>
        </w:rPr>
        <w:t>.</w:t>
      </w:r>
    </w:p>
    <w:p w14:paraId="206A0AF7" w14:textId="77777777" w:rsidR="00610AAC" w:rsidRPr="00A54B18" w:rsidRDefault="00610AAC" w:rsidP="005E557A">
      <w:pPr>
        <w:jc w:val="both"/>
        <w:rPr>
          <w:rFonts w:eastAsia="Arial" w:cs="Arial"/>
          <w:b/>
          <w:bCs/>
          <w:color w:val="000000" w:themeColor="text1"/>
        </w:rPr>
      </w:pPr>
    </w:p>
    <w:tbl>
      <w:tblPr>
        <w:tblStyle w:val="TableGrid"/>
        <w:tblW w:w="9073" w:type="dxa"/>
        <w:tblInd w:w="-147" w:type="dxa"/>
        <w:tblLook w:val="04A0" w:firstRow="1" w:lastRow="0" w:firstColumn="1" w:lastColumn="0" w:noHBand="0" w:noVBand="1"/>
      </w:tblPr>
      <w:tblGrid>
        <w:gridCol w:w="1692"/>
        <w:gridCol w:w="367"/>
        <w:gridCol w:w="744"/>
        <w:gridCol w:w="2419"/>
        <w:gridCol w:w="732"/>
        <w:gridCol w:w="1578"/>
        <w:gridCol w:w="1541"/>
      </w:tblGrid>
      <w:tr w:rsidR="00605E79" w:rsidRPr="00A54B18" w14:paraId="1838673D" w14:textId="6167DCBB" w:rsidTr="0014673F">
        <w:trPr>
          <w:trHeight w:val="467"/>
        </w:trPr>
        <w:tc>
          <w:tcPr>
            <w:tcW w:w="16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CE98ACF" w14:textId="77777777" w:rsidR="00EA2E37" w:rsidRPr="00A54B18" w:rsidRDefault="00EA2E37" w:rsidP="005E557A">
            <w:pPr>
              <w:rPr>
                <w:rFonts w:eastAsia="Arial" w:cs="Arial"/>
                <w:b/>
                <w:bCs/>
                <w:sz w:val="20"/>
                <w:szCs w:val="20"/>
              </w:rPr>
            </w:pPr>
            <w:r w:rsidRPr="00A54B18">
              <w:rPr>
                <w:rFonts w:eastAsia="Arial" w:cs="Arial"/>
                <w:b/>
                <w:bCs/>
                <w:sz w:val="20"/>
                <w:szCs w:val="20"/>
              </w:rPr>
              <w:t xml:space="preserve">Output Title </w:t>
            </w:r>
          </w:p>
        </w:tc>
        <w:tc>
          <w:tcPr>
            <w:tcW w:w="738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88BECAA" w14:textId="6F6E7307" w:rsidR="00EA2E37" w:rsidRPr="00A54B18" w:rsidRDefault="00EA2E37" w:rsidP="005E557A">
            <w:pPr>
              <w:rPr>
                <w:rStyle w:val="normaltextrun"/>
                <w:rFonts w:eastAsia="Arial" w:cs="Arial"/>
                <w:color w:val="000000"/>
                <w:sz w:val="22"/>
                <w:szCs w:val="22"/>
                <w:shd w:val="clear" w:color="auto" w:fill="FFFFFF"/>
              </w:rPr>
            </w:pPr>
            <w:r w:rsidRPr="00A54B18">
              <w:rPr>
                <w:rStyle w:val="normaltextrun"/>
                <w:rFonts w:eastAsia="Arial" w:cs="Arial"/>
                <w:color w:val="000000"/>
                <w:sz w:val="22"/>
                <w:szCs w:val="22"/>
                <w:shd w:val="clear" w:color="auto" w:fill="FFFFFF"/>
              </w:rPr>
              <w:t>Provision of continuous and sufficient Technical Assistance</w:t>
            </w:r>
            <w:r w:rsidRPr="00A54B18">
              <w:rPr>
                <w:rStyle w:val="eop"/>
                <w:rFonts w:eastAsia="Arial" w:cs="Arial"/>
                <w:color w:val="000000"/>
                <w:sz w:val="22"/>
                <w:szCs w:val="22"/>
                <w:shd w:val="clear" w:color="auto" w:fill="FFFFFF"/>
              </w:rPr>
              <w:t> </w:t>
            </w:r>
          </w:p>
        </w:tc>
      </w:tr>
      <w:tr w:rsidR="00F45458" w:rsidRPr="00A54B18" w14:paraId="30904444" w14:textId="7C2A6F7A" w:rsidTr="0014673F">
        <w:trPr>
          <w:trHeight w:val="331"/>
        </w:trPr>
        <w:tc>
          <w:tcPr>
            <w:tcW w:w="205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FF8E99" w14:textId="77777777" w:rsidR="00EA2E37" w:rsidRPr="00A54B18" w:rsidRDefault="00EA2E37" w:rsidP="005E557A">
            <w:pPr>
              <w:rPr>
                <w:rFonts w:eastAsia="Arial" w:cs="Arial"/>
                <w:sz w:val="20"/>
                <w:szCs w:val="20"/>
              </w:rPr>
            </w:pPr>
            <w:r w:rsidRPr="00A54B18">
              <w:rPr>
                <w:rFonts w:eastAsia="Arial" w:cs="Arial"/>
                <w:sz w:val="20"/>
                <w:szCs w:val="20"/>
              </w:rPr>
              <w:t xml:space="preserve">Output number: </w:t>
            </w:r>
          </w:p>
        </w:tc>
        <w:tc>
          <w:tcPr>
            <w:tcW w:w="744" w:type="dxa"/>
            <w:tcBorders>
              <w:top w:val="single" w:sz="4" w:space="0" w:color="auto"/>
              <w:left w:val="single" w:sz="4" w:space="0" w:color="auto"/>
              <w:bottom w:val="single" w:sz="4" w:space="0" w:color="auto"/>
              <w:right w:val="single" w:sz="4" w:space="0" w:color="auto"/>
            </w:tcBorders>
          </w:tcPr>
          <w:p w14:paraId="606C7DD3" w14:textId="3C732C6A" w:rsidR="00EA2E37" w:rsidRPr="00A54B18" w:rsidRDefault="00EA2E37" w:rsidP="005E557A">
            <w:pPr>
              <w:rPr>
                <w:rFonts w:eastAsia="Arial" w:cs="Arial"/>
                <w:sz w:val="20"/>
                <w:szCs w:val="20"/>
              </w:rPr>
            </w:pPr>
            <w:r w:rsidRPr="00A54B18">
              <w:rPr>
                <w:rFonts w:eastAsia="Arial" w:cs="Arial"/>
                <w:sz w:val="20"/>
                <w:szCs w:val="20"/>
              </w:rPr>
              <w:t>3</w:t>
            </w:r>
          </w:p>
        </w:tc>
        <w:tc>
          <w:tcPr>
            <w:tcW w:w="241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3B8035" w14:textId="77777777" w:rsidR="00EA2E37" w:rsidRPr="00A54B18" w:rsidRDefault="00EA2E37" w:rsidP="005E557A">
            <w:pPr>
              <w:rPr>
                <w:rFonts w:eastAsia="Arial" w:cs="Arial"/>
                <w:sz w:val="20"/>
                <w:szCs w:val="20"/>
              </w:rPr>
            </w:pPr>
            <w:r w:rsidRPr="00A54B18">
              <w:rPr>
                <w:rFonts w:eastAsia="Arial" w:cs="Arial"/>
                <w:sz w:val="20"/>
                <w:szCs w:val="20"/>
              </w:rPr>
              <w:t xml:space="preserve">Output Score: </w:t>
            </w:r>
          </w:p>
        </w:tc>
        <w:tc>
          <w:tcPr>
            <w:tcW w:w="3851" w:type="dxa"/>
            <w:gridSpan w:val="3"/>
            <w:tcBorders>
              <w:top w:val="single" w:sz="4" w:space="0" w:color="auto"/>
              <w:left w:val="single" w:sz="4" w:space="0" w:color="auto"/>
              <w:bottom w:val="single" w:sz="4" w:space="0" w:color="auto"/>
              <w:right w:val="single" w:sz="4" w:space="0" w:color="auto"/>
            </w:tcBorders>
          </w:tcPr>
          <w:p w14:paraId="0303A857" w14:textId="413F53CD" w:rsidR="00EA2E37" w:rsidRPr="00A54B18" w:rsidRDefault="00EA2E37" w:rsidP="005E557A">
            <w:pPr>
              <w:rPr>
                <w:rFonts w:eastAsia="Arial" w:cs="Arial"/>
                <w:b/>
                <w:bCs/>
                <w:sz w:val="20"/>
                <w:szCs w:val="20"/>
              </w:rPr>
            </w:pPr>
            <w:r w:rsidRPr="00A54B18">
              <w:rPr>
                <w:rFonts w:eastAsia="Arial" w:cs="Arial"/>
                <w:b/>
                <w:bCs/>
                <w:sz w:val="20"/>
                <w:szCs w:val="20"/>
              </w:rPr>
              <w:t>A+</w:t>
            </w:r>
          </w:p>
        </w:tc>
      </w:tr>
      <w:tr w:rsidR="00F45458" w:rsidRPr="00A54B18" w14:paraId="3E2C7797" w14:textId="3EB872AD" w:rsidTr="0014673F">
        <w:trPr>
          <w:trHeight w:val="329"/>
        </w:trPr>
        <w:tc>
          <w:tcPr>
            <w:tcW w:w="205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E245455" w14:textId="77777777" w:rsidR="00EA2E37" w:rsidRPr="00A54B18" w:rsidRDefault="00EA2E37" w:rsidP="005E557A">
            <w:pPr>
              <w:rPr>
                <w:rFonts w:eastAsia="Arial" w:cs="Arial"/>
                <w:sz w:val="20"/>
                <w:szCs w:val="20"/>
              </w:rPr>
            </w:pPr>
            <w:r w:rsidRPr="00A54B18">
              <w:rPr>
                <w:rFonts w:eastAsia="Arial" w:cs="Arial"/>
                <w:sz w:val="20"/>
                <w:szCs w:val="20"/>
              </w:rPr>
              <w:t xml:space="preserve">Impact weighting (%):  </w:t>
            </w:r>
          </w:p>
        </w:tc>
        <w:tc>
          <w:tcPr>
            <w:tcW w:w="744" w:type="dxa"/>
            <w:tcBorders>
              <w:top w:val="single" w:sz="4" w:space="0" w:color="auto"/>
              <w:left w:val="single" w:sz="4" w:space="0" w:color="auto"/>
              <w:bottom w:val="single" w:sz="4" w:space="0" w:color="auto"/>
              <w:right w:val="single" w:sz="4" w:space="0" w:color="auto"/>
            </w:tcBorders>
          </w:tcPr>
          <w:p w14:paraId="1D46A101" w14:textId="4276A7E4" w:rsidR="00EA2E37" w:rsidRPr="00A54B18" w:rsidRDefault="00EA2E37" w:rsidP="005E557A">
            <w:pPr>
              <w:rPr>
                <w:rFonts w:eastAsia="Arial" w:cs="Arial"/>
                <w:sz w:val="20"/>
                <w:szCs w:val="20"/>
              </w:rPr>
            </w:pPr>
            <w:r w:rsidRPr="00A54B18">
              <w:rPr>
                <w:rFonts w:eastAsia="Arial" w:cs="Arial"/>
                <w:sz w:val="20"/>
                <w:szCs w:val="20"/>
              </w:rPr>
              <w:t>15</w:t>
            </w:r>
          </w:p>
        </w:tc>
        <w:tc>
          <w:tcPr>
            <w:tcW w:w="241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322A60E" w14:textId="2FF2D427" w:rsidR="00EA2E37" w:rsidRPr="00A54B18" w:rsidRDefault="00EA2E37" w:rsidP="005E557A">
            <w:pPr>
              <w:rPr>
                <w:rFonts w:eastAsia="Arial" w:cs="Arial"/>
                <w:sz w:val="20"/>
                <w:szCs w:val="20"/>
              </w:rPr>
            </w:pPr>
            <w:r w:rsidRPr="00A54B18">
              <w:rPr>
                <w:rFonts w:eastAsia="Arial" w:cs="Arial"/>
                <w:sz w:val="20"/>
                <w:szCs w:val="20"/>
              </w:rPr>
              <w:t xml:space="preserve">Weighting revised since last </w:t>
            </w:r>
            <w:proofErr w:type="gramStart"/>
            <w:r w:rsidRPr="00A54B18">
              <w:rPr>
                <w:rFonts w:eastAsia="Arial" w:cs="Arial"/>
                <w:sz w:val="20"/>
                <w:szCs w:val="20"/>
              </w:rPr>
              <w:t>AR?</w:t>
            </w:r>
            <w:proofErr w:type="gramEnd"/>
            <w:r w:rsidRPr="00A54B18">
              <w:rPr>
                <w:rFonts w:eastAsia="Arial" w:cs="Arial"/>
                <w:sz w:val="20"/>
                <w:szCs w:val="20"/>
              </w:rPr>
              <w:t xml:space="preserve"> </w:t>
            </w:r>
          </w:p>
        </w:tc>
        <w:tc>
          <w:tcPr>
            <w:tcW w:w="3851" w:type="dxa"/>
            <w:gridSpan w:val="3"/>
            <w:tcBorders>
              <w:top w:val="single" w:sz="4" w:space="0" w:color="auto"/>
              <w:left w:val="single" w:sz="4" w:space="0" w:color="auto"/>
              <w:bottom w:val="single" w:sz="4" w:space="0" w:color="auto"/>
              <w:right w:val="single" w:sz="4" w:space="0" w:color="auto"/>
            </w:tcBorders>
          </w:tcPr>
          <w:p w14:paraId="451425E6" w14:textId="105EBCA4" w:rsidR="00EA2E37" w:rsidRPr="00A54B18" w:rsidRDefault="00EA2E37" w:rsidP="005E557A">
            <w:pPr>
              <w:rPr>
                <w:rFonts w:eastAsia="Arial" w:cs="Arial"/>
                <w:sz w:val="20"/>
                <w:szCs w:val="20"/>
              </w:rPr>
            </w:pPr>
            <w:r w:rsidRPr="00A54B18">
              <w:rPr>
                <w:rFonts w:eastAsia="Arial" w:cs="Arial"/>
                <w:sz w:val="20"/>
                <w:szCs w:val="20"/>
              </w:rPr>
              <w:t>No</w:t>
            </w:r>
          </w:p>
        </w:tc>
      </w:tr>
      <w:tr w:rsidR="004D4937" w:rsidRPr="00A54B18" w14:paraId="13B39467" w14:textId="7BBE91D6" w:rsidTr="0014673F">
        <w:trPr>
          <w:trHeight w:val="261"/>
        </w:trPr>
        <w:tc>
          <w:tcPr>
            <w:tcW w:w="5954"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289BDE1" w14:textId="68675FDC" w:rsidR="008E01DF" w:rsidRPr="00A54B18" w:rsidRDefault="008E01DF" w:rsidP="005E557A">
            <w:pPr>
              <w:rPr>
                <w:rFonts w:eastAsia="Arial" w:cs="Arial"/>
                <w:b/>
                <w:bCs/>
                <w:sz w:val="20"/>
                <w:szCs w:val="20"/>
              </w:rPr>
            </w:pPr>
            <w:r w:rsidRPr="00A54B18">
              <w:rPr>
                <w:rFonts w:eastAsia="Arial" w:cs="Arial"/>
                <w:b/>
                <w:bCs/>
                <w:sz w:val="20"/>
                <w:szCs w:val="20"/>
              </w:rPr>
              <w:t>Indicator</w:t>
            </w:r>
          </w:p>
        </w:tc>
        <w:tc>
          <w:tcPr>
            <w:tcW w:w="157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C6CE9E3" w14:textId="7BCBC2C9" w:rsidR="008E01DF" w:rsidRPr="00A54B18" w:rsidRDefault="008E01DF" w:rsidP="00EA2E37">
            <w:pPr>
              <w:jc w:val="center"/>
              <w:rPr>
                <w:rFonts w:eastAsia="Arial" w:cs="Arial"/>
                <w:b/>
                <w:bCs/>
                <w:sz w:val="20"/>
                <w:szCs w:val="20"/>
              </w:rPr>
            </w:pPr>
            <w:r w:rsidRPr="00A54B18">
              <w:rPr>
                <w:rFonts w:eastAsia="Arial" w:cs="Arial"/>
                <w:b/>
                <w:bCs/>
                <w:sz w:val="20"/>
                <w:szCs w:val="20"/>
              </w:rPr>
              <w:t>Milestone</w:t>
            </w:r>
          </w:p>
        </w:tc>
        <w:tc>
          <w:tcPr>
            <w:tcW w:w="154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00CAD4" w14:textId="5485F4A2" w:rsidR="008E01DF" w:rsidRPr="00A54B18" w:rsidRDefault="008E01DF" w:rsidP="00EA2E37">
            <w:pPr>
              <w:jc w:val="center"/>
              <w:rPr>
                <w:rFonts w:eastAsia="Arial" w:cs="Arial"/>
                <w:b/>
                <w:bCs/>
                <w:sz w:val="20"/>
                <w:szCs w:val="20"/>
              </w:rPr>
            </w:pPr>
            <w:r w:rsidRPr="00A54B18">
              <w:rPr>
                <w:rFonts w:eastAsia="Arial" w:cs="Arial"/>
                <w:b/>
                <w:bCs/>
                <w:sz w:val="20"/>
                <w:szCs w:val="20"/>
              </w:rPr>
              <w:t>Progress</w:t>
            </w:r>
          </w:p>
        </w:tc>
      </w:tr>
      <w:tr w:rsidR="004D4937" w:rsidRPr="00A54B18" w14:paraId="30D6381D" w14:textId="7D13A0CE" w:rsidTr="00993E73">
        <w:trPr>
          <w:trHeight w:val="286"/>
        </w:trPr>
        <w:tc>
          <w:tcPr>
            <w:tcW w:w="5954" w:type="dxa"/>
            <w:gridSpan w:val="5"/>
            <w:tcBorders>
              <w:top w:val="single" w:sz="4" w:space="0" w:color="auto"/>
              <w:left w:val="single" w:sz="4" w:space="0" w:color="auto"/>
              <w:bottom w:val="single" w:sz="4" w:space="0" w:color="auto"/>
              <w:right w:val="single" w:sz="4" w:space="0" w:color="auto"/>
            </w:tcBorders>
          </w:tcPr>
          <w:p w14:paraId="779C877A" w14:textId="284827E1" w:rsidR="008E01DF" w:rsidRPr="00A54B18" w:rsidRDefault="008E01DF" w:rsidP="005E557A">
            <w:pPr>
              <w:rPr>
                <w:rFonts w:eastAsia="Arial" w:cs="Arial"/>
                <w:sz w:val="20"/>
                <w:szCs w:val="20"/>
              </w:rPr>
            </w:pPr>
            <w:r w:rsidRPr="00A54B18">
              <w:rPr>
                <w:rStyle w:val="normaltextrun"/>
                <w:rFonts w:eastAsia="Arial" w:cs="Arial"/>
                <w:color w:val="000000"/>
                <w:sz w:val="22"/>
                <w:szCs w:val="22"/>
                <w:shd w:val="clear" w:color="auto" w:fill="FFFFFF"/>
              </w:rPr>
              <w:t>3.1 Number of on-going/outstanding TA projects</w:t>
            </w:r>
            <w:r w:rsidRPr="00A54B18">
              <w:rPr>
                <w:rStyle w:val="eop"/>
                <w:rFonts w:eastAsia="Arial" w:cs="Arial"/>
                <w:color w:val="000000"/>
                <w:sz w:val="22"/>
                <w:szCs w:val="22"/>
                <w:shd w:val="clear" w:color="auto" w:fill="FFFFFF"/>
              </w:rPr>
              <w:t> </w:t>
            </w:r>
          </w:p>
        </w:tc>
        <w:tc>
          <w:tcPr>
            <w:tcW w:w="1578" w:type="dxa"/>
            <w:tcBorders>
              <w:top w:val="single" w:sz="4" w:space="0" w:color="auto"/>
              <w:left w:val="single" w:sz="4" w:space="0" w:color="auto"/>
              <w:bottom w:val="single" w:sz="4" w:space="0" w:color="auto"/>
              <w:right w:val="single" w:sz="4" w:space="0" w:color="auto"/>
            </w:tcBorders>
          </w:tcPr>
          <w:p w14:paraId="51A82F59" w14:textId="3C8FED18" w:rsidR="008E01DF" w:rsidRPr="00C427B8" w:rsidRDefault="008E01DF" w:rsidP="00EA2E37">
            <w:pPr>
              <w:jc w:val="center"/>
              <w:rPr>
                <w:rFonts w:eastAsia="Arial" w:cs="Arial"/>
                <w:sz w:val="22"/>
                <w:szCs w:val="22"/>
              </w:rPr>
            </w:pPr>
            <w:r w:rsidRPr="00C427B8">
              <w:rPr>
                <w:rFonts w:eastAsia="Arial" w:cs="Arial"/>
                <w:sz w:val="22"/>
                <w:szCs w:val="22"/>
              </w:rPr>
              <w:t>28</w:t>
            </w:r>
          </w:p>
        </w:tc>
        <w:tc>
          <w:tcPr>
            <w:tcW w:w="15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EDB5C61" w14:textId="39A966BE" w:rsidR="008E01DF" w:rsidRPr="00C427B8" w:rsidRDefault="008E01DF" w:rsidP="00EA2E37">
            <w:pPr>
              <w:jc w:val="center"/>
              <w:rPr>
                <w:rFonts w:eastAsia="Arial" w:cs="Arial"/>
                <w:sz w:val="22"/>
                <w:szCs w:val="22"/>
              </w:rPr>
            </w:pPr>
            <w:r w:rsidRPr="00C427B8">
              <w:rPr>
                <w:rFonts w:eastAsia="Arial" w:cs="Arial"/>
                <w:sz w:val="22"/>
                <w:szCs w:val="22"/>
              </w:rPr>
              <w:t>39</w:t>
            </w:r>
            <w:r w:rsidR="00DB7E62" w:rsidRPr="00C427B8">
              <w:rPr>
                <w:sz w:val="22"/>
                <w:szCs w:val="22"/>
              </w:rPr>
              <w:t xml:space="preserve"> (+8)</w:t>
            </w:r>
          </w:p>
        </w:tc>
      </w:tr>
      <w:tr w:rsidR="004D4937" w:rsidRPr="00A54B18" w14:paraId="52434AD0" w14:textId="70CDCF20" w:rsidTr="00993E73">
        <w:trPr>
          <w:trHeight w:val="286"/>
        </w:trPr>
        <w:tc>
          <w:tcPr>
            <w:tcW w:w="5954" w:type="dxa"/>
            <w:gridSpan w:val="5"/>
            <w:tcBorders>
              <w:top w:val="single" w:sz="4" w:space="0" w:color="auto"/>
              <w:left w:val="single" w:sz="4" w:space="0" w:color="auto"/>
              <w:bottom w:val="single" w:sz="4" w:space="0" w:color="auto"/>
              <w:right w:val="single" w:sz="4" w:space="0" w:color="auto"/>
            </w:tcBorders>
          </w:tcPr>
          <w:p w14:paraId="6EA9CA41" w14:textId="72955F90" w:rsidR="008E01DF" w:rsidRPr="00A54B18" w:rsidRDefault="008E01DF" w:rsidP="005E557A">
            <w:pPr>
              <w:rPr>
                <w:rFonts w:eastAsia="Arial" w:cs="Arial"/>
                <w:sz w:val="20"/>
                <w:szCs w:val="20"/>
              </w:rPr>
            </w:pPr>
            <w:r w:rsidRPr="00A54B18">
              <w:rPr>
                <w:rStyle w:val="normaltextrun"/>
                <w:rFonts w:eastAsia="Arial" w:cs="Arial"/>
                <w:color w:val="000000"/>
                <w:sz w:val="22"/>
                <w:szCs w:val="22"/>
                <w:shd w:val="clear" w:color="auto" w:fill="FFFFFF"/>
              </w:rPr>
              <w:t>3.2 Number of financial institutions supported</w:t>
            </w:r>
            <w:r w:rsidRPr="00A54B18">
              <w:rPr>
                <w:rStyle w:val="eop"/>
                <w:rFonts w:eastAsia="Arial" w:cs="Arial"/>
                <w:color w:val="000000"/>
                <w:sz w:val="22"/>
                <w:szCs w:val="22"/>
                <w:shd w:val="clear" w:color="auto" w:fill="FFFFFF"/>
              </w:rPr>
              <w:t> </w:t>
            </w:r>
          </w:p>
        </w:tc>
        <w:tc>
          <w:tcPr>
            <w:tcW w:w="1578" w:type="dxa"/>
            <w:tcBorders>
              <w:top w:val="single" w:sz="4" w:space="0" w:color="auto"/>
              <w:left w:val="single" w:sz="4" w:space="0" w:color="auto"/>
              <w:bottom w:val="single" w:sz="4" w:space="0" w:color="auto"/>
              <w:right w:val="single" w:sz="4" w:space="0" w:color="auto"/>
            </w:tcBorders>
          </w:tcPr>
          <w:p w14:paraId="5B63DD30" w14:textId="62D846AD" w:rsidR="008E01DF" w:rsidRPr="00C427B8" w:rsidRDefault="008E01DF" w:rsidP="00EA2E37">
            <w:pPr>
              <w:jc w:val="center"/>
              <w:rPr>
                <w:rFonts w:eastAsia="Arial" w:cs="Arial"/>
                <w:sz w:val="22"/>
                <w:szCs w:val="22"/>
              </w:rPr>
            </w:pPr>
            <w:r w:rsidRPr="00C427B8">
              <w:rPr>
                <w:rFonts w:eastAsia="Arial" w:cs="Arial"/>
                <w:sz w:val="22"/>
                <w:szCs w:val="22"/>
              </w:rPr>
              <w:t>18</w:t>
            </w:r>
          </w:p>
        </w:tc>
        <w:tc>
          <w:tcPr>
            <w:tcW w:w="15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C909AC4" w14:textId="0A94FC81" w:rsidR="008E01DF" w:rsidRPr="00C427B8" w:rsidRDefault="008E01DF" w:rsidP="00EA2E37">
            <w:pPr>
              <w:jc w:val="center"/>
              <w:rPr>
                <w:rFonts w:eastAsia="Arial" w:cs="Arial"/>
                <w:sz w:val="22"/>
                <w:szCs w:val="22"/>
              </w:rPr>
            </w:pPr>
            <w:r w:rsidRPr="00C427B8">
              <w:rPr>
                <w:rFonts w:eastAsia="Arial" w:cs="Arial"/>
                <w:sz w:val="22"/>
                <w:szCs w:val="22"/>
              </w:rPr>
              <w:t>27</w:t>
            </w:r>
            <w:r w:rsidR="00DB7E62" w:rsidRPr="00C427B8">
              <w:rPr>
                <w:sz w:val="22"/>
                <w:szCs w:val="22"/>
              </w:rPr>
              <w:t xml:space="preserve"> (+4)</w:t>
            </w:r>
          </w:p>
        </w:tc>
      </w:tr>
      <w:tr w:rsidR="004D4937" w:rsidRPr="00A54B18" w14:paraId="72684F23" w14:textId="1F712405" w:rsidTr="00993E73">
        <w:trPr>
          <w:trHeight w:val="286"/>
        </w:trPr>
        <w:tc>
          <w:tcPr>
            <w:tcW w:w="5954" w:type="dxa"/>
            <w:gridSpan w:val="5"/>
            <w:tcBorders>
              <w:top w:val="single" w:sz="4" w:space="0" w:color="auto"/>
              <w:left w:val="single" w:sz="4" w:space="0" w:color="auto"/>
              <w:bottom w:val="single" w:sz="4" w:space="0" w:color="auto"/>
              <w:right w:val="single" w:sz="4" w:space="0" w:color="auto"/>
            </w:tcBorders>
          </w:tcPr>
          <w:p w14:paraId="1F58785B" w14:textId="438CA0DE" w:rsidR="008E01DF" w:rsidRPr="00A54B18" w:rsidRDefault="008E01DF" w:rsidP="005E557A">
            <w:pPr>
              <w:rPr>
                <w:rFonts w:eastAsia="Arial" w:cs="Arial"/>
                <w:sz w:val="20"/>
                <w:szCs w:val="20"/>
              </w:rPr>
            </w:pPr>
            <w:r w:rsidRPr="00A54B18">
              <w:rPr>
                <w:rStyle w:val="normaltextrun"/>
                <w:rFonts w:eastAsia="Arial" w:cs="Arial"/>
                <w:color w:val="000000"/>
                <w:sz w:val="22"/>
                <w:szCs w:val="22"/>
                <w:shd w:val="clear" w:color="auto" w:fill="FFFFFF"/>
              </w:rPr>
              <w:t>3.3 Number of completed TA projects</w:t>
            </w:r>
            <w:r w:rsidRPr="00A54B18">
              <w:rPr>
                <w:rStyle w:val="eop"/>
                <w:rFonts w:eastAsia="Arial" w:cs="Arial"/>
                <w:color w:val="000000"/>
                <w:sz w:val="22"/>
                <w:szCs w:val="22"/>
                <w:shd w:val="clear" w:color="auto" w:fill="FFFFFF"/>
              </w:rPr>
              <w:t> </w:t>
            </w:r>
          </w:p>
        </w:tc>
        <w:tc>
          <w:tcPr>
            <w:tcW w:w="1578" w:type="dxa"/>
            <w:tcBorders>
              <w:top w:val="single" w:sz="4" w:space="0" w:color="auto"/>
              <w:left w:val="single" w:sz="4" w:space="0" w:color="auto"/>
              <w:bottom w:val="single" w:sz="4" w:space="0" w:color="auto"/>
              <w:right w:val="single" w:sz="4" w:space="0" w:color="auto"/>
            </w:tcBorders>
          </w:tcPr>
          <w:p w14:paraId="200E076A" w14:textId="1B5CEC12" w:rsidR="008E01DF" w:rsidRPr="00C427B8" w:rsidRDefault="008E01DF" w:rsidP="00EA2E37">
            <w:pPr>
              <w:jc w:val="center"/>
              <w:rPr>
                <w:rFonts w:eastAsia="Arial" w:cs="Arial"/>
                <w:sz w:val="22"/>
                <w:szCs w:val="22"/>
              </w:rPr>
            </w:pPr>
            <w:r w:rsidRPr="00C427B8">
              <w:rPr>
                <w:rFonts w:eastAsia="Arial" w:cs="Arial"/>
                <w:sz w:val="22"/>
                <w:szCs w:val="22"/>
              </w:rPr>
              <w:t>76</w:t>
            </w:r>
          </w:p>
        </w:tc>
        <w:tc>
          <w:tcPr>
            <w:tcW w:w="15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53F2481" w14:textId="0951B356" w:rsidR="008E01DF" w:rsidRPr="00C427B8" w:rsidRDefault="008E01DF" w:rsidP="00EA2E37">
            <w:pPr>
              <w:jc w:val="center"/>
              <w:rPr>
                <w:rFonts w:eastAsia="Arial" w:cs="Arial"/>
                <w:sz w:val="22"/>
                <w:szCs w:val="22"/>
              </w:rPr>
            </w:pPr>
            <w:r w:rsidRPr="00C427B8">
              <w:rPr>
                <w:rFonts w:eastAsia="Arial" w:cs="Arial"/>
                <w:sz w:val="22"/>
                <w:szCs w:val="22"/>
              </w:rPr>
              <w:t>84</w:t>
            </w:r>
            <w:r w:rsidR="00DB7E62" w:rsidRPr="00C427B8">
              <w:rPr>
                <w:sz w:val="22"/>
                <w:szCs w:val="22"/>
              </w:rPr>
              <w:t xml:space="preserve"> (+18)</w:t>
            </w:r>
          </w:p>
        </w:tc>
      </w:tr>
      <w:tr w:rsidR="004D4937" w:rsidRPr="00A54B18" w14:paraId="5714D70E" w14:textId="4477A98F" w:rsidTr="00993E73">
        <w:trPr>
          <w:trHeight w:val="286"/>
        </w:trPr>
        <w:tc>
          <w:tcPr>
            <w:tcW w:w="5954" w:type="dxa"/>
            <w:gridSpan w:val="5"/>
            <w:tcBorders>
              <w:top w:val="single" w:sz="4" w:space="0" w:color="auto"/>
              <w:left w:val="single" w:sz="4" w:space="0" w:color="auto"/>
              <w:bottom w:val="single" w:sz="4" w:space="0" w:color="auto"/>
              <w:right w:val="single" w:sz="4" w:space="0" w:color="auto"/>
            </w:tcBorders>
          </w:tcPr>
          <w:p w14:paraId="26B0EF99" w14:textId="1DE54834" w:rsidR="008E01DF" w:rsidRPr="00A54B18" w:rsidRDefault="008E01DF" w:rsidP="005E557A">
            <w:pPr>
              <w:rPr>
                <w:rFonts w:eastAsia="Arial" w:cs="Arial"/>
                <w:sz w:val="20"/>
                <w:szCs w:val="20"/>
              </w:rPr>
            </w:pPr>
            <w:r w:rsidRPr="00A54B18">
              <w:rPr>
                <w:rStyle w:val="normaltextrun"/>
                <w:rFonts w:eastAsia="Arial" w:cs="Arial"/>
                <w:color w:val="000000"/>
                <w:sz w:val="22"/>
                <w:szCs w:val="22"/>
                <w:shd w:val="clear" w:color="auto" w:fill="FFFFFF"/>
              </w:rPr>
              <w:t>3.4 Budget spent on TA projects ($million)</w:t>
            </w:r>
            <w:r w:rsidRPr="00A54B18">
              <w:rPr>
                <w:rStyle w:val="eop"/>
                <w:rFonts w:eastAsia="Arial" w:cs="Arial"/>
                <w:color w:val="000000"/>
                <w:sz w:val="22"/>
                <w:szCs w:val="22"/>
                <w:shd w:val="clear" w:color="auto" w:fill="FFFFFF"/>
              </w:rPr>
              <w:t> </w:t>
            </w:r>
          </w:p>
        </w:tc>
        <w:tc>
          <w:tcPr>
            <w:tcW w:w="1578" w:type="dxa"/>
            <w:tcBorders>
              <w:top w:val="single" w:sz="4" w:space="0" w:color="auto"/>
              <w:left w:val="single" w:sz="4" w:space="0" w:color="auto"/>
              <w:bottom w:val="single" w:sz="4" w:space="0" w:color="auto"/>
              <w:right w:val="single" w:sz="4" w:space="0" w:color="auto"/>
            </w:tcBorders>
          </w:tcPr>
          <w:p w14:paraId="6CE47A0D" w14:textId="1C8318BC" w:rsidR="008E01DF" w:rsidRPr="00C427B8" w:rsidRDefault="008E01DF" w:rsidP="00EA2E37">
            <w:pPr>
              <w:jc w:val="center"/>
              <w:rPr>
                <w:rFonts w:eastAsia="Arial" w:cs="Arial"/>
                <w:sz w:val="22"/>
                <w:szCs w:val="22"/>
              </w:rPr>
            </w:pPr>
            <w:r w:rsidRPr="00C427B8">
              <w:rPr>
                <w:rFonts w:eastAsia="Arial" w:cs="Arial"/>
                <w:sz w:val="22"/>
                <w:szCs w:val="22"/>
              </w:rPr>
              <w:t>6.4</w:t>
            </w:r>
          </w:p>
        </w:tc>
        <w:tc>
          <w:tcPr>
            <w:tcW w:w="15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42B2AC7" w14:textId="2FA473F7" w:rsidR="008E01DF" w:rsidRPr="00C427B8" w:rsidRDefault="008E01DF" w:rsidP="00EA2E37">
            <w:pPr>
              <w:jc w:val="center"/>
              <w:rPr>
                <w:rFonts w:eastAsia="Arial" w:cs="Arial"/>
                <w:sz w:val="22"/>
                <w:szCs w:val="22"/>
              </w:rPr>
            </w:pPr>
            <w:r w:rsidRPr="00C427B8">
              <w:rPr>
                <w:rFonts w:eastAsia="Arial" w:cs="Arial"/>
                <w:sz w:val="22"/>
                <w:szCs w:val="22"/>
              </w:rPr>
              <w:t>5.8</w:t>
            </w:r>
            <w:r w:rsidR="00DB7E62" w:rsidRPr="00C427B8">
              <w:rPr>
                <w:sz w:val="22"/>
                <w:szCs w:val="22"/>
              </w:rPr>
              <w:t xml:space="preserve"> (+</w:t>
            </w:r>
            <w:r w:rsidR="00C427B8" w:rsidRPr="00C427B8">
              <w:rPr>
                <w:sz w:val="22"/>
                <w:szCs w:val="22"/>
              </w:rPr>
              <w:t>0.7</w:t>
            </w:r>
            <w:r w:rsidR="00DB7E62" w:rsidRPr="00C427B8">
              <w:rPr>
                <w:sz w:val="22"/>
                <w:szCs w:val="22"/>
              </w:rPr>
              <w:t>)</w:t>
            </w:r>
          </w:p>
        </w:tc>
      </w:tr>
      <w:tr w:rsidR="008E01DF" w:rsidRPr="00A54B18" w14:paraId="20F80390" w14:textId="77777777" w:rsidTr="0014673F">
        <w:trPr>
          <w:trHeight w:val="286"/>
        </w:trPr>
        <w:tc>
          <w:tcPr>
            <w:tcW w:w="5954" w:type="dxa"/>
            <w:gridSpan w:val="5"/>
            <w:tcBorders>
              <w:top w:val="single" w:sz="4" w:space="0" w:color="auto"/>
              <w:left w:val="single" w:sz="4" w:space="0" w:color="auto"/>
              <w:bottom w:val="single" w:sz="4" w:space="0" w:color="auto"/>
              <w:right w:val="single" w:sz="4" w:space="0" w:color="auto"/>
            </w:tcBorders>
          </w:tcPr>
          <w:p w14:paraId="51D5A58C" w14:textId="2BB7A284" w:rsidR="008E01DF" w:rsidRPr="002B3CD6" w:rsidRDefault="008E01DF" w:rsidP="005E557A">
            <w:pPr>
              <w:rPr>
                <w:rStyle w:val="normaltextrun"/>
                <w:rFonts w:eastAsia="Arial" w:cs="Arial"/>
                <w:color w:val="000000"/>
                <w:sz w:val="22"/>
                <w:szCs w:val="22"/>
                <w:shd w:val="clear" w:color="auto" w:fill="FFFFFF"/>
              </w:rPr>
            </w:pPr>
            <w:r w:rsidRPr="002B3CD6">
              <w:rPr>
                <w:rStyle w:val="normaltextrun"/>
                <w:rFonts w:eastAsia="Arial" w:cs="Arial"/>
                <w:color w:val="000000"/>
                <w:sz w:val="22"/>
                <w:szCs w:val="22"/>
                <w:shd w:val="clear" w:color="auto" w:fill="FFFFFF"/>
              </w:rPr>
              <w:t>3</w:t>
            </w:r>
            <w:r w:rsidRPr="002B3CD6">
              <w:rPr>
                <w:rStyle w:val="normaltextrun"/>
                <w:rFonts w:eastAsia="Arial"/>
                <w:color w:val="000000"/>
                <w:sz w:val="22"/>
                <w:szCs w:val="22"/>
                <w:shd w:val="clear" w:color="auto" w:fill="FFFFFF"/>
              </w:rPr>
              <w:t>.5 Number of countries receiving TA (TA KPI 1)</w:t>
            </w:r>
          </w:p>
        </w:tc>
        <w:tc>
          <w:tcPr>
            <w:tcW w:w="1578" w:type="dxa"/>
            <w:tcBorders>
              <w:top w:val="single" w:sz="4" w:space="0" w:color="auto"/>
              <w:left w:val="single" w:sz="4" w:space="0" w:color="auto"/>
              <w:bottom w:val="single" w:sz="4" w:space="0" w:color="auto"/>
              <w:right w:val="single" w:sz="4" w:space="0" w:color="auto"/>
            </w:tcBorders>
          </w:tcPr>
          <w:p w14:paraId="0C3CCCE5" w14:textId="20783EE4" w:rsidR="008E01DF" w:rsidRPr="00C427B8" w:rsidRDefault="00AA70BB" w:rsidP="00EA2E37">
            <w:pPr>
              <w:jc w:val="center"/>
              <w:rPr>
                <w:rFonts w:eastAsia="Arial" w:cs="Arial"/>
                <w:sz w:val="22"/>
                <w:szCs w:val="22"/>
              </w:rPr>
            </w:pPr>
            <w:r w:rsidRPr="00C427B8">
              <w:rPr>
                <w:rFonts w:eastAsia="Arial" w:cs="Arial"/>
                <w:sz w:val="22"/>
                <w:szCs w:val="22"/>
              </w:rPr>
              <w:t>New</w:t>
            </w:r>
          </w:p>
        </w:tc>
        <w:tc>
          <w:tcPr>
            <w:tcW w:w="1541" w:type="dxa"/>
            <w:tcBorders>
              <w:top w:val="single" w:sz="4" w:space="0" w:color="auto"/>
              <w:left w:val="single" w:sz="4" w:space="0" w:color="auto"/>
              <w:bottom w:val="single" w:sz="4" w:space="0" w:color="auto"/>
              <w:right w:val="single" w:sz="4" w:space="0" w:color="auto"/>
            </w:tcBorders>
          </w:tcPr>
          <w:p w14:paraId="138D2949" w14:textId="40327EEE" w:rsidR="008E01DF" w:rsidRPr="00C427B8" w:rsidRDefault="008E01DF" w:rsidP="00EA2E37">
            <w:pPr>
              <w:jc w:val="center"/>
              <w:rPr>
                <w:rFonts w:eastAsia="Arial" w:cs="Arial"/>
                <w:sz w:val="22"/>
                <w:szCs w:val="22"/>
              </w:rPr>
            </w:pPr>
            <w:r w:rsidRPr="00C427B8">
              <w:rPr>
                <w:rFonts w:eastAsia="Arial" w:cs="Arial"/>
                <w:sz w:val="22"/>
                <w:szCs w:val="22"/>
              </w:rPr>
              <w:t>15</w:t>
            </w:r>
            <w:r w:rsidR="00C427B8" w:rsidRPr="00C427B8">
              <w:rPr>
                <w:sz w:val="22"/>
                <w:szCs w:val="22"/>
              </w:rPr>
              <w:t xml:space="preserve"> (new)</w:t>
            </w:r>
          </w:p>
        </w:tc>
      </w:tr>
    </w:tbl>
    <w:p w14:paraId="0BE1D459" w14:textId="6852328C" w:rsidR="00E75614" w:rsidRPr="00A54B18" w:rsidRDefault="001BEC8C" w:rsidP="005E557A">
      <w:pPr>
        <w:pStyle w:val="Normal1"/>
        <w:spacing w:before="240"/>
        <w:jc w:val="both"/>
        <w:rPr>
          <w:sz w:val="22"/>
          <w:szCs w:val="22"/>
        </w:rPr>
      </w:pPr>
      <w:r w:rsidRPr="00A54B18">
        <w:rPr>
          <w:b/>
          <w:bCs/>
          <w:sz w:val="22"/>
          <w:szCs w:val="22"/>
        </w:rPr>
        <w:t>Key Points</w:t>
      </w:r>
    </w:p>
    <w:p w14:paraId="620CB6EE" w14:textId="2333391A" w:rsidR="5BABD88D" w:rsidRPr="001E0775" w:rsidRDefault="00397DAB" w:rsidP="00F66B70">
      <w:pPr>
        <w:pStyle w:val="ListParagraph"/>
        <w:numPr>
          <w:ilvl w:val="0"/>
          <w:numId w:val="10"/>
        </w:numPr>
        <w:spacing w:before="60" w:after="0"/>
        <w:ind w:left="357" w:hanging="357"/>
        <w:contextualSpacing w:val="0"/>
        <w:jc w:val="both"/>
        <w:rPr>
          <w:rFonts w:eastAsia="Arial"/>
          <w:sz w:val="22"/>
          <w:szCs w:val="22"/>
        </w:rPr>
      </w:pPr>
      <w:r w:rsidRPr="001E0775">
        <w:rPr>
          <w:rFonts w:eastAsia="Arial"/>
          <w:sz w:val="22"/>
          <w:szCs w:val="22"/>
        </w:rPr>
        <w:t xml:space="preserve">During </w:t>
      </w:r>
      <w:r w:rsidR="4A5C287D" w:rsidRPr="001E0775">
        <w:rPr>
          <w:rFonts w:eastAsia="Arial"/>
          <w:sz w:val="22"/>
          <w:szCs w:val="22"/>
        </w:rPr>
        <w:t>202</w:t>
      </w:r>
      <w:r w:rsidR="0060379D">
        <w:rPr>
          <w:rFonts w:eastAsia="Arial"/>
          <w:sz w:val="22"/>
          <w:szCs w:val="22"/>
        </w:rPr>
        <w:t>2</w:t>
      </w:r>
      <w:r w:rsidR="4A5C287D" w:rsidRPr="001E0775">
        <w:rPr>
          <w:rFonts w:eastAsia="Arial"/>
          <w:sz w:val="22"/>
          <w:szCs w:val="22"/>
        </w:rPr>
        <w:t xml:space="preserve">, </w:t>
      </w:r>
      <w:r w:rsidR="0082656A">
        <w:rPr>
          <w:rFonts w:eastAsia="Arial"/>
          <w:sz w:val="22"/>
          <w:szCs w:val="22"/>
        </w:rPr>
        <w:t>39</w:t>
      </w:r>
      <w:r w:rsidR="1029AEFB" w:rsidRPr="001E0775">
        <w:rPr>
          <w:rFonts w:eastAsia="Arial"/>
          <w:sz w:val="22"/>
          <w:szCs w:val="22"/>
        </w:rPr>
        <w:t xml:space="preserve"> projects were </w:t>
      </w:r>
      <w:r w:rsidR="1029AEFB" w:rsidRPr="00107F89">
        <w:rPr>
          <w:rFonts w:eastAsia="Arial"/>
          <w:sz w:val="22"/>
          <w:szCs w:val="22"/>
        </w:rPr>
        <w:t>ongoing</w:t>
      </w:r>
      <w:r w:rsidR="0082656A">
        <w:rPr>
          <w:rFonts w:eastAsia="Arial"/>
          <w:sz w:val="22"/>
          <w:szCs w:val="22"/>
        </w:rPr>
        <w:t>,</w:t>
      </w:r>
      <w:r w:rsidR="1029AEFB" w:rsidRPr="00A407A0">
        <w:rPr>
          <w:rFonts w:eastAsia="Arial"/>
          <w:sz w:val="22"/>
          <w:szCs w:val="22"/>
        </w:rPr>
        <w:t xml:space="preserve"> </w:t>
      </w:r>
      <w:r w:rsidR="0060379D">
        <w:rPr>
          <w:rFonts w:eastAsia="Arial"/>
          <w:sz w:val="22"/>
          <w:szCs w:val="22"/>
        </w:rPr>
        <w:t>18</w:t>
      </w:r>
      <w:r w:rsidR="3C44162F" w:rsidRPr="001E0775">
        <w:rPr>
          <w:rFonts w:eastAsia="Arial"/>
          <w:sz w:val="22"/>
          <w:szCs w:val="22"/>
        </w:rPr>
        <w:t xml:space="preserve"> </w:t>
      </w:r>
      <w:r w:rsidR="1029AEFB" w:rsidRPr="001E0775">
        <w:rPr>
          <w:rFonts w:eastAsia="Arial"/>
          <w:sz w:val="22"/>
          <w:szCs w:val="22"/>
        </w:rPr>
        <w:t xml:space="preserve">of </w:t>
      </w:r>
      <w:r w:rsidR="0082656A">
        <w:rPr>
          <w:rFonts w:eastAsia="Arial"/>
          <w:sz w:val="22"/>
          <w:szCs w:val="22"/>
        </w:rPr>
        <w:t>which</w:t>
      </w:r>
      <w:r w:rsidR="4A5C287D" w:rsidRPr="001E0775">
        <w:rPr>
          <w:rFonts w:eastAsia="Arial"/>
          <w:sz w:val="22"/>
          <w:szCs w:val="22"/>
        </w:rPr>
        <w:t xml:space="preserve"> were completed</w:t>
      </w:r>
      <w:r w:rsidR="3C44162F" w:rsidRPr="001E0775">
        <w:rPr>
          <w:rFonts w:eastAsia="Arial"/>
          <w:sz w:val="22"/>
          <w:szCs w:val="22"/>
        </w:rPr>
        <w:t xml:space="preserve"> and closed</w:t>
      </w:r>
      <w:r w:rsidR="4A5C287D" w:rsidRPr="001E0775">
        <w:rPr>
          <w:rFonts w:eastAsia="Arial"/>
          <w:sz w:val="22"/>
          <w:szCs w:val="22"/>
        </w:rPr>
        <w:t xml:space="preserve"> </w:t>
      </w:r>
      <w:r w:rsidR="3C44162F" w:rsidRPr="001E0775">
        <w:rPr>
          <w:rFonts w:eastAsia="Arial"/>
          <w:sz w:val="22"/>
          <w:szCs w:val="22"/>
        </w:rPr>
        <w:t xml:space="preserve">during </w:t>
      </w:r>
      <w:r w:rsidR="4A5C287D" w:rsidRPr="001E0775">
        <w:rPr>
          <w:rFonts w:eastAsia="Arial"/>
          <w:sz w:val="22"/>
          <w:szCs w:val="22"/>
        </w:rPr>
        <w:t>the year</w:t>
      </w:r>
      <w:r w:rsidR="0082656A">
        <w:rPr>
          <w:rFonts w:eastAsia="Arial"/>
          <w:sz w:val="22"/>
          <w:szCs w:val="22"/>
        </w:rPr>
        <w:t>.</w:t>
      </w:r>
      <w:r w:rsidR="0060379D">
        <w:rPr>
          <w:rFonts w:eastAsia="Arial"/>
          <w:sz w:val="22"/>
          <w:szCs w:val="22"/>
        </w:rPr>
        <w:t xml:space="preserve"> </w:t>
      </w:r>
      <w:r w:rsidR="0082656A" w:rsidRPr="00A407A0">
        <w:rPr>
          <w:rFonts w:eastAsia="Arial"/>
          <w:sz w:val="22"/>
          <w:szCs w:val="22"/>
        </w:rPr>
        <w:t xml:space="preserve">Cumulatively, the Fund’s DF has </w:t>
      </w:r>
      <w:r w:rsidR="0082656A">
        <w:rPr>
          <w:rFonts w:eastAsia="Arial"/>
          <w:sz w:val="22"/>
          <w:szCs w:val="22"/>
        </w:rPr>
        <w:t>completed 84</w:t>
      </w:r>
      <w:r w:rsidR="0082656A" w:rsidRPr="00A407A0">
        <w:rPr>
          <w:rFonts w:eastAsia="Arial"/>
          <w:sz w:val="22"/>
          <w:szCs w:val="22"/>
        </w:rPr>
        <w:t xml:space="preserve"> projects</w:t>
      </w:r>
      <w:r w:rsidR="0082656A">
        <w:rPr>
          <w:rFonts w:eastAsia="Arial"/>
          <w:sz w:val="22"/>
          <w:szCs w:val="22"/>
        </w:rPr>
        <w:t>, and a further 21 were active at the end of 2022, for a</w:t>
      </w:r>
      <w:r w:rsidR="0082656A" w:rsidRPr="00A407A0">
        <w:rPr>
          <w:rFonts w:eastAsia="Arial"/>
          <w:sz w:val="22"/>
          <w:szCs w:val="22"/>
        </w:rPr>
        <w:t xml:space="preserve"> budget of $1.8m</w:t>
      </w:r>
      <w:r w:rsidR="0082656A">
        <w:rPr>
          <w:rFonts w:eastAsia="Arial"/>
          <w:sz w:val="22"/>
          <w:szCs w:val="22"/>
        </w:rPr>
        <w:t>.</w:t>
      </w:r>
    </w:p>
    <w:p w14:paraId="0622B8AB" w14:textId="330C1161" w:rsidR="00FD2F74" w:rsidRDefault="2871BFE8" w:rsidP="00F66B70">
      <w:pPr>
        <w:pStyle w:val="ListParagraph"/>
        <w:numPr>
          <w:ilvl w:val="0"/>
          <w:numId w:val="10"/>
        </w:numPr>
        <w:spacing w:before="60" w:after="0"/>
        <w:ind w:left="357" w:hanging="357"/>
        <w:contextualSpacing w:val="0"/>
        <w:jc w:val="both"/>
        <w:rPr>
          <w:sz w:val="22"/>
          <w:szCs w:val="22"/>
        </w:rPr>
      </w:pPr>
      <w:r w:rsidRPr="00A407A0">
        <w:rPr>
          <w:sz w:val="22"/>
          <w:szCs w:val="22"/>
        </w:rPr>
        <w:t>For indicator 3.4 the budget spen</w:t>
      </w:r>
      <w:r w:rsidR="00D70B07">
        <w:rPr>
          <w:sz w:val="22"/>
          <w:szCs w:val="22"/>
        </w:rPr>
        <w:t>t</w:t>
      </w:r>
      <w:r w:rsidRPr="00A407A0">
        <w:rPr>
          <w:sz w:val="22"/>
          <w:szCs w:val="22"/>
        </w:rPr>
        <w:t xml:space="preserve"> on TA Projects (</w:t>
      </w:r>
      <w:r w:rsidR="005C4991" w:rsidRPr="00A407A0">
        <w:rPr>
          <w:sz w:val="22"/>
          <w:szCs w:val="22"/>
        </w:rPr>
        <w:t>$</w:t>
      </w:r>
      <w:r w:rsidRPr="00A407A0">
        <w:rPr>
          <w:sz w:val="22"/>
          <w:szCs w:val="22"/>
        </w:rPr>
        <w:t>5.</w:t>
      </w:r>
      <w:r w:rsidR="0060379D">
        <w:rPr>
          <w:sz w:val="22"/>
          <w:szCs w:val="22"/>
        </w:rPr>
        <w:t>8</w:t>
      </w:r>
      <w:r w:rsidR="005C4991" w:rsidRPr="00A407A0">
        <w:rPr>
          <w:sz w:val="22"/>
          <w:szCs w:val="22"/>
        </w:rPr>
        <w:t>m</w:t>
      </w:r>
      <w:r w:rsidRPr="00A407A0">
        <w:rPr>
          <w:sz w:val="22"/>
          <w:szCs w:val="22"/>
        </w:rPr>
        <w:t xml:space="preserve">) was </w:t>
      </w:r>
      <w:r w:rsidR="0082656A">
        <w:rPr>
          <w:sz w:val="22"/>
          <w:szCs w:val="22"/>
        </w:rPr>
        <w:t>an increase of $0.7m compared to 2021</w:t>
      </w:r>
      <w:r w:rsidR="00FA2011">
        <w:rPr>
          <w:sz w:val="22"/>
          <w:szCs w:val="22"/>
        </w:rPr>
        <w:t>, when spend was also within the budget milestone</w:t>
      </w:r>
      <w:r w:rsidR="00CD4F02">
        <w:rPr>
          <w:sz w:val="22"/>
          <w:szCs w:val="22"/>
        </w:rPr>
        <w:t xml:space="preserve">. As the number of TA projects completed </w:t>
      </w:r>
      <w:r w:rsidR="00023BE0">
        <w:rPr>
          <w:sz w:val="22"/>
          <w:szCs w:val="22"/>
        </w:rPr>
        <w:t xml:space="preserve">(indicator 3.3) </w:t>
      </w:r>
      <w:r w:rsidR="00CD4F02">
        <w:rPr>
          <w:sz w:val="22"/>
          <w:szCs w:val="22"/>
        </w:rPr>
        <w:t>exceeds the milestone, this lower budget used can be viewed as a successful increase in efficient and effective use of TA budget</w:t>
      </w:r>
      <w:r w:rsidRPr="00A407A0">
        <w:rPr>
          <w:sz w:val="22"/>
          <w:szCs w:val="22"/>
        </w:rPr>
        <w:t>.</w:t>
      </w:r>
    </w:p>
    <w:p w14:paraId="42AF2363" w14:textId="202D9F9F" w:rsidR="1E192C58" w:rsidRPr="00976056" w:rsidRDefault="7F544ACB" w:rsidP="00F66B70">
      <w:pPr>
        <w:pStyle w:val="ListParagraph"/>
        <w:numPr>
          <w:ilvl w:val="0"/>
          <w:numId w:val="10"/>
        </w:numPr>
        <w:spacing w:before="60" w:after="0"/>
        <w:ind w:left="357" w:hanging="357"/>
        <w:contextualSpacing w:val="0"/>
        <w:jc w:val="both"/>
        <w:rPr>
          <w:sz w:val="22"/>
          <w:szCs w:val="22"/>
        </w:rPr>
      </w:pPr>
      <w:r w:rsidRPr="00FD2F74">
        <w:rPr>
          <w:rFonts w:eastAsia="Arial"/>
          <w:sz w:val="22"/>
          <w:szCs w:val="22"/>
        </w:rPr>
        <w:t xml:space="preserve">The DF has carried out projects ranging from supporting </w:t>
      </w:r>
      <w:r w:rsidR="00FD2F74" w:rsidRPr="00FD2F74">
        <w:rPr>
          <w:rFonts w:eastAsia="Arial"/>
          <w:sz w:val="22"/>
          <w:szCs w:val="22"/>
        </w:rPr>
        <w:t xml:space="preserve">specialised </w:t>
      </w:r>
      <w:proofErr w:type="spellStart"/>
      <w:r w:rsidR="00FD2F74" w:rsidRPr="00FD2F74">
        <w:rPr>
          <w:rFonts w:eastAsia="Arial"/>
          <w:sz w:val="22"/>
          <w:szCs w:val="22"/>
        </w:rPr>
        <w:t>agri</w:t>
      </w:r>
      <w:proofErr w:type="spellEnd"/>
      <w:r w:rsidR="00FD2F74" w:rsidRPr="00FD2F74">
        <w:rPr>
          <w:rFonts w:eastAsia="Arial"/>
          <w:sz w:val="22"/>
          <w:szCs w:val="22"/>
        </w:rPr>
        <w:t>-finance and environmental and social training for banking staff</w:t>
      </w:r>
      <w:r w:rsidRPr="00FD2F74">
        <w:rPr>
          <w:rFonts w:eastAsia="Arial"/>
          <w:sz w:val="22"/>
          <w:szCs w:val="22"/>
        </w:rPr>
        <w:t xml:space="preserve">, </w:t>
      </w:r>
      <w:r w:rsidR="00FD2F74" w:rsidRPr="00FD2F74">
        <w:rPr>
          <w:rFonts w:eastAsia="Arial"/>
          <w:sz w:val="22"/>
          <w:szCs w:val="22"/>
        </w:rPr>
        <w:t>to supporting forest conservation through sustainable cattle financing,</w:t>
      </w:r>
      <w:r w:rsidRPr="00FD2F74">
        <w:rPr>
          <w:rFonts w:eastAsia="Arial"/>
          <w:sz w:val="22"/>
          <w:szCs w:val="22"/>
        </w:rPr>
        <w:t xml:space="preserve"> </w:t>
      </w:r>
      <w:r w:rsidR="00FD2F74">
        <w:rPr>
          <w:rFonts w:eastAsia="Arial"/>
          <w:sz w:val="22"/>
          <w:szCs w:val="22"/>
        </w:rPr>
        <w:t xml:space="preserve">and </w:t>
      </w:r>
      <w:r w:rsidR="00FD2F74" w:rsidRPr="00FD2F74">
        <w:rPr>
          <w:rFonts w:eastAsia="Arial"/>
          <w:sz w:val="22"/>
          <w:szCs w:val="22"/>
        </w:rPr>
        <w:t xml:space="preserve">to measuring biodiversity using </w:t>
      </w:r>
      <w:proofErr w:type="spellStart"/>
      <w:r w:rsidR="00FD2F74" w:rsidRPr="00FD2F74">
        <w:rPr>
          <w:rFonts w:eastAsia="Arial"/>
          <w:sz w:val="22"/>
          <w:szCs w:val="22"/>
        </w:rPr>
        <w:t>ecoacoustics</w:t>
      </w:r>
      <w:proofErr w:type="spellEnd"/>
      <w:r w:rsidRPr="00FD2F74">
        <w:rPr>
          <w:rFonts w:eastAsia="Arial"/>
          <w:sz w:val="22"/>
          <w:szCs w:val="22"/>
        </w:rPr>
        <w:t>.</w:t>
      </w:r>
      <w:r w:rsidR="00FD2F74">
        <w:rPr>
          <w:rFonts w:eastAsia="Arial"/>
          <w:sz w:val="22"/>
          <w:szCs w:val="22"/>
        </w:rPr>
        <w:t xml:space="preserve"> More information on these examples can be found in the </w:t>
      </w:r>
      <w:hyperlink r:id="rId25" w:history="1">
        <w:r w:rsidR="00FD2F74" w:rsidRPr="00FD2F74">
          <w:rPr>
            <w:rStyle w:val="Hyperlink"/>
            <w:rFonts w:eastAsia="Arial"/>
            <w:sz w:val="22"/>
            <w:szCs w:val="22"/>
          </w:rPr>
          <w:t>Fund’s 2022 Impact Report</w:t>
        </w:r>
      </w:hyperlink>
      <w:r w:rsidR="00FD2F74">
        <w:rPr>
          <w:rFonts w:eastAsia="Arial"/>
          <w:sz w:val="22"/>
          <w:szCs w:val="22"/>
        </w:rPr>
        <w:t>.</w:t>
      </w:r>
    </w:p>
    <w:p w14:paraId="11515E3F" w14:textId="2412E576" w:rsidR="00976056" w:rsidRPr="005017BA" w:rsidRDefault="00976056" w:rsidP="00F66B70">
      <w:pPr>
        <w:pStyle w:val="ListParagraph"/>
        <w:numPr>
          <w:ilvl w:val="0"/>
          <w:numId w:val="10"/>
        </w:numPr>
        <w:spacing w:before="60" w:after="0"/>
        <w:ind w:left="357" w:hanging="357"/>
        <w:contextualSpacing w:val="0"/>
        <w:jc w:val="both"/>
        <w:rPr>
          <w:sz w:val="22"/>
          <w:szCs w:val="22"/>
        </w:rPr>
      </w:pPr>
      <w:r>
        <w:rPr>
          <w:rFonts w:eastAsia="Arial"/>
          <w:sz w:val="22"/>
          <w:szCs w:val="22"/>
        </w:rPr>
        <w:lastRenderedPageBreak/>
        <w:t>The DF is essential to the success and impact of the Fund, with 80% of PIs receiving support (27 institutions across 15 countries).</w:t>
      </w:r>
    </w:p>
    <w:p w14:paraId="67B4F899" w14:textId="77777777" w:rsidR="005017BA" w:rsidRPr="005017BA" w:rsidRDefault="005017BA" w:rsidP="00F66B70">
      <w:pPr>
        <w:pStyle w:val="ListParagraph"/>
        <w:numPr>
          <w:ilvl w:val="0"/>
          <w:numId w:val="10"/>
        </w:numPr>
        <w:spacing w:before="60" w:after="0"/>
        <w:ind w:left="357" w:hanging="357"/>
        <w:contextualSpacing w:val="0"/>
        <w:jc w:val="both"/>
        <w:rPr>
          <w:sz w:val="22"/>
          <w:szCs w:val="22"/>
        </w:rPr>
      </w:pPr>
      <w:r>
        <w:rPr>
          <w:rFonts w:eastAsia="Arial"/>
          <w:sz w:val="22"/>
          <w:szCs w:val="22"/>
        </w:rPr>
        <w:t>Other examples of TA provided include:</w:t>
      </w:r>
    </w:p>
    <w:p w14:paraId="13BEAD2A" w14:textId="320EFA1E" w:rsidR="005017BA" w:rsidRDefault="005017BA" w:rsidP="00F66B70">
      <w:pPr>
        <w:pStyle w:val="ListParagraph"/>
        <w:numPr>
          <w:ilvl w:val="1"/>
          <w:numId w:val="10"/>
        </w:numPr>
        <w:spacing w:before="60" w:after="0"/>
        <w:contextualSpacing w:val="0"/>
        <w:jc w:val="both"/>
        <w:rPr>
          <w:sz w:val="22"/>
          <w:szCs w:val="22"/>
        </w:rPr>
      </w:pPr>
      <w:r w:rsidRPr="005017BA">
        <w:rPr>
          <w:b/>
          <w:bCs/>
          <w:sz w:val="22"/>
          <w:szCs w:val="22"/>
        </w:rPr>
        <w:t xml:space="preserve">Tourism pilot project: </w:t>
      </w:r>
      <w:r w:rsidRPr="005017BA">
        <w:rPr>
          <w:sz w:val="22"/>
          <w:szCs w:val="22"/>
        </w:rPr>
        <w:t xml:space="preserve">The EBF DF successfully completed </w:t>
      </w:r>
      <w:r w:rsidR="006776CA">
        <w:rPr>
          <w:sz w:val="22"/>
          <w:szCs w:val="22"/>
        </w:rPr>
        <w:t>a</w:t>
      </w:r>
      <w:r w:rsidRPr="005017BA">
        <w:rPr>
          <w:sz w:val="22"/>
          <w:szCs w:val="22"/>
        </w:rPr>
        <w:t xml:space="preserve"> tourism pilot project with two end-borrowers in Costa Rica. The project validated selected Green List measures, including the sustainable use of energy and water, clos</w:t>
      </w:r>
      <w:r>
        <w:rPr>
          <w:sz w:val="22"/>
          <w:szCs w:val="22"/>
        </w:rPr>
        <w:t>ed</w:t>
      </w:r>
      <w:r w:rsidRPr="005017BA">
        <w:rPr>
          <w:sz w:val="22"/>
          <w:szCs w:val="22"/>
        </w:rPr>
        <w:t xml:space="preserve"> the gap to obtain</w:t>
      </w:r>
      <w:r>
        <w:rPr>
          <w:sz w:val="22"/>
          <w:szCs w:val="22"/>
        </w:rPr>
        <w:t xml:space="preserve">ing </w:t>
      </w:r>
      <w:r w:rsidRPr="005017BA">
        <w:rPr>
          <w:sz w:val="22"/>
          <w:szCs w:val="22"/>
        </w:rPr>
        <w:t xml:space="preserve">a sustainability certification, </w:t>
      </w:r>
      <w:r>
        <w:rPr>
          <w:sz w:val="22"/>
          <w:szCs w:val="22"/>
        </w:rPr>
        <w:t>and strengthened</w:t>
      </w:r>
      <w:r w:rsidRPr="005017BA">
        <w:rPr>
          <w:sz w:val="22"/>
          <w:szCs w:val="22"/>
        </w:rPr>
        <w:t xml:space="preserve"> the management systems of </w:t>
      </w:r>
      <w:r>
        <w:rPr>
          <w:sz w:val="22"/>
          <w:szCs w:val="22"/>
        </w:rPr>
        <w:t>two</w:t>
      </w:r>
      <w:r w:rsidRPr="005017BA">
        <w:rPr>
          <w:sz w:val="22"/>
          <w:szCs w:val="22"/>
        </w:rPr>
        <w:t xml:space="preserve"> hotels to sustainably recover from the COVID-19 crisis.</w:t>
      </w:r>
      <w:r w:rsidR="005910AB">
        <w:rPr>
          <w:sz w:val="22"/>
          <w:szCs w:val="22"/>
        </w:rPr>
        <w:t xml:space="preserve"> It also strengthened the PI’s capacity to finance the sustainable tourism sector.</w:t>
      </w:r>
    </w:p>
    <w:p w14:paraId="2AB116B3" w14:textId="5573AD20" w:rsidR="00976056" w:rsidRPr="00976056" w:rsidRDefault="005017BA" w:rsidP="00F66B70">
      <w:pPr>
        <w:pStyle w:val="ListParagraph"/>
        <w:numPr>
          <w:ilvl w:val="1"/>
          <w:numId w:val="10"/>
        </w:numPr>
        <w:spacing w:before="60" w:after="0"/>
        <w:ind w:hanging="357"/>
        <w:contextualSpacing w:val="0"/>
        <w:jc w:val="both"/>
        <w:rPr>
          <w:rFonts w:cs="Arial"/>
          <w:sz w:val="22"/>
          <w:szCs w:val="22"/>
        </w:rPr>
      </w:pPr>
      <w:r w:rsidRPr="00976056">
        <w:rPr>
          <w:rFonts w:eastAsiaTheme="minorHAnsi" w:cs="Arial"/>
          <w:b/>
          <w:bCs/>
          <w:sz w:val="22"/>
          <w:szCs w:val="22"/>
        </w:rPr>
        <w:t xml:space="preserve">Climate Change Strategy: </w:t>
      </w:r>
      <w:r w:rsidRPr="00976056">
        <w:rPr>
          <w:rFonts w:eastAsiaTheme="minorHAnsi" w:cs="Arial"/>
          <w:sz w:val="22"/>
          <w:szCs w:val="22"/>
        </w:rPr>
        <w:t xml:space="preserve">The DF partnered with </w:t>
      </w:r>
      <w:r w:rsidR="00957184">
        <w:rPr>
          <w:rFonts w:eastAsiaTheme="minorHAnsi" w:cs="Arial"/>
          <w:sz w:val="22"/>
          <w:szCs w:val="22"/>
        </w:rPr>
        <w:t xml:space="preserve">a bank </w:t>
      </w:r>
      <w:r w:rsidRPr="00976056">
        <w:rPr>
          <w:rFonts w:eastAsiaTheme="minorHAnsi" w:cs="Arial"/>
          <w:sz w:val="22"/>
          <w:szCs w:val="22"/>
        </w:rPr>
        <w:t>in Ecuador to develop a strategic response to climate change risks. Such a strategy will enable the bank and its clients to identify the risks resulting from climate change, define strategies and targets to mitigate and/or adapt to these risks and be prepared for different scenarios that might occur in the medium to long term.</w:t>
      </w:r>
    </w:p>
    <w:p w14:paraId="7D35A4AC" w14:textId="44298B83" w:rsidR="005017BA" w:rsidRPr="00976056" w:rsidRDefault="005017BA" w:rsidP="00F66B70">
      <w:pPr>
        <w:pStyle w:val="ListParagraph"/>
        <w:numPr>
          <w:ilvl w:val="1"/>
          <w:numId w:val="10"/>
        </w:numPr>
        <w:spacing w:before="60" w:after="0"/>
        <w:ind w:hanging="357"/>
        <w:contextualSpacing w:val="0"/>
        <w:jc w:val="both"/>
        <w:rPr>
          <w:rFonts w:cs="Arial"/>
          <w:sz w:val="22"/>
          <w:szCs w:val="22"/>
        </w:rPr>
      </w:pPr>
      <w:r w:rsidRPr="00976056">
        <w:rPr>
          <w:rFonts w:eastAsiaTheme="minorHAnsi" w:cs="Arial"/>
          <w:b/>
          <w:bCs/>
          <w:sz w:val="22"/>
          <w:szCs w:val="22"/>
        </w:rPr>
        <w:t xml:space="preserve">Principles for Responsible Banking (PRB): </w:t>
      </w:r>
      <w:r w:rsidRPr="00976056">
        <w:rPr>
          <w:rFonts w:eastAsiaTheme="minorHAnsi" w:cs="Arial"/>
          <w:sz w:val="22"/>
          <w:szCs w:val="22"/>
        </w:rPr>
        <w:t>the DF has supported various institutions in the</w:t>
      </w:r>
      <w:r w:rsidR="00976056" w:rsidRPr="00976056">
        <w:rPr>
          <w:rFonts w:eastAsiaTheme="minorHAnsi" w:cs="Arial"/>
          <w:sz w:val="22"/>
          <w:szCs w:val="22"/>
        </w:rPr>
        <w:t xml:space="preserve"> </w:t>
      </w:r>
      <w:r w:rsidRPr="00976056">
        <w:rPr>
          <w:rFonts w:eastAsiaTheme="minorHAnsi" w:cs="Arial"/>
          <w:sz w:val="22"/>
          <w:szCs w:val="22"/>
        </w:rPr>
        <w:t>strategic alignment and impact target setting with the PRB, leading the way towards a</w:t>
      </w:r>
      <w:r w:rsidR="00976056" w:rsidRPr="00976056">
        <w:rPr>
          <w:rFonts w:eastAsiaTheme="minorHAnsi" w:cs="Arial"/>
          <w:sz w:val="22"/>
          <w:szCs w:val="22"/>
        </w:rPr>
        <w:t xml:space="preserve"> </w:t>
      </w:r>
      <w:r w:rsidRPr="00976056">
        <w:rPr>
          <w:rFonts w:eastAsiaTheme="minorHAnsi" w:cs="Arial"/>
          <w:sz w:val="22"/>
          <w:szCs w:val="22"/>
        </w:rPr>
        <w:t>compliance with ODS and Paris Climate Agreement.</w:t>
      </w:r>
    </w:p>
    <w:p w14:paraId="0D159A97" w14:textId="4141BF00" w:rsidR="00E75614" w:rsidRDefault="001BEC8C" w:rsidP="005E557A">
      <w:pPr>
        <w:spacing w:before="120"/>
        <w:jc w:val="both"/>
        <w:rPr>
          <w:rFonts w:eastAsia="Arial" w:cs="Arial"/>
          <w:color w:val="000000" w:themeColor="text1"/>
          <w:sz w:val="22"/>
          <w:szCs w:val="22"/>
        </w:rPr>
      </w:pPr>
      <w:r w:rsidRPr="58D74F02">
        <w:rPr>
          <w:rFonts w:eastAsia="Arial" w:cs="Arial"/>
          <w:b/>
          <w:bCs/>
          <w:color w:val="000000" w:themeColor="text1"/>
          <w:sz w:val="22"/>
          <w:szCs w:val="22"/>
        </w:rPr>
        <w:t>Recommendation</w:t>
      </w:r>
      <w:r w:rsidR="00867E6A">
        <w:rPr>
          <w:rFonts w:eastAsia="Arial" w:cs="Arial"/>
          <w:b/>
          <w:bCs/>
          <w:color w:val="000000" w:themeColor="text1"/>
          <w:sz w:val="22"/>
          <w:szCs w:val="22"/>
        </w:rPr>
        <w:t>s</w:t>
      </w:r>
      <w:r w:rsidRPr="58D74F02">
        <w:rPr>
          <w:rFonts w:eastAsia="Arial" w:cs="Arial"/>
          <w:b/>
          <w:bCs/>
          <w:color w:val="000000" w:themeColor="text1"/>
          <w:sz w:val="22"/>
          <w:szCs w:val="22"/>
        </w:rPr>
        <w:t>:</w:t>
      </w:r>
      <w:r w:rsidR="0016430F" w:rsidRPr="58D74F02">
        <w:rPr>
          <w:rFonts w:eastAsia="Arial" w:cs="Arial"/>
          <w:color w:val="000000" w:themeColor="text1"/>
          <w:sz w:val="22"/>
          <w:szCs w:val="22"/>
        </w:rPr>
        <w:t xml:space="preserve"> </w:t>
      </w:r>
      <w:r w:rsidR="009D1F5B" w:rsidRPr="58D74F02">
        <w:rPr>
          <w:rFonts w:eastAsia="Arial" w:cs="Arial"/>
          <w:color w:val="000000" w:themeColor="text1"/>
          <w:sz w:val="22"/>
          <w:szCs w:val="22"/>
        </w:rPr>
        <w:t xml:space="preserve">As part of this 2022 </w:t>
      </w:r>
      <w:r w:rsidR="00CF1F00">
        <w:rPr>
          <w:rFonts w:eastAsia="Arial" w:cs="Arial"/>
          <w:color w:val="000000" w:themeColor="text1"/>
          <w:sz w:val="22"/>
          <w:szCs w:val="22"/>
        </w:rPr>
        <w:t>AR</w:t>
      </w:r>
      <w:r w:rsidR="009D1F5B" w:rsidRPr="58D74F02">
        <w:rPr>
          <w:rFonts w:eastAsia="Arial" w:cs="Arial"/>
          <w:color w:val="000000" w:themeColor="text1"/>
          <w:sz w:val="22"/>
          <w:szCs w:val="22"/>
        </w:rPr>
        <w:t xml:space="preserve">, milestones have been set for </w:t>
      </w:r>
      <w:r w:rsidR="009D1F5B">
        <w:rPr>
          <w:rFonts w:eastAsia="Arial" w:cs="Arial"/>
          <w:color w:val="000000" w:themeColor="text1"/>
          <w:sz w:val="22"/>
          <w:szCs w:val="22"/>
        </w:rPr>
        <w:t xml:space="preserve">2023 that </w:t>
      </w:r>
      <w:proofErr w:type="gramStart"/>
      <w:r w:rsidR="009D1F5B" w:rsidRPr="00FF2967">
        <w:rPr>
          <w:rFonts w:eastAsia="Arial" w:cs="Arial"/>
          <w:color w:val="000000" w:themeColor="text1"/>
          <w:sz w:val="22"/>
          <w:szCs w:val="22"/>
        </w:rPr>
        <w:t>take into account</w:t>
      </w:r>
      <w:proofErr w:type="gramEnd"/>
      <w:r w:rsidR="009D1F5B" w:rsidRPr="00FF2967">
        <w:rPr>
          <w:rFonts w:eastAsia="Arial" w:cs="Arial"/>
          <w:color w:val="000000" w:themeColor="text1"/>
          <w:sz w:val="22"/>
          <w:szCs w:val="22"/>
        </w:rPr>
        <w:t xml:space="preserve"> trends over the last few years (both exceeding and missing targets). </w:t>
      </w:r>
      <w:r w:rsidR="009D1F5B">
        <w:rPr>
          <w:rFonts w:eastAsia="Arial" w:cs="Arial"/>
          <w:color w:val="000000" w:themeColor="text1"/>
          <w:sz w:val="22"/>
          <w:szCs w:val="22"/>
        </w:rPr>
        <w:t>Milestone setting</w:t>
      </w:r>
      <w:r w:rsidR="009D1F5B" w:rsidRPr="00FF2967">
        <w:rPr>
          <w:rFonts w:eastAsia="Arial" w:cs="Arial"/>
          <w:color w:val="000000" w:themeColor="text1"/>
          <w:sz w:val="22"/>
          <w:szCs w:val="22"/>
        </w:rPr>
        <w:t xml:space="preserve"> for 2024-8</w:t>
      </w:r>
      <w:r w:rsidR="009D1F5B">
        <w:rPr>
          <w:rFonts w:eastAsia="Arial" w:cs="Arial"/>
          <w:color w:val="000000" w:themeColor="text1"/>
          <w:sz w:val="22"/>
          <w:szCs w:val="22"/>
        </w:rPr>
        <w:t xml:space="preserve"> </w:t>
      </w:r>
      <w:r w:rsidR="009F7EB5">
        <w:rPr>
          <w:rFonts w:eastAsia="Arial" w:cs="Arial"/>
          <w:color w:val="000000" w:themeColor="text1"/>
          <w:sz w:val="22"/>
          <w:szCs w:val="22"/>
        </w:rPr>
        <w:t>will take place early in 2024</w:t>
      </w:r>
      <w:r w:rsidR="008E01DF">
        <w:rPr>
          <w:rFonts w:eastAsia="Arial" w:cs="Arial"/>
          <w:color w:val="000000" w:themeColor="text1"/>
          <w:sz w:val="22"/>
          <w:szCs w:val="22"/>
        </w:rPr>
        <w:t xml:space="preserve"> </w:t>
      </w:r>
      <w:proofErr w:type="gramStart"/>
      <w:r w:rsidR="008E01DF">
        <w:rPr>
          <w:rFonts w:eastAsia="Arial" w:cs="Arial"/>
          <w:color w:val="000000" w:themeColor="text1"/>
          <w:sz w:val="22"/>
          <w:szCs w:val="22"/>
        </w:rPr>
        <w:t>and also</w:t>
      </w:r>
      <w:proofErr w:type="gramEnd"/>
      <w:r w:rsidR="008E01DF">
        <w:rPr>
          <w:rFonts w:eastAsia="Arial" w:cs="Arial"/>
          <w:color w:val="000000" w:themeColor="text1"/>
          <w:sz w:val="22"/>
          <w:szCs w:val="22"/>
        </w:rPr>
        <w:t xml:space="preserve"> take this into account</w:t>
      </w:r>
      <w:r w:rsidR="009D1F5B">
        <w:rPr>
          <w:rFonts w:eastAsia="Arial" w:cs="Arial"/>
          <w:color w:val="000000" w:themeColor="text1"/>
          <w:sz w:val="22"/>
          <w:szCs w:val="22"/>
        </w:rPr>
        <w:t>.</w:t>
      </w:r>
    </w:p>
    <w:p w14:paraId="3D706517" w14:textId="77777777" w:rsidR="005140AF" w:rsidRDefault="00B5039A" w:rsidP="005E557A">
      <w:pPr>
        <w:spacing w:before="120"/>
        <w:jc w:val="both"/>
        <w:rPr>
          <w:rFonts w:eastAsia="Arial" w:cs="Arial"/>
          <w:color w:val="000000" w:themeColor="text1"/>
          <w:sz w:val="22"/>
          <w:szCs w:val="22"/>
        </w:rPr>
      </w:pPr>
      <w:r>
        <w:rPr>
          <w:rFonts w:eastAsia="Arial" w:cs="Arial"/>
          <w:color w:val="000000" w:themeColor="text1"/>
          <w:sz w:val="22"/>
          <w:szCs w:val="22"/>
        </w:rPr>
        <w:t>Recommend removing 3.1 (redundant with 3.3) and 3.2</w:t>
      </w:r>
      <w:r w:rsidR="006A6717">
        <w:rPr>
          <w:rFonts w:eastAsia="Arial" w:cs="Arial"/>
          <w:color w:val="000000" w:themeColor="text1"/>
          <w:sz w:val="22"/>
          <w:szCs w:val="22"/>
        </w:rPr>
        <w:t xml:space="preserve"> (doesn’t reflect distribution of TA</w:t>
      </w:r>
      <w:r w:rsidR="005140AF">
        <w:rPr>
          <w:rFonts w:eastAsia="Arial" w:cs="Arial"/>
          <w:color w:val="000000" w:themeColor="text1"/>
          <w:sz w:val="22"/>
          <w:szCs w:val="22"/>
        </w:rPr>
        <w:t>).</w:t>
      </w:r>
    </w:p>
    <w:p w14:paraId="2DF4D866" w14:textId="05B350D7" w:rsidR="00B80371" w:rsidRPr="00A54B18" w:rsidRDefault="005140AF" w:rsidP="005E557A">
      <w:pPr>
        <w:spacing w:before="120"/>
        <w:jc w:val="both"/>
        <w:rPr>
          <w:rFonts w:eastAsia="Arial" w:cs="Arial"/>
          <w:color w:val="000000" w:themeColor="text1"/>
          <w:sz w:val="22"/>
          <w:szCs w:val="22"/>
        </w:rPr>
      </w:pPr>
      <w:r>
        <w:rPr>
          <w:rFonts w:eastAsia="Arial" w:cs="Arial"/>
          <w:color w:val="000000" w:themeColor="text1"/>
          <w:sz w:val="22"/>
          <w:szCs w:val="22"/>
        </w:rPr>
        <w:t>Recommend reweighting to 30%</w:t>
      </w:r>
      <w:r w:rsidR="009B0B2C">
        <w:rPr>
          <w:rFonts w:eastAsia="Arial" w:cs="Arial"/>
          <w:color w:val="000000" w:themeColor="text1"/>
          <w:sz w:val="22"/>
          <w:szCs w:val="22"/>
        </w:rPr>
        <w:t>, as TA</w:t>
      </w:r>
      <w:r w:rsidR="009B0B2C" w:rsidRPr="009B0B2C">
        <w:rPr>
          <w:rFonts w:eastAsia="Arial" w:cs="Arial"/>
          <w:color w:val="000000" w:themeColor="text1"/>
          <w:sz w:val="22"/>
          <w:szCs w:val="22"/>
        </w:rPr>
        <w:t xml:space="preserve"> is a major part of the EBF offering, and these indicators capture several key aspects of </w:t>
      </w:r>
      <w:r w:rsidR="009B0B2C">
        <w:rPr>
          <w:rFonts w:eastAsia="Arial" w:cs="Arial"/>
          <w:color w:val="000000" w:themeColor="text1"/>
          <w:sz w:val="22"/>
          <w:szCs w:val="22"/>
        </w:rPr>
        <w:t>it</w:t>
      </w:r>
      <w:r w:rsidR="009B0B2C" w:rsidRPr="009B0B2C">
        <w:rPr>
          <w:rFonts w:eastAsia="Arial" w:cs="Arial"/>
          <w:color w:val="000000" w:themeColor="text1"/>
          <w:sz w:val="22"/>
          <w:szCs w:val="22"/>
        </w:rPr>
        <w:t>.</w:t>
      </w:r>
    </w:p>
    <w:p w14:paraId="7AE127CF" w14:textId="77777777" w:rsidR="0016430F" w:rsidRPr="00A54B18" w:rsidRDefault="0016430F" w:rsidP="005E557A">
      <w:pPr>
        <w:jc w:val="both"/>
        <w:rPr>
          <w:rFonts w:eastAsia="Arial" w:cs="Arial"/>
          <w:b/>
          <w:bCs/>
          <w:color w:val="000000" w:themeColor="text1"/>
          <w:sz w:val="22"/>
          <w:szCs w:val="22"/>
        </w:rPr>
      </w:pPr>
    </w:p>
    <w:tbl>
      <w:tblPr>
        <w:tblStyle w:val="TableGrid"/>
        <w:tblW w:w="9162" w:type="dxa"/>
        <w:tblInd w:w="-147" w:type="dxa"/>
        <w:tblLook w:val="04A0" w:firstRow="1" w:lastRow="0" w:firstColumn="1" w:lastColumn="0" w:noHBand="0" w:noVBand="1"/>
      </w:tblPr>
      <w:tblGrid>
        <w:gridCol w:w="1696"/>
        <w:gridCol w:w="548"/>
        <w:gridCol w:w="882"/>
        <w:gridCol w:w="2795"/>
        <w:gridCol w:w="239"/>
        <w:gridCol w:w="1311"/>
        <w:gridCol w:w="1691"/>
      </w:tblGrid>
      <w:tr w:rsidR="00FA1495" w:rsidRPr="00A54B18" w14:paraId="600A7FF1" w14:textId="77777777" w:rsidTr="0014673F">
        <w:trPr>
          <w:trHeight w:val="486"/>
        </w:trPr>
        <w:tc>
          <w:tcPr>
            <w:tcW w:w="169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B199E3A" w14:textId="77777777" w:rsidR="408E217B" w:rsidRPr="00A54B18" w:rsidRDefault="77E52132" w:rsidP="005E557A">
            <w:pPr>
              <w:rPr>
                <w:rFonts w:eastAsia="Arial" w:cs="Arial"/>
                <w:b/>
                <w:bCs/>
                <w:sz w:val="20"/>
                <w:szCs w:val="20"/>
              </w:rPr>
            </w:pPr>
            <w:r w:rsidRPr="00A54B18">
              <w:rPr>
                <w:rFonts w:eastAsia="Arial" w:cs="Arial"/>
                <w:b/>
                <w:bCs/>
                <w:sz w:val="20"/>
                <w:szCs w:val="20"/>
              </w:rPr>
              <w:t xml:space="preserve">Output Title </w:t>
            </w:r>
          </w:p>
        </w:tc>
        <w:tc>
          <w:tcPr>
            <w:tcW w:w="746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A91CE92" w14:textId="3A9A138F" w:rsidR="408E217B" w:rsidRPr="00A54B18" w:rsidRDefault="3E4AC18A" w:rsidP="005E557A">
            <w:pPr>
              <w:rPr>
                <w:rFonts w:eastAsia="Arial" w:cs="Arial"/>
                <w:i/>
                <w:iCs/>
                <w:color w:val="FF0000"/>
                <w:sz w:val="20"/>
                <w:szCs w:val="20"/>
              </w:rPr>
            </w:pPr>
            <w:r w:rsidRPr="00A54B18">
              <w:rPr>
                <w:rStyle w:val="normaltextrun"/>
                <w:rFonts w:eastAsia="Arial" w:cs="Arial"/>
                <w:color w:val="000000"/>
                <w:sz w:val="22"/>
                <w:szCs w:val="22"/>
                <w:shd w:val="clear" w:color="auto" w:fill="FFFFFF"/>
              </w:rPr>
              <w:t>Improved partnerships and development of activities with other sector stakeholders</w:t>
            </w:r>
            <w:r w:rsidRPr="00A54B18">
              <w:rPr>
                <w:rStyle w:val="eop"/>
                <w:rFonts w:eastAsia="Arial" w:cs="Arial"/>
                <w:color w:val="000000"/>
                <w:sz w:val="22"/>
                <w:szCs w:val="22"/>
                <w:shd w:val="clear" w:color="auto" w:fill="FFFFFF"/>
              </w:rPr>
              <w:t> </w:t>
            </w:r>
          </w:p>
        </w:tc>
      </w:tr>
      <w:tr w:rsidR="004556EE" w:rsidRPr="00A54B18" w14:paraId="3B8333F0" w14:textId="77777777" w:rsidTr="0014673F">
        <w:trPr>
          <w:trHeight w:val="345"/>
        </w:trPr>
        <w:tc>
          <w:tcPr>
            <w:tcW w:w="224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31A970" w14:textId="77777777" w:rsidR="408E217B" w:rsidRPr="00A54B18" w:rsidRDefault="77E52132" w:rsidP="005E557A">
            <w:pPr>
              <w:rPr>
                <w:rFonts w:eastAsia="Arial" w:cs="Arial"/>
                <w:sz w:val="20"/>
                <w:szCs w:val="20"/>
              </w:rPr>
            </w:pPr>
            <w:r w:rsidRPr="00A54B18">
              <w:rPr>
                <w:rFonts w:eastAsia="Arial" w:cs="Arial"/>
                <w:sz w:val="20"/>
                <w:szCs w:val="20"/>
              </w:rPr>
              <w:t xml:space="preserve">Output number: </w:t>
            </w:r>
          </w:p>
        </w:tc>
        <w:tc>
          <w:tcPr>
            <w:tcW w:w="882" w:type="dxa"/>
            <w:tcBorders>
              <w:top w:val="single" w:sz="4" w:space="0" w:color="auto"/>
              <w:left w:val="single" w:sz="4" w:space="0" w:color="auto"/>
              <w:bottom w:val="single" w:sz="4" w:space="0" w:color="auto"/>
              <w:right w:val="single" w:sz="4" w:space="0" w:color="auto"/>
            </w:tcBorders>
          </w:tcPr>
          <w:p w14:paraId="23F9CA14" w14:textId="5F93DECB" w:rsidR="408E217B" w:rsidRPr="00A54B18" w:rsidRDefault="3E4AC18A" w:rsidP="005E557A">
            <w:pPr>
              <w:rPr>
                <w:rFonts w:eastAsia="Arial" w:cs="Arial"/>
                <w:sz w:val="20"/>
                <w:szCs w:val="20"/>
              </w:rPr>
            </w:pPr>
            <w:r w:rsidRPr="00A54B18">
              <w:rPr>
                <w:rFonts w:eastAsia="Arial" w:cs="Arial"/>
                <w:sz w:val="20"/>
                <w:szCs w:val="20"/>
              </w:rPr>
              <w:t>4</w:t>
            </w:r>
          </w:p>
        </w:tc>
        <w:tc>
          <w:tcPr>
            <w:tcW w:w="303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2D19FD" w14:textId="77777777" w:rsidR="408E217B" w:rsidRPr="00A54B18" w:rsidRDefault="77E52132" w:rsidP="005E557A">
            <w:pPr>
              <w:rPr>
                <w:rFonts w:eastAsia="Arial" w:cs="Arial"/>
                <w:sz w:val="20"/>
                <w:szCs w:val="20"/>
              </w:rPr>
            </w:pPr>
            <w:r w:rsidRPr="00A54B18">
              <w:rPr>
                <w:rFonts w:eastAsia="Arial" w:cs="Arial"/>
                <w:sz w:val="20"/>
                <w:szCs w:val="20"/>
              </w:rPr>
              <w:t xml:space="preserve">Output Score: </w:t>
            </w:r>
          </w:p>
        </w:tc>
        <w:tc>
          <w:tcPr>
            <w:tcW w:w="3002" w:type="dxa"/>
            <w:gridSpan w:val="2"/>
            <w:tcBorders>
              <w:top w:val="single" w:sz="4" w:space="0" w:color="auto"/>
              <w:left w:val="single" w:sz="4" w:space="0" w:color="auto"/>
              <w:bottom w:val="single" w:sz="4" w:space="0" w:color="auto"/>
              <w:right w:val="single" w:sz="4" w:space="0" w:color="auto"/>
            </w:tcBorders>
          </w:tcPr>
          <w:p w14:paraId="0BF98B77" w14:textId="6B975E0A" w:rsidR="408E217B" w:rsidRPr="00A54B18" w:rsidRDefault="480BD4CA" w:rsidP="005E557A">
            <w:pPr>
              <w:rPr>
                <w:rFonts w:eastAsia="Arial" w:cs="Arial"/>
                <w:b/>
                <w:bCs/>
                <w:i/>
                <w:iCs/>
                <w:color w:val="FF0000"/>
                <w:sz w:val="20"/>
                <w:szCs w:val="20"/>
              </w:rPr>
            </w:pPr>
            <w:r w:rsidRPr="00A54B18">
              <w:rPr>
                <w:rFonts w:eastAsia="Arial" w:cs="Arial"/>
                <w:b/>
                <w:bCs/>
                <w:i/>
                <w:iCs/>
                <w:sz w:val="20"/>
                <w:szCs w:val="20"/>
              </w:rPr>
              <w:t>A</w:t>
            </w:r>
          </w:p>
        </w:tc>
      </w:tr>
      <w:tr w:rsidR="004556EE" w:rsidRPr="00A54B18" w14:paraId="48DD5B05" w14:textId="77777777" w:rsidTr="0014673F">
        <w:trPr>
          <w:trHeight w:val="343"/>
        </w:trPr>
        <w:tc>
          <w:tcPr>
            <w:tcW w:w="224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C494A1" w14:textId="77777777" w:rsidR="408E217B" w:rsidRPr="00A54B18" w:rsidRDefault="77E52132" w:rsidP="005E557A">
            <w:pPr>
              <w:rPr>
                <w:rFonts w:eastAsia="Arial" w:cs="Arial"/>
                <w:sz w:val="20"/>
                <w:szCs w:val="20"/>
              </w:rPr>
            </w:pPr>
            <w:r w:rsidRPr="00A54B18">
              <w:rPr>
                <w:rFonts w:eastAsia="Arial" w:cs="Arial"/>
                <w:sz w:val="20"/>
                <w:szCs w:val="20"/>
              </w:rPr>
              <w:t xml:space="preserve">Impact weighting (%):  </w:t>
            </w:r>
          </w:p>
        </w:tc>
        <w:tc>
          <w:tcPr>
            <w:tcW w:w="882" w:type="dxa"/>
            <w:tcBorders>
              <w:top w:val="single" w:sz="4" w:space="0" w:color="auto"/>
              <w:left w:val="single" w:sz="4" w:space="0" w:color="auto"/>
              <w:bottom w:val="single" w:sz="4" w:space="0" w:color="auto"/>
              <w:right w:val="single" w:sz="4" w:space="0" w:color="auto"/>
            </w:tcBorders>
          </w:tcPr>
          <w:p w14:paraId="72B953C5" w14:textId="3385E662" w:rsidR="408E217B" w:rsidRPr="00A54B18" w:rsidRDefault="3E4AC18A" w:rsidP="005E557A">
            <w:pPr>
              <w:rPr>
                <w:rFonts w:eastAsia="Arial" w:cs="Arial"/>
                <w:sz w:val="20"/>
                <w:szCs w:val="20"/>
              </w:rPr>
            </w:pPr>
            <w:r w:rsidRPr="00A54B18">
              <w:rPr>
                <w:rFonts w:eastAsia="Arial" w:cs="Arial"/>
                <w:sz w:val="20"/>
                <w:szCs w:val="20"/>
              </w:rPr>
              <w:t>15</w:t>
            </w:r>
          </w:p>
        </w:tc>
        <w:tc>
          <w:tcPr>
            <w:tcW w:w="303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5720B0" w14:textId="2FF2D427" w:rsidR="408E217B" w:rsidRPr="00A54B18" w:rsidRDefault="77E52132" w:rsidP="005E557A">
            <w:pPr>
              <w:rPr>
                <w:rFonts w:eastAsia="Arial" w:cs="Arial"/>
                <w:sz w:val="20"/>
                <w:szCs w:val="20"/>
              </w:rPr>
            </w:pPr>
            <w:r w:rsidRPr="00A54B18">
              <w:rPr>
                <w:rFonts w:eastAsia="Arial" w:cs="Arial"/>
                <w:sz w:val="20"/>
                <w:szCs w:val="20"/>
              </w:rPr>
              <w:t xml:space="preserve">Weighting revised since last </w:t>
            </w:r>
            <w:proofErr w:type="gramStart"/>
            <w:r w:rsidRPr="00A54B18">
              <w:rPr>
                <w:rFonts w:eastAsia="Arial" w:cs="Arial"/>
                <w:sz w:val="20"/>
                <w:szCs w:val="20"/>
              </w:rPr>
              <w:t>AR?</w:t>
            </w:r>
            <w:proofErr w:type="gramEnd"/>
            <w:r w:rsidRPr="00A54B18">
              <w:rPr>
                <w:rFonts w:eastAsia="Arial" w:cs="Arial"/>
                <w:sz w:val="20"/>
                <w:szCs w:val="20"/>
              </w:rPr>
              <w:t xml:space="preserve"> </w:t>
            </w:r>
          </w:p>
        </w:tc>
        <w:tc>
          <w:tcPr>
            <w:tcW w:w="3002" w:type="dxa"/>
            <w:gridSpan w:val="2"/>
            <w:tcBorders>
              <w:top w:val="single" w:sz="4" w:space="0" w:color="auto"/>
              <w:left w:val="single" w:sz="4" w:space="0" w:color="auto"/>
              <w:bottom w:val="single" w:sz="4" w:space="0" w:color="auto"/>
              <w:right w:val="single" w:sz="4" w:space="0" w:color="auto"/>
            </w:tcBorders>
          </w:tcPr>
          <w:p w14:paraId="48D0AA62" w14:textId="29CCF1A4" w:rsidR="408E217B" w:rsidRPr="00A54B18" w:rsidRDefault="3E4AC18A" w:rsidP="005E557A">
            <w:pPr>
              <w:rPr>
                <w:rFonts w:eastAsia="Arial" w:cs="Arial"/>
                <w:sz w:val="20"/>
                <w:szCs w:val="20"/>
              </w:rPr>
            </w:pPr>
            <w:r w:rsidRPr="00A54B18">
              <w:rPr>
                <w:rFonts w:eastAsia="Arial" w:cs="Arial"/>
                <w:sz w:val="20"/>
                <w:szCs w:val="20"/>
              </w:rPr>
              <w:t>No</w:t>
            </w:r>
          </w:p>
        </w:tc>
      </w:tr>
      <w:tr w:rsidR="0014673F" w:rsidRPr="00A54B18" w14:paraId="490B13B7" w14:textId="77777777" w:rsidTr="0014673F">
        <w:trPr>
          <w:trHeight w:val="271"/>
        </w:trPr>
        <w:tc>
          <w:tcPr>
            <w:tcW w:w="5921"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B4F230B" w14:textId="33DD0344" w:rsidR="0014673F" w:rsidRPr="00A54B18" w:rsidRDefault="0014673F" w:rsidP="005E557A">
            <w:pPr>
              <w:rPr>
                <w:rFonts w:eastAsia="Arial" w:cs="Arial"/>
                <w:b/>
                <w:bCs/>
                <w:sz w:val="20"/>
                <w:szCs w:val="20"/>
              </w:rPr>
            </w:pPr>
            <w:r w:rsidRPr="00A54B18">
              <w:rPr>
                <w:rFonts w:eastAsia="Arial" w:cs="Arial"/>
                <w:b/>
                <w:bCs/>
                <w:sz w:val="20"/>
                <w:szCs w:val="20"/>
              </w:rPr>
              <w:t>Indicator</w:t>
            </w:r>
          </w:p>
        </w:tc>
        <w:tc>
          <w:tcPr>
            <w:tcW w:w="155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0FD8A81" w14:textId="1E31137E" w:rsidR="0014673F" w:rsidRPr="00A54B18" w:rsidRDefault="0014673F" w:rsidP="00EA2E37">
            <w:pPr>
              <w:jc w:val="center"/>
              <w:rPr>
                <w:rFonts w:eastAsia="Arial" w:cs="Arial"/>
                <w:b/>
                <w:bCs/>
                <w:sz w:val="20"/>
                <w:szCs w:val="20"/>
              </w:rPr>
            </w:pPr>
            <w:r w:rsidRPr="00A54B18">
              <w:rPr>
                <w:rFonts w:eastAsia="Arial" w:cs="Arial"/>
                <w:b/>
                <w:bCs/>
                <w:sz w:val="20"/>
                <w:szCs w:val="20"/>
              </w:rPr>
              <w:t>Milestone</w:t>
            </w:r>
          </w:p>
        </w:tc>
        <w:tc>
          <w:tcPr>
            <w:tcW w:w="169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A045B19" w14:textId="325855F2" w:rsidR="0014673F" w:rsidRPr="00A54B18" w:rsidRDefault="0014673F" w:rsidP="00EA2E37">
            <w:pPr>
              <w:jc w:val="center"/>
              <w:rPr>
                <w:rFonts w:eastAsia="Arial" w:cs="Arial"/>
                <w:b/>
                <w:bCs/>
                <w:sz w:val="20"/>
                <w:szCs w:val="20"/>
              </w:rPr>
            </w:pPr>
            <w:r w:rsidRPr="00A54B18">
              <w:rPr>
                <w:rFonts w:eastAsia="Arial" w:cs="Arial"/>
                <w:b/>
                <w:bCs/>
                <w:sz w:val="20"/>
                <w:szCs w:val="20"/>
              </w:rPr>
              <w:t>Progress</w:t>
            </w:r>
          </w:p>
        </w:tc>
      </w:tr>
      <w:tr w:rsidR="0014673F" w:rsidRPr="00A54B18" w14:paraId="5283D6D1" w14:textId="77777777" w:rsidTr="00993E73">
        <w:trPr>
          <w:trHeight w:val="298"/>
        </w:trPr>
        <w:tc>
          <w:tcPr>
            <w:tcW w:w="5921" w:type="dxa"/>
            <w:gridSpan w:val="4"/>
            <w:tcBorders>
              <w:top w:val="single" w:sz="4" w:space="0" w:color="auto"/>
              <w:left w:val="single" w:sz="4" w:space="0" w:color="auto"/>
              <w:bottom w:val="single" w:sz="4" w:space="0" w:color="auto"/>
              <w:right w:val="single" w:sz="4" w:space="0" w:color="auto"/>
            </w:tcBorders>
          </w:tcPr>
          <w:p w14:paraId="39814024" w14:textId="09D437AF" w:rsidR="0014673F" w:rsidRPr="008D3404" w:rsidRDefault="0014673F" w:rsidP="005E557A">
            <w:pPr>
              <w:rPr>
                <w:rFonts w:eastAsia="Arial" w:cs="Arial"/>
                <w:sz w:val="22"/>
                <w:szCs w:val="22"/>
              </w:rPr>
            </w:pPr>
            <w:r w:rsidRPr="008D3404">
              <w:rPr>
                <w:rStyle w:val="normaltextrun"/>
                <w:rFonts w:eastAsia="Arial" w:cs="Arial"/>
                <w:color w:val="000000"/>
                <w:sz w:val="22"/>
                <w:szCs w:val="22"/>
                <w:shd w:val="clear" w:color="auto" w:fill="FFFFFF"/>
              </w:rPr>
              <w:t>4.2 Number of events EBF has supported</w:t>
            </w:r>
            <w:r w:rsidRPr="008D3404">
              <w:rPr>
                <w:rStyle w:val="eop"/>
                <w:rFonts w:eastAsia="Arial" w:cs="Arial"/>
                <w:color w:val="000000"/>
                <w:sz w:val="22"/>
                <w:szCs w:val="22"/>
                <w:shd w:val="clear" w:color="auto" w:fill="FFFFFF"/>
              </w:rPr>
              <w:t> </w:t>
            </w:r>
          </w:p>
        </w:tc>
        <w:tc>
          <w:tcPr>
            <w:tcW w:w="1550" w:type="dxa"/>
            <w:gridSpan w:val="2"/>
            <w:tcBorders>
              <w:top w:val="single" w:sz="4" w:space="0" w:color="auto"/>
              <w:left w:val="single" w:sz="4" w:space="0" w:color="auto"/>
              <w:bottom w:val="single" w:sz="4" w:space="0" w:color="auto"/>
              <w:right w:val="single" w:sz="4" w:space="0" w:color="auto"/>
            </w:tcBorders>
          </w:tcPr>
          <w:p w14:paraId="551EC99E" w14:textId="61AC0190" w:rsidR="0014673F" w:rsidRPr="008D3404" w:rsidRDefault="0014673F" w:rsidP="00EA2E37">
            <w:pPr>
              <w:jc w:val="center"/>
              <w:rPr>
                <w:rFonts w:eastAsia="Arial" w:cs="Arial"/>
                <w:sz w:val="22"/>
                <w:szCs w:val="22"/>
              </w:rPr>
            </w:pPr>
            <w:r w:rsidRPr="008D3404">
              <w:rPr>
                <w:rFonts w:eastAsia="Arial" w:cs="Arial"/>
                <w:sz w:val="22"/>
                <w:szCs w:val="22"/>
              </w:rPr>
              <w:t>50</w:t>
            </w:r>
          </w:p>
        </w:tc>
        <w:tc>
          <w:tcPr>
            <w:tcW w:w="169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8E2E587" w14:textId="271AB5CE" w:rsidR="0014673F" w:rsidRPr="008D3404" w:rsidRDefault="0014673F" w:rsidP="00EA2E37">
            <w:pPr>
              <w:jc w:val="center"/>
              <w:rPr>
                <w:rFonts w:eastAsia="Arial" w:cs="Arial"/>
                <w:sz w:val="22"/>
                <w:szCs w:val="22"/>
              </w:rPr>
            </w:pPr>
            <w:r w:rsidRPr="008D3404">
              <w:rPr>
                <w:rFonts w:eastAsia="Arial" w:cs="Arial"/>
                <w:sz w:val="22"/>
                <w:szCs w:val="22"/>
              </w:rPr>
              <w:t>59</w:t>
            </w:r>
            <w:r w:rsidR="00C427B8" w:rsidRPr="008D3404">
              <w:rPr>
                <w:sz w:val="22"/>
                <w:szCs w:val="22"/>
              </w:rPr>
              <w:t xml:space="preserve"> (+6)</w:t>
            </w:r>
          </w:p>
        </w:tc>
      </w:tr>
      <w:tr w:rsidR="0014673F" w:rsidRPr="00A54B18" w14:paraId="58DDF337" w14:textId="77777777" w:rsidTr="0014673F">
        <w:trPr>
          <w:trHeight w:val="298"/>
        </w:trPr>
        <w:tc>
          <w:tcPr>
            <w:tcW w:w="5921" w:type="dxa"/>
            <w:gridSpan w:val="4"/>
            <w:tcBorders>
              <w:top w:val="single" w:sz="4" w:space="0" w:color="auto"/>
              <w:left w:val="single" w:sz="4" w:space="0" w:color="auto"/>
              <w:bottom w:val="single" w:sz="4" w:space="0" w:color="auto"/>
              <w:right w:val="single" w:sz="4" w:space="0" w:color="auto"/>
            </w:tcBorders>
          </w:tcPr>
          <w:p w14:paraId="1098F942" w14:textId="4EFE56AE" w:rsidR="0014673F" w:rsidRPr="008D3404" w:rsidRDefault="0014673F" w:rsidP="005E557A">
            <w:pPr>
              <w:rPr>
                <w:rFonts w:eastAsia="Arial" w:cs="Arial"/>
                <w:sz w:val="22"/>
                <w:szCs w:val="22"/>
              </w:rPr>
            </w:pPr>
            <w:r w:rsidRPr="008D3404">
              <w:rPr>
                <w:rStyle w:val="normaltextrun"/>
                <w:rFonts w:eastAsia="Arial" w:cs="Arial"/>
                <w:i/>
                <w:iCs/>
                <w:color w:val="000000"/>
                <w:sz w:val="22"/>
                <w:szCs w:val="22"/>
                <w:shd w:val="clear" w:color="auto" w:fill="FFFFFF"/>
              </w:rPr>
              <w:t>4.3 Number of investments realized by the Fund in partnership with other institutions (e.g., syndicated loans)</w:t>
            </w:r>
            <w:r w:rsidRPr="008D3404">
              <w:rPr>
                <w:rStyle w:val="eop"/>
                <w:rFonts w:eastAsia="Arial" w:cs="Arial"/>
                <w:color w:val="000000"/>
                <w:sz w:val="22"/>
                <w:szCs w:val="22"/>
                <w:shd w:val="clear" w:color="auto" w:fill="FFFFFF"/>
              </w:rPr>
              <w:t> </w:t>
            </w:r>
          </w:p>
        </w:tc>
        <w:tc>
          <w:tcPr>
            <w:tcW w:w="1550" w:type="dxa"/>
            <w:gridSpan w:val="2"/>
            <w:tcBorders>
              <w:top w:val="single" w:sz="4" w:space="0" w:color="auto"/>
              <w:left w:val="single" w:sz="4" w:space="0" w:color="auto"/>
              <w:bottom w:val="single" w:sz="4" w:space="0" w:color="auto"/>
              <w:right w:val="single" w:sz="4" w:space="0" w:color="auto"/>
            </w:tcBorders>
          </w:tcPr>
          <w:p w14:paraId="579F25A1" w14:textId="01E60294" w:rsidR="0014673F" w:rsidRPr="008D3404" w:rsidRDefault="0014673F" w:rsidP="00EA2E37">
            <w:pPr>
              <w:jc w:val="center"/>
              <w:rPr>
                <w:rFonts w:eastAsia="Arial" w:cs="Arial"/>
                <w:sz w:val="22"/>
                <w:szCs w:val="22"/>
              </w:rPr>
            </w:pPr>
            <w:r w:rsidRPr="008D3404">
              <w:rPr>
                <w:rFonts w:eastAsia="Arial" w:cs="Arial"/>
                <w:sz w:val="22"/>
                <w:szCs w:val="22"/>
              </w:rPr>
              <w:t>n/a</w:t>
            </w:r>
          </w:p>
        </w:tc>
        <w:tc>
          <w:tcPr>
            <w:tcW w:w="1691" w:type="dxa"/>
            <w:tcBorders>
              <w:top w:val="single" w:sz="4" w:space="0" w:color="auto"/>
              <w:left w:val="single" w:sz="4" w:space="0" w:color="auto"/>
              <w:bottom w:val="single" w:sz="4" w:space="0" w:color="auto"/>
              <w:right w:val="single" w:sz="4" w:space="0" w:color="auto"/>
            </w:tcBorders>
          </w:tcPr>
          <w:p w14:paraId="75567E46" w14:textId="216EC2F2" w:rsidR="0014673F" w:rsidRPr="008D3404" w:rsidRDefault="00957184" w:rsidP="00EA2E37">
            <w:pPr>
              <w:jc w:val="center"/>
              <w:rPr>
                <w:rFonts w:eastAsia="Arial" w:cs="Arial"/>
                <w:sz w:val="22"/>
                <w:szCs w:val="22"/>
              </w:rPr>
            </w:pPr>
            <w:r>
              <w:rPr>
                <w:sz w:val="20"/>
                <w:szCs w:val="20"/>
              </w:rPr>
              <w:t>n/a</w:t>
            </w:r>
          </w:p>
        </w:tc>
      </w:tr>
      <w:tr w:rsidR="0014673F" w:rsidRPr="00A54B18" w14:paraId="67F9B379" w14:textId="77777777" w:rsidTr="0014673F">
        <w:trPr>
          <w:trHeight w:val="298"/>
        </w:trPr>
        <w:tc>
          <w:tcPr>
            <w:tcW w:w="5921" w:type="dxa"/>
            <w:gridSpan w:val="4"/>
            <w:tcBorders>
              <w:top w:val="single" w:sz="4" w:space="0" w:color="auto"/>
              <w:left w:val="single" w:sz="4" w:space="0" w:color="auto"/>
              <w:bottom w:val="single" w:sz="4" w:space="0" w:color="auto"/>
              <w:right w:val="single" w:sz="4" w:space="0" w:color="auto"/>
            </w:tcBorders>
          </w:tcPr>
          <w:p w14:paraId="55C85DFF" w14:textId="0CC4EFE0" w:rsidR="0014673F" w:rsidRPr="008D3404" w:rsidRDefault="0014673F" w:rsidP="005E557A">
            <w:pPr>
              <w:rPr>
                <w:rFonts w:eastAsia="Arial" w:cs="Arial"/>
                <w:sz w:val="22"/>
                <w:szCs w:val="22"/>
              </w:rPr>
            </w:pPr>
            <w:r w:rsidRPr="008D3404">
              <w:rPr>
                <w:rStyle w:val="normaltextrun"/>
                <w:rFonts w:eastAsia="Arial" w:cs="Arial"/>
                <w:i/>
                <w:iCs/>
                <w:color w:val="000000"/>
                <w:sz w:val="22"/>
                <w:szCs w:val="22"/>
                <w:shd w:val="clear" w:color="auto" w:fill="FFFFFF"/>
              </w:rPr>
              <w:t>4.4 Investments realized by the Fund in partnership with other institutions ($m)</w:t>
            </w:r>
            <w:r w:rsidRPr="008D3404">
              <w:rPr>
                <w:rStyle w:val="eop"/>
                <w:rFonts w:eastAsia="Arial" w:cs="Arial"/>
                <w:color w:val="000000"/>
                <w:sz w:val="22"/>
                <w:szCs w:val="22"/>
              </w:rPr>
              <w:t> </w:t>
            </w:r>
          </w:p>
        </w:tc>
        <w:tc>
          <w:tcPr>
            <w:tcW w:w="1550" w:type="dxa"/>
            <w:gridSpan w:val="2"/>
            <w:tcBorders>
              <w:top w:val="single" w:sz="4" w:space="0" w:color="auto"/>
              <w:left w:val="single" w:sz="4" w:space="0" w:color="auto"/>
              <w:bottom w:val="single" w:sz="4" w:space="0" w:color="auto"/>
              <w:right w:val="single" w:sz="4" w:space="0" w:color="auto"/>
            </w:tcBorders>
          </w:tcPr>
          <w:p w14:paraId="02CAD163" w14:textId="6FFD9D30" w:rsidR="0014673F" w:rsidRPr="008D3404" w:rsidRDefault="0014673F" w:rsidP="00EA2E37">
            <w:pPr>
              <w:jc w:val="center"/>
              <w:rPr>
                <w:rFonts w:eastAsia="Arial" w:cs="Arial"/>
                <w:sz w:val="22"/>
                <w:szCs w:val="22"/>
              </w:rPr>
            </w:pPr>
            <w:r w:rsidRPr="008D3404">
              <w:rPr>
                <w:rFonts w:eastAsia="Arial" w:cs="Arial"/>
                <w:sz w:val="22"/>
                <w:szCs w:val="22"/>
              </w:rPr>
              <w:t>n/a</w:t>
            </w:r>
          </w:p>
        </w:tc>
        <w:tc>
          <w:tcPr>
            <w:tcW w:w="1691" w:type="dxa"/>
            <w:tcBorders>
              <w:top w:val="single" w:sz="4" w:space="0" w:color="auto"/>
              <w:left w:val="single" w:sz="4" w:space="0" w:color="auto"/>
              <w:bottom w:val="single" w:sz="4" w:space="0" w:color="auto"/>
              <w:right w:val="single" w:sz="4" w:space="0" w:color="auto"/>
            </w:tcBorders>
          </w:tcPr>
          <w:p w14:paraId="6FF83C2D" w14:textId="7AF0CF70" w:rsidR="0014673F" w:rsidRPr="008D3404" w:rsidRDefault="00957184" w:rsidP="00EA2E37">
            <w:pPr>
              <w:jc w:val="center"/>
              <w:rPr>
                <w:rFonts w:eastAsia="Arial" w:cs="Arial"/>
                <w:sz w:val="22"/>
                <w:szCs w:val="22"/>
              </w:rPr>
            </w:pPr>
            <w:r>
              <w:rPr>
                <w:sz w:val="20"/>
                <w:szCs w:val="20"/>
              </w:rPr>
              <w:t>n/a</w:t>
            </w:r>
          </w:p>
        </w:tc>
      </w:tr>
    </w:tbl>
    <w:p w14:paraId="278420ED" w14:textId="260345C1" w:rsidR="00535C82" w:rsidRPr="00A54B18" w:rsidRDefault="56E6E822" w:rsidP="006F5001">
      <w:pPr>
        <w:pStyle w:val="Normal1"/>
        <w:spacing w:before="240" w:after="120"/>
        <w:jc w:val="both"/>
        <w:rPr>
          <w:b/>
          <w:bCs/>
          <w:sz w:val="22"/>
          <w:szCs w:val="22"/>
        </w:rPr>
      </w:pPr>
      <w:r w:rsidRPr="00A54B18">
        <w:rPr>
          <w:b/>
          <w:bCs/>
          <w:sz w:val="22"/>
          <w:szCs w:val="22"/>
        </w:rPr>
        <w:t>Key Points</w:t>
      </w:r>
    </w:p>
    <w:p w14:paraId="33F722F2" w14:textId="2B21CC32" w:rsidR="61C93A43" w:rsidRPr="001E0775" w:rsidRDefault="00E628E0" w:rsidP="005E557A">
      <w:pPr>
        <w:pStyle w:val="ListParagraph"/>
        <w:numPr>
          <w:ilvl w:val="0"/>
          <w:numId w:val="3"/>
        </w:numPr>
        <w:spacing w:before="60" w:after="0"/>
        <w:ind w:left="357" w:hanging="357"/>
        <w:contextualSpacing w:val="0"/>
        <w:jc w:val="both"/>
        <w:rPr>
          <w:rFonts w:eastAsia="Arial" w:cs="Arial"/>
          <w:sz w:val="22"/>
          <w:szCs w:val="22"/>
        </w:rPr>
      </w:pPr>
      <w:r>
        <w:rPr>
          <w:rFonts w:eastAsia="Arial" w:cs="Arial"/>
          <w:sz w:val="22"/>
          <w:szCs w:val="22"/>
        </w:rPr>
        <w:t>Previously indica</w:t>
      </w:r>
      <w:r w:rsidR="196B50FF" w:rsidRPr="001E0775">
        <w:rPr>
          <w:rFonts w:eastAsia="Arial" w:cs="Arial"/>
          <w:sz w:val="22"/>
          <w:szCs w:val="22"/>
        </w:rPr>
        <w:t>t</w:t>
      </w:r>
      <w:r>
        <w:rPr>
          <w:rFonts w:eastAsia="Arial" w:cs="Arial"/>
          <w:sz w:val="22"/>
          <w:szCs w:val="22"/>
        </w:rPr>
        <w:t xml:space="preserve">or 4.1 was included showing the number of external events organised by EBF, but this has been removed following the recommendation of the 2021 </w:t>
      </w:r>
      <w:r w:rsidR="00CF1F00">
        <w:rPr>
          <w:rFonts w:eastAsia="Arial" w:cs="Arial"/>
          <w:sz w:val="22"/>
          <w:szCs w:val="22"/>
        </w:rPr>
        <w:t>AR</w:t>
      </w:r>
      <w:r>
        <w:rPr>
          <w:rFonts w:eastAsia="Arial" w:cs="Arial"/>
          <w:sz w:val="22"/>
          <w:szCs w:val="22"/>
        </w:rPr>
        <w:t>. EBF have</w:t>
      </w:r>
      <w:r w:rsidR="196B50FF" w:rsidRPr="001E0775">
        <w:rPr>
          <w:rFonts w:eastAsia="Arial" w:cs="Arial"/>
          <w:sz w:val="22"/>
          <w:szCs w:val="22"/>
        </w:rPr>
        <w:t xml:space="preserve"> found that there is more value in co-sponsoring events, with the involvement of additional stakeholders, than doing events on the initiative of the fund alone.</w:t>
      </w:r>
    </w:p>
    <w:p w14:paraId="4D87FFAC" w14:textId="3AB9159C" w:rsidR="7FC0920D" w:rsidRDefault="512D67FE" w:rsidP="005E557A">
      <w:pPr>
        <w:pStyle w:val="ListParagraph"/>
        <w:numPr>
          <w:ilvl w:val="0"/>
          <w:numId w:val="3"/>
        </w:numPr>
        <w:spacing w:before="60" w:after="0"/>
        <w:ind w:left="357" w:hanging="357"/>
        <w:contextualSpacing w:val="0"/>
        <w:jc w:val="both"/>
        <w:rPr>
          <w:rFonts w:eastAsia="Arial" w:cs="Arial"/>
          <w:color w:val="000000" w:themeColor="text1"/>
          <w:sz w:val="22"/>
          <w:szCs w:val="22"/>
        </w:rPr>
      </w:pPr>
      <w:r w:rsidRPr="001E0775">
        <w:rPr>
          <w:rFonts w:eastAsia="Arial" w:cs="Arial"/>
          <w:color w:val="000000" w:themeColor="text1"/>
          <w:sz w:val="22"/>
          <w:szCs w:val="22"/>
        </w:rPr>
        <w:t>It is worth noting that indicators 4.3 and 4.4 are not considered part of the output scoring as they are not specific objectives of the EBF. However, they are still being measured as a matter of data collection.</w:t>
      </w:r>
    </w:p>
    <w:p w14:paraId="20A75014" w14:textId="77777777" w:rsidR="002A1FC0" w:rsidRPr="002A1FC0" w:rsidRDefault="002A1FC0" w:rsidP="005017BA">
      <w:pPr>
        <w:pStyle w:val="ListParagraph"/>
        <w:numPr>
          <w:ilvl w:val="0"/>
          <w:numId w:val="3"/>
        </w:numPr>
        <w:spacing w:before="60" w:after="0"/>
        <w:ind w:left="357" w:hanging="357"/>
        <w:contextualSpacing w:val="0"/>
        <w:jc w:val="both"/>
        <w:rPr>
          <w:rFonts w:eastAsia="Arial" w:cs="Arial"/>
          <w:color w:val="000000" w:themeColor="text1"/>
          <w:sz w:val="22"/>
          <w:szCs w:val="22"/>
        </w:rPr>
      </w:pPr>
      <w:r w:rsidRPr="002A1FC0">
        <w:rPr>
          <w:rFonts w:eastAsia="Arial" w:cs="Arial"/>
          <w:color w:val="000000" w:themeColor="text1"/>
          <w:sz w:val="22"/>
          <w:szCs w:val="22"/>
        </w:rPr>
        <w:t>Examples of events and engagement:</w:t>
      </w:r>
    </w:p>
    <w:p w14:paraId="09AF1DB5" w14:textId="77777777" w:rsidR="002A1FC0" w:rsidRDefault="005017BA" w:rsidP="002A1FC0">
      <w:pPr>
        <w:pStyle w:val="ListParagraph"/>
        <w:numPr>
          <w:ilvl w:val="1"/>
          <w:numId w:val="3"/>
        </w:numPr>
        <w:spacing w:before="60" w:after="0"/>
        <w:contextualSpacing w:val="0"/>
        <w:jc w:val="both"/>
        <w:rPr>
          <w:rFonts w:eastAsia="Arial" w:cs="Arial"/>
          <w:color w:val="000000" w:themeColor="text1"/>
          <w:sz w:val="22"/>
          <w:szCs w:val="22"/>
        </w:rPr>
      </w:pPr>
      <w:r w:rsidRPr="005017BA">
        <w:rPr>
          <w:rFonts w:eastAsia="Arial" w:cs="Arial"/>
          <w:b/>
          <w:bCs/>
          <w:color w:val="000000" w:themeColor="text1"/>
          <w:sz w:val="22"/>
          <w:szCs w:val="22"/>
        </w:rPr>
        <w:t xml:space="preserve">Sustainability Academy: </w:t>
      </w:r>
      <w:r w:rsidRPr="005017BA">
        <w:rPr>
          <w:rFonts w:eastAsia="Arial" w:cs="Arial"/>
          <w:color w:val="000000" w:themeColor="text1"/>
          <w:sz w:val="22"/>
          <w:szCs w:val="22"/>
        </w:rPr>
        <w:t>the first edition of the course “Certified Expert in Sustainable Finance” started. It is the first online course that is certified by the Sustainability Academy and set up in collaboration with Frankfurt School of Finance and Management. The objective of this course is to deepen the understanding of how companies and investors can access the green market</w:t>
      </w:r>
      <w:r>
        <w:rPr>
          <w:rFonts w:eastAsia="Arial" w:cs="Arial"/>
          <w:color w:val="000000" w:themeColor="text1"/>
          <w:sz w:val="22"/>
          <w:szCs w:val="22"/>
        </w:rPr>
        <w:t>.</w:t>
      </w:r>
    </w:p>
    <w:p w14:paraId="7B66995B" w14:textId="4EC57F3D" w:rsidR="005017BA" w:rsidRPr="002A1FC0" w:rsidRDefault="005017BA" w:rsidP="002A1FC0">
      <w:pPr>
        <w:pStyle w:val="ListParagraph"/>
        <w:numPr>
          <w:ilvl w:val="1"/>
          <w:numId w:val="3"/>
        </w:numPr>
        <w:spacing w:before="60" w:after="0"/>
        <w:contextualSpacing w:val="0"/>
        <w:jc w:val="both"/>
        <w:rPr>
          <w:rFonts w:eastAsia="Arial" w:cs="Arial"/>
          <w:color w:val="000000" w:themeColor="text1"/>
          <w:sz w:val="22"/>
          <w:szCs w:val="22"/>
        </w:rPr>
      </w:pPr>
      <w:r w:rsidRPr="002A1FC0">
        <w:rPr>
          <w:rFonts w:eastAsia="Arial" w:cs="Arial"/>
          <w:b/>
          <w:bCs/>
          <w:color w:val="000000" w:themeColor="text1"/>
          <w:sz w:val="22"/>
          <w:szCs w:val="22"/>
        </w:rPr>
        <w:t xml:space="preserve">Sustainability Week 2022: </w:t>
      </w:r>
      <w:r w:rsidRPr="002A1FC0">
        <w:rPr>
          <w:rFonts w:eastAsia="Arial" w:cs="Arial"/>
          <w:color w:val="000000" w:themeColor="text1"/>
          <w:sz w:val="22"/>
          <w:szCs w:val="22"/>
        </w:rPr>
        <w:t xml:space="preserve">the DF supported the Sustainability Week 2022, a pioneering event providing a platform for global and regional leaders to share solutions, best practices, and tools that drive sustainable impact in Latin America and the Caribbean. During the event, EBF DF presented its strategies to ensure </w:t>
      </w:r>
      <w:r w:rsidRPr="002A1FC0">
        <w:rPr>
          <w:rFonts w:eastAsia="Arial" w:cs="Arial"/>
          <w:color w:val="000000" w:themeColor="text1"/>
          <w:sz w:val="22"/>
          <w:szCs w:val="22"/>
        </w:rPr>
        <w:lastRenderedPageBreak/>
        <w:t>that the fund’s financing is directed to activities that do not cause deforestation. The event reached a total of 9,252 participants from 41 countries.</w:t>
      </w:r>
    </w:p>
    <w:p w14:paraId="4A221C12" w14:textId="5E2D67D0" w:rsidR="003B3E7E" w:rsidRDefault="1F6E098E" w:rsidP="005E557A">
      <w:pPr>
        <w:spacing w:before="120"/>
        <w:jc w:val="both"/>
        <w:rPr>
          <w:rFonts w:eastAsia="Arial" w:cs="Arial"/>
          <w:color w:val="000000" w:themeColor="text1"/>
          <w:sz w:val="22"/>
          <w:szCs w:val="22"/>
        </w:rPr>
      </w:pPr>
      <w:r w:rsidRPr="58D74F02">
        <w:rPr>
          <w:rFonts w:eastAsia="Arial" w:cs="Arial"/>
          <w:b/>
          <w:bCs/>
          <w:color w:val="000000" w:themeColor="text1"/>
          <w:sz w:val="22"/>
          <w:szCs w:val="22"/>
        </w:rPr>
        <w:t>Recommendation</w:t>
      </w:r>
      <w:r w:rsidR="003B3E7E">
        <w:rPr>
          <w:rFonts w:eastAsia="Arial" w:cs="Arial"/>
          <w:b/>
          <w:bCs/>
          <w:color w:val="000000" w:themeColor="text1"/>
          <w:sz w:val="22"/>
          <w:szCs w:val="22"/>
        </w:rPr>
        <w:t>s</w:t>
      </w:r>
      <w:r w:rsidRPr="58D74F02">
        <w:rPr>
          <w:rFonts w:eastAsia="Arial" w:cs="Arial"/>
          <w:b/>
          <w:bCs/>
          <w:color w:val="000000" w:themeColor="text1"/>
          <w:sz w:val="22"/>
          <w:szCs w:val="22"/>
        </w:rPr>
        <w:t>:</w:t>
      </w:r>
      <w:r w:rsidR="10D741D4" w:rsidRPr="58D74F02">
        <w:rPr>
          <w:rFonts w:eastAsia="Arial" w:cs="Arial"/>
          <w:b/>
          <w:bCs/>
          <w:color w:val="000000" w:themeColor="text1"/>
          <w:sz w:val="22"/>
          <w:szCs w:val="22"/>
        </w:rPr>
        <w:t xml:space="preserve"> </w:t>
      </w:r>
      <w:r w:rsidR="0014673F" w:rsidRPr="58D74F02">
        <w:rPr>
          <w:rFonts w:eastAsia="Arial" w:cs="Arial"/>
          <w:color w:val="000000" w:themeColor="text1"/>
          <w:sz w:val="22"/>
          <w:szCs w:val="22"/>
        </w:rPr>
        <w:t xml:space="preserve">As part of this 2022 </w:t>
      </w:r>
      <w:r w:rsidR="00CF1F00">
        <w:rPr>
          <w:rFonts w:eastAsia="Arial" w:cs="Arial"/>
          <w:color w:val="000000" w:themeColor="text1"/>
          <w:sz w:val="22"/>
          <w:szCs w:val="22"/>
        </w:rPr>
        <w:t>AR</w:t>
      </w:r>
      <w:r w:rsidR="0014673F" w:rsidRPr="58D74F02">
        <w:rPr>
          <w:rFonts w:eastAsia="Arial" w:cs="Arial"/>
          <w:color w:val="000000" w:themeColor="text1"/>
          <w:sz w:val="22"/>
          <w:szCs w:val="22"/>
        </w:rPr>
        <w:t xml:space="preserve">, milestones have been set for </w:t>
      </w:r>
      <w:r w:rsidR="0014673F">
        <w:rPr>
          <w:rFonts w:eastAsia="Arial" w:cs="Arial"/>
          <w:color w:val="000000" w:themeColor="text1"/>
          <w:sz w:val="22"/>
          <w:szCs w:val="22"/>
        </w:rPr>
        <w:t xml:space="preserve">2023 that </w:t>
      </w:r>
      <w:proofErr w:type="gramStart"/>
      <w:r w:rsidR="0014673F" w:rsidRPr="00FF2967">
        <w:rPr>
          <w:rFonts w:eastAsia="Arial" w:cs="Arial"/>
          <w:color w:val="000000" w:themeColor="text1"/>
          <w:sz w:val="22"/>
          <w:szCs w:val="22"/>
        </w:rPr>
        <w:t>take into account</w:t>
      </w:r>
      <w:proofErr w:type="gramEnd"/>
      <w:r w:rsidR="0014673F" w:rsidRPr="00FF2967">
        <w:rPr>
          <w:rFonts w:eastAsia="Arial" w:cs="Arial"/>
          <w:color w:val="000000" w:themeColor="text1"/>
          <w:sz w:val="22"/>
          <w:szCs w:val="22"/>
        </w:rPr>
        <w:t xml:space="preserve"> trends over the last few years (both exceeding and missing targets). </w:t>
      </w:r>
      <w:r w:rsidR="0014673F">
        <w:rPr>
          <w:rFonts w:eastAsia="Arial" w:cs="Arial"/>
          <w:color w:val="000000" w:themeColor="text1"/>
          <w:sz w:val="22"/>
          <w:szCs w:val="22"/>
        </w:rPr>
        <w:t>Milestone setting</w:t>
      </w:r>
      <w:r w:rsidR="0014673F" w:rsidRPr="00FF2967">
        <w:rPr>
          <w:rFonts w:eastAsia="Arial" w:cs="Arial"/>
          <w:color w:val="000000" w:themeColor="text1"/>
          <w:sz w:val="22"/>
          <w:szCs w:val="22"/>
        </w:rPr>
        <w:t xml:space="preserve"> for 2024-8</w:t>
      </w:r>
      <w:r w:rsidR="0014673F">
        <w:rPr>
          <w:rFonts w:eastAsia="Arial" w:cs="Arial"/>
          <w:color w:val="000000" w:themeColor="text1"/>
          <w:sz w:val="22"/>
          <w:szCs w:val="22"/>
        </w:rPr>
        <w:t xml:space="preserve"> </w:t>
      </w:r>
      <w:r w:rsidR="00B75745">
        <w:rPr>
          <w:rFonts w:eastAsia="Arial" w:cs="Arial"/>
          <w:color w:val="000000" w:themeColor="text1"/>
          <w:sz w:val="22"/>
          <w:szCs w:val="22"/>
        </w:rPr>
        <w:t>will take place early in 2024</w:t>
      </w:r>
      <w:r w:rsidR="0014673F">
        <w:rPr>
          <w:rFonts w:eastAsia="Arial" w:cs="Arial"/>
          <w:color w:val="000000" w:themeColor="text1"/>
          <w:sz w:val="22"/>
          <w:szCs w:val="22"/>
        </w:rPr>
        <w:t xml:space="preserve"> </w:t>
      </w:r>
      <w:proofErr w:type="gramStart"/>
      <w:r w:rsidR="0014673F">
        <w:rPr>
          <w:rFonts w:eastAsia="Arial" w:cs="Arial"/>
          <w:color w:val="000000" w:themeColor="text1"/>
          <w:sz w:val="22"/>
          <w:szCs w:val="22"/>
        </w:rPr>
        <w:t>and also</w:t>
      </w:r>
      <w:proofErr w:type="gramEnd"/>
      <w:r w:rsidR="0014673F">
        <w:rPr>
          <w:rFonts w:eastAsia="Arial" w:cs="Arial"/>
          <w:color w:val="000000" w:themeColor="text1"/>
          <w:sz w:val="22"/>
          <w:szCs w:val="22"/>
        </w:rPr>
        <w:t xml:space="preserve"> take this into account.</w:t>
      </w:r>
    </w:p>
    <w:p w14:paraId="3C14E775" w14:textId="399A2FCE" w:rsidR="00E75614" w:rsidRPr="00A54B18" w:rsidRDefault="00B75745" w:rsidP="005E557A">
      <w:pPr>
        <w:spacing w:before="120"/>
        <w:jc w:val="both"/>
        <w:rPr>
          <w:rFonts w:eastAsia="Arial" w:cs="Arial"/>
          <w:b/>
          <w:bCs/>
          <w:color w:val="000000" w:themeColor="text1"/>
          <w:sz w:val="22"/>
          <w:szCs w:val="22"/>
        </w:rPr>
      </w:pPr>
      <w:r>
        <w:rPr>
          <w:rFonts w:eastAsia="Arial" w:cs="Arial"/>
          <w:color w:val="000000" w:themeColor="text1"/>
          <w:sz w:val="22"/>
          <w:szCs w:val="22"/>
        </w:rPr>
        <w:t>Recommend</w:t>
      </w:r>
      <w:r w:rsidR="003B3E7E">
        <w:rPr>
          <w:rFonts w:eastAsia="Arial" w:cs="Arial"/>
          <w:color w:val="000000" w:themeColor="text1"/>
          <w:sz w:val="22"/>
          <w:szCs w:val="22"/>
        </w:rPr>
        <w:t xml:space="preserve"> discarding this Output, and combining 4.2 w</w:t>
      </w:r>
      <w:r w:rsidR="00B809B9">
        <w:rPr>
          <w:rFonts w:eastAsia="Arial" w:cs="Arial"/>
          <w:color w:val="000000" w:themeColor="text1"/>
          <w:sz w:val="22"/>
          <w:szCs w:val="22"/>
        </w:rPr>
        <w:t xml:space="preserve">ith Output 3, as 4.2 and 4.3 cannot be </w:t>
      </w:r>
      <w:r w:rsidR="00B227AD">
        <w:rPr>
          <w:rFonts w:eastAsia="Arial" w:cs="Arial"/>
          <w:color w:val="000000" w:themeColor="text1"/>
          <w:sz w:val="22"/>
          <w:szCs w:val="22"/>
        </w:rPr>
        <w:t>published</w:t>
      </w:r>
      <w:r w:rsidR="00B809B9">
        <w:rPr>
          <w:rFonts w:eastAsia="Arial" w:cs="Arial"/>
          <w:color w:val="000000" w:themeColor="text1"/>
          <w:sz w:val="22"/>
          <w:szCs w:val="22"/>
        </w:rPr>
        <w:t xml:space="preserve"> and are not used </w:t>
      </w:r>
      <w:r w:rsidR="00BA7656">
        <w:rPr>
          <w:rFonts w:eastAsia="Arial" w:cs="Arial"/>
          <w:color w:val="000000" w:themeColor="text1"/>
          <w:sz w:val="22"/>
          <w:szCs w:val="22"/>
        </w:rPr>
        <w:t xml:space="preserve">for scoring or </w:t>
      </w:r>
      <w:r w:rsidR="00B809B9">
        <w:rPr>
          <w:rFonts w:eastAsia="Arial" w:cs="Arial"/>
          <w:color w:val="000000" w:themeColor="text1"/>
          <w:sz w:val="22"/>
          <w:szCs w:val="22"/>
        </w:rPr>
        <w:t xml:space="preserve">in </w:t>
      </w:r>
      <w:r w:rsidR="00BA7656">
        <w:rPr>
          <w:rFonts w:eastAsia="Arial" w:cs="Arial"/>
          <w:color w:val="000000" w:themeColor="text1"/>
          <w:sz w:val="22"/>
          <w:szCs w:val="22"/>
        </w:rPr>
        <w:t xml:space="preserve">other </w:t>
      </w:r>
      <w:r w:rsidR="00B809B9">
        <w:rPr>
          <w:rFonts w:eastAsia="Arial" w:cs="Arial"/>
          <w:color w:val="000000" w:themeColor="text1"/>
          <w:sz w:val="22"/>
          <w:szCs w:val="22"/>
        </w:rPr>
        <w:t>internal reporting.</w:t>
      </w:r>
    </w:p>
    <w:p w14:paraId="0036F95C" w14:textId="062EFD0F" w:rsidR="00E75614" w:rsidRPr="00A54B18" w:rsidRDefault="00E75614" w:rsidP="005E557A">
      <w:pPr>
        <w:rPr>
          <w:rFonts w:eastAsia="Arial" w:cs="Arial"/>
        </w:rPr>
      </w:pPr>
    </w:p>
    <w:p w14:paraId="6B57292A" w14:textId="77777777" w:rsidR="00E75614" w:rsidRPr="00A54B18" w:rsidRDefault="00E75614" w:rsidP="005E557A">
      <w:pPr>
        <w:rPr>
          <w:rFonts w:eastAsia="Arial" w:cs="Arial"/>
          <w:sz w:val="20"/>
          <w:szCs w:val="20"/>
        </w:rPr>
      </w:pPr>
    </w:p>
    <w:p w14:paraId="274110C9" w14:textId="0EB802ED" w:rsidR="006F3AE7" w:rsidRPr="00A54B18" w:rsidRDefault="7232A90E" w:rsidP="005E557A">
      <w:pPr>
        <w:shd w:val="clear" w:color="auto" w:fill="D9E2F3" w:themeFill="accent1" w:themeFillTint="33"/>
        <w:rPr>
          <w:rFonts w:eastAsia="Arial" w:cs="Arial"/>
          <w:sz w:val="20"/>
          <w:szCs w:val="20"/>
        </w:rPr>
      </w:pPr>
      <w:r w:rsidRPr="00A54B18">
        <w:rPr>
          <w:rFonts w:eastAsia="Arial" w:cs="Arial"/>
          <w:b/>
          <w:bCs/>
          <w:sz w:val="28"/>
          <w:szCs w:val="28"/>
        </w:rPr>
        <w:t>D: RISK</w:t>
      </w:r>
    </w:p>
    <w:p w14:paraId="046885C4" w14:textId="3EC2ADB2" w:rsidR="19A372B6" w:rsidRPr="00A54B18" w:rsidRDefault="19A372B6" w:rsidP="005E557A">
      <w:pPr>
        <w:rPr>
          <w:rFonts w:eastAsia="Arial" w:cs="Arial"/>
          <w:sz w:val="22"/>
          <w:szCs w:val="22"/>
        </w:rPr>
      </w:pPr>
    </w:p>
    <w:p w14:paraId="57DBB18E" w14:textId="3753646F" w:rsidR="17A351F5" w:rsidRDefault="00E42C03" w:rsidP="005E557A">
      <w:pPr>
        <w:jc w:val="both"/>
        <w:rPr>
          <w:rFonts w:eastAsia="Arial" w:cs="Arial"/>
          <w:color w:val="000000" w:themeColor="text1"/>
          <w:sz w:val="22"/>
          <w:szCs w:val="22"/>
        </w:rPr>
      </w:pPr>
      <w:r>
        <w:rPr>
          <w:rFonts w:eastAsia="Arial" w:cs="Arial"/>
          <w:color w:val="000000" w:themeColor="text1"/>
          <w:sz w:val="22"/>
          <w:szCs w:val="22"/>
        </w:rPr>
        <w:t xml:space="preserve">Most risks associated with EBF are </w:t>
      </w:r>
      <w:r w:rsidR="00AD4461">
        <w:rPr>
          <w:rFonts w:eastAsia="Arial" w:cs="Arial"/>
          <w:color w:val="000000" w:themeColor="text1"/>
          <w:sz w:val="22"/>
          <w:szCs w:val="22"/>
        </w:rPr>
        <w:t>managed by Finance in Motion</w:t>
      </w:r>
      <w:r w:rsidR="000D16DA">
        <w:rPr>
          <w:rFonts w:eastAsia="Arial" w:cs="Arial"/>
          <w:color w:val="000000" w:themeColor="text1"/>
          <w:sz w:val="22"/>
          <w:szCs w:val="22"/>
        </w:rPr>
        <w:t xml:space="preserve"> (FiM)</w:t>
      </w:r>
      <w:r w:rsidR="00AD4461">
        <w:rPr>
          <w:rFonts w:eastAsia="Arial" w:cs="Arial"/>
          <w:color w:val="000000" w:themeColor="text1"/>
          <w:sz w:val="22"/>
          <w:szCs w:val="22"/>
        </w:rPr>
        <w:t xml:space="preserve"> in their role as Fund Advisor. This includes due diligence on partner institutions, </w:t>
      </w:r>
      <w:r w:rsidR="00DE53AE">
        <w:rPr>
          <w:rFonts w:eastAsia="Arial" w:cs="Arial"/>
          <w:color w:val="000000" w:themeColor="text1"/>
          <w:sz w:val="22"/>
          <w:szCs w:val="22"/>
        </w:rPr>
        <w:t xml:space="preserve">assessment of political and economic risks in target countries, financial risks to the Fund, </w:t>
      </w:r>
      <w:r w:rsidR="00155535">
        <w:rPr>
          <w:rFonts w:eastAsia="Arial" w:cs="Arial"/>
          <w:color w:val="000000" w:themeColor="text1"/>
          <w:sz w:val="22"/>
          <w:szCs w:val="22"/>
        </w:rPr>
        <w:t>equity and safe-guarding</w:t>
      </w:r>
      <w:r w:rsidR="00402336">
        <w:rPr>
          <w:rFonts w:eastAsia="Arial" w:cs="Arial"/>
          <w:color w:val="000000" w:themeColor="text1"/>
          <w:sz w:val="22"/>
          <w:szCs w:val="22"/>
        </w:rPr>
        <w:t xml:space="preserve"> issues</w:t>
      </w:r>
      <w:r w:rsidR="00155535">
        <w:rPr>
          <w:rFonts w:eastAsia="Arial" w:cs="Arial"/>
          <w:color w:val="000000" w:themeColor="text1"/>
          <w:sz w:val="22"/>
          <w:szCs w:val="22"/>
        </w:rPr>
        <w:t xml:space="preserve"> </w:t>
      </w:r>
      <w:r w:rsidR="00DE53AE">
        <w:rPr>
          <w:rFonts w:eastAsia="Arial" w:cs="Arial"/>
          <w:color w:val="000000" w:themeColor="text1"/>
          <w:sz w:val="22"/>
          <w:szCs w:val="22"/>
        </w:rPr>
        <w:t xml:space="preserve">and implementation </w:t>
      </w:r>
      <w:r w:rsidR="00402336">
        <w:rPr>
          <w:rFonts w:eastAsia="Arial" w:cs="Arial"/>
          <w:color w:val="000000" w:themeColor="text1"/>
          <w:sz w:val="22"/>
          <w:szCs w:val="22"/>
        </w:rPr>
        <w:t xml:space="preserve">of impact assessment and reporting. </w:t>
      </w:r>
      <w:r w:rsidR="00FB439D">
        <w:rPr>
          <w:rFonts w:eastAsia="Arial" w:cs="Arial"/>
          <w:color w:val="000000" w:themeColor="text1"/>
          <w:sz w:val="22"/>
          <w:szCs w:val="22"/>
        </w:rPr>
        <w:t xml:space="preserve">FiM </w:t>
      </w:r>
      <w:r w:rsidR="00E30941">
        <w:rPr>
          <w:rFonts w:eastAsia="Arial" w:cs="Arial"/>
          <w:color w:val="000000" w:themeColor="text1"/>
          <w:sz w:val="22"/>
          <w:szCs w:val="22"/>
        </w:rPr>
        <w:t xml:space="preserve">have extensive resources </w:t>
      </w:r>
      <w:r w:rsidR="00D25D26">
        <w:rPr>
          <w:rFonts w:eastAsia="Arial" w:cs="Arial"/>
          <w:color w:val="000000" w:themeColor="text1"/>
          <w:sz w:val="22"/>
          <w:szCs w:val="22"/>
        </w:rPr>
        <w:t xml:space="preserve">and significant expertise </w:t>
      </w:r>
      <w:r w:rsidR="00E30941">
        <w:rPr>
          <w:rFonts w:eastAsia="Arial" w:cs="Arial"/>
          <w:color w:val="000000" w:themeColor="text1"/>
          <w:sz w:val="22"/>
          <w:szCs w:val="22"/>
        </w:rPr>
        <w:t>for risk management</w:t>
      </w:r>
      <w:r w:rsidR="00D25D26">
        <w:rPr>
          <w:rFonts w:eastAsia="Arial" w:cs="Arial"/>
          <w:color w:val="000000" w:themeColor="text1"/>
          <w:sz w:val="22"/>
          <w:szCs w:val="22"/>
        </w:rPr>
        <w:t xml:space="preserve">, </w:t>
      </w:r>
      <w:r w:rsidR="00E30941">
        <w:rPr>
          <w:rFonts w:eastAsia="Arial" w:cs="Arial"/>
          <w:color w:val="000000" w:themeColor="text1"/>
          <w:sz w:val="22"/>
          <w:szCs w:val="22"/>
        </w:rPr>
        <w:t xml:space="preserve">carry out continuous risk management and report to the Board every quarter. </w:t>
      </w:r>
      <w:r w:rsidR="00402336">
        <w:rPr>
          <w:rFonts w:eastAsia="Arial" w:cs="Arial"/>
          <w:color w:val="000000" w:themeColor="text1"/>
          <w:sz w:val="22"/>
          <w:szCs w:val="22"/>
        </w:rPr>
        <w:t xml:space="preserve">Examples of risks </w:t>
      </w:r>
      <w:r w:rsidR="000D16DA">
        <w:rPr>
          <w:rFonts w:eastAsia="Arial" w:cs="Arial"/>
          <w:color w:val="000000" w:themeColor="text1"/>
          <w:sz w:val="22"/>
          <w:szCs w:val="22"/>
        </w:rPr>
        <w:t>managed</w:t>
      </w:r>
      <w:r w:rsidR="00402336">
        <w:rPr>
          <w:rFonts w:eastAsia="Arial" w:cs="Arial"/>
          <w:color w:val="000000" w:themeColor="text1"/>
          <w:sz w:val="22"/>
          <w:szCs w:val="22"/>
        </w:rPr>
        <w:t xml:space="preserve"> by </w:t>
      </w:r>
      <w:r w:rsidR="000D16DA">
        <w:rPr>
          <w:rFonts w:eastAsia="Arial" w:cs="Arial"/>
          <w:color w:val="000000" w:themeColor="text1"/>
          <w:sz w:val="22"/>
          <w:szCs w:val="22"/>
        </w:rPr>
        <w:t>FiM are provided in more detail in the table below.</w:t>
      </w:r>
    </w:p>
    <w:p w14:paraId="7F987B1F" w14:textId="77777777" w:rsidR="000D16DA" w:rsidRDefault="000D16DA" w:rsidP="005E557A">
      <w:pPr>
        <w:jc w:val="both"/>
        <w:rPr>
          <w:rFonts w:eastAsia="Arial" w:cs="Arial"/>
          <w:color w:val="000000" w:themeColor="text1"/>
          <w:sz w:val="22"/>
          <w:szCs w:val="22"/>
        </w:rPr>
      </w:pPr>
    </w:p>
    <w:p w14:paraId="15340EEA" w14:textId="0B896747" w:rsidR="000D16DA" w:rsidRDefault="00362E4F" w:rsidP="005E557A">
      <w:pPr>
        <w:jc w:val="both"/>
        <w:rPr>
          <w:rFonts w:eastAsia="Arial" w:cs="Arial"/>
          <w:color w:val="000000" w:themeColor="text1"/>
          <w:sz w:val="22"/>
          <w:szCs w:val="22"/>
        </w:rPr>
      </w:pPr>
      <w:r>
        <w:rPr>
          <w:rFonts w:eastAsia="Arial" w:cs="Arial"/>
          <w:color w:val="000000" w:themeColor="text1"/>
          <w:sz w:val="22"/>
          <w:szCs w:val="22"/>
        </w:rPr>
        <w:t>Some residual risks remain for Defra, notably the risk of programme failure</w:t>
      </w:r>
      <w:r w:rsidR="002451E3">
        <w:rPr>
          <w:rFonts w:eastAsia="Arial" w:cs="Arial"/>
          <w:color w:val="000000" w:themeColor="text1"/>
          <w:sz w:val="22"/>
          <w:szCs w:val="22"/>
        </w:rPr>
        <w:t xml:space="preserve">, for example </w:t>
      </w:r>
      <w:proofErr w:type="gramStart"/>
      <w:r w:rsidR="002451E3">
        <w:rPr>
          <w:rFonts w:eastAsia="Arial" w:cs="Arial"/>
          <w:color w:val="000000" w:themeColor="text1"/>
          <w:sz w:val="22"/>
          <w:szCs w:val="22"/>
        </w:rPr>
        <w:t>as a result of</w:t>
      </w:r>
      <w:proofErr w:type="gramEnd"/>
      <w:r w:rsidR="002451E3">
        <w:rPr>
          <w:rFonts w:eastAsia="Arial" w:cs="Arial"/>
          <w:color w:val="000000" w:themeColor="text1"/>
          <w:sz w:val="22"/>
          <w:szCs w:val="22"/>
        </w:rPr>
        <w:t xml:space="preserve"> the </w:t>
      </w:r>
      <w:r w:rsidR="002451E3" w:rsidRPr="002451E3">
        <w:rPr>
          <w:rFonts w:eastAsia="Arial" w:cs="Arial"/>
          <w:color w:val="000000" w:themeColor="text1"/>
          <w:sz w:val="22"/>
          <w:szCs w:val="22"/>
        </w:rPr>
        <w:t xml:space="preserve">financial collapse of </w:t>
      </w:r>
      <w:r w:rsidR="00B203FD">
        <w:rPr>
          <w:rFonts w:eastAsia="Arial" w:cs="Arial"/>
          <w:color w:val="000000" w:themeColor="text1"/>
          <w:sz w:val="22"/>
          <w:szCs w:val="22"/>
        </w:rPr>
        <w:t xml:space="preserve">the </w:t>
      </w:r>
      <w:r w:rsidR="002451E3" w:rsidRPr="002451E3">
        <w:rPr>
          <w:rFonts w:eastAsia="Arial" w:cs="Arial"/>
          <w:color w:val="000000" w:themeColor="text1"/>
          <w:sz w:val="22"/>
          <w:szCs w:val="22"/>
        </w:rPr>
        <w:t>Fund or closure of</w:t>
      </w:r>
      <w:r w:rsidR="00B203FD">
        <w:rPr>
          <w:rFonts w:eastAsia="Arial" w:cs="Arial"/>
          <w:color w:val="000000" w:themeColor="text1"/>
          <w:sz w:val="22"/>
          <w:szCs w:val="22"/>
        </w:rPr>
        <w:t xml:space="preserve"> the</w:t>
      </w:r>
      <w:r w:rsidR="002451E3" w:rsidRPr="002451E3">
        <w:rPr>
          <w:rFonts w:eastAsia="Arial" w:cs="Arial"/>
          <w:color w:val="000000" w:themeColor="text1"/>
          <w:sz w:val="22"/>
          <w:szCs w:val="22"/>
        </w:rPr>
        <w:t xml:space="preserve"> Fund Advisor.</w:t>
      </w:r>
      <w:r w:rsidR="00B203FD">
        <w:rPr>
          <w:rFonts w:eastAsia="Arial" w:cs="Arial"/>
          <w:color w:val="000000" w:themeColor="text1"/>
          <w:sz w:val="22"/>
          <w:szCs w:val="22"/>
        </w:rPr>
        <w:t xml:space="preserve"> Defra w</w:t>
      </w:r>
      <w:r w:rsidR="00B203FD" w:rsidRPr="00B203FD">
        <w:rPr>
          <w:rFonts w:eastAsia="Arial" w:cs="Arial"/>
          <w:color w:val="000000" w:themeColor="text1"/>
          <w:sz w:val="22"/>
          <w:szCs w:val="22"/>
        </w:rPr>
        <w:t>ork</w:t>
      </w:r>
      <w:r w:rsidR="00B203FD">
        <w:rPr>
          <w:rFonts w:eastAsia="Arial" w:cs="Arial"/>
          <w:color w:val="000000" w:themeColor="text1"/>
          <w:sz w:val="22"/>
          <w:szCs w:val="22"/>
        </w:rPr>
        <w:t>s</w:t>
      </w:r>
      <w:r w:rsidR="00B203FD" w:rsidRPr="00B203FD">
        <w:rPr>
          <w:rFonts w:eastAsia="Arial" w:cs="Arial"/>
          <w:color w:val="000000" w:themeColor="text1"/>
          <w:sz w:val="22"/>
          <w:szCs w:val="22"/>
        </w:rPr>
        <w:t xml:space="preserve"> with other Shareholders and Board members to provide governance and support to </w:t>
      </w:r>
      <w:r w:rsidR="00B203FD">
        <w:rPr>
          <w:rFonts w:eastAsia="Arial" w:cs="Arial"/>
          <w:color w:val="000000" w:themeColor="text1"/>
          <w:sz w:val="22"/>
          <w:szCs w:val="22"/>
        </w:rPr>
        <w:t>FiM</w:t>
      </w:r>
      <w:r w:rsidR="00B203FD" w:rsidRPr="00B203FD">
        <w:rPr>
          <w:rFonts w:eastAsia="Arial" w:cs="Arial"/>
          <w:color w:val="000000" w:themeColor="text1"/>
          <w:sz w:val="22"/>
          <w:szCs w:val="22"/>
        </w:rPr>
        <w:t xml:space="preserve"> and to ensure they have sufficient resource and expertise to avoid business failure. </w:t>
      </w:r>
      <w:proofErr w:type="gramStart"/>
      <w:r w:rsidR="00B203FD" w:rsidRPr="00B203FD">
        <w:rPr>
          <w:rFonts w:eastAsia="Arial" w:cs="Arial"/>
          <w:color w:val="000000" w:themeColor="text1"/>
          <w:sz w:val="22"/>
          <w:szCs w:val="22"/>
        </w:rPr>
        <w:t>To a large extent the impacts projected</w:t>
      </w:r>
      <w:proofErr w:type="gramEnd"/>
      <w:r w:rsidR="00B203FD" w:rsidRPr="00B203FD">
        <w:rPr>
          <w:rFonts w:eastAsia="Arial" w:cs="Arial"/>
          <w:color w:val="000000" w:themeColor="text1"/>
          <w:sz w:val="22"/>
          <w:szCs w:val="22"/>
        </w:rPr>
        <w:t xml:space="preserve"> in the Business Case have already been met,</w:t>
      </w:r>
      <w:r w:rsidR="00B203FD">
        <w:rPr>
          <w:rFonts w:eastAsia="Arial" w:cs="Arial"/>
          <w:color w:val="000000" w:themeColor="text1"/>
          <w:sz w:val="22"/>
          <w:szCs w:val="22"/>
        </w:rPr>
        <w:t xml:space="preserve"> </w:t>
      </w:r>
      <w:r w:rsidR="005446F7">
        <w:rPr>
          <w:rFonts w:eastAsia="Arial" w:cs="Arial"/>
          <w:color w:val="000000" w:themeColor="text1"/>
          <w:sz w:val="22"/>
          <w:szCs w:val="22"/>
        </w:rPr>
        <w:t>so Defra’s risk here is reduced every year,</w:t>
      </w:r>
      <w:r w:rsidR="00B203FD" w:rsidRPr="00B203FD">
        <w:rPr>
          <w:rFonts w:eastAsia="Arial" w:cs="Arial"/>
          <w:color w:val="000000" w:themeColor="text1"/>
          <w:sz w:val="22"/>
          <w:szCs w:val="22"/>
        </w:rPr>
        <w:t xml:space="preserve"> but </w:t>
      </w:r>
      <w:r w:rsidR="005446F7">
        <w:rPr>
          <w:rFonts w:eastAsia="Arial" w:cs="Arial"/>
          <w:color w:val="000000" w:themeColor="text1"/>
          <w:sz w:val="22"/>
          <w:szCs w:val="22"/>
        </w:rPr>
        <w:t xml:space="preserve">some </w:t>
      </w:r>
      <w:r w:rsidR="00B203FD" w:rsidRPr="00B203FD">
        <w:rPr>
          <w:rFonts w:eastAsia="Arial" w:cs="Arial"/>
          <w:color w:val="000000" w:themeColor="text1"/>
          <w:sz w:val="22"/>
          <w:szCs w:val="22"/>
        </w:rPr>
        <w:t xml:space="preserve">future impact could </w:t>
      </w:r>
      <w:r w:rsidR="005446F7">
        <w:rPr>
          <w:rFonts w:eastAsia="Arial" w:cs="Arial"/>
          <w:color w:val="000000" w:themeColor="text1"/>
          <w:sz w:val="22"/>
          <w:szCs w:val="22"/>
        </w:rPr>
        <w:t>still</w:t>
      </w:r>
      <w:r w:rsidR="00B203FD" w:rsidRPr="00B203FD">
        <w:rPr>
          <w:rFonts w:eastAsia="Arial" w:cs="Arial"/>
          <w:color w:val="000000" w:themeColor="text1"/>
          <w:sz w:val="22"/>
          <w:szCs w:val="22"/>
        </w:rPr>
        <w:t xml:space="preserve"> be jeopardised by such an event.</w:t>
      </w:r>
    </w:p>
    <w:p w14:paraId="6369A394" w14:textId="77777777" w:rsidR="00A21B80" w:rsidRDefault="00A21B80" w:rsidP="005E557A">
      <w:pPr>
        <w:jc w:val="both"/>
        <w:rPr>
          <w:rFonts w:eastAsia="Arial" w:cs="Arial"/>
          <w:color w:val="000000" w:themeColor="text1"/>
          <w:sz w:val="22"/>
          <w:szCs w:val="22"/>
        </w:rPr>
      </w:pPr>
    </w:p>
    <w:p w14:paraId="57489744" w14:textId="536B3D27" w:rsidR="00A21B80" w:rsidRDefault="00A21B80" w:rsidP="005E557A">
      <w:pPr>
        <w:jc w:val="both"/>
        <w:rPr>
          <w:rFonts w:eastAsia="Arial" w:cs="Arial"/>
          <w:color w:val="000000" w:themeColor="text1"/>
          <w:sz w:val="22"/>
          <w:szCs w:val="22"/>
        </w:rPr>
      </w:pPr>
      <w:r>
        <w:rPr>
          <w:rFonts w:eastAsia="Arial" w:cs="Arial"/>
          <w:color w:val="000000" w:themeColor="text1"/>
          <w:sz w:val="22"/>
          <w:szCs w:val="22"/>
        </w:rPr>
        <w:t xml:space="preserve">Given the critical role of FiM in </w:t>
      </w:r>
      <w:r w:rsidR="005B274B">
        <w:rPr>
          <w:rFonts w:eastAsia="Arial" w:cs="Arial"/>
          <w:color w:val="000000" w:themeColor="text1"/>
          <w:sz w:val="22"/>
          <w:szCs w:val="22"/>
        </w:rPr>
        <w:t>managing most risks, the other</w:t>
      </w:r>
      <w:r>
        <w:rPr>
          <w:rFonts w:eastAsia="Arial" w:cs="Arial"/>
          <w:color w:val="000000" w:themeColor="text1"/>
          <w:sz w:val="22"/>
          <w:szCs w:val="22"/>
        </w:rPr>
        <w:t xml:space="preserve"> </w:t>
      </w:r>
      <w:r w:rsidR="00607D01">
        <w:rPr>
          <w:rFonts w:eastAsia="Arial" w:cs="Arial"/>
          <w:color w:val="000000" w:themeColor="text1"/>
          <w:sz w:val="22"/>
          <w:szCs w:val="22"/>
        </w:rPr>
        <w:t>main</w:t>
      </w:r>
      <w:r>
        <w:rPr>
          <w:rFonts w:eastAsia="Arial" w:cs="Arial"/>
          <w:color w:val="000000" w:themeColor="text1"/>
          <w:sz w:val="22"/>
          <w:szCs w:val="22"/>
        </w:rPr>
        <w:t xml:space="preserve"> risk for Defra </w:t>
      </w:r>
      <w:r w:rsidR="00607D01">
        <w:rPr>
          <w:rFonts w:eastAsia="Arial" w:cs="Arial"/>
          <w:color w:val="000000" w:themeColor="text1"/>
          <w:sz w:val="22"/>
          <w:szCs w:val="22"/>
        </w:rPr>
        <w:t>is</w:t>
      </w:r>
      <w:r>
        <w:rPr>
          <w:rFonts w:eastAsia="Arial" w:cs="Arial"/>
          <w:color w:val="000000" w:themeColor="text1"/>
          <w:sz w:val="22"/>
          <w:szCs w:val="22"/>
        </w:rPr>
        <w:t xml:space="preserve"> around relationship</w:t>
      </w:r>
      <w:r w:rsidR="005B274B">
        <w:rPr>
          <w:rFonts w:eastAsia="Arial" w:cs="Arial"/>
          <w:color w:val="000000" w:themeColor="text1"/>
          <w:sz w:val="22"/>
          <w:szCs w:val="22"/>
        </w:rPr>
        <w:t xml:space="preserve"> management with FiM, ensuring a strong trusting relationship and continuity in </w:t>
      </w:r>
      <w:r w:rsidR="003A5B19">
        <w:rPr>
          <w:rFonts w:eastAsia="Arial" w:cs="Arial"/>
          <w:color w:val="000000" w:themeColor="text1"/>
          <w:sz w:val="22"/>
          <w:szCs w:val="22"/>
        </w:rPr>
        <w:t>staff engaging with FiM on a regular basis. To mitigate this risk</w:t>
      </w:r>
      <w:r w:rsidR="00E87B07">
        <w:rPr>
          <w:rFonts w:eastAsia="Arial" w:cs="Arial"/>
          <w:color w:val="000000" w:themeColor="text1"/>
          <w:sz w:val="22"/>
          <w:szCs w:val="22"/>
        </w:rPr>
        <w:t xml:space="preserve"> the programme manager </w:t>
      </w:r>
      <w:proofErr w:type="gramStart"/>
      <w:r w:rsidR="009117BF">
        <w:rPr>
          <w:rFonts w:eastAsia="Arial" w:cs="Arial"/>
          <w:color w:val="000000" w:themeColor="text1"/>
          <w:sz w:val="22"/>
          <w:szCs w:val="22"/>
        </w:rPr>
        <w:t>makes an effort</w:t>
      </w:r>
      <w:proofErr w:type="gramEnd"/>
      <w:r w:rsidR="009117BF">
        <w:rPr>
          <w:rFonts w:eastAsia="Arial" w:cs="Arial"/>
          <w:color w:val="000000" w:themeColor="text1"/>
          <w:sz w:val="22"/>
          <w:szCs w:val="22"/>
        </w:rPr>
        <w:t xml:space="preserve"> to meet in person with FiM and the EBF Board at least once per year, as well </w:t>
      </w:r>
      <w:r w:rsidR="00601B6D">
        <w:rPr>
          <w:rFonts w:eastAsia="Arial" w:cs="Arial"/>
          <w:color w:val="000000" w:themeColor="text1"/>
          <w:sz w:val="22"/>
          <w:szCs w:val="22"/>
        </w:rPr>
        <w:t>as regular engagement by email and in virtual meetings. Care is taken during handover</w:t>
      </w:r>
      <w:r w:rsidR="005634E8">
        <w:rPr>
          <w:rFonts w:eastAsia="Arial" w:cs="Arial"/>
          <w:color w:val="000000" w:themeColor="text1"/>
          <w:sz w:val="22"/>
          <w:szCs w:val="22"/>
        </w:rPr>
        <w:t xml:space="preserve"> of responsibilities</w:t>
      </w:r>
      <w:r w:rsidR="00601B6D">
        <w:rPr>
          <w:rFonts w:eastAsia="Arial" w:cs="Arial"/>
          <w:color w:val="000000" w:themeColor="text1"/>
          <w:sz w:val="22"/>
          <w:szCs w:val="22"/>
        </w:rPr>
        <w:t xml:space="preserve"> to new </w:t>
      </w:r>
      <w:r w:rsidR="005634E8">
        <w:rPr>
          <w:rFonts w:eastAsia="Arial" w:cs="Arial"/>
          <w:color w:val="000000" w:themeColor="text1"/>
          <w:sz w:val="22"/>
          <w:szCs w:val="22"/>
        </w:rPr>
        <w:t>team members to ensure FiM are kept up to date and introductions made.</w:t>
      </w:r>
      <w:r w:rsidR="002C5589">
        <w:rPr>
          <w:rFonts w:eastAsia="Arial" w:cs="Arial"/>
          <w:color w:val="000000" w:themeColor="text1"/>
          <w:sz w:val="22"/>
          <w:szCs w:val="22"/>
        </w:rPr>
        <w:t xml:space="preserve"> Both these Defra-held risks are therefore </w:t>
      </w:r>
      <w:r w:rsidR="00A63E10">
        <w:rPr>
          <w:rFonts w:eastAsia="Arial" w:cs="Arial"/>
          <w:color w:val="000000" w:themeColor="text1"/>
          <w:sz w:val="22"/>
          <w:szCs w:val="22"/>
        </w:rPr>
        <w:t xml:space="preserve">unlikely to occur </w:t>
      </w:r>
      <w:proofErr w:type="gramStart"/>
      <w:r w:rsidR="00A63E10">
        <w:rPr>
          <w:rFonts w:eastAsia="Arial" w:cs="Arial"/>
          <w:color w:val="000000" w:themeColor="text1"/>
          <w:sz w:val="22"/>
          <w:szCs w:val="22"/>
        </w:rPr>
        <w:t>in the near future</w:t>
      </w:r>
      <w:proofErr w:type="gramEnd"/>
      <w:r w:rsidR="002C5589">
        <w:rPr>
          <w:rFonts w:eastAsia="Arial" w:cs="Arial"/>
          <w:color w:val="000000" w:themeColor="text1"/>
          <w:sz w:val="22"/>
          <w:szCs w:val="22"/>
        </w:rPr>
        <w:t>.</w:t>
      </w:r>
      <w:r w:rsidR="00874AA2">
        <w:rPr>
          <w:rFonts w:eastAsia="Arial" w:cs="Arial"/>
          <w:color w:val="000000" w:themeColor="text1"/>
          <w:sz w:val="22"/>
          <w:szCs w:val="22"/>
        </w:rPr>
        <w:t xml:space="preserve"> A risk register is maintained</w:t>
      </w:r>
      <w:r w:rsidR="008C1177">
        <w:rPr>
          <w:rFonts w:eastAsia="Arial" w:cs="Arial"/>
          <w:color w:val="000000" w:themeColor="text1"/>
          <w:sz w:val="22"/>
          <w:szCs w:val="22"/>
        </w:rPr>
        <w:t xml:space="preserve"> by Defra covering risks managed both by Defra and FiM.</w:t>
      </w:r>
    </w:p>
    <w:p w14:paraId="48379C97" w14:textId="77777777" w:rsidR="00FB439D" w:rsidRDefault="00FB439D" w:rsidP="005E557A">
      <w:pPr>
        <w:jc w:val="both"/>
        <w:rPr>
          <w:rFonts w:eastAsia="Arial" w:cs="Arial"/>
          <w:color w:val="000000" w:themeColor="text1"/>
          <w:sz w:val="22"/>
          <w:szCs w:val="22"/>
        </w:rPr>
      </w:pPr>
    </w:p>
    <w:p w14:paraId="303493FA" w14:textId="3EDB84A1" w:rsidR="00FB439D" w:rsidRPr="00A54B18" w:rsidRDefault="00CE0167" w:rsidP="005E557A">
      <w:pPr>
        <w:jc w:val="both"/>
        <w:rPr>
          <w:rFonts w:eastAsia="Arial" w:cs="Arial"/>
          <w:color w:val="000000" w:themeColor="text1"/>
          <w:sz w:val="22"/>
          <w:szCs w:val="22"/>
        </w:rPr>
      </w:pPr>
      <w:r>
        <w:rPr>
          <w:rFonts w:eastAsia="Arial" w:cs="Arial"/>
          <w:color w:val="000000" w:themeColor="text1"/>
          <w:sz w:val="22"/>
          <w:szCs w:val="22"/>
        </w:rPr>
        <w:t xml:space="preserve">No risks required intervention from Defra in 2022. </w:t>
      </w:r>
      <w:r w:rsidR="00FB439D">
        <w:rPr>
          <w:rFonts w:eastAsia="Arial" w:cs="Arial"/>
          <w:color w:val="000000" w:themeColor="text1"/>
          <w:sz w:val="22"/>
          <w:szCs w:val="22"/>
        </w:rPr>
        <w:t>Considering</w:t>
      </w:r>
      <w:r w:rsidR="00D25D26">
        <w:rPr>
          <w:rFonts w:eastAsia="Arial" w:cs="Arial"/>
          <w:color w:val="000000" w:themeColor="text1"/>
          <w:sz w:val="22"/>
          <w:szCs w:val="22"/>
        </w:rPr>
        <w:t xml:space="preserve"> </w:t>
      </w:r>
      <w:r>
        <w:rPr>
          <w:rFonts w:eastAsia="Arial" w:cs="Arial"/>
          <w:color w:val="000000" w:themeColor="text1"/>
          <w:sz w:val="22"/>
          <w:szCs w:val="22"/>
        </w:rPr>
        <w:t>the low likelihood of</w:t>
      </w:r>
      <w:r w:rsidR="006A7045">
        <w:rPr>
          <w:rFonts w:eastAsia="Arial" w:cs="Arial"/>
          <w:color w:val="000000" w:themeColor="text1"/>
          <w:sz w:val="22"/>
          <w:szCs w:val="22"/>
        </w:rPr>
        <w:t xml:space="preserve"> Defra’s risks and FiM’s professional approach to Fund-level risks, the overall risk rating for the programme is Low.</w:t>
      </w:r>
    </w:p>
    <w:p w14:paraId="597BFB3B" w14:textId="0884A4B2" w:rsidR="19A372B6" w:rsidRPr="00A54B18" w:rsidRDefault="19A372B6" w:rsidP="005E557A">
      <w:pPr>
        <w:rPr>
          <w:rFonts w:eastAsia="Arial" w:cs="Arial"/>
          <w:sz w:val="22"/>
          <w:szCs w:val="22"/>
        </w:rPr>
      </w:pPr>
    </w:p>
    <w:tbl>
      <w:tblPr>
        <w:tblStyle w:val="TableGrid"/>
        <w:tblW w:w="10916" w:type="dxa"/>
        <w:tblInd w:w="-1003" w:type="dxa"/>
        <w:tblLayout w:type="fixed"/>
        <w:tblLook w:val="06A0" w:firstRow="1" w:lastRow="0" w:firstColumn="1" w:lastColumn="0" w:noHBand="1" w:noVBand="1"/>
      </w:tblPr>
      <w:tblGrid>
        <w:gridCol w:w="1986"/>
        <w:gridCol w:w="1417"/>
        <w:gridCol w:w="1276"/>
        <w:gridCol w:w="1417"/>
        <w:gridCol w:w="4820"/>
      </w:tblGrid>
      <w:tr w:rsidR="00544F9E" w:rsidRPr="00A54B18" w14:paraId="2ECD29F7" w14:textId="77777777" w:rsidTr="00944D6C">
        <w:trPr>
          <w:trHeight w:val="225"/>
        </w:trPr>
        <w:tc>
          <w:tcPr>
            <w:tcW w:w="1986" w:type="dxa"/>
            <w:tcBorders>
              <w:top w:val="single" w:sz="8" w:space="0" w:color="auto"/>
              <w:left w:val="single" w:sz="8" w:space="0" w:color="auto"/>
              <w:bottom w:val="single" w:sz="8" w:space="0" w:color="auto"/>
              <w:right w:val="single" w:sz="8" w:space="0" w:color="auto"/>
            </w:tcBorders>
          </w:tcPr>
          <w:p w14:paraId="4636FA56" w14:textId="48AA775B" w:rsidR="19A372B6" w:rsidRPr="00A54B18" w:rsidRDefault="61D52080" w:rsidP="005E557A">
            <w:pPr>
              <w:rPr>
                <w:rFonts w:eastAsia="Arial" w:cs="Arial"/>
                <w:b/>
                <w:bCs/>
                <w:sz w:val="22"/>
                <w:szCs w:val="22"/>
              </w:rPr>
            </w:pPr>
            <w:r w:rsidRPr="00A54B18">
              <w:rPr>
                <w:rFonts w:eastAsia="Arial" w:cs="Arial"/>
                <w:b/>
                <w:bCs/>
                <w:sz w:val="22"/>
                <w:szCs w:val="22"/>
              </w:rPr>
              <w:t>Description of risk</w:t>
            </w:r>
            <w:r w:rsidR="00083EEE">
              <w:rPr>
                <w:rFonts w:eastAsia="Arial" w:cs="Arial"/>
                <w:b/>
                <w:bCs/>
                <w:sz w:val="22"/>
                <w:szCs w:val="22"/>
              </w:rPr>
              <w:t xml:space="preserve"> (Fund level)</w:t>
            </w:r>
          </w:p>
        </w:tc>
        <w:tc>
          <w:tcPr>
            <w:tcW w:w="1417" w:type="dxa"/>
            <w:tcBorders>
              <w:top w:val="single" w:sz="8" w:space="0" w:color="auto"/>
              <w:left w:val="single" w:sz="8" w:space="0" w:color="auto"/>
              <w:bottom w:val="single" w:sz="8" w:space="0" w:color="auto"/>
              <w:right w:val="single" w:sz="8" w:space="0" w:color="auto"/>
            </w:tcBorders>
          </w:tcPr>
          <w:p w14:paraId="40C2CEF1" w14:textId="0CAD506F" w:rsidR="19A372B6" w:rsidRPr="00A54B18" w:rsidRDefault="61D52080" w:rsidP="005E557A">
            <w:pPr>
              <w:rPr>
                <w:rFonts w:eastAsia="Arial" w:cs="Arial"/>
                <w:b/>
                <w:bCs/>
                <w:sz w:val="22"/>
                <w:szCs w:val="22"/>
              </w:rPr>
            </w:pPr>
            <w:r w:rsidRPr="00A54B18">
              <w:rPr>
                <w:rFonts w:eastAsia="Arial" w:cs="Arial"/>
                <w:b/>
                <w:bCs/>
                <w:sz w:val="22"/>
                <w:szCs w:val="22"/>
              </w:rPr>
              <w:t>Type</w:t>
            </w:r>
          </w:p>
        </w:tc>
        <w:tc>
          <w:tcPr>
            <w:tcW w:w="1276" w:type="dxa"/>
            <w:tcBorders>
              <w:top w:val="single" w:sz="8" w:space="0" w:color="auto"/>
              <w:left w:val="single" w:sz="8" w:space="0" w:color="auto"/>
              <w:bottom w:val="single" w:sz="8" w:space="0" w:color="auto"/>
              <w:right w:val="single" w:sz="8" w:space="0" w:color="auto"/>
            </w:tcBorders>
          </w:tcPr>
          <w:p w14:paraId="36443544" w14:textId="2ADC95D3" w:rsidR="19A372B6" w:rsidRPr="00A54B18" w:rsidRDefault="61D52080" w:rsidP="005E557A">
            <w:pPr>
              <w:rPr>
                <w:rFonts w:eastAsia="Arial" w:cs="Arial"/>
                <w:b/>
                <w:bCs/>
                <w:sz w:val="22"/>
                <w:szCs w:val="22"/>
              </w:rPr>
            </w:pPr>
            <w:r w:rsidRPr="00A54B18">
              <w:rPr>
                <w:rFonts w:eastAsia="Arial" w:cs="Arial"/>
                <w:b/>
                <w:bCs/>
                <w:sz w:val="22"/>
                <w:szCs w:val="22"/>
              </w:rPr>
              <w:t>Risk rating</w:t>
            </w:r>
          </w:p>
        </w:tc>
        <w:tc>
          <w:tcPr>
            <w:tcW w:w="1417" w:type="dxa"/>
            <w:tcBorders>
              <w:top w:val="single" w:sz="8" w:space="0" w:color="auto"/>
              <w:left w:val="single" w:sz="8" w:space="0" w:color="auto"/>
              <w:bottom w:val="single" w:sz="8" w:space="0" w:color="auto"/>
              <w:right w:val="single" w:sz="8" w:space="0" w:color="auto"/>
            </w:tcBorders>
          </w:tcPr>
          <w:p w14:paraId="6D8B535E" w14:textId="6B43B399" w:rsidR="19A372B6" w:rsidRPr="00A54B18" w:rsidRDefault="61D52080" w:rsidP="005E557A">
            <w:pPr>
              <w:rPr>
                <w:rFonts w:eastAsia="Arial" w:cs="Arial"/>
                <w:b/>
                <w:bCs/>
                <w:sz w:val="22"/>
                <w:szCs w:val="22"/>
              </w:rPr>
            </w:pPr>
            <w:r w:rsidRPr="00A54B18">
              <w:rPr>
                <w:rFonts w:eastAsia="Arial" w:cs="Arial"/>
                <w:b/>
                <w:bCs/>
                <w:sz w:val="22"/>
                <w:szCs w:val="22"/>
              </w:rPr>
              <w:t>Likelihood</w:t>
            </w:r>
          </w:p>
        </w:tc>
        <w:tc>
          <w:tcPr>
            <w:tcW w:w="4820" w:type="dxa"/>
            <w:tcBorders>
              <w:top w:val="single" w:sz="8" w:space="0" w:color="auto"/>
              <w:left w:val="single" w:sz="8" w:space="0" w:color="auto"/>
              <w:bottom w:val="single" w:sz="8" w:space="0" w:color="auto"/>
              <w:right w:val="single" w:sz="8" w:space="0" w:color="auto"/>
            </w:tcBorders>
          </w:tcPr>
          <w:p w14:paraId="70DA3EAC" w14:textId="6B33D733" w:rsidR="19A372B6" w:rsidRPr="00A54B18" w:rsidRDefault="61D52080" w:rsidP="005E557A">
            <w:pPr>
              <w:rPr>
                <w:rFonts w:eastAsia="Arial" w:cs="Arial"/>
                <w:b/>
                <w:bCs/>
                <w:sz w:val="22"/>
                <w:szCs w:val="22"/>
              </w:rPr>
            </w:pPr>
            <w:r w:rsidRPr="00A54B18">
              <w:rPr>
                <w:rFonts w:eastAsia="Arial" w:cs="Arial"/>
                <w:b/>
                <w:bCs/>
                <w:sz w:val="22"/>
                <w:szCs w:val="22"/>
              </w:rPr>
              <w:t>Mitigation activities</w:t>
            </w:r>
            <w:r w:rsidR="0059672E">
              <w:rPr>
                <w:rFonts w:eastAsia="Arial" w:cs="Arial"/>
                <w:b/>
                <w:bCs/>
                <w:sz w:val="22"/>
                <w:szCs w:val="22"/>
              </w:rPr>
              <w:t xml:space="preserve"> (Fund level)</w:t>
            </w:r>
          </w:p>
        </w:tc>
      </w:tr>
      <w:tr w:rsidR="00F45458" w:rsidRPr="00A54B18" w14:paraId="6F3593DE" w14:textId="77777777" w:rsidTr="00E818D2">
        <w:trPr>
          <w:trHeight w:val="2139"/>
        </w:trPr>
        <w:tc>
          <w:tcPr>
            <w:tcW w:w="1986" w:type="dxa"/>
            <w:tcBorders>
              <w:top w:val="single" w:sz="8" w:space="0" w:color="auto"/>
              <w:left w:val="single" w:sz="8" w:space="0" w:color="auto"/>
              <w:bottom w:val="single" w:sz="8" w:space="0" w:color="auto"/>
              <w:right w:val="single" w:sz="8" w:space="0" w:color="auto"/>
            </w:tcBorders>
          </w:tcPr>
          <w:p w14:paraId="1C91BC14" w14:textId="03C0D906" w:rsidR="0052119B" w:rsidRDefault="004D0193" w:rsidP="005E557A">
            <w:pPr>
              <w:rPr>
                <w:rFonts w:eastAsia="Arial" w:cs="Arial"/>
                <w:sz w:val="22"/>
                <w:szCs w:val="22"/>
              </w:rPr>
            </w:pPr>
            <w:r>
              <w:rPr>
                <w:rFonts w:eastAsia="Arial" w:cs="Arial"/>
                <w:sz w:val="22"/>
                <w:szCs w:val="22"/>
              </w:rPr>
              <w:t>Political</w:t>
            </w:r>
            <w:r w:rsidR="00F3592F">
              <w:rPr>
                <w:rFonts w:eastAsia="Arial" w:cs="Arial"/>
                <w:sz w:val="22"/>
                <w:szCs w:val="22"/>
              </w:rPr>
              <w:t xml:space="preserve"> and economic</w:t>
            </w:r>
            <w:r>
              <w:rPr>
                <w:rFonts w:eastAsia="Arial" w:cs="Arial"/>
                <w:sz w:val="22"/>
                <w:szCs w:val="22"/>
              </w:rPr>
              <w:t xml:space="preserve"> risk</w:t>
            </w:r>
            <w:r w:rsidR="00F3592F">
              <w:rPr>
                <w:rFonts w:eastAsia="Arial" w:cs="Arial"/>
                <w:sz w:val="22"/>
                <w:szCs w:val="22"/>
              </w:rPr>
              <w:t>s in target countries.</w:t>
            </w:r>
          </w:p>
          <w:p w14:paraId="6C5FA6AE" w14:textId="77777777" w:rsidR="0052119B" w:rsidRDefault="0052119B" w:rsidP="005E557A">
            <w:pPr>
              <w:rPr>
                <w:rFonts w:eastAsia="Arial" w:cs="Arial"/>
                <w:sz w:val="22"/>
                <w:szCs w:val="22"/>
              </w:rPr>
            </w:pPr>
          </w:p>
          <w:p w14:paraId="284EE6BE" w14:textId="515FED15" w:rsidR="19A372B6" w:rsidRPr="00A54B18" w:rsidRDefault="00FD2E33" w:rsidP="005E557A">
            <w:pPr>
              <w:rPr>
                <w:rFonts w:eastAsia="Arial" w:cs="Arial"/>
                <w:sz w:val="22"/>
                <w:szCs w:val="22"/>
              </w:rPr>
            </w:pPr>
            <w:r>
              <w:rPr>
                <w:rFonts w:eastAsia="Arial" w:cs="Arial"/>
                <w:sz w:val="22"/>
                <w:szCs w:val="22"/>
              </w:rPr>
              <w:t xml:space="preserve">For example, </w:t>
            </w:r>
            <w:r w:rsidR="004D0193" w:rsidRPr="4AB21520">
              <w:rPr>
                <w:rFonts w:eastAsia="Arial" w:cs="Arial"/>
                <w:sz w:val="22"/>
                <w:szCs w:val="22"/>
              </w:rPr>
              <w:t xml:space="preserve">Nicaragua </w:t>
            </w:r>
            <w:r>
              <w:rPr>
                <w:rFonts w:eastAsia="Arial" w:cs="Arial"/>
                <w:sz w:val="22"/>
                <w:szCs w:val="22"/>
              </w:rPr>
              <w:t xml:space="preserve">and </w:t>
            </w:r>
            <w:r w:rsidRPr="004C1AB5">
              <w:rPr>
                <w:rFonts w:eastAsia="Arial" w:cs="Arial"/>
                <w:sz w:val="22"/>
                <w:szCs w:val="22"/>
              </w:rPr>
              <w:t>El Salvador</w:t>
            </w:r>
            <w:r>
              <w:rPr>
                <w:rFonts w:eastAsia="Arial" w:cs="Arial"/>
                <w:sz w:val="22"/>
                <w:szCs w:val="22"/>
              </w:rPr>
              <w:t xml:space="preserve"> </w:t>
            </w:r>
            <w:r w:rsidR="006C6EB9">
              <w:rPr>
                <w:rFonts w:eastAsia="Arial" w:cs="Arial"/>
                <w:sz w:val="22"/>
                <w:szCs w:val="22"/>
              </w:rPr>
              <w:t xml:space="preserve">are currently vulnerable to economic risks, with political instability </w:t>
            </w:r>
            <w:r w:rsidR="004E4C49">
              <w:rPr>
                <w:rFonts w:eastAsia="Arial" w:cs="Arial"/>
                <w:sz w:val="22"/>
                <w:szCs w:val="22"/>
              </w:rPr>
              <w:t>a possible side effect.</w:t>
            </w:r>
          </w:p>
        </w:tc>
        <w:tc>
          <w:tcPr>
            <w:tcW w:w="1417" w:type="dxa"/>
            <w:tcBorders>
              <w:top w:val="single" w:sz="8" w:space="0" w:color="auto"/>
              <w:left w:val="single" w:sz="8" w:space="0" w:color="auto"/>
              <w:bottom w:val="single" w:sz="8" w:space="0" w:color="auto"/>
              <w:right w:val="single" w:sz="8" w:space="0" w:color="auto"/>
            </w:tcBorders>
          </w:tcPr>
          <w:p w14:paraId="62006FA8" w14:textId="3D542537" w:rsidR="19A372B6" w:rsidRPr="00A54B18" w:rsidRDefault="61D52080" w:rsidP="005E557A">
            <w:pPr>
              <w:rPr>
                <w:rFonts w:eastAsia="Arial" w:cs="Arial"/>
                <w:sz w:val="22"/>
                <w:szCs w:val="22"/>
              </w:rPr>
            </w:pPr>
            <w:r w:rsidRPr="00A54B18">
              <w:rPr>
                <w:rFonts w:eastAsia="Arial" w:cs="Arial"/>
                <w:sz w:val="22"/>
                <w:szCs w:val="22"/>
              </w:rPr>
              <w:t xml:space="preserve">Political and </w:t>
            </w:r>
            <w:r w:rsidR="001748A3" w:rsidRPr="00A54B18">
              <w:rPr>
                <w:rFonts w:eastAsia="Arial" w:cs="Arial"/>
                <w:sz w:val="22"/>
                <w:szCs w:val="22"/>
              </w:rPr>
              <w:t xml:space="preserve">economic </w:t>
            </w:r>
            <w:r w:rsidRPr="00A54B18">
              <w:rPr>
                <w:rFonts w:eastAsia="Arial" w:cs="Arial"/>
                <w:sz w:val="22"/>
                <w:szCs w:val="22"/>
              </w:rPr>
              <w:t xml:space="preserve">stability   </w:t>
            </w:r>
          </w:p>
          <w:p w14:paraId="18C0123F" w14:textId="38608C19" w:rsidR="19A372B6" w:rsidRPr="00A54B18" w:rsidRDefault="61D52080" w:rsidP="005E557A">
            <w:pPr>
              <w:rPr>
                <w:rFonts w:eastAsia="Arial" w:cs="Arial"/>
              </w:rPr>
            </w:pPr>
            <w:r w:rsidRPr="00A54B18">
              <w:rPr>
                <w:rFonts w:eastAsia="Arial" w:cs="Arial"/>
              </w:rPr>
              <w:t xml:space="preserve"> </w:t>
            </w:r>
          </w:p>
        </w:tc>
        <w:tc>
          <w:tcPr>
            <w:tcW w:w="1276"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16F66C12" w14:textId="51C79281" w:rsidR="19A372B6" w:rsidRPr="00A54B18" w:rsidRDefault="004D0193" w:rsidP="005E557A">
            <w:pPr>
              <w:rPr>
                <w:rFonts w:eastAsia="Arial" w:cs="Arial"/>
                <w:sz w:val="22"/>
                <w:szCs w:val="22"/>
              </w:rPr>
            </w:pPr>
            <w:r>
              <w:rPr>
                <w:rFonts w:eastAsia="Arial" w:cs="Arial"/>
                <w:sz w:val="22"/>
                <w:szCs w:val="22"/>
              </w:rPr>
              <w:t>Low</w:t>
            </w:r>
          </w:p>
        </w:tc>
        <w:tc>
          <w:tcPr>
            <w:tcW w:w="1417"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4B055E7C" w14:textId="310D617C" w:rsidR="19A372B6" w:rsidRPr="00A54B18" w:rsidRDefault="00E818D2" w:rsidP="005E557A">
            <w:pPr>
              <w:rPr>
                <w:rFonts w:eastAsia="Arial" w:cs="Arial"/>
                <w:sz w:val="22"/>
                <w:szCs w:val="22"/>
              </w:rPr>
            </w:pPr>
            <w:r>
              <w:rPr>
                <w:rFonts w:eastAsia="Arial" w:cs="Arial"/>
                <w:sz w:val="22"/>
                <w:szCs w:val="22"/>
              </w:rPr>
              <w:t>Moderate</w:t>
            </w:r>
            <w:r w:rsidRPr="00A54B18">
              <w:rPr>
                <w:rFonts w:eastAsia="Arial" w:cs="Arial"/>
                <w:sz w:val="22"/>
                <w:szCs w:val="22"/>
              </w:rPr>
              <w:t xml:space="preserve"> </w:t>
            </w:r>
          </w:p>
        </w:tc>
        <w:tc>
          <w:tcPr>
            <w:tcW w:w="4820" w:type="dxa"/>
            <w:tcBorders>
              <w:top w:val="single" w:sz="8" w:space="0" w:color="auto"/>
              <w:left w:val="single" w:sz="8" w:space="0" w:color="auto"/>
              <w:bottom w:val="single" w:sz="8" w:space="0" w:color="auto"/>
              <w:right w:val="single" w:sz="8" w:space="0" w:color="auto"/>
            </w:tcBorders>
          </w:tcPr>
          <w:p w14:paraId="17FA1C31" w14:textId="2CEF6A33" w:rsidR="19A372B6" w:rsidRPr="00A54B18" w:rsidRDefault="61D52080" w:rsidP="00DA46D9">
            <w:pPr>
              <w:pStyle w:val="ListParagraph"/>
              <w:numPr>
                <w:ilvl w:val="0"/>
                <w:numId w:val="5"/>
              </w:numPr>
              <w:spacing w:before="60" w:after="0"/>
              <w:ind w:left="227" w:hanging="227"/>
              <w:contextualSpacing w:val="0"/>
              <w:rPr>
                <w:rFonts w:eastAsia="Arial" w:cs="Arial"/>
                <w:sz w:val="22"/>
                <w:szCs w:val="22"/>
              </w:rPr>
            </w:pPr>
            <w:r w:rsidRPr="4D555F77">
              <w:rPr>
                <w:rFonts w:eastAsia="Arial" w:cs="Arial"/>
                <w:sz w:val="22"/>
                <w:szCs w:val="22"/>
              </w:rPr>
              <w:t>Regular monitoring of political and economic situation</w:t>
            </w:r>
            <w:r w:rsidR="004D0193">
              <w:rPr>
                <w:rFonts w:eastAsia="Arial" w:cs="Arial"/>
                <w:sz w:val="22"/>
                <w:szCs w:val="22"/>
              </w:rPr>
              <w:t xml:space="preserve">, with decision taken </w:t>
            </w:r>
            <w:r w:rsidR="004D0193" w:rsidRPr="4AB21520">
              <w:rPr>
                <w:rFonts w:eastAsia="Arial" w:cs="Arial"/>
                <w:sz w:val="22"/>
                <w:szCs w:val="22"/>
              </w:rPr>
              <w:t>in 2021</w:t>
            </w:r>
            <w:r w:rsidR="004D0193">
              <w:rPr>
                <w:rFonts w:eastAsia="Arial" w:cs="Arial"/>
                <w:sz w:val="22"/>
                <w:szCs w:val="22"/>
              </w:rPr>
              <w:t xml:space="preserve"> to make n</w:t>
            </w:r>
            <w:r w:rsidR="004D0193" w:rsidRPr="4AB21520">
              <w:rPr>
                <w:rFonts w:eastAsia="Arial" w:cs="Arial"/>
                <w:sz w:val="22"/>
                <w:szCs w:val="22"/>
              </w:rPr>
              <w:t>o new investment in Nicaragua</w:t>
            </w:r>
            <w:r w:rsidR="004D0193">
              <w:rPr>
                <w:rFonts w:eastAsia="Arial" w:cs="Arial"/>
                <w:sz w:val="22"/>
                <w:szCs w:val="22"/>
              </w:rPr>
              <w:t>.</w:t>
            </w:r>
          </w:p>
          <w:p w14:paraId="46E451C1" w14:textId="77C9E085" w:rsidR="00915B7F" w:rsidRPr="00A54B18" w:rsidRDefault="61D52080" w:rsidP="00DA46D9">
            <w:pPr>
              <w:pStyle w:val="ListParagraph"/>
              <w:numPr>
                <w:ilvl w:val="0"/>
                <w:numId w:val="5"/>
              </w:numPr>
              <w:spacing w:before="60" w:after="0"/>
              <w:ind w:left="227" w:hanging="227"/>
              <w:contextualSpacing w:val="0"/>
              <w:rPr>
                <w:rFonts w:eastAsia="Arial" w:cs="Arial"/>
                <w:sz w:val="22"/>
                <w:szCs w:val="22"/>
              </w:rPr>
            </w:pPr>
            <w:r w:rsidRPr="00A54B18">
              <w:rPr>
                <w:rFonts w:eastAsia="Arial" w:cs="Arial"/>
                <w:sz w:val="22"/>
                <w:szCs w:val="22"/>
              </w:rPr>
              <w:t>Continued monitoring of loan repayments (so far loan repayments are as expected)</w:t>
            </w:r>
            <w:r w:rsidR="004D0193">
              <w:rPr>
                <w:rFonts w:eastAsia="Arial" w:cs="Arial"/>
                <w:sz w:val="22"/>
                <w:szCs w:val="22"/>
              </w:rPr>
              <w:t>.</w:t>
            </w:r>
          </w:p>
          <w:p w14:paraId="16E0912F" w14:textId="6DF98AC2" w:rsidR="19A372B6" w:rsidRPr="009C38C2" w:rsidRDefault="009C38C2" w:rsidP="009C38C2">
            <w:pPr>
              <w:pStyle w:val="ListParagraph"/>
              <w:numPr>
                <w:ilvl w:val="0"/>
                <w:numId w:val="5"/>
              </w:numPr>
              <w:spacing w:before="60" w:after="0"/>
              <w:ind w:left="227" w:hanging="227"/>
              <w:contextualSpacing w:val="0"/>
              <w:rPr>
                <w:rFonts w:eastAsia="Arial" w:cs="Arial"/>
                <w:sz w:val="22"/>
                <w:szCs w:val="22"/>
              </w:rPr>
            </w:pPr>
            <w:r>
              <w:rPr>
                <w:rFonts w:eastAsia="Arial" w:cs="Arial"/>
                <w:sz w:val="22"/>
                <w:szCs w:val="22"/>
              </w:rPr>
              <w:t xml:space="preserve">A ‘Watch’ system is employed to monitor and assess risk. </w:t>
            </w:r>
            <w:r w:rsidR="004D0193" w:rsidRPr="00A80C47">
              <w:rPr>
                <w:rFonts w:eastAsia="Arial" w:cs="Arial"/>
                <w:sz w:val="22"/>
                <w:szCs w:val="22"/>
              </w:rPr>
              <w:t>No Nicaraguan</w:t>
            </w:r>
            <w:r w:rsidR="004D0193">
              <w:rPr>
                <w:rFonts w:eastAsia="Arial" w:cs="Arial"/>
                <w:sz w:val="22"/>
                <w:szCs w:val="22"/>
              </w:rPr>
              <w:t xml:space="preserve"> PI is classified as </w:t>
            </w:r>
            <w:r>
              <w:rPr>
                <w:rFonts w:eastAsia="Arial" w:cs="Arial"/>
                <w:sz w:val="22"/>
                <w:szCs w:val="22"/>
              </w:rPr>
              <w:t xml:space="preserve">on </w:t>
            </w:r>
            <w:r w:rsidR="004D0193">
              <w:rPr>
                <w:rFonts w:eastAsia="Arial" w:cs="Arial"/>
                <w:sz w:val="22"/>
                <w:szCs w:val="22"/>
              </w:rPr>
              <w:t>Watch as their financial positions are well equipped to weather the socio-political environment.</w:t>
            </w:r>
            <w:r>
              <w:rPr>
                <w:rFonts w:eastAsia="Arial" w:cs="Arial"/>
                <w:sz w:val="22"/>
                <w:szCs w:val="22"/>
              </w:rPr>
              <w:t xml:space="preserve"> </w:t>
            </w:r>
            <w:r w:rsidRPr="009C38C2">
              <w:rPr>
                <w:rFonts w:eastAsia="Arial" w:cs="Arial"/>
                <w:sz w:val="22"/>
                <w:szCs w:val="22"/>
              </w:rPr>
              <w:t>El Salvador is on Watch.</w:t>
            </w:r>
          </w:p>
        </w:tc>
      </w:tr>
      <w:tr w:rsidR="00F45458" w:rsidRPr="00A54B18" w14:paraId="138128D9" w14:textId="77777777" w:rsidTr="00B67133">
        <w:trPr>
          <w:trHeight w:val="625"/>
        </w:trPr>
        <w:tc>
          <w:tcPr>
            <w:tcW w:w="1986" w:type="dxa"/>
            <w:tcBorders>
              <w:top w:val="single" w:sz="8" w:space="0" w:color="auto"/>
              <w:left w:val="single" w:sz="8" w:space="0" w:color="auto"/>
              <w:bottom w:val="single" w:sz="8" w:space="0" w:color="auto"/>
              <w:right w:val="single" w:sz="8" w:space="0" w:color="auto"/>
            </w:tcBorders>
          </w:tcPr>
          <w:p w14:paraId="01CD46E8" w14:textId="58F62850" w:rsidR="001748A3" w:rsidRPr="00A54B18" w:rsidRDefault="3F4AA501" w:rsidP="005E557A">
            <w:pPr>
              <w:rPr>
                <w:rFonts w:eastAsia="Arial" w:cs="Arial"/>
                <w:sz w:val="22"/>
                <w:szCs w:val="22"/>
              </w:rPr>
            </w:pPr>
            <w:r w:rsidRPr="00A54B18">
              <w:rPr>
                <w:rFonts w:eastAsia="Arial" w:cs="Arial"/>
                <w:sz w:val="22"/>
                <w:szCs w:val="22"/>
              </w:rPr>
              <w:t>Difficulties</w:t>
            </w:r>
            <w:r w:rsidR="762986A5" w:rsidRPr="00A54B18">
              <w:rPr>
                <w:rFonts w:eastAsia="Arial" w:cs="Arial"/>
                <w:sz w:val="22"/>
                <w:szCs w:val="22"/>
              </w:rPr>
              <w:t xml:space="preserve"> associated with measuring impacts</w:t>
            </w:r>
          </w:p>
        </w:tc>
        <w:tc>
          <w:tcPr>
            <w:tcW w:w="1417" w:type="dxa"/>
            <w:tcBorders>
              <w:top w:val="single" w:sz="8" w:space="0" w:color="auto"/>
              <w:left w:val="single" w:sz="8" w:space="0" w:color="auto"/>
              <w:bottom w:val="single" w:sz="8" w:space="0" w:color="auto"/>
              <w:right w:val="single" w:sz="8" w:space="0" w:color="auto"/>
            </w:tcBorders>
          </w:tcPr>
          <w:p w14:paraId="3B25D9D8" w14:textId="4282F71D" w:rsidR="001748A3" w:rsidRPr="00A54B18" w:rsidRDefault="001748A3" w:rsidP="005E557A">
            <w:pPr>
              <w:rPr>
                <w:rFonts w:eastAsia="Arial" w:cs="Arial"/>
                <w:sz w:val="22"/>
                <w:szCs w:val="22"/>
              </w:rPr>
            </w:pPr>
            <w:r w:rsidRPr="00A54B18">
              <w:rPr>
                <w:rFonts w:eastAsia="Arial" w:cs="Arial"/>
                <w:sz w:val="22"/>
                <w:szCs w:val="22"/>
              </w:rPr>
              <w:t>Monitoring and reporting</w:t>
            </w:r>
          </w:p>
        </w:tc>
        <w:tc>
          <w:tcPr>
            <w:tcW w:w="1276"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362309B7" w14:textId="196D4B52" w:rsidR="001748A3" w:rsidRPr="00A54B18" w:rsidRDefault="004C1AB5" w:rsidP="005E557A">
            <w:pPr>
              <w:rPr>
                <w:rFonts w:eastAsia="Arial" w:cs="Arial"/>
                <w:sz w:val="22"/>
                <w:szCs w:val="22"/>
              </w:rPr>
            </w:pPr>
            <w:r>
              <w:rPr>
                <w:rFonts w:eastAsia="Arial" w:cs="Arial"/>
                <w:sz w:val="22"/>
                <w:szCs w:val="22"/>
              </w:rPr>
              <w:t>Low</w:t>
            </w:r>
          </w:p>
        </w:tc>
        <w:tc>
          <w:tcPr>
            <w:tcW w:w="1417"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79387E94" w14:textId="50028B3F" w:rsidR="001748A3" w:rsidRPr="00A54B18" w:rsidRDefault="004C1AB5" w:rsidP="005E557A">
            <w:pPr>
              <w:rPr>
                <w:rFonts w:eastAsia="Arial" w:cs="Arial"/>
                <w:sz w:val="22"/>
                <w:szCs w:val="22"/>
              </w:rPr>
            </w:pPr>
            <w:r>
              <w:rPr>
                <w:rFonts w:eastAsia="Arial" w:cs="Arial"/>
                <w:sz w:val="22"/>
                <w:szCs w:val="22"/>
              </w:rPr>
              <w:t>Low</w:t>
            </w:r>
          </w:p>
        </w:tc>
        <w:tc>
          <w:tcPr>
            <w:tcW w:w="4820" w:type="dxa"/>
            <w:tcBorders>
              <w:top w:val="single" w:sz="8" w:space="0" w:color="auto"/>
              <w:left w:val="single" w:sz="8" w:space="0" w:color="auto"/>
              <w:bottom w:val="single" w:sz="8" w:space="0" w:color="auto"/>
              <w:right w:val="single" w:sz="8" w:space="0" w:color="auto"/>
            </w:tcBorders>
          </w:tcPr>
          <w:p w14:paraId="6C2C5588" w14:textId="0423FFAC" w:rsidR="001748A3" w:rsidRPr="00A54B18" w:rsidRDefault="070C5634" w:rsidP="00DA46D9">
            <w:pPr>
              <w:pStyle w:val="ListParagraph"/>
              <w:numPr>
                <w:ilvl w:val="0"/>
                <w:numId w:val="9"/>
              </w:numPr>
              <w:spacing w:before="60" w:after="0"/>
              <w:ind w:left="227" w:hanging="227"/>
              <w:contextualSpacing w:val="0"/>
              <w:rPr>
                <w:sz w:val="22"/>
                <w:szCs w:val="22"/>
              </w:rPr>
            </w:pPr>
            <w:r w:rsidRPr="00A54B18">
              <w:rPr>
                <w:sz w:val="22"/>
                <w:szCs w:val="22"/>
              </w:rPr>
              <w:t xml:space="preserve">Continue working with EBF to secure increasingly robust data to underpin results </w:t>
            </w:r>
            <w:r w:rsidR="00E1623B" w:rsidRPr="00A54B18">
              <w:rPr>
                <w:sz w:val="22"/>
                <w:szCs w:val="22"/>
              </w:rPr>
              <w:t>assessment.</w:t>
            </w:r>
          </w:p>
          <w:p w14:paraId="075CF073" w14:textId="0B1460D5" w:rsidR="00915B7F" w:rsidRPr="00A54B18" w:rsidRDefault="00915B7F" w:rsidP="00DA46D9">
            <w:pPr>
              <w:pStyle w:val="ListParagraph"/>
              <w:numPr>
                <w:ilvl w:val="0"/>
                <w:numId w:val="9"/>
              </w:numPr>
              <w:spacing w:before="60" w:after="0"/>
              <w:ind w:left="227" w:hanging="227"/>
              <w:contextualSpacing w:val="0"/>
              <w:rPr>
                <w:sz w:val="22"/>
                <w:szCs w:val="22"/>
              </w:rPr>
            </w:pPr>
            <w:r w:rsidRPr="00A54B18">
              <w:rPr>
                <w:sz w:val="22"/>
                <w:szCs w:val="22"/>
              </w:rPr>
              <w:lastRenderedPageBreak/>
              <w:t xml:space="preserve">An independent </w:t>
            </w:r>
            <w:r w:rsidR="001A7816" w:rsidRPr="00A54B18">
              <w:rPr>
                <w:sz w:val="22"/>
                <w:szCs w:val="22"/>
              </w:rPr>
              <w:t xml:space="preserve">review of the fund </w:t>
            </w:r>
            <w:r w:rsidR="004C1AB5">
              <w:rPr>
                <w:sz w:val="22"/>
                <w:szCs w:val="22"/>
              </w:rPr>
              <w:t>was carried out in</w:t>
            </w:r>
            <w:r w:rsidR="001A7816" w:rsidRPr="00A54B18">
              <w:rPr>
                <w:sz w:val="22"/>
                <w:szCs w:val="22"/>
              </w:rPr>
              <w:t xml:space="preserve"> 2022, which assess</w:t>
            </w:r>
            <w:r w:rsidR="004C1AB5">
              <w:rPr>
                <w:sz w:val="22"/>
                <w:szCs w:val="22"/>
              </w:rPr>
              <w:t>ed</w:t>
            </w:r>
            <w:r w:rsidR="001A7816" w:rsidRPr="00A54B18">
              <w:rPr>
                <w:sz w:val="22"/>
                <w:szCs w:val="22"/>
              </w:rPr>
              <w:t xml:space="preserve"> its impact and the accuracy of its current monitoring</w:t>
            </w:r>
            <w:r w:rsidR="004C1AB5">
              <w:rPr>
                <w:sz w:val="22"/>
                <w:szCs w:val="22"/>
              </w:rPr>
              <w:t xml:space="preserve"> very positively. This increases confidence in the accuracy of impact reporting and has resulted in a lower risk and likelihood rating for 2022</w:t>
            </w:r>
            <w:r w:rsidR="001A7816" w:rsidRPr="00A54B18">
              <w:rPr>
                <w:sz w:val="22"/>
                <w:szCs w:val="22"/>
              </w:rPr>
              <w:t>.</w:t>
            </w:r>
          </w:p>
        </w:tc>
      </w:tr>
      <w:tr w:rsidR="00F45458" w:rsidRPr="00A54B18" w14:paraId="0FF8F984" w14:textId="77777777" w:rsidTr="00B67133">
        <w:trPr>
          <w:trHeight w:val="225"/>
        </w:trPr>
        <w:tc>
          <w:tcPr>
            <w:tcW w:w="1986" w:type="dxa"/>
            <w:tcBorders>
              <w:top w:val="single" w:sz="8" w:space="0" w:color="auto"/>
              <w:left w:val="single" w:sz="8" w:space="0" w:color="auto"/>
              <w:bottom w:val="single" w:sz="8" w:space="0" w:color="auto"/>
              <w:right w:val="single" w:sz="8" w:space="0" w:color="auto"/>
            </w:tcBorders>
          </w:tcPr>
          <w:p w14:paraId="5D08C1BB" w14:textId="1CD82689" w:rsidR="001748A3" w:rsidRPr="00A54B18" w:rsidRDefault="001748A3" w:rsidP="005E557A">
            <w:pPr>
              <w:rPr>
                <w:rFonts w:eastAsia="Arial" w:cs="Arial"/>
                <w:sz w:val="22"/>
                <w:szCs w:val="22"/>
              </w:rPr>
            </w:pPr>
            <w:r w:rsidRPr="00A54B18">
              <w:rPr>
                <w:rFonts w:eastAsia="Arial" w:cs="Arial"/>
                <w:sz w:val="22"/>
                <w:szCs w:val="22"/>
              </w:rPr>
              <w:lastRenderedPageBreak/>
              <w:t>Lack of</w:t>
            </w:r>
            <w:r w:rsidR="6EBCCF3C" w:rsidRPr="00A54B18">
              <w:rPr>
                <w:rFonts w:eastAsia="Arial" w:cs="Arial"/>
                <w:sz w:val="22"/>
                <w:szCs w:val="22"/>
              </w:rPr>
              <w:t xml:space="preserve"> recorded</w:t>
            </w:r>
            <w:r w:rsidRPr="00A54B18">
              <w:rPr>
                <w:rFonts w:eastAsia="Arial" w:cs="Arial"/>
                <w:sz w:val="22"/>
                <w:szCs w:val="22"/>
              </w:rPr>
              <w:t xml:space="preserve"> impact specifically on biodiversity</w:t>
            </w:r>
          </w:p>
        </w:tc>
        <w:tc>
          <w:tcPr>
            <w:tcW w:w="1417" w:type="dxa"/>
            <w:tcBorders>
              <w:top w:val="single" w:sz="8" w:space="0" w:color="auto"/>
              <w:left w:val="single" w:sz="8" w:space="0" w:color="auto"/>
              <w:bottom w:val="single" w:sz="8" w:space="0" w:color="auto"/>
              <w:right w:val="single" w:sz="8" w:space="0" w:color="auto"/>
            </w:tcBorders>
          </w:tcPr>
          <w:p w14:paraId="33FD05EA" w14:textId="69F075A8" w:rsidR="001748A3" w:rsidRPr="00A54B18" w:rsidRDefault="001748A3" w:rsidP="005E557A">
            <w:pPr>
              <w:rPr>
                <w:rFonts w:eastAsia="Arial" w:cs="Arial"/>
                <w:sz w:val="22"/>
                <w:szCs w:val="22"/>
              </w:rPr>
            </w:pPr>
            <w:r w:rsidRPr="00A54B18">
              <w:rPr>
                <w:rFonts w:eastAsia="Arial" w:cs="Arial"/>
                <w:sz w:val="22"/>
                <w:szCs w:val="22"/>
              </w:rPr>
              <w:t>Monitoring and reporting</w:t>
            </w:r>
          </w:p>
        </w:tc>
        <w:tc>
          <w:tcPr>
            <w:tcW w:w="1276"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0CD8B9D4" w14:textId="5695A47A" w:rsidR="001748A3" w:rsidRPr="00A54B18" w:rsidRDefault="001748A3" w:rsidP="005E557A">
            <w:pPr>
              <w:rPr>
                <w:rFonts w:eastAsia="Arial" w:cs="Arial"/>
                <w:sz w:val="22"/>
                <w:szCs w:val="22"/>
              </w:rPr>
            </w:pPr>
            <w:r w:rsidRPr="00A54B18">
              <w:rPr>
                <w:rFonts w:eastAsia="Arial" w:cs="Arial"/>
                <w:sz w:val="22"/>
                <w:szCs w:val="22"/>
              </w:rPr>
              <w:t>Moderate</w:t>
            </w:r>
          </w:p>
        </w:tc>
        <w:tc>
          <w:tcPr>
            <w:tcW w:w="1417"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715DA8FE" w14:textId="17B66528" w:rsidR="001748A3" w:rsidRPr="00A54B18" w:rsidRDefault="001748A3" w:rsidP="005E557A">
            <w:pPr>
              <w:rPr>
                <w:rFonts w:eastAsia="Arial" w:cs="Arial"/>
                <w:sz w:val="22"/>
                <w:szCs w:val="22"/>
              </w:rPr>
            </w:pPr>
            <w:r w:rsidRPr="00A54B18">
              <w:rPr>
                <w:rFonts w:eastAsia="Arial" w:cs="Arial"/>
                <w:sz w:val="22"/>
                <w:szCs w:val="22"/>
              </w:rPr>
              <w:t>Moderate</w:t>
            </w:r>
          </w:p>
        </w:tc>
        <w:tc>
          <w:tcPr>
            <w:tcW w:w="4820" w:type="dxa"/>
            <w:tcBorders>
              <w:top w:val="single" w:sz="8" w:space="0" w:color="auto"/>
              <w:left w:val="single" w:sz="8" w:space="0" w:color="auto"/>
              <w:bottom w:val="single" w:sz="8" w:space="0" w:color="auto"/>
              <w:right w:val="single" w:sz="8" w:space="0" w:color="auto"/>
            </w:tcBorders>
          </w:tcPr>
          <w:p w14:paraId="054B2129" w14:textId="77777777" w:rsidR="001748A3" w:rsidRDefault="001748A3" w:rsidP="00DA46D9">
            <w:pPr>
              <w:pStyle w:val="ListParagraph"/>
              <w:numPr>
                <w:ilvl w:val="0"/>
                <w:numId w:val="9"/>
              </w:numPr>
              <w:spacing w:before="60" w:after="0"/>
              <w:ind w:left="227" w:hanging="227"/>
              <w:contextualSpacing w:val="0"/>
              <w:rPr>
                <w:rFonts w:eastAsia="Arial" w:cs="Arial"/>
                <w:sz w:val="22"/>
                <w:szCs w:val="22"/>
              </w:rPr>
            </w:pPr>
            <w:r w:rsidRPr="00A54B18">
              <w:rPr>
                <w:rFonts w:eastAsia="Arial" w:cs="Arial"/>
                <w:sz w:val="22"/>
                <w:szCs w:val="22"/>
              </w:rPr>
              <w:t>Work with EBF to expand Outcome monitoring to cover biodiversity; currently only measured indirectly by land area in sustainable management and prevented deforestation</w:t>
            </w:r>
            <w:r w:rsidR="00E02491">
              <w:rPr>
                <w:rFonts w:eastAsia="Arial" w:cs="Arial"/>
                <w:sz w:val="22"/>
                <w:szCs w:val="22"/>
              </w:rPr>
              <w:t>.</w:t>
            </w:r>
          </w:p>
          <w:p w14:paraId="31291435" w14:textId="7D3754FF" w:rsidR="00E02491" w:rsidRPr="00A54B18" w:rsidRDefault="7906B1B8" w:rsidP="58D74F02">
            <w:pPr>
              <w:pStyle w:val="ListParagraph"/>
              <w:numPr>
                <w:ilvl w:val="0"/>
                <w:numId w:val="9"/>
              </w:numPr>
              <w:spacing w:before="60" w:after="0"/>
              <w:ind w:left="227" w:hanging="227"/>
              <w:rPr>
                <w:rFonts w:eastAsia="Arial" w:cs="Arial"/>
                <w:sz w:val="22"/>
                <w:szCs w:val="22"/>
              </w:rPr>
            </w:pPr>
            <w:r w:rsidRPr="58D74F02">
              <w:rPr>
                <w:rFonts w:eastAsia="Arial" w:cs="Arial"/>
                <w:sz w:val="22"/>
                <w:szCs w:val="22"/>
              </w:rPr>
              <w:t xml:space="preserve">EBF sponsored a pilot of </w:t>
            </w:r>
            <w:proofErr w:type="spellStart"/>
            <w:r w:rsidRPr="58D74F02">
              <w:rPr>
                <w:rFonts w:eastAsia="Arial" w:cs="Arial"/>
                <w:sz w:val="22"/>
                <w:szCs w:val="22"/>
              </w:rPr>
              <w:t>ecoacoustic</w:t>
            </w:r>
            <w:proofErr w:type="spellEnd"/>
            <w:r w:rsidRPr="58D74F02">
              <w:rPr>
                <w:rFonts w:eastAsia="Arial" w:cs="Arial"/>
                <w:sz w:val="22"/>
                <w:szCs w:val="22"/>
              </w:rPr>
              <w:t xml:space="preserve"> monitoring in 2022 and </w:t>
            </w:r>
            <w:r w:rsidR="6D36D6C6" w:rsidRPr="58D74F02">
              <w:rPr>
                <w:rFonts w:eastAsia="Arial" w:cs="Arial"/>
                <w:sz w:val="22"/>
                <w:szCs w:val="22"/>
              </w:rPr>
              <w:t>can</w:t>
            </w:r>
            <w:r w:rsidRPr="58D74F02">
              <w:rPr>
                <w:rFonts w:eastAsia="Arial" w:cs="Arial"/>
                <w:sz w:val="22"/>
                <w:szCs w:val="22"/>
              </w:rPr>
              <w:t xml:space="preserve"> fund further research and pilots into biodiversity monitoring through the DF. The lessons can be applied across other parts of the portfolio for a better sense of impact.</w:t>
            </w:r>
          </w:p>
        </w:tc>
      </w:tr>
      <w:tr w:rsidR="00F45458" w:rsidRPr="00A54B18" w14:paraId="217AD012" w14:textId="77777777" w:rsidTr="00990C1D">
        <w:trPr>
          <w:trHeight w:val="225"/>
        </w:trPr>
        <w:tc>
          <w:tcPr>
            <w:tcW w:w="1986" w:type="dxa"/>
            <w:tcBorders>
              <w:top w:val="single" w:sz="8" w:space="0" w:color="auto"/>
              <w:left w:val="single" w:sz="8" w:space="0" w:color="auto"/>
              <w:bottom w:val="single" w:sz="8" w:space="0" w:color="auto"/>
              <w:right w:val="single" w:sz="8" w:space="0" w:color="auto"/>
            </w:tcBorders>
          </w:tcPr>
          <w:p w14:paraId="1FB9E57B" w14:textId="55BFA8ED" w:rsidR="008C4E9E" w:rsidRPr="00A54B18" w:rsidRDefault="008C4E9E" w:rsidP="008C4E9E">
            <w:pPr>
              <w:rPr>
                <w:rFonts w:eastAsia="Arial" w:cs="Arial"/>
                <w:sz w:val="22"/>
                <w:szCs w:val="22"/>
              </w:rPr>
            </w:pPr>
            <w:r>
              <w:rPr>
                <w:rFonts w:eastAsia="Arial" w:cs="Arial"/>
                <w:sz w:val="22"/>
                <w:szCs w:val="22"/>
              </w:rPr>
              <w:t>Gender Equality and Social Inclusion (GESI)</w:t>
            </w:r>
            <w:r w:rsidR="00CA6751">
              <w:rPr>
                <w:rFonts w:eastAsia="Arial" w:cs="Arial"/>
                <w:sz w:val="22"/>
                <w:szCs w:val="22"/>
              </w:rPr>
              <w:t xml:space="preserve"> risk</w:t>
            </w:r>
            <w:r w:rsidR="00756CEF">
              <w:rPr>
                <w:rFonts w:eastAsia="Arial" w:cs="Arial"/>
                <w:sz w:val="22"/>
                <w:szCs w:val="22"/>
              </w:rPr>
              <w:t xml:space="preserve"> in PIs and end-borrowers</w:t>
            </w:r>
            <w:r w:rsidR="00B818C2" w:rsidRPr="00B818C2">
              <w:rPr>
                <w:rFonts w:eastAsia="Arial" w:cs="Arial"/>
                <w:sz w:val="22"/>
                <w:szCs w:val="22"/>
              </w:rPr>
              <w:t xml:space="preserve"> that funding may perpetuate inequality and lack of opportunity, particularly in countries where gender equity is not well established or may be culturally challenging.</w:t>
            </w:r>
          </w:p>
        </w:tc>
        <w:tc>
          <w:tcPr>
            <w:tcW w:w="1417" w:type="dxa"/>
            <w:tcBorders>
              <w:top w:val="single" w:sz="8" w:space="0" w:color="auto"/>
              <w:left w:val="single" w:sz="8" w:space="0" w:color="auto"/>
              <w:bottom w:val="single" w:sz="8" w:space="0" w:color="auto"/>
              <w:right w:val="single" w:sz="8" w:space="0" w:color="auto"/>
            </w:tcBorders>
          </w:tcPr>
          <w:p w14:paraId="39A56EF5" w14:textId="794D1D52" w:rsidR="008C4E9E" w:rsidRPr="00A54B18" w:rsidRDefault="00756CEF" w:rsidP="008C4E9E">
            <w:pPr>
              <w:rPr>
                <w:rFonts w:eastAsia="Arial" w:cs="Arial"/>
                <w:sz w:val="22"/>
                <w:szCs w:val="22"/>
              </w:rPr>
            </w:pPr>
            <w:r>
              <w:rPr>
                <w:rFonts w:eastAsia="Arial" w:cs="Arial"/>
                <w:sz w:val="22"/>
                <w:szCs w:val="22"/>
              </w:rPr>
              <w:t>Reputation</w:t>
            </w:r>
          </w:p>
        </w:tc>
        <w:tc>
          <w:tcPr>
            <w:tcW w:w="1276"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1A9E8D97" w14:textId="07C4F05C" w:rsidR="008C4E9E" w:rsidRPr="00A54B18" w:rsidRDefault="00990C1D" w:rsidP="008C4E9E">
            <w:pPr>
              <w:rPr>
                <w:rFonts w:eastAsia="Arial" w:cs="Arial"/>
                <w:sz w:val="22"/>
                <w:szCs w:val="22"/>
              </w:rPr>
            </w:pPr>
            <w:r>
              <w:rPr>
                <w:rFonts w:eastAsia="Arial" w:cs="Arial"/>
                <w:sz w:val="22"/>
                <w:szCs w:val="22"/>
              </w:rPr>
              <w:t>Moderate</w:t>
            </w:r>
          </w:p>
        </w:tc>
        <w:tc>
          <w:tcPr>
            <w:tcW w:w="1417"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4FAA9280" w14:textId="2BE1D1B7" w:rsidR="008C4E9E" w:rsidRPr="00A54B18" w:rsidRDefault="00990C1D" w:rsidP="008C4E9E">
            <w:pPr>
              <w:rPr>
                <w:rFonts w:eastAsia="Arial" w:cs="Arial"/>
                <w:sz w:val="22"/>
                <w:szCs w:val="22"/>
              </w:rPr>
            </w:pPr>
            <w:r>
              <w:rPr>
                <w:rFonts w:eastAsia="Arial" w:cs="Arial"/>
                <w:sz w:val="22"/>
                <w:szCs w:val="22"/>
              </w:rPr>
              <w:t>Moderate</w:t>
            </w:r>
          </w:p>
        </w:tc>
        <w:tc>
          <w:tcPr>
            <w:tcW w:w="4820" w:type="dxa"/>
            <w:tcBorders>
              <w:top w:val="single" w:sz="8" w:space="0" w:color="auto"/>
              <w:left w:val="single" w:sz="8" w:space="0" w:color="auto"/>
              <w:bottom w:val="single" w:sz="8" w:space="0" w:color="auto"/>
              <w:right w:val="single" w:sz="8" w:space="0" w:color="auto"/>
            </w:tcBorders>
          </w:tcPr>
          <w:p w14:paraId="2317DBBB" w14:textId="130FC2A5" w:rsidR="00940A13" w:rsidRPr="00940A13" w:rsidRDefault="00940A13" w:rsidP="00235F12">
            <w:pPr>
              <w:pStyle w:val="ListParagraph"/>
              <w:numPr>
                <w:ilvl w:val="0"/>
                <w:numId w:val="9"/>
              </w:numPr>
              <w:spacing w:before="60" w:after="0"/>
              <w:ind w:left="227" w:hanging="227"/>
              <w:contextualSpacing w:val="0"/>
              <w:rPr>
                <w:rFonts w:eastAsia="Arial" w:cs="Arial"/>
                <w:sz w:val="22"/>
                <w:szCs w:val="22"/>
              </w:rPr>
            </w:pPr>
            <w:r>
              <w:rPr>
                <w:rFonts w:eastAsia="Arial" w:cs="Arial"/>
                <w:sz w:val="22"/>
                <w:szCs w:val="22"/>
              </w:rPr>
              <w:t xml:space="preserve">The Fund has a </w:t>
            </w:r>
            <w:r w:rsidR="0001674D">
              <w:rPr>
                <w:rFonts w:eastAsia="Arial" w:cs="Arial"/>
                <w:sz w:val="22"/>
                <w:szCs w:val="22"/>
              </w:rPr>
              <w:t xml:space="preserve">Board-approved </w:t>
            </w:r>
            <w:r>
              <w:rPr>
                <w:rFonts w:eastAsia="Arial" w:cs="Arial"/>
                <w:sz w:val="22"/>
                <w:szCs w:val="22"/>
              </w:rPr>
              <w:t xml:space="preserve">Gender </w:t>
            </w:r>
            <w:r w:rsidR="0001674D">
              <w:rPr>
                <w:rFonts w:eastAsia="Arial" w:cs="Arial"/>
                <w:sz w:val="22"/>
                <w:szCs w:val="22"/>
              </w:rPr>
              <w:t xml:space="preserve">Strategy which guides its engagement with PIs </w:t>
            </w:r>
            <w:r w:rsidR="007D45E5">
              <w:rPr>
                <w:rFonts w:eastAsia="Arial" w:cs="Arial"/>
                <w:sz w:val="22"/>
                <w:szCs w:val="22"/>
              </w:rPr>
              <w:t>to embed gender equity into its lending and TA.</w:t>
            </w:r>
          </w:p>
          <w:p w14:paraId="565DDF7A" w14:textId="77777777" w:rsidR="008C4E9E" w:rsidRDefault="00756CEF" w:rsidP="00235F12">
            <w:pPr>
              <w:pStyle w:val="ListParagraph"/>
              <w:numPr>
                <w:ilvl w:val="0"/>
                <w:numId w:val="9"/>
              </w:numPr>
              <w:spacing w:before="60" w:after="0"/>
              <w:ind w:left="227" w:hanging="227"/>
              <w:contextualSpacing w:val="0"/>
              <w:rPr>
                <w:rFonts w:eastAsia="Arial" w:cs="Arial"/>
                <w:sz w:val="22"/>
                <w:szCs w:val="22"/>
              </w:rPr>
            </w:pPr>
            <w:r>
              <w:rPr>
                <w:rFonts w:eastAsia="Arial" w:cs="Arial"/>
                <w:sz w:val="22"/>
                <w:szCs w:val="22"/>
              </w:rPr>
              <w:t>Further detail on the Fund’s Gender Strategy is inclu</w:t>
            </w:r>
            <w:r w:rsidR="00990C1D">
              <w:rPr>
                <w:rFonts w:eastAsia="Arial" w:cs="Arial"/>
                <w:sz w:val="22"/>
                <w:szCs w:val="22"/>
              </w:rPr>
              <w:t>ded in Section E under ‘Equity’.</w:t>
            </w:r>
          </w:p>
          <w:p w14:paraId="5DC31EA0" w14:textId="00EFB1A8" w:rsidR="00CA6751" w:rsidRPr="00235F12" w:rsidRDefault="00CA6751" w:rsidP="00235F12">
            <w:pPr>
              <w:pStyle w:val="ListParagraph"/>
              <w:numPr>
                <w:ilvl w:val="0"/>
                <w:numId w:val="9"/>
              </w:numPr>
              <w:spacing w:before="60" w:after="0"/>
              <w:ind w:left="227" w:hanging="227"/>
              <w:contextualSpacing w:val="0"/>
              <w:rPr>
                <w:rFonts w:eastAsia="Arial" w:cs="Arial"/>
                <w:sz w:val="22"/>
                <w:szCs w:val="22"/>
              </w:rPr>
            </w:pPr>
            <w:r>
              <w:rPr>
                <w:rFonts w:eastAsia="Arial" w:cs="Arial"/>
                <w:sz w:val="22"/>
                <w:szCs w:val="22"/>
              </w:rPr>
              <w:t>The Fund’s use of a Green List to make finance available to smaller businesses</w:t>
            </w:r>
            <w:r w:rsidR="00A52F16">
              <w:rPr>
                <w:rFonts w:eastAsia="Arial" w:cs="Arial"/>
                <w:sz w:val="22"/>
                <w:szCs w:val="22"/>
              </w:rPr>
              <w:t xml:space="preserve"> and its dispersal of funding through local Partner Institutions with better access into communities reduces the </w:t>
            </w:r>
            <w:r w:rsidR="00142BB6">
              <w:rPr>
                <w:rFonts w:eastAsia="Arial" w:cs="Arial"/>
                <w:sz w:val="22"/>
                <w:szCs w:val="22"/>
              </w:rPr>
              <w:t xml:space="preserve">risk of perpetuating </w:t>
            </w:r>
            <w:proofErr w:type="gramStart"/>
            <w:r w:rsidR="00142BB6">
              <w:rPr>
                <w:rFonts w:eastAsia="Arial" w:cs="Arial"/>
                <w:sz w:val="22"/>
                <w:szCs w:val="22"/>
              </w:rPr>
              <w:t>poverty, and</w:t>
            </w:r>
            <w:proofErr w:type="gramEnd"/>
            <w:r w:rsidR="00142BB6">
              <w:rPr>
                <w:rFonts w:eastAsia="Arial" w:cs="Arial"/>
                <w:sz w:val="22"/>
                <w:szCs w:val="22"/>
              </w:rPr>
              <w:t xml:space="preserve"> goes some way to addressing problems of access to finance for small-scale producers and processors in the supply chain.</w:t>
            </w:r>
          </w:p>
        </w:tc>
      </w:tr>
      <w:tr w:rsidR="00F45458" w:rsidRPr="00A54B18" w14:paraId="33EF70F7" w14:textId="77777777" w:rsidTr="00990C1D">
        <w:trPr>
          <w:trHeight w:val="225"/>
        </w:trPr>
        <w:tc>
          <w:tcPr>
            <w:tcW w:w="1986" w:type="dxa"/>
            <w:tcBorders>
              <w:top w:val="single" w:sz="8" w:space="0" w:color="auto"/>
              <w:left w:val="single" w:sz="8" w:space="0" w:color="auto"/>
              <w:bottom w:val="single" w:sz="8" w:space="0" w:color="auto"/>
              <w:right w:val="single" w:sz="8" w:space="0" w:color="auto"/>
            </w:tcBorders>
          </w:tcPr>
          <w:p w14:paraId="5794F8DF" w14:textId="3295C6F8" w:rsidR="002B0CAF" w:rsidRDefault="00756CEF" w:rsidP="008C4E9E">
            <w:pPr>
              <w:rPr>
                <w:rFonts w:eastAsia="Arial" w:cs="Arial"/>
                <w:sz w:val="22"/>
                <w:szCs w:val="22"/>
              </w:rPr>
            </w:pPr>
            <w:r>
              <w:rPr>
                <w:rFonts w:eastAsia="Arial" w:cs="Arial"/>
                <w:sz w:val="22"/>
                <w:szCs w:val="22"/>
              </w:rPr>
              <w:t>Risk of safe-guarding issues</w:t>
            </w:r>
          </w:p>
        </w:tc>
        <w:tc>
          <w:tcPr>
            <w:tcW w:w="1417" w:type="dxa"/>
            <w:tcBorders>
              <w:top w:val="single" w:sz="8" w:space="0" w:color="auto"/>
              <w:left w:val="single" w:sz="8" w:space="0" w:color="auto"/>
              <w:bottom w:val="single" w:sz="8" w:space="0" w:color="auto"/>
              <w:right w:val="single" w:sz="8" w:space="0" w:color="auto"/>
            </w:tcBorders>
          </w:tcPr>
          <w:p w14:paraId="091C5942" w14:textId="0CB4755F" w:rsidR="002B0CAF" w:rsidRDefault="00756CEF" w:rsidP="008C4E9E">
            <w:pPr>
              <w:rPr>
                <w:rFonts w:eastAsia="Arial" w:cs="Arial"/>
                <w:sz w:val="22"/>
                <w:szCs w:val="22"/>
              </w:rPr>
            </w:pPr>
            <w:proofErr w:type="gramStart"/>
            <w:r>
              <w:rPr>
                <w:rFonts w:eastAsia="Arial" w:cs="Arial"/>
                <w:sz w:val="22"/>
                <w:szCs w:val="22"/>
              </w:rPr>
              <w:t>Safe-guarding</w:t>
            </w:r>
            <w:proofErr w:type="gramEnd"/>
          </w:p>
        </w:tc>
        <w:tc>
          <w:tcPr>
            <w:tcW w:w="1276"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1F98EF14" w14:textId="3E362958" w:rsidR="002B0CAF" w:rsidRDefault="00990C1D" w:rsidP="008C4E9E">
            <w:pPr>
              <w:rPr>
                <w:rFonts w:eastAsia="Arial" w:cs="Arial"/>
                <w:sz w:val="22"/>
                <w:szCs w:val="22"/>
              </w:rPr>
            </w:pPr>
            <w:r>
              <w:rPr>
                <w:rFonts w:eastAsia="Arial" w:cs="Arial"/>
                <w:sz w:val="22"/>
                <w:szCs w:val="22"/>
              </w:rPr>
              <w:t>Moderate</w:t>
            </w:r>
          </w:p>
        </w:tc>
        <w:tc>
          <w:tcPr>
            <w:tcW w:w="1417"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49188B49" w14:textId="0CAD4E7E" w:rsidR="002B0CAF" w:rsidRDefault="00990C1D" w:rsidP="008C4E9E">
            <w:pPr>
              <w:rPr>
                <w:rFonts w:eastAsia="Arial" w:cs="Arial"/>
                <w:sz w:val="22"/>
                <w:szCs w:val="22"/>
              </w:rPr>
            </w:pPr>
            <w:r>
              <w:rPr>
                <w:rFonts w:eastAsia="Arial" w:cs="Arial"/>
                <w:sz w:val="22"/>
                <w:szCs w:val="22"/>
              </w:rPr>
              <w:t>Moderate</w:t>
            </w:r>
          </w:p>
        </w:tc>
        <w:tc>
          <w:tcPr>
            <w:tcW w:w="4820" w:type="dxa"/>
            <w:tcBorders>
              <w:top w:val="single" w:sz="8" w:space="0" w:color="auto"/>
              <w:left w:val="single" w:sz="8" w:space="0" w:color="auto"/>
              <w:bottom w:val="single" w:sz="8" w:space="0" w:color="auto"/>
              <w:right w:val="single" w:sz="8" w:space="0" w:color="auto"/>
            </w:tcBorders>
          </w:tcPr>
          <w:p w14:paraId="58C8795F" w14:textId="77777777" w:rsidR="00756CEF" w:rsidRPr="00235F12" w:rsidRDefault="00756CEF" w:rsidP="00756CEF">
            <w:pPr>
              <w:pStyle w:val="ListParagraph"/>
              <w:numPr>
                <w:ilvl w:val="0"/>
                <w:numId w:val="9"/>
              </w:numPr>
              <w:spacing w:before="60" w:after="0"/>
              <w:ind w:left="227" w:hanging="227"/>
              <w:contextualSpacing w:val="0"/>
              <w:rPr>
                <w:rFonts w:eastAsia="Arial" w:cs="Arial"/>
                <w:sz w:val="22"/>
                <w:szCs w:val="22"/>
              </w:rPr>
            </w:pPr>
            <w:r w:rsidRPr="00C73217">
              <w:rPr>
                <w:rFonts w:eastAsiaTheme="majorEastAsia" w:cs="Arial"/>
                <w:sz w:val="22"/>
                <w:szCs w:val="22"/>
              </w:rPr>
              <w:t>The</w:t>
            </w:r>
            <w:r>
              <w:rPr>
                <w:rFonts w:eastAsiaTheme="majorEastAsia" w:cs="Arial"/>
                <w:sz w:val="22"/>
                <w:szCs w:val="22"/>
              </w:rPr>
              <w:t xml:space="preserve"> Fund Advisor has a safeguarding policy for all Advisor staff working with children or adults at risk and addresses </w:t>
            </w:r>
            <w:r w:rsidRPr="006C1341">
              <w:rPr>
                <w:rFonts w:eastAsiaTheme="majorEastAsia" w:cs="Arial"/>
                <w:sz w:val="22"/>
                <w:szCs w:val="22"/>
              </w:rPr>
              <w:t>child safeguarding, adult safeguarding, and protection from sexual exploitation and abuse.</w:t>
            </w:r>
            <w:r>
              <w:rPr>
                <w:rFonts w:eastAsiaTheme="majorEastAsia" w:cs="Arial"/>
                <w:sz w:val="22"/>
                <w:szCs w:val="22"/>
              </w:rPr>
              <w:t xml:space="preserve"> </w:t>
            </w:r>
            <w:r w:rsidRPr="00235F12">
              <w:rPr>
                <w:rFonts w:eastAsiaTheme="majorEastAsia" w:cs="Arial"/>
                <w:sz w:val="22"/>
                <w:szCs w:val="22"/>
              </w:rPr>
              <w:t>It covers the actions the Fund takes to safeguard children and adults at risk and the actions it takes in response to any reported violations of this policy.</w:t>
            </w:r>
          </w:p>
          <w:p w14:paraId="4DA45220" w14:textId="1DE51206" w:rsidR="002B0CAF" w:rsidRDefault="00756CEF" w:rsidP="00756CEF">
            <w:pPr>
              <w:pStyle w:val="ListParagraph"/>
              <w:numPr>
                <w:ilvl w:val="0"/>
                <w:numId w:val="9"/>
              </w:numPr>
              <w:spacing w:before="60" w:after="0"/>
              <w:ind w:left="227" w:hanging="227"/>
              <w:contextualSpacing w:val="0"/>
              <w:rPr>
                <w:rFonts w:eastAsia="Arial" w:cs="Arial"/>
                <w:sz w:val="22"/>
                <w:szCs w:val="22"/>
              </w:rPr>
            </w:pPr>
            <w:r w:rsidRPr="00235F12">
              <w:rPr>
                <w:rFonts w:eastAsiaTheme="majorEastAsia" w:cs="Arial"/>
                <w:sz w:val="22"/>
                <w:szCs w:val="22"/>
              </w:rPr>
              <w:t xml:space="preserve">These include making relevant staff aware of their responsibilities, identifying risks when designing activities, implementing safeguarding procedures in recruitment, </w:t>
            </w:r>
            <w:proofErr w:type="gramStart"/>
            <w:r w:rsidRPr="00235F12">
              <w:rPr>
                <w:rFonts w:eastAsiaTheme="majorEastAsia" w:cs="Arial"/>
                <w:sz w:val="22"/>
                <w:szCs w:val="22"/>
              </w:rPr>
              <w:t>management</w:t>
            </w:r>
            <w:proofErr w:type="gramEnd"/>
            <w:r w:rsidRPr="00235F12">
              <w:rPr>
                <w:rFonts w:eastAsiaTheme="majorEastAsia" w:cs="Arial"/>
                <w:sz w:val="22"/>
                <w:szCs w:val="22"/>
              </w:rPr>
              <w:t xml:space="preserve"> and deployment of staff, and ensuring relevant staff receive training on safeguarding.</w:t>
            </w:r>
          </w:p>
        </w:tc>
      </w:tr>
      <w:tr w:rsidR="00F45458" w:rsidRPr="00A54B18" w14:paraId="3561AE14" w14:textId="77777777" w:rsidTr="00B67133">
        <w:trPr>
          <w:trHeight w:val="225"/>
        </w:trPr>
        <w:tc>
          <w:tcPr>
            <w:tcW w:w="1986" w:type="dxa"/>
            <w:tcBorders>
              <w:top w:val="single" w:sz="8" w:space="0" w:color="auto"/>
              <w:left w:val="single" w:sz="8" w:space="0" w:color="auto"/>
              <w:bottom w:val="single" w:sz="8" w:space="0" w:color="auto"/>
              <w:right w:val="single" w:sz="8" w:space="0" w:color="auto"/>
            </w:tcBorders>
          </w:tcPr>
          <w:p w14:paraId="2ABBAABE" w14:textId="4F8530D8" w:rsidR="004C1AB5" w:rsidRDefault="004C1AB5" w:rsidP="005E557A">
            <w:pPr>
              <w:rPr>
                <w:rFonts w:eastAsia="Arial" w:cs="Arial"/>
                <w:sz w:val="22"/>
                <w:szCs w:val="22"/>
              </w:rPr>
            </w:pPr>
            <w:r>
              <w:rPr>
                <w:rFonts w:eastAsia="Arial" w:cs="Arial"/>
                <w:sz w:val="22"/>
                <w:szCs w:val="22"/>
              </w:rPr>
              <w:t xml:space="preserve">Concentration of investments in countries or sectors, making the portfolio vulnerable to local political or </w:t>
            </w:r>
            <w:r>
              <w:rPr>
                <w:rFonts w:eastAsia="Arial" w:cs="Arial"/>
                <w:sz w:val="22"/>
                <w:szCs w:val="22"/>
              </w:rPr>
              <w:lastRenderedPageBreak/>
              <w:t>economic changes, or to global commodity markets.</w:t>
            </w:r>
          </w:p>
        </w:tc>
        <w:tc>
          <w:tcPr>
            <w:tcW w:w="1417" w:type="dxa"/>
            <w:tcBorders>
              <w:top w:val="single" w:sz="8" w:space="0" w:color="auto"/>
              <w:left w:val="single" w:sz="8" w:space="0" w:color="auto"/>
              <w:bottom w:val="single" w:sz="8" w:space="0" w:color="auto"/>
              <w:right w:val="single" w:sz="8" w:space="0" w:color="auto"/>
            </w:tcBorders>
          </w:tcPr>
          <w:p w14:paraId="7C91F324" w14:textId="262AAFD0" w:rsidR="004C1AB5" w:rsidRPr="00A54B18" w:rsidRDefault="004C1AB5" w:rsidP="005E557A">
            <w:pPr>
              <w:rPr>
                <w:rFonts w:eastAsia="Arial" w:cs="Arial"/>
                <w:sz w:val="22"/>
                <w:szCs w:val="22"/>
              </w:rPr>
            </w:pPr>
            <w:r>
              <w:rPr>
                <w:rFonts w:eastAsia="Arial" w:cs="Arial"/>
                <w:sz w:val="22"/>
                <w:szCs w:val="22"/>
              </w:rPr>
              <w:lastRenderedPageBreak/>
              <w:t>Investment risk</w:t>
            </w:r>
          </w:p>
        </w:tc>
        <w:tc>
          <w:tcPr>
            <w:tcW w:w="1276"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0629AE28" w14:textId="7B14ABCE" w:rsidR="004C1AB5" w:rsidRPr="00A54B18" w:rsidRDefault="004C1AB5" w:rsidP="005E557A">
            <w:pPr>
              <w:rPr>
                <w:rFonts w:eastAsia="Arial" w:cs="Arial"/>
                <w:sz w:val="22"/>
                <w:szCs w:val="22"/>
              </w:rPr>
            </w:pPr>
            <w:r>
              <w:rPr>
                <w:rFonts w:eastAsia="Arial" w:cs="Arial"/>
                <w:sz w:val="22"/>
                <w:szCs w:val="22"/>
              </w:rPr>
              <w:t>Low</w:t>
            </w:r>
          </w:p>
        </w:tc>
        <w:tc>
          <w:tcPr>
            <w:tcW w:w="1417"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080AF499" w14:textId="14425EFC" w:rsidR="004C1AB5" w:rsidRPr="00A54B18" w:rsidRDefault="004C1AB5" w:rsidP="005E557A">
            <w:pPr>
              <w:rPr>
                <w:rFonts w:eastAsia="Arial" w:cs="Arial"/>
                <w:sz w:val="22"/>
                <w:szCs w:val="22"/>
              </w:rPr>
            </w:pPr>
            <w:r>
              <w:rPr>
                <w:rFonts w:eastAsia="Arial" w:cs="Arial"/>
                <w:sz w:val="22"/>
                <w:szCs w:val="22"/>
              </w:rPr>
              <w:t>Low</w:t>
            </w:r>
          </w:p>
        </w:tc>
        <w:tc>
          <w:tcPr>
            <w:tcW w:w="4820" w:type="dxa"/>
            <w:tcBorders>
              <w:top w:val="single" w:sz="8" w:space="0" w:color="auto"/>
              <w:left w:val="single" w:sz="8" w:space="0" w:color="auto"/>
              <w:bottom w:val="single" w:sz="8" w:space="0" w:color="auto"/>
              <w:right w:val="single" w:sz="8" w:space="0" w:color="auto"/>
            </w:tcBorders>
          </w:tcPr>
          <w:p w14:paraId="6BEE726B" w14:textId="1B9840BA" w:rsidR="004C1AB5" w:rsidRDefault="004C1AB5" w:rsidP="00DA46D9">
            <w:pPr>
              <w:pStyle w:val="ListParagraph"/>
              <w:numPr>
                <w:ilvl w:val="0"/>
                <w:numId w:val="9"/>
              </w:numPr>
              <w:spacing w:before="60" w:after="0"/>
              <w:ind w:left="227" w:hanging="227"/>
              <w:contextualSpacing w:val="0"/>
              <w:rPr>
                <w:rFonts w:eastAsia="Arial" w:cs="Arial"/>
                <w:sz w:val="22"/>
                <w:szCs w:val="22"/>
              </w:rPr>
            </w:pPr>
            <w:r>
              <w:rPr>
                <w:rFonts w:eastAsia="Arial" w:cs="Arial"/>
                <w:sz w:val="22"/>
                <w:szCs w:val="22"/>
              </w:rPr>
              <w:t>Investments are more concentrated in Ecuador (18%) and Panama (17%); the Fund has a country limit of 20% in place to prevent aggregate exposure</w:t>
            </w:r>
            <w:r w:rsidR="0035753B">
              <w:rPr>
                <w:rFonts w:eastAsia="Arial" w:cs="Arial"/>
                <w:sz w:val="22"/>
                <w:szCs w:val="22"/>
              </w:rPr>
              <w:t xml:space="preserve"> and regularly reviews this risk</w:t>
            </w:r>
            <w:r w:rsidR="00E02491">
              <w:rPr>
                <w:rFonts w:eastAsia="Arial" w:cs="Arial"/>
                <w:sz w:val="22"/>
                <w:szCs w:val="22"/>
              </w:rPr>
              <w:t>.</w:t>
            </w:r>
          </w:p>
          <w:p w14:paraId="275650AC" w14:textId="75107685" w:rsidR="00E02491" w:rsidRPr="00A54B18" w:rsidRDefault="00E02491" w:rsidP="00DA46D9">
            <w:pPr>
              <w:pStyle w:val="ListParagraph"/>
              <w:numPr>
                <w:ilvl w:val="0"/>
                <w:numId w:val="9"/>
              </w:numPr>
              <w:spacing w:before="60" w:after="0"/>
              <w:ind w:left="227" w:hanging="227"/>
              <w:contextualSpacing w:val="0"/>
              <w:rPr>
                <w:rFonts w:eastAsia="Arial" w:cs="Arial"/>
                <w:sz w:val="22"/>
                <w:szCs w:val="22"/>
              </w:rPr>
            </w:pPr>
            <w:r>
              <w:rPr>
                <w:rFonts w:eastAsia="Arial" w:cs="Arial"/>
                <w:sz w:val="22"/>
                <w:szCs w:val="22"/>
              </w:rPr>
              <w:t xml:space="preserve">Coffee is the biggest investment sector for EBF sub-loans at 18%; this has come down </w:t>
            </w:r>
            <w:r>
              <w:rPr>
                <w:rFonts w:eastAsia="Arial" w:cs="Arial"/>
                <w:sz w:val="22"/>
                <w:szCs w:val="22"/>
              </w:rPr>
              <w:lastRenderedPageBreak/>
              <w:t>from 30% in 2021, making the portfolio more diverse and resilient.</w:t>
            </w:r>
          </w:p>
        </w:tc>
      </w:tr>
      <w:tr w:rsidR="00F45458" w:rsidRPr="00A54B18" w14:paraId="1788D51C" w14:textId="77777777" w:rsidTr="00B67133">
        <w:trPr>
          <w:trHeight w:val="225"/>
        </w:trPr>
        <w:tc>
          <w:tcPr>
            <w:tcW w:w="1986" w:type="dxa"/>
            <w:tcBorders>
              <w:top w:val="single" w:sz="8" w:space="0" w:color="auto"/>
              <w:left w:val="single" w:sz="8" w:space="0" w:color="auto"/>
              <w:bottom w:val="single" w:sz="8" w:space="0" w:color="auto"/>
              <w:right w:val="single" w:sz="8" w:space="0" w:color="auto"/>
            </w:tcBorders>
          </w:tcPr>
          <w:p w14:paraId="68367D9B" w14:textId="77777777" w:rsidR="001748A3" w:rsidRDefault="00660D07" w:rsidP="005E557A">
            <w:pPr>
              <w:rPr>
                <w:rFonts w:eastAsia="Arial" w:cs="Arial"/>
                <w:sz w:val="22"/>
                <w:szCs w:val="22"/>
              </w:rPr>
            </w:pPr>
            <w:r>
              <w:rPr>
                <w:rFonts w:eastAsia="Arial" w:cs="Arial"/>
                <w:sz w:val="22"/>
                <w:szCs w:val="22"/>
              </w:rPr>
              <w:lastRenderedPageBreak/>
              <w:t>Ri</w:t>
            </w:r>
            <w:r w:rsidR="00327D28" w:rsidRPr="00A54B18">
              <w:rPr>
                <w:rFonts w:eastAsia="Arial" w:cs="Arial"/>
                <w:sz w:val="22"/>
                <w:szCs w:val="22"/>
              </w:rPr>
              <w:t>sk of PIs defaulting on loans</w:t>
            </w:r>
            <w:r w:rsidR="00EB33A9" w:rsidRPr="00A54B18">
              <w:rPr>
                <w:rFonts w:eastAsia="Arial" w:cs="Arial"/>
                <w:sz w:val="22"/>
                <w:szCs w:val="22"/>
              </w:rPr>
              <w:t>, particularly in less regulated environments</w:t>
            </w:r>
            <w:r w:rsidR="00E02491">
              <w:rPr>
                <w:rFonts w:eastAsia="Arial" w:cs="Arial"/>
                <w:sz w:val="22"/>
                <w:szCs w:val="22"/>
              </w:rPr>
              <w:t>.</w:t>
            </w:r>
          </w:p>
          <w:p w14:paraId="24C64EFE" w14:textId="77777777" w:rsidR="00E02491" w:rsidRDefault="00E02491" w:rsidP="005E557A">
            <w:pPr>
              <w:rPr>
                <w:rFonts w:eastAsia="Arial" w:cs="Arial"/>
                <w:sz w:val="22"/>
                <w:szCs w:val="22"/>
              </w:rPr>
            </w:pPr>
          </w:p>
          <w:p w14:paraId="5D8902A3" w14:textId="6A538897" w:rsidR="00806EB0" w:rsidRPr="00A54B18" w:rsidRDefault="00806EB0" w:rsidP="005E557A">
            <w:pPr>
              <w:rPr>
                <w:rFonts w:eastAsia="Arial" w:cs="Arial"/>
                <w:sz w:val="22"/>
                <w:szCs w:val="22"/>
              </w:rPr>
            </w:pPr>
            <w:r w:rsidRPr="00806EB0">
              <w:rPr>
                <w:rFonts w:eastAsia="Arial" w:cs="Arial"/>
                <w:sz w:val="22"/>
                <w:szCs w:val="22"/>
              </w:rPr>
              <w:t xml:space="preserve">As a Junior Shareholder, Defra </w:t>
            </w:r>
            <w:r w:rsidR="005F2D21">
              <w:rPr>
                <w:rFonts w:eastAsia="Arial" w:cs="Arial"/>
                <w:sz w:val="22"/>
                <w:szCs w:val="22"/>
              </w:rPr>
              <w:t>is</w:t>
            </w:r>
            <w:r w:rsidRPr="00806EB0">
              <w:rPr>
                <w:rFonts w:eastAsia="Arial" w:cs="Arial"/>
                <w:sz w:val="22"/>
                <w:szCs w:val="22"/>
              </w:rPr>
              <w:t xml:space="preserve"> among those investors first in line to have the value of </w:t>
            </w:r>
            <w:r w:rsidR="004D5A54">
              <w:rPr>
                <w:rFonts w:eastAsia="Arial" w:cs="Arial"/>
                <w:sz w:val="22"/>
                <w:szCs w:val="22"/>
              </w:rPr>
              <w:t xml:space="preserve">its </w:t>
            </w:r>
            <w:r w:rsidRPr="00806EB0">
              <w:rPr>
                <w:rFonts w:eastAsia="Arial" w:cs="Arial"/>
                <w:sz w:val="22"/>
                <w:szCs w:val="22"/>
              </w:rPr>
              <w:t>shares reduced if the Fund suffers losses.</w:t>
            </w:r>
          </w:p>
        </w:tc>
        <w:tc>
          <w:tcPr>
            <w:tcW w:w="1417" w:type="dxa"/>
            <w:tcBorders>
              <w:top w:val="single" w:sz="8" w:space="0" w:color="auto"/>
              <w:left w:val="single" w:sz="8" w:space="0" w:color="auto"/>
              <w:bottom w:val="single" w:sz="8" w:space="0" w:color="auto"/>
              <w:right w:val="single" w:sz="8" w:space="0" w:color="auto"/>
            </w:tcBorders>
          </w:tcPr>
          <w:p w14:paraId="6C36FE34" w14:textId="656E6211" w:rsidR="001748A3" w:rsidRPr="00A54B18" w:rsidRDefault="00327D28" w:rsidP="005E557A">
            <w:pPr>
              <w:rPr>
                <w:rFonts w:eastAsia="Arial" w:cs="Arial"/>
                <w:sz w:val="22"/>
                <w:szCs w:val="22"/>
              </w:rPr>
            </w:pPr>
            <w:r w:rsidRPr="00A54B18">
              <w:rPr>
                <w:rFonts w:eastAsia="Arial" w:cs="Arial"/>
                <w:sz w:val="22"/>
                <w:szCs w:val="22"/>
              </w:rPr>
              <w:t>Investment risk</w:t>
            </w:r>
          </w:p>
        </w:tc>
        <w:tc>
          <w:tcPr>
            <w:tcW w:w="1276"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14C30CAD" w14:textId="4B8255C7" w:rsidR="001748A3" w:rsidRPr="00A54B18" w:rsidRDefault="00327D28" w:rsidP="005E557A">
            <w:pPr>
              <w:rPr>
                <w:rFonts w:eastAsia="Arial" w:cs="Arial"/>
                <w:sz w:val="22"/>
                <w:szCs w:val="22"/>
              </w:rPr>
            </w:pPr>
            <w:r w:rsidRPr="00A54B18">
              <w:rPr>
                <w:rFonts w:eastAsia="Arial" w:cs="Arial"/>
                <w:sz w:val="22"/>
                <w:szCs w:val="22"/>
              </w:rPr>
              <w:t>Moderate</w:t>
            </w:r>
            <w:r w:rsidR="0035753B">
              <w:rPr>
                <w:rFonts w:eastAsia="Arial" w:cs="Arial"/>
                <w:sz w:val="22"/>
                <w:szCs w:val="22"/>
              </w:rPr>
              <w:t>-high</w:t>
            </w:r>
          </w:p>
        </w:tc>
        <w:tc>
          <w:tcPr>
            <w:tcW w:w="1417"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19C9FF06" w14:textId="6EB2EFE4" w:rsidR="001748A3" w:rsidRPr="00A54B18" w:rsidRDefault="0035753B" w:rsidP="005E557A">
            <w:pPr>
              <w:rPr>
                <w:rFonts w:eastAsia="Arial" w:cs="Arial"/>
                <w:sz w:val="22"/>
                <w:szCs w:val="22"/>
              </w:rPr>
            </w:pPr>
            <w:r>
              <w:rPr>
                <w:rFonts w:eastAsia="Arial" w:cs="Arial"/>
                <w:sz w:val="22"/>
                <w:szCs w:val="22"/>
              </w:rPr>
              <w:t>High</w:t>
            </w:r>
          </w:p>
        </w:tc>
        <w:tc>
          <w:tcPr>
            <w:tcW w:w="4820" w:type="dxa"/>
            <w:tcBorders>
              <w:top w:val="single" w:sz="8" w:space="0" w:color="auto"/>
              <w:left w:val="single" w:sz="8" w:space="0" w:color="auto"/>
              <w:bottom w:val="single" w:sz="8" w:space="0" w:color="auto"/>
              <w:right w:val="single" w:sz="8" w:space="0" w:color="auto"/>
            </w:tcBorders>
          </w:tcPr>
          <w:p w14:paraId="5D9966DD" w14:textId="7434917E" w:rsidR="001748A3" w:rsidRPr="00A54B18" w:rsidRDefault="00327D28" w:rsidP="00DA46D9">
            <w:pPr>
              <w:pStyle w:val="ListParagraph"/>
              <w:numPr>
                <w:ilvl w:val="0"/>
                <w:numId w:val="9"/>
              </w:numPr>
              <w:spacing w:before="60" w:after="0"/>
              <w:ind w:left="227" w:hanging="227"/>
              <w:contextualSpacing w:val="0"/>
              <w:rPr>
                <w:rFonts w:eastAsia="Arial" w:cs="Arial"/>
                <w:sz w:val="22"/>
                <w:szCs w:val="22"/>
              </w:rPr>
            </w:pPr>
            <w:r w:rsidRPr="00A54B18">
              <w:rPr>
                <w:rFonts w:eastAsia="Arial" w:cs="Arial"/>
                <w:sz w:val="22"/>
                <w:szCs w:val="22"/>
              </w:rPr>
              <w:t>Maintaining a diversified portfolio and carrying out thorough and regular due diligence on PIs</w:t>
            </w:r>
            <w:r w:rsidR="00E02491">
              <w:rPr>
                <w:rFonts w:eastAsia="Arial" w:cs="Arial"/>
                <w:sz w:val="22"/>
                <w:szCs w:val="22"/>
              </w:rPr>
              <w:t>.</w:t>
            </w:r>
            <w:r w:rsidR="002504E7">
              <w:rPr>
                <w:rFonts w:eastAsia="Arial" w:cs="Arial"/>
                <w:sz w:val="22"/>
                <w:szCs w:val="22"/>
              </w:rPr>
              <w:t xml:space="preserve"> Limiting loan size to any one PI.</w:t>
            </w:r>
          </w:p>
          <w:p w14:paraId="59FF3C41" w14:textId="4BD605B2" w:rsidR="00327D28" w:rsidRDefault="00327D28" w:rsidP="00DA46D9">
            <w:pPr>
              <w:pStyle w:val="ListParagraph"/>
              <w:numPr>
                <w:ilvl w:val="0"/>
                <w:numId w:val="9"/>
              </w:numPr>
              <w:spacing w:before="60" w:after="0"/>
              <w:ind w:left="227" w:hanging="227"/>
              <w:contextualSpacing w:val="0"/>
              <w:rPr>
                <w:rFonts w:eastAsia="Arial" w:cs="Arial"/>
                <w:sz w:val="22"/>
                <w:szCs w:val="22"/>
              </w:rPr>
            </w:pPr>
            <w:r w:rsidRPr="00A54B18">
              <w:rPr>
                <w:rFonts w:eastAsia="Arial" w:cs="Arial"/>
                <w:sz w:val="22"/>
                <w:szCs w:val="22"/>
              </w:rPr>
              <w:t>Taking account of the regulatory environment in target countries in investment decisions</w:t>
            </w:r>
            <w:r w:rsidR="0035753B">
              <w:rPr>
                <w:rFonts w:eastAsia="Arial" w:cs="Arial"/>
                <w:sz w:val="22"/>
                <w:szCs w:val="22"/>
              </w:rPr>
              <w:t>.</w:t>
            </w:r>
          </w:p>
          <w:p w14:paraId="52208408" w14:textId="07A42DC8" w:rsidR="0035753B" w:rsidRDefault="0035753B" w:rsidP="00DA46D9">
            <w:pPr>
              <w:pStyle w:val="ListParagraph"/>
              <w:numPr>
                <w:ilvl w:val="0"/>
                <w:numId w:val="9"/>
              </w:numPr>
              <w:spacing w:before="60" w:after="0"/>
              <w:ind w:left="227" w:hanging="227"/>
              <w:contextualSpacing w:val="0"/>
              <w:rPr>
                <w:rFonts w:eastAsia="Arial" w:cs="Arial"/>
                <w:sz w:val="22"/>
                <w:szCs w:val="22"/>
              </w:rPr>
            </w:pPr>
            <w:r>
              <w:rPr>
                <w:rFonts w:eastAsia="Arial" w:cs="Arial"/>
                <w:sz w:val="22"/>
                <w:szCs w:val="22"/>
              </w:rPr>
              <w:t>Following investment EBF monitors the financial health of PIs closely, using employees with strong local financial knowledge.</w:t>
            </w:r>
          </w:p>
          <w:p w14:paraId="59F142ED" w14:textId="77777777" w:rsidR="0035753B" w:rsidRDefault="0035753B" w:rsidP="00DA46D9">
            <w:pPr>
              <w:pStyle w:val="ListParagraph"/>
              <w:numPr>
                <w:ilvl w:val="0"/>
                <w:numId w:val="9"/>
              </w:numPr>
              <w:spacing w:before="60" w:after="0"/>
              <w:ind w:left="227" w:hanging="227"/>
              <w:contextualSpacing w:val="0"/>
              <w:rPr>
                <w:rFonts w:eastAsia="Arial" w:cs="Arial"/>
                <w:sz w:val="22"/>
                <w:szCs w:val="22"/>
              </w:rPr>
            </w:pPr>
            <w:r>
              <w:rPr>
                <w:rFonts w:eastAsia="Arial" w:cs="Arial"/>
                <w:sz w:val="22"/>
                <w:szCs w:val="22"/>
              </w:rPr>
              <w:t>In the event of default, EBF can take steps to reduce exposure and to work with other investors to reclaim assets.</w:t>
            </w:r>
          </w:p>
          <w:p w14:paraId="7549492A" w14:textId="6C43B0DA" w:rsidR="00806EB0" w:rsidRPr="00A54B18" w:rsidRDefault="00806EB0" w:rsidP="00DA46D9">
            <w:pPr>
              <w:pStyle w:val="ListParagraph"/>
              <w:numPr>
                <w:ilvl w:val="0"/>
                <w:numId w:val="9"/>
              </w:numPr>
              <w:spacing w:before="60" w:after="0"/>
              <w:ind w:left="227" w:hanging="227"/>
              <w:contextualSpacing w:val="0"/>
              <w:rPr>
                <w:rFonts w:eastAsia="Arial" w:cs="Arial"/>
                <w:sz w:val="22"/>
                <w:szCs w:val="22"/>
              </w:rPr>
            </w:pPr>
            <w:r w:rsidRPr="00806EB0">
              <w:rPr>
                <w:rFonts w:eastAsia="Arial" w:cs="Arial"/>
                <w:sz w:val="22"/>
                <w:szCs w:val="22"/>
              </w:rPr>
              <w:t xml:space="preserve">Defra's investment is specifically aimed at being a first loss investment to provide encouragement and security to private investors, so losses of this kind in what is known to be a risky investing environment were anticipated in the original BC and </w:t>
            </w:r>
            <w:proofErr w:type="spellStart"/>
            <w:r w:rsidRPr="00806EB0">
              <w:rPr>
                <w:rFonts w:eastAsia="Arial" w:cs="Arial"/>
                <w:sz w:val="22"/>
                <w:szCs w:val="22"/>
              </w:rPr>
              <w:t>VfM</w:t>
            </w:r>
            <w:proofErr w:type="spellEnd"/>
            <w:r w:rsidRPr="00806EB0">
              <w:rPr>
                <w:rFonts w:eastAsia="Arial" w:cs="Arial"/>
                <w:sz w:val="22"/>
                <w:szCs w:val="22"/>
              </w:rPr>
              <w:t xml:space="preserve"> calculations.</w:t>
            </w:r>
          </w:p>
        </w:tc>
      </w:tr>
    </w:tbl>
    <w:p w14:paraId="3D199882" w14:textId="77777777" w:rsidR="008613AB" w:rsidRDefault="008613AB" w:rsidP="008613AB">
      <w:pPr>
        <w:spacing w:after="160"/>
        <w:jc w:val="both"/>
        <w:rPr>
          <w:rFonts w:eastAsia="Arial" w:cs="Arial"/>
          <w:color w:val="000000" w:themeColor="text1"/>
          <w:sz w:val="22"/>
          <w:szCs w:val="22"/>
        </w:rPr>
      </w:pPr>
    </w:p>
    <w:p w14:paraId="2E3C9FD0" w14:textId="443CA980" w:rsidR="008613AB" w:rsidRDefault="00096922" w:rsidP="008613AB">
      <w:pPr>
        <w:spacing w:after="160"/>
        <w:jc w:val="both"/>
        <w:rPr>
          <w:rFonts w:eastAsia="Arial" w:cs="Arial"/>
          <w:color w:val="000000" w:themeColor="text1"/>
          <w:sz w:val="22"/>
          <w:szCs w:val="22"/>
        </w:rPr>
      </w:pPr>
      <w:r>
        <w:rPr>
          <w:rFonts w:eastAsia="Arial" w:cs="Arial"/>
          <w:color w:val="000000" w:themeColor="text1"/>
          <w:sz w:val="22"/>
          <w:szCs w:val="22"/>
        </w:rPr>
        <w:t>In 2022 one PI defaulted on their loan, which</w:t>
      </w:r>
      <w:r w:rsidR="008613AB" w:rsidRPr="00416D4A">
        <w:rPr>
          <w:rFonts w:eastAsia="Arial" w:cs="Arial"/>
          <w:color w:val="000000" w:themeColor="text1"/>
          <w:sz w:val="22"/>
          <w:szCs w:val="22"/>
        </w:rPr>
        <w:t xml:space="preserve"> has materially increased the </w:t>
      </w:r>
      <w:r w:rsidR="00546704">
        <w:rPr>
          <w:rFonts w:eastAsia="Arial" w:cs="Arial"/>
          <w:color w:val="000000" w:themeColor="text1"/>
          <w:sz w:val="22"/>
          <w:szCs w:val="22"/>
        </w:rPr>
        <w:t>s</w:t>
      </w:r>
      <w:r w:rsidR="008613AB" w:rsidRPr="00416D4A">
        <w:rPr>
          <w:rFonts w:eastAsia="Arial" w:cs="Arial"/>
          <w:color w:val="000000" w:themeColor="text1"/>
          <w:sz w:val="22"/>
          <w:szCs w:val="22"/>
        </w:rPr>
        <w:t>ub</w:t>
      </w:r>
      <w:r w:rsidR="008613AB">
        <w:rPr>
          <w:rFonts w:eastAsia="Arial" w:cs="Arial"/>
          <w:color w:val="000000" w:themeColor="text1"/>
          <w:sz w:val="22"/>
          <w:szCs w:val="22"/>
        </w:rPr>
        <w:t>-</w:t>
      </w:r>
      <w:r w:rsidR="00546704">
        <w:rPr>
          <w:rFonts w:eastAsia="Arial" w:cs="Arial"/>
          <w:color w:val="000000" w:themeColor="text1"/>
          <w:sz w:val="22"/>
          <w:szCs w:val="22"/>
        </w:rPr>
        <w:t>f</w:t>
      </w:r>
      <w:r w:rsidR="008613AB" w:rsidRPr="00416D4A">
        <w:rPr>
          <w:rFonts w:eastAsia="Arial" w:cs="Arial"/>
          <w:color w:val="000000" w:themeColor="text1"/>
          <w:sz w:val="22"/>
          <w:szCs w:val="22"/>
        </w:rPr>
        <w:t xml:space="preserve">und’s impairments, </w:t>
      </w:r>
      <w:r w:rsidR="008B552C">
        <w:rPr>
          <w:rFonts w:eastAsia="Arial" w:cs="Arial"/>
          <w:color w:val="000000" w:themeColor="text1"/>
          <w:sz w:val="22"/>
          <w:szCs w:val="22"/>
        </w:rPr>
        <w:t>but</w:t>
      </w:r>
      <w:r w:rsidR="008613AB" w:rsidRPr="00416D4A">
        <w:rPr>
          <w:rFonts w:eastAsia="Arial" w:cs="Arial"/>
          <w:color w:val="000000" w:themeColor="text1"/>
          <w:sz w:val="22"/>
          <w:szCs w:val="22"/>
        </w:rPr>
        <w:t xml:space="preserve"> the </w:t>
      </w:r>
      <w:r w:rsidR="008B552C">
        <w:rPr>
          <w:rFonts w:eastAsia="Arial" w:cs="Arial"/>
          <w:color w:val="000000" w:themeColor="text1"/>
          <w:sz w:val="22"/>
          <w:szCs w:val="22"/>
        </w:rPr>
        <w:t>s</w:t>
      </w:r>
      <w:r w:rsidR="008613AB" w:rsidRPr="00416D4A">
        <w:rPr>
          <w:rFonts w:eastAsia="Arial" w:cs="Arial"/>
          <w:color w:val="000000" w:themeColor="text1"/>
          <w:sz w:val="22"/>
          <w:szCs w:val="22"/>
        </w:rPr>
        <w:t>ub-</w:t>
      </w:r>
      <w:r w:rsidR="008B552C">
        <w:rPr>
          <w:rFonts w:eastAsia="Arial" w:cs="Arial"/>
          <w:color w:val="000000" w:themeColor="text1"/>
          <w:sz w:val="22"/>
          <w:szCs w:val="22"/>
        </w:rPr>
        <w:t>f</w:t>
      </w:r>
      <w:r w:rsidR="008613AB" w:rsidRPr="00416D4A">
        <w:rPr>
          <w:rFonts w:eastAsia="Arial" w:cs="Arial"/>
          <w:color w:val="000000" w:themeColor="text1"/>
          <w:sz w:val="22"/>
          <w:szCs w:val="22"/>
        </w:rPr>
        <w:t xml:space="preserve">und </w:t>
      </w:r>
      <w:r w:rsidR="008B552C">
        <w:rPr>
          <w:rFonts w:eastAsia="Arial" w:cs="Arial"/>
          <w:color w:val="000000" w:themeColor="text1"/>
          <w:sz w:val="22"/>
          <w:szCs w:val="22"/>
        </w:rPr>
        <w:t>has continued to be compliant</w:t>
      </w:r>
      <w:r w:rsidR="008613AB" w:rsidRPr="00416D4A">
        <w:rPr>
          <w:rFonts w:eastAsia="Arial" w:cs="Arial"/>
          <w:color w:val="000000" w:themeColor="text1"/>
          <w:sz w:val="22"/>
          <w:szCs w:val="22"/>
        </w:rPr>
        <w:t xml:space="preserve"> with all investor protection levels</w:t>
      </w:r>
      <w:r w:rsidR="00407ECB">
        <w:rPr>
          <w:rFonts w:eastAsia="Arial" w:cs="Arial"/>
          <w:color w:val="000000" w:themeColor="text1"/>
          <w:sz w:val="22"/>
          <w:szCs w:val="22"/>
        </w:rPr>
        <w:t>.</w:t>
      </w:r>
      <w:r w:rsidR="008613AB" w:rsidRPr="00416D4A">
        <w:rPr>
          <w:rFonts w:eastAsia="Arial" w:cs="Arial"/>
          <w:color w:val="000000" w:themeColor="text1"/>
          <w:sz w:val="22"/>
          <w:szCs w:val="22"/>
        </w:rPr>
        <w:t xml:space="preserve"> </w:t>
      </w:r>
      <w:r w:rsidR="00944D6C">
        <w:rPr>
          <w:rFonts w:eastAsia="Arial" w:cs="Arial"/>
          <w:sz w:val="22"/>
          <w:szCs w:val="22"/>
        </w:rPr>
        <w:t xml:space="preserve">Two </w:t>
      </w:r>
      <w:r w:rsidR="00DB7E18">
        <w:rPr>
          <w:rFonts w:eastAsia="Arial" w:cs="Arial"/>
          <w:sz w:val="22"/>
          <w:szCs w:val="22"/>
        </w:rPr>
        <w:t>financial inst</w:t>
      </w:r>
      <w:r w:rsidR="00560075">
        <w:rPr>
          <w:rFonts w:eastAsia="Arial" w:cs="Arial"/>
          <w:sz w:val="22"/>
          <w:szCs w:val="22"/>
        </w:rPr>
        <w:t>it</w:t>
      </w:r>
      <w:r w:rsidR="00DB7E18">
        <w:rPr>
          <w:rFonts w:eastAsia="Arial" w:cs="Arial"/>
          <w:sz w:val="22"/>
          <w:szCs w:val="22"/>
        </w:rPr>
        <w:t>utions</w:t>
      </w:r>
      <w:r w:rsidR="00944D6C">
        <w:rPr>
          <w:rFonts w:eastAsia="Arial" w:cs="Arial"/>
          <w:sz w:val="22"/>
          <w:szCs w:val="22"/>
        </w:rPr>
        <w:t xml:space="preserve"> in Mexico and one in Panama are also on Watch.</w:t>
      </w:r>
      <w:r w:rsidR="00944D6C">
        <w:rPr>
          <w:rFonts w:eastAsia="Arial" w:cs="Arial"/>
          <w:color w:val="000000" w:themeColor="text1"/>
          <w:sz w:val="22"/>
          <w:szCs w:val="22"/>
        </w:rPr>
        <w:t xml:space="preserve"> </w:t>
      </w:r>
      <w:r w:rsidR="00224312">
        <w:rPr>
          <w:rFonts w:eastAsia="Arial" w:cs="Arial"/>
          <w:color w:val="000000" w:themeColor="text1"/>
          <w:sz w:val="22"/>
          <w:szCs w:val="22"/>
        </w:rPr>
        <w:t>The Fund Advisors have assured Defra that EBF’</w:t>
      </w:r>
      <w:r w:rsidR="008613AB" w:rsidRPr="00416D4A">
        <w:rPr>
          <w:rFonts w:eastAsia="Arial" w:cs="Arial"/>
          <w:color w:val="000000" w:themeColor="text1"/>
          <w:sz w:val="22"/>
          <w:szCs w:val="22"/>
        </w:rPr>
        <w:t xml:space="preserve">s portfolio remains resilient, built on investments in leading </w:t>
      </w:r>
      <w:r w:rsidR="000D0504">
        <w:rPr>
          <w:rFonts w:eastAsia="Arial" w:cs="Arial"/>
          <w:color w:val="000000" w:themeColor="text1"/>
          <w:sz w:val="22"/>
          <w:szCs w:val="22"/>
        </w:rPr>
        <w:t>FIs</w:t>
      </w:r>
      <w:r w:rsidR="008613AB" w:rsidRPr="00416D4A">
        <w:rPr>
          <w:rFonts w:eastAsia="Arial" w:cs="Arial"/>
          <w:color w:val="000000" w:themeColor="text1"/>
          <w:sz w:val="22"/>
          <w:szCs w:val="22"/>
        </w:rPr>
        <w:t xml:space="preserve"> in the region with strong fundamentals. The </w:t>
      </w:r>
      <w:r w:rsidR="00E14955">
        <w:rPr>
          <w:rFonts w:eastAsia="Arial" w:cs="Arial"/>
          <w:color w:val="000000" w:themeColor="text1"/>
          <w:sz w:val="22"/>
          <w:szCs w:val="22"/>
        </w:rPr>
        <w:t>s</w:t>
      </w:r>
      <w:r w:rsidR="008613AB" w:rsidRPr="00416D4A">
        <w:rPr>
          <w:rFonts w:eastAsia="Arial" w:cs="Arial"/>
          <w:color w:val="000000" w:themeColor="text1"/>
          <w:sz w:val="22"/>
          <w:szCs w:val="22"/>
        </w:rPr>
        <w:t>ub-</w:t>
      </w:r>
      <w:r w:rsidR="00E14955">
        <w:rPr>
          <w:rFonts w:eastAsia="Arial" w:cs="Arial"/>
          <w:color w:val="000000" w:themeColor="text1"/>
          <w:sz w:val="22"/>
          <w:szCs w:val="22"/>
        </w:rPr>
        <w:t>f</w:t>
      </w:r>
      <w:r w:rsidR="008613AB" w:rsidRPr="00416D4A">
        <w:rPr>
          <w:rFonts w:eastAsia="Arial" w:cs="Arial"/>
          <w:color w:val="000000" w:themeColor="text1"/>
          <w:sz w:val="22"/>
          <w:szCs w:val="22"/>
        </w:rPr>
        <w:t xml:space="preserve">und maintained its ability to pay all its contractual obligations in 2022, including interest on Notes and dividends to Shareholders. The Advisor continues to monitor closely the ongoing restructuring process. </w:t>
      </w:r>
    </w:p>
    <w:p w14:paraId="66CBA974" w14:textId="3F7147A9" w:rsidR="008613AB" w:rsidRDefault="008613AB" w:rsidP="008613AB">
      <w:pPr>
        <w:rPr>
          <w:rFonts w:eastAsia="Arial" w:cs="Arial"/>
          <w:sz w:val="20"/>
          <w:szCs w:val="20"/>
        </w:rPr>
      </w:pPr>
      <w:r w:rsidRPr="00416D4A">
        <w:rPr>
          <w:rFonts w:eastAsia="Arial" w:cs="Arial"/>
          <w:color w:val="000000" w:themeColor="text1"/>
          <w:sz w:val="22"/>
          <w:szCs w:val="22"/>
        </w:rPr>
        <w:t>The remainder of the EBF LAC portfolio continue</w:t>
      </w:r>
      <w:r w:rsidR="00F27012">
        <w:rPr>
          <w:rFonts w:eastAsia="Arial" w:cs="Arial"/>
          <w:color w:val="000000" w:themeColor="text1"/>
          <w:sz w:val="22"/>
          <w:szCs w:val="22"/>
        </w:rPr>
        <w:t>s</w:t>
      </w:r>
      <w:r w:rsidRPr="00416D4A">
        <w:rPr>
          <w:rFonts w:eastAsia="Arial" w:cs="Arial"/>
          <w:color w:val="000000" w:themeColor="text1"/>
          <w:sz w:val="22"/>
          <w:szCs w:val="22"/>
        </w:rPr>
        <w:t xml:space="preserve"> to perform with all payments up to date and no moratoria granted. </w:t>
      </w:r>
    </w:p>
    <w:p w14:paraId="5B7F0AF0" w14:textId="2025C438" w:rsidR="0096193C" w:rsidRPr="00A54B18" w:rsidRDefault="0096193C" w:rsidP="005E557A">
      <w:pPr>
        <w:rPr>
          <w:rFonts w:eastAsia="Arial" w:cs="Arial"/>
          <w:sz w:val="20"/>
          <w:szCs w:val="20"/>
        </w:rPr>
      </w:pPr>
    </w:p>
    <w:p w14:paraId="63E56392" w14:textId="77777777" w:rsidR="009551D0" w:rsidRPr="00A54B18" w:rsidRDefault="009551D0" w:rsidP="005E557A">
      <w:pPr>
        <w:rPr>
          <w:rFonts w:eastAsia="Arial" w:cs="Arial"/>
          <w:sz w:val="20"/>
          <w:szCs w:val="20"/>
        </w:rPr>
      </w:pPr>
    </w:p>
    <w:p w14:paraId="5381FC2A" w14:textId="25303B77" w:rsidR="006F3AE7" w:rsidRPr="00A54B18" w:rsidRDefault="7232A90E" w:rsidP="005E557A">
      <w:pPr>
        <w:pBdr>
          <w:top w:val="single" w:sz="4" w:space="1" w:color="auto"/>
          <w:left w:val="single" w:sz="4" w:space="4" w:color="auto"/>
          <w:bottom w:val="single" w:sz="4" w:space="1" w:color="auto"/>
          <w:right w:val="single" w:sz="4" w:space="4" w:color="auto"/>
        </w:pBdr>
        <w:shd w:val="clear" w:color="auto" w:fill="D9E2F3" w:themeFill="accent1" w:themeFillTint="33"/>
        <w:rPr>
          <w:rFonts w:eastAsia="Arial" w:cs="Arial"/>
          <w:sz w:val="20"/>
          <w:szCs w:val="20"/>
        </w:rPr>
      </w:pPr>
      <w:r w:rsidRPr="00A54B18">
        <w:rPr>
          <w:rFonts w:eastAsia="Arial" w:cs="Arial"/>
          <w:b/>
          <w:bCs/>
          <w:sz w:val="28"/>
          <w:szCs w:val="28"/>
        </w:rPr>
        <w:t xml:space="preserve">E: PROGRAMME MANAGEMENT: </w:t>
      </w:r>
      <w:bookmarkStart w:id="0" w:name="_Hlk21353049"/>
      <w:r w:rsidRPr="00A54B18">
        <w:rPr>
          <w:rFonts w:eastAsia="Arial" w:cs="Arial"/>
          <w:b/>
          <w:bCs/>
          <w:sz w:val="28"/>
          <w:szCs w:val="28"/>
        </w:rPr>
        <w:t>DELIVERY, COMMERCIAL &amp; FINANCIAL PERFORMANCE</w:t>
      </w:r>
      <w:bookmarkEnd w:id="0"/>
    </w:p>
    <w:p w14:paraId="156FB934" w14:textId="213DCDE6" w:rsidR="19A372B6" w:rsidRPr="00A54B18" w:rsidRDefault="19A372B6" w:rsidP="005E557A">
      <w:pPr>
        <w:rPr>
          <w:rFonts w:eastAsia="Arial" w:cs="Arial"/>
          <w:b/>
          <w:bCs/>
          <w:sz w:val="22"/>
          <w:szCs w:val="22"/>
        </w:rPr>
      </w:pPr>
    </w:p>
    <w:p w14:paraId="2A601A67" w14:textId="7EA29B6D" w:rsidR="006B4CA6" w:rsidRDefault="00F25BC2" w:rsidP="005E557A">
      <w:pPr>
        <w:jc w:val="both"/>
        <w:rPr>
          <w:rFonts w:eastAsia="Arial" w:cs="Arial"/>
          <w:sz w:val="22"/>
          <w:szCs w:val="22"/>
        </w:rPr>
      </w:pPr>
      <w:r>
        <w:rPr>
          <w:rFonts w:eastAsia="Arial" w:cs="Arial"/>
          <w:sz w:val="22"/>
          <w:szCs w:val="22"/>
        </w:rPr>
        <w:t xml:space="preserve">A field visit to </w:t>
      </w:r>
      <w:r w:rsidR="001A1986">
        <w:rPr>
          <w:rFonts w:eastAsia="Arial" w:cs="Arial"/>
          <w:sz w:val="22"/>
          <w:szCs w:val="22"/>
        </w:rPr>
        <w:t>Costa Rica and Colombia was carried out in April</w:t>
      </w:r>
      <w:r w:rsidR="005247F2">
        <w:rPr>
          <w:rFonts w:eastAsia="Arial" w:cs="Arial"/>
          <w:sz w:val="22"/>
          <w:szCs w:val="22"/>
        </w:rPr>
        <w:t>-May</w:t>
      </w:r>
      <w:r w:rsidR="001A1986">
        <w:rPr>
          <w:rFonts w:eastAsia="Arial" w:cs="Arial"/>
          <w:sz w:val="22"/>
          <w:szCs w:val="22"/>
        </w:rPr>
        <w:t xml:space="preserve"> 2022</w:t>
      </w:r>
      <w:r w:rsidR="005247F2">
        <w:rPr>
          <w:rFonts w:eastAsia="Arial" w:cs="Arial"/>
          <w:sz w:val="22"/>
          <w:szCs w:val="22"/>
        </w:rPr>
        <w:t xml:space="preserve"> by the then programme manager. The main conclusions of the visits were:</w:t>
      </w:r>
    </w:p>
    <w:p w14:paraId="7F997F99" w14:textId="17016BCF" w:rsidR="005247F2" w:rsidRPr="005247F2" w:rsidRDefault="005247F2" w:rsidP="005247F2">
      <w:pPr>
        <w:pStyle w:val="ListParagraph"/>
        <w:numPr>
          <w:ilvl w:val="0"/>
          <w:numId w:val="36"/>
        </w:numPr>
        <w:spacing w:before="240" w:after="120" w:line="276" w:lineRule="auto"/>
        <w:jc w:val="both"/>
        <w:rPr>
          <w:rFonts w:eastAsia="Arial" w:cs="Arial"/>
          <w:sz w:val="22"/>
          <w:szCs w:val="22"/>
        </w:rPr>
      </w:pPr>
      <w:r w:rsidRPr="005247F2">
        <w:rPr>
          <w:rFonts w:eastAsia="Arial" w:cs="Arial"/>
          <w:sz w:val="22"/>
          <w:szCs w:val="22"/>
        </w:rPr>
        <w:t xml:space="preserve">The Fund has successfully become a trusted partner for </w:t>
      </w:r>
      <w:r w:rsidR="002C7DF7">
        <w:rPr>
          <w:rFonts w:eastAsia="Arial" w:cs="Arial"/>
          <w:sz w:val="22"/>
          <w:szCs w:val="22"/>
        </w:rPr>
        <w:t>FIs</w:t>
      </w:r>
      <w:r w:rsidRPr="005247F2">
        <w:rPr>
          <w:rFonts w:eastAsia="Arial" w:cs="Arial"/>
          <w:sz w:val="22"/>
          <w:szCs w:val="22"/>
        </w:rPr>
        <w:t xml:space="preserve"> across </w:t>
      </w:r>
      <w:proofErr w:type="gramStart"/>
      <w:r w:rsidRPr="005247F2">
        <w:rPr>
          <w:rFonts w:eastAsia="Arial" w:cs="Arial"/>
          <w:sz w:val="22"/>
          <w:szCs w:val="22"/>
        </w:rPr>
        <w:t>a number of</w:t>
      </w:r>
      <w:proofErr w:type="gramEnd"/>
      <w:r w:rsidRPr="005247F2">
        <w:rPr>
          <w:rFonts w:eastAsia="Arial" w:cs="Arial"/>
          <w:sz w:val="22"/>
          <w:szCs w:val="22"/>
        </w:rPr>
        <w:t xml:space="preserve"> countries </w:t>
      </w:r>
      <w:r w:rsidR="002C7DF7">
        <w:rPr>
          <w:rFonts w:eastAsia="Arial" w:cs="Arial"/>
          <w:sz w:val="22"/>
          <w:szCs w:val="22"/>
        </w:rPr>
        <w:t>in</w:t>
      </w:r>
      <w:r w:rsidRPr="005247F2">
        <w:rPr>
          <w:rFonts w:eastAsia="Arial" w:cs="Arial"/>
          <w:sz w:val="22"/>
          <w:szCs w:val="22"/>
        </w:rPr>
        <w:t xml:space="preserve"> </w:t>
      </w:r>
      <w:r w:rsidR="002C7DF7">
        <w:rPr>
          <w:rFonts w:eastAsia="Arial" w:cs="Arial"/>
          <w:sz w:val="22"/>
          <w:szCs w:val="22"/>
        </w:rPr>
        <w:t>LAC</w:t>
      </w:r>
      <w:r w:rsidRPr="005247F2">
        <w:rPr>
          <w:rFonts w:eastAsia="Arial" w:cs="Arial"/>
          <w:sz w:val="22"/>
          <w:szCs w:val="22"/>
        </w:rPr>
        <w:t xml:space="preserve">. The </w:t>
      </w:r>
      <w:r w:rsidR="002C7DF7">
        <w:rPr>
          <w:rFonts w:eastAsia="Arial" w:cs="Arial"/>
          <w:sz w:val="22"/>
          <w:szCs w:val="22"/>
        </w:rPr>
        <w:t>DF</w:t>
      </w:r>
      <w:r w:rsidRPr="005247F2">
        <w:rPr>
          <w:rFonts w:eastAsia="Arial" w:cs="Arial"/>
          <w:sz w:val="22"/>
          <w:szCs w:val="22"/>
        </w:rPr>
        <w:t xml:space="preserve"> is delivering a range of </w:t>
      </w:r>
      <w:r w:rsidR="002C7DF7">
        <w:rPr>
          <w:rFonts w:eastAsia="Arial" w:cs="Arial"/>
          <w:sz w:val="22"/>
          <w:szCs w:val="22"/>
        </w:rPr>
        <w:t>TA</w:t>
      </w:r>
      <w:r w:rsidRPr="005247F2">
        <w:rPr>
          <w:rFonts w:eastAsia="Arial" w:cs="Arial"/>
          <w:sz w:val="22"/>
          <w:szCs w:val="22"/>
        </w:rPr>
        <w:t xml:space="preserve"> across the four focus sectors of the fund (agriculture, forestry, </w:t>
      </w:r>
      <w:proofErr w:type="gramStart"/>
      <w:r w:rsidRPr="005247F2">
        <w:rPr>
          <w:rFonts w:eastAsia="Arial" w:cs="Arial"/>
          <w:sz w:val="22"/>
          <w:szCs w:val="22"/>
        </w:rPr>
        <w:t>aquaculture</w:t>
      </w:r>
      <w:proofErr w:type="gramEnd"/>
      <w:r w:rsidRPr="005247F2">
        <w:rPr>
          <w:rFonts w:eastAsia="Arial" w:cs="Arial"/>
          <w:sz w:val="22"/>
          <w:szCs w:val="22"/>
        </w:rPr>
        <w:t xml:space="preserve"> and sustainable tourism) and works well to deliver targeted support and finance for specific projects, as well as training and publications across a number of sectors.</w:t>
      </w:r>
    </w:p>
    <w:p w14:paraId="163B64DF" w14:textId="264728E8" w:rsidR="005247F2" w:rsidRPr="00A53D04" w:rsidRDefault="005247F2" w:rsidP="00A53D04">
      <w:pPr>
        <w:pStyle w:val="ListParagraph"/>
        <w:numPr>
          <w:ilvl w:val="0"/>
          <w:numId w:val="36"/>
        </w:numPr>
        <w:spacing w:before="240" w:after="120" w:line="276" w:lineRule="auto"/>
        <w:jc w:val="both"/>
        <w:rPr>
          <w:rFonts w:eastAsia="Arial" w:cs="Arial"/>
          <w:sz w:val="22"/>
          <w:szCs w:val="22"/>
        </w:rPr>
      </w:pPr>
      <w:r w:rsidRPr="005247F2">
        <w:rPr>
          <w:rFonts w:eastAsia="Arial" w:cs="Arial"/>
          <w:sz w:val="22"/>
          <w:szCs w:val="22"/>
        </w:rPr>
        <w:t xml:space="preserve">It was hugely beneficial to meet the </w:t>
      </w:r>
      <w:r w:rsidR="00146222">
        <w:rPr>
          <w:rFonts w:eastAsia="Arial" w:cs="Arial"/>
          <w:sz w:val="22"/>
          <w:szCs w:val="22"/>
        </w:rPr>
        <w:t>EBF</w:t>
      </w:r>
      <w:r w:rsidRPr="005247F2">
        <w:rPr>
          <w:rFonts w:eastAsia="Arial" w:cs="Arial"/>
          <w:sz w:val="22"/>
          <w:szCs w:val="22"/>
        </w:rPr>
        <w:t xml:space="preserve"> and </w:t>
      </w:r>
      <w:r w:rsidR="00146222">
        <w:rPr>
          <w:rFonts w:eastAsia="Arial" w:cs="Arial"/>
          <w:sz w:val="22"/>
          <w:szCs w:val="22"/>
        </w:rPr>
        <w:t>DF</w:t>
      </w:r>
      <w:r w:rsidRPr="005247F2">
        <w:rPr>
          <w:rFonts w:eastAsia="Arial" w:cs="Arial"/>
          <w:sz w:val="22"/>
          <w:szCs w:val="22"/>
        </w:rPr>
        <w:t xml:space="preserve"> team</w:t>
      </w:r>
      <w:r w:rsidR="00146222">
        <w:rPr>
          <w:rFonts w:eastAsia="Arial" w:cs="Arial"/>
          <w:sz w:val="22"/>
          <w:szCs w:val="22"/>
        </w:rPr>
        <w:t>s</w:t>
      </w:r>
      <w:r w:rsidRPr="005247F2">
        <w:rPr>
          <w:rFonts w:eastAsia="Arial" w:cs="Arial"/>
          <w:sz w:val="22"/>
          <w:szCs w:val="22"/>
        </w:rPr>
        <w:t xml:space="preserve">, as well as the Chair of the </w:t>
      </w:r>
      <w:r w:rsidR="00146222">
        <w:rPr>
          <w:rFonts w:eastAsia="Arial" w:cs="Arial"/>
          <w:sz w:val="22"/>
          <w:szCs w:val="22"/>
        </w:rPr>
        <w:t>DF</w:t>
      </w:r>
      <w:r w:rsidRPr="005247F2">
        <w:rPr>
          <w:rFonts w:eastAsia="Arial" w:cs="Arial"/>
          <w:sz w:val="22"/>
          <w:szCs w:val="22"/>
        </w:rPr>
        <w:t xml:space="preserve"> and </w:t>
      </w:r>
      <w:r w:rsidR="00146222">
        <w:rPr>
          <w:rFonts w:eastAsia="Arial" w:cs="Arial"/>
          <w:sz w:val="22"/>
          <w:szCs w:val="22"/>
        </w:rPr>
        <w:t>representative</w:t>
      </w:r>
      <w:r w:rsidRPr="005247F2">
        <w:rPr>
          <w:rFonts w:eastAsia="Arial" w:cs="Arial"/>
          <w:sz w:val="22"/>
          <w:szCs w:val="22"/>
        </w:rPr>
        <w:t xml:space="preserve"> of </w:t>
      </w:r>
      <w:r w:rsidR="00A115DE">
        <w:rPr>
          <w:rFonts w:eastAsia="Arial" w:cs="Arial"/>
          <w:sz w:val="22"/>
          <w:szCs w:val="22"/>
        </w:rPr>
        <w:t xml:space="preserve">fellow investor </w:t>
      </w:r>
      <w:proofErr w:type="spellStart"/>
      <w:r w:rsidRPr="005247F2">
        <w:rPr>
          <w:rFonts w:eastAsia="Arial" w:cs="Arial"/>
          <w:sz w:val="22"/>
          <w:szCs w:val="22"/>
        </w:rPr>
        <w:t>KfW</w:t>
      </w:r>
      <w:proofErr w:type="spellEnd"/>
      <w:r w:rsidRPr="005247F2">
        <w:rPr>
          <w:rFonts w:eastAsia="Arial" w:cs="Arial"/>
          <w:sz w:val="22"/>
          <w:szCs w:val="22"/>
        </w:rPr>
        <w:t>.</w:t>
      </w:r>
      <w:r w:rsidR="00A53D04">
        <w:rPr>
          <w:rFonts w:eastAsia="Arial" w:cs="Arial"/>
          <w:sz w:val="22"/>
          <w:szCs w:val="22"/>
        </w:rPr>
        <w:t xml:space="preserve"> </w:t>
      </w:r>
      <w:r w:rsidRPr="00A53D04">
        <w:rPr>
          <w:rFonts w:eastAsia="Arial" w:cs="Arial"/>
          <w:sz w:val="22"/>
          <w:szCs w:val="22"/>
        </w:rPr>
        <w:t xml:space="preserve">It was a key opportunity to </w:t>
      </w:r>
      <w:proofErr w:type="gramStart"/>
      <w:r w:rsidRPr="00A53D04">
        <w:rPr>
          <w:rFonts w:eastAsia="Arial" w:cs="Arial"/>
          <w:sz w:val="22"/>
          <w:szCs w:val="22"/>
        </w:rPr>
        <w:t>open up</w:t>
      </w:r>
      <w:proofErr w:type="gramEnd"/>
      <w:r w:rsidRPr="00A53D04">
        <w:rPr>
          <w:rFonts w:eastAsia="Arial" w:cs="Arial"/>
          <w:sz w:val="22"/>
          <w:szCs w:val="22"/>
        </w:rPr>
        <w:t xml:space="preserve"> further working relationships, including sharing priorities with EBF on biodiversity and gender equality</w:t>
      </w:r>
      <w:r w:rsidR="004D145F" w:rsidRPr="00A53D04">
        <w:rPr>
          <w:rFonts w:eastAsia="Arial" w:cs="Arial"/>
          <w:sz w:val="22"/>
          <w:szCs w:val="22"/>
        </w:rPr>
        <w:t xml:space="preserve"> and discussing the possibility of testing</w:t>
      </w:r>
      <w:r w:rsidRPr="00A53D04">
        <w:rPr>
          <w:rFonts w:eastAsia="Arial" w:cs="Arial"/>
          <w:sz w:val="22"/>
          <w:szCs w:val="22"/>
        </w:rPr>
        <w:t xml:space="preserve"> the biodiversity indicators suggested in Defra’s Impact Investment Fund, Biodiversity Indicators Study.</w:t>
      </w:r>
    </w:p>
    <w:p w14:paraId="43D43BED" w14:textId="77777777" w:rsidR="006B4CA6" w:rsidRDefault="006B4CA6" w:rsidP="005E557A">
      <w:pPr>
        <w:jc w:val="both"/>
        <w:rPr>
          <w:rFonts w:eastAsia="Arial" w:cs="Arial"/>
          <w:b/>
          <w:bCs/>
          <w:sz w:val="22"/>
          <w:szCs w:val="22"/>
        </w:rPr>
      </w:pPr>
    </w:p>
    <w:p w14:paraId="665026A0" w14:textId="43E1ADC5" w:rsidR="00F20A87" w:rsidRPr="00A54B18" w:rsidRDefault="00F20A87" w:rsidP="005E557A">
      <w:pPr>
        <w:jc w:val="both"/>
        <w:rPr>
          <w:rFonts w:eastAsia="Arial" w:cs="Arial"/>
          <w:sz w:val="22"/>
          <w:szCs w:val="22"/>
        </w:rPr>
      </w:pPr>
      <w:r w:rsidRPr="00A54B18">
        <w:rPr>
          <w:rFonts w:eastAsia="Arial" w:cs="Arial"/>
          <w:b/>
          <w:bCs/>
          <w:sz w:val="22"/>
          <w:szCs w:val="22"/>
        </w:rPr>
        <w:t>Value for money (</w:t>
      </w:r>
      <w:proofErr w:type="spellStart"/>
      <w:r w:rsidRPr="00A54B18">
        <w:rPr>
          <w:rFonts w:eastAsia="Arial" w:cs="Arial"/>
          <w:b/>
          <w:bCs/>
          <w:sz w:val="22"/>
          <w:szCs w:val="22"/>
        </w:rPr>
        <w:t>VfM</w:t>
      </w:r>
      <w:proofErr w:type="spellEnd"/>
      <w:r w:rsidRPr="00A54B18">
        <w:rPr>
          <w:rFonts w:eastAsia="Arial" w:cs="Arial"/>
          <w:b/>
          <w:bCs/>
          <w:sz w:val="22"/>
          <w:szCs w:val="22"/>
        </w:rPr>
        <w:t>)</w:t>
      </w:r>
    </w:p>
    <w:p w14:paraId="5123344E" w14:textId="667E0098" w:rsidR="00F20A87" w:rsidRPr="00A54B18" w:rsidRDefault="00F20A87" w:rsidP="005E557A">
      <w:pPr>
        <w:jc w:val="both"/>
        <w:rPr>
          <w:rFonts w:eastAsia="Arial" w:cs="Arial"/>
          <w:b/>
          <w:bCs/>
          <w:sz w:val="22"/>
          <w:szCs w:val="22"/>
        </w:rPr>
      </w:pPr>
    </w:p>
    <w:p w14:paraId="4AD05B71" w14:textId="284A0501" w:rsidR="00F20A87" w:rsidRPr="00D3160B" w:rsidRDefault="00AE5868" w:rsidP="005E557A">
      <w:pPr>
        <w:spacing w:after="160"/>
        <w:jc w:val="both"/>
        <w:rPr>
          <w:rFonts w:eastAsia="Arial" w:cs="Arial"/>
          <w:color w:val="000000" w:themeColor="text1"/>
          <w:sz w:val="22"/>
          <w:szCs w:val="22"/>
        </w:rPr>
      </w:pPr>
      <w:r>
        <w:rPr>
          <w:rFonts w:eastAsia="Arial" w:cs="Arial"/>
          <w:color w:val="000000" w:themeColor="text1"/>
          <w:sz w:val="22"/>
          <w:szCs w:val="22"/>
        </w:rPr>
        <w:t>P</w:t>
      </w:r>
      <w:r w:rsidRPr="00AE5868">
        <w:rPr>
          <w:rFonts w:eastAsia="Arial" w:cs="Arial"/>
          <w:color w:val="000000" w:themeColor="text1"/>
          <w:sz w:val="22"/>
          <w:szCs w:val="22"/>
        </w:rPr>
        <w:t>erformance evidence</w:t>
      </w:r>
      <w:r w:rsidR="00710231">
        <w:rPr>
          <w:rFonts w:eastAsia="Arial" w:cs="Arial"/>
          <w:color w:val="000000" w:themeColor="text1"/>
          <w:sz w:val="22"/>
          <w:szCs w:val="22"/>
        </w:rPr>
        <w:t xml:space="preserve"> so far</w:t>
      </w:r>
      <w:r w:rsidRPr="00AE5868">
        <w:rPr>
          <w:rFonts w:eastAsia="Arial" w:cs="Arial"/>
          <w:color w:val="000000" w:themeColor="text1"/>
          <w:sz w:val="22"/>
          <w:szCs w:val="22"/>
        </w:rPr>
        <w:t xml:space="preserve"> support</w:t>
      </w:r>
      <w:r>
        <w:rPr>
          <w:rFonts w:eastAsia="Arial" w:cs="Arial"/>
          <w:color w:val="000000" w:themeColor="text1"/>
          <w:sz w:val="22"/>
          <w:szCs w:val="22"/>
        </w:rPr>
        <w:t>s</w:t>
      </w:r>
      <w:r w:rsidRPr="00AE5868">
        <w:rPr>
          <w:rFonts w:eastAsia="Arial" w:cs="Arial"/>
          <w:color w:val="000000" w:themeColor="text1"/>
          <w:sz w:val="22"/>
          <w:szCs w:val="22"/>
        </w:rPr>
        <w:t xml:space="preserve"> the economic arguments </w:t>
      </w:r>
      <w:r w:rsidR="00710231">
        <w:rPr>
          <w:rFonts w:eastAsia="Arial" w:cs="Arial"/>
          <w:color w:val="000000" w:themeColor="text1"/>
          <w:sz w:val="22"/>
          <w:szCs w:val="22"/>
        </w:rPr>
        <w:t>of the Business Cases (BC</w:t>
      </w:r>
      <w:r w:rsidR="007C2F69">
        <w:rPr>
          <w:rFonts w:eastAsia="Arial" w:cs="Arial"/>
          <w:color w:val="000000" w:themeColor="text1"/>
          <w:sz w:val="22"/>
          <w:szCs w:val="22"/>
        </w:rPr>
        <w:t>s</w:t>
      </w:r>
      <w:r w:rsidR="00710231">
        <w:rPr>
          <w:rFonts w:eastAsia="Arial" w:cs="Arial"/>
          <w:color w:val="000000" w:themeColor="text1"/>
          <w:sz w:val="22"/>
          <w:szCs w:val="22"/>
        </w:rPr>
        <w:t>)</w:t>
      </w:r>
      <w:r w:rsidR="00916DF1">
        <w:rPr>
          <w:rFonts w:eastAsia="Arial" w:cs="Arial"/>
          <w:color w:val="000000" w:themeColor="text1"/>
          <w:sz w:val="22"/>
          <w:szCs w:val="22"/>
        </w:rPr>
        <w:t>,</w:t>
      </w:r>
      <w:r w:rsidR="00710231">
        <w:rPr>
          <w:rFonts w:eastAsia="Arial" w:cs="Arial"/>
          <w:color w:val="000000" w:themeColor="text1"/>
          <w:sz w:val="22"/>
          <w:szCs w:val="22"/>
        </w:rPr>
        <w:t xml:space="preserve"> </w:t>
      </w:r>
      <w:r w:rsidRPr="00AE5868">
        <w:rPr>
          <w:rFonts w:eastAsia="Arial" w:cs="Arial"/>
          <w:color w:val="000000" w:themeColor="text1"/>
          <w:sz w:val="22"/>
          <w:szCs w:val="22"/>
        </w:rPr>
        <w:t>and the design remains aligned to the</w:t>
      </w:r>
      <w:r>
        <w:rPr>
          <w:rFonts w:eastAsia="Arial" w:cs="Arial"/>
          <w:color w:val="000000" w:themeColor="text1"/>
          <w:sz w:val="22"/>
          <w:szCs w:val="22"/>
        </w:rPr>
        <w:t xml:space="preserve"> </w:t>
      </w:r>
      <w:r w:rsidR="00710231">
        <w:rPr>
          <w:rFonts w:eastAsia="Arial" w:cs="Arial"/>
          <w:color w:val="000000" w:themeColor="text1"/>
          <w:sz w:val="22"/>
          <w:szCs w:val="22"/>
        </w:rPr>
        <w:t xml:space="preserve">BCs </w:t>
      </w:r>
      <w:r w:rsidR="00413DC7">
        <w:rPr>
          <w:rFonts w:eastAsia="Arial" w:cs="Arial"/>
          <w:color w:val="000000" w:themeColor="text1"/>
          <w:sz w:val="22"/>
          <w:szCs w:val="22"/>
        </w:rPr>
        <w:t>for original investment in 2016 and additiona</w:t>
      </w:r>
      <w:r w:rsidR="006E6436">
        <w:rPr>
          <w:rFonts w:eastAsia="Arial" w:cs="Arial"/>
          <w:color w:val="000000" w:themeColor="text1"/>
          <w:sz w:val="22"/>
          <w:szCs w:val="22"/>
        </w:rPr>
        <w:t>l investment in 2019</w:t>
      </w:r>
      <w:r w:rsidR="00F20A87" w:rsidRPr="00D3160B">
        <w:rPr>
          <w:rFonts w:eastAsia="Arial" w:cs="Arial"/>
          <w:sz w:val="22"/>
          <w:szCs w:val="22"/>
        </w:rPr>
        <w:t>. It</w:t>
      </w:r>
      <w:r w:rsidR="006E6436">
        <w:rPr>
          <w:rFonts w:eastAsia="Arial" w:cs="Arial"/>
          <w:sz w:val="22"/>
          <w:szCs w:val="22"/>
        </w:rPr>
        <w:t xml:space="preserve"> i</w:t>
      </w:r>
      <w:r w:rsidR="00F20A87" w:rsidRPr="00D3160B">
        <w:rPr>
          <w:rFonts w:eastAsia="Arial" w:cs="Arial"/>
          <w:sz w:val="22"/>
          <w:szCs w:val="22"/>
        </w:rPr>
        <w:t xml:space="preserve">s </w:t>
      </w:r>
      <w:r w:rsidR="00F20A87" w:rsidRPr="00D3160B">
        <w:rPr>
          <w:rFonts w:eastAsia="Arial" w:cs="Arial"/>
          <w:color w:val="000000" w:themeColor="text1"/>
          <w:sz w:val="22"/>
          <w:szCs w:val="22"/>
        </w:rPr>
        <w:t xml:space="preserve">important to note that the </w:t>
      </w:r>
      <w:proofErr w:type="spellStart"/>
      <w:r w:rsidR="00F20A87" w:rsidRPr="00D3160B">
        <w:rPr>
          <w:rFonts w:eastAsia="Arial" w:cs="Arial"/>
          <w:color w:val="000000" w:themeColor="text1"/>
          <w:sz w:val="22"/>
          <w:szCs w:val="22"/>
        </w:rPr>
        <w:t>VfM</w:t>
      </w:r>
      <w:proofErr w:type="spellEnd"/>
      <w:r w:rsidR="00F20A87" w:rsidRPr="00D3160B">
        <w:rPr>
          <w:rFonts w:eastAsia="Arial" w:cs="Arial"/>
          <w:color w:val="000000" w:themeColor="text1"/>
          <w:sz w:val="22"/>
          <w:szCs w:val="22"/>
        </w:rPr>
        <w:t xml:space="preserve"> metrics mentioned throughout the assessment are for the entire </w:t>
      </w:r>
      <w:r w:rsidR="00F20A87" w:rsidRPr="002A5C3B">
        <w:rPr>
          <w:rFonts w:eastAsia="Arial" w:cs="Arial"/>
          <w:color w:val="000000" w:themeColor="text1"/>
          <w:sz w:val="22"/>
          <w:szCs w:val="22"/>
        </w:rPr>
        <w:t>£32.6m</w:t>
      </w:r>
      <w:r w:rsidR="00041684" w:rsidRPr="00101714">
        <w:rPr>
          <w:rFonts w:eastAsia="Arial" w:cs="Arial"/>
          <w:color w:val="000000" w:themeColor="text1"/>
          <w:sz w:val="22"/>
          <w:szCs w:val="22"/>
        </w:rPr>
        <w:t xml:space="preserve"> investment</w:t>
      </w:r>
      <w:r w:rsidR="00340FE5">
        <w:rPr>
          <w:rFonts w:eastAsia="Arial" w:cs="Arial"/>
          <w:color w:val="000000" w:themeColor="text1"/>
          <w:sz w:val="22"/>
          <w:szCs w:val="22"/>
        </w:rPr>
        <w:t xml:space="preserve"> since </w:t>
      </w:r>
      <w:r w:rsidR="00B6598F">
        <w:rPr>
          <w:rFonts w:eastAsia="Arial" w:cs="Arial"/>
          <w:color w:val="000000" w:themeColor="text1"/>
          <w:sz w:val="22"/>
          <w:szCs w:val="22"/>
        </w:rPr>
        <w:t xml:space="preserve">the top-up investment in </w:t>
      </w:r>
      <w:r w:rsidR="00340FE5">
        <w:rPr>
          <w:rFonts w:eastAsia="Arial" w:cs="Arial"/>
          <w:color w:val="000000" w:themeColor="text1"/>
          <w:sz w:val="22"/>
          <w:szCs w:val="22"/>
        </w:rPr>
        <w:t>2019</w:t>
      </w:r>
      <w:r w:rsidR="00F20A87" w:rsidRPr="00041684">
        <w:rPr>
          <w:rFonts w:eastAsia="Arial" w:cs="Arial"/>
          <w:color w:val="000000" w:themeColor="text1"/>
          <w:sz w:val="22"/>
          <w:szCs w:val="22"/>
        </w:rPr>
        <w:t>.</w:t>
      </w:r>
    </w:p>
    <w:p w14:paraId="72DD9161" w14:textId="3E1A3A84" w:rsidR="00F20A87" w:rsidRPr="002504E7" w:rsidRDefault="00F20A87" w:rsidP="002504E7">
      <w:pPr>
        <w:spacing w:after="160"/>
        <w:jc w:val="both"/>
        <w:rPr>
          <w:rFonts w:eastAsia="Arial" w:cs="Arial"/>
          <w:color w:val="000000" w:themeColor="text1"/>
          <w:sz w:val="22"/>
          <w:szCs w:val="22"/>
        </w:rPr>
      </w:pPr>
      <w:proofErr w:type="spellStart"/>
      <w:r w:rsidRPr="00D3160B">
        <w:rPr>
          <w:rFonts w:eastAsia="Arial" w:cs="Arial"/>
          <w:color w:val="000000" w:themeColor="text1"/>
          <w:sz w:val="22"/>
          <w:szCs w:val="22"/>
        </w:rPr>
        <w:t>VfM</w:t>
      </w:r>
      <w:proofErr w:type="spellEnd"/>
      <w:r w:rsidRPr="00D3160B">
        <w:rPr>
          <w:rFonts w:eastAsia="Arial" w:cs="Arial"/>
          <w:color w:val="000000" w:themeColor="text1"/>
          <w:sz w:val="22"/>
          <w:szCs w:val="22"/>
        </w:rPr>
        <w:t xml:space="preserve"> assessments compare current progress of the programme outputs (see Table 1) against the </w:t>
      </w:r>
      <w:r w:rsidR="00ED2181">
        <w:rPr>
          <w:rFonts w:eastAsia="Arial" w:cs="Arial"/>
          <w:color w:val="000000" w:themeColor="text1"/>
          <w:sz w:val="22"/>
          <w:szCs w:val="22"/>
        </w:rPr>
        <w:t>p</w:t>
      </w:r>
      <w:r w:rsidRPr="00D3160B">
        <w:rPr>
          <w:rFonts w:eastAsia="Arial" w:cs="Arial"/>
          <w:color w:val="000000" w:themeColor="text1"/>
          <w:sz w:val="22"/>
          <w:szCs w:val="22"/>
        </w:rPr>
        <w:t>rogramme</w:t>
      </w:r>
      <w:r w:rsidR="00ED2181">
        <w:rPr>
          <w:rFonts w:eastAsia="Arial" w:cs="Arial"/>
          <w:color w:val="000000" w:themeColor="text1"/>
          <w:sz w:val="22"/>
          <w:szCs w:val="22"/>
        </w:rPr>
        <w:t>’s</w:t>
      </w:r>
      <w:r w:rsidRPr="00D3160B">
        <w:rPr>
          <w:rFonts w:eastAsia="Arial" w:cs="Arial"/>
          <w:color w:val="000000" w:themeColor="text1"/>
          <w:sz w:val="22"/>
          <w:szCs w:val="22"/>
        </w:rPr>
        <w:t xml:space="preserve"> </w:t>
      </w:r>
      <w:r w:rsidR="00ED2181">
        <w:rPr>
          <w:rFonts w:eastAsia="Arial" w:cs="Arial"/>
          <w:color w:val="000000" w:themeColor="text1"/>
          <w:sz w:val="22"/>
          <w:szCs w:val="22"/>
        </w:rPr>
        <w:t>BC</w:t>
      </w:r>
      <w:r w:rsidRPr="00D3160B">
        <w:rPr>
          <w:rFonts w:eastAsia="Arial" w:cs="Arial"/>
          <w:color w:val="000000" w:themeColor="text1"/>
          <w:sz w:val="22"/>
          <w:szCs w:val="22"/>
        </w:rPr>
        <w:t>. In addition to this approach, quantitative metrics have been developed to track the Fund</w:t>
      </w:r>
      <w:r w:rsidR="00A4222D">
        <w:rPr>
          <w:rFonts w:eastAsia="Arial" w:cs="Arial"/>
          <w:color w:val="000000" w:themeColor="text1"/>
          <w:sz w:val="22"/>
          <w:szCs w:val="22"/>
        </w:rPr>
        <w:t>’</w:t>
      </w:r>
      <w:r w:rsidRPr="00D3160B">
        <w:rPr>
          <w:rFonts w:eastAsia="Arial" w:cs="Arial"/>
          <w:color w:val="000000" w:themeColor="text1"/>
          <w:sz w:val="22"/>
          <w:szCs w:val="22"/>
        </w:rPr>
        <w:t>s progress in each of the sections (Economy, Efficiency, Effectiveness and Equity) and to allow for comparisons between ARs.</w:t>
      </w:r>
    </w:p>
    <w:p w14:paraId="46AA6D79" w14:textId="7E3B9DCA" w:rsidR="00F20A87" w:rsidRPr="00A54B18" w:rsidRDefault="00F20A87" w:rsidP="005E557A">
      <w:pPr>
        <w:spacing w:after="200"/>
        <w:jc w:val="both"/>
        <w:rPr>
          <w:rFonts w:eastAsia="Arial" w:cs="Arial"/>
          <w:i/>
          <w:iCs/>
          <w:color w:val="44546A" w:themeColor="text2"/>
          <w:sz w:val="22"/>
          <w:szCs w:val="22"/>
        </w:rPr>
      </w:pPr>
      <w:r w:rsidRPr="00A54B18">
        <w:rPr>
          <w:rFonts w:eastAsia="Arial" w:cs="Arial"/>
          <w:color w:val="445369"/>
          <w:sz w:val="22"/>
          <w:szCs w:val="22"/>
          <w:u w:val="single"/>
        </w:rPr>
        <w:t xml:space="preserve">Table </w:t>
      </w:r>
      <w:r w:rsidRPr="00A54B18">
        <w:rPr>
          <w:rFonts w:eastAsia="Arial" w:cs="Arial"/>
          <w:color w:val="000000" w:themeColor="text1"/>
          <w:sz w:val="22"/>
          <w:szCs w:val="22"/>
          <w:u w:val="single"/>
        </w:rPr>
        <w:t>1</w:t>
      </w:r>
      <w:r w:rsidRPr="00A54B18">
        <w:rPr>
          <w:rFonts w:eastAsia="Arial" w:cs="Arial"/>
          <w:color w:val="445369"/>
          <w:sz w:val="22"/>
          <w:szCs w:val="22"/>
          <w:u w:val="single"/>
        </w:rPr>
        <w:t xml:space="preserve"> - EBF Outputs</w:t>
      </w:r>
    </w:p>
    <w:tbl>
      <w:tblPr>
        <w:tblW w:w="0" w:type="auto"/>
        <w:tblLayout w:type="fixed"/>
        <w:tblLook w:val="04A0" w:firstRow="1" w:lastRow="0" w:firstColumn="1" w:lastColumn="0" w:noHBand="0" w:noVBand="1"/>
      </w:tblPr>
      <w:tblGrid>
        <w:gridCol w:w="1140"/>
        <w:gridCol w:w="4806"/>
        <w:gridCol w:w="3054"/>
      </w:tblGrid>
      <w:tr w:rsidR="00F20A87" w:rsidRPr="00A54B18" w14:paraId="6011BE5B" w14:textId="77777777" w:rsidTr="2003C8A5">
        <w:trPr>
          <w:trHeight w:val="480"/>
        </w:trPr>
        <w:tc>
          <w:tcPr>
            <w:tcW w:w="1140"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2FA25F6A" w14:textId="774EED4E" w:rsidR="00F20A87" w:rsidRPr="00A54B18" w:rsidRDefault="00F20A87" w:rsidP="005E557A">
            <w:pPr>
              <w:rPr>
                <w:rFonts w:eastAsia="Arial" w:cs="Arial"/>
                <w:sz w:val="22"/>
                <w:szCs w:val="22"/>
              </w:rPr>
            </w:pPr>
            <w:r w:rsidRPr="00A54B18">
              <w:rPr>
                <w:rFonts w:eastAsia="Arial" w:cs="Arial"/>
                <w:i/>
                <w:iCs/>
                <w:sz w:val="22"/>
                <w:szCs w:val="22"/>
              </w:rPr>
              <w:t>Output #</w:t>
            </w:r>
          </w:p>
        </w:tc>
        <w:tc>
          <w:tcPr>
            <w:tcW w:w="4806"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157867B" w14:textId="174FF2DB" w:rsidR="00F20A87" w:rsidRPr="00A54B18" w:rsidRDefault="00F20A87" w:rsidP="005E557A">
            <w:pPr>
              <w:rPr>
                <w:rFonts w:eastAsia="Arial" w:cs="Arial"/>
                <w:sz w:val="22"/>
                <w:szCs w:val="22"/>
              </w:rPr>
            </w:pPr>
            <w:r w:rsidRPr="00A54B18">
              <w:rPr>
                <w:rFonts w:eastAsia="Arial" w:cs="Arial"/>
                <w:i/>
                <w:iCs/>
                <w:sz w:val="22"/>
                <w:szCs w:val="22"/>
              </w:rPr>
              <w:t>Description</w:t>
            </w:r>
          </w:p>
        </w:tc>
        <w:tc>
          <w:tcPr>
            <w:tcW w:w="305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E1FB580" w14:textId="62F80F64" w:rsidR="00F20A87" w:rsidRPr="00A54B18" w:rsidRDefault="00F20A87" w:rsidP="005E557A">
            <w:pPr>
              <w:rPr>
                <w:rFonts w:eastAsia="Arial" w:cs="Arial"/>
                <w:sz w:val="22"/>
                <w:szCs w:val="22"/>
              </w:rPr>
            </w:pPr>
            <w:r w:rsidRPr="00A54B18">
              <w:rPr>
                <w:rFonts w:eastAsia="Arial" w:cs="Arial"/>
                <w:i/>
                <w:iCs/>
                <w:sz w:val="22"/>
                <w:szCs w:val="22"/>
              </w:rPr>
              <w:t>How many output indicators have met or exceeded 202</w:t>
            </w:r>
            <w:r w:rsidR="00E567F6">
              <w:rPr>
                <w:rFonts w:eastAsia="Arial" w:cs="Arial"/>
                <w:i/>
                <w:iCs/>
                <w:sz w:val="22"/>
                <w:szCs w:val="22"/>
              </w:rPr>
              <w:t>2</w:t>
            </w:r>
            <w:r w:rsidRPr="00A54B18">
              <w:rPr>
                <w:rFonts w:eastAsia="Arial" w:cs="Arial"/>
                <w:i/>
                <w:iCs/>
                <w:sz w:val="22"/>
                <w:szCs w:val="22"/>
              </w:rPr>
              <w:t xml:space="preserve"> milestones (%) </w:t>
            </w:r>
          </w:p>
        </w:tc>
      </w:tr>
      <w:tr w:rsidR="00F20A87" w:rsidRPr="00A54B18" w14:paraId="4BD09CAC" w14:textId="77777777" w:rsidTr="2003C8A5">
        <w:trPr>
          <w:trHeight w:val="480"/>
        </w:trPr>
        <w:tc>
          <w:tcPr>
            <w:tcW w:w="1140"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4B3A7244" w14:textId="37525814" w:rsidR="00F20A87" w:rsidRPr="00A54B18" w:rsidRDefault="00F20A87" w:rsidP="005E557A">
            <w:pPr>
              <w:rPr>
                <w:rFonts w:eastAsia="Arial" w:cs="Arial"/>
                <w:sz w:val="22"/>
                <w:szCs w:val="22"/>
              </w:rPr>
            </w:pPr>
            <w:r w:rsidRPr="00A54B18">
              <w:rPr>
                <w:rFonts w:eastAsia="Arial" w:cs="Arial"/>
                <w:sz w:val="22"/>
                <w:szCs w:val="22"/>
              </w:rPr>
              <w:t>Output 1</w:t>
            </w:r>
          </w:p>
        </w:tc>
        <w:tc>
          <w:tcPr>
            <w:tcW w:w="4806"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64C2B67" w14:textId="3DA8B6B7" w:rsidR="00F20A87" w:rsidRPr="00A54B18" w:rsidRDefault="00F20A87" w:rsidP="005E557A">
            <w:pPr>
              <w:rPr>
                <w:rFonts w:eastAsia="Arial" w:cs="Arial"/>
                <w:color w:val="000000" w:themeColor="text1"/>
                <w:sz w:val="22"/>
                <w:szCs w:val="22"/>
              </w:rPr>
            </w:pPr>
            <w:r w:rsidRPr="00A54B18">
              <w:rPr>
                <w:rFonts w:eastAsia="Arial" w:cs="Arial"/>
                <w:color w:val="000000" w:themeColor="text1"/>
                <w:sz w:val="22"/>
                <w:szCs w:val="22"/>
              </w:rPr>
              <w:t>EBF has a diversified portfolio supporting a range of geographies and sectors</w:t>
            </w:r>
          </w:p>
        </w:tc>
        <w:tc>
          <w:tcPr>
            <w:tcW w:w="30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2007E3E" w14:textId="79C390EC" w:rsidR="00F20A87" w:rsidRPr="00A54B18" w:rsidRDefault="18BAB358" w:rsidP="005E557A">
            <w:pPr>
              <w:rPr>
                <w:rFonts w:eastAsia="Arial" w:cs="Arial"/>
                <w:sz w:val="22"/>
                <w:szCs w:val="22"/>
              </w:rPr>
            </w:pPr>
            <w:r w:rsidRPr="00A54B18">
              <w:rPr>
                <w:rFonts w:eastAsia="Arial" w:cs="Arial"/>
                <w:sz w:val="22"/>
                <w:szCs w:val="22"/>
              </w:rPr>
              <w:t>100%</w:t>
            </w:r>
          </w:p>
        </w:tc>
      </w:tr>
      <w:tr w:rsidR="00F20A87" w:rsidRPr="00A54B18" w14:paraId="11957F75" w14:textId="77777777" w:rsidTr="2003C8A5">
        <w:trPr>
          <w:trHeight w:val="480"/>
        </w:trPr>
        <w:tc>
          <w:tcPr>
            <w:tcW w:w="1140"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46CBF289" w14:textId="48A13C4F" w:rsidR="00F20A87" w:rsidRPr="00A54B18" w:rsidRDefault="00F20A87" w:rsidP="005E557A">
            <w:pPr>
              <w:rPr>
                <w:rFonts w:eastAsia="Arial" w:cs="Arial"/>
                <w:sz w:val="22"/>
                <w:szCs w:val="22"/>
              </w:rPr>
            </w:pPr>
            <w:r w:rsidRPr="00A54B18">
              <w:rPr>
                <w:rFonts w:eastAsia="Arial" w:cs="Arial"/>
                <w:sz w:val="22"/>
                <w:szCs w:val="22"/>
              </w:rPr>
              <w:t>Output 2 </w:t>
            </w:r>
          </w:p>
        </w:tc>
        <w:tc>
          <w:tcPr>
            <w:tcW w:w="4806"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46B65A9" w14:textId="2ED1CFF9" w:rsidR="00F20A87" w:rsidRPr="00A54B18" w:rsidRDefault="00F20A87" w:rsidP="005E557A">
            <w:pPr>
              <w:rPr>
                <w:rFonts w:eastAsia="Arial" w:cs="Arial"/>
                <w:color w:val="000000" w:themeColor="text1"/>
                <w:sz w:val="22"/>
                <w:szCs w:val="22"/>
              </w:rPr>
            </w:pPr>
            <w:r w:rsidRPr="00A54B18">
              <w:rPr>
                <w:rFonts w:eastAsia="Arial" w:cs="Arial"/>
                <w:color w:val="000000" w:themeColor="text1"/>
                <w:sz w:val="22"/>
                <w:szCs w:val="22"/>
              </w:rPr>
              <w:t>Broad support to sustainability practices reflected in the composition of the portfolio</w:t>
            </w:r>
          </w:p>
        </w:tc>
        <w:tc>
          <w:tcPr>
            <w:tcW w:w="30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4040E07" w14:textId="7C8C1BC6" w:rsidR="00F20A87" w:rsidRPr="00A54B18" w:rsidRDefault="00F20A87" w:rsidP="005E557A">
            <w:pPr>
              <w:rPr>
                <w:rFonts w:eastAsia="Arial" w:cs="Arial"/>
                <w:sz w:val="22"/>
                <w:szCs w:val="22"/>
              </w:rPr>
            </w:pPr>
            <w:r w:rsidRPr="00A54B18">
              <w:rPr>
                <w:rFonts w:eastAsia="Arial" w:cs="Arial"/>
                <w:sz w:val="22"/>
                <w:szCs w:val="22"/>
              </w:rPr>
              <w:t>100%</w:t>
            </w:r>
          </w:p>
        </w:tc>
      </w:tr>
      <w:tr w:rsidR="00F20A87" w:rsidRPr="00A54B18" w14:paraId="4AEFE721" w14:textId="77777777" w:rsidTr="2003C8A5">
        <w:trPr>
          <w:trHeight w:val="480"/>
        </w:trPr>
        <w:tc>
          <w:tcPr>
            <w:tcW w:w="1140"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0E501021" w14:textId="5D15B32A" w:rsidR="00F20A87" w:rsidRPr="00A54B18" w:rsidRDefault="00F20A87" w:rsidP="005E557A">
            <w:pPr>
              <w:rPr>
                <w:rFonts w:eastAsia="Arial" w:cs="Arial"/>
                <w:sz w:val="22"/>
                <w:szCs w:val="22"/>
              </w:rPr>
            </w:pPr>
            <w:r w:rsidRPr="00A54B18">
              <w:rPr>
                <w:rFonts w:eastAsia="Arial" w:cs="Arial"/>
                <w:sz w:val="22"/>
                <w:szCs w:val="22"/>
              </w:rPr>
              <w:t>Output 3 </w:t>
            </w:r>
          </w:p>
        </w:tc>
        <w:tc>
          <w:tcPr>
            <w:tcW w:w="4806"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C5C5F03" w14:textId="3F7678B4" w:rsidR="00F20A87" w:rsidRPr="00A54B18" w:rsidRDefault="00F20A87" w:rsidP="005E557A">
            <w:pPr>
              <w:rPr>
                <w:rFonts w:eastAsia="Arial" w:cs="Arial"/>
                <w:color w:val="000000" w:themeColor="text1"/>
                <w:sz w:val="22"/>
                <w:szCs w:val="22"/>
              </w:rPr>
            </w:pPr>
            <w:r w:rsidRPr="00A54B18">
              <w:rPr>
                <w:rFonts w:eastAsia="Arial" w:cs="Arial"/>
                <w:color w:val="000000" w:themeColor="text1"/>
                <w:sz w:val="22"/>
                <w:szCs w:val="22"/>
              </w:rPr>
              <w:t>Provision of continuous and sufficient Technical Assistance</w:t>
            </w:r>
          </w:p>
        </w:tc>
        <w:tc>
          <w:tcPr>
            <w:tcW w:w="30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A2BBC9F" w14:textId="014FCF87" w:rsidR="00F20A87" w:rsidRPr="00A54B18" w:rsidRDefault="00CD4F02" w:rsidP="005E557A">
            <w:pPr>
              <w:rPr>
                <w:rFonts w:eastAsia="Arial" w:cs="Arial"/>
                <w:sz w:val="22"/>
                <w:szCs w:val="22"/>
              </w:rPr>
            </w:pPr>
            <w:r>
              <w:rPr>
                <w:rFonts w:eastAsia="Arial" w:cs="Arial"/>
                <w:sz w:val="22"/>
                <w:szCs w:val="22"/>
              </w:rPr>
              <w:t>100</w:t>
            </w:r>
            <w:r w:rsidR="00F20A87" w:rsidRPr="00A54B18">
              <w:rPr>
                <w:rFonts w:eastAsia="Arial" w:cs="Arial"/>
                <w:sz w:val="22"/>
                <w:szCs w:val="22"/>
              </w:rPr>
              <w:t>%</w:t>
            </w:r>
            <w:r w:rsidR="002504E7">
              <w:rPr>
                <w:rStyle w:val="FootnoteReference"/>
                <w:rFonts w:eastAsia="Arial" w:cs="Arial"/>
                <w:sz w:val="22"/>
                <w:szCs w:val="22"/>
              </w:rPr>
              <w:footnoteReference w:customMarkFollows="1" w:id="3"/>
              <w:t>*</w:t>
            </w:r>
          </w:p>
        </w:tc>
      </w:tr>
      <w:tr w:rsidR="00F20A87" w:rsidRPr="00A54B18" w14:paraId="40819638" w14:textId="77777777" w:rsidTr="2003C8A5">
        <w:trPr>
          <w:trHeight w:val="480"/>
        </w:trPr>
        <w:tc>
          <w:tcPr>
            <w:tcW w:w="1140"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3265EE50" w14:textId="7D30924B" w:rsidR="00F20A87" w:rsidRPr="00A54B18" w:rsidRDefault="00F20A87" w:rsidP="005E557A">
            <w:pPr>
              <w:rPr>
                <w:rFonts w:eastAsia="Arial" w:cs="Arial"/>
                <w:sz w:val="22"/>
                <w:szCs w:val="22"/>
              </w:rPr>
            </w:pPr>
            <w:r w:rsidRPr="00A54B18">
              <w:rPr>
                <w:rFonts w:eastAsia="Arial" w:cs="Arial"/>
                <w:sz w:val="22"/>
                <w:szCs w:val="22"/>
              </w:rPr>
              <w:t>Output 4 </w:t>
            </w:r>
          </w:p>
        </w:tc>
        <w:tc>
          <w:tcPr>
            <w:tcW w:w="4806"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3E9A09F" w14:textId="591F6A13" w:rsidR="00F20A87" w:rsidRPr="00A54B18" w:rsidRDefault="00F20A87" w:rsidP="005E557A">
            <w:pPr>
              <w:rPr>
                <w:rFonts w:eastAsia="Arial" w:cs="Arial"/>
                <w:color w:val="000000" w:themeColor="text1"/>
                <w:sz w:val="22"/>
                <w:szCs w:val="22"/>
              </w:rPr>
            </w:pPr>
            <w:r w:rsidRPr="00A54B18">
              <w:rPr>
                <w:rFonts w:eastAsia="Arial" w:cs="Arial"/>
                <w:color w:val="000000" w:themeColor="text1"/>
                <w:sz w:val="22"/>
                <w:szCs w:val="22"/>
              </w:rPr>
              <w:t>Improved partnerships and development of activities with other sector stakeholders</w:t>
            </w:r>
          </w:p>
        </w:tc>
        <w:tc>
          <w:tcPr>
            <w:tcW w:w="30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2FF1E59" w14:textId="434C6100" w:rsidR="00F20A87" w:rsidRPr="00A54B18" w:rsidRDefault="002504E7" w:rsidP="005E557A">
            <w:pPr>
              <w:rPr>
                <w:rFonts w:eastAsia="Arial" w:cs="Arial"/>
                <w:sz w:val="22"/>
                <w:szCs w:val="22"/>
              </w:rPr>
            </w:pPr>
            <w:r>
              <w:rPr>
                <w:rFonts w:eastAsia="Arial" w:cs="Arial"/>
                <w:sz w:val="22"/>
                <w:szCs w:val="22"/>
              </w:rPr>
              <w:t>10</w:t>
            </w:r>
            <w:r w:rsidR="00F20A87" w:rsidRPr="00A54B18">
              <w:rPr>
                <w:rFonts w:eastAsia="Arial" w:cs="Arial"/>
                <w:sz w:val="22"/>
                <w:szCs w:val="22"/>
              </w:rPr>
              <w:t>0%</w:t>
            </w:r>
            <w:r>
              <w:rPr>
                <w:rStyle w:val="FootnoteReference"/>
                <w:rFonts w:eastAsia="Arial" w:cs="Arial"/>
                <w:sz w:val="22"/>
                <w:szCs w:val="22"/>
              </w:rPr>
              <w:footnoteReference w:customMarkFollows="1" w:id="4"/>
              <w:t>**</w:t>
            </w:r>
          </w:p>
        </w:tc>
      </w:tr>
    </w:tbl>
    <w:p w14:paraId="523363F8" w14:textId="4C93DFC8" w:rsidR="00F20A87" w:rsidRPr="00A54B18" w:rsidRDefault="00F20A87" w:rsidP="005E557A">
      <w:pPr>
        <w:spacing w:after="160"/>
        <w:jc w:val="both"/>
        <w:rPr>
          <w:rFonts w:eastAsia="Arial" w:cs="Arial"/>
          <w:color w:val="000000" w:themeColor="text1"/>
          <w:sz w:val="22"/>
          <w:szCs w:val="22"/>
        </w:rPr>
      </w:pPr>
    </w:p>
    <w:p w14:paraId="72A42B61" w14:textId="4E7A0EEB" w:rsidR="00F20A87" w:rsidRPr="00A54B18" w:rsidRDefault="00F20A87" w:rsidP="005E557A">
      <w:pPr>
        <w:spacing w:after="160"/>
        <w:jc w:val="both"/>
        <w:rPr>
          <w:rFonts w:eastAsia="Arial" w:cs="Arial"/>
          <w:color w:val="000000" w:themeColor="text1"/>
          <w:sz w:val="22"/>
          <w:szCs w:val="22"/>
        </w:rPr>
      </w:pPr>
      <w:r w:rsidRPr="00A54B18">
        <w:rPr>
          <w:rFonts w:eastAsia="Arial" w:cs="Arial"/>
          <w:b/>
          <w:bCs/>
          <w:color w:val="000000" w:themeColor="text1"/>
          <w:sz w:val="22"/>
          <w:szCs w:val="22"/>
        </w:rPr>
        <w:t xml:space="preserve">Value for Money assessment for </w:t>
      </w:r>
      <w:r w:rsidR="00575BC6">
        <w:rPr>
          <w:rFonts w:eastAsia="Arial" w:cs="Arial"/>
          <w:b/>
          <w:bCs/>
          <w:color w:val="000000" w:themeColor="text1"/>
          <w:sz w:val="22"/>
          <w:szCs w:val="22"/>
        </w:rPr>
        <w:t>AR</w:t>
      </w:r>
    </w:p>
    <w:p w14:paraId="7598676E" w14:textId="6F148EE1" w:rsidR="00F20A87" w:rsidRPr="00A54B18" w:rsidRDefault="00F20A87" w:rsidP="005E557A">
      <w:pPr>
        <w:spacing w:after="160"/>
        <w:jc w:val="both"/>
        <w:rPr>
          <w:rFonts w:eastAsia="Arial" w:cs="Arial"/>
          <w:color w:val="000000" w:themeColor="text1"/>
          <w:sz w:val="22"/>
          <w:szCs w:val="22"/>
        </w:rPr>
      </w:pPr>
      <w:r w:rsidRPr="00A54B18">
        <w:rPr>
          <w:rFonts w:eastAsia="Arial" w:cs="Arial"/>
          <w:color w:val="000000" w:themeColor="text1"/>
          <w:sz w:val="22"/>
          <w:szCs w:val="22"/>
        </w:rPr>
        <w:t xml:space="preserve">The following </w:t>
      </w:r>
      <w:proofErr w:type="spellStart"/>
      <w:r w:rsidRPr="00A54B18">
        <w:rPr>
          <w:rFonts w:eastAsia="Arial" w:cs="Arial"/>
          <w:color w:val="000000" w:themeColor="text1"/>
          <w:sz w:val="22"/>
          <w:szCs w:val="22"/>
        </w:rPr>
        <w:t>VfM</w:t>
      </w:r>
      <w:proofErr w:type="spellEnd"/>
      <w:r w:rsidRPr="00A54B18">
        <w:rPr>
          <w:rFonts w:eastAsia="Arial" w:cs="Arial"/>
          <w:color w:val="000000" w:themeColor="text1"/>
          <w:sz w:val="22"/>
          <w:szCs w:val="22"/>
        </w:rPr>
        <w:t xml:space="preserve"> assessment </w:t>
      </w:r>
      <w:r w:rsidR="003B3BB6" w:rsidRPr="00A54B18">
        <w:rPr>
          <w:rFonts w:eastAsia="Arial" w:cs="Arial"/>
          <w:color w:val="000000" w:themeColor="text1"/>
          <w:sz w:val="22"/>
          <w:szCs w:val="22"/>
        </w:rPr>
        <w:t xml:space="preserve">considers </w:t>
      </w:r>
      <w:r w:rsidRPr="00A54B18">
        <w:rPr>
          <w:rFonts w:eastAsia="Arial" w:cs="Arial"/>
          <w:color w:val="000000" w:themeColor="text1"/>
          <w:sz w:val="22"/>
          <w:szCs w:val="22"/>
        </w:rPr>
        <w:t xml:space="preserve">four </w:t>
      </w:r>
      <w:proofErr w:type="spellStart"/>
      <w:r w:rsidRPr="00A54B18">
        <w:rPr>
          <w:rFonts w:eastAsia="Arial" w:cs="Arial"/>
          <w:color w:val="000000" w:themeColor="text1"/>
          <w:sz w:val="22"/>
          <w:szCs w:val="22"/>
        </w:rPr>
        <w:t>VfM</w:t>
      </w:r>
      <w:proofErr w:type="spellEnd"/>
      <w:r w:rsidRPr="00A54B18">
        <w:rPr>
          <w:rFonts w:eastAsia="Arial" w:cs="Arial"/>
          <w:color w:val="000000" w:themeColor="text1"/>
          <w:sz w:val="22"/>
          <w:szCs w:val="22"/>
        </w:rPr>
        <w:t xml:space="preserve"> categories: </w:t>
      </w:r>
    </w:p>
    <w:p w14:paraId="190D986E" w14:textId="7E70AC4F" w:rsidR="00F20A87" w:rsidRPr="00D3160B" w:rsidRDefault="00F20A87" w:rsidP="00971622">
      <w:pPr>
        <w:pStyle w:val="ListParagraph"/>
        <w:numPr>
          <w:ilvl w:val="0"/>
          <w:numId w:val="13"/>
        </w:numPr>
        <w:spacing w:after="160"/>
        <w:contextualSpacing w:val="0"/>
        <w:rPr>
          <w:rFonts w:eastAsia="Arial" w:cs="Arial"/>
          <w:color w:val="000000" w:themeColor="text1"/>
          <w:sz w:val="22"/>
          <w:szCs w:val="22"/>
        </w:rPr>
      </w:pPr>
      <w:r w:rsidRPr="00D3160B">
        <w:rPr>
          <w:rFonts w:eastAsia="Arial" w:cs="Arial"/>
          <w:color w:val="000000" w:themeColor="text1"/>
          <w:sz w:val="22"/>
          <w:szCs w:val="22"/>
        </w:rPr>
        <w:t>Economy – Are we (or our agents) buying inputs of the appropriate quality at the right price?</w:t>
      </w:r>
    </w:p>
    <w:p w14:paraId="29263AEF" w14:textId="34EA9905" w:rsidR="00F20A87" w:rsidRPr="00D3160B" w:rsidRDefault="00F20A87" w:rsidP="00971622">
      <w:pPr>
        <w:pStyle w:val="ListParagraph"/>
        <w:numPr>
          <w:ilvl w:val="0"/>
          <w:numId w:val="13"/>
        </w:numPr>
        <w:spacing w:after="160"/>
        <w:contextualSpacing w:val="0"/>
        <w:rPr>
          <w:rFonts w:eastAsia="Arial" w:cs="Arial"/>
          <w:color w:val="000000" w:themeColor="text1"/>
          <w:sz w:val="22"/>
          <w:szCs w:val="22"/>
        </w:rPr>
      </w:pPr>
      <w:r w:rsidRPr="00D3160B">
        <w:rPr>
          <w:rFonts w:eastAsia="Arial" w:cs="Arial"/>
          <w:color w:val="000000" w:themeColor="text1"/>
          <w:sz w:val="22"/>
          <w:szCs w:val="22"/>
        </w:rPr>
        <w:t>Efficiency – How well are we (or our agents) converting inputs into outputs? (‘Spending well’)</w:t>
      </w:r>
    </w:p>
    <w:p w14:paraId="3CB9EFF1" w14:textId="26FD2BA9" w:rsidR="00F20A87" w:rsidRPr="00D3160B" w:rsidRDefault="00F20A87" w:rsidP="00971622">
      <w:pPr>
        <w:pStyle w:val="ListParagraph"/>
        <w:numPr>
          <w:ilvl w:val="0"/>
          <w:numId w:val="13"/>
        </w:numPr>
        <w:spacing w:after="160"/>
        <w:contextualSpacing w:val="0"/>
        <w:rPr>
          <w:rFonts w:eastAsia="Arial" w:cs="Arial"/>
          <w:color w:val="000000" w:themeColor="text1"/>
          <w:sz w:val="22"/>
          <w:szCs w:val="22"/>
        </w:rPr>
      </w:pPr>
      <w:r w:rsidRPr="00D3160B">
        <w:rPr>
          <w:rFonts w:eastAsia="Arial" w:cs="Arial"/>
          <w:color w:val="000000" w:themeColor="text1"/>
          <w:sz w:val="22"/>
          <w:szCs w:val="22"/>
        </w:rPr>
        <w:t>Effectiveness – How well are the outputs produced by an intervention having the intended effect? (‘Spending wisely’)</w:t>
      </w:r>
    </w:p>
    <w:p w14:paraId="2906E40D" w14:textId="41E6B115" w:rsidR="00363234" w:rsidRPr="00C211A3" w:rsidRDefault="00F20A87" w:rsidP="00C211A3">
      <w:pPr>
        <w:pStyle w:val="ListParagraph"/>
        <w:numPr>
          <w:ilvl w:val="0"/>
          <w:numId w:val="13"/>
        </w:numPr>
        <w:spacing w:after="160"/>
        <w:contextualSpacing w:val="0"/>
        <w:rPr>
          <w:rFonts w:eastAsia="Arial" w:cs="Arial"/>
          <w:color w:val="000000" w:themeColor="text1"/>
          <w:sz w:val="22"/>
          <w:szCs w:val="22"/>
        </w:rPr>
      </w:pPr>
      <w:r w:rsidRPr="00D3160B">
        <w:rPr>
          <w:rFonts w:eastAsia="Arial" w:cs="Arial"/>
          <w:color w:val="000000" w:themeColor="text1"/>
          <w:sz w:val="22"/>
          <w:szCs w:val="22"/>
        </w:rPr>
        <w:t>Equity – To what extent are Gender Equality and Social Inclusion (GESI) considerations incorporated into the intervention?</w:t>
      </w:r>
    </w:p>
    <w:p w14:paraId="53186FDF" w14:textId="7E2B4610" w:rsidR="00F20A87" w:rsidRPr="00A54B18" w:rsidRDefault="00F20A87" w:rsidP="005E557A">
      <w:pPr>
        <w:spacing w:after="160"/>
        <w:jc w:val="both"/>
        <w:rPr>
          <w:rFonts w:eastAsia="Arial" w:cs="Arial"/>
          <w:color w:val="000000" w:themeColor="text1"/>
          <w:sz w:val="22"/>
          <w:szCs w:val="22"/>
        </w:rPr>
      </w:pPr>
      <w:r w:rsidRPr="00A54B18">
        <w:rPr>
          <w:rFonts w:eastAsia="Arial" w:cs="Arial"/>
          <w:b/>
          <w:bCs/>
          <w:color w:val="000000" w:themeColor="text1"/>
          <w:sz w:val="22"/>
          <w:szCs w:val="22"/>
        </w:rPr>
        <w:t>Economy</w:t>
      </w:r>
      <w:r w:rsidRPr="00A54B18">
        <w:rPr>
          <w:rFonts w:eastAsia="Arial" w:cs="Arial"/>
          <w:color w:val="000000" w:themeColor="text1"/>
          <w:sz w:val="22"/>
          <w:szCs w:val="22"/>
        </w:rPr>
        <w:t>:</w:t>
      </w:r>
    </w:p>
    <w:p w14:paraId="14337DAF" w14:textId="77777777" w:rsidR="00EB3CD8" w:rsidRDefault="00EB3CD8" w:rsidP="00EB3CD8">
      <w:pPr>
        <w:jc w:val="both"/>
        <w:rPr>
          <w:rStyle w:val="normaltextrun"/>
          <w:rFonts w:eastAsia="Arial" w:cs="Arial"/>
          <w:color w:val="000000" w:themeColor="text1"/>
          <w:sz w:val="22"/>
          <w:szCs w:val="22"/>
        </w:rPr>
      </w:pPr>
      <w:r w:rsidRPr="006B4633">
        <w:rPr>
          <w:rStyle w:val="normaltextrun"/>
          <w:rFonts w:eastAsia="Arial" w:cs="Arial"/>
          <w:color w:val="000000" w:themeColor="text1"/>
          <w:sz w:val="22"/>
          <w:szCs w:val="22"/>
        </w:rPr>
        <w:t>Defra has received the audited financial statement from EBF 1 January to 31 December 202</w:t>
      </w:r>
      <w:r>
        <w:rPr>
          <w:rStyle w:val="normaltextrun"/>
          <w:rFonts w:eastAsia="Arial" w:cs="Arial"/>
          <w:color w:val="000000" w:themeColor="text1"/>
          <w:sz w:val="22"/>
          <w:szCs w:val="22"/>
        </w:rPr>
        <w:t>2</w:t>
      </w:r>
      <w:r w:rsidRPr="006B4633">
        <w:rPr>
          <w:rStyle w:val="normaltextrun"/>
          <w:rFonts w:eastAsia="Arial" w:cs="Arial"/>
          <w:color w:val="000000" w:themeColor="text1"/>
          <w:sz w:val="22"/>
          <w:szCs w:val="22"/>
        </w:rPr>
        <w:t>. The auditor’s report confirms that EBF’s financial statements give a true and fair view of the financial position of the Fund and of each of its sub-funds as of 31 December 202</w:t>
      </w:r>
      <w:r>
        <w:rPr>
          <w:rStyle w:val="normaltextrun"/>
          <w:rFonts w:eastAsia="Arial" w:cs="Arial"/>
          <w:color w:val="000000" w:themeColor="text1"/>
          <w:sz w:val="22"/>
          <w:szCs w:val="22"/>
        </w:rPr>
        <w:t>2</w:t>
      </w:r>
      <w:r w:rsidRPr="006B4633">
        <w:rPr>
          <w:rStyle w:val="normaltextrun"/>
          <w:rFonts w:eastAsia="Arial" w:cs="Arial"/>
          <w:color w:val="000000" w:themeColor="text1"/>
          <w:sz w:val="22"/>
          <w:szCs w:val="22"/>
        </w:rPr>
        <w:t>, and of their financial performance and their cashflows for the year then ended in accordance with International Financial Reporting Standards (IFRS) as adopted by the European Union.</w:t>
      </w:r>
    </w:p>
    <w:p w14:paraId="16696A22" w14:textId="77777777" w:rsidR="00EB3CD8" w:rsidRDefault="00EB3CD8" w:rsidP="00EB3CD8">
      <w:pPr>
        <w:jc w:val="both"/>
        <w:rPr>
          <w:rStyle w:val="normaltextrun"/>
          <w:rFonts w:eastAsia="Arial" w:cs="Arial"/>
          <w:color w:val="000000" w:themeColor="text1"/>
          <w:sz w:val="22"/>
          <w:szCs w:val="22"/>
        </w:rPr>
      </w:pPr>
    </w:p>
    <w:p w14:paraId="65195FBC" w14:textId="77777777" w:rsidR="00EB3CD8" w:rsidRDefault="00EB3CD8" w:rsidP="00EB3CD8">
      <w:pPr>
        <w:jc w:val="both"/>
        <w:rPr>
          <w:rFonts w:eastAsia="Arial" w:cs="Arial"/>
          <w:color w:val="000000" w:themeColor="text1"/>
          <w:sz w:val="22"/>
          <w:szCs w:val="22"/>
        </w:rPr>
      </w:pPr>
      <w:r w:rsidRPr="001C0494">
        <w:rPr>
          <w:rFonts w:eastAsia="Arial" w:cs="Arial"/>
          <w:color w:val="000000" w:themeColor="text1"/>
          <w:sz w:val="22"/>
          <w:szCs w:val="22"/>
        </w:rPr>
        <w:t>At the end of 202</w:t>
      </w:r>
      <w:r>
        <w:rPr>
          <w:rFonts w:eastAsia="Arial" w:cs="Arial"/>
          <w:color w:val="000000" w:themeColor="text1"/>
          <w:sz w:val="22"/>
          <w:szCs w:val="22"/>
        </w:rPr>
        <w:t>2</w:t>
      </w:r>
      <w:r w:rsidRPr="001C0494">
        <w:rPr>
          <w:rFonts w:eastAsia="Arial" w:cs="Arial"/>
          <w:color w:val="000000" w:themeColor="text1"/>
          <w:sz w:val="22"/>
          <w:szCs w:val="22"/>
        </w:rPr>
        <w:t>, the outstanding sub-loan portfolio stood at $</w:t>
      </w:r>
      <w:r>
        <w:rPr>
          <w:rFonts w:eastAsia="Arial" w:cs="Arial"/>
          <w:color w:val="000000" w:themeColor="text1"/>
          <w:sz w:val="22"/>
          <w:szCs w:val="22"/>
        </w:rPr>
        <w:t>650.5</w:t>
      </w:r>
      <w:r w:rsidRPr="001C0494">
        <w:rPr>
          <w:rFonts w:eastAsia="Arial" w:cs="Arial"/>
          <w:color w:val="000000" w:themeColor="text1"/>
          <w:sz w:val="22"/>
          <w:szCs w:val="22"/>
        </w:rPr>
        <w:t xml:space="preserve">m, up </w:t>
      </w:r>
      <w:r>
        <w:rPr>
          <w:rFonts w:eastAsia="Arial" w:cs="Arial"/>
          <w:color w:val="000000" w:themeColor="text1"/>
          <w:sz w:val="22"/>
          <w:szCs w:val="22"/>
        </w:rPr>
        <w:t xml:space="preserve">23% </w:t>
      </w:r>
      <w:r w:rsidRPr="001C0494">
        <w:rPr>
          <w:rFonts w:eastAsia="Arial" w:cs="Arial"/>
          <w:color w:val="000000" w:themeColor="text1"/>
          <w:sz w:val="22"/>
          <w:szCs w:val="22"/>
        </w:rPr>
        <w:t>from $</w:t>
      </w:r>
      <w:r>
        <w:rPr>
          <w:rFonts w:eastAsia="Arial" w:cs="Arial"/>
          <w:color w:val="000000" w:themeColor="text1"/>
          <w:sz w:val="22"/>
          <w:szCs w:val="22"/>
        </w:rPr>
        <w:t>528</w:t>
      </w:r>
      <w:r w:rsidRPr="001C0494">
        <w:rPr>
          <w:rFonts w:eastAsia="Arial" w:cs="Arial"/>
          <w:color w:val="000000" w:themeColor="text1"/>
          <w:sz w:val="22"/>
          <w:szCs w:val="22"/>
        </w:rPr>
        <w:t>m in 202</w:t>
      </w:r>
      <w:r>
        <w:rPr>
          <w:rFonts w:eastAsia="Arial" w:cs="Arial"/>
          <w:color w:val="000000" w:themeColor="text1"/>
          <w:sz w:val="22"/>
          <w:szCs w:val="22"/>
        </w:rPr>
        <w:t>1</w:t>
      </w:r>
      <w:r w:rsidRPr="001C0494">
        <w:rPr>
          <w:rFonts w:eastAsia="Arial" w:cs="Arial"/>
          <w:color w:val="000000" w:themeColor="text1"/>
          <w:sz w:val="22"/>
          <w:szCs w:val="22"/>
        </w:rPr>
        <w:t xml:space="preserve">. This portfolio is allocated with </w:t>
      </w:r>
      <w:r>
        <w:rPr>
          <w:rFonts w:eastAsia="Arial" w:cs="Arial"/>
          <w:color w:val="000000" w:themeColor="text1"/>
          <w:sz w:val="22"/>
          <w:szCs w:val="22"/>
        </w:rPr>
        <w:t>6</w:t>
      </w:r>
      <w:r w:rsidRPr="001C0494">
        <w:rPr>
          <w:rFonts w:eastAsia="Arial" w:cs="Arial"/>
          <w:color w:val="000000" w:themeColor="text1"/>
          <w:sz w:val="22"/>
          <w:szCs w:val="22"/>
        </w:rPr>
        <w:t xml:space="preserve">8% to end borrowers that hold an eligible sustainability certification, </w:t>
      </w:r>
      <w:r>
        <w:rPr>
          <w:rFonts w:eastAsia="Arial" w:cs="Arial"/>
          <w:color w:val="000000" w:themeColor="text1"/>
          <w:sz w:val="22"/>
          <w:szCs w:val="22"/>
        </w:rPr>
        <w:t>and</w:t>
      </w:r>
      <w:r w:rsidRPr="001C0494">
        <w:rPr>
          <w:rFonts w:eastAsia="Arial" w:cs="Arial"/>
          <w:color w:val="000000" w:themeColor="text1"/>
          <w:sz w:val="22"/>
          <w:szCs w:val="22"/>
        </w:rPr>
        <w:t xml:space="preserve"> </w:t>
      </w:r>
      <w:r>
        <w:rPr>
          <w:rFonts w:eastAsia="Arial" w:cs="Arial"/>
          <w:color w:val="000000" w:themeColor="text1"/>
          <w:sz w:val="22"/>
          <w:szCs w:val="22"/>
        </w:rPr>
        <w:t>3</w:t>
      </w:r>
      <w:r w:rsidRPr="001C0494">
        <w:rPr>
          <w:rFonts w:eastAsia="Arial" w:cs="Arial"/>
          <w:color w:val="000000" w:themeColor="text1"/>
          <w:sz w:val="22"/>
          <w:szCs w:val="22"/>
        </w:rPr>
        <w:t xml:space="preserve">2% financing </w:t>
      </w:r>
      <w:r>
        <w:rPr>
          <w:rFonts w:eastAsia="Arial" w:cs="Arial"/>
          <w:color w:val="000000" w:themeColor="text1"/>
          <w:sz w:val="22"/>
          <w:szCs w:val="22"/>
        </w:rPr>
        <w:t xml:space="preserve">end borrowers employing </w:t>
      </w:r>
      <w:r w:rsidRPr="001C0494">
        <w:rPr>
          <w:rFonts w:eastAsia="Arial" w:cs="Arial"/>
          <w:color w:val="000000" w:themeColor="text1"/>
          <w:sz w:val="22"/>
          <w:szCs w:val="22"/>
        </w:rPr>
        <w:t xml:space="preserve">eligible </w:t>
      </w:r>
      <w:r>
        <w:rPr>
          <w:rFonts w:eastAsia="Arial" w:cs="Arial"/>
          <w:color w:val="000000" w:themeColor="text1"/>
          <w:sz w:val="22"/>
          <w:szCs w:val="22"/>
        </w:rPr>
        <w:t>G</w:t>
      </w:r>
      <w:r w:rsidRPr="001C0494">
        <w:rPr>
          <w:rFonts w:eastAsia="Arial" w:cs="Arial"/>
          <w:color w:val="000000" w:themeColor="text1"/>
          <w:sz w:val="22"/>
          <w:szCs w:val="22"/>
        </w:rPr>
        <w:t xml:space="preserve">reen </w:t>
      </w:r>
      <w:r>
        <w:rPr>
          <w:rFonts w:eastAsia="Arial" w:cs="Arial"/>
          <w:color w:val="000000" w:themeColor="text1"/>
          <w:sz w:val="22"/>
          <w:szCs w:val="22"/>
        </w:rPr>
        <w:t>L</w:t>
      </w:r>
      <w:r w:rsidRPr="001C0494">
        <w:rPr>
          <w:rFonts w:eastAsia="Arial" w:cs="Arial"/>
          <w:color w:val="000000" w:themeColor="text1"/>
          <w:sz w:val="22"/>
          <w:szCs w:val="22"/>
        </w:rPr>
        <w:t xml:space="preserve">ist activities; </w:t>
      </w:r>
      <w:r>
        <w:rPr>
          <w:rFonts w:eastAsia="Arial" w:cs="Arial"/>
          <w:color w:val="000000" w:themeColor="text1"/>
          <w:sz w:val="22"/>
          <w:szCs w:val="22"/>
        </w:rPr>
        <w:t>i</w:t>
      </w:r>
      <w:r w:rsidRPr="001C0494">
        <w:rPr>
          <w:rFonts w:eastAsia="Arial" w:cs="Arial"/>
          <w:color w:val="000000" w:themeColor="text1"/>
          <w:sz w:val="22"/>
          <w:szCs w:val="22"/>
        </w:rPr>
        <w:t>n December 202</w:t>
      </w:r>
      <w:r>
        <w:rPr>
          <w:rFonts w:eastAsia="Arial" w:cs="Arial"/>
          <w:color w:val="000000" w:themeColor="text1"/>
          <w:sz w:val="22"/>
          <w:szCs w:val="22"/>
        </w:rPr>
        <w:t>1</w:t>
      </w:r>
      <w:r w:rsidRPr="001C0494">
        <w:rPr>
          <w:rFonts w:eastAsia="Arial" w:cs="Arial"/>
          <w:color w:val="000000" w:themeColor="text1"/>
          <w:sz w:val="22"/>
          <w:szCs w:val="22"/>
        </w:rPr>
        <w:t xml:space="preserve"> </w:t>
      </w:r>
      <w:r>
        <w:rPr>
          <w:rFonts w:eastAsia="Arial" w:cs="Arial"/>
          <w:color w:val="000000" w:themeColor="text1"/>
          <w:sz w:val="22"/>
          <w:szCs w:val="22"/>
        </w:rPr>
        <w:t xml:space="preserve">these </w:t>
      </w:r>
      <w:r w:rsidRPr="001C0494">
        <w:rPr>
          <w:rFonts w:eastAsia="Arial" w:cs="Arial"/>
          <w:color w:val="000000" w:themeColor="text1"/>
          <w:sz w:val="22"/>
          <w:szCs w:val="22"/>
        </w:rPr>
        <w:t>stood at 7</w:t>
      </w:r>
      <w:r>
        <w:rPr>
          <w:rFonts w:eastAsia="Arial" w:cs="Arial"/>
          <w:color w:val="000000" w:themeColor="text1"/>
          <w:sz w:val="22"/>
          <w:szCs w:val="22"/>
        </w:rPr>
        <w:t>8</w:t>
      </w:r>
      <w:r w:rsidRPr="001C0494">
        <w:rPr>
          <w:rFonts w:eastAsia="Arial" w:cs="Arial"/>
          <w:color w:val="000000" w:themeColor="text1"/>
          <w:sz w:val="22"/>
          <w:szCs w:val="22"/>
        </w:rPr>
        <w:t>% for sustainability standards and at 2</w:t>
      </w:r>
      <w:r>
        <w:rPr>
          <w:rFonts w:eastAsia="Arial" w:cs="Arial"/>
          <w:color w:val="000000" w:themeColor="text1"/>
          <w:sz w:val="22"/>
          <w:szCs w:val="22"/>
        </w:rPr>
        <w:t>2</w:t>
      </w:r>
      <w:r w:rsidRPr="001C0494">
        <w:rPr>
          <w:rFonts w:eastAsia="Arial" w:cs="Arial"/>
          <w:color w:val="000000" w:themeColor="text1"/>
          <w:sz w:val="22"/>
          <w:szCs w:val="22"/>
        </w:rPr>
        <w:t xml:space="preserve">% for Green List measures. This shows </w:t>
      </w:r>
      <w:r>
        <w:rPr>
          <w:rFonts w:eastAsia="Arial" w:cs="Arial"/>
          <w:color w:val="000000" w:themeColor="text1"/>
          <w:sz w:val="22"/>
          <w:szCs w:val="22"/>
        </w:rPr>
        <w:t>an increased expansion of lending for</w:t>
      </w:r>
      <w:r w:rsidRPr="001C0494">
        <w:rPr>
          <w:rFonts w:eastAsia="Arial" w:cs="Arial"/>
          <w:color w:val="000000" w:themeColor="text1"/>
          <w:sz w:val="22"/>
          <w:szCs w:val="22"/>
        </w:rPr>
        <w:t xml:space="preserve"> Green List measures, </w:t>
      </w:r>
      <w:r>
        <w:rPr>
          <w:rFonts w:eastAsia="Arial" w:cs="Arial"/>
          <w:color w:val="000000" w:themeColor="text1"/>
          <w:sz w:val="22"/>
          <w:szCs w:val="22"/>
        </w:rPr>
        <w:t>compared to just a</w:t>
      </w:r>
      <w:r w:rsidRPr="001C0494">
        <w:rPr>
          <w:rFonts w:eastAsia="Arial" w:cs="Arial"/>
          <w:color w:val="000000" w:themeColor="text1"/>
          <w:sz w:val="22"/>
          <w:szCs w:val="22"/>
        </w:rPr>
        <w:t xml:space="preserve"> 1</w:t>
      </w:r>
      <w:r>
        <w:rPr>
          <w:rFonts w:eastAsia="Arial" w:cs="Arial"/>
          <w:color w:val="000000" w:themeColor="text1"/>
          <w:sz w:val="22"/>
          <w:szCs w:val="22"/>
        </w:rPr>
        <w:t>%</w:t>
      </w:r>
      <w:r w:rsidRPr="001C0494">
        <w:rPr>
          <w:rFonts w:eastAsia="Arial" w:cs="Arial"/>
          <w:color w:val="000000" w:themeColor="text1"/>
          <w:sz w:val="22"/>
          <w:szCs w:val="22"/>
        </w:rPr>
        <w:t xml:space="preserve"> </w:t>
      </w:r>
      <w:r>
        <w:rPr>
          <w:rFonts w:eastAsia="Arial" w:cs="Arial"/>
          <w:color w:val="000000" w:themeColor="text1"/>
          <w:sz w:val="22"/>
          <w:szCs w:val="22"/>
        </w:rPr>
        <w:t xml:space="preserve">change in the same direction </w:t>
      </w:r>
      <w:r w:rsidRPr="001C0494">
        <w:rPr>
          <w:rFonts w:eastAsia="Arial" w:cs="Arial"/>
          <w:color w:val="000000" w:themeColor="text1"/>
          <w:sz w:val="22"/>
          <w:szCs w:val="22"/>
        </w:rPr>
        <w:t xml:space="preserve">from 2020 to 2021. By continually expanding its eligibility criteria, the fund can provide funding for an increasing number of businesses, thus widening the scale of its impact and penetrating new sub-sectors. </w:t>
      </w:r>
    </w:p>
    <w:p w14:paraId="197A90C8" w14:textId="77777777" w:rsidR="00EB3CD8" w:rsidRPr="00695907" w:rsidRDefault="00EB3CD8" w:rsidP="00EB3CD8">
      <w:pPr>
        <w:jc w:val="both"/>
        <w:rPr>
          <w:rFonts w:eastAsia="Arial" w:cs="Arial"/>
          <w:color w:val="FF0000"/>
          <w:sz w:val="22"/>
          <w:szCs w:val="22"/>
        </w:rPr>
      </w:pPr>
    </w:p>
    <w:p w14:paraId="4B2637B2" w14:textId="721E8DC9" w:rsidR="00EB3CD8" w:rsidRDefault="00EB3CD8" w:rsidP="00EB3CD8">
      <w:pPr>
        <w:pStyle w:val="Normal1"/>
        <w:jc w:val="both"/>
        <w:rPr>
          <w:sz w:val="22"/>
          <w:szCs w:val="22"/>
        </w:rPr>
      </w:pPr>
      <w:r>
        <w:rPr>
          <w:sz w:val="22"/>
          <w:szCs w:val="22"/>
        </w:rPr>
        <w:t>The value of Defra’s shares in the Fund fell by over 14% from $42.9m at the end of 2021 to $36.7m at the end of 2022, worth £30.3m and a loss compared to the overall investment of £2.3m. The value of EBF’s shares, especially Junior Shares which carry the highest risk, have gone up and down since inception with international markets and the success or otherwise of its investments. However, it</w:t>
      </w:r>
      <w:r w:rsidRPr="006B4633">
        <w:rPr>
          <w:sz w:val="22"/>
          <w:szCs w:val="22"/>
        </w:rPr>
        <w:t xml:space="preserve"> continues to represent good </w:t>
      </w:r>
      <w:proofErr w:type="spellStart"/>
      <w:r w:rsidRPr="006B4633">
        <w:rPr>
          <w:sz w:val="22"/>
          <w:szCs w:val="22"/>
        </w:rPr>
        <w:t>VfM</w:t>
      </w:r>
      <w:proofErr w:type="spellEnd"/>
      <w:r>
        <w:rPr>
          <w:sz w:val="22"/>
          <w:szCs w:val="22"/>
        </w:rPr>
        <w:t>, in line with the projections in the original BCR</w:t>
      </w:r>
      <w:r w:rsidRPr="006B4633">
        <w:rPr>
          <w:sz w:val="22"/>
          <w:szCs w:val="22"/>
        </w:rPr>
        <w:t xml:space="preserve">, </w:t>
      </w:r>
      <w:r>
        <w:rPr>
          <w:sz w:val="22"/>
          <w:szCs w:val="22"/>
        </w:rPr>
        <w:t xml:space="preserve">as the security provided by Defra’s first-loss position allows the Fund and its impact to grow and to leverage more private finance. EBF has </w:t>
      </w:r>
      <w:r w:rsidRPr="006B4633">
        <w:rPr>
          <w:sz w:val="22"/>
          <w:szCs w:val="22"/>
        </w:rPr>
        <w:t>significantly increas</w:t>
      </w:r>
      <w:r>
        <w:rPr>
          <w:sz w:val="22"/>
          <w:szCs w:val="22"/>
        </w:rPr>
        <w:t>ed</w:t>
      </w:r>
      <w:r w:rsidRPr="006B4633">
        <w:rPr>
          <w:sz w:val="22"/>
          <w:szCs w:val="22"/>
        </w:rPr>
        <w:t xml:space="preserve"> the amount of funding available for financing environmentally sustainable business across Latin America</w:t>
      </w:r>
      <w:r>
        <w:rPr>
          <w:sz w:val="22"/>
          <w:szCs w:val="22"/>
        </w:rPr>
        <w:t xml:space="preserve"> and the Caribbean</w:t>
      </w:r>
      <w:r w:rsidRPr="006B4633">
        <w:rPr>
          <w:sz w:val="22"/>
          <w:szCs w:val="22"/>
        </w:rPr>
        <w:t xml:space="preserve">, </w:t>
      </w:r>
      <w:proofErr w:type="gramStart"/>
      <w:r w:rsidRPr="006B4633">
        <w:rPr>
          <w:sz w:val="22"/>
          <w:szCs w:val="22"/>
        </w:rPr>
        <w:t>exceeding</w:t>
      </w:r>
      <w:proofErr w:type="gramEnd"/>
      <w:r w:rsidRPr="006B4633">
        <w:rPr>
          <w:sz w:val="22"/>
          <w:szCs w:val="22"/>
        </w:rPr>
        <w:t xml:space="preserve"> </w:t>
      </w:r>
      <w:r>
        <w:rPr>
          <w:sz w:val="22"/>
          <w:szCs w:val="22"/>
        </w:rPr>
        <w:t xml:space="preserve">almost every </w:t>
      </w:r>
      <w:r w:rsidRPr="006B4633">
        <w:rPr>
          <w:sz w:val="22"/>
          <w:szCs w:val="22"/>
        </w:rPr>
        <w:t>milestone set by Defra and utilising its relationships with FIs to drive transformational change across the agricultural sector.</w:t>
      </w:r>
    </w:p>
    <w:p w14:paraId="7EF1360E" w14:textId="77777777" w:rsidR="00EB3CD8" w:rsidRDefault="00EB3CD8" w:rsidP="00EB3CD8">
      <w:pPr>
        <w:pStyle w:val="Normal1"/>
        <w:jc w:val="both"/>
        <w:rPr>
          <w:sz w:val="22"/>
          <w:szCs w:val="22"/>
        </w:rPr>
      </w:pPr>
    </w:p>
    <w:p w14:paraId="7AE696F5" w14:textId="228A76B7" w:rsidR="00F20A87" w:rsidRPr="00A54B18" w:rsidRDefault="00F20A87" w:rsidP="00FE1673">
      <w:pPr>
        <w:spacing w:after="200"/>
        <w:jc w:val="both"/>
        <w:rPr>
          <w:rFonts w:eastAsia="Arial" w:cs="Arial"/>
          <w:color w:val="000000" w:themeColor="text1"/>
          <w:sz w:val="22"/>
          <w:szCs w:val="22"/>
        </w:rPr>
      </w:pPr>
      <w:r w:rsidRPr="00CC2109">
        <w:rPr>
          <w:rFonts w:eastAsia="Arial" w:cs="Arial"/>
          <w:color w:val="000000" w:themeColor="text1"/>
          <w:sz w:val="22"/>
          <w:szCs w:val="22"/>
        </w:rPr>
        <w:t xml:space="preserve">In addition to tracking how much money is disbursed, the total amount spent on direct operating expenses, service fees and performance fees </w:t>
      </w:r>
      <w:r w:rsidR="00363234">
        <w:rPr>
          <w:rFonts w:eastAsia="Arial" w:cs="Arial"/>
          <w:color w:val="000000" w:themeColor="text1"/>
          <w:sz w:val="22"/>
          <w:szCs w:val="22"/>
        </w:rPr>
        <w:t>are</w:t>
      </w:r>
      <w:r w:rsidRPr="00CC2109">
        <w:rPr>
          <w:rFonts w:eastAsia="Arial" w:cs="Arial"/>
          <w:color w:val="000000" w:themeColor="text1"/>
          <w:sz w:val="22"/>
          <w:szCs w:val="22"/>
        </w:rPr>
        <w:t xml:space="preserve"> monitored closely year-</w:t>
      </w:r>
      <w:r w:rsidR="003B3BB6" w:rsidRPr="00CC2109">
        <w:rPr>
          <w:rFonts w:eastAsia="Arial" w:cs="Arial"/>
          <w:color w:val="000000" w:themeColor="text1"/>
          <w:sz w:val="22"/>
          <w:szCs w:val="22"/>
        </w:rPr>
        <w:t>on</w:t>
      </w:r>
      <w:r w:rsidRPr="00CC2109">
        <w:rPr>
          <w:rFonts w:eastAsia="Arial" w:cs="Arial"/>
          <w:color w:val="000000" w:themeColor="text1"/>
          <w:sz w:val="22"/>
          <w:szCs w:val="22"/>
        </w:rPr>
        <w:t>-year</w:t>
      </w:r>
      <w:r w:rsidR="00975BC7">
        <w:rPr>
          <w:rFonts w:eastAsia="Arial" w:cs="Arial"/>
          <w:color w:val="000000" w:themeColor="text1"/>
          <w:sz w:val="22"/>
          <w:szCs w:val="22"/>
        </w:rPr>
        <w:t xml:space="preserve">. </w:t>
      </w:r>
      <w:r w:rsidR="002C0706">
        <w:rPr>
          <w:rStyle w:val="normaltextrun"/>
          <w:rFonts w:eastAsia="Arial" w:cs="Arial"/>
          <w:sz w:val="22"/>
          <w:szCs w:val="22"/>
        </w:rPr>
        <w:t>O</w:t>
      </w:r>
      <w:r w:rsidR="00975BC7" w:rsidRPr="00695907">
        <w:rPr>
          <w:rStyle w:val="normaltextrun"/>
          <w:rFonts w:eastAsia="Arial" w:cs="Arial"/>
          <w:sz w:val="22"/>
          <w:szCs w:val="22"/>
        </w:rPr>
        <w:t>perating costs for 202</w:t>
      </w:r>
      <w:r w:rsidR="00975BC7">
        <w:rPr>
          <w:rStyle w:val="normaltextrun"/>
          <w:rFonts w:eastAsia="Arial" w:cs="Arial"/>
          <w:sz w:val="22"/>
          <w:szCs w:val="22"/>
        </w:rPr>
        <w:t>2</w:t>
      </w:r>
      <w:r w:rsidR="00975BC7" w:rsidRPr="00695907">
        <w:rPr>
          <w:rStyle w:val="normaltextrun"/>
          <w:rFonts w:eastAsia="Arial" w:cs="Arial"/>
          <w:sz w:val="22"/>
          <w:szCs w:val="22"/>
        </w:rPr>
        <w:t xml:space="preserve"> were 1.</w:t>
      </w:r>
      <w:r w:rsidR="00A43722">
        <w:rPr>
          <w:rStyle w:val="normaltextrun"/>
          <w:rFonts w:eastAsia="Arial" w:cs="Arial"/>
          <w:sz w:val="22"/>
          <w:szCs w:val="22"/>
        </w:rPr>
        <w:t>6</w:t>
      </w:r>
      <w:r w:rsidR="00975BC7" w:rsidRPr="00695907">
        <w:rPr>
          <w:rStyle w:val="normaltextrun"/>
          <w:rFonts w:eastAsia="Arial" w:cs="Arial"/>
          <w:sz w:val="22"/>
          <w:szCs w:val="22"/>
        </w:rPr>
        <w:t xml:space="preserve">% of total assets, </w:t>
      </w:r>
      <w:proofErr w:type="gramStart"/>
      <w:r w:rsidR="00975BC7">
        <w:rPr>
          <w:rStyle w:val="normaltextrun"/>
          <w:rFonts w:eastAsia="Arial" w:cs="Arial"/>
          <w:sz w:val="22"/>
          <w:szCs w:val="22"/>
        </w:rPr>
        <w:t>similar to</w:t>
      </w:r>
      <w:proofErr w:type="gramEnd"/>
      <w:r w:rsidR="00975BC7">
        <w:rPr>
          <w:rStyle w:val="normaltextrun"/>
          <w:rFonts w:eastAsia="Arial" w:cs="Arial"/>
          <w:sz w:val="22"/>
          <w:szCs w:val="22"/>
        </w:rPr>
        <w:t xml:space="preserve"> 2021</w:t>
      </w:r>
      <w:r w:rsidR="00975BC7" w:rsidRPr="00695907">
        <w:rPr>
          <w:rStyle w:val="normaltextrun"/>
          <w:rFonts w:eastAsia="Arial" w:cs="Arial"/>
          <w:sz w:val="22"/>
          <w:szCs w:val="22"/>
        </w:rPr>
        <w:t xml:space="preserve">. </w:t>
      </w:r>
      <w:r w:rsidR="002C0706">
        <w:rPr>
          <w:rStyle w:val="normaltextrun"/>
          <w:rFonts w:eastAsia="Arial" w:cs="Arial"/>
          <w:sz w:val="22"/>
          <w:szCs w:val="22"/>
        </w:rPr>
        <w:t>O</w:t>
      </w:r>
      <w:r w:rsidR="00975BC7" w:rsidRPr="00695907">
        <w:rPr>
          <w:rStyle w:val="normaltextrun"/>
          <w:rFonts w:eastAsia="Arial" w:cs="Arial"/>
          <w:color w:val="000000" w:themeColor="text1"/>
          <w:sz w:val="22"/>
          <w:szCs w:val="22"/>
        </w:rPr>
        <w:t>perating costs include the Fund’s service fees, the cost of which has been covered directly from returns on investments of the Fund</w:t>
      </w:r>
      <w:r w:rsidR="00975BC7">
        <w:rPr>
          <w:rStyle w:val="normaltextrun"/>
          <w:rFonts w:eastAsia="Arial" w:cs="Arial"/>
          <w:color w:val="000000" w:themeColor="text1"/>
          <w:sz w:val="22"/>
          <w:szCs w:val="22"/>
        </w:rPr>
        <w:t>, as well as performance fees and direct operating expenses</w:t>
      </w:r>
      <w:r w:rsidR="00975BC7" w:rsidRPr="00695907">
        <w:rPr>
          <w:rStyle w:val="normaltextrun"/>
          <w:rFonts w:eastAsia="Arial" w:cs="Arial"/>
          <w:color w:val="000000" w:themeColor="text1"/>
          <w:sz w:val="22"/>
          <w:szCs w:val="22"/>
        </w:rPr>
        <w:t>.</w:t>
      </w:r>
    </w:p>
    <w:p w14:paraId="1A647700" w14:textId="22BD97A8" w:rsidR="00F20A87" w:rsidRPr="00A54B18" w:rsidRDefault="00F20A87" w:rsidP="005E557A">
      <w:pPr>
        <w:spacing w:after="160"/>
        <w:jc w:val="both"/>
        <w:rPr>
          <w:rFonts w:eastAsia="Arial" w:cs="Arial"/>
          <w:color w:val="000000" w:themeColor="text1"/>
          <w:sz w:val="22"/>
          <w:szCs w:val="22"/>
        </w:rPr>
      </w:pPr>
      <w:r w:rsidRPr="00A54B18">
        <w:rPr>
          <w:rFonts w:eastAsia="Arial" w:cs="Arial"/>
          <w:b/>
          <w:bCs/>
          <w:color w:val="000000" w:themeColor="text1"/>
          <w:sz w:val="22"/>
          <w:szCs w:val="22"/>
        </w:rPr>
        <w:t>Efficiency</w:t>
      </w:r>
      <w:r w:rsidRPr="00A54B18">
        <w:rPr>
          <w:rFonts w:eastAsia="Arial" w:cs="Arial"/>
          <w:color w:val="000000" w:themeColor="text1"/>
          <w:sz w:val="22"/>
          <w:szCs w:val="22"/>
        </w:rPr>
        <w:t>:</w:t>
      </w:r>
    </w:p>
    <w:p w14:paraId="28296B6F" w14:textId="77777777" w:rsidR="00FA4428" w:rsidRDefault="00C109B2" w:rsidP="00FA4428">
      <w:pPr>
        <w:jc w:val="both"/>
        <w:rPr>
          <w:rFonts w:eastAsia="Arial" w:cs="Arial"/>
          <w:color w:val="000000" w:themeColor="text1"/>
          <w:sz w:val="22"/>
          <w:szCs w:val="22"/>
        </w:rPr>
      </w:pPr>
      <w:r w:rsidRPr="006B4633">
        <w:rPr>
          <w:rFonts w:eastAsia="Arial" w:cs="Arial"/>
          <w:color w:val="000000" w:themeColor="text1"/>
          <w:sz w:val="22"/>
          <w:szCs w:val="22"/>
        </w:rPr>
        <w:t xml:space="preserve">As shown in Table 1, </w:t>
      </w:r>
      <w:r>
        <w:rPr>
          <w:rFonts w:eastAsia="Arial" w:cs="Arial"/>
          <w:color w:val="000000" w:themeColor="text1"/>
          <w:sz w:val="22"/>
          <w:szCs w:val="22"/>
        </w:rPr>
        <w:t>all EBF Outputs have exceeded their goals in 2022, indicating efficient conversion of inputs into outputs</w:t>
      </w:r>
      <w:r w:rsidRPr="006B4633">
        <w:rPr>
          <w:rFonts w:eastAsia="Arial" w:cs="Arial"/>
          <w:color w:val="000000" w:themeColor="text1"/>
          <w:sz w:val="22"/>
          <w:szCs w:val="22"/>
        </w:rPr>
        <w:t>.</w:t>
      </w:r>
      <w:r w:rsidR="007E33DB">
        <w:rPr>
          <w:rFonts w:eastAsia="Arial" w:cs="Arial"/>
          <w:color w:val="000000" w:themeColor="text1"/>
          <w:sz w:val="22"/>
          <w:szCs w:val="22"/>
        </w:rPr>
        <w:t xml:space="preserve"> </w:t>
      </w:r>
      <w:r w:rsidR="00FA4428">
        <w:rPr>
          <w:rFonts w:eastAsia="Arial" w:cs="Arial"/>
          <w:color w:val="000000" w:themeColor="text1"/>
          <w:sz w:val="22"/>
          <w:szCs w:val="22"/>
        </w:rPr>
        <w:t>Three</w:t>
      </w:r>
      <w:r w:rsidR="005D3422" w:rsidRPr="00D3160B">
        <w:rPr>
          <w:rFonts w:eastAsia="Arial" w:cs="Arial"/>
          <w:color w:val="000000" w:themeColor="text1"/>
          <w:sz w:val="22"/>
          <w:szCs w:val="22"/>
        </w:rPr>
        <w:t xml:space="preserve"> </w:t>
      </w:r>
      <w:proofErr w:type="spellStart"/>
      <w:r w:rsidR="005D3422" w:rsidRPr="00D3160B">
        <w:rPr>
          <w:rFonts w:eastAsia="Arial" w:cs="Arial"/>
          <w:color w:val="000000" w:themeColor="text1"/>
          <w:sz w:val="22"/>
          <w:szCs w:val="22"/>
        </w:rPr>
        <w:t>VfM</w:t>
      </w:r>
      <w:proofErr w:type="spellEnd"/>
      <w:r w:rsidR="005D3422" w:rsidRPr="00D3160B">
        <w:rPr>
          <w:rFonts w:eastAsia="Arial" w:cs="Arial"/>
          <w:color w:val="000000" w:themeColor="text1"/>
          <w:sz w:val="22"/>
          <w:szCs w:val="22"/>
        </w:rPr>
        <w:t xml:space="preserve"> metrics </w:t>
      </w:r>
      <w:r w:rsidR="007E33DB">
        <w:rPr>
          <w:rFonts w:eastAsia="Arial" w:cs="Arial"/>
          <w:color w:val="000000" w:themeColor="text1"/>
          <w:sz w:val="22"/>
          <w:szCs w:val="22"/>
        </w:rPr>
        <w:t>have been considered</w:t>
      </w:r>
      <w:r w:rsidR="00FA4428">
        <w:rPr>
          <w:rFonts w:eastAsia="Arial" w:cs="Arial"/>
          <w:color w:val="000000" w:themeColor="text1"/>
          <w:sz w:val="22"/>
          <w:szCs w:val="22"/>
        </w:rPr>
        <w:t xml:space="preserve"> against the efficiency metric and how inputs are being converted to outputs, shown in Table 3</w:t>
      </w:r>
    </w:p>
    <w:p w14:paraId="2B37FD96" w14:textId="749F8E77" w:rsidR="005D3422" w:rsidRPr="00A54B18" w:rsidRDefault="00FA4428" w:rsidP="00FA4428">
      <w:pPr>
        <w:jc w:val="both"/>
        <w:rPr>
          <w:rFonts w:eastAsia="Arial" w:cs="Arial"/>
          <w:color w:val="000000" w:themeColor="text1"/>
          <w:sz w:val="22"/>
          <w:szCs w:val="22"/>
        </w:rPr>
      </w:pPr>
      <w:r>
        <w:rPr>
          <w:rFonts w:eastAsia="Arial" w:cs="Arial"/>
          <w:color w:val="000000" w:themeColor="text1"/>
          <w:sz w:val="22"/>
          <w:szCs w:val="22"/>
        </w:rPr>
        <w:t xml:space="preserve">. </w:t>
      </w:r>
    </w:p>
    <w:p w14:paraId="1E0836AA" w14:textId="1AE155A5" w:rsidR="005D3422" w:rsidRPr="00A54B18" w:rsidRDefault="005D3422" w:rsidP="005D3422">
      <w:pPr>
        <w:spacing w:after="200"/>
        <w:jc w:val="both"/>
        <w:rPr>
          <w:rFonts w:eastAsia="Arial" w:cs="Arial"/>
          <w:i/>
          <w:iCs/>
          <w:color w:val="000000" w:themeColor="text1"/>
          <w:sz w:val="22"/>
          <w:szCs w:val="22"/>
        </w:rPr>
      </w:pPr>
      <w:r w:rsidRPr="00A54B18">
        <w:rPr>
          <w:rFonts w:eastAsia="Arial" w:cs="Arial"/>
          <w:color w:val="000000" w:themeColor="text1"/>
          <w:sz w:val="22"/>
          <w:szCs w:val="22"/>
          <w:u w:val="single"/>
        </w:rPr>
        <w:t xml:space="preserve">Table </w:t>
      </w:r>
      <w:r w:rsidR="007E33DB">
        <w:rPr>
          <w:rFonts w:eastAsia="Arial" w:cs="Arial"/>
          <w:color w:val="000000" w:themeColor="text1"/>
          <w:sz w:val="22"/>
          <w:szCs w:val="22"/>
          <w:u w:val="single"/>
        </w:rPr>
        <w:t>3</w:t>
      </w:r>
      <w:r w:rsidRPr="00A54B18">
        <w:rPr>
          <w:rFonts w:eastAsia="Arial" w:cs="Arial"/>
          <w:color w:val="000000" w:themeColor="text1"/>
          <w:sz w:val="22"/>
          <w:szCs w:val="22"/>
          <w:u w:val="single"/>
        </w:rPr>
        <w:t xml:space="preserve"> - </w:t>
      </w:r>
      <w:proofErr w:type="spellStart"/>
      <w:r w:rsidRPr="00A54B18">
        <w:rPr>
          <w:rFonts w:eastAsia="Arial" w:cs="Arial"/>
          <w:color w:val="000000" w:themeColor="text1"/>
          <w:sz w:val="22"/>
          <w:szCs w:val="22"/>
          <w:u w:val="single"/>
        </w:rPr>
        <w:t>VfM</w:t>
      </w:r>
      <w:proofErr w:type="spellEnd"/>
      <w:r w:rsidRPr="00A54B18">
        <w:rPr>
          <w:rFonts w:eastAsia="Arial" w:cs="Arial"/>
          <w:color w:val="000000" w:themeColor="text1"/>
          <w:sz w:val="22"/>
          <w:szCs w:val="22"/>
          <w:u w:val="single"/>
        </w:rPr>
        <w:t xml:space="preserve"> Economy Metrics Results</w:t>
      </w:r>
    </w:p>
    <w:tbl>
      <w:tblPr>
        <w:tblStyle w:val="TableGrid"/>
        <w:tblW w:w="0" w:type="auto"/>
        <w:tblLayout w:type="fixed"/>
        <w:tblLook w:val="04A0" w:firstRow="1" w:lastRow="0" w:firstColumn="1" w:lastColumn="0" w:noHBand="0" w:noVBand="1"/>
      </w:tblPr>
      <w:tblGrid>
        <w:gridCol w:w="4500"/>
        <w:gridCol w:w="4500"/>
      </w:tblGrid>
      <w:tr w:rsidR="005D3422" w:rsidRPr="00A54B18" w14:paraId="3FC7F437" w14:textId="77777777" w:rsidTr="000F24BA">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C25E310" w14:textId="77777777" w:rsidR="005D3422" w:rsidRPr="00A54B18" w:rsidRDefault="005D3422" w:rsidP="000F24BA">
            <w:pPr>
              <w:jc w:val="both"/>
              <w:rPr>
                <w:rFonts w:eastAsia="Arial" w:cs="Arial"/>
                <w:sz w:val="22"/>
                <w:szCs w:val="22"/>
              </w:rPr>
            </w:pPr>
            <w:proofErr w:type="spellStart"/>
            <w:r w:rsidRPr="00A54B18">
              <w:rPr>
                <w:rFonts w:eastAsia="Arial" w:cs="Arial"/>
                <w:i/>
                <w:iCs/>
                <w:sz w:val="22"/>
                <w:szCs w:val="22"/>
              </w:rPr>
              <w:t>VfM</w:t>
            </w:r>
            <w:proofErr w:type="spellEnd"/>
            <w:r w:rsidRPr="00A54B18">
              <w:rPr>
                <w:rFonts w:eastAsia="Arial" w:cs="Arial"/>
                <w:i/>
                <w:iCs/>
                <w:sz w:val="22"/>
                <w:szCs w:val="22"/>
              </w:rPr>
              <w:t xml:space="preserve"> Metric</w:t>
            </w:r>
          </w:p>
        </w:tc>
        <w:tc>
          <w:tcPr>
            <w:tcW w:w="4500" w:type="dxa"/>
            <w:tcBorders>
              <w:top w:val="single" w:sz="4" w:space="0" w:color="auto"/>
              <w:left w:val="single" w:sz="4" w:space="0" w:color="auto"/>
              <w:bottom w:val="single" w:sz="4" w:space="0" w:color="auto"/>
              <w:right w:val="single" w:sz="4" w:space="0" w:color="auto"/>
            </w:tcBorders>
            <w:hideMark/>
          </w:tcPr>
          <w:p w14:paraId="1484A559" w14:textId="77777777" w:rsidR="005D3422" w:rsidRPr="00A54B18" w:rsidRDefault="005D3422" w:rsidP="000F24BA">
            <w:pPr>
              <w:jc w:val="both"/>
              <w:rPr>
                <w:rFonts w:eastAsia="Arial" w:cs="Arial"/>
                <w:sz w:val="22"/>
                <w:szCs w:val="22"/>
              </w:rPr>
            </w:pPr>
            <w:r w:rsidRPr="00A54B18">
              <w:rPr>
                <w:rFonts w:eastAsia="Arial" w:cs="Arial"/>
                <w:i/>
                <w:iCs/>
                <w:sz w:val="22"/>
                <w:szCs w:val="22"/>
              </w:rPr>
              <w:t xml:space="preserve">Result </w:t>
            </w:r>
          </w:p>
        </w:tc>
      </w:tr>
      <w:tr w:rsidR="005D3422" w:rsidRPr="00A54B18" w14:paraId="1B6847E1" w14:textId="77777777" w:rsidTr="000F24BA">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F0B440" w14:textId="77777777" w:rsidR="005D3422" w:rsidRPr="00A54B18" w:rsidRDefault="005D3422" w:rsidP="000F24BA">
            <w:pPr>
              <w:jc w:val="both"/>
              <w:rPr>
                <w:rFonts w:eastAsia="Arial" w:cs="Arial"/>
                <w:sz w:val="22"/>
                <w:szCs w:val="22"/>
              </w:rPr>
            </w:pPr>
            <w:r w:rsidRPr="00A54B18">
              <w:rPr>
                <w:rFonts w:eastAsia="Arial" w:cs="Arial"/>
                <w:sz w:val="22"/>
                <w:szCs w:val="22"/>
              </w:rPr>
              <w:t>Cost per TA project ($)</w:t>
            </w:r>
          </w:p>
        </w:tc>
        <w:tc>
          <w:tcPr>
            <w:tcW w:w="4500" w:type="dxa"/>
            <w:tcBorders>
              <w:top w:val="single" w:sz="4" w:space="0" w:color="auto"/>
              <w:left w:val="single" w:sz="4" w:space="0" w:color="auto"/>
              <w:bottom w:val="single" w:sz="4" w:space="0" w:color="auto"/>
              <w:right w:val="single" w:sz="4" w:space="0" w:color="auto"/>
            </w:tcBorders>
            <w:hideMark/>
          </w:tcPr>
          <w:p w14:paraId="513FE606" w14:textId="77777777" w:rsidR="005D3422" w:rsidRPr="00101714" w:rsidRDefault="005D3422" w:rsidP="000F24BA">
            <w:pPr>
              <w:jc w:val="both"/>
              <w:rPr>
                <w:rFonts w:eastAsia="Arial" w:cs="Arial"/>
                <w:strike/>
                <w:sz w:val="22"/>
                <w:szCs w:val="22"/>
              </w:rPr>
            </w:pPr>
            <w:r w:rsidRPr="00CD4F02">
              <w:rPr>
                <w:rFonts w:eastAsia="Arial" w:cs="Arial"/>
                <w:sz w:val="22"/>
                <w:szCs w:val="22"/>
              </w:rPr>
              <w:t>5</w:t>
            </w:r>
            <w:r>
              <w:rPr>
                <w:rFonts w:eastAsia="Arial" w:cs="Arial"/>
                <w:sz w:val="22"/>
                <w:szCs w:val="22"/>
              </w:rPr>
              <w:t>5</w:t>
            </w:r>
            <w:r w:rsidRPr="00CD4F02">
              <w:rPr>
                <w:rFonts w:eastAsia="Arial" w:cs="Arial"/>
                <w:sz w:val="22"/>
                <w:szCs w:val="22"/>
              </w:rPr>
              <w:t>,</w:t>
            </w:r>
            <w:r>
              <w:rPr>
                <w:rFonts w:eastAsia="Arial" w:cs="Arial"/>
                <w:sz w:val="22"/>
                <w:szCs w:val="22"/>
              </w:rPr>
              <w:t>4</w:t>
            </w:r>
            <w:r w:rsidRPr="00CD4F02">
              <w:rPr>
                <w:rFonts w:eastAsia="Arial" w:cs="Arial"/>
                <w:sz w:val="22"/>
                <w:szCs w:val="22"/>
              </w:rPr>
              <w:t>00</w:t>
            </w:r>
          </w:p>
        </w:tc>
      </w:tr>
    </w:tbl>
    <w:p w14:paraId="137B0786" w14:textId="77777777" w:rsidR="005D3422" w:rsidRPr="00A54B18" w:rsidRDefault="005D3422" w:rsidP="005D3422">
      <w:pPr>
        <w:jc w:val="both"/>
        <w:rPr>
          <w:rFonts w:eastAsia="Arial" w:cs="Arial"/>
          <w:color w:val="000000" w:themeColor="text1"/>
          <w:sz w:val="22"/>
          <w:szCs w:val="22"/>
        </w:rPr>
      </w:pPr>
    </w:p>
    <w:p w14:paraId="71DC6D4D" w14:textId="457EB9E6" w:rsidR="005D3422" w:rsidRDefault="005D3422" w:rsidP="005D3422">
      <w:pPr>
        <w:spacing w:after="200"/>
        <w:jc w:val="both"/>
        <w:rPr>
          <w:rFonts w:eastAsia="Arial" w:cs="Arial"/>
          <w:color w:val="000000" w:themeColor="text1"/>
          <w:sz w:val="22"/>
          <w:szCs w:val="22"/>
        </w:rPr>
      </w:pPr>
      <w:r>
        <w:rPr>
          <w:rFonts w:eastAsia="Arial" w:cs="Arial"/>
          <w:color w:val="000000" w:themeColor="text1"/>
          <w:sz w:val="22"/>
          <w:szCs w:val="22"/>
        </w:rPr>
        <w:t>The average cost per TA project since inception has come down slightly from $56,000 at the end of 2021, while maintaining high performance against output and outcome indicators. This relative improvement shows a minor increase in efficiency in the operation of the DF, with 18 TA projects completed and closed in 2022 compared to 10 in 2021, and at a lower cost per project.</w:t>
      </w:r>
    </w:p>
    <w:p w14:paraId="64D15AE9" w14:textId="33D94983" w:rsidR="00F20A87" w:rsidRPr="006B4633" w:rsidRDefault="00C109B2" w:rsidP="005E557A">
      <w:pPr>
        <w:spacing w:after="160"/>
        <w:jc w:val="both"/>
        <w:rPr>
          <w:rFonts w:eastAsia="Arial" w:cs="Arial"/>
          <w:color w:val="000000" w:themeColor="text1"/>
          <w:sz w:val="22"/>
          <w:szCs w:val="22"/>
        </w:rPr>
      </w:pPr>
      <w:r>
        <w:rPr>
          <w:rFonts w:eastAsia="Arial" w:cs="Arial"/>
          <w:color w:val="000000" w:themeColor="text1"/>
          <w:sz w:val="22"/>
          <w:szCs w:val="22"/>
        </w:rPr>
        <w:t xml:space="preserve">The ratio of private finance mobilised </w:t>
      </w:r>
      <w:proofErr w:type="gramStart"/>
      <w:r>
        <w:rPr>
          <w:rFonts w:eastAsia="Arial" w:cs="Arial"/>
          <w:color w:val="000000" w:themeColor="text1"/>
          <w:sz w:val="22"/>
          <w:szCs w:val="22"/>
        </w:rPr>
        <w:t>as a result of</w:t>
      </w:r>
      <w:proofErr w:type="gramEnd"/>
      <w:r>
        <w:rPr>
          <w:rFonts w:eastAsia="Arial" w:cs="Arial"/>
          <w:color w:val="000000" w:themeColor="text1"/>
          <w:sz w:val="22"/>
          <w:szCs w:val="22"/>
        </w:rPr>
        <w:t xml:space="preserve"> every £ of ICF support</w:t>
      </w:r>
      <w:r w:rsidR="00403F64">
        <w:rPr>
          <w:rFonts w:eastAsia="Arial" w:cs="Arial"/>
          <w:color w:val="000000" w:themeColor="text1"/>
          <w:sz w:val="22"/>
          <w:szCs w:val="22"/>
        </w:rPr>
        <w:t xml:space="preserve"> also indicates efficient use of inputs to maximise outputs.</w:t>
      </w:r>
      <w:r w:rsidR="00FA4428">
        <w:rPr>
          <w:rFonts w:eastAsia="Arial" w:cs="Arial"/>
          <w:color w:val="000000" w:themeColor="text1"/>
          <w:sz w:val="22"/>
          <w:szCs w:val="22"/>
        </w:rPr>
        <w:t xml:space="preserve"> </w:t>
      </w:r>
      <w:r w:rsidR="00F20A87" w:rsidRPr="00D736BC">
        <w:rPr>
          <w:rFonts w:eastAsia="Arial" w:cs="Arial"/>
          <w:color w:val="000000" w:themeColor="text1"/>
          <w:sz w:val="22"/>
          <w:szCs w:val="22"/>
        </w:rPr>
        <w:t>The results for th</w:t>
      </w:r>
      <w:r w:rsidR="00FA4428">
        <w:rPr>
          <w:rFonts w:eastAsia="Arial" w:cs="Arial"/>
          <w:color w:val="000000" w:themeColor="text1"/>
          <w:sz w:val="22"/>
          <w:szCs w:val="22"/>
        </w:rPr>
        <w:t>is</w:t>
      </w:r>
      <w:r w:rsidR="00F20A87" w:rsidRPr="00D736BC">
        <w:rPr>
          <w:rFonts w:eastAsia="Arial" w:cs="Arial"/>
          <w:color w:val="000000" w:themeColor="text1"/>
          <w:sz w:val="22"/>
          <w:szCs w:val="22"/>
        </w:rPr>
        <w:t xml:space="preserve"> metric</w:t>
      </w:r>
      <w:r w:rsidR="00FA4428">
        <w:rPr>
          <w:rFonts w:eastAsia="Arial" w:cs="Arial"/>
          <w:color w:val="000000" w:themeColor="text1"/>
          <w:sz w:val="22"/>
          <w:szCs w:val="22"/>
        </w:rPr>
        <w:t xml:space="preserve"> </w:t>
      </w:r>
      <w:r w:rsidR="00F20A87" w:rsidRPr="00D736BC">
        <w:rPr>
          <w:rFonts w:eastAsia="Arial" w:cs="Arial"/>
          <w:color w:val="000000" w:themeColor="text1"/>
          <w:sz w:val="22"/>
          <w:szCs w:val="22"/>
        </w:rPr>
        <w:t xml:space="preserve">are </w:t>
      </w:r>
      <w:r w:rsidR="00CB581B">
        <w:rPr>
          <w:rFonts w:eastAsia="Arial" w:cs="Arial"/>
          <w:color w:val="000000" w:themeColor="text1"/>
          <w:sz w:val="22"/>
          <w:szCs w:val="22"/>
        </w:rPr>
        <w:t xml:space="preserve">not </w:t>
      </w:r>
      <w:proofErr w:type="gramStart"/>
      <w:r w:rsidR="00CB581B">
        <w:rPr>
          <w:rFonts w:eastAsia="Arial" w:cs="Arial"/>
          <w:color w:val="000000" w:themeColor="text1"/>
          <w:sz w:val="22"/>
          <w:szCs w:val="22"/>
        </w:rPr>
        <w:t>published, but</w:t>
      </w:r>
      <w:proofErr w:type="gramEnd"/>
      <w:r w:rsidR="00CB581B">
        <w:rPr>
          <w:rFonts w:eastAsia="Arial" w:cs="Arial"/>
          <w:color w:val="000000" w:themeColor="text1"/>
          <w:sz w:val="22"/>
          <w:szCs w:val="22"/>
        </w:rPr>
        <w:t xml:space="preserve"> demonstrate good </w:t>
      </w:r>
      <w:proofErr w:type="spellStart"/>
      <w:r w:rsidR="00791631">
        <w:rPr>
          <w:rFonts w:eastAsia="Arial" w:cs="Arial"/>
          <w:color w:val="000000" w:themeColor="text1"/>
          <w:sz w:val="22"/>
          <w:szCs w:val="22"/>
        </w:rPr>
        <w:t>VfM</w:t>
      </w:r>
      <w:proofErr w:type="spellEnd"/>
      <w:r w:rsidR="00CB581B">
        <w:rPr>
          <w:rFonts w:eastAsia="Arial" w:cs="Arial"/>
          <w:color w:val="000000" w:themeColor="text1"/>
          <w:sz w:val="22"/>
          <w:szCs w:val="22"/>
        </w:rPr>
        <w:t xml:space="preserve"> for leverage of private investment as a result of ICF support.</w:t>
      </w:r>
    </w:p>
    <w:p w14:paraId="4ACDFE5D" w14:textId="6002C74D" w:rsidR="00A43722" w:rsidRPr="00C2758A" w:rsidRDefault="00A43722" w:rsidP="00C2758A">
      <w:pPr>
        <w:spacing w:after="120"/>
        <w:jc w:val="both"/>
        <w:rPr>
          <w:rFonts w:eastAsia="Arial" w:cs="Arial"/>
          <w:sz w:val="22"/>
          <w:szCs w:val="22"/>
        </w:rPr>
      </w:pPr>
      <w:r w:rsidRPr="006B4633">
        <w:rPr>
          <w:rFonts w:eastAsia="Arial" w:cs="Arial"/>
          <w:color w:val="000000" w:themeColor="text1"/>
          <w:sz w:val="22"/>
          <w:szCs w:val="22"/>
        </w:rPr>
        <w:t>As of the end of 202</w:t>
      </w:r>
      <w:r>
        <w:rPr>
          <w:rFonts w:eastAsia="Arial" w:cs="Arial"/>
          <w:color w:val="000000" w:themeColor="text1"/>
          <w:sz w:val="22"/>
          <w:szCs w:val="22"/>
        </w:rPr>
        <w:t>2</w:t>
      </w:r>
      <w:r w:rsidRPr="006B4633">
        <w:rPr>
          <w:rFonts w:eastAsia="Arial" w:cs="Arial"/>
          <w:color w:val="000000" w:themeColor="text1"/>
          <w:sz w:val="22"/>
          <w:szCs w:val="22"/>
        </w:rPr>
        <w:t xml:space="preserve">, </w:t>
      </w:r>
      <w:r w:rsidRPr="00101714">
        <w:rPr>
          <w:rFonts w:eastAsia="Arial" w:cs="Arial"/>
          <w:sz w:val="22"/>
          <w:szCs w:val="22"/>
        </w:rPr>
        <w:t>3</w:t>
      </w:r>
      <w:r>
        <w:rPr>
          <w:rFonts w:eastAsia="Arial" w:cs="Arial"/>
          <w:sz w:val="22"/>
          <w:szCs w:val="22"/>
        </w:rPr>
        <w:t>6</w:t>
      </w:r>
      <w:r w:rsidRPr="006B4633">
        <w:rPr>
          <w:rFonts w:eastAsia="Arial" w:cs="Arial"/>
          <w:sz w:val="22"/>
          <w:szCs w:val="22"/>
        </w:rPr>
        <w:t xml:space="preserve"> partner FIs and one Corporate have received financing from the EBF. In addition to the commercial contribution to FIs, the EBF continues to support its investments through TA delivered </w:t>
      </w:r>
      <w:r w:rsidR="00066214">
        <w:rPr>
          <w:rFonts w:eastAsia="Arial" w:cs="Arial"/>
          <w:sz w:val="22"/>
          <w:szCs w:val="22"/>
        </w:rPr>
        <w:t>by</w:t>
      </w:r>
      <w:r w:rsidRPr="006B4633">
        <w:rPr>
          <w:rFonts w:eastAsia="Arial" w:cs="Arial"/>
          <w:sz w:val="22"/>
          <w:szCs w:val="22"/>
        </w:rPr>
        <w:t xml:space="preserve"> the DF. DF activities throughout 2021 are described in detail in the review. As part of the work of the DF, EBF provides capacity building to FI staff, enhancing awareness and expertise in delivering finance to environmentally sustainable businesses. To date,</w:t>
      </w:r>
      <w:r w:rsidR="00D614C0">
        <w:rPr>
          <w:rFonts w:eastAsia="Arial" w:cs="Arial"/>
          <w:sz w:val="22"/>
          <w:szCs w:val="22"/>
        </w:rPr>
        <w:t xml:space="preserve"> EBF </w:t>
      </w:r>
      <w:r w:rsidR="00EC5EF2">
        <w:rPr>
          <w:rFonts w:eastAsia="Arial" w:cs="Arial"/>
          <w:sz w:val="22"/>
          <w:szCs w:val="22"/>
        </w:rPr>
        <w:t>has supported 59 events, and</w:t>
      </w:r>
      <w:r w:rsidRPr="006B4633">
        <w:rPr>
          <w:rFonts w:eastAsia="Arial" w:cs="Arial"/>
          <w:sz w:val="22"/>
          <w:szCs w:val="22"/>
        </w:rPr>
        <w:t xml:space="preserve"> </w:t>
      </w:r>
      <w:r w:rsidRPr="00A31851">
        <w:rPr>
          <w:rFonts w:eastAsia="Arial" w:cs="Arial"/>
          <w:sz w:val="22"/>
          <w:szCs w:val="22"/>
        </w:rPr>
        <w:t>418,</w:t>
      </w:r>
      <w:r>
        <w:rPr>
          <w:rFonts w:eastAsia="Arial" w:cs="Arial"/>
          <w:sz w:val="22"/>
          <w:szCs w:val="22"/>
        </w:rPr>
        <w:t>000</w:t>
      </w:r>
      <w:r w:rsidRPr="006B4633">
        <w:rPr>
          <w:rFonts w:eastAsia="Arial" w:cs="Arial"/>
          <w:sz w:val="22"/>
          <w:szCs w:val="22"/>
        </w:rPr>
        <w:t xml:space="preserve"> individuals </w:t>
      </w:r>
      <w:r>
        <w:rPr>
          <w:rFonts w:eastAsia="Arial" w:cs="Arial"/>
          <w:sz w:val="22"/>
          <w:szCs w:val="22"/>
        </w:rPr>
        <w:t>have been</w:t>
      </w:r>
      <w:r w:rsidRPr="006B4633">
        <w:rPr>
          <w:rFonts w:eastAsia="Arial" w:cs="Arial"/>
          <w:sz w:val="22"/>
          <w:szCs w:val="22"/>
        </w:rPr>
        <w:t xml:space="preserve"> reached through events and other training activities co- or fully sponsored by the DF to promote sustainability in the region.</w:t>
      </w:r>
    </w:p>
    <w:p w14:paraId="3F826419" w14:textId="77777777" w:rsidR="00A43722" w:rsidRPr="00A54B18" w:rsidRDefault="00A43722" w:rsidP="005E557A">
      <w:pPr>
        <w:jc w:val="both"/>
        <w:rPr>
          <w:rFonts w:eastAsia="Arial" w:cs="Arial"/>
          <w:color w:val="000000" w:themeColor="text1"/>
          <w:sz w:val="22"/>
          <w:szCs w:val="22"/>
        </w:rPr>
      </w:pPr>
    </w:p>
    <w:p w14:paraId="1EEB7140" w14:textId="5C5AE2CD" w:rsidR="00F20A87" w:rsidRPr="00A54B18" w:rsidRDefault="00F20A87" w:rsidP="005E557A">
      <w:pPr>
        <w:spacing w:after="160"/>
        <w:jc w:val="both"/>
        <w:rPr>
          <w:rFonts w:eastAsia="Arial" w:cs="Arial"/>
          <w:color w:val="000000" w:themeColor="text1"/>
          <w:sz w:val="22"/>
          <w:szCs w:val="22"/>
        </w:rPr>
      </w:pPr>
      <w:r w:rsidRPr="00A54B18">
        <w:rPr>
          <w:rFonts w:eastAsia="Arial" w:cs="Arial"/>
          <w:b/>
          <w:bCs/>
          <w:color w:val="000000" w:themeColor="text1"/>
          <w:sz w:val="22"/>
          <w:szCs w:val="22"/>
        </w:rPr>
        <w:t>Effectiveness</w:t>
      </w:r>
      <w:r w:rsidRPr="00A54B18">
        <w:rPr>
          <w:rFonts w:eastAsia="Arial" w:cs="Arial"/>
          <w:color w:val="000000" w:themeColor="text1"/>
          <w:sz w:val="22"/>
          <w:szCs w:val="22"/>
        </w:rPr>
        <w:t>:</w:t>
      </w:r>
    </w:p>
    <w:p w14:paraId="4655E4FD" w14:textId="4D3B97F3" w:rsidR="00F20A87" w:rsidRDefault="00F20A87" w:rsidP="00B35B3B">
      <w:pPr>
        <w:jc w:val="both"/>
        <w:rPr>
          <w:rFonts w:eastAsia="Arial" w:cs="Arial"/>
          <w:color w:val="000000" w:themeColor="text1"/>
          <w:sz w:val="22"/>
          <w:szCs w:val="22"/>
        </w:rPr>
      </w:pPr>
      <w:r w:rsidRPr="006B4633">
        <w:rPr>
          <w:rFonts w:eastAsia="Arial" w:cs="Arial"/>
          <w:color w:val="000000" w:themeColor="text1"/>
          <w:sz w:val="22"/>
          <w:szCs w:val="22"/>
        </w:rPr>
        <w:t xml:space="preserve">As shown in </w:t>
      </w:r>
      <w:r w:rsidR="00FA4428">
        <w:rPr>
          <w:rFonts w:eastAsia="Arial" w:cs="Arial"/>
          <w:color w:val="000000" w:themeColor="text1"/>
          <w:sz w:val="22"/>
          <w:szCs w:val="22"/>
        </w:rPr>
        <w:t xml:space="preserve">the Outcome Indicator Results Table, the </w:t>
      </w:r>
      <w:r w:rsidR="005017BA">
        <w:rPr>
          <w:rFonts w:eastAsia="Arial" w:cs="Arial"/>
          <w:color w:val="000000" w:themeColor="text1"/>
          <w:sz w:val="22"/>
          <w:szCs w:val="22"/>
        </w:rPr>
        <w:t xml:space="preserve">EBF </w:t>
      </w:r>
      <w:r w:rsidR="00FA4428">
        <w:rPr>
          <w:rFonts w:eastAsia="Arial" w:cs="Arial"/>
          <w:color w:val="000000" w:themeColor="text1"/>
          <w:sz w:val="22"/>
          <w:szCs w:val="22"/>
        </w:rPr>
        <w:t>has delivered on all but one of the targeted outcome indicators in 2022. This demonstrates</w:t>
      </w:r>
      <w:r w:rsidR="00D732AF">
        <w:rPr>
          <w:rFonts w:eastAsia="Arial" w:cs="Arial"/>
          <w:color w:val="000000" w:themeColor="text1"/>
          <w:sz w:val="22"/>
          <w:szCs w:val="22"/>
        </w:rPr>
        <w:t xml:space="preserve"> that outputs are effectively having the intended wider impact and</w:t>
      </w:r>
      <w:r w:rsidR="00694EA8">
        <w:rPr>
          <w:rFonts w:eastAsia="Arial" w:cs="Arial"/>
          <w:color w:val="000000" w:themeColor="text1"/>
          <w:sz w:val="22"/>
          <w:szCs w:val="22"/>
        </w:rPr>
        <w:t xml:space="preserve"> delivery of the original objectives.</w:t>
      </w:r>
      <w:r w:rsidR="008D6782">
        <w:rPr>
          <w:rFonts w:eastAsia="Arial" w:cs="Arial"/>
          <w:color w:val="000000" w:themeColor="text1"/>
          <w:sz w:val="22"/>
          <w:szCs w:val="22"/>
        </w:rPr>
        <w:t xml:space="preserve"> Further detail, </w:t>
      </w:r>
      <w:proofErr w:type="gramStart"/>
      <w:r w:rsidR="008D6782">
        <w:rPr>
          <w:rFonts w:eastAsia="Arial" w:cs="Arial"/>
          <w:color w:val="000000" w:themeColor="text1"/>
          <w:sz w:val="22"/>
          <w:szCs w:val="22"/>
        </w:rPr>
        <w:t>analysis</w:t>
      </w:r>
      <w:proofErr w:type="gramEnd"/>
      <w:r w:rsidR="008D6782">
        <w:rPr>
          <w:rFonts w:eastAsia="Arial" w:cs="Arial"/>
          <w:color w:val="000000" w:themeColor="text1"/>
          <w:sz w:val="22"/>
          <w:szCs w:val="22"/>
        </w:rPr>
        <w:t xml:space="preserve"> and assessment o</w:t>
      </w:r>
      <w:r w:rsidR="0089359D">
        <w:rPr>
          <w:rFonts w:eastAsia="Arial" w:cs="Arial"/>
          <w:color w:val="000000" w:themeColor="text1"/>
          <w:sz w:val="22"/>
          <w:szCs w:val="22"/>
        </w:rPr>
        <w:t>f</w:t>
      </w:r>
      <w:r w:rsidR="008D6782">
        <w:rPr>
          <w:rFonts w:eastAsia="Arial" w:cs="Arial"/>
          <w:color w:val="000000" w:themeColor="text1"/>
          <w:sz w:val="22"/>
          <w:szCs w:val="22"/>
        </w:rPr>
        <w:t xml:space="preserve"> this is covered throughout the </w:t>
      </w:r>
      <w:r w:rsidR="00694EA8">
        <w:rPr>
          <w:rFonts w:eastAsia="Arial" w:cs="Arial"/>
          <w:color w:val="000000" w:themeColor="text1"/>
          <w:sz w:val="22"/>
          <w:szCs w:val="22"/>
        </w:rPr>
        <w:t>Outcome</w:t>
      </w:r>
      <w:r w:rsidR="008D6782">
        <w:rPr>
          <w:rFonts w:eastAsia="Arial" w:cs="Arial"/>
          <w:color w:val="000000" w:themeColor="text1"/>
          <w:sz w:val="22"/>
          <w:szCs w:val="22"/>
        </w:rPr>
        <w:t xml:space="preserve"> section</w:t>
      </w:r>
      <w:r w:rsidR="00694EA8">
        <w:rPr>
          <w:rFonts w:eastAsia="Arial" w:cs="Arial"/>
          <w:color w:val="000000" w:themeColor="text1"/>
          <w:sz w:val="22"/>
          <w:szCs w:val="22"/>
        </w:rPr>
        <w:t xml:space="preserve"> </w:t>
      </w:r>
      <w:r w:rsidR="008D6782">
        <w:rPr>
          <w:rFonts w:eastAsia="Arial" w:cs="Arial"/>
          <w:color w:val="000000" w:themeColor="text1"/>
          <w:sz w:val="22"/>
          <w:szCs w:val="22"/>
        </w:rPr>
        <w:t>of this AR</w:t>
      </w:r>
      <w:r w:rsidR="0089359D">
        <w:rPr>
          <w:rFonts w:eastAsia="Arial" w:cs="Arial"/>
          <w:color w:val="000000" w:themeColor="text1"/>
          <w:sz w:val="22"/>
          <w:szCs w:val="22"/>
        </w:rPr>
        <w:t>.</w:t>
      </w:r>
      <w:r w:rsidR="004460E9">
        <w:rPr>
          <w:rFonts w:eastAsia="Arial" w:cs="Arial"/>
          <w:color w:val="000000" w:themeColor="text1"/>
          <w:sz w:val="22"/>
          <w:szCs w:val="22"/>
        </w:rPr>
        <w:t xml:space="preserve"> Overall, this indicates the project is likely on track to deliver on or exceed the expected </w:t>
      </w:r>
      <w:proofErr w:type="spellStart"/>
      <w:r w:rsidR="00CD602C">
        <w:rPr>
          <w:rFonts w:eastAsia="Arial" w:cs="Arial"/>
          <w:color w:val="000000" w:themeColor="text1"/>
          <w:sz w:val="22"/>
          <w:szCs w:val="22"/>
        </w:rPr>
        <w:t>VfM</w:t>
      </w:r>
      <w:proofErr w:type="spellEnd"/>
      <w:r w:rsidR="004460E9">
        <w:rPr>
          <w:rFonts w:eastAsia="Arial" w:cs="Arial"/>
          <w:color w:val="000000" w:themeColor="text1"/>
          <w:sz w:val="22"/>
          <w:szCs w:val="22"/>
        </w:rPr>
        <w:t xml:space="preserve"> </w:t>
      </w:r>
      <w:r w:rsidR="001173B3">
        <w:rPr>
          <w:rFonts w:eastAsia="Arial" w:cs="Arial"/>
          <w:color w:val="000000" w:themeColor="text1"/>
          <w:sz w:val="22"/>
          <w:szCs w:val="22"/>
        </w:rPr>
        <w:t xml:space="preserve">forecast within the original business case. </w:t>
      </w:r>
    </w:p>
    <w:p w14:paraId="4334AF86" w14:textId="77777777" w:rsidR="00B35B3B" w:rsidRPr="00A54B18" w:rsidRDefault="00B35B3B" w:rsidP="00B35B3B">
      <w:pPr>
        <w:jc w:val="both"/>
        <w:rPr>
          <w:rFonts w:eastAsia="Arial" w:cs="Arial"/>
          <w:color w:val="000000" w:themeColor="text1"/>
          <w:sz w:val="22"/>
          <w:szCs w:val="22"/>
        </w:rPr>
      </w:pPr>
    </w:p>
    <w:p w14:paraId="5001A5A7" w14:textId="4D4C0F11" w:rsidR="00F20A87" w:rsidRPr="00A54B18" w:rsidRDefault="00F20A87" w:rsidP="005E557A">
      <w:pPr>
        <w:spacing w:after="160"/>
        <w:jc w:val="both"/>
        <w:rPr>
          <w:rFonts w:eastAsia="Arial" w:cs="Arial"/>
          <w:color w:val="000000" w:themeColor="text1"/>
          <w:sz w:val="22"/>
          <w:szCs w:val="22"/>
        </w:rPr>
      </w:pPr>
      <w:r w:rsidRPr="00A54B18">
        <w:rPr>
          <w:rFonts w:eastAsia="Arial" w:cs="Arial"/>
          <w:b/>
          <w:bCs/>
          <w:color w:val="000000" w:themeColor="text1"/>
          <w:sz w:val="22"/>
          <w:szCs w:val="22"/>
        </w:rPr>
        <w:t>Equity</w:t>
      </w:r>
      <w:r w:rsidRPr="00A54B18">
        <w:rPr>
          <w:rFonts w:eastAsia="Arial" w:cs="Arial"/>
          <w:color w:val="000000" w:themeColor="text1"/>
          <w:sz w:val="22"/>
          <w:szCs w:val="22"/>
        </w:rPr>
        <w:t>:</w:t>
      </w:r>
    </w:p>
    <w:p w14:paraId="15C7FFC8" w14:textId="1DEBECBC" w:rsidR="00F20A87" w:rsidRPr="006B4633" w:rsidRDefault="00F20A87" w:rsidP="005E557A">
      <w:pPr>
        <w:spacing w:after="160"/>
        <w:jc w:val="both"/>
        <w:rPr>
          <w:rFonts w:eastAsia="Arial" w:cs="Arial"/>
          <w:color w:val="000000" w:themeColor="text1"/>
          <w:sz w:val="22"/>
          <w:szCs w:val="22"/>
        </w:rPr>
      </w:pPr>
      <w:proofErr w:type="gramStart"/>
      <w:r w:rsidRPr="006B4633">
        <w:rPr>
          <w:rFonts w:eastAsia="Arial" w:cs="Arial"/>
          <w:color w:val="000000" w:themeColor="text1"/>
          <w:sz w:val="22"/>
          <w:szCs w:val="22"/>
        </w:rPr>
        <w:t>In order to</w:t>
      </w:r>
      <w:proofErr w:type="gramEnd"/>
      <w:r w:rsidRPr="006B4633">
        <w:rPr>
          <w:rFonts w:eastAsia="Arial" w:cs="Arial"/>
          <w:color w:val="000000" w:themeColor="text1"/>
          <w:sz w:val="22"/>
          <w:szCs w:val="22"/>
        </w:rPr>
        <w:t xml:space="preserve"> track the progress with respect to how well EBF is doing in terms of equity, </w:t>
      </w:r>
      <w:r w:rsidR="00C378F2">
        <w:rPr>
          <w:rFonts w:eastAsia="Arial" w:cs="Arial"/>
          <w:color w:val="000000" w:themeColor="text1"/>
          <w:sz w:val="22"/>
          <w:szCs w:val="22"/>
        </w:rPr>
        <w:t>the following</w:t>
      </w:r>
      <w:r w:rsidRPr="006B4633">
        <w:rPr>
          <w:rFonts w:eastAsia="Arial" w:cs="Arial"/>
          <w:color w:val="000000" w:themeColor="text1"/>
          <w:sz w:val="22"/>
          <w:szCs w:val="22"/>
        </w:rPr>
        <w:t xml:space="preserve"> </w:t>
      </w:r>
      <w:proofErr w:type="spellStart"/>
      <w:r w:rsidRPr="006B4633">
        <w:rPr>
          <w:rFonts w:eastAsia="Arial" w:cs="Arial"/>
          <w:color w:val="000000" w:themeColor="text1"/>
          <w:sz w:val="22"/>
          <w:szCs w:val="22"/>
        </w:rPr>
        <w:t>VfM</w:t>
      </w:r>
      <w:proofErr w:type="spellEnd"/>
      <w:r w:rsidRPr="006B4633">
        <w:rPr>
          <w:rFonts w:eastAsia="Arial" w:cs="Arial"/>
          <w:color w:val="000000" w:themeColor="text1"/>
          <w:sz w:val="22"/>
          <w:szCs w:val="22"/>
        </w:rPr>
        <w:t xml:space="preserve"> metric</w:t>
      </w:r>
      <w:r w:rsidR="00613381">
        <w:rPr>
          <w:rFonts w:eastAsia="Arial" w:cs="Arial"/>
          <w:color w:val="000000" w:themeColor="text1"/>
          <w:sz w:val="22"/>
          <w:szCs w:val="22"/>
        </w:rPr>
        <w:t xml:space="preserve">s </w:t>
      </w:r>
      <w:r w:rsidR="00C378F2">
        <w:rPr>
          <w:rFonts w:eastAsia="Arial" w:cs="Arial"/>
          <w:color w:val="000000" w:themeColor="text1"/>
          <w:sz w:val="22"/>
          <w:szCs w:val="22"/>
        </w:rPr>
        <w:t>will be used in this and future ARs</w:t>
      </w:r>
      <w:r w:rsidRPr="006B4633">
        <w:rPr>
          <w:rFonts w:eastAsia="Arial" w:cs="Arial"/>
          <w:color w:val="000000" w:themeColor="text1"/>
          <w:sz w:val="22"/>
          <w:szCs w:val="22"/>
        </w:rPr>
        <w:t>:</w:t>
      </w:r>
    </w:p>
    <w:p w14:paraId="7BEE3E2A" w14:textId="7281DD9D" w:rsidR="00F20A87" w:rsidRPr="006B4633" w:rsidRDefault="00F20A87" w:rsidP="009D0424">
      <w:pPr>
        <w:pStyle w:val="ListParagraph"/>
        <w:numPr>
          <w:ilvl w:val="0"/>
          <w:numId w:val="16"/>
        </w:numPr>
        <w:spacing w:after="0"/>
        <w:contextualSpacing w:val="0"/>
        <w:jc w:val="both"/>
        <w:rPr>
          <w:rFonts w:eastAsia="Arial" w:cs="Arial"/>
          <w:color w:val="000000" w:themeColor="text1"/>
          <w:sz w:val="22"/>
          <w:szCs w:val="22"/>
        </w:rPr>
      </w:pPr>
      <w:r w:rsidRPr="006B4633">
        <w:rPr>
          <w:rFonts w:eastAsia="Arial" w:cs="Arial"/>
          <w:color w:val="000000" w:themeColor="text1"/>
          <w:sz w:val="22"/>
          <w:szCs w:val="22"/>
        </w:rPr>
        <w:lastRenderedPageBreak/>
        <w:t>Gender ratio in core EBF team</w:t>
      </w:r>
    </w:p>
    <w:p w14:paraId="3DE0A426" w14:textId="598F6D29" w:rsidR="00613381" w:rsidRPr="006B4633" w:rsidRDefault="00613381" w:rsidP="005E557A">
      <w:pPr>
        <w:pStyle w:val="ListParagraph"/>
        <w:numPr>
          <w:ilvl w:val="0"/>
          <w:numId w:val="16"/>
        </w:numPr>
        <w:spacing w:after="160"/>
        <w:contextualSpacing w:val="0"/>
        <w:jc w:val="both"/>
        <w:rPr>
          <w:rFonts w:eastAsia="Arial" w:cs="Arial"/>
          <w:color w:val="000000" w:themeColor="text1"/>
          <w:sz w:val="22"/>
          <w:szCs w:val="22"/>
        </w:rPr>
      </w:pPr>
      <w:r>
        <w:rPr>
          <w:rFonts w:eastAsia="Arial" w:cs="Arial"/>
          <w:color w:val="000000" w:themeColor="text1"/>
          <w:sz w:val="22"/>
          <w:szCs w:val="22"/>
        </w:rPr>
        <w:t xml:space="preserve">Gender ratio employed in </w:t>
      </w:r>
      <w:proofErr w:type="gramStart"/>
      <w:r>
        <w:rPr>
          <w:rFonts w:eastAsia="Arial" w:cs="Arial"/>
          <w:color w:val="000000" w:themeColor="text1"/>
          <w:sz w:val="22"/>
          <w:szCs w:val="22"/>
        </w:rPr>
        <w:t>PIs</w:t>
      </w:r>
      <w:proofErr w:type="gramEnd"/>
    </w:p>
    <w:p w14:paraId="145E2B9F" w14:textId="6BC03AA3" w:rsidR="00F20A87" w:rsidRPr="00A54B18" w:rsidRDefault="00F20A87" w:rsidP="005E557A">
      <w:pPr>
        <w:spacing w:after="160"/>
        <w:jc w:val="both"/>
        <w:rPr>
          <w:rFonts w:eastAsia="Arial" w:cs="Arial"/>
          <w:color w:val="000000" w:themeColor="text1"/>
          <w:sz w:val="22"/>
          <w:szCs w:val="22"/>
        </w:rPr>
      </w:pPr>
      <w:r w:rsidRPr="006B4633">
        <w:rPr>
          <w:rFonts w:eastAsia="Arial" w:cs="Arial"/>
          <w:color w:val="000000" w:themeColor="text1"/>
          <w:sz w:val="22"/>
          <w:szCs w:val="22"/>
        </w:rPr>
        <w:t xml:space="preserve">The results for the </w:t>
      </w:r>
      <w:proofErr w:type="spellStart"/>
      <w:r w:rsidRPr="006B4633">
        <w:rPr>
          <w:rFonts w:eastAsia="Arial" w:cs="Arial"/>
          <w:color w:val="000000" w:themeColor="text1"/>
          <w:sz w:val="22"/>
          <w:szCs w:val="22"/>
        </w:rPr>
        <w:t>VfM</w:t>
      </w:r>
      <w:proofErr w:type="spellEnd"/>
      <w:r w:rsidRPr="006B4633">
        <w:rPr>
          <w:rFonts w:eastAsia="Arial" w:cs="Arial"/>
          <w:color w:val="000000" w:themeColor="text1"/>
          <w:sz w:val="22"/>
          <w:szCs w:val="22"/>
        </w:rPr>
        <w:t xml:space="preserve"> metric</w:t>
      </w:r>
      <w:r w:rsidR="00613381">
        <w:rPr>
          <w:rFonts w:eastAsia="Arial" w:cs="Arial"/>
          <w:color w:val="000000" w:themeColor="text1"/>
          <w:sz w:val="22"/>
          <w:szCs w:val="22"/>
        </w:rPr>
        <w:t>s</w:t>
      </w:r>
      <w:r w:rsidRPr="006B4633">
        <w:rPr>
          <w:rFonts w:eastAsia="Arial" w:cs="Arial"/>
          <w:color w:val="000000" w:themeColor="text1"/>
          <w:sz w:val="22"/>
          <w:szCs w:val="22"/>
        </w:rPr>
        <w:t xml:space="preserve"> for this </w:t>
      </w:r>
      <w:r w:rsidR="00E701E9">
        <w:rPr>
          <w:rFonts w:eastAsia="Arial" w:cs="Arial"/>
          <w:color w:val="000000" w:themeColor="text1"/>
          <w:sz w:val="22"/>
          <w:szCs w:val="22"/>
        </w:rPr>
        <w:t>AR</w:t>
      </w:r>
      <w:r w:rsidRPr="006B4633">
        <w:rPr>
          <w:rFonts w:eastAsia="Arial" w:cs="Arial"/>
          <w:color w:val="000000" w:themeColor="text1"/>
          <w:sz w:val="22"/>
          <w:szCs w:val="22"/>
        </w:rPr>
        <w:t xml:space="preserve"> are shown below in Table 5:</w:t>
      </w:r>
    </w:p>
    <w:p w14:paraId="3A2F0007" w14:textId="51BC53CB" w:rsidR="00F20A87" w:rsidRPr="00A54B18" w:rsidRDefault="00F20A87" w:rsidP="005E557A">
      <w:pPr>
        <w:spacing w:after="200"/>
        <w:jc w:val="both"/>
        <w:rPr>
          <w:rFonts w:eastAsia="Arial" w:cs="Arial"/>
          <w:i/>
          <w:iCs/>
          <w:color w:val="000000" w:themeColor="text1"/>
          <w:sz w:val="22"/>
          <w:szCs w:val="22"/>
        </w:rPr>
      </w:pPr>
      <w:r w:rsidRPr="00A54B18">
        <w:rPr>
          <w:rFonts w:eastAsia="Arial" w:cs="Arial"/>
          <w:color w:val="000000" w:themeColor="text1"/>
          <w:sz w:val="22"/>
          <w:szCs w:val="22"/>
          <w:u w:val="single"/>
        </w:rPr>
        <w:t xml:space="preserve">Table 5 - </w:t>
      </w:r>
      <w:proofErr w:type="spellStart"/>
      <w:r w:rsidRPr="00A54B18">
        <w:rPr>
          <w:rFonts w:eastAsia="Arial" w:cs="Arial"/>
          <w:color w:val="000000" w:themeColor="text1"/>
          <w:sz w:val="22"/>
          <w:szCs w:val="22"/>
          <w:u w:val="single"/>
        </w:rPr>
        <w:t>VfM</w:t>
      </w:r>
      <w:proofErr w:type="spellEnd"/>
      <w:r w:rsidRPr="00A54B18">
        <w:rPr>
          <w:rFonts w:eastAsia="Arial" w:cs="Arial"/>
          <w:color w:val="000000" w:themeColor="text1"/>
          <w:sz w:val="22"/>
          <w:szCs w:val="22"/>
          <w:u w:val="single"/>
        </w:rPr>
        <w:t xml:space="preserve"> Equity Metrics Results</w:t>
      </w:r>
    </w:p>
    <w:tbl>
      <w:tblPr>
        <w:tblStyle w:val="TableGrid"/>
        <w:tblW w:w="0" w:type="auto"/>
        <w:tblLayout w:type="fixed"/>
        <w:tblLook w:val="04A0" w:firstRow="1" w:lastRow="0" w:firstColumn="1" w:lastColumn="0" w:noHBand="0" w:noVBand="1"/>
      </w:tblPr>
      <w:tblGrid>
        <w:gridCol w:w="4500"/>
        <w:gridCol w:w="4500"/>
      </w:tblGrid>
      <w:tr w:rsidR="00F20A87" w:rsidRPr="00A54B18" w14:paraId="132692CE" w14:textId="77777777" w:rsidTr="00F20A87">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0E033F2" w14:textId="45C13F15" w:rsidR="00F20A87" w:rsidRPr="00A54B18" w:rsidRDefault="00F20A87" w:rsidP="005E557A">
            <w:pPr>
              <w:jc w:val="both"/>
              <w:rPr>
                <w:rFonts w:eastAsia="Arial" w:cs="Arial"/>
                <w:sz w:val="22"/>
                <w:szCs w:val="22"/>
              </w:rPr>
            </w:pPr>
            <w:proofErr w:type="spellStart"/>
            <w:r w:rsidRPr="00A54B18">
              <w:rPr>
                <w:rFonts w:eastAsia="Arial" w:cs="Arial"/>
                <w:i/>
                <w:iCs/>
                <w:sz w:val="22"/>
                <w:szCs w:val="22"/>
              </w:rPr>
              <w:t>VfM</w:t>
            </w:r>
            <w:proofErr w:type="spellEnd"/>
            <w:r w:rsidRPr="00A54B18">
              <w:rPr>
                <w:rFonts w:eastAsia="Arial" w:cs="Arial"/>
                <w:i/>
                <w:iCs/>
                <w:sz w:val="22"/>
                <w:szCs w:val="22"/>
              </w:rPr>
              <w:t xml:space="preserve"> Metric</w:t>
            </w:r>
          </w:p>
        </w:tc>
        <w:tc>
          <w:tcPr>
            <w:tcW w:w="4500" w:type="dxa"/>
            <w:tcBorders>
              <w:top w:val="single" w:sz="4" w:space="0" w:color="auto"/>
              <w:left w:val="single" w:sz="4" w:space="0" w:color="auto"/>
              <w:bottom w:val="single" w:sz="4" w:space="0" w:color="auto"/>
              <w:right w:val="single" w:sz="4" w:space="0" w:color="auto"/>
            </w:tcBorders>
            <w:hideMark/>
          </w:tcPr>
          <w:p w14:paraId="27930019" w14:textId="11A65765" w:rsidR="00F20A87" w:rsidRPr="00A54B18" w:rsidRDefault="00F20A87" w:rsidP="005E557A">
            <w:pPr>
              <w:jc w:val="both"/>
              <w:rPr>
                <w:rFonts w:eastAsia="Arial" w:cs="Arial"/>
                <w:sz w:val="22"/>
                <w:szCs w:val="22"/>
              </w:rPr>
            </w:pPr>
            <w:r w:rsidRPr="00A54B18">
              <w:rPr>
                <w:rFonts w:eastAsia="Arial" w:cs="Arial"/>
                <w:i/>
                <w:iCs/>
                <w:sz w:val="22"/>
                <w:szCs w:val="22"/>
              </w:rPr>
              <w:t xml:space="preserve">Result </w:t>
            </w:r>
          </w:p>
        </w:tc>
      </w:tr>
      <w:tr w:rsidR="00F20A87" w:rsidRPr="00A54B18" w14:paraId="203D9088" w14:textId="77777777" w:rsidTr="00F20A87">
        <w:trPr>
          <w:trHeight w:val="480"/>
        </w:trPr>
        <w:tc>
          <w:tcPr>
            <w:tcW w:w="45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0ACFDF3" w14:textId="4BCF67D3" w:rsidR="00F20A87" w:rsidRPr="00A54B18" w:rsidRDefault="00E116DA" w:rsidP="005E557A">
            <w:pPr>
              <w:jc w:val="both"/>
              <w:rPr>
                <w:rFonts w:eastAsia="Arial" w:cs="Arial"/>
                <w:sz w:val="22"/>
                <w:szCs w:val="22"/>
              </w:rPr>
            </w:pPr>
            <w:r>
              <w:rPr>
                <w:rFonts w:eastAsia="Arial" w:cs="Arial"/>
                <w:sz w:val="22"/>
                <w:szCs w:val="22"/>
              </w:rPr>
              <w:t>Percentage of women</w:t>
            </w:r>
            <w:r w:rsidR="00F20A87" w:rsidRPr="00A54B18">
              <w:rPr>
                <w:rFonts w:eastAsia="Arial" w:cs="Arial"/>
                <w:sz w:val="22"/>
                <w:szCs w:val="22"/>
              </w:rPr>
              <w:t xml:space="preserve"> in core EBF team</w:t>
            </w:r>
          </w:p>
        </w:tc>
        <w:tc>
          <w:tcPr>
            <w:tcW w:w="4500" w:type="dxa"/>
            <w:tcBorders>
              <w:top w:val="single" w:sz="4" w:space="0" w:color="auto"/>
              <w:left w:val="single" w:sz="4" w:space="0" w:color="auto"/>
              <w:bottom w:val="single" w:sz="4" w:space="0" w:color="auto"/>
              <w:right w:val="single" w:sz="4" w:space="0" w:color="auto"/>
            </w:tcBorders>
            <w:hideMark/>
          </w:tcPr>
          <w:p w14:paraId="23732380" w14:textId="7DAFD5A2" w:rsidR="00F20A87" w:rsidRPr="00E116DA" w:rsidRDefault="00F20A87" w:rsidP="005E557A">
            <w:pPr>
              <w:rPr>
                <w:rFonts w:eastAsia="Arial" w:cs="Arial"/>
                <w:sz w:val="22"/>
                <w:szCs w:val="22"/>
              </w:rPr>
            </w:pPr>
            <w:r w:rsidRPr="00E116DA">
              <w:rPr>
                <w:rFonts w:eastAsia="Arial" w:cs="Arial"/>
                <w:sz w:val="22"/>
                <w:szCs w:val="22"/>
              </w:rPr>
              <w:t>54%</w:t>
            </w:r>
          </w:p>
        </w:tc>
      </w:tr>
      <w:tr w:rsidR="00E116DA" w:rsidRPr="00A54B18" w14:paraId="55384B42" w14:textId="77777777" w:rsidTr="00F20A87">
        <w:trPr>
          <w:trHeight w:val="480"/>
        </w:trPr>
        <w:tc>
          <w:tcPr>
            <w:tcW w:w="45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953D2BF" w14:textId="29EA3D3E" w:rsidR="00E116DA" w:rsidRPr="00A54B18" w:rsidRDefault="00E116DA" w:rsidP="005E557A">
            <w:pPr>
              <w:jc w:val="both"/>
              <w:rPr>
                <w:rFonts w:eastAsia="Arial" w:cs="Arial"/>
                <w:sz w:val="22"/>
                <w:szCs w:val="22"/>
              </w:rPr>
            </w:pPr>
            <w:r>
              <w:rPr>
                <w:rFonts w:eastAsia="Arial" w:cs="Arial"/>
                <w:sz w:val="22"/>
                <w:szCs w:val="22"/>
              </w:rPr>
              <w:t>Percentage of women employed by PIs</w:t>
            </w:r>
          </w:p>
        </w:tc>
        <w:tc>
          <w:tcPr>
            <w:tcW w:w="4500" w:type="dxa"/>
            <w:tcBorders>
              <w:top w:val="single" w:sz="4" w:space="0" w:color="auto"/>
              <w:left w:val="single" w:sz="4" w:space="0" w:color="auto"/>
              <w:bottom w:val="single" w:sz="4" w:space="0" w:color="auto"/>
              <w:right w:val="single" w:sz="4" w:space="0" w:color="auto"/>
            </w:tcBorders>
          </w:tcPr>
          <w:p w14:paraId="6620F738" w14:textId="30C166B0" w:rsidR="00E116DA" w:rsidRPr="00E116DA" w:rsidRDefault="00E116DA" w:rsidP="005E557A">
            <w:pPr>
              <w:rPr>
                <w:rFonts w:eastAsia="Arial" w:cs="Arial"/>
                <w:sz w:val="22"/>
                <w:szCs w:val="22"/>
              </w:rPr>
            </w:pPr>
            <w:r w:rsidRPr="00E116DA">
              <w:rPr>
                <w:rFonts w:eastAsia="Arial" w:cs="Arial"/>
                <w:sz w:val="22"/>
                <w:szCs w:val="22"/>
              </w:rPr>
              <w:t>Overall:</w:t>
            </w:r>
            <w:r w:rsidR="00580A25">
              <w:rPr>
                <w:rFonts w:eastAsia="Arial" w:cs="Arial"/>
                <w:sz w:val="22"/>
                <w:szCs w:val="22"/>
              </w:rPr>
              <w:t xml:space="preserve"> 56%</w:t>
            </w:r>
          </w:p>
          <w:p w14:paraId="3C3D2984" w14:textId="0CE4DE95" w:rsidR="00E116DA" w:rsidRPr="00E116DA" w:rsidRDefault="00E116DA" w:rsidP="005E557A">
            <w:pPr>
              <w:rPr>
                <w:rFonts w:eastAsia="Arial" w:cs="Arial"/>
                <w:sz w:val="22"/>
                <w:szCs w:val="22"/>
              </w:rPr>
            </w:pPr>
            <w:r w:rsidRPr="00E116DA">
              <w:rPr>
                <w:rFonts w:eastAsia="Arial" w:cs="Arial"/>
                <w:sz w:val="22"/>
                <w:szCs w:val="22"/>
              </w:rPr>
              <w:t>Management:</w:t>
            </w:r>
            <w:r w:rsidR="00580A25">
              <w:rPr>
                <w:rFonts w:eastAsia="Arial" w:cs="Arial"/>
                <w:sz w:val="22"/>
                <w:szCs w:val="22"/>
              </w:rPr>
              <w:t xml:space="preserve"> 39%</w:t>
            </w:r>
          </w:p>
          <w:p w14:paraId="7FC8CB9D" w14:textId="4F5B19B6" w:rsidR="00E116DA" w:rsidRPr="00E116DA" w:rsidRDefault="00E116DA" w:rsidP="005E557A">
            <w:pPr>
              <w:rPr>
                <w:rFonts w:eastAsia="Arial" w:cs="Arial"/>
                <w:sz w:val="22"/>
                <w:szCs w:val="22"/>
              </w:rPr>
            </w:pPr>
            <w:r w:rsidRPr="00E116DA">
              <w:rPr>
                <w:rFonts w:eastAsia="Arial" w:cs="Arial"/>
                <w:sz w:val="22"/>
                <w:szCs w:val="22"/>
              </w:rPr>
              <w:t>Board:</w:t>
            </w:r>
            <w:r w:rsidR="00580A25">
              <w:rPr>
                <w:rFonts w:eastAsia="Arial" w:cs="Arial"/>
                <w:sz w:val="22"/>
                <w:szCs w:val="22"/>
              </w:rPr>
              <w:t xml:space="preserve"> 18%</w:t>
            </w:r>
          </w:p>
        </w:tc>
      </w:tr>
    </w:tbl>
    <w:p w14:paraId="3A5A0DAE" w14:textId="1032E5B2" w:rsidR="00F20A87" w:rsidRPr="002A1FC0" w:rsidRDefault="002A1FC0" w:rsidP="005E557A">
      <w:pPr>
        <w:spacing w:before="120"/>
        <w:jc w:val="both"/>
        <w:rPr>
          <w:rFonts w:eastAsia="Arial" w:cs="Arial"/>
          <w:i/>
          <w:iCs/>
          <w:color w:val="000000" w:themeColor="text1"/>
          <w:sz w:val="22"/>
          <w:szCs w:val="22"/>
        </w:rPr>
      </w:pPr>
      <w:r>
        <w:rPr>
          <w:rFonts w:eastAsia="Arial" w:cs="Arial"/>
          <w:color w:val="000000" w:themeColor="text1"/>
          <w:sz w:val="22"/>
          <w:szCs w:val="22"/>
        </w:rPr>
        <w:t xml:space="preserve">The </w:t>
      </w:r>
      <w:r w:rsidR="00F20A87" w:rsidRPr="006B4633">
        <w:rPr>
          <w:rFonts w:eastAsia="Arial" w:cs="Arial"/>
          <w:color w:val="000000" w:themeColor="text1"/>
          <w:sz w:val="22"/>
          <w:szCs w:val="22"/>
        </w:rPr>
        <w:t>DF</w:t>
      </w:r>
      <w:r>
        <w:rPr>
          <w:rFonts w:eastAsia="Arial" w:cs="Arial"/>
          <w:color w:val="000000" w:themeColor="text1"/>
          <w:sz w:val="22"/>
          <w:szCs w:val="22"/>
        </w:rPr>
        <w:t xml:space="preserve"> </w:t>
      </w:r>
      <w:r w:rsidR="00924051">
        <w:rPr>
          <w:rFonts w:eastAsia="Arial" w:cs="Arial"/>
          <w:color w:val="000000" w:themeColor="text1"/>
          <w:sz w:val="22"/>
          <w:szCs w:val="22"/>
        </w:rPr>
        <w:t xml:space="preserve">regularly </w:t>
      </w:r>
      <w:r>
        <w:rPr>
          <w:rFonts w:eastAsia="Arial" w:cs="Arial"/>
          <w:color w:val="000000" w:themeColor="text1"/>
          <w:sz w:val="22"/>
          <w:szCs w:val="22"/>
        </w:rPr>
        <w:t>support</w:t>
      </w:r>
      <w:r w:rsidR="00924051">
        <w:rPr>
          <w:rFonts w:eastAsia="Arial" w:cs="Arial"/>
          <w:color w:val="000000" w:themeColor="text1"/>
          <w:sz w:val="22"/>
          <w:szCs w:val="22"/>
        </w:rPr>
        <w:t xml:space="preserve">s PIs with implementing </w:t>
      </w:r>
      <w:r w:rsidRPr="00314F6F">
        <w:rPr>
          <w:rFonts w:eastAsia="Arial" w:cs="Arial"/>
          <w:color w:val="000000" w:themeColor="text1"/>
          <w:sz w:val="22"/>
          <w:szCs w:val="22"/>
        </w:rPr>
        <w:t>ESMS or PRB that improve gender equity</w:t>
      </w:r>
      <w:r w:rsidRPr="00314F6F">
        <w:rPr>
          <w:rFonts w:eastAsia="Arial" w:cs="Arial"/>
          <w:i/>
          <w:iCs/>
          <w:color w:val="000000" w:themeColor="text1"/>
          <w:sz w:val="22"/>
          <w:szCs w:val="22"/>
        </w:rPr>
        <w:t>.</w:t>
      </w:r>
      <w:r w:rsidR="00924051" w:rsidRPr="00314F6F">
        <w:rPr>
          <w:rFonts w:eastAsia="Arial" w:cs="Arial"/>
          <w:i/>
          <w:iCs/>
          <w:color w:val="000000" w:themeColor="text1"/>
          <w:sz w:val="22"/>
          <w:szCs w:val="22"/>
        </w:rPr>
        <w:t xml:space="preserve"> </w:t>
      </w:r>
      <w:r w:rsidR="00924051" w:rsidRPr="00314F6F">
        <w:rPr>
          <w:rFonts w:eastAsia="Arial" w:cs="Arial"/>
          <w:color w:val="000000" w:themeColor="text1"/>
          <w:sz w:val="22"/>
          <w:szCs w:val="22"/>
        </w:rPr>
        <w:t xml:space="preserve">For example, in 2022, </w:t>
      </w:r>
      <w:r w:rsidR="007F7A3C" w:rsidRPr="00314F6F">
        <w:rPr>
          <w:rFonts w:eastAsia="Arial" w:cs="Arial"/>
          <w:color w:val="000000" w:themeColor="text1"/>
          <w:sz w:val="22"/>
          <w:szCs w:val="22"/>
        </w:rPr>
        <w:t>they supported</w:t>
      </w:r>
      <w:r w:rsidR="007F7A3C" w:rsidRPr="00314F6F">
        <w:rPr>
          <w:lang w:val="en-US"/>
        </w:rPr>
        <w:t xml:space="preserve"> </w:t>
      </w:r>
      <w:r w:rsidR="00FE1673">
        <w:rPr>
          <w:rFonts w:eastAsia="Arial" w:cs="Arial"/>
          <w:color w:val="000000" w:themeColor="text1"/>
          <w:sz w:val="22"/>
          <w:szCs w:val="22"/>
          <w:lang w:val="en-US"/>
        </w:rPr>
        <w:t>a bank in</w:t>
      </w:r>
      <w:r w:rsidR="007F7A3C" w:rsidRPr="00314F6F">
        <w:rPr>
          <w:rFonts w:eastAsia="Arial" w:cs="Arial"/>
          <w:color w:val="000000" w:themeColor="text1"/>
          <w:sz w:val="22"/>
          <w:szCs w:val="22"/>
          <w:lang w:val="en-US"/>
        </w:rPr>
        <w:t xml:space="preserve"> Guatemala</w:t>
      </w:r>
      <w:r w:rsidR="00632DAA">
        <w:rPr>
          <w:rFonts w:eastAsia="Arial" w:cs="Arial"/>
          <w:color w:val="000000" w:themeColor="text1"/>
          <w:sz w:val="22"/>
          <w:szCs w:val="22"/>
          <w:lang w:val="en-US"/>
        </w:rPr>
        <w:t xml:space="preserve"> to align </w:t>
      </w:r>
      <w:r w:rsidR="007F7A3C" w:rsidRPr="007F7A3C">
        <w:rPr>
          <w:rFonts w:eastAsia="Arial" w:cs="Arial"/>
          <w:color w:val="000000" w:themeColor="text1"/>
          <w:sz w:val="22"/>
          <w:szCs w:val="22"/>
          <w:lang w:val="en-US"/>
        </w:rPr>
        <w:t>their strategy with the PRB</w:t>
      </w:r>
      <w:r w:rsidR="00EB7E8D">
        <w:rPr>
          <w:rFonts w:eastAsia="Arial" w:cs="Arial"/>
          <w:color w:val="000000" w:themeColor="text1"/>
          <w:sz w:val="22"/>
          <w:szCs w:val="22"/>
          <w:lang w:val="en-US"/>
        </w:rPr>
        <w:t xml:space="preserve">, leading to a </w:t>
      </w:r>
      <w:r w:rsidR="007F7A3C" w:rsidRPr="007F7A3C">
        <w:rPr>
          <w:rFonts w:eastAsia="Arial" w:cs="Arial"/>
          <w:color w:val="000000" w:themeColor="text1"/>
          <w:sz w:val="22"/>
          <w:szCs w:val="22"/>
          <w:lang w:val="en-US"/>
        </w:rPr>
        <w:t xml:space="preserve">final action plan </w:t>
      </w:r>
      <w:r w:rsidR="00EB7E8D">
        <w:rPr>
          <w:rFonts w:eastAsia="Arial" w:cs="Arial"/>
          <w:color w:val="000000" w:themeColor="text1"/>
          <w:sz w:val="22"/>
          <w:szCs w:val="22"/>
          <w:lang w:val="en-US"/>
        </w:rPr>
        <w:t xml:space="preserve">that </w:t>
      </w:r>
      <w:r w:rsidR="007F7A3C" w:rsidRPr="007F7A3C">
        <w:rPr>
          <w:rFonts w:eastAsia="Arial" w:cs="Arial"/>
          <w:color w:val="000000" w:themeColor="text1"/>
          <w:sz w:val="22"/>
          <w:szCs w:val="22"/>
          <w:lang w:val="en-US"/>
        </w:rPr>
        <w:t>included components related to gender.</w:t>
      </w:r>
    </w:p>
    <w:p w14:paraId="2BD8270E" w14:textId="77777777" w:rsidR="00363234" w:rsidRPr="006B4633" w:rsidRDefault="00363234" w:rsidP="005E557A">
      <w:pPr>
        <w:jc w:val="both"/>
        <w:rPr>
          <w:rFonts w:eastAsia="Arial" w:cs="Arial"/>
          <w:color w:val="000000" w:themeColor="text1"/>
          <w:sz w:val="22"/>
          <w:szCs w:val="22"/>
        </w:rPr>
      </w:pPr>
    </w:p>
    <w:p w14:paraId="372AA0DC" w14:textId="71923931" w:rsidR="00E1628D" w:rsidRDefault="602AAC08" w:rsidP="00A43722">
      <w:pPr>
        <w:jc w:val="both"/>
        <w:rPr>
          <w:rFonts w:eastAsia="Arial" w:cs="Arial"/>
          <w:color w:val="000000" w:themeColor="text1"/>
          <w:sz w:val="22"/>
          <w:szCs w:val="22"/>
        </w:rPr>
      </w:pPr>
      <w:r w:rsidRPr="006B4633">
        <w:rPr>
          <w:rFonts w:eastAsia="Arial" w:cs="Arial"/>
          <w:color w:val="000000" w:themeColor="text1"/>
          <w:sz w:val="22"/>
          <w:szCs w:val="22"/>
        </w:rPr>
        <w:t xml:space="preserve">In addition to the </w:t>
      </w:r>
      <w:r w:rsidR="00E116DA">
        <w:rPr>
          <w:rFonts w:eastAsia="Arial" w:cs="Arial"/>
          <w:color w:val="000000" w:themeColor="text1"/>
          <w:sz w:val="22"/>
          <w:szCs w:val="22"/>
        </w:rPr>
        <w:t>previous</w:t>
      </w:r>
      <w:r w:rsidRPr="006B4633">
        <w:rPr>
          <w:rFonts w:eastAsia="Arial" w:cs="Arial"/>
          <w:color w:val="000000" w:themeColor="text1"/>
          <w:sz w:val="22"/>
          <w:szCs w:val="22"/>
        </w:rPr>
        <w:t xml:space="preserve"> metric for equity</w:t>
      </w:r>
      <w:r w:rsidR="00D431D9">
        <w:rPr>
          <w:rFonts w:eastAsia="Arial" w:cs="Arial"/>
          <w:color w:val="000000" w:themeColor="text1"/>
          <w:sz w:val="22"/>
          <w:szCs w:val="22"/>
        </w:rPr>
        <w:t>,</w:t>
      </w:r>
      <w:r w:rsidRPr="006B4633">
        <w:rPr>
          <w:rFonts w:eastAsia="Arial" w:cs="Arial"/>
          <w:color w:val="000000" w:themeColor="text1"/>
          <w:sz w:val="22"/>
          <w:szCs w:val="22"/>
        </w:rPr>
        <w:t xml:space="preserve"> ‘Gender ratio in core EBF team’</w:t>
      </w:r>
      <w:r w:rsidR="00D431D9">
        <w:rPr>
          <w:rFonts w:eastAsia="Arial" w:cs="Arial"/>
          <w:color w:val="000000" w:themeColor="text1"/>
          <w:sz w:val="22"/>
          <w:szCs w:val="22"/>
        </w:rPr>
        <w:t>,</w:t>
      </w:r>
      <w:r w:rsidRPr="006B4633">
        <w:rPr>
          <w:rFonts w:eastAsia="Arial" w:cs="Arial"/>
          <w:color w:val="000000" w:themeColor="text1"/>
          <w:sz w:val="22"/>
          <w:szCs w:val="22"/>
        </w:rPr>
        <w:t xml:space="preserve"> </w:t>
      </w:r>
      <w:r w:rsidR="00E116DA">
        <w:rPr>
          <w:rFonts w:eastAsia="Arial" w:cs="Arial"/>
          <w:color w:val="000000" w:themeColor="text1"/>
          <w:sz w:val="22"/>
          <w:szCs w:val="22"/>
        </w:rPr>
        <w:t>EBF is now able</w:t>
      </w:r>
      <w:r w:rsidR="00793AC4" w:rsidRPr="006B4633">
        <w:rPr>
          <w:rFonts w:eastAsia="Arial" w:cs="Arial"/>
          <w:color w:val="000000" w:themeColor="text1"/>
          <w:sz w:val="22"/>
          <w:szCs w:val="22"/>
        </w:rPr>
        <w:t xml:space="preserve"> to report on more aspects of </w:t>
      </w:r>
      <w:proofErr w:type="gramStart"/>
      <w:r w:rsidR="00793AC4" w:rsidRPr="006B4633">
        <w:rPr>
          <w:rFonts w:eastAsia="Arial" w:cs="Arial"/>
          <w:color w:val="000000" w:themeColor="text1"/>
          <w:sz w:val="22"/>
          <w:szCs w:val="22"/>
        </w:rPr>
        <w:t>gender;</w:t>
      </w:r>
      <w:proofErr w:type="gramEnd"/>
      <w:r w:rsidR="00793AC4" w:rsidRPr="006B4633">
        <w:rPr>
          <w:rFonts w:eastAsia="Arial" w:cs="Arial"/>
          <w:color w:val="000000" w:themeColor="text1"/>
          <w:sz w:val="22"/>
          <w:szCs w:val="22"/>
        </w:rPr>
        <w:t xml:space="preserve"> </w:t>
      </w:r>
      <w:r w:rsidR="00E116DA">
        <w:rPr>
          <w:rFonts w:eastAsia="Arial" w:cs="Arial"/>
          <w:color w:val="000000" w:themeColor="text1"/>
          <w:sz w:val="22"/>
          <w:szCs w:val="22"/>
        </w:rPr>
        <w:t xml:space="preserve">including gender balance at overall, management and Board level </w:t>
      </w:r>
      <w:r w:rsidR="000B51FE">
        <w:rPr>
          <w:rFonts w:eastAsia="Arial" w:cs="Arial"/>
          <w:color w:val="000000" w:themeColor="text1"/>
          <w:sz w:val="22"/>
          <w:szCs w:val="22"/>
        </w:rPr>
        <w:t>across</w:t>
      </w:r>
      <w:r w:rsidR="00E116DA">
        <w:rPr>
          <w:rFonts w:eastAsia="Arial" w:cs="Arial"/>
          <w:color w:val="000000" w:themeColor="text1"/>
          <w:sz w:val="22"/>
          <w:szCs w:val="22"/>
        </w:rPr>
        <w:t xml:space="preserve"> </w:t>
      </w:r>
      <w:r w:rsidR="001B5799">
        <w:rPr>
          <w:rFonts w:eastAsia="Arial" w:cs="Arial"/>
          <w:color w:val="000000" w:themeColor="text1"/>
          <w:sz w:val="22"/>
          <w:szCs w:val="22"/>
        </w:rPr>
        <w:t xml:space="preserve">PIs representing </w:t>
      </w:r>
      <w:r w:rsidR="000B51FE">
        <w:rPr>
          <w:rFonts w:eastAsia="Arial" w:cs="Arial"/>
          <w:color w:val="000000" w:themeColor="text1"/>
          <w:sz w:val="22"/>
          <w:szCs w:val="22"/>
        </w:rPr>
        <w:t>60% of the portfolio</w:t>
      </w:r>
      <w:r w:rsidR="00E116DA">
        <w:rPr>
          <w:rFonts w:eastAsia="Arial" w:cs="Arial"/>
          <w:color w:val="000000" w:themeColor="text1"/>
          <w:sz w:val="22"/>
          <w:szCs w:val="22"/>
        </w:rPr>
        <w:t xml:space="preserve">. EBF is also working towards reporting on </w:t>
      </w:r>
      <w:r w:rsidR="00024BE3">
        <w:rPr>
          <w:rFonts w:eastAsia="Arial" w:cs="Arial"/>
          <w:color w:val="000000" w:themeColor="text1"/>
          <w:sz w:val="22"/>
          <w:szCs w:val="22"/>
        </w:rPr>
        <w:t xml:space="preserve">the gender ratio of </w:t>
      </w:r>
      <w:r w:rsidR="00E116DA">
        <w:rPr>
          <w:rFonts w:eastAsia="Arial" w:cs="Arial"/>
          <w:color w:val="000000" w:themeColor="text1"/>
          <w:sz w:val="22"/>
          <w:szCs w:val="22"/>
        </w:rPr>
        <w:t xml:space="preserve">sub-borrowers, </w:t>
      </w:r>
      <w:r w:rsidR="00722F84">
        <w:rPr>
          <w:rFonts w:eastAsia="Arial" w:cs="Arial"/>
          <w:color w:val="000000" w:themeColor="text1"/>
          <w:sz w:val="22"/>
          <w:szCs w:val="22"/>
        </w:rPr>
        <w:t>though this</w:t>
      </w:r>
      <w:r w:rsidR="00733C07">
        <w:rPr>
          <w:rFonts w:eastAsia="Arial" w:cs="Arial"/>
          <w:color w:val="000000" w:themeColor="text1"/>
          <w:sz w:val="22"/>
          <w:szCs w:val="22"/>
        </w:rPr>
        <w:t xml:space="preserve"> will take time to implement in the regular reporting</w:t>
      </w:r>
      <w:r w:rsidR="00733C07" w:rsidRPr="006B4633">
        <w:rPr>
          <w:rFonts w:eastAsia="Arial" w:cs="Arial"/>
          <w:color w:val="000000" w:themeColor="text1"/>
          <w:sz w:val="22"/>
          <w:szCs w:val="22"/>
        </w:rPr>
        <w:t>.</w:t>
      </w:r>
      <w:r w:rsidR="00733C07">
        <w:rPr>
          <w:rFonts w:eastAsia="Arial" w:cs="Arial"/>
          <w:color w:val="000000" w:themeColor="text1"/>
          <w:sz w:val="22"/>
          <w:szCs w:val="22"/>
        </w:rPr>
        <w:t xml:space="preserve"> </w:t>
      </w:r>
      <w:r w:rsidR="00490CD2">
        <w:rPr>
          <w:rFonts w:eastAsia="Arial" w:cs="Arial"/>
          <w:color w:val="000000" w:themeColor="text1"/>
          <w:sz w:val="22"/>
          <w:szCs w:val="22"/>
        </w:rPr>
        <w:t>I</w:t>
      </w:r>
      <w:r w:rsidR="00733C07">
        <w:rPr>
          <w:rFonts w:eastAsia="Arial" w:cs="Arial"/>
          <w:color w:val="000000" w:themeColor="text1"/>
          <w:sz w:val="22"/>
          <w:szCs w:val="22"/>
        </w:rPr>
        <w:t xml:space="preserve">n 2022, the EBF Board of Directors approved the </w:t>
      </w:r>
      <w:r w:rsidR="00F34877">
        <w:rPr>
          <w:rFonts w:eastAsia="Arial" w:cs="Arial"/>
          <w:color w:val="000000" w:themeColor="text1"/>
          <w:sz w:val="22"/>
          <w:szCs w:val="22"/>
        </w:rPr>
        <w:t>F</w:t>
      </w:r>
      <w:r w:rsidR="00733C07">
        <w:rPr>
          <w:rFonts w:eastAsia="Arial" w:cs="Arial"/>
          <w:color w:val="000000" w:themeColor="text1"/>
          <w:sz w:val="22"/>
          <w:szCs w:val="22"/>
        </w:rPr>
        <w:t xml:space="preserve">und’s </w:t>
      </w:r>
      <w:r w:rsidR="00983586">
        <w:rPr>
          <w:rFonts w:eastAsia="Arial" w:cs="Arial"/>
          <w:color w:val="000000" w:themeColor="text1"/>
          <w:sz w:val="22"/>
          <w:szCs w:val="22"/>
        </w:rPr>
        <w:t>G</w:t>
      </w:r>
      <w:r w:rsidR="00733C07">
        <w:rPr>
          <w:rFonts w:eastAsia="Arial" w:cs="Arial"/>
          <w:color w:val="000000" w:themeColor="text1"/>
          <w:sz w:val="22"/>
          <w:szCs w:val="22"/>
        </w:rPr>
        <w:t xml:space="preserve">ender </w:t>
      </w:r>
      <w:r w:rsidR="00983586">
        <w:rPr>
          <w:rFonts w:eastAsia="Arial" w:cs="Arial"/>
          <w:color w:val="000000" w:themeColor="text1"/>
          <w:sz w:val="22"/>
          <w:szCs w:val="22"/>
        </w:rPr>
        <w:t>S</w:t>
      </w:r>
      <w:r w:rsidR="00733C07">
        <w:rPr>
          <w:rFonts w:eastAsia="Arial" w:cs="Arial"/>
          <w:color w:val="000000" w:themeColor="text1"/>
          <w:sz w:val="22"/>
          <w:szCs w:val="22"/>
        </w:rPr>
        <w:t>trategy</w:t>
      </w:r>
      <w:r w:rsidR="00EE6DB8">
        <w:rPr>
          <w:rFonts w:eastAsia="Arial" w:cs="Arial"/>
          <w:color w:val="000000" w:themeColor="text1"/>
          <w:sz w:val="22"/>
          <w:szCs w:val="22"/>
        </w:rPr>
        <w:t>,</w:t>
      </w:r>
      <w:r w:rsidR="00733C07">
        <w:rPr>
          <w:rFonts w:eastAsia="Arial" w:cs="Arial"/>
          <w:color w:val="000000" w:themeColor="text1"/>
          <w:sz w:val="22"/>
          <w:szCs w:val="22"/>
        </w:rPr>
        <w:t xml:space="preserve"> which </w:t>
      </w:r>
      <w:r w:rsidR="00045846">
        <w:rPr>
          <w:rFonts w:eastAsia="Arial" w:cs="Arial"/>
          <w:color w:val="000000" w:themeColor="text1"/>
          <w:sz w:val="22"/>
          <w:szCs w:val="22"/>
        </w:rPr>
        <w:t>set out how a</w:t>
      </w:r>
      <w:r w:rsidR="00045846" w:rsidRPr="00045846">
        <w:rPr>
          <w:rFonts w:eastAsia="Arial" w:cs="Arial"/>
          <w:color w:val="000000" w:themeColor="text1"/>
          <w:sz w:val="22"/>
          <w:szCs w:val="22"/>
        </w:rPr>
        <w:t xml:space="preserve">dopting a gender-lens in the </w:t>
      </w:r>
      <w:r w:rsidR="00F34877">
        <w:rPr>
          <w:rFonts w:eastAsia="Arial" w:cs="Arial"/>
          <w:color w:val="000000" w:themeColor="text1"/>
          <w:sz w:val="22"/>
          <w:szCs w:val="22"/>
        </w:rPr>
        <w:t>F</w:t>
      </w:r>
      <w:r w:rsidR="00045846" w:rsidRPr="00045846">
        <w:rPr>
          <w:rFonts w:eastAsia="Arial" w:cs="Arial"/>
          <w:color w:val="000000" w:themeColor="text1"/>
          <w:sz w:val="22"/>
          <w:szCs w:val="22"/>
        </w:rPr>
        <w:t>und’s operations will enable the fund to achieve an even greater impact in the region</w:t>
      </w:r>
      <w:r w:rsidR="00733C07">
        <w:rPr>
          <w:rFonts w:eastAsia="Arial" w:cs="Arial"/>
          <w:color w:val="000000" w:themeColor="text1"/>
          <w:sz w:val="22"/>
          <w:szCs w:val="22"/>
        </w:rPr>
        <w:t>.</w:t>
      </w:r>
    </w:p>
    <w:p w14:paraId="6FBD3F66" w14:textId="77777777" w:rsidR="00E1628D" w:rsidRDefault="00E1628D" w:rsidP="00A43722">
      <w:pPr>
        <w:jc w:val="both"/>
        <w:rPr>
          <w:rFonts w:eastAsia="Arial" w:cs="Arial"/>
          <w:color w:val="000000" w:themeColor="text1"/>
          <w:sz w:val="22"/>
          <w:szCs w:val="22"/>
        </w:rPr>
      </w:pPr>
    </w:p>
    <w:p w14:paraId="26F55C4F" w14:textId="77777777" w:rsidR="00E1628D" w:rsidRDefault="00E1628D" w:rsidP="00A43722">
      <w:pPr>
        <w:jc w:val="both"/>
        <w:rPr>
          <w:rFonts w:eastAsia="Arial" w:cs="Arial"/>
          <w:color w:val="000000" w:themeColor="text1"/>
          <w:sz w:val="22"/>
          <w:szCs w:val="22"/>
        </w:rPr>
      </w:pPr>
      <w:r>
        <w:rPr>
          <w:rFonts w:eastAsia="Arial" w:cs="Arial"/>
          <w:color w:val="000000" w:themeColor="text1"/>
          <w:sz w:val="22"/>
          <w:szCs w:val="22"/>
        </w:rPr>
        <w:t>The Fund’s Gender Strategy is aimed at:</w:t>
      </w:r>
    </w:p>
    <w:p w14:paraId="7D49E3B0" w14:textId="51D299B1" w:rsidR="00E1628D" w:rsidRPr="00E1628D" w:rsidRDefault="00E1628D" w:rsidP="00E1628D">
      <w:pPr>
        <w:pStyle w:val="ListParagraph"/>
        <w:numPr>
          <w:ilvl w:val="0"/>
          <w:numId w:val="35"/>
        </w:numPr>
        <w:rPr>
          <w:rFonts w:ascii="Calibri" w:hAnsi="Calibri"/>
          <w:sz w:val="22"/>
          <w:szCs w:val="22"/>
          <w:lang w:val="en-US"/>
        </w:rPr>
      </w:pPr>
      <w:r w:rsidRPr="00E1628D">
        <w:rPr>
          <w:sz w:val="22"/>
          <w:szCs w:val="22"/>
          <w:lang w:val="en-US"/>
        </w:rPr>
        <w:t xml:space="preserve">Integrating gender matters into </w:t>
      </w:r>
      <w:r>
        <w:rPr>
          <w:sz w:val="22"/>
          <w:szCs w:val="22"/>
          <w:lang w:val="en-US"/>
        </w:rPr>
        <w:t>its</w:t>
      </w:r>
      <w:r w:rsidRPr="00E1628D">
        <w:rPr>
          <w:sz w:val="22"/>
          <w:szCs w:val="22"/>
          <w:lang w:val="en-US"/>
        </w:rPr>
        <w:t xml:space="preserve"> investments and </w:t>
      </w:r>
      <w:r w:rsidR="00D0174A">
        <w:rPr>
          <w:sz w:val="22"/>
          <w:szCs w:val="22"/>
          <w:lang w:val="en-US"/>
        </w:rPr>
        <w:t>TA</w:t>
      </w:r>
      <w:r w:rsidRPr="00E1628D">
        <w:rPr>
          <w:sz w:val="22"/>
          <w:szCs w:val="22"/>
          <w:lang w:val="en-US"/>
        </w:rPr>
        <w:t xml:space="preserve"> projects and managing/mitigating any potential </w:t>
      </w:r>
      <w:proofErr w:type="gramStart"/>
      <w:r w:rsidRPr="00E1628D">
        <w:rPr>
          <w:sz w:val="22"/>
          <w:szCs w:val="22"/>
          <w:lang w:val="en-US"/>
        </w:rPr>
        <w:t>harm</w:t>
      </w:r>
      <w:r>
        <w:rPr>
          <w:sz w:val="22"/>
          <w:szCs w:val="22"/>
          <w:lang w:val="en-US"/>
        </w:rPr>
        <w:t>;</w:t>
      </w:r>
      <w:proofErr w:type="gramEnd"/>
    </w:p>
    <w:p w14:paraId="16B0CD1A" w14:textId="4F22A8FF" w:rsidR="00E1628D" w:rsidRPr="00E1628D" w:rsidRDefault="00E1628D" w:rsidP="00E1628D">
      <w:pPr>
        <w:pStyle w:val="ListParagraph"/>
        <w:numPr>
          <w:ilvl w:val="0"/>
          <w:numId w:val="35"/>
        </w:numPr>
        <w:rPr>
          <w:sz w:val="22"/>
          <w:szCs w:val="22"/>
          <w:lang w:val="en-US"/>
        </w:rPr>
      </w:pPr>
      <w:r w:rsidRPr="00E1628D">
        <w:rPr>
          <w:sz w:val="22"/>
          <w:szCs w:val="22"/>
          <w:lang w:val="en-US"/>
        </w:rPr>
        <w:t xml:space="preserve">Reducing biases that could act against women when participating in the focus sectors of the fund as employers, consumers, or </w:t>
      </w:r>
      <w:proofErr w:type="gramStart"/>
      <w:r w:rsidRPr="00E1628D">
        <w:rPr>
          <w:sz w:val="22"/>
          <w:szCs w:val="22"/>
          <w:lang w:val="en-US"/>
        </w:rPr>
        <w:t>clients</w:t>
      </w:r>
      <w:r>
        <w:rPr>
          <w:sz w:val="22"/>
          <w:szCs w:val="22"/>
          <w:lang w:val="en-US"/>
        </w:rPr>
        <w:t>;</w:t>
      </w:r>
      <w:proofErr w:type="gramEnd"/>
    </w:p>
    <w:p w14:paraId="77C2E5BD" w14:textId="361494A1" w:rsidR="00E1628D" w:rsidRPr="00E1628D" w:rsidRDefault="00E1628D" w:rsidP="00E1628D">
      <w:pPr>
        <w:pStyle w:val="ListParagraph"/>
        <w:numPr>
          <w:ilvl w:val="0"/>
          <w:numId w:val="35"/>
        </w:numPr>
        <w:rPr>
          <w:sz w:val="22"/>
          <w:szCs w:val="22"/>
          <w:lang w:val="en-US"/>
        </w:rPr>
      </w:pPr>
      <w:r w:rsidRPr="00E1628D">
        <w:rPr>
          <w:sz w:val="22"/>
          <w:szCs w:val="22"/>
          <w:lang w:val="en-US"/>
        </w:rPr>
        <w:t>Promoting gender equity among partner institutions and end-borrowers</w:t>
      </w:r>
      <w:r>
        <w:rPr>
          <w:sz w:val="22"/>
          <w:szCs w:val="22"/>
          <w:lang w:val="en-US"/>
        </w:rPr>
        <w:t>.</w:t>
      </w:r>
    </w:p>
    <w:p w14:paraId="46FC9D21" w14:textId="7EE9BEA3" w:rsidR="00522518" w:rsidRDefault="008235E6" w:rsidP="006C738F">
      <w:pPr>
        <w:jc w:val="both"/>
        <w:rPr>
          <w:rFonts w:eastAsia="Arial" w:cs="Arial"/>
          <w:color w:val="000000" w:themeColor="text1"/>
          <w:sz w:val="22"/>
          <w:szCs w:val="22"/>
        </w:rPr>
      </w:pPr>
      <w:r>
        <w:rPr>
          <w:rFonts w:eastAsia="Arial" w:cs="Arial"/>
          <w:color w:val="000000" w:themeColor="text1"/>
          <w:sz w:val="22"/>
          <w:szCs w:val="22"/>
        </w:rPr>
        <w:t xml:space="preserve">Gender equity is addressed at three levels by the Fund: </w:t>
      </w:r>
      <w:r w:rsidR="00FF28D1" w:rsidRPr="00FF28D1">
        <w:rPr>
          <w:rFonts w:eastAsia="Arial" w:cs="Arial"/>
          <w:color w:val="000000" w:themeColor="text1"/>
          <w:sz w:val="22"/>
          <w:szCs w:val="22"/>
        </w:rPr>
        <w:t xml:space="preserve">1) within the fund and its </w:t>
      </w:r>
      <w:r w:rsidR="00B6136B">
        <w:rPr>
          <w:rFonts w:eastAsia="Arial" w:cs="Arial"/>
          <w:color w:val="000000" w:themeColor="text1"/>
          <w:sz w:val="22"/>
          <w:szCs w:val="22"/>
        </w:rPr>
        <w:t>DF</w:t>
      </w:r>
      <w:r w:rsidR="00FF28D1" w:rsidRPr="00FF28D1">
        <w:rPr>
          <w:rFonts w:eastAsia="Arial" w:cs="Arial"/>
          <w:color w:val="000000" w:themeColor="text1"/>
          <w:sz w:val="22"/>
          <w:szCs w:val="22"/>
        </w:rPr>
        <w:t xml:space="preserve">, 2) </w:t>
      </w:r>
      <w:r w:rsidR="00B6136B">
        <w:rPr>
          <w:rFonts w:eastAsia="Arial" w:cs="Arial"/>
          <w:color w:val="000000" w:themeColor="text1"/>
          <w:sz w:val="22"/>
          <w:szCs w:val="22"/>
        </w:rPr>
        <w:t>PIs</w:t>
      </w:r>
      <w:r w:rsidR="00FF28D1" w:rsidRPr="00FF28D1">
        <w:rPr>
          <w:rFonts w:eastAsia="Arial" w:cs="Arial"/>
          <w:color w:val="000000" w:themeColor="text1"/>
          <w:sz w:val="22"/>
          <w:szCs w:val="22"/>
        </w:rPr>
        <w:t>, and 3) end-borrowers.</w:t>
      </w:r>
      <w:r w:rsidR="00D62E9B">
        <w:rPr>
          <w:rFonts w:eastAsia="Arial" w:cs="Arial"/>
          <w:color w:val="000000" w:themeColor="text1"/>
          <w:sz w:val="22"/>
          <w:szCs w:val="22"/>
        </w:rPr>
        <w:t xml:space="preserve"> Influence on end-borrowers is restricted to TA, and indirectly through </w:t>
      </w:r>
      <w:r w:rsidR="00D76B1B">
        <w:rPr>
          <w:rFonts w:eastAsia="Arial" w:cs="Arial"/>
          <w:color w:val="000000" w:themeColor="text1"/>
          <w:sz w:val="22"/>
          <w:szCs w:val="22"/>
        </w:rPr>
        <w:t>PIs</w:t>
      </w:r>
      <w:r w:rsidR="00D62E9B">
        <w:rPr>
          <w:rFonts w:eastAsia="Arial" w:cs="Arial"/>
          <w:color w:val="000000" w:themeColor="text1"/>
          <w:sz w:val="22"/>
          <w:szCs w:val="22"/>
        </w:rPr>
        <w:t xml:space="preserve">. </w:t>
      </w:r>
      <w:r w:rsidR="00E02A67">
        <w:rPr>
          <w:rFonts w:eastAsia="Arial" w:cs="Arial"/>
          <w:color w:val="000000" w:themeColor="text1"/>
          <w:sz w:val="22"/>
          <w:szCs w:val="22"/>
        </w:rPr>
        <w:t xml:space="preserve">Annual E&amp;S questionnaires are </w:t>
      </w:r>
      <w:r w:rsidR="009406D9">
        <w:rPr>
          <w:rFonts w:eastAsia="Arial" w:cs="Arial"/>
          <w:color w:val="000000" w:themeColor="text1"/>
          <w:sz w:val="22"/>
          <w:szCs w:val="22"/>
        </w:rPr>
        <w:t xml:space="preserve">completed by PIs, with an increasing focus on gender since 2022, and </w:t>
      </w:r>
      <w:r w:rsidR="007F5DC2">
        <w:rPr>
          <w:rFonts w:eastAsia="Arial" w:cs="Arial"/>
          <w:color w:val="000000" w:themeColor="text1"/>
          <w:sz w:val="22"/>
          <w:szCs w:val="22"/>
        </w:rPr>
        <w:t xml:space="preserve">are </w:t>
      </w:r>
      <w:r w:rsidR="00913ED2">
        <w:rPr>
          <w:rFonts w:eastAsia="Arial" w:cs="Arial"/>
          <w:color w:val="000000" w:themeColor="text1"/>
          <w:sz w:val="22"/>
          <w:szCs w:val="22"/>
        </w:rPr>
        <w:t>used to focus support and interventions.</w:t>
      </w:r>
      <w:r w:rsidR="004D1ECE">
        <w:rPr>
          <w:rFonts w:eastAsia="Arial" w:cs="Arial"/>
          <w:color w:val="000000" w:themeColor="text1"/>
          <w:sz w:val="22"/>
          <w:szCs w:val="22"/>
        </w:rPr>
        <w:t xml:space="preserve"> </w:t>
      </w:r>
      <w:r w:rsidR="003F33A6">
        <w:rPr>
          <w:rFonts w:eastAsia="Arial" w:cs="Arial"/>
          <w:color w:val="000000" w:themeColor="text1"/>
          <w:sz w:val="22"/>
          <w:szCs w:val="22"/>
        </w:rPr>
        <w:t>At this point, most</w:t>
      </w:r>
      <w:r w:rsidR="00DF0AB1">
        <w:rPr>
          <w:rFonts w:eastAsia="Arial" w:cs="Arial"/>
          <w:color w:val="000000" w:themeColor="text1"/>
          <w:sz w:val="22"/>
          <w:szCs w:val="22"/>
        </w:rPr>
        <w:t xml:space="preserve"> of the Fund’s investments go to end-borrowers certified by labels such as </w:t>
      </w:r>
      <w:proofErr w:type="spellStart"/>
      <w:r w:rsidR="00DF0AB1">
        <w:rPr>
          <w:rFonts w:eastAsia="Arial" w:cs="Arial"/>
          <w:color w:val="000000" w:themeColor="text1"/>
          <w:sz w:val="22"/>
          <w:szCs w:val="22"/>
        </w:rPr>
        <w:t>Florverde</w:t>
      </w:r>
      <w:proofErr w:type="spellEnd"/>
      <w:r w:rsidR="00DF0AB1">
        <w:rPr>
          <w:rFonts w:eastAsia="Arial" w:cs="Arial"/>
          <w:color w:val="000000" w:themeColor="text1"/>
          <w:sz w:val="22"/>
          <w:szCs w:val="22"/>
        </w:rPr>
        <w:t>, Fairtrade</w:t>
      </w:r>
      <w:r w:rsidR="00B45838">
        <w:rPr>
          <w:rFonts w:eastAsia="Arial" w:cs="Arial"/>
          <w:color w:val="000000" w:themeColor="text1"/>
          <w:sz w:val="22"/>
          <w:szCs w:val="22"/>
        </w:rPr>
        <w:t xml:space="preserve">, </w:t>
      </w:r>
      <w:r w:rsidR="00DF0AB1">
        <w:rPr>
          <w:rFonts w:eastAsia="Arial" w:cs="Arial"/>
          <w:color w:val="000000" w:themeColor="text1"/>
          <w:sz w:val="22"/>
          <w:szCs w:val="22"/>
        </w:rPr>
        <w:t>Rainforest Alliance</w:t>
      </w:r>
      <w:r w:rsidR="00B45838">
        <w:rPr>
          <w:rFonts w:eastAsia="Arial" w:cs="Arial"/>
          <w:color w:val="000000" w:themeColor="text1"/>
          <w:sz w:val="22"/>
          <w:szCs w:val="22"/>
        </w:rPr>
        <w:t xml:space="preserve"> and FSC</w:t>
      </w:r>
      <w:r w:rsidR="00DF0AB1">
        <w:rPr>
          <w:rFonts w:eastAsia="Arial" w:cs="Arial"/>
          <w:color w:val="000000" w:themeColor="text1"/>
          <w:sz w:val="22"/>
          <w:szCs w:val="22"/>
        </w:rPr>
        <w:t xml:space="preserve">, which have their own </w:t>
      </w:r>
      <w:r w:rsidR="00B45838">
        <w:rPr>
          <w:rFonts w:eastAsia="Arial" w:cs="Arial"/>
          <w:color w:val="000000" w:themeColor="text1"/>
          <w:sz w:val="22"/>
          <w:szCs w:val="22"/>
        </w:rPr>
        <w:t>gender equity standards</w:t>
      </w:r>
      <w:r w:rsidR="003F33A6">
        <w:rPr>
          <w:rFonts w:eastAsia="Arial" w:cs="Arial"/>
          <w:color w:val="000000" w:themeColor="text1"/>
          <w:sz w:val="22"/>
          <w:szCs w:val="22"/>
        </w:rPr>
        <w:t>.</w:t>
      </w:r>
    </w:p>
    <w:p w14:paraId="47A6E6D5" w14:textId="77777777" w:rsidR="004D1ECE" w:rsidRDefault="004D1ECE" w:rsidP="00A43722">
      <w:pPr>
        <w:jc w:val="both"/>
        <w:rPr>
          <w:rFonts w:eastAsia="Arial" w:cs="Arial"/>
          <w:color w:val="000000" w:themeColor="text1"/>
          <w:sz w:val="22"/>
          <w:szCs w:val="22"/>
        </w:rPr>
      </w:pPr>
    </w:p>
    <w:p w14:paraId="32C2E4C7" w14:textId="4302DCB4" w:rsidR="004D1ECE" w:rsidRPr="004D1ECE" w:rsidRDefault="004D1ECE" w:rsidP="00A43722">
      <w:pPr>
        <w:jc w:val="both"/>
        <w:rPr>
          <w:rFonts w:eastAsia="Arial" w:cs="Arial"/>
          <w:color w:val="000000" w:themeColor="text1"/>
          <w:sz w:val="22"/>
          <w:szCs w:val="22"/>
        </w:rPr>
      </w:pPr>
      <w:r w:rsidRPr="004D1ECE">
        <w:rPr>
          <w:sz w:val="22"/>
          <w:szCs w:val="22"/>
        </w:rPr>
        <w:t xml:space="preserve">Going beyond gender, the Fund considers Indigenous Peoples and other vulnerable stakeholders (including migrant/seasonal workers) in its processes, focussing on doing no harm. As part of its due diligence, the Fund assesses potential impacts on these groups that could be caused by direct investments in a particular context. If there is potential for adverse impact, this must be managed according to the relevant IFC Performance Standards, which have specific requirements when there are affected communities and Indigenous Peoples. If adverse impacts may be significant, the investment will not be financed. For FIs, the Fund assesses that they have an </w:t>
      </w:r>
      <w:r w:rsidR="00B42558">
        <w:rPr>
          <w:sz w:val="22"/>
          <w:szCs w:val="22"/>
        </w:rPr>
        <w:t>ESMS</w:t>
      </w:r>
      <w:r w:rsidRPr="004D1ECE">
        <w:rPr>
          <w:sz w:val="22"/>
          <w:szCs w:val="22"/>
        </w:rPr>
        <w:t xml:space="preserve"> aligned with IFC Performance Standard 1 and that other IFC Performance Standards (including the one on Indigenous Peoples) are applied, as required.</w:t>
      </w:r>
    </w:p>
    <w:p w14:paraId="167CB097" w14:textId="4487F798" w:rsidR="19A372B6" w:rsidRPr="00A54B18" w:rsidRDefault="19A372B6" w:rsidP="005E557A">
      <w:pPr>
        <w:jc w:val="both"/>
        <w:rPr>
          <w:rFonts w:eastAsia="Arial" w:cs="Arial"/>
          <w:color w:val="000000" w:themeColor="text1"/>
          <w:sz w:val="22"/>
          <w:szCs w:val="22"/>
        </w:rPr>
      </w:pPr>
    </w:p>
    <w:p w14:paraId="6DBC0BEC" w14:textId="1119EC52" w:rsidR="24BFDD0D" w:rsidRPr="00A54B18" w:rsidRDefault="3D379609" w:rsidP="005E557A">
      <w:pPr>
        <w:pStyle w:val="Normal1"/>
        <w:jc w:val="both"/>
        <w:rPr>
          <w:sz w:val="22"/>
          <w:szCs w:val="22"/>
        </w:rPr>
      </w:pPr>
      <w:r w:rsidRPr="00A54B18">
        <w:rPr>
          <w:b/>
          <w:bCs/>
          <w:sz w:val="22"/>
          <w:szCs w:val="22"/>
        </w:rPr>
        <w:t>Reporting and monitoring:</w:t>
      </w:r>
    </w:p>
    <w:p w14:paraId="168A203A" w14:textId="1B133DE0" w:rsidR="19A372B6" w:rsidRPr="00A54B18" w:rsidRDefault="19A372B6" w:rsidP="005E557A">
      <w:pPr>
        <w:jc w:val="both"/>
        <w:rPr>
          <w:rFonts w:eastAsia="Arial" w:cs="Arial"/>
          <w:color w:val="000000" w:themeColor="text1"/>
          <w:sz w:val="22"/>
          <w:szCs w:val="22"/>
        </w:rPr>
      </w:pPr>
    </w:p>
    <w:p w14:paraId="09295120" w14:textId="2E963088" w:rsidR="24BFDD0D" w:rsidRPr="006B4633" w:rsidRDefault="3D379609" w:rsidP="005E557A">
      <w:pPr>
        <w:pStyle w:val="Normal1"/>
        <w:jc w:val="both"/>
        <w:rPr>
          <w:sz w:val="22"/>
          <w:szCs w:val="22"/>
        </w:rPr>
      </w:pPr>
      <w:r w:rsidRPr="006B4633">
        <w:rPr>
          <w:sz w:val="22"/>
          <w:szCs w:val="22"/>
        </w:rPr>
        <w:t>Throughout 202</w:t>
      </w:r>
      <w:r w:rsidR="00CF146F">
        <w:rPr>
          <w:sz w:val="22"/>
          <w:szCs w:val="22"/>
        </w:rPr>
        <w:t>2</w:t>
      </w:r>
      <w:r w:rsidRPr="006B4633">
        <w:rPr>
          <w:sz w:val="22"/>
          <w:szCs w:val="22"/>
        </w:rPr>
        <w:t xml:space="preserve"> reporting timeliness and quality of reporting has been consistently good. Quarterly reports are sent to shareholders within </w:t>
      </w:r>
      <w:r w:rsidR="00D03AAB">
        <w:rPr>
          <w:sz w:val="22"/>
          <w:szCs w:val="22"/>
        </w:rPr>
        <w:t>three</w:t>
      </w:r>
      <w:r w:rsidRPr="006B4633">
        <w:rPr>
          <w:sz w:val="22"/>
          <w:szCs w:val="22"/>
        </w:rPr>
        <w:t xml:space="preserve"> months of the quarter finishing, and the audited annual statement was provided within </w:t>
      </w:r>
      <w:r w:rsidR="00D03AAB">
        <w:rPr>
          <w:sz w:val="22"/>
          <w:szCs w:val="22"/>
        </w:rPr>
        <w:t>four</w:t>
      </w:r>
      <w:r w:rsidRPr="006B4633">
        <w:rPr>
          <w:sz w:val="22"/>
          <w:szCs w:val="22"/>
        </w:rPr>
        <w:t xml:space="preserve"> months of the end of the year. The </w:t>
      </w:r>
      <w:r w:rsidR="00016533">
        <w:rPr>
          <w:sz w:val="22"/>
          <w:szCs w:val="22"/>
        </w:rPr>
        <w:t>F</w:t>
      </w:r>
      <w:r w:rsidRPr="006B4633">
        <w:rPr>
          <w:sz w:val="22"/>
          <w:szCs w:val="22"/>
        </w:rPr>
        <w:t>und also produce</w:t>
      </w:r>
      <w:r w:rsidR="00060794">
        <w:rPr>
          <w:sz w:val="22"/>
          <w:szCs w:val="22"/>
        </w:rPr>
        <w:t>d</w:t>
      </w:r>
      <w:r w:rsidRPr="006B4633">
        <w:rPr>
          <w:sz w:val="22"/>
          <w:szCs w:val="22"/>
        </w:rPr>
        <w:t xml:space="preserve"> an annual impact report. Defra is an observer on the Board of Directors and DF Committee. Meetings of the board take place every quarter</w:t>
      </w:r>
      <w:r w:rsidR="00060794">
        <w:rPr>
          <w:sz w:val="22"/>
          <w:szCs w:val="22"/>
        </w:rPr>
        <w:t xml:space="preserve">, as do </w:t>
      </w:r>
      <w:r w:rsidRPr="006B4633">
        <w:rPr>
          <w:sz w:val="22"/>
          <w:szCs w:val="22"/>
        </w:rPr>
        <w:t>DF Committee meetings</w:t>
      </w:r>
      <w:r w:rsidR="0056351C" w:rsidRPr="006B4633">
        <w:rPr>
          <w:color w:val="auto"/>
          <w:sz w:val="22"/>
          <w:szCs w:val="22"/>
        </w:rPr>
        <w:t>.</w:t>
      </w:r>
      <w:r w:rsidRPr="006B4633">
        <w:rPr>
          <w:sz w:val="22"/>
          <w:szCs w:val="22"/>
        </w:rPr>
        <w:t xml:space="preserve"> </w:t>
      </w:r>
    </w:p>
    <w:p w14:paraId="00909789" w14:textId="7956E221" w:rsidR="19A372B6" w:rsidRPr="006B4633" w:rsidRDefault="19A372B6" w:rsidP="005E557A">
      <w:pPr>
        <w:jc w:val="both"/>
        <w:rPr>
          <w:rFonts w:eastAsia="Arial" w:cs="Arial"/>
          <w:color w:val="000000" w:themeColor="text1"/>
        </w:rPr>
      </w:pPr>
    </w:p>
    <w:p w14:paraId="4B82DE91" w14:textId="5A1CD469" w:rsidR="24BFDD0D" w:rsidRPr="00A54B18" w:rsidRDefault="3D379609" w:rsidP="005E557A">
      <w:pPr>
        <w:jc w:val="both"/>
        <w:rPr>
          <w:rFonts w:eastAsia="Arial" w:cs="Arial"/>
          <w:color w:val="000000" w:themeColor="text1"/>
          <w:sz w:val="22"/>
          <w:szCs w:val="22"/>
        </w:rPr>
      </w:pPr>
      <w:r w:rsidRPr="006B4633">
        <w:rPr>
          <w:rFonts w:eastAsia="Arial" w:cs="Arial"/>
          <w:color w:val="000000" w:themeColor="text1"/>
          <w:sz w:val="22"/>
          <w:szCs w:val="22"/>
        </w:rPr>
        <w:t>The EBF’s continuous monitoring approach consists of the following activities:</w:t>
      </w:r>
    </w:p>
    <w:p w14:paraId="506E4F54" w14:textId="0A3F1754" w:rsidR="19A372B6" w:rsidRPr="00A54B18" w:rsidRDefault="19A372B6" w:rsidP="005E557A">
      <w:pPr>
        <w:jc w:val="both"/>
        <w:rPr>
          <w:rFonts w:eastAsia="Arial" w:cs="Arial"/>
          <w:color w:val="000000" w:themeColor="text1"/>
        </w:rPr>
      </w:pPr>
    </w:p>
    <w:p w14:paraId="5BF3B05B" w14:textId="51DED3F5" w:rsidR="24BFDD0D" w:rsidRPr="00A54B18" w:rsidRDefault="3D379609" w:rsidP="005E557A">
      <w:pPr>
        <w:pStyle w:val="ListParagraph"/>
        <w:numPr>
          <w:ilvl w:val="0"/>
          <w:numId w:val="1"/>
        </w:numPr>
        <w:contextualSpacing w:val="0"/>
        <w:jc w:val="both"/>
        <w:rPr>
          <w:rFonts w:eastAsia="Arial" w:cs="Arial"/>
          <w:color w:val="000000" w:themeColor="text1"/>
          <w:sz w:val="22"/>
          <w:szCs w:val="22"/>
        </w:rPr>
      </w:pPr>
      <w:r w:rsidRPr="00A54B18">
        <w:rPr>
          <w:rFonts w:eastAsia="Arial" w:cs="Arial"/>
          <w:color w:val="000000" w:themeColor="text1"/>
          <w:sz w:val="22"/>
          <w:szCs w:val="22"/>
        </w:rPr>
        <w:lastRenderedPageBreak/>
        <w:t xml:space="preserve">Credit monitoring / monitoring of financial performance of </w:t>
      </w:r>
      <w:proofErr w:type="gramStart"/>
      <w:r w:rsidRPr="00A54B18">
        <w:rPr>
          <w:rFonts w:eastAsia="Arial" w:cs="Arial"/>
          <w:color w:val="000000" w:themeColor="text1"/>
          <w:sz w:val="22"/>
          <w:szCs w:val="22"/>
        </w:rPr>
        <w:t>investees</w:t>
      </w:r>
      <w:proofErr w:type="gramEnd"/>
      <w:r w:rsidRPr="00A54B18">
        <w:rPr>
          <w:rFonts w:eastAsia="Arial" w:cs="Arial"/>
          <w:color w:val="000000" w:themeColor="text1"/>
          <w:sz w:val="22"/>
          <w:szCs w:val="22"/>
        </w:rPr>
        <w:t xml:space="preserve"> </w:t>
      </w:r>
    </w:p>
    <w:p w14:paraId="41AE4ED7" w14:textId="4E36A448" w:rsidR="24BFDD0D" w:rsidRPr="006B4633" w:rsidRDefault="3D379609" w:rsidP="005E557A">
      <w:pPr>
        <w:jc w:val="both"/>
        <w:rPr>
          <w:rFonts w:eastAsia="Arial" w:cs="Arial"/>
          <w:color w:val="000000" w:themeColor="text1"/>
          <w:sz w:val="22"/>
          <w:szCs w:val="22"/>
        </w:rPr>
      </w:pPr>
      <w:r w:rsidRPr="006B4633">
        <w:rPr>
          <w:rFonts w:eastAsia="Arial" w:cs="Arial"/>
          <w:color w:val="000000" w:themeColor="text1"/>
          <w:sz w:val="22"/>
          <w:szCs w:val="22"/>
        </w:rPr>
        <w:t>In 202</w:t>
      </w:r>
      <w:r w:rsidR="00060794">
        <w:rPr>
          <w:rFonts w:eastAsia="Arial" w:cs="Arial"/>
          <w:color w:val="000000" w:themeColor="text1"/>
          <w:sz w:val="22"/>
          <w:szCs w:val="22"/>
        </w:rPr>
        <w:t>2</w:t>
      </w:r>
      <w:r w:rsidRPr="006B4633">
        <w:rPr>
          <w:rFonts w:eastAsia="Arial" w:cs="Arial"/>
          <w:color w:val="000000" w:themeColor="text1"/>
          <w:sz w:val="22"/>
          <w:szCs w:val="22"/>
        </w:rPr>
        <w:t>, the Fund Advisor followed its traditional credit monitoring approach consisting of quarterly risk reviews that are presented to the Rating Committee. The reviews were conducted for each PI and include a general review of performance in the recent quarter, spotting of trends, covenant monitoring and adjustment of ratings if necessary.</w:t>
      </w:r>
    </w:p>
    <w:p w14:paraId="7AB9F59D" w14:textId="78AA0853" w:rsidR="19A372B6" w:rsidRPr="006B4633" w:rsidRDefault="19A372B6" w:rsidP="005E557A">
      <w:pPr>
        <w:jc w:val="both"/>
        <w:rPr>
          <w:rFonts w:eastAsia="Arial" w:cs="Arial"/>
          <w:color w:val="000000" w:themeColor="text1"/>
        </w:rPr>
      </w:pPr>
    </w:p>
    <w:p w14:paraId="01342FD1" w14:textId="48C90A3D" w:rsidR="24BFDD0D" w:rsidRPr="006B4633" w:rsidRDefault="3D379609" w:rsidP="005E557A">
      <w:pPr>
        <w:pStyle w:val="ListParagraph"/>
        <w:numPr>
          <w:ilvl w:val="0"/>
          <w:numId w:val="1"/>
        </w:numPr>
        <w:contextualSpacing w:val="0"/>
        <w:jc w:val="both"/>
        <w:rPr>
          <w:rFonts w:eastAsia="Arial" w:cs="Arial"/>
          <w:color w:val="000000" w:themeColor="text1"/>
          <w:sz w:val="22"/>
          <w:szCs w:val="22"/>
        </w:rPr>
      </w:pPr>
      <w:r w:rsidRPr="006B4633">
        <w:rPr>
          <w:rFonts w:eastAsia="Arial" w:cs="Arial"/>
          <w:color w:val="000000" w:themeColor="text1"/>
          <w:sz w:val="22"/>
          <w:szCs w:val="22"/>
        </w:rPr>
        <w:t xml:space="preserve">Monitoring of the use of proceeds (sub-loan monitoring) </w:t>
      </w:r>
    </w:p>
    <w:p w14:paraId="0C1BDF49" w14:textId="3FDFF52D" w:rsidR="24BFDD0D" w:rsidRPr="006B4633" w:rsidRDefault="3D379609" w:rsidP="005E557A">
      <w:pPr>
        <w:jc w:val="both"/>
        <w:rPr>
          <w:rFonts w:eastAsia="Arial" w:cs="Arial"/>
          <w:color w:val="000000" w:themeColor="text1"/>
          <w:sz w:val="22"/>
          <w:szCs w:val="22"/>
        </w:rPr>
      </w:pPr>
      <w:r w:rsidRPr="006B4633">
        <w:rPr>
          <w:rFonts w:eastAsia="Arial" w:cs="Arial"/>
          <w:color w:val="000000" w:themeColor="text1"/>
          <w:sz w:val="22"/>
          <w:szCs w:val="22"/>
        </w:rPr>
        <w:t xml:space="preserve">PIs are required to report to the Fund Advisor on the use of </w:t>
      </w:r>
      <w:r w:rsidR="00081B6B">
        <w:rPr>
          <w:rFonts w:eastAsia="Arial" w:cs="Arial"/>
          <w:color w:val="000000" w:themeColor="text1"/>
          <w:sz w:val="22"/>
          <w:szCs w:val="22"/>
        </w:rPr>
        <w:t>f</w:t>
      </w:r>
      <w:r w:rsidRPr="006B4633">
        <w:rPr>
          <w:rFonts w:eastAsia="Arial" w:cs="Arial"/>
          <w:color w:val="000000" w:themeColor="text1"/>
          <w:sz w:val="22"/>
          <w:szCs w:val="22"/>
        </w:rPr>
        <w:t xml:space="preserve">unds on a bi-annual basis. The Fund Advisor </w:t>
      </w:r>
      <w:r w:rsidR="00910CCB" w:rsidRPr="006B4633">
        <w:rPr>
          <w:rFonts w:eastAsia="Arial" w:cs="Arial"/>
          <w:color w:val="000000" w:themeColor="text1"/>
          <w:sz w:val="22"/>
          <w:szCs w:val="22"/>
        </w:rPr>
        <w:t>checks</w:t>
      </w:r>
      <w:r w:rsidRPr="006B4633">
        <w:rPr>
          <w:rFonts w:eastAsia="Arial" w:cs="Arial"/>
          <w:color w:val="000000" w:themeColor="text1"/>
          <w:sz w:val="22"/>
          <w:szCs w:val="22"/>
        </w:rPr>
        <w:t xml:space="preserve"> that its resources are used in the eligible sectors following the respective criteria and whether the </w:t>
      </w:r>
      <w:r w:rsidR="00910CCB" w:rsidRPr="006B4633">
        <w:rPr>
          <w:rFonts w:eastAsia="Arial" w:cs="Arial"/>
          <w:color w:val="000000" w:themeColor="text1"/>
          <w:sz w:val="22"/>
          <w:szCs w:val="22"/>
        </w:rPr>
        <w:t xml:space="preserve">PIs </w:t>
      </w:r>
      <w:r w:rsidRPr="006B4633">
        <w:rPr>
          <w:rFonts w:eastAsia="Arial" w:cs="Arial"/>
          <w:color w:val="000000" w:themeColor="text1"/>
          <w:sz w:val="22"/>
          <w:szCs w:val="22"/>
        </w:rPr>
        <w:t xml:space="preserve">abide by the minimum required on-lending rate. </w:t>
      </w:r>
      <w:r w:rsidR="00910CCB" w:rsidRPr="006B4633">
        <w:rPr>
          <w:rFonts w:eastAsia="Arial" w:cs="Arial"/>
          <w:color w:val="000000" w:themeColor="text1"/>
          <w:sz w:val="22"/>
          <w:szCs w:val="22"/>
        </w:rPr>
        <w:t xml:space="preserve">PIs </w:t>
      </w:r>
      <w:r w:rsidRPr="006B4633">
        <w:rPr>
          <w:rFonts w:eastAsia="Arial" w:cs="Arial"/>
          <w:color w:val="000000" w:themeColor="text1"/>
          <w:sz w:val="22"/>
          <w:szCs w:val="22"/>
        </w:rPr>
        <w:t>report loan-by-loan on a specified set of information (such as loan amounts, target sector, financed activities, loan type, and sustainability standard and farm or business size) on an anonymous basis (no obligation to report names of sub-borrowers).</w:t>
      </w:r>
    </w:p>
    <w:p w14:paraId="3AA294C1" w14:textId="02E9B6AF" w:rsidR="24BFDD0D" w:rsidRPr="006B4633" w:rsidRDefault="24BFDD0D" w:rsidP="005E557A">
      <w:pPr>
        <w:jc w:val="both"/>
        <w:rPr>
          <w:rFonts w:eastAsia="Arial" w:cs="Arial"/>
          <w:color w:val="000000" w:themeColor="text1"/>
          <w:sz w:val="22"/>
          <w:szCs w:val="22"/>
        </w:rPr>
      </w:pPr>
    </w:p>
    <w:p w14:paraId="743BD0D3" w14:textId="57B88342" w:rsidR="24BFDD0D" w:rsidRPr="006B4633" w:rsidRDefault="3D379609" w:rsidP="005E557A">
      <w:pPr>
        <w:pStyle w:val="ListParagraph"/>
        <w:numPr>
          <w:ilvl w:val="0"/>
          <w:numId w:val="1"/>
        </w:numPr>
        <w:contextualSpacing w:val="0"/>
        <w:jc w:val="both"/>
        <w:rPr>
          <w:rFonts w:eastAsia="Arial" w:cs="Arial"/>
          <w:color w:val="000000" w:themeColor="text1"/>
          <w:sz w:val="22"/>
          <w:szCs w:val="22"/>
        </w:rPr>
      </w:pPr>
      <w:r w:rsidRPr="006B4633">
        <w:rPr>
          <w:rFonts w:eastAsia="Arial" w:cs="Arial"/>
          <w:color w:val="000000" w:themeColor="text1"/>
          <w:sz w:val="22"/>
          <w:szCs w:val="22"/>
        </w:rPr>
        <w:t xml:space="preserve">Monitoring through relationship management (visits, meetings) </w:t>
      </w:r>
    </w:p>
    <w:p w14:paraId="0702E501" w14:textId="3D21EC40" w:rsidR="24BFDD0D" w:rsidRPr="006B4633" w:rsidRDefault="3D379609" w:rsidP="005E557A">
      <w:pPr>
        <w:jc w:val="both"/>
        <w:rPr>
          <w:rFonts w:eastAsia="Arial" w:cs="Arial"/>
          <w:color w:val="000000" w:themeColor="text1"/>
          <w:sz w:val="22"/>
          <w:szCs w:val="22"/>
        </w:rPr>
      </w:pPr>
      <w:r w:rsidRPr="006B4633">
        <w:rPr>
          <w:rFonts w:eastAsia="Arial" w:cs="Arial"/>
          <w:color w:val="000000" w:themeColor="text1"/>
          <w:sz w:val="22"/>
          <w:szCs w:val="22"/>
        </w:rPr>
        <w:t xml:space="preserve">As part of ensuring that its Funds are used according to its eligibility criteria, the Fund carries out regular visits to its </w:t>
      </w:r>
      <w:r w:rsidR="00060794">
        <w:rPr>
          <w:rFonts w:eastAsia="Arial" w:cs="Arial"/>
          <w:color w:val="000000" w:themeColor="text1"/>
          <w:sz w:val="22"/>
          <w:szCs w:val="22"/>
        </w:rPr>
        <w:t xml:space="preserve">PIs and </w:t>
      </w:r>
      <w:r w:rsidRPr="006B4633">
        <w:rPr>
          <w:rFonts w:eastAsia="Arial" w:cs="Arial"/>
          <w:color w:val="000000" w:themeColor="text1"/>
          <w:sz w:val="22"/>
          <w:szCs w:val="22"/>
        </w:rPr>
        <w:t>sub-borrowers.</w:t>
      </w:r>
    </w:p>
    <w:p w14:paraId="5139D7FF" w14:textId="3D2F4BFC" w:rsidR="19A372B6" w:rsidRPr="006B4633" w:rsidRDefault="19A372B6" w:rsidP="005E557A">
      <w:pPr>
        <w:spacing w:after="160"/>
        <w:jc w:val="both"/>
        <w:rPr>
          <w:rFonts w:eastAsia="Arial" w:cs="Arial"/>
          <w:color w:val="000000" w:themeColor="text1"/>
          <w:sz w:val="22"/>
          <w:szCs w:val="22"/>
        </w:rPr>
      </w:pPr>
    </w:p>
    <w:p w14:paraId="0400DB6C" w14:textId="549261BE" w:rsidR="571BC798" w:rsidRPr="006B4633" w:rsidRDefault="19DC042E" w:rsidP="005E557A">
      <w:pPr>
        <w:jc w:val="both"/>
        <w:rPr>
          <w:rFonts w:eastAsia="Arial" w:cs="Arial"/>
          <w:color w:val="000000" w:themeColor="text1"/>
          <w:sz w:val="22"/>
          <w:szCs w:val="22"/>
        </w:rPr>
      </w:pPr>
      <w:r w:rsidRPr="006B4633">
        <w:rPr>
          <w:rFonts w:eastAsia="Arial" w:cs="Arial"/>
          <w:b/>
          <w:bCs/>
          <w:color w:val="000000" w:themeColor="text1"/>
          <w:sz w:val="22"/>
          <w:szCs w:val="22"/>
        </w:rPr>
        <w:t xml:space="preserve">Progress on recommendations from the previous AR, lessons learned this year and recommendations for the year </w:t>
      </w:r>
      <w:proofErr w:type="gramStart"/>
      <w:r w:rsidRPr="006B4633">
        <w:rPr>
          <w:rFonts w:eastAsia="Arial" w:cs="Arial"/>
          <w:b/>
          <w:bCs/>
          <w:color w:val="000000" w:themeColor="text1"/>
          <w:sz w:val="22"/>
          <w:szCs w:val="22"/>
        </w:rPr>
        <w:t>ahead</w:t>
      </w:r>
      <w:proofErr w:type="gramEnd"/>
    </w:p>
    <w:p w14:paraId="45C94F75" w14:textId="242FBDEB" w:rsidR="19A372B6" w:rsidRPr="006B4633" w:rsidRDefault="19A372B6" w:rsidP="005E557A">
      <w:pPr>
        <w:jc w:val="both"/>
        <w:rPr>
          <w:rFonts w:eastAsia="Arial" w:cs="Arial"/>
          <w:color w:val="FF0000"/>
        </w:rPr>
      </w:pPr>
    </w:p>
    <w:p w14:paraId="5113F04D" w14:textId="348DEE20" w:rsidR="571BC798" w:rsidRPr="006B4633" w:rsidRDefault="19DC042E" w:rsidP="005E557A">
      <w:pPr>
        <w:jc w:val="both"/>
        <w:rPr>
          <w:rFonts w:eastAsia="Arial" w:cs="Arial"/>
          <w:color w:val="000000" w:themeColor="text1"/>
          <w:sz w:val="22"/>
          <w:szCs w:val="22"/>
        </w:rPr>
      </w:pPr>
      <w:r w:rsidRPr="006B4633">
        <w:rPr>
          <w:rFonts w:eastAsia="Arial" w:cs="Arial"/>
          <w:color w:val="000000" w:themeColor="text1"/>
          <w:sz w:val="22"/>
          <w:szCs w:val="22"/>
        </w:rPr>
        <w:t>The recommendations from the 202</w:t>
      </w:r>
      <w:r w:rsidR="00060794">
        <w:rPr>
          <w:rFonts w:eastAsia="Arial" w:cs="Arial"/>
          <w:color w:val="000000" w:themeColor="text1"/>
          <w:sz w:val="22"/>
          <w:szCs w:val="22"/>
        </w:rPr>
        <w:t>1</w:t>
      </w:r>
      <w:r w:rsidRPr="006B4633">
        <w:rPr>
          <w:rFonts w:eastAsia="Arial" w:cs="Arial"/>
          <w:color w:val="000000" w:themeColor="text1"/>
          <w:sz w:val="22"/>
          <w:szCs w:val="22"/>
        </w:rPr>
        <w:t xml:space="preserve"> </w:t>
      </w:r>
      <w:r w:rsidR="00FC2536">
        <w:rPr>
          <w:rFonts w:eastAsia="Arial" w:cs="Arial"/>
          <w:color w:val="000000" w:themeColor="text1"/>
          <w:sz w:val="22"/>
          <w:szCs w:val="22"/>
        </w:rPr>
        <w:t>AR</w:t>
      </w:r>
      <w:r w:rsidRPr="006B4633">
        <w:rPr>
          <w:rFonts w:eastAsia="Arial" w:cs="Arial"/>
          <w:color w:val="000000" w:themeColor="text1"/>
          <w:sz w:val="22"/>
          <w:szCs w:val="22"/>
        </w:rPr>
        <w:t xml:space="preserve"> and progress on the recommendations is set out below:</w:t>
      </w:r>
    </w:p>
    <w:p w14:paraId="3E6091DE" w14:textId="77777777" w:rsidR="00060794" w:rsidRPr="008D3032" w:rsidRDefault="00060794" w:rsidP="00060794">
      <w:pPr>
        <w:pStyle w:val="ListParagraph"/>
        <w:numPr>
          <w:ilvl w:val="0"/>
          <w:numId w:val="21"/>
        </w:numPr>
        <w:spacing w:before="240" w:after="0"/>
        <w:ind w:left="357" w:hanging="357"/>
        <w:contextualSpacing w:val="0"/>
        <w:jc w:val="both"/>
        <w:rPr>
          <w:rFonts w:eastAsia="Arial" w:cs="Arial"/>
          <w:color w:val="000000" w:themeColor="text1"/>
          <w:sz w:val="22"/>
          <w:szCs w:val="22"/>
        </w:rPr>
      </w:pPr>
      <w:r w:rsidRPr="008D3032">
        <w:rPr>
          <w:rFonts w:eastAsia="Arial" w:cs="Arial"/>
          <w:color w:val="000000" w:themeColor="text1"/>
          <w:sz w:val="22"/>
          <w:szCs w:val="22"/>
        </w:rPr>
        <w:t>Defra should work with the Fund to undertake an external evaluation of the programme’s performance since initial investment, as referenced in Annex 3 of the Subscription Agreement. The external evaluation should consider how the fund is progressing towards its outcomes and final impact through its activities and outputs, particularly in relation to biodiversity.</w:t>
      </w:r>
    </w:p>
    <w:p w14:paraId="1D788E25" w14:textId="77777777" w:rsidR="00060794" w:rsidRDefault="00060794" w:rsidP="005E557A">
      <w:pPr>
        <w:ind w:left="720"/>
        <w:jc w:val="both"/>
        <w:rPr>
          <w:rFonts w:eastAsia="Arial" w:cs="Arial"/>
          <w:i/>
          <w:iCs/>
          <w:color w:val="000000" w:themeColor="text1"/>
          <w:sz w:val="22"/>
          <w:szCs w:val="22"/>
        </w:rPr>
      </w:pPr>
    </w:p>
    <w:p w14:paraId="4051F0EA" w14:textId="3FEFC96F" w:rsidR="00060794" w:rsidRDefault="00060794" w:rsidP="00060794">
      <w:pPr>
        <w:ind w:left="720"/>
        <w:jc w:val="both"/>
        <w:rPr>
          <w:rFonts w:eastAsia="Arial" w:cs="Arial"/>
          <w:bCs/>
          <w:i/>
          <w:iCs/>
          <w:color w:val="000000" w:themeColor="text1"/>
          <w:sz w:val="22"/>
          <w:szCs w:val="22"/>
        </w:rPr>
      </w:pPr>
      <w:r>
        <w:rPr>
          <w:rFonts w:eastAsia="Arial" w:cs="Arial"/>
          <w:i/>
          <w:iCs/>
          <w:color w:val="000000" w:themeColor="text1"/>
          <w:sz w:val="22"/>
          <w:szCs w:val="22"/>
        </w:rPr>
        <w:t xml:space="preserve">An external review was carried out by sustainability consultancy firm Steward </w:t>
      </w:r>
      <w:proofErr w:type="spellStart"/>
      <w:r>
        <w:rPr>
          <w:rFonts w:eastAsia="Arial" w:cs="Arial"/>
          <w:i/>
          <w:iCs/>
          <w:color w:val="000000" w:themeColor="text1"/>
          <w:sz w:val="22"/>
          <w:szCs w:val="22"/>
        </w:rPr>
        <w:t>Redqueen</w:t>
      </w:r>
      <w:proofErr w:type="spellEnd"/>
      <w:r>
        <w:rPr>
          <w:rFonts w:eastAsia="Arial" w:cs="Arial"/>
          <w:i/>
          <w:iCs/>
          <w:color w:val="000000" w:themeColor="text1"/>
          <w:sz w:val="22"/>
          <w:szCs w:val="22"/>
        </w:rPr>
        <w:t xml:space="preserve">, engaging with </w:t>
      </w:r>
      <w:proofErr w:type="gramStart"/>
      <w:r>
        <w:rPr>
          <w:rFonts w:eastAsia="Arial" w:cs="Arial"/>
          <w:i/>
          <w:iCs/>
          <w:color w:val="000000" w:themeColor="text1"/>
          <w:sz w:val="22"/>
          <w:szCs w:val="22"/>
        </w:rPr>
        <w:t>a large number of</w:t>
      </w:r>
      <w:proofErr w:type="gramEnd"/>
      <w:r>
        <w:rPr>
          <w:rFonts w:eastAsia="Arial" w:cs="Arial"/>
          <w:i/>
          <w:iCs/>
          <w:color w:val="000000" w:themeColor="text1"/>
          <w:sz w:val="22"/>
          <w:szCs w:val="22"/>
        </w:rPr>
        <w:t xml:space="preserve"> stakeholders including Defra. The Review was positive,</w:t>
      </w:r>
      <w:r w:rsidRPr="00060794">
        <w:rPr>
          <w:rFonts w:cs="Arial"/>
          <w:sz w:val="22"/>
          <w:szCs w:val="22"/>
          <w:lang w:eastAsia="en-GB"/>
        </w:rPr>
        <w:t xml:space="preserve"> </w:t>
      </w:r>
      <w:r w:rsidRPr="00060794">
        <w:rPr>
          <w:rFonts w:eastAsia="Arial" w:cs="Arial"/>
          <w:i/>
          <w:iCs/>
          <w:color w:val="000000" w:themeColor="text1"/>
          <w:sz w:val="22"/>
          <w:szCs w:val="22"/>
        </w:rPr>
        <w:t>prais</w:t>
      </w:r>
      <w:r>
        <w:rPr>
          <w:rFonts w:eastAsia="Arial" w:cs="Arial"/>
          <w:i/>
          <w:iCs/>
          <w:color w:val="000000" w:themeColor="text1"/>
          <w:sz w:val="22"/>
          <w:szCs w:val="22"/>
        </w:rPr>
        <w:t>ing</w:t>
      </w:r>
      <w:r w:rsidRPr="00060794">
        <w:rPr>
          <w:rFonts w:eastAsia="Arial" w:cs="Arial"/>
          <w:i/>
          <w:iCs/>
          <w:color w:val="000000" w:themeColor="text1"/>
          <w:sz w:val="22"/>
          <w:szCs w:val="22"/>
        </w:rPr>
        <w:t xml:space="preserve"> EBF-LAC’s effectiveness and performance,</w:t>
      </w:r>
      <w:r>
        <w:rPr>
          <w:rFonts w:eastAsia="Arial" w:cs="Arial"/>
          <w:i/>
          <w:iCs/>
          <w:color w:val="000000" w:themeColor="text1"/>
          <w:sz w:val="22"/>
          <w:szCs w:val="22"/>
        </w:rPr>
        <w:t xml:space="preserve"> and</w:t>
      </w:r>
      <w:r w:rsidRPr="00060794">
        <w:rPr>
          <w:rFonts w:eastAsia="Arial" w:cs="Arial"/>
          <w:i/>
          <w:iCs/>
          <w:color w:val="000000" w:themeColor="text1"/>
          <w:sz w:val="22"/>
          <w:szCs w:val="22"/>
        </w:rPr>
        <w:t xml:space="preserve"> describing it as a major contributor to sustainable land management.</w:t>
      </w:r>
      <w:r>
        <w:rPr>
          <w:rFonts w:eastAsia="Arial" w:cs="Arial"/>
          <w:i/>
          <w:iCs/>
          <w:color w:val="000000" w:themeColor="text1"/>
          <w:sz w:val="22"/>
          <w:szCs w:val="22"/>
        </w:rPr>
        <w:t xml:space="preserve"> The review </w:t>
      </w:r>
      <w:r w:rsidRPr="00060794">
        <w:rPr>
          <w:rFonts w:eastAsia="Arial" w:cs="Arial"/>
          <w:bCs/>
          <w:i/>
          <w:iCs/>
          <w:color w:val="000000" w:themeColor="text1"/>
          <w:sz w:val="22"/>
          <w:szCs w:val="22"/>
        </w:rPr>
        <w:t xml:space="preserve">supported the robustness of the Fund’s impact calculations across a suite of environmental and social indicators. The review set out how highly thought of the Fund and its </w:t>
      </w:r>
      <w:r w:rsidR="001D6F65">
        <w:rPr>
          <w:rFonts w:eastAsia="Arial" w:cs="Arial"/>
          <w:bCs/>
          <w:i/>
          <w:iCs/>
          <w:color w:val="000000" w:themeColor="text1"/>
          <w:sz w:val="22"/>
          <w:szCs w:val="22"/>
        </w:rPr>
        <w:t>DF</w:t>
      </w:r>
      <w:r w:rsidRPr="00060794">
        <w:rPr>
          <w:rFonts w:eastAsia="Arial" w:cs="Arial"/>
          <w:bCs/>
          <w:i/>
          <w:iCs/>
          <w:color w:val="000000" w:themeColor="text1"/>
          <w:sz w:val="22"/>
          <w:szCs w:val="22"/>
        </w:rPr>
        <w:t xml:space="preserve"> are in the target countries, and the quality of the decision making behind which countries and sectors are targeted. It found that:</w:t>
      </w:r>
    </w:p>
    <w:p w14:paraId="6D6DA1B2" w14:textId="77777777" w:rsidR="00F76241" w:rsidRPr="00060794" w:rsidRDefault="00F76241" w:rsidP="00060794">
      <w:pPr>
        <w:ind w:left="720"/>
        <w:jc w:val="both"/>
        <w:rPr>
          <w:rFonts w:eastAsia="Arial" w:cs="Arial"/>
          <w:bCs/>
          <w:i/>
          <w:iCs/>
          <w:color w:val="000000" w:themeColor="text1"/>
          <w:sz w:val="22"/>
          <w:szCs w:val="22"/>
        </w:rPr>
      </w:pPr>
    </w:p>
    <w:p w14:paraId="22941155" w14:textId="77777777" w:rsidR="00060794" w:rsidRPr="00060794" w:rsidRDefault="00060794" w:rsidP="00060794">
      <w:pPr>
        <w:numPr>
          <w:ilvl w:val="0"/>
          <w:numId w:val="22"/>
        </w:numPr>
        <w:jc w:val="both"/>
        <w:rPr>
          <w:rFonts w:eastAsia="Arial" w:cs="Arial"/>
          <w:bCs/>
          <w:i/>
          <w:iCs/>
          <w:color w:val="000000" w:themeColor="text1"/>
          <w:sz w:val="22"/>
          <w:szCs w:val="22"/>
        </w:rPr>
      </w:pPr>
      <w:r w:rsidRPr="00060794">
        <w:rPr>
          <w:rFonts w:eastAsia="Arial" w:cs="Arial"/>
          <w:bCs/>
          <w:i/>
          <w:iCs/>
          <w:color w:val="000000" w:themeColor="text1"/>
          <w:sz w:val="22"/>
          <w:szCs w:val="22"/>
        </w:rPr>
        <w:t xml:space="preserve">The Fund is actively promoting sustainability in the </w:t>
      </w:r>
      <w:proofErr w:type="gramStart"/>
      <w:r w:rsidRPr="00060794">
        <w:rPr>
          <w:rFonts w:eastAsia="Arial" w:cs="Arial"/>
          <w:bCs/>
          <w:i/>
          <w:iCs/>
          <w:color w:val="000000" w:themeColor="text1"/>
          <w:sz w:val="22"/>
          <w:szCs w:val="22"/>
        </w:rPr>
        <w:t>sector;</w:t>
      </w:r>
      <w:proofErr w:type="gramEnd"/>
    </w:p>
    <w:p w14:paraId="2569B8EE" w14:textId="77777777" w:rsidR="00060794" w:rsidRPr="00060794" w:rsidRDefault="00060794" w:rsidP="00060794">
      <w:pPr>
        <w:numPr>
          <w:ilvl w:val="0"/>
          <w:numId w:val="22"/>
        </w:numPr>
        <w:jc w:val="both"/>
        <w:rPr>
          <w:rFonts w:eastAsia="Arial" w:cs="Arial"/>
          <w:bCs/>
          <w:i/>
          <w:iCs/>
          <w:color w:val="000000" w:themeColor="text1"/>
          <w:sz w:val="22"/>
          <w:szCs w:val="22"/>
        </w:rPr>
      </w:pPr>
      <w:r w:rsidRPr="00060794">
        <w:rPr>
          <w:rFonts w:eastAsia="Arial" w:cs="Arial"/>
          <w:bCs/>
          <w:i/>
          <w:iCs/>
          <w:color w:val="000000" w:themeColor="text1"/>
          <w:sz w:val="22"/>
          <w:szCs w:val="22"/>
        </w:rPr>
        <w:t xml:space="preserve">TA is crucial to the Fund’s impact and </w:t>
      </w:r>
      <w:proofErr w:type="gramStart"/>
      <w:r w:rsidRPr="00060794">
        <w:rPr>
          <w:rFonts w:eastAsia="Arial" w:cs="Arial"/>
          <w:bCs/>
          <w:i/>
          <w:iCs/>
          <w:color w:val="000000" w:themeColor="text1"/>
          <w:sz w:val="22"/>
          <w:szCs w:val="22"/>
        </w:rPr>
        <w:t>success;</w:t>
      </w:r>
      <w:proofErr w:type="gramEnd"/>
    </w:p>
    <w:p w14:paraId="63E84E23" w14:textId="77777777" w:rsidR="00060794" w:rsidRPr="00060794" w:rsidRDefault="00060794" w:rsidP="00060794">
      <w:pPr>
        <w:numPr>
          <w:ilvl w:val="0"/>
          <w:numId w:val="22"/>
        </w:numPr>
        <w:jc w:val="both"/>
        <w:rPr>
          <w:rFonts w:eastAsia="Arial" w:cs="Arial"/>
          <w:bCs/>
          <w:i/>
          <w:iCs/>
          <w:color w:val="000000" w:themeColor="text1"/>
          <w:sz w:val="22"/>
          <w:szCs w:val="22"/>
        </w:rPr>
      </w:pPr>
      <w:r w:rsidRPr="00060794">
        <w:rPr>
          <w:rFonts w:eastAsia="Arial" w:cs="Arial"/>
          <w:bCs/>
          <w:i/>
          <w:iCs/>
          <w:color w:val="000000" w:themeColor="text1"/>
          <w:sz w:val="22"/>
          <w:szCs w:val="22"/>
        </w:rPr>
        <w:t xml:space="preserve">financial performance has been consistently </w:t>
      </w:r>
      <w:proofErr w:type="gramStart"/>
      <w:r w:rsidRPr="00060794">
        <w:rPr>
          <w:rFonts w:eastAsia="Arial" w:cs="Arial"/>
          <w:bCs/>
          <w:i/>
          <w:iCs/>
          <w:color w:val="000000" w:themeColor="text1"/>
          <w:sz w:val="22"/>
          <w:szCs w:val="22"/>
        </w:rPr>
        <w:t>positive;</w:t>
      </w:r>
      <w:proofErr w:type="gramEnd"/>
    </w:p>
    <w:p w14:paraId="620A8016" w14:textId="77777777" w:rsidR="00060794" w:rsidRPr="00060794" w:rsidRDefault="00060794" w:rsidP="00060794">
      <w:pPr>
        <w:numPr>
          <w:ilvl w:val="0"/>
          <w:numId w:val="22"/>
        </w:numPr>
        <w:jc w:val="both"/>
        <w:rPr>
          <w:rFonts w:eastAsia="Arial" w:cs="Arial"/>
          <w:bCs/>
          <w:i/>
          <w:iCs/>
          <w:color w:val="000000" w:themeColor="text1"/>
          <w:sz w:val="22"/>
          <w:szCs w:val="22"/>
        </w:rPr>
      </w:pPr>
      <w:r w:rsidRPr="00060794">
        <w:rPr>
          <w:rFonts w:eastAsia="Arial" w:cs="Arial"/>
          <w:bCs/>
          <w:i/>
          <w:iCs/>
          <w:color w:val="000000" w:themeColor="text1"/>
          <w:sz w:val="22"/>
          <w:szCs w:val="22"/>
        </w:rPr>
        <w:t xml:space="preserve">the Fund is an exceptionally agile, </w:t>
      </w:r>
      <w:proofErr w:type="gramStart"/>
      <w:r w:rsidRPr="00060794">
        <w:rPr>
          <w:rFonts w:eastAsia="Arial" w:cs="Arial"/>
          <w:bCs/>
          <w:i/>
          <w:iCs/>
          <w:color w:val="000000" w:themeColor="text1"/>
          <w:sz w:val="22"/>
          <w:szCs w:val="22"/>
        </w:rPr>
        <w:t>fast</w:t>
      </w:r>
      <w:proofErr w:type="gramEnd"/>
      <w:r w:rsidRPr="00060794">
        <w:rPr>
          <w:rFonts w:eastAsia="Arial" w:cs="Arial"/>
          <w:bCs/>
          <w:i/>
          <w:iCs/>
          <w:color w:val="000000" w:themeColor="text1"/>
          <w:sz w:val="22"/>
          <w:szCs w:val="22"/>
        </w:rPr>
        <w:t xml:space="preserve"> and structured partner; and</w:t>
      </w:r>
    </w:p>
    <w:p w14:paraId="47E0B0FF" w14:textId="77777777" w:rsidR="00060794" w:rsidRPr="00060794" w:rsidRDefault="00060794" w:rsidP="00060794">
      <w:pPr>
        <w:numPr>
          <w:ilvl w:val="0"/>
          <w:numId w:val="22"/>
        </w:numPr>
        <w:jc w:val="both"/>
        <w:rPr>
          <w:rFonts w:eastAsia="Arial" w:cs="Arial"/>
          <w:bCs/>
          <w:i/>
          <w:iCs/>
          <w:color w:val="000000" w:themeColor="text1"/>
          <w:sz w:val="22"/>
          <w:szCs w:val="22"/>
        </w:rPr>
      </w:pPr>
      <w:r w:rsidRPr="00060794">
        <w:rPr>
          <w:rFonts w:eastAsia="Arial" w:cs="Arial"/>
          <w:bCs/>
          <w:i/>
          <w:iCs/>
          <w:color w:val="000000" w:themeColor="text1"/>
          <w:sz w:val="22"/>
          <w:szCs w:val="22"/>
        </w:rPr>
        <w:t>that it is making a major contribution to promoting sustainable land management and environmental savings.</w:t>
      </w:r>
    </w:p>
    <w:p w14:paraId="11F2FAC9" w14:textId="77777777" w:rsidR="00060794" w:rsidRPr="00060794" w:rsidRDefault="00060794" w:rsidP="00060794">
      <w:pPr>
        <w:ind w:left="720"/>
        <w:jc w:val="both"/>
        <w:rPr>
          <w:rFonts w:eastAsia="Arial" w:cs="Arial"/>
          <w:bCs/>
          <w:i/>
          <w:iCs/>
          <w:color w:val="000000" w:themeColor="text1"/>
          <w:sz w:val="22"/>
          <w:szCs w:val="22"/>
        </w:rPr>
      </w:pPr>
    </w:p>
    <w:p w14:paraId="1CC9CD61" w14:textId="01F467DE" w:rsidR="01DF1443" w:rsidRPr="00024BE3" w:rsidRDefault="00060794" w:rsidP="00024BE3">
      <w:pPr>
        <w:ind w:left="720"/>
        <w:jc w:val="both"/>
        <w:rPr>
          <w:rFonts w:eastAsia="Arial" w:cs="Arial"/>
          <w:bCs/>
          <w:i/>
          <w:iCs/>
          <w:color w:val="000000" w:themeColor="text1"/>
          <w:sz w:val="22"/>
          <w:szCs w:val="22"/>
        </w:rPr>
      </w:pPr>
      <w:r w:rsidRPr="00060794">
        <w:rPr>
          <w:rFonts w:eastAsia="Arial" w:cs="Arial"/>
          <w:bCs/>
          <w:i/>
          <w:iCs/>
          <w:color w:val="000000" w:themeColor="text1"/>
          <w:sz w:val="22"/>
          <w:szCs w:val="22"/>
        </w:rPr>
        <w:t>The Review also suggested areas for development, including enhancing monitoring and reducing the day</w:t>
      </w:r>
      <w:r w:rsidR="00537558">
        <w:rPr>
          <w:rFonts w:eastAsia="Arial" w:cs="Arial"/>
          <w:bCs/>
          <w:i/>
          <w:iCs/>
          <w:color w:val="000000" w:themeColor="text1"/>
          <w:sz w:val="22"/>
          <w:szCs w:val="22"/>
        </w:rPr>
        <w:t>-</w:t>
      </w:r>
      <w:r w:rsidRPr="00060794">
        <w:rPr>
          <w:rFonts w:eastAsia="Arial" w:cs="Arial"/>
          <w:bCs/>
          <w:i/>
          <w:iCs/>
          <w:color w:val="000000" w:themeColor="text1"/>
          <w:sz w:val="22"/>
          <w:szCs w:val="22"/>
        </w:rPr>
        <w:t>to</w:t>
      </w:r>
      <w:r w:rsidR="00537558">
        <w:rPr>
          <w:rFonts w:eastAsia="Arial" w:cs="Arial"/>
          <w:bCs/>
          <w:i/>
          <w:iCs/>
          <w:color w:val="000000" w:themeColor="text1"/>
          <w:sz w:val="22"/>
          <w:szCs w:val="22"/>
        </w:rPr>
        <w:t>-</w:t>
      </w:r>
      <w:r w:rsidRPr="00060794">
        <w:rPr>
          <w:rFonts w:eastAsia="Arial" w:cs="Arial"/>
          <w:bCs/>
          <w:i/>
          <w:iCs/>
          <w:color w:val="000000" w:themeColor="text1"/>
          <w:sz w:val="22"/>
          <w:szCs w:val="22"/>
        </w:rPr>
        <w:t>day role of the Board in management. To extend the Fund’s success so far, the Review suggested diversifying and expanding, and dedicating more resource to fund-raising. From a Defra perspective, the Review’s recommendation that the Fund supports more of the ‘willing but not yet able’</w:t>
      </w:r>
      <w:r w:rsidR="00E63376">
        <w:rPr>
          <w:rFonts w:eastAsia="Arial" w:cs="Arial"/>
          <w:bCs/>
          <w:i/>
          <w:iCs/>
          <w:color w:val="000000" w:themeColor="text1"/>
          <w:sz w:val="22"/>
          <w:szCs w:val="22"/>
        </w:rPr>
        <w:t xml:space="preserve"> </w:t>
      </w:r>
      <w:r w:rsidRPr="00060794">
        <w:rPr>
          <w:rFonts w:eastAsia="Arial" w:cs="Arial"/>
          <w:bCs/>
          <w:i/>
          <w:iCs/>
          <w:color w:val="000000" w:themeColor="text1"/>
          <w:sz w:val="22"/>
          <w:szCs w:val="22"/>
        </w:rPr>
        <w:t>is critical for maximising impact and additionality.</w:t>
      </w:r>
    </w:p>
    <w:p w14:paraId="33264FB9" w14:textId="709E977A" w:rsidR="09AA3986" w:rsidRPr="006B4633" w:rsidRDefault="09AA3986" w:rsidP="005E557A">
      <w:pPr>
        <w:ind w:left="720"/>
        <w:jc w:val="both"/>
        <w:rPr>
          <w:rFonts w:eastAsia="Arial" w:cs="Arial"/>
          <w:color w:val="000000" w:themeColor="text1"/>
          <w:sz w:val="22"/>
          <w:szCs w:val="22"/>
        </w:rPr>
      </w:pPr>
    </w:p>
    <w:p w14:paraId="2621ACB0" w14:textId="5C7CD628" w:rsidR="00BF7982" w:rsidRDefault="00BF7982" w:rsidP="00BF7982">
      <w:pPr>
        <w:pStyle w:val="ListParagraph"/>
        <w:numPr>
          <w:ilvl w:val="0"/>
          <w:numId w:val="21"/>
        </w:numPr>
        <w:jc w:val="both"/>
        <w:rPr>
          <w:rFonts w:eastAsia="Arial" w:cs="Arial"/>
          <w:color w:val="000000" w:themeColor="text1"/>
          <w:sz w:val="22"/>
          <w:szCs w:val="22"/>
        </w:rPr>
      </w:pPr>
      <w:r w:rsidRPr="00BF7982">
        <w:rPr>
          <w:rFonts w:eastAsia="Arial" w:cs="Arial"/>
          <w:color w:val="000000" w:themeColor="text1"/>
          <w:sz w:val="22"/>
          <w:szCs w:val="22"/>
        </w:rPr>
        <w:t xml:space="preserve">Defra will work with the Fund </w:t>
      </w:r>
      <w:r w:rsidRPr="008D3032">
        <w:rPr>
          <w:rFonts w:eastAsia="Arial" w:cs="Arial"/>
          <w:color w:val="000000" w:themeColor="text1"/>
          <w:sz w:val="22"/>
          <w:szCs w:val="22"/>
        </w:rPr>
        <w:t>to revise the targets in the Defra</w:t>
      </w:r>
      <w:r>
        <w:rPr>
          <w:rFonts w:eastAsia="Arial" w:cs="Arial"/>
          <w:color w:val="000000" w:themeColor="text1"/>
          <w:sz w:val="22"/>
          <w:szCs w:val="22"/>
        </w:rPr>
        <w:t xml:space="preserve"> </w:t>
      </w:r>
      <w:proofErr w:type="spellStart"/>
      <w:r>
        <w:rPr>
          <w:rFonts w:eastAsia="Arial" w:cs="Arial"/>
          <w:color w:val="000000" w:themeColor="text1"/>
          <w:sz w:val="22"/>
          <w:szCs w:val="22"/>
        </w:rPr>
        <w:t>L</w:t>
      </w:r>
      <w:r w:rsidRPr="008D3032">
        <w:rPr>
          <w:rFonts w:eastAsia="Arial" w:cs="Arial"/>
          <w:color w:val="000000" w:themeColor="text1"/>
          <w:sz w:val="22"/>
          <w:szCs w:val="22"/>
        </w:rPr>
        <w:t>og</w:t>
      </w:r>
      <w:r>
        <w:rPr>
          <w:rFonts w:eastAsia="Arial" w:cs="Arial"/>
          <w:color w:val="000000" w:themeColor="text1"/>
          <w:sz w:val="22"/>
          <w:szCs w:val="22"/>
        </w:rPr>
        <w:t>F</w:t>
      </w:r>
      <w:r w:rsidRPr="008D3032">
        <w:rPr>
          <w:rFonts w:eastAsia="Arial" w:cs="Arial"/>
          <w:color w:val="000000" w:themeColor="text1"/>
          <w:sz w:val="22"/>
          <w:szCs w:val="22"/>
        </w:rPr>
        <w:t>rame</w:t>
      </w:r>
      <w:proofErr w:type="spellEnd"/>
      <w:r w:rsidRPr="008D3032">
        <w:rPr>
          <w:rFonts w:eastAsia="Arial" w:cs="Arial"/>
          <w:color w:val="000000" w:themeColor="text1"/>
          <w:sz w:val="22"/>
          <w:szCs w:val="22"/>
        </w:rPr>
        <w:t xml:space="preserve"> for the next few years upwards in line with the current trend in results</w:t>
      </w:r>
      <w:r>
        <w:rPr>
          <w:rFonts w:eastAsia="Arial" w:cs="Arial"/>
          <w:color w:val="000000" w:themeColor="text1"/>
          <w:sz w:val="22"/>
          <w:szCs w:val="22"/>
        </w:rPr>
        <w:t>, and</w:t>
      </w:r>
      <w:r w:rsidRPr="00BF7982">
        <w:rPr>
          <w:rFonts w:eastAsia="Arial" w:cs="Arial"/>
          <w:color w:val="000000" w:themeColor="text1"/>
          <w:sz w:val="22"/>
          <w:szCs w:val="22"/>
        </w:rPr>
        <w:t xml:space="preserve"> ensure realistic targets are set based upon the best available evidence</w:t>
      </w:r>
      <w:r>
        <w:rPr>
          <w:rFonts w:eastAsia="Arial" w:cs="Arial"/>
          <w:color w:val="000000" w:themeColor="text1"/>
          <w:sz w:val="22"/>
          <w:szCs w:val="22"/>
        </w:rPr>
        <w:t>.</w:t>
      </w:r>
    </w:p>
    <w:p w14:paraId="72D1B473" w14:textId="244B2474" w:rsidR="55658DF9" w:rsidRDefault="00BF7982" w:rsidP="005E557A">
      <w:pPr>
        <w:ind w:left="720"/>
        <w:jc w:val="both"/>
        <w:rPr>
          <w:rFonts w:eastAsia="Arial" w:cs="Arial"/>
          <w:i/>
          <w:iCs/>
          <w:color w:val="000000" w:themeColor="text1"/>
          <w:sz w:val="22"/>
          <w:szCs w:val="22"/>
        </w:rPr>
      </w:pPr>
      <w:r>
        <w:rPr>
          <w:rFonts w:eastAsia="Arial" w:cs="Arial"/>
          <w:i/>
          <w:iCs/>
          <w:color w:val="000000" w:themeColor="text1"/>
          <w:sz w:val="22"/>
          <w:szCs w:val="22"/>
        </w:rPr>
        <w:lastRenderedPageBreak/>
        <w:t>Milestones for 2023</w:t>
      </w:r>
      <w:r w:rsidR="00E44DFE">
        <w:rPr>
          <w:rFonts w:eastAsia="Arial" w:cs="Arial"/>
          <w:i/>
          <w:iCs/>
          <w:color w:val="000000" w:themeColor="text1"/>
          <w:sz w:val="22"/>
          <w:szCs w:val="22"/>
        </w:rPr>
        <w:t xml:space="preserve"> </w:t>
      </w:r>
      <w:r>
        <w:rPr>
          <w:rFonts w:eastAsia="Arial" w:cs="Arial"/>
          <w:i/>
          <w:iCs/>
          <w:color w:val="000000" w:themeColor="text1"/>
          <w:sz w:val="22"/>
          <w:szCs w:val="22"/>
        </w:rPr>
        <w:t xml:space="preserve">that </w:t>
      </w:r>
      <w:bookmarkStart w:id="1" w:name="_Hlk151718223"/>
      <w:proofErr w:type="gramStart"/>
      <w:r>
        <w:rPr>
          <w:rFonts w:eastAsia="Arial" w:cs="Arial"/>
          <w:i/>
          <w:iCs/>
          <w:color w:val="000000" w:themeColor="text1"/>
          <w:sz w:val="22"/>
          <w:szCs w:val="22"/>
        </w:rPr>
        <w:t>take into account</w:t>
      </w:r>
      <w:proofErr w:type="gramEnd"/>
      <w:r>
        <w:rPr>
          <w:rFonts w:eastAsia="Arial" w:cs="Arial"/>
          <w:i/>
          <w:iCs/>
          <w:color w:val="000000" w:themeColor="text1"/>
          <w:sz w:val="22"/>
          <w:szCs w:val="22"/>
        </w:rPr>
        <w:t xml:space="preserve"> trends over the last few years (both exceeding and missing targets) have been agreed as part of the 2022 </w:t>
      </w:r>
      <w:r w:rsidR="00FC2536">
        <w:rPr>
          <w:rFonts w:eastAsia="Arial" w:cs="Arial"/>
          <w:i/>
          <w:iCs/>
          <w:color w:val="000000" w:themeColor="text1"/>
          <w:sz w:val="22"/>
          <w:szCs w:val="22"/>
        </w:rPr>
        <w:t>AR</w:t>
      </w:r>
      <w:r>
        <w:rPr>
          <w:rFonts w:eastAsia="Arial" w:cs="Arial"/>
          <w:i/>
          <w:iCs/>
          <w:color w:val="000000" w:themeColor="text1"/>
          <w:sz w:val="22"/>
          <w:szCs w:val="22"/>
        </w:rPr>
        <w:t xml:space="preserve"> process.</w:t>
      </w:r>
      <w:r w:rsidR="00E44DFE">
        <w:rPr>
          <w:rFonts w:eastAsia="Arial" w:cs="Arial"/>
          <w:i/>
          <w:iCs/>
          <w:color w:val="000000" w:themeColor="text1"/>
          <w:sz w:val="22"/>
          <w:szCs w:val="22"/>
        </w:rPr>
        <w:t xml:space="preserve"> The fund is </w:t>
      </w:r>
      <w:r w:rsidR="001A1B60">
        <w:rPr>
          <w:rFonts w:eastAsia="Arial" w:cs="Arial"/>
          <w:i/>
          <w:iCs/>
          <w:color w:val="000000" w:themeColor="text1"/>
          <w:sz w:val="22"/>
          <w:szCs w:val="22"/>
        </w:rPr>
        <w:t xml:space="preserve">currently setting a business plan for 2024-8, so milestones will be set for that period in </w:t>
      </w:r>
      <w:r w:rsidR="00EA64A8">
        <w:rPr>
          <w:rFonts w:eastAsia="Arial" w:cs="Arial"/>
          <w:i/>
          <w:iCs/>
          <w:color w:val="000000" w:themeColor="text1"/>
          <w:sz w:val="22"/>
          <w:szCs w:val="22"/>
        </w:rPr>
        <w:t>December 2023</w:t>
      </w:r>
      <w:r w:rsidR="001A1B60">
        <w:rPr>
          <w:rFonts w:eastAsia="Arial" w:cs="Arial"/>
          <w:i/>
          <w:iCs/>
          <w:color w:val="000000" w:themeColor="text1"/>
          <w:sz w:val="22"/>
          <w:szCs w:val="22"/>
        </w:rPr>
        <w:t>.</w:t>
      </w:r>
      <w:bookmarkEnd w:id="1"/>
    </w:p>
    <w:p w14:paraId="220D84A3" w14:textId="72A99393" w:rsidR="00B117BF" w:rsidRDefault="00B117BF" w:rsidP="00B117BF">
      <w:pPr>
        <w:jc w:val="both"/>
        <w:rPr>
          <w:rFonts w:eastAsia="Arial" w:cs="Arial"/>
          <w:i/>
          <w:iCs/>
          <w:color w:val="000000" w:themeColor="text1"/>
          <w:sz w:val="22"/>
          <w:szCs w:val="22"/>
        </w:rPr>
      </w:pPr>
    </w:p>
    <w:p w14:paraId="6E8F72B9" w14:textId="74946972" w:rsidR="00B117BF" w:rsidRDefault="00B117BF" w:rsidP="00B117BF">
      <w:pPr>
        <w:pStyle w:val="ListParagraph"/>
        <w:numPr>
          <w:ilvl w:val="0"/>
          <w:numId w:val="21"/>
        </w:numPr>
        <w:jc w:val="both"/>
        <w:rPr>
          <w:rFonts w:eastAsia="Arial" w:cs="Arial"/>
          <w:color w:val="000000" w:themeColor="text1"/>
          <w:sz w:val="22"/>
          <w:szCs w:val="22"/>
        </w:rPr>
      </w:pPr>
      <w:r>
        <w:rPr>
          <w:rFonts w:eastAsia="Arial" w:cs="Arial"/>
          <w:color w:val="000000" w:themeColor="text1"/>
          <w:sz w:val="22"/>
          <w:szCs w:val="22"/>
        </w:rPr>
        <w:t>T</w:t>
      </w:r>
      <w:r w:rsidRPr="00B117BF">
        <w:rPr>
          <w:rFonts w:eastAsia="Arial" w:cs="Arial"/>
          <w:color w:val="000000" w:themeColor="text1"/>
          <w:sz w:val="22"/>
          <w:szCs w:val="22"/>
        </w:rPr>
        <w:t xml:space="preserve">he Fund should continue to look at new commodities that could be supported to meet </w:t>
      </w:r>
      <w:r>
        <w:rPr>
          <w:rFonts w:eastAsia="Arial" w:cs="Arial"/>
          <w:color w:val="000000" w:themeColor="text1"/>
          <w:sz w:val="22"/>
          <w:szCs w:val="22"/>
        </w:rPr>
        <w:t>and exceed Output T</w:t>
      </w:r>
      <w:r w:rsidRPr="00B117BF">
        <w:rPr>
          <w:rFonts w:eastAsia="Arial" w:cs="Arial"/>
          <w:color w:val="000000" w:themeColor="text1"/>
          <w:sz w:val="22"/>
          <w:szCs w:val="22"/>
        </w:rPr>
        <w:t xml:space="preserve">arget </w:t>
      </w:r>
      <w:r>
        <w:rPr>
          <w:rFonts w:eastAsia="Arial" w:cs="Arial"/>
          <w:color w:val="000000" w:themeColor="text1"/>
          <w:sz w:val="22"/>
          <w:szCs w:val="22"/>
        </w:rPr>
        <w:t xml:space="preserve">1.2 </w:t>
      </w:r>
      <w:r w:rsidRPr="00B117BF">
        <w:rPr>
          <w:rFonts w:eastAsia="Arial" w:cs="Arial"/>
          <w:color w:val="000000" w:themeColor="text1"/>
          <w:sz w:val="22"/>
          <w:szCs w:val="22"/>
        </w:rPr>
        <w:t>in 2022</w:t>
      </w:r>
      <w:r>
        <w:rPr>
          <w:rFonts w:eastAsia="Arial" w:cs="Arial"/>
          <w:color w:val="000000" w:themeColor="text1"/>
          <w:sz w:val="22"/>
          <w:szCs w:val="22"/>
        </w:rPr>
        <w:t>.</w:t>
      </w:r>
    </w:p>
    <w:p w14:paraId="0A88BEF8" w14:textId="758F0005" w:rsidR="00BF7982" w:rsidRPr="00B117BF" w:rsidRDefault="00BF7982" w:rsidP="00B117BF">
      <w:pPr>
        <w:ind w:left="720"/>
        <w:jc w:val="both"/>
        <w:rPr>
          <w:rFonts w:eastAsia="Arial" w:cs="Arial"/>
          <w:i/>
          <w:iCs/>
          <w:color w:val="000000" w:themeColor="text1"/>
          <w:sz w:val="22"/>
          <w:szCs w:val="22"/>
        </w:rPr>
      </w:pPr>
      <w:r w:rsidRPr="00B117BF">
        <w:rPr>
          <w:rFonts w:eastAsia="Arial" w:cs="Arial"/>
          <w:i/>
          <w:iCs/>
          <w:color w:val="000000" w:themeColor="text1"/>
          <w:sz w:val="22"/>
          <w:szCs w:val="22"/>
        </w:rPr>
        <w:t xml:space="preserve">Both reporting on the number of commodities and the diversity of the portfolio have improved to increase </w:t>
      </w:r>
      <w:r w:rsidR="00B117BF" w:rsidRPr="00B117BF">
        <w:rPr>
          <w:rFonts w:eastAsia="Arial" w:cs="Arial"/>
          <w:i/>
          <w:iCs/>
          <w:color w:val="000000" w:themeColor="text1"/>
          <w:sz w:val="22"/>
          <w:szCs w:val="22"/>
        </w:rPr>
        <w:t>the number reported for 2022</w:t>
      </w:r>
      <w:r w:rsidR="00B117BF">
        <w:rPr>
          <w:rFonts w:eastAsia="Arial" w:cs="Arial"/>
          <w:i/>
          <w:iCs/>
          <w:color w:val="000000" w:themeColor="text1"/>
          <w:sz w:val="22"/>
          <w:szCs w:val="22"/>
        </w:rPr>
        <w:t xml:space="preserve"> well beyond the milestone</w:t>
      </w:r>
      <w:r w:rsidR="00B117BF" w:rsidRPr="00B117BF">
        <w:rPr>
          <w:rFonts w:eastAsia="Arial" w:cs="Arial"/>
          <w:i/>
          <w:iCs/>
          <w:color w:val="000000" w:themeColor="text1"/>
          <w:sz w:val="22"/>
          <w:szCs w:val="22"/>
        </w:rPr>
        <w:t>.</w:t>
      </w:r>
    </w:p>
    <w:p w14:paraId="2F963929" w14:textId="77777777" w:rsidR="00B117BF" w:rsidRPr="00B117BF" w:rsidRDefault="00B117BF" w:rsidP="00B117BF">
      <w:pPr>
        <w:jc w:val="both"/>
        <w:rPr>
          <w:rFonts w:eastAsia="Arial" w:cs="Arial"/>
          <w:i/>
          <w:iCs/>
          <w:color w:val="000000" w:themeColor="text1"/>
          <w:sz w:val="22"/>
          <w:szCs w:val="22"/>
        </w:rPr>
      </w:pPr>
    </w:p>
    <w:p w14:paraId="4F2E8B46" w14:textId="336576B0" w:rsidR="00BF7982" w:rsidRPr="00B117BF" w:rsidRDefault="00B117BF" w:rsidP="00B117BF">
      <w:pPr>
        <w:pStyle w:val="ListParagraph"/>
        <w:numPr>
          <w:ilvl w:val="0"/>
          <w:numId w:val="21"/>
        </w:numPr>
        <w:jc w:val="both"/>
        <w:rPr>
          <w:rFonts w:eastAsia="Arial" w:cs="Arial"/>
          <w:i/>
          <w:iCs/>
          <w:color w:val="000000" w:themeColor="text1"/>
          <w:sz w:val="22"/>
          <w:szCs w:val="22"/>
        </w:rPr>
      </w:pPr>
      <w:r w:rsidRPr="00B117BF">
        <w:rPr>
          <w:rFonts w:eastAsia="Arial" w:cs="Arial"/>
          <w:color w:val="000000" w:themeColor="text1"/>
          <w:sz w:val="22"/>
          <w:szCs w:val="22"/>
        </w:rPr>
        <w:t xml:space="preserve">The Fund should continue to develop the pipeline and secure approval from the </w:t>
      </w:r>
      <w:r w:rsidR="001D6F65">
        <w:rPr>
          <w:rFonts w:eastAsia="Arial" w:cs="Arial"/>
          <w:color w:val="000000" w:themeColor="text1"/>
          <w:sz w:val="22"/>
          <w:szCs w:val="22"/>
        </w:rPr>
        <w:t>DF</w:t>
      </w:r>
      <w:r w:rsidRPr="00B117BF">
        <w:rPr>
          <w:rFonts w:eastAsia="Arial" w:cs="Arial"/>
          <w:color w:val="000000" w:themeColor="text1"/>
          <w:sz w:val="22"/>
          <w:szCs w:val="22"/>
        </w:rPr>
        <w:t xml:space="preserve"> Committee for TA projects for 2022 </w:t>
      </w:r>
      <w:proofErr w:type="gramStart"/>
      <w:r w:rsidRPr="00B117BF">
        <w:rPr>
          <w:rFonts w:eastAsia="Arial" w:cs="Arial"/>
          <w:color w:val="000000" w:themeColor="text1"/>
          <w:sz w:val="22"/>
          <w:szCs w:val="22"/>
        </w:rPr>
        <w:t>in order to</w:t>
      </w:r>
      <w:proofErr w:type="gramEnd"/>
      <w:r w:rsidRPr="00B117BF">
        <w:rPr>
          <w:rFonts w:eastAsia="Arial" w:cs="Arial"/>
          <w:color w:val="000000" w:themeColor="text1"/>
          <w:sz w:val="22"/>
          <w:szCs w:val="22"/>
        </w:rPr>
        <w:t xml:space="preserve"> achieve the target and continue to provide high quality, consistent TA across projects and to PIs. The fund should consider opportunities to support and monitor biodiversity through TA projects.</w:t>
      </w:r>
    </w:p>
    <w:p w14:paraId="5E6EC54C" w14:textId="27E7698D" w:rsidR="00B117BF" w:rsidRPr="00B117BF" w:rsidRDefault="00B117BF" w:rsidP="00B117BF">
      <w:pPr>
        <w:ind w:left="720"/>
        <w:jc w:val="both"/>
        <w:rPr>
          <w:rFonts w:eastAsia="Arial" w:cs="Arial"/>
          <w:i/>
          <w:iCs/>
          <w:color w:val="000000" w:themeColor="text1"/>
          <w:sz w:val="22"/>
          <w:szCs w:val="22"/>
        </w:rPr>
      </w:pPr>
      <w:r>
        <w:rPr>
          <w:rFonts w:eastAsia="Arial" w:cs="Arial"/>
          <w:i/>
          <w:iCs/>
          <w:color w:val="000000" w:themeColor="text1"/>
          <w:sz w:val="22"/>
          <w:szCs w:val="22"/>
        </w:rPr>
        <w:t xml:space="preserve">The number of TA projects approved and completed in 2022 has increased, and notably the Fund has carried out a pilot of </w:t>
      </w:r>
      <w:proofErr w:type="spellStart"/>
      <w:r>
        <w:rPr>
          <w:rFonts w:eastAsia="Arial" w:cs="Arial"/>
          <w:i/>
          <w:iCs/>
          <w:color w:val="000000" w:themeColor="text1"/>
          <w:sz w:val="22"/>
          <w:szCs w:val="22"/>
        </w:rPr>
        <w:t>ecoacoustic</w:t>
      </w:r>
      <w:proofErr w:type="spellEnd"/>
      <w:r>
        <w:rPr>
          <w:rFonts w:eastAsia="Arial" w:cs="Arial"/>
          <w:i/>
          <w:iCs/>
          <w:color w:val="000000" w:themeColor="text1"/>
          <w:sz w:val="22"/>
          <w:szCs w:val="22"/>
        </w:rPr>
        <w:t xml:space="preserve"> monitoring for improving assessment of biodiversity outcomes.</w:t>
      </w:r>
    </w:p>
    <w:p w14:paraId="44E1DF08" w14:textId="5A8E2915" w:rsidR="09AA3986" w:rsidRDefault="09AA3986" w:rsidP="00B117BF">
      <w:pPr>
        <w:jc w:val="both"/>
        <w:rPr>
          <w:rFonts w:eastAsia="Arial" w:cs="Arial"/>
          <w:i/>
          <w:iCs/>
          <w:color w:val="000000" w:themeColor="text1"/>
          <w:sz w:val="22"/>
          <w:szCs w:val="22"/>
        </w:rPr>
      </w:pPr>
    </w:p>
    <w:p w14:paraId="1ACAE4B2" w14:textId="261C1692" w:rsidR="00B117BF" w:rsidRPr="00B117BF" w:rsidRDefault="00B117BF" w:rsidP="00B117BF">
      <w:pPr>
        <w:pStyle w:val="ListParagraph"/>
        <w:numPr>
          <w:ilvl w:val="0"/>
          <w:numId w:val="21"/>
        </w:numPr>
        <w:jc w:val="both"/>
        <w:rPr>
          <w:rFonts w:eastAsia="Arial" w:cs="Arial"/>
          <w:i/>
          <w:iCs/>
          <w:color w:val="000000" w:themeColor="text1"/>
          <w:sz w:val="22"/>
          <w:szCs w:val="22"/>
        </w:rPr>
      </w:pPr>
      <w:r w:rsidRPr="00B117BF">
        <w:rPr>
          <w:rFonts w:eastAsia="Arial" w:cs="Arial"/>
          <w:color w:val="000000" w:themeColor="text1"/>
          <w:sz w:val="22"/>
          <w:szCs w:val="22"/>
        </w:rPr>
        <w:t>For indicator 4.1 it is suggested that the indicator is adjusted or deleted for the next reporting. The Fund has found more value in supporting events, so Defra and the Fund should explore options for measuring the impact of supported events.</w:t>
      </w:r>
    </w:p>
    <w:p w14:paraId="1E9AAF5D" w14:textId="4D0C96EC" w:rsidR="00B117BF" w:rsidRPr="00B117BF" w:rsidRDefault="00B117BF" w:rsidP="00B117BF">
      <w:pPr>
        <w:ind w:left="720"/>
        <w:jc w:val="both"/>
        <w:rPr>
          <w:rFonts w:eastAsia="Arial" w:cs="Arial"/>
          <w:i/>
          <w:iCs/>
          <w:color w:val="000000" w:themeColor="text1"/>
          <w:sz w:val="22"/>
          <w:szCs w:val="22"/>
        </w:rPr>
      </w:pPr>
      <w:r>
        <w:rPr>
          <w:rFonts w:eastAsia="Arial" w:cs="Arial"/>
          <w:i/>
          <w:iCs/>
          <w:color w:val="000000" w:themeColor="text1"/>
          <w:sz w:val="22"/>
          <w:szCs w:val="22"/>
        </w:rPr>
        <w:t>The indicator has been deleted, with more focus instead on events EBF has supported.</w:t>
      </w:r>
    </w:p>
    <w:p w14:paraId="18A71C85" w14:textId="77777777" w:rsidR="006F3AE7" w:rsidRPr="00A54B18" w:rsidRDefault="006F3AE7" w:rsidP="005E557A">
      <w:pPr>
        <w:jc w:val="both"/>
        <w:rPr>
          <w:rFonts w:eastAsia="Arial" w:cs="Arial"/>
          <w:sz w:val="22"/>
          <w:szCs w:val="22"/>
        </w:rPr>
      </w:pPr>
    </w:p>
    <w:tbl>
      <w:tblPr>
        <w:tblStyle w:val="TableGrid"/>
        <w:tblW w:w="9214" w:type="dxa"/>
        <w:tblLook w:val="04A0" w:firstRow="1" w:lastRow="0" w:firstColumn="1" w:lastColumn="0" w:noHBand="0" w:noVBand="1"/>
      </w:tblPr>
      <w:tblGrid>
        <w:gridCol w:w="2122"/>
        <w:gridCol w:w="1559"/>
        <w:gridCol w:w="2268"/>
        <w:gridCol w:w="3265"/>
      </w:tblGrid>
      <w:tr w:rsidR="006839BA" w:rsidRPr="00F70DBE" w14:paraId="299AD655" w14:textId="703F3467" w:rsidTr="00FB0348">
        <w:tc>
          <w:tcPr>
            <w:tcW w:w="212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DFDDA14" w14:textId="77777777" w:rsidR="006839BA" w:rsidRPr="00A54B18" w:rsidRDefault="1F841F0A" w:rsidP="005E557A">
            <w:pPr>
              <w:rPr>
                <w:rFonts w:eastAsia="Arial" w:cs="Arial"/>
                <w:sz w:val="20"/>
                <w:szCs w:val="20"/>
              </w:rPr>
            </w:pPr>
            <w:r w:rsidRPr="00A54B18">
              <w:rPr>
                <w:rFonts w:eastAsia="Arial" w:cs="Arial"/>
                <w:sz w:val="20"/>
                <w:szCs w:val="20"/>
              </w:rPr>
              <w:t>Date of last narrative financial report</w:t>
            </w:r>
          </w:p>
        </w:tc>
        <w:tc>
          <w:tcPr>
            <w:tcW w:w="1559" w:type="dxa"/>
            <w:tcBorders>
              <w:top w:val="single" w:sz="4" w:space="0" w:color="auto"/>
              <w:left w:val="single" w:sz="4" w:space="0" w:color="auto"/>
              <w:bottom w:val="single" w:sz="4" w:space="0" w:color="auto"/>
              <w:right w:val="single" w:sz="4" w:space="0" w:color="auto"/>
            </w:tcBorders>
          </w:tcPr>
          <w:p w14:paraId="6EA42135" w14:textId="6F029BAF" w:rsidR="006839BA" w:rsidRPr="00A54B18" w:rsidRDefault="00BF7982" w:rsidP="005E557A">
            <w:pPr>
              <w:rPr>
                <w:rFonts w:eastAsia="Arial" w:cs="Arial"/>
                <w:sz w:val="20"/>
                <w:szCs w:val="20"/>
              </w:rPr>
            </w:pPr>
            <w:r>
              <w:rPr>
                <w:rFonts w:eastAsia="Arial" w:cs="Arial"/>
                <w:sz w:val="20"/>
                <w:szCs w:val="20"/>
              </w:rPr>
              <w:t>April 202</w:t>
            </w:r>
            <w:r w:rsidR="003C3D1C">
              <w:rPr>
                <w:rFonts w:eastAsia="Arial" w:cs="Arial"/>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FA097E4" w14:textId="3C943B72" w:rsidR="006839BA" w:rsidRPr="00A54B18" w:rsidRDefault="1F841F0A" w:rsidP="005E557A">
            <w:pPr>
              <w:rPr>
                <w:rFonts w:eastAsia="Arial" w:cs="Arial"/>
                <w:sz w:val="20"/>
                <w:szCs w:val="20"/>
              </w:rPr>
            </w:pPr>
            <w:r w:rsidRPr="00A54B18">
              <w:rPr>
                <w:rFonts w:eastAsia="Arial" w:cs="Arial"/>
                <w:sz w:val="20"/>
                <w:szCs w:val="20"/>
              </w:rPr>
              <w:t>Date of last audited annual statement</w:t>
            </w:r>
          </w:p>
        </w:tc>
        <w:tc>
          <w:tcPr>
            <w:tcW w:w="3265" w:type="dxa"/>
            <w:tcBorders>
              <w:top w:val="single" w:sz="4" w:space="0" w:color="auto"/>
              <w:left w:val="single" w:sz="4" w:space="0" w:color="auto"/>
              <w:bottom w:val="single" w:sz="4" w:space="0" w:color="auto"/>
              <w:right w:val="single" w:sz="4" w:space="0" w:color="auto"/>
            </w:tcBorders>
          </w:tcPr>
          <w:p w14:paraId="43CA3E31" w14:textId="5CF3B893" w:rsidR="006839BA" w:rsidRPr="00B726BA" w:rsidRDefault="01E0C60C" w:rsidP="005E557A">
            <w:pPr>
              <w:rPr>
                <w:rFonts w:eastAsia="Arial" w:cs="Arial"/>
                <w:sz w:val="20"/>
                <w:szCs w:val="20"/>
              </w:rPr>
            </w:pPr>
            <w:r w:rsidRPr="00A54B18">
              <w:rPr>
                <w:rFonts w:eastAsia="Arial" w:cs="Arial"/>
                <w:sz w:val="20"/>
                <w:szCs w:val="20"/>
              </w:rPr>
              <w:t>The 20</w:t>
            </w:r>
            <w:r w:rsidR="00BF7982">
              <w:rPr>
                <w:rFonts w:eastAsia="Arial" w:cs="Arial"/>
                <w:sz w:val="20"/>
                <w:szCs w:val="20"/>
              </w:rPr>
              <w:t>22</w:t>
            </w:r>
            <w:r w:rsidRPr="00A54B18">
              <w:rPr>
                <w:rFonts w:eastAsia="Arial" w:cs="Arial"/>
                <w:sz w:val="20"/>
                <w:szCs w:val="20"/>
              </w:rPr>
              <w:t xml:space="preserve"> annual statement has been audited, as of </w:t>
            </w:r>
            <w:r w:rsidR="00BF7982">
              <w:rPr>
                <w:rFonts w:eastAsia="Arial" w:cs="Arial"/>
                <w:sz w:val="20"/>
                <w:szCs w:val="20"/>
              </w:rPr>
              <w:t>April</w:t>
            </w:r>
            <w:r w:rsidRPr="00A54B18">
              <w:rPr>
                <w:rFonts w:eastAsia="Arial" w:cs="Arial"/>
                <w:sz w:val="20"/>
                <w:szCs w:val="20"/>
              </w:rPr>
              <w:t xml:space="preserve"> 202</w:t>
            </w:r>
            <w:r w:rsidR="00BF7982">
              <w:rPr>
                <w:rFonts w:eastAsia="Arial" w:cs="Arial"/>
                <w:sz w:val="20"/>
                <w:szCs w:val="20"/>
              </w:rPr>
              <w:t>3</w:t>
            </w:r>
          </w:p>
        </w:tc>
      </w:tr>
    </w:tbl>
    <w:p w14:paraId="4DAC1688" w14:textId="373B7990" w:rsidR="00105347" w:rsidRPr="006555A4" w:rsidRDefault="00105347" w:rsidP="005E557A">
      <w:pPr>
        <w:spacing w:after="160"/>
        <w:jc w:val="both"/>
        <w:rPr>
          <w:rFonts w:eastAsia="Arial" w:cs="Arial"/>
          <w:sz w:val="20"/>
          <w:szCs w:val="20"/>
        </w:rPr>
      </w:pPr>
    </w:p>
    <w:sectPr w:rsidR="00105347" w:rsidRPr="006555A4" w:rsidSect="00BC22C2">
      <w:pgSz w:w="11906" w:h="16838" w:code="9"/>
      <w:pgMar w:top="709" w:right="1440" w:bottom="709"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3684C" w14:textId="77777777" w:rsidR="00BC22C2" w:rsidRDefault="00BC22C2" w:rsidP="006E5785">
      <w:r>
        <w:separator/>
      </w:r>
    </w:p>
  </w:endnote>
  <w:endnote w:type="continuationSeparator" w:id="0">
    <w:p w14:paraId="5D2E832D" w14:textId="77777777" w:rsidR="00BC22C2" w:rsidRDefault="00BC22C2" w:rsidP="006E5785">
      <w:r>
        <w:continuationSeparator/>
      </w:r>
    </w:p>
  </w:endnote>
  <w:endnote w:type="continuationNotice" w:id="1">
    <w:p w14:paraId="19DDF501" w14:textId="77777777" w:rsidR="00BC22C2" w:rsidRDefault="00BC22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323339"/>
      <w:docPartObj>
        <w:docPartGallery w:val="Page Numbers (Bottom of Page)"/>
        <w:docPartUnique/>
      </w:docPartObj>
    </w:sdtPr>
    <w:sdtEndPr>
      <w:rPr>
        <w:noProof/>
      </w:rPr>
    </w:sdtEndPr>
    <w:sdtContent>
      <w:p w14:paraId="6C5B066D" w14:textId="4D383F3E" w:rsidR="00744E7D" w:rsidRDefault="00744E7D">
        <w:pPr>
          <w:pStyle w:val="Footer"/>
          <w:jc w:val="right"/>
        </w:pPr>
        <w:r w:rsidRPr="00744E7D">
          <w:rPr>
            <w:sz w:val="20"/>
            <w:szCs w:val="20"/>
          </w:rPr>
          <w:fldChar w:fldCharType="begin"/>
        </w:r>
        <w:r w:rsidRPr="00744E7D">
          <w:rPr>
            <w:sz w:val="20"/>
            <w:szCs w:val="20"/>
          </w:rPr>
          <w:instrText xml:space="preserve"> PAGE   \* MERGEFORMAT </w:instrText>
        </w:r>
        <w:r w:rsidRPr="00744E7D">
          <w:rPr>
            <w:sz w:val="20"/>
            <w:szCs w:val="20"/>
          </w:rPr>
          <w:fldChar w:fldCharType="separate"/>
        </w:r>
        <w:r w:rsidRPr="00744E7D">
          <w:rPr>
            <w:noProof/>
            <w:sz w:val="20"/>
            <w:szCs w:val="20"/>
          </w:rPr>
          <w:t>2</w:t>
        </w:r>
        <w:r w:rsidRPr="00744E7D">
          <w:rPr>
            <w:noProof/>
            <w:sz w:val="20"/>
            <w:szCs w:val="20"/>
          </w:rPr>
          <w:fldChar w:fldCharType="end"/>
        </w:r>
      </w:p>
    </w:sdtContent>
  </w:sdt>
  <w:p w14:paraId="581FBA79" w14:textId="77777777" w:rsidR="00744E7D" w:rsidRDefault="00744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B29C6" w14:textId="77777777" w:rsidR="00BC22C2" w:rsidRDefault="00BC22C2" w:rsidP="006E5785">
      <w:r>
        <w:separator/>
      </w:r>
    </w:p>
  </w:footnote>
  <w:footnote w:type="continuationSeparator" w:id="0">
    <w:p w14:paraId="0B262B17" w14:textId="77777777" w:rsidR="00BC22C2" w:rsidRDefault="00BC22C2" w:rsidP="006E5785">
      <w:r>
        <w:continuationSeparator/>
      </w:r>
    </w:p>
  </w:footnote>
  <w:footnote w:type="continuationNotice" w:id="1">
    <w:p w14:paraId="582AFD77" w14:textId="77777777" w:rsidR="00BC22C2" w:rsidRDefault="00BC22C2"/>
  </w:footnote>
  <w:footnote w:id="2">
    <w:p w14:paraId="3B485DFC" w14:textId="714AC5A5" w:rsidR="00F86059" w:rsidRPr="00EF0C6C" w:rsidRDefault="00F86059">
      <w:pPr>
        <w:pStyle w:val="FootnoteText"/>
        <w:rPr>
          <w:lang w:val="it-IT"/>
        </w:rPr>
      </w:pPr>
      <w:r>
        <w:rPr>
          <w:rStyle w:val="FootnoteReference"/>
        </w:rPr>
        <w:footnoteRef/>
      </w:r>
      <w:r w:rsidRPr="00EF0C6C">
        <w:rPr>
          <w:lang w:val="it-IT"/>
        </w:rPr>
        <w:t xml:space="preserve"> </w:t>
      </w:r>
      <w:r w:rsidR="00DE36BE" w:rsidRPr="00EF0C6C">
        <w:rPr>
          <w:lang w:val="it-IT"/>
        </w:rPr>
        <w:t>Ecuador, Panama</w:t>
      </w:r>
      <w:r w:rsidR="00BB3EA8" w:rsidRPr="00EF0C6C">
        <w:rPr>
          <w:lang w:val="it-IT"/>
        </w:rPr>
        <w:t xml:space="preserve">, El Salvador, Mexico, Colombia, Honduras, </w:t>
      </w:r>
      <w:r w:rsidR="00B16FB6" w:rsidRPr="00EF0C6C">
        <w:rPr>
          <w:lang w:val="it-IT"/>
        </w:rPr>
        <w:t>Peru, Costa Rica, Guatemala, Nicaragua.</w:t>
      </w:r>
    </w:p>
  </w:footnote>
  <w:footnote w:id="3">
    <w:p w14:paraId="27ECA13E" w14:textId="49644FBB" w:rsidR="002504E7" w:rsidRDefault="002504E7">
      <w:pPr>
        <w:pStyle w:val="FootnoteText"/>
      </w:pPr>
      <w:r>
        <w:rPr>
          <w:rStyle w:val="FootnoteReference"/>
        </w:rPr>
        <w:t>*</w:t>
      </w:r>
      <w:r>
        <w:t xml:space="preserve"> Following discussion with EBF, Defra agree that lower spend on Output 3.4 </w:t>
      </w:r>
      <w:proofErr w:type="gramStart"/>
      <w:r>
        <w:t>is considered to be</w:t>
      </w:r>
      <w:proofErr w:type="gramEnd"/>
      <w:r>
        <w:t xml:space="preserve"> a success that demonstrates efficiencies and economies in TA spend, given that more projects have been delivered for less.</w:t>
      </w:r>
    </w:p>
  </w:footnote>
  <w:footnote w:id="4">
    <w:p w14:paraId="3DA69CC7" w14:textId="6FBEF85F" w:rsidR="002504E7" w:rsidRDefault="002504E7">
      <w:pPr>
        <w:pStyle w:val="FootnoteText"/>
      </w:pPr>
      <w:r>
        <w:rPr>
          <w:rStyle w:val="FootnoteReference"/>
        </w:rPr>
        <w:t>**</w:t>
      </w:r>
      <w:r>
        <w:t xml:space="preserve"> Note that EBF has moved away from organising its own events, as co-sponsoring events has proven to be more effective. Therefore, Output 4.1 on events organised by EBF is no longer included.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92EF" w14:textId="5B953D0D" w:rsidR="006E5785" w:rsidRDefault="006E5785">
    <w:pPr>
      <w:pStyle w:val="Header"/>
    </w:pPr>
    <w:r>
      <w:rPr>
        <w:noProof/>
        <w:color w:val="2B579A"/>
        <w:shd w:val="clear" w:color="auto" w:fill="E6E6E6"/>
      </w:rPr>
      <mc:AlternateContent>
        <mc:Choice Requires="wps">
          <w:drawing>
            <wp:anchor distT="0" distB="0" distL="114300" distR="114300" simplePos="0" relativeHeight="251658240" behindDoc="0" locked="0" layoutInCell="0" allowOverlap="1" wp14:anchorId="075411E3" wp14:editId="2B8A39F1">
              <wp:simplePos x="0" y="0"/>
              <wp:positionH relativeFrom="page">
                <wp:posOffset>0</wp:posOffset>
              </wp:positionH>
              <wp:positionV relativeFrom="page">
                <wp:posOffset>190500</wp:posOffset>
              </wp:positionV>
              <wp:extent cx="7560310" cy="273050"/>
              <wp:effectExtent l="0" t="0" r="0" b="12700"/>
              <wp:wrapNone/>
              <wp:docPr id="1" name="Text Box 1" descr="{&quot;HashCode&quot;:-12918245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2ABAE4" w14:textId="5DE5ECEF" w:rsidR="006E5785" w:rsidRPr="006E5785" w:rsidRDefault="006E5785" w:rsidP="006E5785">
                          <w:pPr>
                            <w:rPr>
                              <w:rFonts w:ascii="Calibri" w:hAnsi="Calibri" w:cs="Calibri"/>
                              <w:color w:val="000000"/>
                              <w:sz w:val="20"/>
                            </w:rPr>
                          </w:pPr>
                          <w:r w:rsidRPr="006E578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75411E3" id="_x0000_t202" coordsize="21600,21600" o:spt="202" path="m,l,21600r21600,l21600,xe">
              <v:stroke joinstyle="miter"/>
              <v:path gradientshapeok="t" o:connecttype="rect"/>
            </v:shapetype>
            <v:shape id="Text Box 1" o:spid="_x0000_s1026" type="#_x0000_t202" alt="{&quot;HashCode&quot;:-1291824593,&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272ABAE4" w14:textId="5DE5ECEF" w:rsidR="006E5785" w:rsidRPr="006E5785" w:rsidRDefault="006E5785" w:rsidP="006E5785">
                    <w:pPr>
                      <w:rPr>
                        <w:rFonts w:ascii="Calibri" w:hAnsi="Calibri" w:cs="Calibri"/>
                        <w:color w:val="000000"/>
                        <w:sz w:val="20"/>
                      </w:rPr>
                    </w:pPr>
                    <w:r w:rsidRPr="006E5785">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0348C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955FD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9D58EE"/>
    <w:multiLevelType w:val="hybridMultilevel"/>
    <w:tmpl w:val="5B88DF0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3" w15:restartNumberingAfterBreak="0">
    <w:nsid w:val="0C6E7C5D"/>
    <w:multiLevelType w:val="hybridMultilevel"/>
    <w:tmpl w:val="08DAE6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47CA4"/>
    <w:multiLevelType w:val="hybridMultilevel"/>
    <w:tmpl w:val="ED92B588"/>
    <w:lvl w:ilvl="0" w:tplc="FFFFFFFF">
      <w:start w:val="1"/>
      <w:numFmt w:val="bullet"/>
      <w:lvlText w:val="•"/>
      <w:lvlJc w:val="left"/>
    </w:lvl>
    <w:lvl w:ilvl="1" w:tplc="08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A8B0A3C"/>
    <w:multiLevelType w:val="hybridMultilevel"/>
    <w:tmpl w:val="8976E954"/>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6" w15:restartNumberingAfterBreak="0">
    <w:nsid w:val="1FFE1B87"/>
    <w:multiLevelType w:val="hybridMultilevel"/>
    <w:tmpl w:val="A5308FFE"/>
    <w:lvl w:ilvl="0" w:tplc="AA4A6210">
      <w:start w:val="1"/>
      <w:numFmt w:val="bullet"/>
      <w:lvlText w:val=""/>
      <w:lvlJc w:val="left"/>
      <w:pPr>
        <w:ind w:left="1440" w:hanging="360"/>
      </w:pPr>
      <w:rPr>
        <w:rFonts w:ascii="Symbol" w:hAnsi="Symbol"/>
      </w:rPr>
    </w:lvl>
    <w:lvl w:ilvl="1" w:tplc="90B62920">
      <w:start w:val="1"/>
      <w:numFmt w:val="bullet"/>
      <w:lvlText w:val=""/>
      <w:lvlJc w:val="left"/>
      <w:pPr>
        <w:ind w:left="1440" w:hanging="360"/>
      </w:pPr>
      <w:rPr>
        <w:rFonts w:ascii="Symbol" w:hAnsi="Symbol"/>
      </w:rPr>
    </w:lvl>
    <w:lvl w:ilvl="2" w:tplc="33D865BA">
      <w:start w:val="1"/>
      <w:numFmt w:val="bullet"/>
      <w:lvlText w:val=""/>
      <w:lvlJc w:val="left"/>
      <w:pPr>
        <w:ind w:left="1440" w:hanging="360"/>
      </w:pPr>
      <w:rPr>
        <w:rFonts w:ascii="Symbol" w:hAnsi="Symbol"/>
      </w:rPr>
    </w:lvl>
    <w:lvl w:ilvl="3" w:tplc="31AE378A">
      <w:start w:val="1"/>
      <w:numFmt w:val="bullet"/>
      <w:lvlText w:val=""/>
      <w:lvlJc w:val="left"/>
      <w:pPr>
        <w:ind w:left="1440" w:hanging="360"/>
      </w:pPr>
      <w:rPr>
        <w:rFonts w:ascii="Symbol" w:hAnsi="Symbol"/>
      </w:rPr>
    </w:lvl>
    <w:lvl w:ilvl="4" w:tplc="FE7EC77A">
      <w:start w:val="1"/>
      <w:numFmt w:val="bullet"/>
      <w:lvlText w:val=""/>
      <w:lvlJc w:val="left"/>
      <w:pPr>
        <w:ind w:left="1440" w:hanging="360"/>
      </w:pPr>
      <w:rPr>
        <w:rFonts w:ascii="Symbol" w:hAnsi="Symbol"/>
      </w:rPr>
    </w:lvl>
    <w:lvl w:ilvl="5" w:tplc="05422D4A">
      <w:start w:val="1"/>
      <w:numFmt w:val="bullet"/>
      <w:lvlText w:val=""/>
      <w:lvlJc w:val="left"/>
      <w:pPr>
        <w:ind w:left="1440" w:hanging="360"/>
      </w:pPr>
      <w:rPr>
        <w:rFonts w:ascii="Symbol" w:hAnsi="Symbol"/>
      </w:rPr>
    </w:lvl>
    <w:lvl w:ilvl="6" w:tplc="DD9E86B8">
      <w:start w:val="1"/>
      <w:numFmt w:val="bullet"/>
      <w:lvlText w:val=""/>
      <w:lvlJc w:val="left"/>
      <w:pPr>
        <w:ind w:left="1440" w:hanging="360"/>
      </w:pPr>
      <w:rPr>
        <w:rFonts w:ascii="Symbol" w:hAnsi="Symbol"/>
      </w:rPr>
    </w:lvl>
    <w:lvl w:ilvl="7" w:tplc="A5C85A7E">
      <w:start w:val="1"/>
      <w:numFmt w:val="bullet"/>
      <w:lvlText w:val=""/>
      <w:lvlJc w:val="left"/>
      <w:pPr>
        <w:ind w:left="1440" w:hanging="360"/>
      </w:pPr>
      <w:rPr>
        <w:rFonts w:ascii="Symbol" w:hAnsi="Symbol"/>
      </w:rPr>
    </w:lvl>
    <w:lvl w:ilvl="8" w:tplc="EC5E4F86">
      <w:start w:val="1"/>
      <w:numFmt w:val="bullet"/>
      <w:lvlText w:val=""/>
      <w:lvlJc w:val="left"/>
      <w:pPr>
        <w:ind w:left="1440" w:hanging="360"/>
      </w:pPr>
      <w:rPr>
        <w:rFonts w:ascii="Symbol" w:hAnsi="Symbol"/>
      </w:rPr>
    </w:lvl>
  </w:abstractNum>
  <w:abstractNum w:abstractNumId="7" w15:restartNumberingAfterBreak="0">
    <w:nsid w:val="272167DE"/>
    <w:multiLevelType w:val="hybridMultilevel"/>
    <w:tmpl w:val="90C6A5A0"/>
    <w:lvl w:ilvl="0" w:tplc="616CEC84">
      <w:start w:val="1"/>
      <w:numFmt w:val="bullet"/>
      <w:lvlText w:val="·"/>
      <w:lvlJc w:val="left"/>
      <w:pPr>
        <w:ind w:left="720" w:hanging="360"/>
      </w:pPr>
      <w:rPr>
        <w:rFonts w:ascii="Symbol" w:hAnsi="Symbol" w:hint="default"/>
      </w:rPr>
    </w:lvl>
    <w:lvl w:ilvl="1" w:tplc="1564020C">
      <w:start w:val="1"/>
      <w:numFmt w:val="bullet"/>
      <w:lvlText w:val="o"/>
      <w:lvlJc w:val="left"/>
      <w:pPr>
        <w:ind w:left="1440" w:hanging="360"/>
      </w:pPr>
      <w:rPr>
        <w:rFonts w:ascii="Courier New" w:hAnsi="Courier New" w:hint="default"/>
      </w:rPr>
    </w:lvl>
    <w:lvl w:ilvl="2" w:tplc="DF3828D2">
      <w:start w:val="1"/>
      <w:numFmt w:val="bullet"/>
      <w:lvlText w:val=""/>
      <w:lvlJc w:val="left"/>
      <w:pPr>
        <w:ind w:left="2160" w:hanging="360"/>
      </w:pPr>
      <w:rPr>
        <w:rFonts w:ascii="Wingdings" w:hAnsi="Wingdings" w:hint="default"/>
      </w:rPr>
    </w:lvl>
    <w:lvl w:ilvl="3" w:tplc="8E9093AE">
      <w:start w:val="1"/>
      <w:numFmt w:val="bullet"/>
      <w:lvlText w:val=""/>
      <w:lvlJc w:val="left"/>
      <w:pPr>
        <w:ind w:left="2880" w:hanging="360"/>
      </w:pPr>
      <w:rPr>
        <w:rFonts w:ascii="Symbol" w:hAnsi="Symbol" w:hint="default"/>
      </w:rPr>
    </w:lvl>
    <w:lvl w:ilvl="4" w:tplc="F38AB10A">
      <w:start w:val="1"/>
      <w:numFmt w:val="bullet"/>
      <w:lvlText w:val="o"/>
      <w:lvlJc w:val="left"/>
      <w:pPr>
        <w:ind w:left="3600" w:hanging="360"/>
      </w:pPr>
      <w:rPr>
        <w:rFonts w:ascii="Courier New" w:hAnsi="Courier New" w:hint="default"/>
      </w:rPr>
    </w:lvl>
    <w:lvl w:ilvl="5" w:tplc="5BF6645A">
      <w:start w:val="1"/>
      <w:numFmt w:val="bullet"/>
      <w:lvlText w:val=""/>
      <w:lvlJc w:val="left"/>
      <w:pPr>
        <w:ind w:left="4320" w:hanging="360"/>
      </w:pPr>
      <w:rPr>
        <w:rFonts w:ascii="Wingdings" w:hAnsi="Wingdings" w:hint="default"/>
      </w:rPr>
    </w:lvl>
    <w:lvl w:ilvl="6" w:tplc="5672B9A8">
      <w:start w:val="1"/>
      <w:numFmt w:val="bullet"/>
      <w:lvlText w:val=""/>
      <w:lvlJc w:val="left"/>
      <w:pPr>
        <w:ind w:left="5040" w:hanging="360"/>
      </w:pPr>
      <w:rPr>
        <w:rFonts w:ascii="Symbol" w:hAnsi="Symbol" w:hint="default"/>
      </w:rPr>
    </w:lvl>
    <w:lvl w:ilvl="7" w:tplc="F89AE71C">
      <w:start w:val="1"/>
      <w:numFmt w:val="bullet"/>
      <w:lvlText w:val="o"/>
      <w:lvlJc w:val="left"/>
      <w:pPr>
        <w:ind w:left="5760" w:hanging="360"/>
      </w:pPr>
      <w:rPr>
        <w:rFonts w:ascii="Courier New" w:hAnsi="Courier New" w:hint="default"/>
      </w:rPr>
    </w:lvl>
    <w:lvl w:ilvl="8" w:tplc="A23C7262">
      <w:start w:val="1"/>
      <w:numFmt w:val="bullet"/>
      <w:lvlText w:val=""/>
      <w:lvlJc w:val="left"/>
      <w:pPr>
        <w:ind w:left="6480" w:hanging="360"/>
      </w:pPr>
      <w:rPr>
        <w:rFonts w:ascii="Wingdings" w:hAnsi="Wingdings" w:hint="default"/>
      </w:rPr>
    </w:lvl>
  </w:abstractNum>
  <w:abstractNum w:abstractNumId="8" w15:restartNumberingAfterBreak="0">
    <w:nsid w:val="27CC7D7C"/>
    <w:multiLevelType w:val="hybridMultilevel"/>
    <w:tmpl w:val="9848A60A"/>
    <w:lvl w:ilvl="0" w:tplc="08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2C7B34B8"/>
    <w:multiLevelType w:val="hybridMultilevel"/>
    <w:tmpl w:val="F5B830C8"/>
    <w:lvl w:ilvl="0" w:tplc="FFFFFFFF">
      <w:start w:val="1"/>
      <w:numFmt w:val="bullet"/>
      <w:lvlText w:val="•"/>
      <w:lvlJc w:val="left"/>
    </w:lvl>
    <w:lvl w:ilvl="1" w:tplc="08090003">
      <w:start w:val="1"/>
      <w:numFmt w:val="bullet"/>
      <w:lvlText w:val="o"/>
      <w:lvlJc w:val="left"/>
      <w:pPr>
        <w:ind w:left="643" w:hanging="360"/>
      </w:pPr>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E871E45"/>
    <w:multiLevelType w:val="hybridMultilevel"/>
    <w:tmpl w:val="05BEA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83345"/>
    <w:multiLevelType w:val="hybridMultilevel"/>
    <w:tmpl w:val="219241A8"/>
    <w:lvl w:ilvl="0" w:tplc="AA20FA8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F86871"/>
    <w:multiLevelType w:val="hybridMultilevel"/>
    <w:tmpl w:val="18AA72A4"/>
    <w:lvl w:ilvl="0" w:tplc="37BEC00A">
      <w:numFmt w:val="bullet"/>
      <w:lvlText w:val="•"/>
      <w:lvlJc w:val="left"/>
      <w:pPr>
        <w:ind w:left="720" w:hanging="72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62B46DC"/>
    <w:multiLevelType w:val="hybridMultilevel"/>
    <w:tmpl w:val="038EDED2"/>
    <w:lvl w:ilvl="0" w:tplc="AA20FA8C">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57FB8D"/>
    <w:multiLevelType w:val="hybridMultilevel"/>
    <w:tmpl w:val="35D6D1F8"/>
    <w:lvl w:ilvl="0" w:tplc="CFD4831E">
      <w:start w:val="1"/>
      <w:numFmt w:val="decimal"/>
      <w:lvlText w:val="%1."/>
      <w:lvlJc w:val="left"/>
      <w:pPr>
        <w:ind w:left="720" w:hanging="360"/>
      </w:pPr>
    </w:lvl>
    <w:lvl w:ilvl="1" w:tplc="8250BEA2">
      <w:start w:val="1"/>
      <w:numFmt w:val="lowerLetter"/>
      <w:lvlText w:val="%2."/>
      <w:lvlJc w:val="left"/>
      <w:pPr>
        <w:ind w:left="1440" w:hanging="360"/>
      </w:pPr>
    </w:lvl>
    <w:lvl w:ilvl="2" w:tplc="BF3A89AC">
      <w:start w:val="1"/>
      <w:numFmt w:val="lowerRoman"/>
      <w:lvlText w:val="%3."/>
      <w:lvlJc w:val="right"/>
      <w:pPr>
        <w:ind w:left="2160" w:hanging="180"/>
      </w:pPr>
    </w:lvl>
    <w:lvl w:ilvl="3" w:tplc="0EB82AB8">
      <w:start w:val="1"/>
      <w:numFmt w:val="decimal"/>
      <w:lvlText w:val="%4."/>
      <w:lvlJc w:val="left"/>
      <w:pPr>
        <w:ind w:left="2880" w:hanging="360"/>
      </w:pPr>
    </w:lvl>
    <w:lvl w:ilvl="4" w:tplc="46E64894">
      <w:start w:val="1"/>
      <w:numFmt w:val="lowerLetter"/>
      <w:lvlText w:val="%5."/>
      <w:lvlJc w:val="left"/>
      <w:pPr>
        <w:ind w:left="3600" w:hanging="360"/>
      </w:pPr>
    </w:lvl>
    <w:lvl w:ilvl="5" w:tplc="C0BC91AA">
      <w:start w:val="1"/>
      <w:numFmt w:val="lowerRoman"/>
      <w:lvlText w:val="%6."/>
      <w:lvlJc w:val="right"/>
      <w:pPr>
        <w:ind w:left="4320" w:hanging="180"/>
      </w:pPr>
    </w:lvl>
    <w:lvl w:ilvl="6" w:tplc="CA2238F4">
      <w:start w:val="1"/>
      <w:numFmt w:val="decimal"/>
      <w:lvlText w:val="%7."/>
      <w:lvlJc w:val="left"/>
      <w:pPr>
        <w:ind w:left="5040" w:hanging="360"/>
      </w:pPr>
    </w:lvl>
    <w:lvl w:ilvl="7" w:tplc="65606B40">
      <w:start w:val="1"/>
      <w:numFmt w:val="lowerLetter"/>
      <w:lvlText w:val="%8."/>
      <w:lvlJc w:val="left"/>
      <w:pPr>
        <w:ind w:left="5760" w:hanging="360"/>
      </w:pPr>
    </w:lvl>
    <w:lvl w:ilvl="8" w:tplc="E716BBEA">
      <w:start w:val="1"/>
      <w:numFmt w:val="lowerRoman"/>
      <w:lvlText w:val="%9."/>
      <w:lvlJc w:val="right"/>
      <w:pPr>
        <w:ind w:left="6480" w:hanging="180"/>
      </w:pPr>
    </w:lvl>
  </w:abstractNum>
  <w:abstractNum w:abstractNumId="15" w15:restartNumberingAfterBreak="0">
    <w:nsid w:val="36B241DF"/>
    <w:multiLevelType w:val="hybridMultilevel"/>
    <w:tmpl w:val="59CEC2BC"/>
    <w:lvl w:ilvl="0" w:tplc="FFFFFFFF">
      <w:start w:val="1"/>
      <w:numFmt w:val="bullet"/>
      <w:lvlText w:val=""/>
      <w:lvlJc w:val="left"/>
      <w:pPr>
        <w:ind w:left="360" w:hanging="360"/>
      </w:pPr>
      <w:rPr>
        <w:rFonts w:ascii="Symbol" w:hAnsi="Symbol" w:hint="default"/>
      </w:rPr>
    </w:lvl>
    <w:lvl w:ilvl="1" w:tplc="5E2423C2">
      <w:start w:val="1"/>
      <w:numFmt w:val="bullet"/>
      <w:lvlText w:val="o"/>
      <w:lvlJc w:val="left"/>
      <w:pPr>
        <w:ind w:left="785" w:hanging="360"/>
      </w:pPr>
      <w:rPr>
        <w:rFonts w:ascii="Courier New" w:hAnsi="Courier New" w:hint="default"/>
      </w:rPr>
    </w:lvl>
    <w:lvl w:ilvl="2" w:tplc="3494A2E6">
      <w:start w:val="1"/>
      <w:numFmt w:val="bullet"/>
      <w:lvlText w:val=""/>
      <w:lvlJc w:val="left"/>
      <w:pPr>
        <w:ind w:left="1211" w:hanging="360"/>
      </w:pPr>
      <w:rPr>
        <w:rFonts w:ascii="Wingdings" w:hAnsi="Wingdings" w:hint="default"/>
      </w:rPr>
    </w:lvl>
    <w:lvl w:ilvl="3" w:tplc="CDAE04B0">
      <w:start w:val="1"/>
      <w:numFmt w:val="bullet"/>
      <w:lvlText w:val=""/>
      <w:lvlJc w:val="left"/>
      <w:pPr>
        <w:ind w:left="2520" w:hanging="360"/>
      </w:pPr>
      <w:rPr>
        <w:rFonts w:ascii="Symbol" w:hAnsi="Symbol" w:hint="default"/>
      </w:rPr>
    </w:lvl>
    <w:lvl w:ilvl="4" w:tplc="1F08F59A">
      <w:start w:val="1"/>
      <w:numFmt w:val="bullet"/>
      <w:lvlText w:val="o"/>
      <w:lvlJc w:val="left"/>
      <w:pPr>
        <w:ind w:left="3240" w:hanging="360"/>
      </w:pPr>
      <w:rPr>
        <w:rFonts w:ascii="Courier New" w:hAnsi="Courier New" w:hint="default"/>
      </w:rPr>
    </w:lvl>
    <w:lvl w:ilvl="5" w:tplc="A7B44366">
      <w:start w:val="1"/>
      <w:numFmt w:val="bullet"/>
      <w:lvlText w:val=""/>
      <w:lvlJc w:val="left"/>
      <w:pPr>
        <w:ind w:left="3960" w:hanging="360"/>
      </w:pPr>
      <w:rPr>
        <w:rFonts w:ascii="Wingdings" w:hAnsi="Wingdings" w:hint="default"/>
      </w:rPr>
    </w:lvl>
    <w:lvl w:ilvl="6" w:tplc="EEF61A70">
      <w:start w:val="1"/>
      <w:numFmt w:val="bullet"/>
      <w:lvlText w:val=""/>
      <w:lvlJc w:val="left"/>
      <w:pPr>
        <w:ind w:left="4680" w:hanging="360"/>
      </w:pPr>
      <w:rPr>
        <w:rFonts w:ascii="Symbol" w:hAnsi="Symbol" w:hint="default"/>
      </w:rPr>
    </w:lvl>
    <w:lvl w:ilvl="7" w:tplc="92A8E2AA">
      <w:start w:val="1"/>
      <w:numFmt w:val="bullet"/>
      <w:lvlText w:val="o"/>
      <w:lvlJc w:val="left"/>
      <w:pPr>
        <w:ind w:left="5400" w:hanging="360"/>
      </w:pPr>
      <w:rPr>
        <w:rFonts w:ascii="Courier New" w:hAnsi="Courier New" w:hint="default"/>
      </w:rPr>
    </w:lvl>
    <w:lvl w:ilvl="8" w:tplc="3F2CD58A">
      <w:start w:val="1"/>
      <w:numFmt w:val="bullet"/>
      <w:lvlText w:val=""/>
      <w:lvlJc w:val="left"/>
      <w:pPr>
        <w:ind w:left="6120" w:hanging="360"/>
      </w:pPr>
      <w:rPr>
        <w:rFonts w:ascii="Wingdings" w:hAnsi="Wingdings" w:hint="default"/>
      </w:rPr>
    </w:lvl>
  </w:abstractNum>
  <w:abstractNum w:abstractNumId="16" w15:restartNumberingAfterBreak="0">
    <w:nsid w:val="36E680C1"/>
    <w:multiLevelType w:val="hybridMultilevel"/>
    <w:tmpl w:val="4620CA06"/>
    <w:lvl w:ilvl="0" w:tplc="C8A60260">
      <w:start w:val="1"/>
      <w:numFmt w:val="decimal"/>
      <w:lvlText w:val="%1."/>
      <w:lvlJc w:val="left"/>
      <w:pPr>
        <w:ind w:left="360" w:hanging="360"/>
      </w:pPr>
      <w:rPr>
        <w:i w:val="0"/>
        <w:iCs w:val="0"/>
      </w:rPr>
    </w:lvl>
    <w:lvl w:ilvl="1" w:tplc="DBF87ADA">
      <w:start w:val="1"/>
      <w:numFmt w:val="lowerLetter"/>
      <w:lvlText w:val="%2."/>
      <w:lvlJc w:val="left"/>
      <w:pPr>
        <w:ind w:left="1080" w:hanging="360"/>
      </w:pPr>
    </w:lvl>
    <w:lvl w:ilvl="2" w:tplc="753870CC">
      <w:start w:val="1"/>
      <w:numFmt w:val="lowerRoman"/>
      <w:lvlText w:val="%3."/>
      <w:lvlJc w:val="right"/>
      <w:pPr>
        <w:ind w:left="1800" w:hanging="180"/>
      </w:pPr>
    </w:lvl>
    <w:lvl w:ilvl="3" w:tplc="B14EA306">
      <w:start w:val="1"/>
      <w:numFmt w:val="decimal"/>
      <w:lvlText w:val="%4."/>
      <w:lvlJc w:val="left"/>
      <w:pPr>
        <w:ind w:left="2520" w:hanging="360"/>
      </w:pPr>
    </w:lvl>
    <w:lvl w:ilvl="4" w:tplc="B5621154">
      <w:start w:val="1"/>
      <w:numFmt w:val="lowerLetter"/>
      <w:lvlText w:val="%5."/>
      <w:lvlJc w:val="left"/>
      <w:pPr>
        <w:ind w:left="3240" w:hanging="360"/>
      </w:pPr>
    </w:lvl>
    <w:lvl w:ilvl="5" w:tplc="179E7294">
      <w:start w:val="1"/>
      <w:numFmt w:val="lowerRoman"/>
      <w:lvlText w:val="%6."/>
      <w:lvlJc w:val="right"/>
      <w:pPr>
        <w:ind w:left="3960" w:hanging="180"/>
      </w:pPr>
    </w:lvl>
    <w:lvl w:ilvl="6" w:tplc="108E7444">
      <w:start w:val="1"/>
      <w:numFmt w:val="decimal"/>
      <w:lvlText w:val="%7."/>
      <w:lvlJc w:val="left"/>
      <w:pPr>
        <w:ind w:left="4680" w:hanging="360"/>
      </w:pPr>
    </w:lvl>
    <w:lvl w:ilvl="7" w:tplc="BC96550C">
      <w:start w:val="1"/>
      <w:numFmt w:val="lowerLetter"/>
      <w:lvlText w:val="%8."/>
      <w:lvlJc w:val="left"/>
      <w:pPr>
        <w:ind w:left="5400" w:hanging="360"/>
      </w:pPr>
    </w:lvl>
    <w:lvl w:ilvl="8" w:tplc="498E4D44">
      <w:start w:val="1"/>
      <w:numFmt w:val="lowerRoman"/>
      <w:lvlText w:val="%9."/>
      <w:lvlJc w:val="right"/>
      <w:pPr>
        <w:ind w:left="6120" w:hanging="180"/>
      </w:pPr>
    </w:lvl>
  </w:abstractNum>
  <w:abstractNum w:abstractNumId="17" w15:restartNumberingAfterBreak="0">
    <w:nsid w:val="41BD4432"/>
    <w:multiLevelType w:val="hybridMultilevel"/>
    <w:tmpl w:val="0DA037D0"/>
    <w:lvl w:ilvl="0" w:tplc="7CD09BE6">
      <w:start w:val="1"/>
      <w:numFmt w:val="bullet"/>
      <w:lvlText w:val=""/>
      <w:lvlJc w:val="left"/>
      <w:pPr>
        <w:ind w:left="1440" w:hanging="360"/>
      </w:pPr>
      <w:rPr>
        <w:rFonts w:ascii="Symbol" w:hAnsi="Symbol"/>
      </w:rPr>
    </w:lvl>
    <w:lvl w:ilvl="1" w:tplc="5AC844E2">
      <w:start w:val="1"/>
      <w:numFmt w:val="bullet"/>
      <w:lvlText w:val=""/>
      <w:lvlJc w:val="left"/>
      <w:pPr>
        <w:ind w:left="1440" w:hanging="360"/>
      </w:pPr>
      <w:rPr>
        <w:rFonts w:ascii="Symbol" w:hAnsi="Symbol"/>
      </w:rPr>
    </w:lvl>
    <w:lvl w:ilvl="2" w:tplc="EA4041BA">
      <w:start w:val="1"/>
      <w:numFmt w:val="bullet"/>
      <w:lvlText w:val=""/>
      <w:lvlJc w:val="left"/>
      <w:pPr>
        <w:ind w:left="1440" w:hanging="360"/>
      </w:pPr>
      <w:rPr>
        <w:rFonts w:ascii="Symbol" w:hAnsi="Symbol"/>
      </w:rPr>
    </w:lvl>
    <w:lvl w:ilvl="3" w:tplc="EE4C7EFA">
      <w:start w:val="1"/>
      <w:numFmt w:val="bullet"/>
      <w:lvlText w:val=""/>
      <w:lvlJc w:val="left"/>
      <w:pPr>
        <w:ind w:left="1440" w:hanging="360"/>
      </w:pPr>
      <w:rPr>
        <w:rFonts w:ascii="Symbol" w:hAnsi="Symbol"/>
      </w:rPr>
    </w:lvl>
    <w:lvl w:ilvl="4" w:tplc="9E28DEE6">
      <w:start w:val="1"/>
      <w:numFmt w:val="bullet"/>
      <w:lvlText w:val=""/>
      <w:lvlJc w:val="left"/>
      <w:pPr>
        <w:ind w:left="1440" w:hanging="360"/>
      </w:pPr>
      <w:rPr>
        <w:rFonts w:ascii="Symbol" w:hAnsi="Symbol"/>
      </w:rPr>
    </w:lvl>
    <w:lvl w:ilvl="5" w:tplc="C0840DFC">
      <w:start w:val="1"/>
      <w:numFmt w:val="bullet"/>
      <w:lvlText w:val=""/>
      <w:lvlJc w:val="left"/>
      <w:pPr>
        <w:ind w:left="1440" w:hanging="360"/>
      </w:pPr>
      <w:rPr>
        <w:rFonts w:ascii="Symbol" w:hAnsi="Symbol"/>
      </w:rPr>
    </w:lvl>
    <w:lvl w:ilvl="6" w:tplc="DC8ECA80">
      <w:start w:val="1"/>
      <w:numFmt w:val="bullet"/>
      <w:lvlText w:val=""/>
      <w:lvlJc w:val="left"/>
      <w:pPr>
        <w:ind w:left="1440" w:hanging="360"/>
      </w:pPr>
      <w:rPr>
        <w:rFonts w:ascii="Symbol" w:hAnsi="Symbol"/>
      </w:rPr>
    </w:lvl>
    <w:lvl w:ilvl="7" w:tplc="18C6ABBA">
      <w:start w:val="1"/>
      <w:numFmt w:val="bullet"/>
      <w:lvlText w:val=""/>
      <w:lvlJc w:val="left"/>
      <w:pPr>
        <w:ind w:left="1440" w:hanging="360"/>
      </w:pPr>
      <w:rPr>
        <w:rFonts w:ascii="Symbol" w:hAnsi="Symbol"/>
      </w:rPr>
    </w:lvl>
    <w:lvl w:ilvl="8" w:tplc="6A1076B2">
      <w:start w:val="1"/>
      <w:numFmt w:val="bullet"/>
      <w:lvlText w:val=""/>
      <w:lvlJc w:val="left"/>
      <w:pPr>
        <w:ind w:left="1440" w:hanging="360"/>
      </w:pPr>
      <w:rPr>
        <w:rFonts w:ascii="Symbol" w:hAnsi="Symbol"/>
      </w:rPr>
    </w:lvl>
  </w:abstractNum>
  <w:abstractNum w:abstractNumId="18" w15:restartNumberingAfterBreak="0">
    <w:nsid w:val="424B4DAA"/>
    <w:multiLevelType w:val="hybridMultilevel"/>
    <w:tmpl w:val="40AEA49E"/>
    <w:lvl w:ilvl="0" w:tplc="EB10670C">
      <w:start w:val="1"/>
      <w:numFmt w:val="decimal"/>
      <w:lvlText w:val="%1."/>
      <w:lvlJc w:val="left"/>
      <w:pPr>
        <w:ind w:left="720" w:hanging="360"/>
      </w:pPr>
      <w:rPr>
        <w:rFonts w:ascii="Calibri" w:hAnsi="Calibri" w:hint="default"/>
      </w:rPr>
    </w:lvl>
    <w:lvl w:ilvl="1" w:tplc="9DFC7748">
      <w:start w:val="1"/>
      <w:numFmt w:val="lowerLetter"/>
      <w:lvlText w:val="%2."/>
      <w:lvlJc w:val="left"/>
      <w:pPr>
        <w:ind w:left="1440" w:hanging="360"/>
      </w:pPr>
    </w:lvl>
    <w:lvl w:ilvl="2" w:tplc="7B18EA92">
      <w:start w:val="1"/>
      <w:numFmt w:val="lowerRoman"/>
      <w:lvlText w:val="%3."/>
      <w:lvlJc w:val="right"/>
      <w:pPr>
        <w:ind w:left="2160" w:hanging="180"/>
      </w:pPr>
    </w:lvl>
    <w:lvl w:ilvl="3" w:tplc="A3E4E58A">
      <w:start w:val="1"/>
      <w:numFmt w:val="decimal"/>
      <w:lvlText w:val="%4."/>
      <w:lvlJc w:val="left"/>
      <w:pPr>
        <w:ind w:left="2880" w:hanging="360"/>
      </w:pPr>
    </w:lvl>
    <w:lvl w:ilvl="4" w:tplc="96EAF798">
      <w:start w:val="1"/>
      <w:numFmt w:val="lowerLetter"/>
      <w:lvlText w:val="%5."/>
      <w:lvlJc w:val="left"/>
      <w:pPr>
        <w:ind w:left="3600" w:hanging="360"/>
      </w:pPr>
    </w:lvl>
    <w:lvl w:ilvl="5" w:tplc="1C8C8182">
      <w:start w:val="1"/>
      <w:numFmt w:val="lowerRoman"/>
      <w:lvlText w:val="%6."/>
      <w:lvlJc w:val="right"/>
      <w:pPr>
        <w:ind w:left="4320" w:hanging="180"/>
      </w:pPr>
    </w:lvl>
    <w:lvl w:ilvl="6" w:tplc="E46CAA1A">
      <w:start w:val="1"/>
      <w:numFmt w:val="decimal"/>
      <w:lvlText w:val="%7."/>
      <w:lvlJc w:val="left"/>
      <w:pPr>
        <w:ind w:left="5040" w:hanging="360"/>
      </w:pPr>
    </w:lvl>
    <w:lvl w:ilvl="7" w:tplc="3C1C91D2">
      <w:start w:val="1"/>
      <w:numFmt w:val="lowerLetter"/>
      <w:lvlText w:val="%8."/>
      <w:lvlJc w:val="left"/>
      <w:pPr>
        <w:ind w:left="5760" w:hanging="360"/>
      </w:pPr>
    </w:lvl>
    <w:lvl w:ilvl="8" w:tplc="BFF81BFC">
      <w:start w:val="1"/>
      <w:numFmt w:val="lowerRoman"/>
      <w:lvlText w:val="%9."/>
      <w:lvlJc w:val="right"/>
      <w:pPr>
        <w:ind w:left="6480" w:hanging="180"/>
      </w:pPr>
    </w:lvl>
  </w:abstractNum>
  <w:abstractNum w:abstractNumId="19" w15:restartNumberingAfterBreak="0">
    <w:nsid w:val="4398542C"/>
    <w:multiLevelType w:val="hybridMultilevel"/>
    <w:tmpl w:val="CF9E6258"/>
    <w:lvl w:ilvl="0" w:tplc="604818B8">
      <w:start w:val="1"/>
      <w:numFmt w:val="bullet"/>
      <w:lvlText w:val=""/>
      <w:lvlJc w:val="left"/>
      <w:pPr>
        <w:ind w:left="1440" w:hanging="360"/>
      </w:pPr>
      <w:rPr>
        <w:rFonts w:ascii="Symbol" w:hAnsi="Symbol"/>
      </w:rPr>
    </w:lvl>
    <w:lvl w:ilvl="1" w:tplc="ADDAFA4E">
      <w:start w:val="1"/>
      <w:numFmt w:val="bullet"/>
      <w:lvlText w:val=""/>
      <w:lvlJc w:val="left"/>
      <w:pPr>
        <w:ind w:left="1440" w:hanging="360"/>
      </w:pPr>
      <w:rPr>
        <w:rFonts w:ascii="Symbol" w:hAnsi="Symbol"/>
      </w:rPr>
    </w:lvl>
    <w:lvl w:ilvl="2" w:tplc="40BE4C7C">
      <w:start w:val="1"/>
      <w:numFmt w:val="bullet"/>
      <w:lvlText w:val=""/>
      <w:lvlJc w:val="left"/>
      <w:pPr>
        <w:ind w:left="1440" w:hanging="360"/>
      </w:pPr>
      <w:rPr>
        <w:rFonts w:ascii="Symbol" w:hAnsi="Symbol"/>
      </w:rPr>
    </w:lvl>
    <w:lvl w:ilvl="3" w:tplc="89782C26">
      <w:start w:val="1"/>
      <w:numFmt w:val="bullet"/>
      <w:lvlText w:val=""/>
      <w:lvlJc w:val="left"/>
      <w:pPr>
        <w:ind w:left="1440" w:hanging="360"/>
      </w:pPr>
      <w:rPr>
        <w:rFonts w:ascii="Symbol" w:hAnsi="Symbol"/>
      </w:rPr>
    </w:lvl>
    <w:lvl w:ilvl="4" w:tplc="F628EE18">
      <w:start w:val="1"/>
      <w:numFmt w:val="bullet"/>
      <w:lvlText w:val=""/>
      <w:lvlJc w:val="left"/>
      <w:pPr>
        <w:ind w:left="1440" w:hanging="360"/>
      </w:pPr>
      <w:rPr>
        <w:rFonts w:ascii="Symbol" w:hAnsi="Symbol"/>
      </w:rPr>
    </w:lvl>
    <w:lvl w:ilvl="5" w:tplc="B84CAE2E">
      <w:start w:val="1"/>
      <w:numFmt w:val="bullet"/>
      <w:lvlText w:val=""/>
      <w:lvlJc w:val="left"/>
      <w:pPr>
        <w:ind w:left="1440" w:hanging="360"/>
      </w:pPr>
      <w:rPr>
        <w:rFonts w:ascii="Symbol" w:hAnsi="Symbol"/>
      </w:rPr>
    </w:lvl>
    <w:lvl w:ilvl="6" w:tplc="8F6A5862">
      <w:start w:val="1"/>
      <w:numFmt w:val="bullet"/>
      <w:lvlText w:val=""/>
      <w:lvlJc w:val="left"/>
      <w:pPr>
        <w:ind w:left="1440" w:hanging="360"/>
      </w:pPr>
      <w:rPr>
        <w:rFonts w:ascii="Symbol" w:hAnsi="Symbol"/>
      </w:rPr>
    </w:lvl>
    <w:lvl w:ilvl="7" w:tplc="32E0452A">
      <w:start w:val="1"/>
      <w:numFmt w:val="bullet"/>
      <w:lvlText w:val=""/>
      <w:lvlJc w:val="left"/>
      <w:pPr>
        <w:ind w:left="1440" w:hanging="360"/>
      </w:pPr>
      <w:rPr>
        <w:rFonts w:ascii="Symbol" w:hAnsi="Symbol"/>
      </w:rPr>
    </w:lvl>
    <w:lvl w:ilvl="8" w:tplc="A9B4CC2C">
      <w:start w:val="1"/>
      <w:numFmt w:val="bullet"/>
      <w:lvlText w:val=""/>
      <w:lvlJc w:val="left"/>
      <w:pPr>
        <w:ind w:left="1440" w:hanging="360"/>
      </w:pPr>
      <w:rPr>
        <w:rFonts w:ascii="Symbol" w:hAnsi="Symbol"/>
      </w:rPr>
    </w:lvl>
  </w:abstractNum>
  <w:abstractNum w:abstractNumId="20" w15:restartNumberingAfterBreak="0">
    <w:nsid w:val="4D324E39"/>
    <w:multiLevelType w:val="hybridMultilevel"/>
    <w:tmpl w:val="9314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2793A1"/>
    <w:multiLevelType w:val="hybridMultilevel"/>
    <w:tmpl w:val="B65C8BF2"/>
    <w:lvl w:ilvl="0" w:tplc="4B9E4218">
      <w:start w:val="1"/>
      <w:numFmt w:val="decimal"/>
      <w:lvlText w:val="%1."/>
      <w:lvlJc w:val="left"/>
      <w:pPr>
        <w:ind w:left="720" w:hanging="360"/>
      </w:pPr>
    </w:lvl>
    <w:lvl w:ilvl="1" w:tplc="11FA0D18">
      <w:start w:val="1"/>
      <w:numFmt w:val="lowerLetter"/>
      <w:lvlText w:val="%2."/>
      <w:lvlJc w:val="left"/>
      <w:pPr>
        <w:ind w:left="1440" w:hanging="360"/>
      </w:pPr>
    </w:lvl>
    <w:lvl w:ilvl="2" w:tplc="D3E2087E">
      <w:start w:val="1"/>
      <w:numFmt w:val="lowerRoman"/>
      <w:lvlText w:val="%3."/>
      <w:lvlJc w:val="right"/>
      <w:pPr>
        <w:ind w:left="2160" w:hanging="180"/>
      </w:pPr>
    </w:lvl>
    <w:lvl w:ilvl="3" w:tplc="064E2D1A">
      <w:start w:val="1"/>
      <w:numFmt w:val="decimal"/>
      <w:lvlText w:val="%4."/>
      <w:lvlJc w:val="left"/>
      <w:pPr>
        <w:ind w:left="2880" w:hanging="360"/>
      </w:pPr>
    </w:lvl>
    <w:lvl w:ilvl="4" w:tplc="B2FAAC8C">
      <w:start w:val="1"/>
      <w:numFmt w:val="lowerLetter"/>
      <w:lvlText w:val="%5."/>
      <w:lvlJc w:val="left"/>
      <w:pPr>
        <w:ind w:left="3600" w:hanging="360"/>
      </w:pPr>
    </w:lvl>
    <w:lvl w:ilvl="5" w:tplc="145EC06C">
      <w:start w:val="1"/>
      <w:numFmt w:val="lowerRoman"/>
      <w:lvlText w:val="%6."/>
      <w:lvlJc w:val="right"/>
      <w:pPr>
        <w:ind w:left="4320" w:hanging="180"/>
      </w:pPr>
    </w:lvl>
    <w:lvl w:ilvl="6" w:tplc="7C08CF2E">
      <w:start w:val="1"/>
      <w:numFmt w:val="decimal"/>
      <w:lvlText w:val="%7."/>
      <w:lvlJc w:val="left"/>
      <w:pPr>
        <w:ind w:left="5040" w:hanging="360"/>
      </w:pPr>
    </w:lvl>
    <w:lvl w:ilvl="7" w:tplc="8E32BB88">
      <w:start w:val="1"/>
      <w:numFmt w:val="lowerLetter"/>
      <w:lvlText w:val="%8."/>
      <w:lvlJc w:val="left"/>
      <w:pPr>
        <w:ind w:left="5760" w:hanging="360"/>
      </w:pPr>
    </w:lvl>
    <w:lvl w:ilvl="8" w:tplc="FA88B7F6">
      <w:start w:val="1"/>
      <w:numFmt w:val="lowerRoman"/>
      <w:lvlText w:val="%9."/>
      <w:lvlJc w:val="right"/>
      <w:pPr>
        <w:ind w:left="6480" w:hanging="180"/>
      </w:pPr>
    </w:lvl>
  </w:abstractNum>
  <w:abstractNum w:abstractNumId="22" w15:restartNumberingAfterBreak="0">
    <w:nsid w:val="53E2F708"/>
    <w:multiLevelType w:val="hybridMultilevel"/>
    <w:tmpl w:val="59E0637A"/>
    <w:lvl w:ilvl="0" w:tplc="B682334E">
      <w:start w:val="1"/>
      <w:numFmt w:val="decimal"/>
      <w:lvlText w:val="%1."/>
      <w:lvlJc w:val="left"/>
      <w:pPr>
        <w:ind w:left="720" w:hanging="360"/>
      </w:pPr>
    </w:lvl>
    <w:lvl w:ilvl="1" w:tplc="A4CE2040">
      <w:start w:val="1"/>
      <w:numFmt w:val="lowerLetter"/>
      <w:lvlText w:val="%2."/>
      <w:lvlJc w:val="left"/>
      <w:pPr>
        <w:ind w:left="1440" w:hanging="360"/>
      </w:pPr>
    </w:lvl>
    <w:lvl w:ilvl="2" w:tplc="7AC6A03A">
      <w:start w:val="1"/>
      <w:numFmt w:val="lowerRoman"/>
      <w:lvlText w:val="%3."/>
      <w:lvlJc w:val="right"/>
      <w:pPr>
        <w:ind w:left="2160" w:hanging="180"/>
      </w:pPr>
    </w:lvl>
    <w:lvl w:ilvl="3" w:tplc="5742EEC6">
      <w:start w:val="1"/>
      <w:numFmt w:val="decimal"/>
      <w:lvlText w:val="%4."/>
      <w:lvlJc w:val="left"/>
      <w:pPr>
        <w:ind w:left="2880" w:hanging="360"/>
      </w:pPr>
    </w:lvl>
    <w:lvl w:ilvl="4" w:tplc="A5A8BEDA">
      <w:start w:val="1"/>
      <w:numFmt w:val="lowerLetter"/>
      <w:lvlText w:val="%5."/>
      <w:lvlJc w:val="left"/>
      <w:pPr>
        <w:ind w:left="3600" w:hanging="360"/>
      </w:pPr>
    </w:lvl>
    <w:lvl w:ilvl="5" w:tplc="4EBAA09C">
      <w:start w:val="1"/>
      <w:numFmt w:val="lowerRoman"/>
      <w:lvlText w:val="%6."/>
      <w:lvlJc w:val="right"/>
      <w:pPr>
        <w:ind w:left="4320" w:hanging="180"/>
      </w:pPr>
    </w:lvl>
    <w:lvl w:ilvl="6" w:tplc="0AC6B446">
      <w:start w:val="1"/>
      <w:numFmt w:val="decimal"/>
      <w:lvlText w:val="%7."/>
      <w:lvlJc w:val="left"/>
      <w:pPr>
        <w:ind w:left="5040" w:hanging="360"/>
      </w:pPr>
    </w:lvl>
    <w:lvl w:ilvl="7" w:tplc="8AAC6B6C">
      <w:start w:val="1"/>
      <w:numFmt w:val="lowerLetter"/>
      <w:lvlText w:val="%8."/>
      <w:lvlJc w:val="left"/>
      <w:pPr>
        <w:ind w:left="5760" w:hanging="360"/>
      </w:pPr>
    </w:lvl>
    <w:lvl w:ilvl="8" w:tplc="80F8203E">
      <w:start w:val="1"/>
      <w:numFmt w:val="lowerRoman"/>
      <w:lvlText w:val="%9."/>
      <w:lvlJc w:val="right"/>
      <w:pPr>
        <w:ind w:left="6480" w:hanging="180"/>
      </w:pPr>
    </w:lvl>
  </w:abstractNum>
  <w:abstractNum w:abstractNumId="23" w15:restartNumberingAfterBreak="0">
    <w:nsid w:val="561933B5"/>
    <w:multiLevelType w:val="hybridMultilevel"/>
    <w:tmpl w:val="CB4813E4"/>
    <w:lvl w:ilvl="0" w:tplc="7E285598">
      <w:start w:val="1"/>
      <w:numFmt w:val="bullet"/>
      <w:lvlText w:val=""/>
      <w:lvlJc w:val="left"/>
      <w:pPr>
        <w:ind w:left="360" w:hanging="360"/>
      </w:pPr>
      <w:rPr>
        <w:rFonts w:ascii="Symbol" w:hAnsi="Symbol" w:hint="default"/>
      </w:rPr>
    </w:lvl>
    <w:lvl w:ilvl="1" w:tplc="0924EA9E">
      <w:start w:val="1"/>
      <w:numFmt w:val="bullet"/>
      <w:lvlText w:val="o"/>
      <w:lvlJc w:val="left"/>
      <w:pPr>
        <w:ind w:left="1080" w:hanging="360"/>
      </w:pPr>
      <w:rPr>
        <w:rFonts w:ascii="Courier New" w:hAnsi="Courier New" w:hint="default"/>
      </w:rPr>
    </w:lvl>
    <w:lvl w:ilvl="2" w:tplc="37CAB64E">
      <w:start w:val="1"/>
      <w:numFmt w:val="bullet"/>
      <w:lvlText w:val=""/>
      <w:lvlJc w:val="left"/>
      <w:pPr>
        <w:ind w:left="1800" w:hanging="360"/>
      </w:pPr>
      <w:rPr>
        <w:rFonts w:ascii="Wingdings" w:hAnsi="Wingdings" w:hint="default"/>
      </w:rPr>
    </w:lvl>
    <w:lvl w:ilvl="3" w:tplc="4906E768">
      <w:start w:val="1"/>
      <w:numFmt w:val="bullet"/>
      <w:lvlText w:val=""/>
      <w:lvlJc w:val="left"/>
      <w:pPr>
        <w:ind w:left="2520" w:hanging="360"/>
      </w:pPr>
      <w:rPr>
        <w:rFonts w:ascii="Symbol" w:hAnsi="Symbol" w:hint="default"/>
      </w:rPr>
    </w:lvl>
    <w:lvl w:ilvl="4" w:tplc="3544CD12">
      <w:start w:val="1"/>
      <w:numFmt w:val="bullet"/>
      <w:lvlText w:val="o"/>
      <w:lvlJc w:val="left"/>
      <w:pPr>
        <w:ind w:left="3240" w:hanging="360"/>
      </w:pPr>
      <w:rPr>
        <w:rFonts w:ascii="Courier New" w:hAnsi="Courier New" w:hint="default"/>
      </w:rPr>
    </w:lvl>
    <w:lvl w:ilvl="5" w:tplc="BF7A54D2">
      <w:start w:val="1"/>
      <w:numFmt w:val="bullet"/>
      <w:lvlText w:val=""/>
      <w:lvlJc w:val="left"/>
      <w:pPr>
        <w:ind w:left="3960" w:hanging="360"/>
      </w:pPr>
      <w:rPr>
        <w:rFonts w:ascii="Wingdings" w:hAnsi="Wingdings" w:hint="default"/>
      </w:rPr>
    </w:lvl>
    <w:lvl w:ilvl="6" w:tplc="69066456">
      <w:start w:val="1"/>
      <w:numFmt w:val="bullet"/>
      <w:lvlText w:val=""/>
      <w:lvlJc w:val="left"/>
      <w:pPr>
        <w:ind w:left="4680" w:hanging="360"/>
      </w:pPr>
      <w:rPr>
        <w:rFonts w:ascii="Symbol" w:hAnsi="Symbol" w:hint="default"/>
      </w:rPr>
    </w:lvl>
    <w:lvl w:ilvl="7" w:tplc="D224493E">
      <w:start w:val="1"/>
      <w:numFmt w:val="bullet"/>
      <w:lvlText w:val="o"/>
      <w:lvlJc w:val="left"/>
      <w:pPr>
        <w:ind w:left="5400" w:hanging="360"/>
      </w:pPr>
      <w:rPr>
        <w:rFonts w:ascii="Courier New" w:hAnsi="Courier New" w:hint="default"/>
      </w:rPr>
    </w:lvl>
    <w:lvl w:ilvl="8" w:tplc="3AF67B00">
      <w:start w:val="1"/>
      <w:numFmt w:val="bullet"/>
      <w:lvlText w:val=""/>
      <w:lvlJc w:val="left"/>
      <w:pPr>
        <w:ind w:left="6120" w:hanging="360"/>
      </w:pPr>
      <w:rPr>
        <w:rFonts w:ascii="Wingdings" w:hAnsi="Wingdings" w:hint="default"/>
      </w:rPr>
    </w:lvl>
  </w:abstractNum>
  <w:abstractNum w:abstractNumId="24" w15:restartNumberingAfterBreak="0">
    <w:nsid w:val="58F452A7"/>
    <w:multiLevelType w:val="hybridMultilevel"/>
    <w:tmpl w:val="4A0A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601290"/>
    <w:multiLevelType w:val="hybridMultilevel"/>
    <w:tmpl w:val="A0FE96E2"/>
    <w:lvl w:ilvl="0" w:tplc="AA20FA8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E9DC3F"/>
    <w:multiLevelType w:val="hybridMultilevel"/>
    <w:tmpl w:val="74D0ACBC"/>
    <w:lvl w:ilvl="0" w:tplc="54081472">
      <w:start w:val="1"/>
      <w:numFmt w:val="bullet"/>
      <w:lvlText w:val="·"/>
      <w:lvlJc w:val="left"/>
      <w:pPr>
        <w:ind w:left="360" w:hanging="360"/>
      </w:pPr>
      <w:rPr>
        <w:rFonts w:ascii="Symbol" w:hAnsi="Symbol" w:hint="default"/>
      </w:rPr>
    </w:lvl>
    <w:lvl w:ilvl="1" w:tplc="A5B236B0">
      <w:start w:val="1"/>
      <w:numFmt w:val="bullet"/>
      <w:lvlText w:val="o"/>
      <w:lvlJc w:val="left"/>
      <w:pPr>
        <w:ind w:left="1080" w:hanging="360"/>
      </w:pPr>
      <w:rPr>
        <w:rFonts w:ascii="Courier New" w:hAnsi="Courier New" w:hint="default"/>
      </w:rPr>
    </w:lvl>
    <w:lvl w:ilvl="2" w:tplc="79FC4D84">
      <w:start w:val="1"/>
      <w:numFmt w:val="bullet"/>
      <w:lvlText w:val=""/>
      <w:lvlJc w:val="left"/>
      <w:pPr>
        <w:ind w:left="1800" w:hanging="360"/>
      </w:pPr>
      <w:rPr>
        <w:rFonts w:ascii="Wingdings" w:hAnsi="Wingdings" w:hint="default"/>
      </w:rPr>
    </w:lvl>
    <w:lvl w:ilvl="3" w:tplc="45204068">
      <w:start w:val="1"/>
      <w:numFmt w:val="bullet"/>
      <w:lvlText w:val=""/>
      <w:lvlJc w:val="left"/>
      <w:pPr>
        <w:ind w:left="2520" w:hanging="360"/>
      </w:pPr>
      <w:rPr>
        <w:rFonts w:ascii="Symbol" w:hAnsi="Symbol" w:hint="default"/>
      </w:rPr>
    </w:lvl>
    <w:lvl w:ilvl="4" w:tplc="4C409142">
      <w:start w:val="1"/>
      <w:numFmt w:val="bullet"/>
      <w:lvlText w:val="o"/>
      <w:lvlJc w:val="left"/>
      <w:pPr>
        <w:ind w:left="3240" w:hanging="360"/>
      </w:pPr>
      <w:rPr>
        <w:rFonts w:ascii="Courier New" w:hAnsi="Courier New" w:hint="default"/>
      </w:rPr>
    </w:lvl>
    <w:lvl w:ilvl="5" w:tplc="1C9840B8">
      <w:start w:val="1"/>
      <w:numFmt w:val="bullet"/>
      <w:lvlText w:val=""/>
      <w:lvlJc w:val="left"/>
      <w:pPr>
        <w:ind w:left="3960" w:hanging="360"/>
      </w:pPr>
      <w:rPr>
        <w:rFonts w:ascii="Wingdings" w:hAnsi="Wingdings" w:hint="default"/>
      </w:rPr>
    </w:lvl>
    <w:lvl w:ilvl="6" w:tplc="531CA93C">
      <w:start w:val="1"/>
      <w:numFmt w:val="bullet"/>
      <w:lvlText w:val=""/>
      <w:lvlJc w:val="left"/>
      <w:pPr>
        <w:ind w:left="4680" w:hanging="360"/>
      </w:pPr>
      <w:rPr>
        <w:rFonts w:ascii="Symbol" w:hAnsi="Symbol" w:hint="default"/>
      </w:rPr>
    </w:lvl>
    <w:lvl w:ilvl="7" w:tplc="0E4AAEE6">
      <w:start w:val="1"/>
      <w:numFmt w:val="bullet"/>
      <w:lvlText w:val="o"/>
      <w:lvlJc w:val="left"/>
      <w:pPr>
        <w:ind w:left="5400" w:hanging="360"/>
      </w:pPr>
      <w:rPr>
        <w:rFonts w:ascii="Courier New" w:hAnsi="Courier New" w:hint="default"/>
      </w:rPr>
    </w:lvl>
    <w:lvl w:ilvl="8" w:tplc="4196ADBE">
      <w:start w:val="1"/>
      <w:numFmt w:val="bullet"/>
      <w:lvlText w:val=""/>
      <w:lvlJc w:val="left"/>
      <w:pPr>
        <w:ind w:left="6120" w:hanging="360"/>
      </w:pPr>
      <w:rPr>
        <w:rFonts w:ascii="Wingdings" w:hAnsi="Wingdings" w:hint="default"/>
      </w:rPr>
    </w:lvl>
  </w:abstractNum>
  <w:abstractNum w:abstractNumId="27" w15:restartNumberingAfterBreak="0">
    <w:nsid w:val="5CAE4DD6"/>
    <w:multiLevelType w:val="hybridMultilevel"/>
    <w:tmpl w:val="D9BECB5C"/>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15" w:hanging="360"/>
      </w:pPr>
      <w:rPr>
        <w:rFonts w:ascii="Courier New" w:hAnsi="Courier New" w:cs="Courier New" w:hint="default"/>
      </w:rPr>
    </w:lvl>
    <w:lvl w:ilvl="2" w:tplc="FFFFFFFF" w:tentative="1">
      <w:start w:val="1"/>
      <w:numFmt w:val="bullet"/>
      <w:lvlText w:val=""/>
      <w:lvlJc w:val="left"/>
      <w:pPr>
        <w:ind w:left="1735" w:hanging="360"/>
      </w:pPr>
      <w:rPr>
        <w:rFonts w:ascii="Wingdings" w:hAnsi="Wingdings" w:hint="default"/>
      </w:rPr>
    </w:lvl>
    <w:lvl w:ilvl="3" w:tplc="FFFFFFFF" w:tentative="1">
      <w:start w:val="1"/>
      <w:numFmt w:val="bullet"/>
      <w:lvlText w:val=""/>
      <w:lvlJc w:val="left"/>
      <w:pPr>
        <w:ind w:left="2455" w:hanging="360"/>
      </w:pPr>
      <w:rPr>
        <w:rFonts w:ascii="Symbol" w:hAnsi="Symbol" w:hint="default"/>
      </w:rPr>
    </w:lvl>
    <w:lvl w:ilvl="4" w:tplc="FFFFFFFF" w:tentative="1">
      <w:start w:val="1"/>
      <w:numFmt w:val="bullet"/>
      <w:lvlText w:val="o"/>
      <w:lvlJc w:val="left"/>
      <w:pPr>
        <w:ind w:left="3175" w:hanging="360"/>
      </w:pPr>
      <w:rPr>
        <w:rFonts w:ascii="Courier New" w:hAnsi="Courier New" w:cs="Courier New" w:hint="default"/>
      </w:rPr>
    </w:lvl>
    <w:lvl w:ilvl="5" w:tplc="FFFFFFFF" w:tentative="1">
      <w:start w:val="1"/>
      <w:numFmt w:val="bullet"/>
      <w:lvlText w:val=""/>
      <w:lvlJc w:val="left"/>
      <w:pPr>
        <w:ind w:left="3895" w:hanging="360"/>
      </w:pPr>
      <w:rPr>
        <w:rFonts w:ascii="Wingdings" w:hAnsi="Wingdings" w:hint="default"/>
      </w:rPr>
    </w:lvl>
    <w:lvl w:ilvl="6" w:tplc="FFFFFFFF" w:tentative="1">
      <w:start w:val="1"/>
      <w:numFmt w:val="bullet"/>
      <w:lvlText w:val=""/>
      <w:lvlJc w:val="left"/>
      <w:pPr>
        <w:ind w:left="4615" w:hanging="360"/>
      </w:pPr>
      <w:rPr>
        <w:rFonts w:ascii="Symbol" w:hAnsi="Symbol" w:hint="default"/>
      </w:rPr>
    </w:lvl>
    <w:lvl w:ilvl="7" w:tplc="FFFFFFFF" w:tentative="1">
      <w:start w:val="1"/>
      <w:numFmt w:val="bullet"/>
      <w:lvlText w:val="o"/>
      <w:lvlJc w:val="left"/>
      <w:pPr>
        <w:ind w:left="5335" w:hanging="360"/>
      </w:pPr>
      <w:rPr>
        <w:rFonts w:ascii="Courier New" w:hAnsi="Courier New" w:cs="Courier New" w:hint="default"/>
      </w:rPr>
    </w:lvl>
    <w:lvl w:ilvl="8" w:tplc="FFFFFFFF" w:tentative="1">
      <w:start w:val="1"/>
      <w:numFmt w:val="bullet"/>
      <w:lvlText w:val=""/>
      <w:lvlJc w:val="left"/>
      <w:pPr>
        <w:ind w:left="6055" w:hanging="360"/>
      </w:pPr>
      <w:rPr>
        <w:rFonts w:ascii="Wingdings" w:hAnsi="Wingdings" w:hint="default"/>
      </w:rPr>
    </w:lvl>
  </w:abstractNum>
  <w:abstractNum w:abstractNumId="28" w15:restartNumberingAfterBreak="0">
    <w:nsid w:val="5CEE821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CF31AC8"/>
    <w:multiLevelType w:val="hybridMultilevel"/>
    <w:tmpl w:val="35D6D1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5DD320A6"/>
    <w:multiLevelType w:val="hybridMultilevel"/>
    <w:tmpl w:val="52CE35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5356492"/>
    <w:multiLevelType w:val="hybridMultilevel"/>
    <w:tmpl w:val="FFD06EA6"/>
    <w:lvl w:ilvl="0" w:tplc="5E7C5408">
      <w:start w:val="1"/>
      <w:numFmt w:val="bullet"/>
      <w:lvlText w:val=""/>
      <w:lvlJc w:val="left"/>
      <w:pPr>
        <w:ind w:left="1440" w:hanging="360"/>
      </w:pPr>
      <w:rPr>
        <w:rFonts w:ascii="Symbol" w:hAnsi="Symbol"/>
      </w:rPr>
    </w:lvl>
    <w:lvl w:ilvl="1" w:tplc="19A08378">
      <w:start w:val="1"/>
      <w:numFmt w:val="bullet"/>
      <w:lvlText w:val=""/>
      <w:lvlJc w:val="left"/>
      <w:pPr>
        <w:ind w:left="1440" w:hanging="360"/>
      </w:pPr>
      <w:rPr>
        <w:rFonts w:ascii="Symbol" w:hAnsi="Symbol"/>
      </w:rPr>
    </w:lvl>
    <w:lvl w:ilvl="2" w:tplc="2CB0A3F8">
      <w:start w:val="1"/>
      <w:numFmt w:val="bullet"/>
      <w:lvlText w:val=""/>
      <w:lvlJc w:val="left"/>
      <w:pPr>
        <w:ind w:left="1440" w:hanging="360"/>
      </w:pPr>
      <w:rPr>
        <w:rFonts w:ascii="Symbol" w:hAnsi="Symbol"/>
      </w:rPr>
    </w:lvl>
    <w:lvl w:ilvl="3" w:tplc="F2E6E590">
      <w:start w:val="1"/>
      <w:numFmt w:val="bullet"/>
      <w:lvlText w:val=""/>
      <w:lvlJc w:val="left"/>
      <w:pPr>
        <w:ind w:left="1440" w:hanging="360"/>
      </w:pPr>
      <w:rPr>
        <w:rFonts w:ascii="Symbol" w:hAnsi="Symbol"/>
      </w:rPr>
    </w:lvl>
    <w:lvl w:ilvl="4" w:tplc="8B6C3A7C">
      <w:start w:val="1"/>
      <w:numFmt w:val="bullet"/>
      <w:lvlText w:val=""/>
      <w:lvlJc w:val="left"/>
      <w:pPr>
        <w:ind w:left="1440" w:hanging="360"/>
      </w:pPr>
      <w:rPr>
        <w:rFonts w:ascii="Symbol" w:hAnsi="Symbol"/>
      </w:rPr>
    </w:lvl>
    <w:lvl w:ilvl="5" w:tplc="22766592">
      <w:start w:val="1"/>
      <w:numFmt w:val="bullet"/>
      <w:lvlText w:val=""/>
      <w:lvlJc w:val="left"/>
      <w:pPr>
        <w:ind w:left="1440" w:hanging="360"/>
      </w:pPr>
      <w:rPr>
        <w:rFonts w:ascii="Symbol" w:hAnsi="Symbol"/>
      </w:rPr>
    </w:lvl>
    <w:lvl w:ilvl="6" w:tplc="2EDC29C6">
      <w:start w:val="1"/>
      <w:numFmt w:val="bullet"/>
      <w:lvlText w:val=""/>
      <w:lvlJc w:val="left"/>
      <w:pPr>
        <w:ind w:left="1440" w:hanging="360"/>
      </w:pPr>
      <w:rPr>
        <w:rFonts w:ascii="Symbol" w:hAnsi="Symbol"/>
      </w:rPr>
    </w:lvl>
    <w:lvl w:ilvl="7" w:tplc="163A16AA">
      <w:start w:val="1"/>
      <w:numFmt w:val="bullet"/>
      <w:lvlText w:val=""/>
      <w:lvlJc w:val="left"/>
      <w:pPr>
        <w:ind w:left="1440" w:hanging="360"/>
      </w:pPr>
      <w:rPr>
        <w:rFonts w:ascii="Symbol" w:hAnsi="Symbol"/>
      </w:rPr>
    </w:lvl>
    <w:lvl w:ilvl="8" w:tplc="BDF621C0">
      <w:start w:val="1"/>
      <w:numFmt w:val="bullet"/>
      <w:lvlText w:val=""/>
      <w:lvlJc w:val="left"/>
      <w:pPr>
        <w:ind w:left="1440" w:hanging="360"/>
      </w:pPr>
      <w:rPr>
        <w:rFonts w:ascii="Symbol" w:hAnsi="Symbol"/>
      </w:rPr>
    </w:lvl>
  </w:abstractNum>
  <w:abstractNum w:abstractNumId="32" w15:restartNumberingAfterBreak="0">
    <w:nsid w:val="658D3E5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6977C82"/>
    <w:multiLevelType w:val="hybridMultilevel"/>
    <w:tmpl w:val="E604EE4C"/>
    <w:lvl w:ilvl="0" w:tplc="D38C2D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D7E4553"/>
    <w:multiLevelType w:val="hybridMultilevel"/>
    <w:tmpl w:val="7B889CD6"/>
    <w:lvl w:ilvl="0" w:tplc="3A5AE3BE">
      <w:start w:val="1"/>
      <w:numFmt w:val="lowerLetter"/>
      <w:lvlText w:val="%1."/>
      <w:lvlJc w:val="left"/>
      <w:pPr>
        <w:ind w:left="720" w:hanging="360"/>
      </w:pPr>
    </w:lvl>
    <w:lvl w:ilvl="1" w:tplc="9DB80248">
      <w:start w:val="1"/>
      <w:numFmt w:val="lowerLetter"/>
      <w:lvlText w:val="%2."/>
      <w:lvlJc w:val="left"/>
      <w:pPr>
        <w:ind w:left="1440" w:hanging="360"/>
      </w:pPr>
    </w:lvl>
    <w:lvl w:ilvl="2" w:tplc="DFCE6758">
      <w:start w:val="1"/>
      <w:numFmt w:val="lowerRoman"/>
      <w:lvlText w:val="%3."/>
      <w:lvlJc w:val="right"/>
      <w:pPr>
        <w:ind w:left="2160" w:hanging="180"/>
      </w:pPr>
    </w:lvl>
    <w:lvl w:ilvl="3" w:tplc="362E0E86">
      <w:start w:val="1"/>
      <w:numFmt w:val="decimal"/>
      <w:lvlText w:val="%4."/>
      <w:lvlJc w:val="left"/>
      <w:pPr>
        <w:ind w:left="2880" w:hanging="360"/>
      </w:pPr>
    </w:lvl>
    <w:lvl w:ilvl="4" w:tplc="A23E9D6A">
      <w:start w:val="1"/>
      <w:numFmt w:val="lowerLetter"/>
      <w:lvlText w:val="%5."/>
      <w:lvlJc w:val="left"/>
      <w:pPr>
        <w:ind w:left="3600" w:hanging="360"/>
      </w:pPr>
    </w:lvl>
    <w:lvl w:ilvl="5" w:tplc="5ACE207A">
      <w:start w:val="1"/>
      <w:numFmt w:val="lowerRoman"/>
      <w:lvlText w:val="%6."/>
      <w:lvlJc w:val="right"/>
      <w:pPr>
        <w:ind w:left="4320" w:hanging="180"/>
      </w:pPr>
    </w:lvl>
    <w:lvl w:ilvl="6" w:tplc="71CC3390">
      <w:start w:val="1"/>
      <w:numFmt w:val="decimal"/>
      <w:lvlText w:val="%7."/>
      <w:lvlJc w:val="left"/>
      <w:pPr>
        <w:ind w:left="5040" w:hanging="360"/>
      </w:pPr>
    </w:lvl>
    <w:lvl w:ilvl="7" w:tplc="97DC5A2A">
      <w:start w:val="1"/>
      <w:numFmt w:val="lowerLetter"/>
      <w:lvlText w:val="%8."/>
      <w:lvlJc w:val="left"/>
      <w:pPr>
        <w:ind w:left="5760" w:hanging="360"/>
      </w:pPr>
    </w:lvl>
    <w:lvl w:ilvl="8" w:tplc="58C636C4">
      <w:start w:val="1"/>
      <w:numFmt w:val="lowerRoman"/>
      <w:lvlText w:val="%9."/>
      <w:lvlJc w:val="right"/>
      <w:pPr>
        <w:ind w:left="6480" w:hanging="180"/>
      </w:pPr>
    </w:lvl>
  </w:abstractNum>
  <w:abstractNum w:abstractNumId="35" w15:restartNumberingAfterBreak="0">
    <w:nsid w:val="712DAD2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24B737D"/>
    <w:multiLevelType w:val="hybridMultilevel"/>
    <w:tmpl w:val="94B6B1C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7" w15:restartNumberingAfterBreak="0">
    <w:nsid w:val="74A8024B"/>
    <w:multiLevelType w:val="hybridMultilevel"/>
    <w:tmpl w:val="D44AA0B4"/>
    <w:lvl w:ilvl="0" w:tplc="8FA8C84C">
      <w:start w:val="1"/>
      <w:numFmt w:val="decimal"/>
      <w:lvlText w:val="%1."/>
      <w:lvlJc w:val="left"/>
      <w:pPr>
        <w:ind w:left="720" w:hanging="360"/>
      </w:pPr>
      <w:rPr>
        <w:rFonts w:ascii="Calibri" w:hAnsi="Calibri" w:hint="default"/>
      </w:rPr>
    </w:lvl>
    <w:lvl w:ilvl="1" w:tplc="8A36C6F6">
      <w:start w:val="1"/>
      <w:numFmt w:val="lowerLetter"/>
      <w:lvlText w:val="%2."/>
      <w:lvlJc w:val="left"/>
      <w:pPr>
        <w:ind w:left="1440" w:hanging="360"/>
      </w:pPr>
    </w:lvl>
    <w:lvl w:ilvl="2" w:tplc="8118194E">
      <w:start w:val="1"/>
      <w:numFmt w:val="lowerRoman"/>
      <w:lvlText w:val="%3."/>
      <w:lvlJc w:val="right"/>
      <w:pPr>
        <w:ind w:left="2160" w:hanging="180"/>
      </w:pPr>
    </w:lvl>
    <w:lvl w:ilvl="3" w:tplc="11B826E8">
      <w:start w:val="1"/>
      <w:numFmt w:val="decimal"/>
      <w:lvlText w:val="%4."/>
      <w:lvlJc w:val="left"/>
      <w:pPr>
        <w:ind w:left="2880" w:hanging="360"/>
      </w:pPr>
    </w:lvl>
    <w:lvl w:ilvl="4" w:tplc="FFD2E54C">
      <w:start w:val="1"/>
      <w:numFmt w:val="lowerLetter"/>
      <w:lvlText w:val="%5."/>
      <w:lvlJc w:val="left"/>
      <w:pPr>
        <w:ind w:left="3600" w:hanging="360"/>
      </w:pPr>
    </w:lvl>
    <w:lvl w:ilvl="5" w:tplc="20DA9508">
      <w:start w:val="1"/>
      <w:numFmt w:val="lowerRoman"/>
      <w:lvlText w:val="%6."/>
      <w:lvlJc w:val="right"/>
      <w:pPr>
        <w:ind w:left="4320" w:hanging="180"/>
      </w:pPr>
    </w:lvl>
    <w:lvl w:ilvl="6" w:tplc="F12AA244">
      <w:start w:val="1"/>
      <w:numFmt w:val="decimal"/>
      <w:lvlText w:val="%7."/>
      <w:lvlJc w:val="left"/>
      <w:pPr>
        <w:ind w:left="5040" w:hanging="360"/>
      </w:pPr>
    </w:lvl>
    <w:lvl w:ilvl="7" w:tplc="A9C8DD44">
      <w:start w:val="1"/>
      <w:numFmt w:val="lowerLetter"/>
      <w:lvlText w:val="%8."/>
      <w:lvlJc w:val="left"/>
      <w:pPr>
        <w:ind w:left="5760" w:hanging="360"/>
      </w:pPr>
    </w:lvl>
    <w:lvl w:ilvl="8" w:tplc="23A83FDC">
      <w:start w:val="1"/>
      <w:numFmt w:val="lowerRoman"/>
      <w:lvlText w:val="%9."/>
      <w:lvlJc w:val="right"/>
      <w:pPr>
        <w:ind w:left="6480" w:hanging="180"/>
      </w:pPr>
    </w:lvl>
  </w:abstractNum>
  <w:abstractNum w:abstractNumId="38" w15:restartNumberingAfterBreak="0">
    <w:nsid w:val="750463D7"/>
    <w:multiLevelType w:val="hybridMultilevel"/>
    <w:tmpl w:val="E17E51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76328F"/>
    <w:multiLevelType w:val="hybridMultilevel"/>
    <w:tmpl w:val="F9D6241E"/>
    <w:lvl w:ilvl="0" w:tplc="EB0813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7CD5627"/>
    <w:multiLevelType w:val="hybridMultilevel"/>
    <w:tmpl w:val="72640B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27412291">
    <w:abstractNumId w:val="21"/>
  </w:num>
  <w:num w:numId="2" w16cid:durableId="231039102">
    <w:abstractNumId w:val="15"/>
  </w:num>
  <w:num w:numId="3" w16cid:durableId="1572931524">
    <w:abstractNumId w:val="23"/>
  </w:num>
  <w:num w:numId="4" w16cid:durableId="1652755568">
    <w:abstractNumId w:val="22"/>
  </w:num>
  <w:num w:numId="5" w16cid:durableId="772751086">
    <w:abstractNumId w:val="26"/>
  </w:num>
  <w:num w:numId="6" w16cid:durableId="1504465362">
    <w:abstractNumId w:val="2"/>
  </w:num>
  <w:num w:numId="7" w16cid:durableId="1352344316">
    <w:abstractNumId w:val="13"/>
  </w:num>
  <w:num w:numId="8" w16cid:durableId="82654184">
    <w:abstractNumId w:val="11"/>
  </w:num>
  <w:num w:numId="9" w16cid:durableId="592129806">
    <w:abstractNumId w:val="25"/>
  </w:num>
  <w:num w:numId="10" w16cid:durableId="1866020524">
    <w:abstractNumId w:val="27"/>
  </w:num>
  <w:num w:numId="11" w16cid:durableId="823816088">
    <w:abstractNumId w:val="5"/>
  </w:num>
  <w:num w:numId="12" w16cid:durableId="1573850649">
    <w:abstractNumId w:val="8"/>
  </w:num>
  <w:num w:numId="13" w16cid:durableId="449590192">
    <w:abstractNumId w:val="7"/>
  </w:num>
  <w:num w:numId="14" w16cid:durableId="7395236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384285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48377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0068438">
    <w:abstractNumId w:val="36"/>
  </w:num>
  <w:num w:numId="18" w16cid:durableId="389117300">
    <w:abstractNumId w:val="40"/>
  </w:num>
  <w:num w:numId="19" w16cid:durableId="5406480">
    <w:abstractNumId w:val="33"/>
  </w:num>
  <w:num w:numId="20" w16cid:durableId="1672370058">
    <w:abstractNumId w:val="3"/>
  </w:num>
  <w:num w:numId="21" w16cid:durableId="1196309985">
    <w:abstractNumId w:val="16"/>
  </w:num>
  <w:num w:numId="22" w16cid:durableId="1286734289">
    <w:abstractNumId w:val="30"/>
  </w:num>
  <w:num w:numId="23" w16cid:durableId="14045141">
    <w:abstractNumId w:val="39"/>
  </w:num>
  <w:num w:numId="24" w16cid:durableId="66077313">
    <w:abstractNumId w:val="35"/>
  </w:num>
  <w:num w:numId="25" w16cid:durableId="424151133">
    <w:abstractNumId w:val="0"/>
  </w:num>
  <w:num w:numId="26" w16cid:durableId="2123957840">
    <w:abstractNumId w:val="1"/>
  </w:num>
  <w:num w:numId="27" w16cid:durableId="1585455505">
    <w:abstractNumId w:val="32"/>
  </w:num>
  <w:num w:numId="28" w16cid:durableId="2014532953">
    <w:abstractNumId w:val="28"/>
  </w:num>
  <w:num w:numId="29" w16cid:durableId="1767459311">
    <w:abstractNumId w:val="4"/>
  </w:num>
  <w:num w:numId="30" w16cid:durableId="976254860">
    <w:abstractNumId w:val="9"/>
  </w:num>
  <w:num w:numId="31" w16cid:durableId="588005055">
    <w:abstractNumId w:val="38"/>
  </w:num>
  <w:num w:numId="32" w16cid:durableId="1123842414">
    <w:abstractNumId w:val="20"/>
  </w:num>
  <w:num w:numId="33" w16cid:durableId="1789272006">
    <w:abstractNumId w:val="10"/>
  </w:num>
  <w:num w:numId="34" w16cid:durableId="343435667">
    <w:abstractNumId w:val="12"/>
  </w:num>
  <w:num w:numId="35" w16cid:durableId="1031103092">
    <w:abstractNumId w:val="24"/>
  </w:num>
  <w:num w:numId="36" w16cid:durableId="74909046">
    <w:abstractNumId w:val="34"/>
  </w:num>
  <w:num w:numId="37" w16cid:durableId="540485385">
    <w:abstractNumId w:val="31"/>
  </w:num>
  <w:num w:numId="38" w16cid:durableId="379286395">
    <w:abstractNumId w:val="17"/>
  </w:num>
  <w:num w:numId="39" w16cid:durableId="595672595">
    <w:abstractNumId w:val="19"/>
  </w:num>
  <w:num w:numId="40" w16cid:durableId="618606119">
    <w:abstractNumId w:val="6"/>
  </w:num>
  <w:num w:numId="41" w16cid:durableId="604313512">
    <w:abstractNumId w:val="14"/>
  </w:num>
  <w:num w:numId="42" w16cid:durableId="839007297">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CF"/>
    <w:rsid w:val="00000EB6"/>
    <w:rsid w:val="00001253"/>
    <w:rsid w:val="000021A3"/>
    <w:rsid w:val="000025CA"/>
    <w:rsid w:val="00002651"/>
    <w:rsid w:val="000027A5"/>
    <w:rsid w:val="00002C36"/>
    <w:rsid w:val="00003A8E"/>
    <w:rsid w:val="000068E6"/>
    <w:rsid w:val="00006BDA"/>
    <w:rsid w:val="000117F9"/>
    <w:rsid w:val="00011899"/>
    <w:rsid w:val="00015437"/>
    <w:rsid w:val="00015E93"/>
    <w:rsid w:val="000163EC"/>
    <w:rsid w:val="00016533"/>
    <w:rsid w:val="0001674D"/>
    <w:rsid w:val="00016BFE"/>
    <w:rsid w:val="00017A90"/>
    <w:rsid w:val="00017B49"/>
    <w:rsid w:val="00020BCE"/>
    <w:rsid w:val="0002130C"/>
    <w:rsid w:val="00021BAD"/>
    <w:rsid w:val="00021D7F"/>
    <w:rsid w:val="00023BE0"/>
    <w:rsid w:val="0002405E"/>
    <w:rsid w:val="00024BE3"/>
    <w:rsid w:val="000251C7"/>
    <w:rsid w:val="000256B0"/>
    <w:rsid w:val="00027280"/>
    <w:rsid w:val="000278F2"/>
    <w:rsid w:val="00033798"/>
    <w:rsid w:val="00037C95"/>
    <w:rsid w:val="00040942"/>
    <w:rsid w:val="00041684"/>
    <w:rsid w:val="000422D1"/>
    <w:rsid w:val="000435B9"/>
    <w:rsid w:val="00044160"/>
    <w:rsid w:val="00044363"/>
    <w:rsid w:val="0004527C"/>
    <w:rsid w:val="00045846"/>
    <w:rsid w:val="00046384"/>
    <w:rsid w:val="00047587"/>
    <w:rsid w:val="000516CE"/>
    <w:rsid w:val="000534BC"/>
    <w:rsid w:val="00054E4A"/>
    <w:rsid w:val="00054ED1"/>
    <w:rsid w:val="00054F98"/>
    <w:rsid w:val="00056201"/>
    <w:rsid w:val="00057538"/>
    <w:rsid w:val="00060794"/>
    <w:rsid w:val="00060CFE"/>
    <w:rsid w:val="000614A6"/>
    <w:rsid w:val="00065459"/>
    <w:rsid w:val="00066214"/>
    <w:rsid w:val="0007125A"/>
    <w:rsid w:val="00071CF7"/>
    <w:rsid w:val="00071FA1"/>
    <w:rsid w:val="0007204F"/>
    <w:rsid w:val="00072A1C"/>
    <w:rsid w:val="0007589D"/>
    <w:rsid w:val="0007731D"/>
    <w:rsid w:val="000776F5"/>
    <w:rsid w:val="00077F7A"/>
    <w:rsid w:val="0008079B"/>
    <w:rsid w:val="00081AE5"/>
    <w:rsid w:val="00081B6B"/>
    <w:rsid w:val="00083EEE"/>
    <w:rsid w:val="00086036"/>
    <w:rsid w:val="00086111"/>
    <w:rsid w:val="0008687C"/>
    <w:rsid w:val="0008788E"/>
    <w:rsid w:val="000902CC"/>
    <w:rsid w:val="00090495"/>
    <w:rsid w:val="000913E7"/>
    <w:rsid w:val="000937F9"/>
    <w:rsid w:val="000941B4"/>
    <w:rsid w:val="00095F17"/>
    <w:rsid w:val="00096922"/>
    <w:rsid w:val="00096D33"/>
    <w:rsid w:val="00097B03"/>
    <w:rsid w:val="00097FE2"/>
    <w:rsid w:val="000A01D2"/>
    <w:rsid w:val="000A105C"/>
    <w:rsid w:val="000A23A9"/>
    <w:rsid w:val="000A54FA"/>
    <w:rsid w:val="000A608B"/>
    <w:rsid w:val="000A686B"/>
    <w:rsid w:val="000B0869"/>
    <w:rsid w:val="000B40E8"/>
    <w:rsid w:val="000B496A"/>
    <w:rsid w:val="000B51FE"/>
    <w:rsid w:val="000B61A8"/>
    <w:rsid w:val="000B6E32"/>
    <w:rsid w:val="000B7E0C"/>
    <w:rsid w:val="000C1E5E"/>
    <w:rsid w:val="000C2B73"/>
    <w:rsid w:val="000C2ED6"/>
    <w:rsid w:val="000C2EFF"/>
    <w:rsid w:val="000C4148"/>
    <w:rsid w:val="000C4668"/>
    <w:rsid w:val="000C4FD0"/>
    <w:rsid w:val="000C69CB"/>
    <w:rsid w:val="000C7CBA"/>
    <w:rsid w:val="000D0504"/>
    <w:rsid w:val="000D16DA"/>
    <w:rsid w:val="000D2A58"/>
    <w:rsid w:val="000D4C1A"/>
    <w:rsid w:val="000D5C7A"/>
    <w:rsid w:val="000D6FE0"/>
    <w:rsid w:val="000D7342"/>
    <w:rsid w:val="000D76A1"/>
    <w:rsid w:val="000D7B31"/>
    <w:rsid w:val="000E008F"/>
    <w:rsid w:val="000E1B03"/>
    <w:rsid w:val="000E2B01"/>
    <w:rsid w:val="000E378D"/>
    <w:rsid w:val="000E4575"/>
    <w:rsid w:val="000E46E8"/>
    <w:rsid w:val="000E4E96"/>
    <w:rsid w:val="000E529F"/>
    <w:rsid w:val="000E71DC"/>
    <w:rsid w:val="000E759D"/>
    <w:rsid w:val="000F0A7E"/>
    <w:rsid w:val="000F27FF"/>
    <w:rsid w:val="000F455D"/>
    <w:rsid w:val="000F4F03"/>
    <w:rsid w:val="000F5ADB"/>
    <w:rsid w:val="000F732F"/>
    <w:rsid w:val="000F745F"/>
    <w:rsid w:val="0010054E"/>
    <w:rsid w:val="00100AA6"/>
    <w:rsid w:val="0010115C"/>
    <w:rsid w:val="0010132D"/>
    <w:rsid w:val="00101714"/>
    <w:rsid w:val="00102F1B"/>
    <w:rsid w:val="00103AC6"/>
    <w:rsid w:val="00104516"/>
    <w:rsid w:val="00104D7E"/>
    <w:rsid w:val="00105347"/>
    <w:rsid w:val="00105736"/>
    <w:rsid w:val="001057EA"/>
    <w:rsid w:val="0010590C"/>
    <w:rsid w:val="00107D4B"/>
    <w:rsid w:val="00107F89"/>
    <w:rsid w:val="00110EBC"/>
    <w:rsid w:val="00110FA9"/>
    <w:rsid w:val="00111637"/>
    <w:rsid w:val="0011300C"/>
    <w:rsid w:val="001155B1"/>
    <w:rsid w:val="0011631A"/>
    <w:rsid w:val="00116C1F"/>
    <w:rsid w:val="001173B3"/>
    <w:rsid w:val="0012013E"/>
    <w:rsid w:val="00121EBE"/>
    <w:rsid w:val="00123C0A"/>
    <w:rsid w:val="0012455C"/>
    <w:rsid w:val="00126021"/>
    <w:rsid w:val="00126A6C"/>
    <w:rsid w:val="00130433"/>
    <w:rsid w:val="00130FBE"/>
    <w:rsid w:val="001313CC"/>
    <w:rsid w:val="00131D11"/>
    <w:rsid w:val="0013372E"/>
    <w:rsid w:val="00134124"/>
    <w:rsid w:val="0013535D"/>
    <w:rsid w:val="00137CAF"/>
    <w:rsid w:val="001418EC"/>
    <w:rsid w:val="00141BF7"/>
    <w:rsid w:val="00141CD4"/>
    <w:rsid w:val="00142BB6"/>
    <w:rsid w:val="00142DFA"/>
    <w:rsid w:val="001431AE"/>
    <w:rsid w:val="00143313"/>
    <w:rsid w:val="00146222"/>
    <w:rsid w:val="0014673F"/>
    <w:rsid w:val="00147259"/>
    <w:rsid w:val="00150501"/>
    <w:rsid w:val="001506C9"/>
    <w:rsid w:val="00150ED5"/>
    <w:rsid w:val="00151C7A"/>
    <w:rsid w:val="001527FD"/>
    <w:rsid w:val="00153442"/>
    <w:rsid w:val="00154A00"/>
    <w:rsid w:val="00155535"/>
    <w:rsid w:val="00156694"/>
    <w:rsid w:val="00156B7A"/>
    <w:rsid w:val="00157B16"/>
    <w:rsid w:val="0016261B"/>
    <w:rsid w:val="00162901"/>
    <w:rsid w:val="00163D17"/>
    <w:rsid w:val="0016430F"/>
    <w:rsid w:val="00164505"/>
    <w:rsid w:val="001647AC"/>
    <w:rsid w:val="00164A59"/>
    <w:rsid w:val="00165151"/>
    <w:rsid w:val="00165796"/>
    <w:rsid w:val="00165D9E"/>
    <w:rsid w:val="0016685E"/>
    <w:rsid w:val="001670B6"/>
    <w:rsid w:val="0016734B"/>
    <w:rsid w:val="00167475"/>
    <w:rsid w:val="001677B6"/>
    <w:rsid w:val="00171726"/>
    <w:rsid w:val="001748A3"/>
    <w:rsid w:val="00174F5B"/>
    <w:rsid w:val="00175D53"/>
    <w:rsid w:val="001772DF"/>
    <w:rsid w:val="00177798"/>
    <w:rsid w:val="001779B6"/>
    <w:rsid w:val="001808E7"/>
    <w:rsid w:val="00180E19"/>
    <w:rsid w:val="00180E1F"/>
    <w:rsid w:val="001824EC"/>
    <w:rsid w:val="001842CC"/>
    <w:rsid w:val="00184367"/>
    <w:rsid w:val="00184874"/>
    <w:rsid w:val="001849FA"/>
    <w:rsid w:val="00186DB1"/>
    <w:rsid w:val="00191815"/>
    <w:rsid w:val="00191D0E"/>
    <w:rsid w:val="00194E21"/>
    <w:rsid w:val="001964CD"/>
    <w:rsid w:val="0019659C"/>
    <w:rsid w:val="001A0A32"/>
    <w:rsid w:val="001A12B3"/>
    <w:rsid w:val="001A147D"/>
    <w:rsid w:val="001A1986"/>
    <w:rsid w:val="001A1B60"/>
    <w:rsid w:val="001A3456"/>
    <w:rsid w:val="001A4DC1"/>
    <w:rsid w:val="001A7816"/>
    <w:rsid w:val="001B033B"/>
    <w:rsid w:val="001B2518"/>
    <w:rsid w:val="001B35CE"/>
    <w:rsid w:val="001B3D4C"/>
    <w:rsid w:val="001B4636"/>
    <w:rsid w:val="001B5799"/>
    <w:rsid w:val="001B6434"/>
    <w:rsid w:val="001B649F"/>
    <w:rsid w:val="001B6B61"/>
    <w:rsid w:val="001B7B31"/>
    <w:rsid w:val="001BEC8C"/>
    <w:rsid w:val="001C0494"/>
    <w:rsid w:val="001C0A9A"/>
    <w:rsid w:val="001C0CF5"/>
    <w:rsid w:val="001C1F4E"/>
    <w:rsid w:val="001C203D"/>
    <w:rsid w:val="001C2996"/>
    <w:rsid w:val="001C3C3E"/>
    <w:rsid w:val="001C414C"/>
    <w:rsid w:val="001C4628"/>
    <w:rsid w:val="001C58A1"/>
    <w:rsid w:val="001C5AA6"/>
    <w:rsid w:val="001C6075"/>
    <w:rsid w:val="001C6B72"/>
    <w:rsid w:val="001C7492"/>
    <w:rsid w:val="001D0575"/>
    <w:rsid w:val="001D0747"/>
    <w:rsid w:val="001D0772"/>
    <w:rsid w:val="001D163E"/>
    <w:rsid w:val="001D252E"/>
    <w:rsid w:val="001D3D21"/>
    <w:rsid w:val="001D566D"/>
    <w:rsid w:val="001D6EAC"/>
    <w:rsid w:val="001D6F65"/>
    <w:rsid w:val="001D71A3"/>
    <w:rsid w:val="001D733B"/>
    <w:rsid w:val="001D7676"/>
    <w:rsid w:val="001E0775"/>
    <w:rsid w:val="001E186D"/>
    <w:rsid w:val="001E2293"/>
    <w:rsid w:val="001E402B"/>
    <w:rsid w:val="001E48A0"/>
    <w:rsid w:val="001E6506"/>
    <w:rsid w:val="001E6E51"/>
    <w:rsid w:val="001E75EE"/>
    <w:rsid w:val="001E7A33"/>
    <w:rsid w:val="001E7AB9"/>
    <w:rsid w:val="001F1102"/>
    <w:rsid w:val="001F1714"/>
    <w:rsid w:val="001F1BDF"/>
    <w:rsid w:val="001F3BEC"/>
    <w:rsid w:val="001F42D5"/>
    <w:rsid w:val="001F5179"/>
    <w:rsid w:val="0020083B"/>
    <w:rsid w:val="00200BAB"/>
    <w:rsid w:val="00200F86"/>
    <w:rsid w:val="00201A2F"/>
    <w:rsid w:val="00203FB2"/>
    <w:rsid w:val="00204032"/>
    <w:rsid w:val="00205E8F"/>
    <w:rsid w:val="002078F2"/>
    <w:rsid w:val="00207B0C"/>
    <w:rsid w:val="00207CD9"/>
    <w:rsid w:val="00210FE2"/>
    <w:rsid w:val="002129B8"/>
    <w:rsid w:val="00212EC3"/>
    <w:rsid w:val="0021475D"/>
    <w:rsid w:val="00215EAA"/>
    <w:rsid w:val="00215F0A"/>
    <w:rsid w:val="002168FD"/>
    <w:rsid w:val="00216904"/>
    <w:rsid w:val="00220395"/>
    <w:rsid w:val="002207FF"/>
    <w:rsid w:val="002208DB"/>
    <w:rsid w:val="00221453"/>
    <w:rsid w:val="00224312"/>
    <w:rsid w:val="00224EB3"/>
    <w:rsid w:val="00226409"/>
    <w:rsid w:val="00227210"/>
    <w:rsid w:val="002316F1"/>
    <w:rsid w:val="00231A95"/>
    <w:rsid w:val="00235F12"/>
    <w:rsid w:val="002362B6"/>
    <w:rsid w:val="00236374"/>
    <w:rsid w:val="00241386"/>
    <w:rsid w:val="0024356E"/>
    <w:rsid w:val="002438A7"/>
    <w:rsid w:val="00243B0E"/>
    <w:rsid w:val="0024516C"/>
    <w:rsid w:val="002451E3"/>
    <w:rsid w:val="002451EF"/>
    <w:rsid w:val="00245369"/>
    <w:rsid w:val="002455E2"/>
    <w:rsid w:val="0025028B"/>
    <w:rsid w:val="002504E7"/>
    <w:rsid w:val="00250F94"/>
    <w:rsid w:val="00251C31"/>
    <w:rsid w:val="00253A41"/>
    <w:rsid w:val="00253CFC"/>
    <w:rsid w:val="00254622"/>
    <w:rsid w:val="00254668"/>
    <w:rsid w:val="00256BD6"/>
    <w:rsid w:val="00257368"/>
    <w:rsid w:val="00260DFA"/>
    <w:rsid w:val="002617D7"/>
    <w:rsid w:val="0026308A"/>
    <w:rsid w:val="00263242"/>
    <w:rsid w:val="002636FD"/>
    <w:rsid w:val="00263923"/>
    <w:rsid w:val="002643E2"/>
    <w:rsid w:val="00266B6C"/>
    <w:rsid w:val="002671D9"/>
    <w:rsid w:val="0026747B"/>
    <w:rsid w:val="00267637"/>
    <w:rsid w:val="00270178"/>
    <w:rsid w:val="002705A0"/>
    <w:rsid w:val="0027116F"/>
    <w:rsid w:val="00271276"/>
    <w:rsid w:val="002712CB"/>
    <w:rsid w:val="00274381"/>
    <w:rsid w:val="00274C48"/>
    <w:rsid w:val="002759E1"/>
    <w:rsid w:val="002805D3"/>
    <w:rsid w:val="00280C82"/>
    <w:rsid w:val="002816BC"/>
    <w:rsid w:val="00281A13"/>
    <w:rsid w:val="00282DFE"/>
    <w:rsid w:val="002831EF"/>
    <w:rsid w:val="00285896"/>
    <w:rsid w:val="00285FFE"/>
    <w:rsid w:val="00286041"/>
    <w:rsid w:val="0028778B"/>
    <w:rsid w:val="0028B639"/>
    <w:rsid w:val="00290EAB"/>
    <w:rsid w:val="0029250F"/>
    <w:rsid w:val="00292AFF"/>
    <w:rsid w:val="00293990"/>
    <w:rsid w:val="002943E7"/>
    <w:rsid w:val="002968E7"/>
    <w:rsid w:val="0029754C"/>
    <w:rsid w:val="00297901"/>
    <w:rsid w:val="002A1FC0"/>
    <w:rsid w:val="002A403D"/>
    <w:rsid w:val="002A4ED6"/>
    <w:rsid w:val="002A551C"/>
    <w:rsid w:val="002A5C3B"/>
    <w:rsid w:val="002B0977"/>
    <w:rsid w:val="002B0B61"/>
    <w:rsid w:val="002B0CAF"/>
    <w:rsid w:val="002B17BE"/>
    <w:rsid w:val="002B1AAE"/>
    <w:rsid w:val="002B311A"/>
    <w:rsid w:val="002B3CD6"/>
    <w:rsid w:val="002B5A06"/>
    <w:rsid w:val="002B693B"/>
    <w:rsid w:val="002B6AAC"/>
    <w:rsid w:val="002C0633"/>
    <w:rsid w:val="002C0706"/>
    <w:rsid w:val="002C08F8"/>
    <w:rsid w:val="002C0FA6"/>
    <w:rsid w:val="002C11A3"/>
    <w:rsid w:val="002C1489"/>
    <w:rsid w:val="002C1698"/>
    <w:rsid w:val="002C174D"/>
    <w:rsid w:val="002C1ED2"/>
    <w:rsid w:val="002C381D"/>
    <w:rsid w:val="002C40E5"/>
    <w:rsid w:val="002C4AE0"/>
    <w:rsid w:val="002C5589"/>
    <w:rsid w:val="002C6EC5"/>
    <w:rsid w:val="002C7DF7"/>
    <w:rsid w:val="002D01AB"/>
    <w:rsid w:val="002D02D1"/>
    <w:rsid w:val="002D0B58"/>
    <w:rsid w:val="002D10EB"/>
    <w:rsid w:val="002D1A5F"/>
    <w:rsid w:val="002D1D0A"/>
    <w:rsid w:val="002D2A25"/>
    <w:rsid w:val="002D37D2"/>
    <w:rsid w:val="002D3B51"/>
    <w:rsid w:val="002D3C12"/>
    <w:rsid w:val="002D4D22"/>
    <w:rsid w:val="002D53B7"/>
    <w:rsid w:val="002D5C64"/>
    <w:rsid w:val="002D78F5"/>
    <w:rsid w:val="002E2E1A"/>
    <w:rsid w:val="002E2F82"/>
    <w:rsid w:val="002E2F92"/>
    <w:rsid w:val="002E370A"/>
    <w:rsid w:val="002E3D7A"/>
    <w:rsid w:val="002E4795"/>
    <w:rsid w:val="002E49BA"/>
    <w:rsid w:val="002E4EB2"/>
    <w:rsid w:val="002E561E"/>
    <w:rsid w:val="002E60BE"/>
    <w:rsid w:val="002E79F9"/>
    <w:rsid w:val="002E7D7B"/>
    <w:rsid w:val="002F01D7"/>
    <w:rsid w:val="002F3FC3"/>
    <w:rsid w:val="002F4C6F"/>
    <w:rsid w:val="002F6050"/>
    <w:rsid w:val="002F60A2"/>
    <w:rsid w:val="002F6A27"/>
    <w:rsid w:val="002F70EF"/>
    <w:rsid w:val="0030108D"/>
    <w:rsid w:val="003013FE"/>
    <w:rsid w:val="00302CE5"/>
    <w:rsid w:val="0030320B"/>
    <w:rsid w:val="0030378D"/>
    <w:rsid w:val="00304F52"/>
    <w:rsid w:val="003052F1"/>
    <w:rsid w:val="0030573E"/>
    <w:rsid w:val="00305F45"/>
    <w:rsid w:val="00306613"/>
    <w:rsid w:val="00306C7A"/>
    <w:rsid w:val="00310562"/>
    <w:rsid w:val="003116E6"/>
    <w:rsid w:val="00314E4E"/>
    <w:rsid w:val="00314F6F"/>
    <w:rsid w:val="0031516B"/>
    <w:rsid w:val="003154B2"/>
    <w:rsid w:val="003162BB"/>
    <w:rsid w:val="003167C7"/>
    <w:rsid w:val="00316AFE"/>
    <w:rsid w:val="00321D5C"/>
    <w:rsid w:val="0032205F"/>
    <w:rsid w:val="00322292"/>
    <w:rsid w:val="00322C6B"/>
    <w:rsid w:val="00323E34"/>
    <w:rsid w:val="00324FE7"/>
    <w:rsid w:val="003251FF"/>
    <w:rsid w:val="003252C5"/>
    <w:rsid w:val="00326594"/>
    <w:rsid w:val="003278BC"/>
    <w:rsid w:val="00327D28"/>
    <w:rsid w:val="00330015"/>
    <w:rsid w:val="00331A16"/>
    <w:rsid w:val="00331EF5"/>
    <w:rsid w:val="0033284E"/>
    <w:rsid w:val="00333245"/>
    <w:rsid w:val="003334BA"/>
    <w:rsid w:val="003343C1"/>
    <w:rsid w:val="00334896"/>
    <w:rsid w:val="00334EE1"/>
    <w:rsid w:val="00336EE3"/>
    <w:rsid w:val="00340FE5"/>
    <w:rsid w:val="00341CE4"/>
    <w:rsid w:val="00342D3A"/>
    <w:rsid w:val="00343142"/>
    <w:rsid w:val="0034371B"/>
    <w:rsid w:val="00343C9E"/>
    <w:rsid w:val="003442EA"/>
    <w:rsid w:val="00344597"/>
    <w:rsid w:val="003450F0"/>
    <w:rsid w:val="00346D0A"/>
    <w:rsid w:val="00346DEC"/>
    <w:rsid w:val="003476DA"/>
    <w:rsid w:val="00347802"/>
    <w:rsid w:val="00347AB9"/>
    <w:rsid w:val="00347CD1"/>
    <w:rsid w:val="003507A1"/>
    <w:rsid w:val="00351494"/>
    <w:rsid w:val="00354A1B"/>
    <w:rsid w:val="00356307"/>
    <w:rsid w:val="0035753B"/>
    <w:rsid w:val="00360D03"/>
    <w:rsid w:val="00361247"/>
    <w:rsid w:val="00362E4F"/>
    <w:rsid w:val="00363234"/>
    <w:rsid w:val="003640D1"/>
    <w:rsid w:val="003641B8"/>
    <w:rsid w:val="0036451D"/>
    <w:rsid w:val="0036501A"/>
    <w:rsid w:val="003656B2"/>
    <w:rsid w:val="003665BB"/>
    <w:rsid w:val="003665BE"/>
    <w:rsid w:val="003674A0"/>
    <w:rsid w:val="003674DB"/>
    <w:rsid w:val="003676EC"/>
    <w:rsid w:val="003677C4"/>
    <w:rsid w:val="003719FD"/>
    <w:rsid w:val="00371E79"/>
    <w:rsid w:val="00373189"/>
    <w:rsid w:val="003766F1"/>
    <w:rsid w:val="00380CBA"/>
    <w:rsid w:val="003816E2"/>
    <w:rsid w:val="00383A58"/>
    <w:rsid w:val="00383AEC"/>
    <w:rsid w:val="00383F9E"/>
    <w:rsid w:val="0038435C"/>
    <w:rsid w:val="00385BE5"/>
    <w:rsid w:val="0038633A"/>
    <w:rsid w:val="0038641C"/>
    <w:rsid w:val="0038799C"/>
    <w:rsid w:val="00390D97"/>
    <w:rsid w:val="00391444"/>
    <w:rsid w:val="00392592"/>
    <w:rsid w:val="00393A1B"/>
    <w:rsid w:val="00395D26"/>
    <w:rsid w:val="00396887"/>
    <w:rsid w:val="00396DF7"/>
    <w:rsid w:val="003975CB"/>
    <w:rsid w:val="00397DAB"/>
    <w:rsid w:val="00397EA7"/>
    <w:rsid w:val="003A02D0"/>
    <w:rsid w:val="003A14C0"/>
    <w:rsid w:val="003A1C14"/>
    <w:rsid w:val="003A29DC"/>
    <w:rsid w:val="003A2C4C"/>
    <w:rsid w:val="003A466C"/>
    <w:rsid w:val="003A495F"/>
    <w:rsid w:val="003A5B19"/>
    <w:rsid w:val="003A6211"/>
    <w:rsid w:val="003A67E6"/>
    <w:rsid w:val="003A68DF"/>
    <w:rsid w:val="003A6D6F"/>
    <w:rsid w:val="003A6D71"/>
    <w:rsid w:val="003B01FE"/>
    <w:rsid w:val="003B291F"/>
    <w:rsid w:val="003B2A8D"/>
    <w:rsid w:val="003B30DF"/>
    <w:rsid w:val="003B3BB6"/>
    <w:rsid w:val="003B3E7E"/>
    <w:rsid w:val="003B50C6"/>
    <w:rsid w:val="003B74CB"/>
    <w:rsid w:val="003B773C"/>
    <w:rsid w:val="003B795D"/>
    <w:rsid w:val="003B7CDD"/>
    <w:rsid w:val="003C122C"/>
    <w:rsid w:val="003C2815"/>
    <w:rsid w:val="003C287E"/>
    <w:rsid w:val="003C308A"/>
    <w:rsid w:val="003C32ED"/>
    <w:rsid w:val="003C3D1C"/>
    <w:rsid w:val="003C4082"/>
    <w:rsid w:val="003C5A8B"/>
    <w:rsid w:val="003C5FB9"/>
    <w:rsid w:val="003C736B"/>
    <w:rsid w:val="003C7BD0"/>
    <w:rsid w:val="003D0E9E"/>
    <w:rsid w:val="003D4FA2"/>
    <w:rsid w:val="003D521A"/>
    <w:rsid w:val="003D5304"/>
    <w:rsid w:val="003E045A"/>
    <w:rsid w:val="003E19BA"/>
    <w:rsid w:val="003E1BB1"/>
    <w:rsid w:val="003E1DB3"/>
    <w:rsid w:val="003E21A1"/>
    <w:rsid w:val="003E2758"/>
    <w:rsid w:val="003E33BF"/>
    <w:rsid w:val="003E4487"/>
    <w:rsid w:val="003E4976"/>
    <w:rsid w:val="003E5A3F"/>
    <w:rsid w:val="003E66F1"/>
    <w:rsid w:val="003F017B"/>
    <w:rsid w:val="003F017F"/>
    <w:rsid w:val="003F0483"/>
    <w:rsid w:val="003F33A6"/>
    <w:rsid w:val="003F46FB"/>
    <w:rsid w:val="003F4B60"/>
    <w:rsid w:val="003F5BB0"/>
    <w:rsid w:val="003F6D72"/>
    <w:rsid w:val="003F70AF"/>
    <w:rsid w:val="004001B0"/>
    <w:rsid w:val="00400BF1"/>
    <w:rsid w:val="00402336"/>
    <w:rsid w:val="00403F64"/>
    <w:rsid w:val="00403FDC"/>
    <w:rsid w:val="0040456E"/>
    <w:rsid w:val="004048E4"/>
    <w:rsid w:val="00406A27"/>
    <w:rsid w:val="00407C38"/>
    <w:rsid w:val="00407ECB"/>
    <w:rsid w:val="00411D76"/>
    <w:rsid w:val="00413DC7"/>
    <w:rsid w:val="00416378"/>
    <w:rsid w:val="00416FBC"/>
    <w:rsid w:val="00420503"/>
    <w:rsid w:val="004207F3"/>
    <w:rsid w:val="00420B61"/>
    <w:rsid w:val="004211EE"/>
    <w:rsid w:val="004211F8"/>
    <w:rsid w:val="004215A6"/>
    <w:rsid w:val="00421D56"/>
    <w:rsid w:val="004225FE"/>
    <w:rsid w:val="00425393"/>
    <w:rsid w:val="00425818"/>
    <w:rsid w:val="004260F2"/>
    <w:rsid w:val="0042646A"/>
    <w:rsid w:val="0043073D"/>
    <w:rsid w:val="00430AAC"/>
    <w:rsid w:val="00430BC7"/>
    <w:rsid w:val="00430BFD"/>
    <w:rsid w:val="004316A1"/>
    <w:rsid w:val="004317D4"/>
    <w:rsid w:val="00431959"/>
    <w:rsid w:val="00434ABC"/>
    <w:rsid w:val="00435EFC"/>
    <w:rsid w:val="0043676E"/>
    <w:rsid w:val="00436A6F"/>
    <w:rsid w:val="004378B4"/>
    <w:rsid w:val="00442BD1"/>
    <w:rsid w:val="004443D4"/>
    <w:rsid w:val="00444D68"/>
    <w:rsid w:val="00445A47"/>
    <w:rsid w:val="00445AED"/>
    <w:rsid w:val="004460E9"/>
    <w:rsid w:val="00446129"/>
    <w:rsid w:val="004464E1"/>
    <w:rsid w:val="00446C40"/>
    <w:rsid w:val="004516A7"/>
    <w:rsid w:val="0045186D"/>
    <w:rsid w:val="00451CC8"/>
    <w:rsid w:val="00452B7F"/>
    <w:rsid w:val="00452BB6"/>
    <w:rsid w:val="00453474"/>
    <w:rsid w:val="00454E3B"/>
    <w:rsid w:val="004550A9"/>
    <w:rsid w:val="004556EE"/>
    <w:rsid w:val="00456D6A"/>
    <w:rsid w:val="00457C36"/>
    <w:rsid w:val="00461A38"/>
    <w:rsid w:val="00462DC7"/>
    <w:rsid w:val="00462F17"/>
    <w:rsid w:val="00463607"/>
    <w:rsid w:val="00463B3B"/>
    <w:rsid w:val="00465995"/>
    <w:rsid w:val="00465DDF"/>
    <w:rsid w:val="00465EBD"/>
    <w:rsid w:val="00470E5F"/>
    <w:rsid w:val="00470F4E"/>
    <w:rsid w:val="004712B3"/>
    <w:rsid w:val="00471679"/>
    <w:rsid w:val="00471A4D"/>
    <w:rsid w:val="00473666"/>
    <w:rsid w:val="00473F1D"/>
    <w:rsid w:val="004747AD"/>
    <w:rsid w:val="00475589"/>
    <w:rsid w:val="004816C6"/>
    <w:rsid w:val="004825CA"/>
    <w:rsid w:val="004843C6"/>
    <w:rsid w:val="004843EB"/>
    <w:rsid w:val="00485397"/>
    <w:rsid w:val="00485746"/>
    <w:rsid w:val="00486B5F"/>
    <w:rsid w:val="004871FE"/>
    <w:rsid w:val="00487641"/>
    <w:rsid w:val="00490610"/>
    <w:rsid w:val="00490626"/>
    <w:rsid w:val="00490CD2"/>
    <w:rsid w:val="00492223"/>
    <w:rsid w:val="004941DD"/>
    <w:rsid w:val="004942F0"/>
    <w:rsid w:val="004956E6"/>
    <w:rsid w:val="00495B00"/>
    <w:rsid w:val="00495F9A"/>
    <w:rsid w:val="004A1946"/>
    <w:rsid w:val="004A1EBB"/>
    <w:rsid w:val="004A4C2C"/>
    <w:rsid w:val="004A53E9"/>
    <w:rsid w:val="004A788A"/>
    <w:rsid w:val="004B16AA"/>
    <w:rsid w:val="004B17D0"/>
    <w:rsid w:val="004B3AF3"/>
    <w:rsid w:val="004B3B56"/>
    <w:rsid w:val="004B4C22"/>
    <w:rsid w:val="004B7A8E"/>
    <w:rsid w:val="004B7C2F"/>
    <w:rsid w:val="004B7D45"/>
    <w:rsid w:val="004C004C"/>
    <w:rsid w:val="004C0889"/>
    <w:rsid w:val="004C0BE7"/>
    <w:rsid w:val="004C1492"/>
    <w:rsid w:val="004C154B"/>
    <w:rsid w:val="004C1AB5"/>
    <w:rsid w:val="004C1B6F"/>
    <w:rsid w:val="004C27B5"/>
    <w:rsid w:val="004C3A99"/>
    <w:rsid w:val="004C3B74"/>
    <w:rsid w:val="004C4A94"/>
    <w:rsid w:val="004C546A"/>
    <w:rsid w:val="004C74D3"/>
    <w:rsid w:val="004C77FE"/>
    <w:rsid w:val="004C7DF5"/>
    <w:rsid w:val="004D0145"/>
    <w:rsid w:val="004D0193"/>
    <w:rsid w:val="004D145F"/>
    <w:rsid w:val="004D1A06"/>
    <w:rsid w:val="004D1A16"/>
    <w:rsid w:val="004D1ECE"/>
    <w:rsid w:val="004D3D05"/>
    <w:rsid w:val="004D4067"/>
    <w:rsid w:val="004D4937"/>
    <w:rsid w:val="004D5A54"/>
    <w:rsid w:val="004D5C48"/>
    <w:rsid w:val="004D6243"/>
    <w:rsid w:val="004D69EA"/>
    <w:rsid w:val="004D7157"/>
    <w:rsid w:val="004E130C"/>
    <w:rsid w:val="004E4C49"/>
    <w:rsid w:val="004E5709"/>
    <w:rsid w:val="004E5B82"/>
    <w:rsid w:val="004E6126"/>
    <w:rsid w:val="004E7169"/>
    <w:rsid w:val="004E774E"/>
    <w:rsid w:val="004EBEAA"/>
    <w:rsid w:val="004F11A7"/>
    <w:rsid w:val="004F1746"/>
    <w:rsid w:val="004F238C"/>
    <w:rsid w:val="004F3561"/>
    <w:rsid w:val="004F4E61"/>
    <w:rsid w:val="004F51B1"/>
    <w:rsid w:val="004F51F3"/>
    <w:rsid w:val="004F6CC6"/>
    <w:rsid w:val="004F6FE4"/>
    <w:rsid w:val="004F73DF"/>
    <w:rsid w:val="00500AD6"/>
    <w:rsid w:val="005017BA"/>
    <w:rsid w:val="00501C4B"/>
    <w:rsid w:val="00501D1F"/>
    <w:rsid w:val="0050226E"/>
    <w:rsid w:val="005033CC"/>
    <w:rsid w:val="00503ED0"/>
    <w:rsid w:val="0050603C"/>
    <w:rsid w:val="005066FD"/>
    <w:rsid w:val="005072AF"/>
    <w:rsid w:val="0050762B"/>
    <w:rsid w:val="00511865"/>
    <w:rsid w:val="0051269C"/>
    <w:rsid w:val="0051297D"/>
    <w:rsid w:val="005129A2"/>
    <w:rsid w:val="005140AF"/>
    <w:rsid w:val="00514E0C"/>
    <w:rsid w:val="005162FD"/>
    <w:rsid w:val="00520735"/>
    <w:rsid w:val="0052119B"/>
    <w:rsid w:val="005214FC"/>
    <w:rsid w:val="00522518"/>
    <w:rsid w:val="005228D5"/>
    <w:rsid w:val="005242A6"/>
    <w:rsid w:val="005247F2"/>
    <w:rsid w:val="00525EF1"/>
    <w:rsid w:val="005275C8"/>
    <w:rsid w:val="00530C0E"/>
    <w:rsid w:val="0053274E"/>
    <w:rsid w:val="005333B7"/>
    <w:rsid w:val="00533E5D"/>
    <w:rsid w:val="00535168"/>
    <w:rsid w:val="00535ADC"/>
    <w:rsid w:val="00535BA4"/>
    <w:rsid w:val="00535C82"/>
    <w:rsid w:val="00537558"/>
    <w:rsid w:val="00537ECE"/>
    <w:rsid w:val="00540884"/>
    <w:rsid w:val="0054265A"/>
    <w:rsid w:val="00542872"/>
    <w:rsid w:val="0054292F"/>
    <w:rsid w:val="00543FA6"/>
    <w:rsid w:val="005446F7"/>
    <w:rsid w:val="00544F9E"/>
    <w:rsid w:val="005454C9"/>
    <w:rsid w:val="00545F5D"/>
    <w:rsid w:val="00546704"/>
    <w:rsid w:val="00547715"/>
    <w:rsid w:val="00547A99"/>
    <w:rsid w:val="005507BF"/>
    <w:rsid w:val="00551C21"/>
    <w:rsid w:val="00551E1C"/>
    <w:rsid w:val="00552365"/>
    <w:rsid w:val="00553010"/>
    <w:rsid w:val="00553520"/>
    <w:rsid w:val="00553674"/>
    <w:rsid w:val="00554844"/>
    <w:rsid w:val="00555AA6"/>
    <w:rsid w:val="00556025"/>
    <w:rsid w:val="00560075"/>
    <w:rsid w:val="00561116"/>
    <w:rsid w:val="005616AD"/>
    <w:rsid w:val="00561EE8"/>
    <w:rsid w:val="00562AF4"/>
    <w:rsid w:val="00563447"/>
    <w:rsid w:val="005634E8"/>
    <w:rsid w:val="0056351C"/>
    <w:rsid w:val="00564F86"/>
    <w:rsid w:val="005656A4"/>
    <w:rsid w:val="00565EED"/>
    <w:rsid w:val="00565F53"/>
    <w:rsid w:val="005667B6"/>
    <w:rsid w:val="00566D76"/>
    <w:rsid w:val="00567ECF"/>
    <w:rsid w:val="00571DB5"/>
    <w:rsid w:val="00571DC3"/>
    <w:rsid w:val="00572C76"/>
    <w:rsid w:val="00573F34"/>
    <w:rsid w:val="0057435D"/>
    <w:rsid w:val="00574DAA"/>
    <w:rsid w:val="00575236"/>
    <w:rsid w:val="00575364"/>
    <w:rsid w:val="00575BC6"/>
    <w:rsid w:val="005765EE"/>
    <w:rsid w:val="00576DC9"/>
    <w:rsid w:val="005774F9"/>
    <w:rsid w:val="00577536"/>
    <w:rsid w:val="0058029F"/>
    <w:rsid w:val="00580A25"/>
    <w:rsid w:val="005816E7"/>
    <w:rsid w:val="00585A51"/>
    <w:rsid w:val="00585D73"/>
    <w:rsid w:val="00586AD0"/>
    <w:rsid w:val="00586B93"/>
    <w:rsid w:val="005876DF"/>
    <w:rsid w:val="005901A7"/>
    <w:rsid w:val="00590798"/>
    <w:rsid w:val="005910AB"/>
    <w:rsid w:val="005930C6"/>
    <w:rsid w:val="00594B5F"/>
    <w:rsid w:val="005959A0"/>
    <w:rsid w:val="0059672E"/>
    <w:rsid w:val="005970E2"/>
    <w:rsid w:val="0059730F"/>
    <w:rsid w:val="00597735"/>
    <w:rsid w:val="005A094E"/>
    <w:rsid w:val="005A0CBC"/>
    <w:rsid w:val="005A0E8C"/>
    <w:rsid w:val="005A2003"/>
    <w:rsid w:val="005A3DB0"/>
    <w:rsid w:val="005A4A34"/>
    <w:rsid w:val="005A4B84"/>
    <w:rsid w:val="005A6FF3"/>
    <w:rsid w:val="005B1446"/>
    <w:rsid w:val="005B1499"/>
    <w:rsid w:val="005B22BB"/>
    <w:rsid w:val="005B274B"/>
    <w:rsid w:val="005B2CD3"/>
    <w:rsid w:val="005B52A6"/>
    <w:rsid w:val="005B542B"/>
    <w:rsid w:val="005B5BC5"/>
    <w:rsid w:val="005B6CB9"/>
    <w:rsid w:val="005B70D1"/>
    <w:rsid w:val="005B7D93"/>
    <w:rsid w:val="005C17E6"/>
    <w:rsid w:val="005C227B"/>
    <w:rsid w:val="005C2F78"/>
    <w:rsid w:val="005C377A"/>
    <w:rsid w:val="005C4991"/>
    <w:rsid w:val="005C514A"/>
    <w:rsid w:val="005C5781"/>
    <w:rsid w:val="005C6BF4"/>
    <w:rsid w:val="005C7F4A"/>
    <w:rsid w:val="005D05E5"/>
    <w:rsid w:val="005D0D5E"/>
    <w:rsid w:val="005D2AC6"/>
    <w:rsid w:val="005D2D6E"/>
    <w:rsid w:val="005D3422"/>
    <w:rsid w:val="005D48DC"/>
    <w:rsid w:val="005D599B"/>
    <w:rsid w:val="005D5F1F"/>
    <w:rsid w:val="005D60DC"/>
    <w:rsid w:val="005D6F19"/>
    <w:rsid w:val="005E1FEC"/>
    <w:rsid w:val="005E22DE"/>
    <w:rsid w:val="005E24F8"/>
    <w:rsid w:val="005E2C68"/>
    <w:rsid w:val="005E36E2"/>
    <w:rsid w:val="005E557A"/>
    <w:rsid w:val="005E679B"/>
    <w:rsid w:val="005E7100"/>
    <w:rsid w:val="005E7A9D"/>
    <w:rsid w:val="005F120D"/>
    <w:rsid w:val="005F2026"/>
    <w:rsid w:val="005F2D21"/>
    <w:rsid w:val="005F3B70"/>
    <w:rsid w:val="005F483B"/>
    <w:rsid w:val="005F6318"/>
    <w:rsid w:val="005F6AAD"/>
    <w:rsid w:val="00600FE3"/>
    <w:rsid w:val="00601AD5"/>
    <w:rsid w:val="00601B6D"/>
    <w:rsid w:val="006023F4"/>
    <w:rsid w:val="00602440"/>
    <w:rsid w:val="0060290B"/>
    <w:rsid w:val="0060379D"/>
    <w:rsid w:val="00603ECB"/>
    <w:rsid w:val="00604047"/>
    <w:rsid w:val="006042A9"/>
    <w:rsid w:val="00605371"/>
    <w:rsid w:val="006058BB"/>
    <w:rsid w:val="00605E79"/>
    <w:rsid w:val="0060601F"/>
    <w:rsid w:val="006076DB"/>
    <w:rsid w:val="00607D01"/>
    <w:rsid w:val="0061001C"/>
    <w:rsid w:val="00610AAC"/>
    <w:rsid w:val="00611E86"/>
    <w:rsid w:val="006125FD"/>
    <w:rsid w:val="00613381"/>
    <w:rsid w:val="00614C34"/>
    <w:rsid w:val="00617C76"/>
    <w:rsid w:val="00620251"/>
    <w:rsid w:val="00620D3A"/>
    <w:rsid w:val="006212E8"/>
    <w:rsid w:val="006217FC"/>
    <w:rsid w:val="006218B8"/>
    <w:rsid w:val="0062223D"/>
    <w:rsid w:val="006224C1"/>
    <w:rsid w:val="00623755"/>
    <w:rsid w:val="00630641"/>
    <w:rsid w:val="0063138A"/>
    <w:rsid w:val="00632DAA"/>
    <w:rsid w:val="00633A6F"/>
    <w:rsid w:val="00633EBE"/>
    <w:rsid w:val="00634426"/>
    <w:rsid w:val="0063624F"/>
    <w:rsid w:val="006418AC"/>
    <w:rsid w:val="00641CC6"/>
    <w:rsid w:val="00641EB5"/>
    <w:rsid w:val="00642783"/>
    <w:rsid w:val="006436AB"/>
    <w:rsid w:val="00644579"/>
    <w:rsid w:val="00644725"/>
    <w:rsid w:val="00644962"/>
    <w:rsid w:val="00644DB1"/>
    <w:rsid w:val="00646FC0"/>
    <w:rsid w:val="0065147D"/>
    <w:rsid w:val="0065332B"/>
    <w:rsid w:val="006539B0"/>
    <w:rsid w:val="006555A4"/>
    <w:rsid w:val="0065666E"/>
    <w:rsid w:val="006602E0"/>
    <w:rsid w:val="00660CC2"/>
    <w:rsid w:val="00660D07"/>
    <w:rsid w:val="00661A27"/>
    <w:rsid w:val="00662256"/>
    <w:rsid w:val="006641CA"/>
    <w:rsid w:val="0066495D"/>
    <w:rsid w:val="006649CB"/>
    <w:rsid w:val="006655F2"/>
    <w:rsid w:val="00665B14"/>
    <w:rsid w:val="0066653F"/>
    <w:rsid w:val="00666A86"/>
    <w:rsid w:val="0066763C"/>
    <w:rsid w:val="00667860"/>
    <w:rsid w:val="00672008"/>
    <w:rsid w:val="00673E79"/>
    <w:rsid w:val="00674192"/>
    <w:rsid w:val="00675654"/>
    <w:rsid w:val="00675FD6"/>
    <w:rsid w:val="0067647F"/>
    <w:rsid w:val="00676482"/>
    <w:rsid w:val="00676B0C"/>
    <w:rsid w:val="006776CA"/>
    <w:rsid w:val="00677E2D"/>
    <w:rsid w:val="00682681"/>
    <w:rsid w:val="00682B49"/>
    <w:rsid w:val="006839BA"/>
    <w:rsid w:val="006841BC"/>
    <w:rsid w:val="00684A27"/>
    <w:rsid w:val="00687178"/>
    <w:rsid w:val="00690169"/>
    <w:rsid w:val="00690C91"/>
    <w:rsid w:val="006912AE"/>
    <w:rsid w:val="0069275F"/>
    <w:rsid w:val="00694EA8"/>
    <w:rsid w:val="00695907"/>
    <w:rsid w:val="00695F82"/>
    <w:rsid w:val="00696067"/>
    <w:rsid w:val="006979B0"/>
    <w:rsid w:val="00697BAA"/>
    <w:rsid w:val="00697FB2"/>
    <w:rsid w:val="006A0EDB"/>
    <w:rsid w:val="006A2595"/>
    <w:rsid w:val="006A3230"/>
    <w:rsid w:val="006A44BA"/>
    <w:rsid w:val="006A47C8"/>
    <w:rsid w:val="006A50E6"/>
    <w:rsid w:val="006A54D7"/>
    <w:rsid w:val="006A5B35"/>
    <w:rsid w:val="006A6717"/>
    <w:rsid w:val="006A7045"/>
    <w:rsid w:val="006A7428"/>
    <w:rsid w:val="006B0BA6"/>
    <w:rsid w:val="006B1796"/>
    <w:rsid w:val="006B2173"/>
    <w:rsid w:val="006B222E"/>
    <w:rsid w:val="006B333F"/>
    <w:rsid w:val="006B39A8"/>
    <w:rsid w:val="006B4633"/>
    <w:rsid w:val="006B4BA0"/>
    <w:rsid w:val="006B4CA6"/>
    <w:rsid w:val="006B56F9"/>
    <w:rsid w:val="006B5E37"/>
    <w:rsid w:val="006B69CF"/>
    <w:rsid w:val="006B77FD"/>
    <w:rsid w:val="006C0241"/>
    <w:rsid w:val="006C0613"/>
    <w:rsid w:val="006C0E5F"/>
    <w:rsid w:val="006C1A9B"/>
    <w:rsid w:val="006C1DAF"/>
    <w:rsid w:val="006C2201"/>
    <w:rsid w:val="006C415F"/>
    <w:rsid w:val="006C53F3"/>
    <w:rsid w:val="006C5413"/>
    <w:rsid w:val="006C5E13"/>
    <w:rsid w:val="006C6EB9"/>
    <w:rsid w:val="006C738F"/>
    <w:rsid w:val="006D0320"/>
    <w:rsid w:val="006D1335"/>
    <w:rsid w:val="006D2C35"/>
    <w:rsid w:val="006D3104"/>
    <w:rsid w:val="006D39D0"/>
    <w:rsid w:val="006D5394"/>
    <w:rsid w:val="006D5D0A"/>
    <w:rsid w:val="006D731D"/>
    <w:rsid w:val="006D7A65"/>
    <w:rsid w:val="006E1E60"/>
    <w:rsid w:val="006E2D35"/>
    <w:rsid w:val="006E2E21"/>
    <w:rsid w:val="006E2FDE"/>
    <w:rsid w:val="006E3C61"/>
    <w:rsid w:val="006E3FA6"/>
    <w:rsid w:val="006E54CC"/>
    <w:rsid w:val="006E56A1"/>
    <w:rsid w:val="006E5785"/>
    <w:rsid w:val="006E5E49"/>
    <w:rsid w:val="006E6197"/>
    <w:rsid w:val="006E626A"/>
    <w:rsid w:val="006E6436"/>
    <w:rsid w:val="006E6499"/>
    <w:rsid w:val="006E6A61"/>
    <w:rsid w:val="006F0142"/>
    <w:rsid w:val="006F0E9F"/>
    <w:rsid w:val="006F1314"/>
    <w:rsid w:val="006F1FCB"/>
    <w:rsid w:val="006F398A"/>
    <w:rsid w:val="006F3AE7"/>
    <w:rsid w:val="006F3EDF"/>
    <w:rsid w:val="006F433C"/>
    <w:rsid w:val="006F43E8"/>
    <w:rsid w:val="006F5001"/>
    <w:rsid w:val="006F52E4"/>
    <w:rsid w:val="006F5A1F"/>
    <w:rsid w:val="006F646C"/>
    <w:rsid w:val="006F6D8A"/>
    <w:rsid w:val="006F72E0"/>
    <w:rsid w:val="00700820"/>
    <w:rsid w:val="00701513"/>
    <w:rsid w:val="007023B0"/>
    <w:rsid w:val="00702790"/>
    <w:rsid w:val="007042C0"/>
    <w:rsid w:val="007046E3"/>
    <w:rsid w:val="00704BD3"/>
    <w:rsid w:val="007100AA"/>
    <w:rsid w:val="00710231"/>
    <w:rsid w:val="007112A8"/>
    <w:rsid w:val="00711A88"/>
    <w:rsid w:val="007131A5"/>
    <w:rsid w:val="00713E66"/>
    <w:rsid w:val="007154B2"/>
    <w:rsid w:val="007157CF"/>
    <w:rsid w:val="00715CA7"/>
    <w:rsid w:val="00715FD6"/>
    <w:rsid w:val="007165FD"/>
    <w:rsid w:val="0071706B"/>
    <w:rsid w:val="00717680"/>
    <w:rsid w:val="007176E9"/>
    <w:rsid w:val="007205FB"/>
    <w:rsid w:val="00720E70"/>
    <w:rsid w:val="00722758"/>
    <w:rsid w:val="00722F84"/>
    <w:rsid w:val="00723117"/>
    <w:rsid w:val="00723363"/>
    <w:rsid w:val="00723496"/>
    <w:rsid w:val="00723FFB"/>
    <w:rsid w:val="00724794"/>
    <w:rsid w:val="00727704"/>
    <w:rsid w:val="0073078D"/>
    <w:rsid w:val="00733C07"/>
    <w:rsid w:val="00740D7D"/>
    <w:rsid w:val="0074106C"/>
    <w:rsid w:val="00741694"/>
    <w:rsid w:val="00742149"/>
    <w:rsid w:val="0074335B"/>
    <w:rsid w:val="00743C99"/>
    <w:rsid w:val="00744E7D"/>
    <w:rsid w:val="0074697B"/>
    <w:rsid w:val="00746E0D"/>
    <w:rsid w:val="00746E6A"/>
    <w:rsid w:val="007507EB"/>
    <w:rsid w:val="00750F76"/>
    <w:rsid w:val="007522C9"/>
    <w:rsid w:val="007540DA"/>
    <w:rsid w:val="0075433C"/>
    <w:rsid w:val="007549BF"/>
    <w:rsid w:val="00755F1A"/>
    <w:rsid w:val="00756CEF"/>
    <w:rsid w:val="00757614"/>
    <w:rsid w:val="007579F0"/>
    <w:rsid w:val="00760565"/>
    <w:rsid w:val="0076316D"/>
    <w:rsid w:val="00763930"/>
    <w:rsid w:val="00764022"/>
    <w:rsid w:val="00766B37"/>
    <w:rsid w:val="00770E92"/>
    <w:rsid w:val="00771CE3"/>
    <w:rsid w:val="007759FE"/>
    <w:rsid w:val="00776C36"/>
    <w:rsid w:val="007811C5"/>
    <w:rsid w:val="007818C0"/>
    <w:rsid w:val="00781E5B"/>
    <w:rsid w:val="00783354"/>
    <w:rsid w:val="007838C7"/>
    <w:rsid w:val="0078409D"/>
    <w:rsid w:val="00784362"/>
    <w:rsid w:val="00784889"/>
    <w:rsid w:val="00787F2B"/>
    <w:rsid w:val="00791611"/>
    <w:rsid w:val="00791631"/>
    <w:rsid w:val="007918AF"/>
    <w:rsid w:val="007924CA"/>
    <w:rsid w:val="007933C2"/>
    <w:rsid w:val="00793AC4"/>
    <w:rsid w:val="007954D4"/>
    <w:rsid w:val="00795A67"/>
    <w:rsid w:val="00795AAB"/>
    <w:rsid w:val="00796D7A"/>
    <w:rsid w:val="00797042"/>
    <w:rsid w:val="007A09AE"/>
    <w:rsid w:val="007A0CCD"/>
    <w:rsid w:val="007A121D"/>
    <w:rsid w:val="007A147A"/>
    <w:rsid w:val="007A1896"/>
    <w:rsid w:val="007A2D9C"/>
    <w:rsid w:val="007A3F4B"/>
    <w:rsid w:val="007A53AB"/>
    <w:rsid w:val="007A657C"/>
    <w:rsid w:val="007B07AF"/>
    <w:rsid w:val="007B0CA8"/>
    <w:rsid w:val="007B3A02"/>
    <w:rsid w:val="007B4DFC"/>
    <w:rsid w:val="007B5EE5"/>
    <w:rsid w:val="007B6173"/>
    <w:rsid w:val="007B774B"/>
    <w:rsid w:val="007C0C19"/>
    <w:rsid w:val="007C1CAD"/>
    <w:rsid w:val="007C28D1"/>
    <w:rsid w:val="007C2F69"/>
    <w:rsid w:val="007C317A"/>
    <w:rsid w:val="007C3ABB"/>
    <w:rsid w:val="007C3CF8"/>
    <w:rsid w:val="007C3FC2"/>
    <w:rsid w:val="007C5440"/>
    <w:rsid w:val="007C575A"/>
    <w:rsid w:val="007C58EC"/>
    <w:rsid w:val="007C6F64"/>
    <w:rsid w:val="007C6FAA"/>
    <w:rsid w:val="007C70B1"/>
    <w:rsid w:val="007D26E4"/>
    <w:rsid w:val="007D2805"/>
    <w:rsid w:val="007D43E8"/>
    <w:rsid w:val="007D45E5"/>
    <w:rsid w:val="007D49E8"/>
    <w:rsid w:val="007D654B"/>
    <w:rsid w:val="007E058B"/>
    <w:rsid w:val="007E33DB"/>
    <w:rsid w:val="007E5B29"/>
    <w:rsid w:val="007E633F"/>
    <w:rsid w:val="007E6F09"/>
    <w:rsid w:val="007F0773"/>
    <w:rsid w:val="007F0D97"/>
    <w:rsid w:val="007F2AE9"/>
    <w:rsid w:val="007F2D7C"/>
    <w:rsid w:val="007F3DDF"/>
    <w:rsid w:val="007F432F"/>
    <w:rsid w:val="007F5DC2"/>
    <w:rsid w:val="007F6719"/>
    <w:rsid w:val="007F6A7D"/>
    <w:rsid w:val="007F7179"/>
    <w:rsid w:val="007F757E"/>
    <w:rsid w:val="007F7A3C"/>
    <w:rsid w:val="00800E91"/>
    <w:rsid w:val="008013C0"/>
    <w:rsid w:val="00801681"/>
    <w:rsid w:val="00801CA0"/>
    <w:rsid w:val="0080256E"/>
    <w:rsid w:val="00802B48"/>
    <w:rsid w:val="00803814"/>
    <w:rsid w:val="00804830"/>
    <w:rsid w:val="00804FDF"/>
    <w:rsid w:val="00806EB0"/>
    <w:rsid w:val="0081039B"/>
    <w:rsid w:val="008106DC"/>
    <w:rsid w:val="00810998"/>
    <w:rsid w:val="00810D05"/>
    <w:rsid w:val="00810EB7"/>
    <w:rsid w:val="0081125E"/>
    <w:rsid w:val="00811529"/>
    <w:rsid w:val="00812868"/>
    <w:rsid w:val="008150E8"/>
    <w:rsid w:val="00815762"/>
    <w:rsid w:val="00816A6D"/>
    <w:rsid w:val="00816F25"/>
    <w:rsid w:val="00820DDB"/>
    <w:rsid w:val="008210BE"/>
    <w:rsid w:val="008221F5"/>
    <w:rsid w:val="00822B64"/>
    <w:rsid w:val="008235E6"/>
    <w:rsid w:val="00824140"/>
    <w:rsid w:val="008252BC"/>
    <w:rsid w:val="0082656A"/>
    <w:rsid w:val="00826603"/>
    <w:rsid w:val="00827E61"/>
    <w:rsid w:val="00830D4B"/>
    <w:rsid w:val="008364E4"/>
    <w:rsid w:val="008416DB"/>
    <w:rsid w:val="0084514F"/>
    <w:rsid w:val="008456D4"/>
    <w:rsid w:val="0084581E"/>
    <w:rsid w:val="008475BA"/>
    <w:rsid w:val="00850614"/>
    <w:rsid w:val="008506D0"/>
    <w:rsid w:val="00852D60"/>
    <w:rsid w:val="00853875"/>
    <w:rsid w:val="00853D37"/>
    <w:rsid w:val="00854C29"/>
    <w:rsid w:val="00854D71"/>
    <w:rsid w:val="00854DBD"/>
    <w:rsid w:val="008558A3"/>
    <w:rsid w:val="00860FE6"/>
    <w:rsid w:val="0086102E"/>
    <w:rsid w:val="008613AB"/>
    <w:rsid w:val="0086231A"/>
    <w:rsid w:val="008627FF"/>
    <w:rsid w:val="00862D5A"/>
    <w:rsid w:val="008634B0"/>
    <w:rsid w:val="00863670"/>
    <w:rsid w:val="00864889"/>
    <w:rsid w:val="008648C5"/>
    <w:rsid w:val="00867E6A"/>
    <w:rsid w:val="0087110F"/>
    <w:rsid w:val="00872151"/>
    <w:rsid w:val="00873615"/>
    <w:rsid w:val="008742A0"/>
    <w:rsid w:val="00874AA2"/>
    <w:rsid w:val="008764DD"/>
    <w:rsid w:val="00876BA8"/>
    <w:rsid w:val="00877B77"/>
    <w:rsid w:val="00880521"/>
    <w:rsid w:val="00881537"/>
    <w:rsid w:val="00881F09"/>
    <w:rsid w:val="00882442"/>
    <w:rsid w:val="0088397F"/>
    <w:rsid w:val="0088481D"/>
    <w:rsid w:val="00885BCB"/>
    <w:rsid w:val="00885CC1"/>
    <w:rsid w:val="00885FB5"/>
    <w:rsid w:val="00886F1A"/>
    <w:rsid w:val="008879B4"/>
    <w:rsid w:val="00890D70"/>
    <w:rsid w:val="00890EA9"/>
    <w:rsid w:val="0089359D"/>
    <w:rsid w:val="008937FF"/>
    <w:rsid w:val="00893D1C"/>
    <w:rsid w:val="00894DEA"/>
    <w:rsid w:val="008950C9"/>
    <w:rsid w:val="0089644D"/>
    <w:rsid w:val="008A067D"/>
    <w:rsid w:val="008A1B13"/>
    <w:rsid w:val="008A1B94"/>
    <w:rsid w:val="008A32CD"/>
    <w:rsid w:val="008A330B"/>
    <w:rsid w:val="008A40A6"/>
    <w:rsid w:val="008A40C7"/>
    <w:rsid w:val="008A4BBA"/>
    <w:rsid w:val="008A59A0"/>
    <w:rsid w:val="008A69B2"/>
    <w:rsid w:val="008A6D76"/>
    <w:rsid w:val="008B24B7"/>
    <w:rsid w:val="008B294E"/>
    <w:rsid w:val="008B2A45"/>
    <w:rsid w:val="008B360E"/>
    <w:rsid w:val="008B3880"/>
    <w:rsid w:val="008B539B"/>
    <w:rsid w:val="008B552C"/>
    <w:rsid w:val="008B55E5"/>
    <w:rsid w:val="008B6342"/>
    <w:rsid w:val="008B63E0"/>
    <w:rsid w:val="008B6631"/>
    <w:rsid w:val="008B7136"/>
    <w:rsid w:val="008C0708"/>
    <w:rsid w:val="008C0D0C"/>
    <w:rsid w:val="008C1112"/>
    <w:rsid w:val="008C1177"/>
    <w:rsid w:val="008C1A5E"/>
    <w:rsid w:val="008C1EF9"/>
    <w:rsid w:val="008C3524"/>
    <w:rsid w:val="008C48C5"/>
    <w:rsid w:val="008C4B53"/>
    <w:rsid w:val="008C4E9E"/>
    <w:rsid w:val="008C4FC5"/>
    <w:rsid w:val="008C730A"/>
    <w:rsid w:val="008C7C75"/>
    <w:rsid w:val="008D12F2"/>
    <w:rsid w:val="008D2F58"/>
    <w:rsid w:val="008D3032"/>
    <w:rsid w:val="008D3404"/>
    <w:rsid w:val="008D6782"/>
    <w:rsid w:val="008D6BF3"/>
    <w:rsid w:val="008D6F84"/>
    <w:rsid w:val="008E01DF"/>
    <w:rsid w:val="008E1984"/>
    <w:rsid w:val="008E23DD"/>
    <w:rsid w:val="008E6511"/>
    <w:rsid w:val="008E6B3D"/>
    <w:rsid w:val="008E707D"/>
    <w:rsid w:val="008E7CF0"/>
    <w:rsid w:val="008F0A53"/>
    <w:rsid w:val="008F0ABB"/>
    <w:rsid w:val="008F5141"/>
    <w:rsid w:val="008F5471"/>
    <w:rsid w:val="00900A80"/>
    <w:rsid w:val="009010E8"/>
    <w:rsid w:val="00901879"/>
    <w:rsid w:val="00903740"/>
    <w:rsid w:val="00906C2D"/>
    <w:rsid w:val="00907524"/>
    <w:rsid w:val="00910CBF"/>
    <w:rsid w:val="00910CCB"/>
    <w:rsid w:val="00910FA5"/>
    <w:rsid w:val="009117BF"/>
    <w:rsid w:val="00913ED2"/>
    <w:rsid w:val="00914C25"/>
    <w:rsid w:val="00914E63"/>
    <w:rsid w:val="009158C8"/>
    <w:rsid w:val="00915B7F"/>
    <w:rsid w:val="00916DF1"/>
    <w:rsid w:val="0092142D"/>
    <w:rsid w:val="00922D45"/>
    <w:rsid w:val="00924051"/>
    <w:rsid w:val="0092441B"/>
    <w:rsid w:val="009249AB"/>
    <w:rsid w:val="00924EC1"/>
    <w:rsid w:val="00926295"/>
    <w:rsid w:val="00927483"/>
    <w:rsid w:val="00927EE3"/>
    <w:rsid w:val="00930832"/>
    <w:rsid w:val="00934138"/>
    <w:rsid w:val="009341C0"/>
    <w:rsid w:val="009344BB"/>
    <w:rsid w:val="00934D14"/>
    <w:rsid w:val="00935341"/>
    <w:rsid w:val="0093557A"/>
    <w:rsid w:val="00937B75"/>
    <w:rsid w:val="00937C3E"/>
    <w:rsid w:val="009406D9"/>
    <w:rsid w:val="0094086C"/>
    <w:rsid w:val="00940A13"/>
    <w:rsid w:val="009418E2"/>
    <w:rsid w:val="00941CA8"/>
    <w:rsid w:val="00941CF5"/>
    <w:rsid w:val="00943200"/>
    <w:rsid w:val="00944024"/>
    <w:rsid w:val="00944D6C"/>
    <w:rsid w:val="00944DE7"/>
    <w:rsid w:val="00944F06"/>
    <w:rsid w:val="00945D2C"/>
    <w:rsid w:val="00945F5F"/>
    <w:rsid w:val="009466EA"/>
    <w:rsid w:val="009477BA"/>
    <w:rsid w:val="0095096B"/>
    <w:rsid w:val="009509D7"/>
    <w:rsid w:val="00952896"/>
    <w:rsid w:val="00953C2C"/>
    <w:rsid w:val="00953DB5"/>
    <w:rsid w:val="009541E0"/>
    <w:rsid w:val="009551D0"/>
    <w:rsid w:val="009555E6"/>
    <w:rsid w:val="00957184"/>
    <w:rsid w:val="0096150F"/>
    <w:rsid w:val="00961875"/>
    <w:rsid w:val="0096188D"/>
    <w:rsid w:val="0096193C"/>
    <w:rsid w:val="009660EA"/>
    <w:rsid w:val="00967254"/>
    <w:rsid w:val="00967E3B"/>
    <w:rsid w:val="00970515"/>
    <w:rsid w:val="00971622"/>
    <w:rsid w:val="009723E0"/>
    <w:rsid w:val="00973790"/>
    <w:rsid w:val="0097518E"/>
    <w:rsid w:val="00975BC7"/>
    <w:rsid w:val="00976056"/>
    <w:rsid w:val="00976176"/>
    <w:rsid w:val="00976A2A"/>
    <w:rsid w:val="00977D07"/>
    <w:rsid w:val="00980F0A"/>
    <w:rsid w:val="009815D4"/>
    <w:rsid w:val="00982CCA"/>
    <w:rsid w:val="00982E5A"/>
    <w:rsid w:val="00983586"/>
    <w:rsid w:val="009836DC"/>
    <w:rsid w:val="00984981"/>
    <w:rsid w:val="00985ABF"/>
    <w:rsid w:val="009867D8"/>
    <w:rsid w:val="0098728A"/>
    <w:rsid w:val="009873F3"/>
    <w:rsid w:val="009906C7"/>
    <w:rsid w:val="00990C1D"/>
    <w:rsid w:val="0099165A"/>
    <w:rsid w:val="009916ED"/>
    <w:rsid w:val="0099224D"/>
    <w:rsid w:val="00992C84"/>
    <w:rsid w:val="0099339C"/>
    <w:rsid w:val="00993E73"/>
    <w:rsid w:val="0099574D"/>
    <w:rsid w:val="00995CF5"/>
    <w:rsid w:val="00997B81"/>
    <w:rsid w:val="00997C7E"/>
    <w:rsid w:val="00997FCD"/>
    <w:rsid w:val="009A270B"/>
    <w:rsid w:val="009A29AE"/>
    <w:rsid w:val="009A2D5B"/>
    <w:rsid w:val="009A3C15"/>
    <w:rsid w:val="009A5EAD"/>
    <w:rsid w:val="009A7B9E"/>
    <w:rsid w:val="009A7C79"/>
    <w:rsid w:val="009B0B2C"/>
    <w:rsid w:val="009B2B6D"/>
    <w:rsid w:val="009B30D2"/>
    <w:rsid w:val="009B3643"/>
    <w:rsid w:val="009B4229"/>
    <w:rsid w:val="009B62A3"/>
    <w:rsid w:val="009B647A"/>
    <w:rsid w:val="009B6D0E"/>
    <w:rsid w:val="009B74BC"/>
    <w:rsid w:val="009C003C"/>
    <w:rsid w:val="009C03AA"/>
    <w:rsid w:val="009C0A76"/>
    <w:rsid w:val="009C17ED"/>
    <w:rsid w:val="009C1DF2"/>
    <w:rsid w:val="009C2399"/>
    <w:rsid w:val="009C38C2"/>
    <w:rsid w:val="009C475B"/>
    <w:rsid w:val="009C610F"/>
    <w:rsid w:val="009D0424"/>
    <w:rsid w:val="009D07A6"/>
    <w:rsid w:val="009D0A40"/>
    <w:rsid w:val="009D162D"/>
    <w:rsid w:val="009D1F5B"/>
    <w:rsid w:val="009D2C70"/>
    <w:rsid w:val="009D3B32"/>
    <w:rsid w:val="009D3C04"/>
    <w:rsid w:val="009D3DDD"/>
    <w:rsid w:val="009D55FE"/>
    <w:rsid w:val="009D599C"/>
    <w:rsid w:val="009D6ED9"/>
    <w:rsid w:val="009E11C3"/>
    <w:rsid w:val="009E1645"/>
    <w:rsid w:val="009E21E3"/>
    <w:rsid w:val="009E2C1E"/>
    <w:rsid w:val="009E3E4E"/>
    <w:rsid w:val="009E3EF6"/>
    <w:rsid w:val="009E4997"/>
    <w:rsid w:val="009E49AC"/>
    <w:rsid w:val="009E51BC"/>
    <w:rsid w:val="009E74A2"/>
    <w:rsid w:val="009F07D1"/>
    <w:rsid w:val="009F237C"/>
    <w:rsid w:val="009F253A"/>
    <w:rsid w:val="009F4279"/>
    <w:rsid w:val="009F52B1"/>
    <w:rsid w:val="009F61B9"/>
    <w:rsid w:val="009F6613"/>
    <w:rsid w:val="009F6C88"/>
    <w:rsid w:val="009F7D94"/>
    <w:rsid w:val="009F7EB5"/>
    <w:rsid w:val="00A013E7"/>
    <w:rsid w:val="00A02414"/>
    <w:rsid w:val="00A0386B"/>
    <w:rsid w:val="00A03F54"/>
    <w:rsid w:val="00A0481C"/>
    <w:rsid w:val="00A04BD2"/>
    <w:rsid w:val="00A04F0B"/>
    <w:rsid w:val="00A0649C"/>
    <w:rsid w:val="00A06FC7"/>
    <w:rsid w:val="00A07526"/>
    <w:rsid w:val="00A076EE"/>
    <w:rsid w:val="00A11343"/>
    <w:rsid w:val="00A115DE"/>
    <w:rsid w:val="00A12E72"/>
    <w:rsid w:val="00A13C0C"/>
    <w:rsid w:val="00A15170"/>
    <w:rsid w:val="00A16BE6"/>
    <w:rsid w:val="00A17078"/>
    <w:rsid w:val="00A170CB"/>
    <w:rsid w:val="00A17387"/>
    <w:rsid w:val="00A2013B"/>
    <w:rsid w:val="00A21579"/>
    <w:rsid w:val="00A219B7"/>
    <w:rsid w:val="00A21B80"/>
    <w:rsid w:val="00A250D6"/>
    <w:rsid w:val="00A25870"/>
    <w:rsid w:val="00A3028C"/>
    <w:rsid w:val="00A31226"/>
    <w:rsid w:val="00A31563"/>
    <w:rsid w:val="00A31580"/>
    <w:rsid w:val="00A31851"/>
    <w:rsid w:val="00A32EC3"/>
    <w:rsid w:val="00A33AD3"/>
    <w:rsid w:val="00A35F84"/>
    <w:rsid w:val="00A379D2"/>
    <w:rsid w:val="00A37A35"/>
    <w:rsid w:val="00A407A0"/>
    <w:rsid w:val="00A4222D"/>
    <w:rsid w:val="00A4224C"/>
    <w:rsid w:val="00A426C9"/>
    <w:rsid w:val="00A43722"/>
    <w:rsid w:val="00A44E05"/>
    <w:rsid w:val="00A44FBF"/>
    <w:rsid w:val="00A45BE0"/>
    <w:rsid w:val="00A45BF4"/>
    <w:rsid w:val="00A46745"/>
    <w:rsid w:val="00A46849"/>
    <w:rsid w:val="00A506A3"/>
    <w:rsid w:val="00A52F16"/>
    <w:rsid w:val="00A53483"/>
    <w:rsid w:val="00A53D04"/>
    <w:rsid w:val="00A54B18"/>
    <w:rsid w:val="00A55A4D"/>
    <w:rsid w:val="00A569A2"/>
    <w:rsid w:val="00A60678"/>
    <w:rsid w:val="00A61887"/>
    <w:rsid w:val="00A61B6D"/>
    <w:rsid w:val="00A63920"/>
    <w:rsid w:val="00A63E10"/>
    <w:rsid w:val="00A64D81"/>
    <w:rsid w:val="00A66A0E"/>
    <w:rsid w:val="00A66AC2"/>
    <w:rsid w:val="00A66EB5"/>
    <w:rsid w:val="00A67448"/>
    <w:rsid w:val="00A707BA"/>
    <w:rsid w:val="00A71748"/>
    <w:rsid w:val="00A71920"/>
    <w:rsid w:val="00A71CCC"/>
    <w:rsid w:val="00A72613"/>
    <w:rsid w:val="00A726CB"/>
    <w:rsid w:val="00A73538"/>
    <w:rsid w:val="00A73B10"/>
    <w:rsid w:val="00A75ED0"/>
    <w:rsid w:val="00A778C8"/>
    <w:rsid w:val="00A80C47"/>
    <w:rsid w:val="00A80CA1"/>
    <w:rsid w:val="00A81B48"/>
    <w:rsid w:val="00A832A0"/>
    <w:rsid w:val="00A83B1A"/>
    <w:rsid w:val="00A84056"/>
    <w:rsid w:val="00A86418"/>
    <w:rsid w:val="00A866EF"/>
    <w:rsid w:val="00A8694E"/>
    <w:rsid w:val="00A87266"/>
    <w:rsid w:val="00A873ED"/>
    <w:rsid w:val="00A87748"/>
    <w:rsid w:val="00A878EE"/>
    <w:rsid w:val="00A87B91"/>
    <w:rsid w:val="00A92431"/>
    <w:rsid w:val="00A92BA1"/>
    <w:rsid w:val="00A9316B"/>
    <w:rsid w:val="00A93E8D"/>
    <w:rsid w:val="00A94F0B"/>
    <w:rsid w:val="00A96A07"/>
    <w:rsid w:val="00A97E68"/>
    <w:rsid w:val="00A97E93"/>
    <w:rsid w:val="00AA09E4"/>
    <w:rsid w:val="00AA2DA8"/>
    <w:rsid w:val="00AA4B0C"/>
    <w:rsid w:val="00AA4DE5"/>
    <w:rsid w:val="00AA5460"/>
    <w:rsid w:val="00AA59F7"/>
    <w:rsid w:val="00AA70BB"/>
    <w:rsid w:val="00AA77F8"/>
    <w:rsid w:val="00AA7B36"/>
    <w:rsid w:val="00AB0F19"/>
    <w:rsid w:val="00AB1257"/>
    <w:rsid w:val="00AB1D9F"/>
    <w:rsid w:val="00AB256D"/>
    <w:rsid w:val="00AB3BB3"/>
    <w:rsid w:val="00AB5329"/>
    <w:rsid w:val="00AB5761"/>
    <w:rsid w:val="00AB59AD"/>
    <w:rsid w:val="00AC0C09"/>
    <w:rsid w:val="00AC2F75"/>
    <w:rsid w:val="00AC5849"/>
    <w:rsid w:val="00AC59C4"/>
    <w:rsid w:val="00AC5A45"/>
    <w:rsid w:val="00AC67C5"/>
    <w:rsid w:val="00AD0C12"/>
    <w:rsid w:val="00AD1763"/>
    <w:rsid w:val="00AD2542"/>
    <w:rsid w:val="00AD2C62"/>
    <w:rsid w:val="00AD373D"/>
    <w:rsid w:val="00AD3BCE"/>
    <w:rsid w:val="00AD4461"/>
    <w:rsid w:val="00AD56B8"/>
    <w:rsid w:val="00AD636B"/>
    <w:rsid w:val="00AD68BA"/>
    <w:rsid w:val="00AD7ADE"/>
    <w:rsid w:val="00AE0164"/>
    <w:rsid w:val="00AE044E"/>
    <w:rsid w:val="00AE0F57"/>
    <w:rsid w:val="00AE3E1D"/>
    <w:rsid w:val="00AE4D36"/>
    <w:rsid w:val="00AE53D2"/>
    <w:rsid w:val="00AE5868"/>
    <w:rsid w:val="00AE5945"/>
    <w:rsid w:val="00AE68C9"/>
    <w:rsid w:val="00AE7076"/>
    <w:rsid w:val="00AE7624"/>
    <w:rsid w:val="00AE7653"/>
    <w:rsid w:val="00AF1D04"/>
    <w:rsid w:val="00AF21FA"/>
    <w:rsid w:val="00AF479C"/>
    <w:rsid w:val="00AF6F81"/>
    <w:rsid w:val="00AF761F"/>
    <w:rsid w:val="00B0039D"/>
    <w:rsid w:val="00B003E9"/>
    <w:rsid w:val="00B00FCD"/>
    <w:rsid w:val="00B011C1"/>
    <w:rsid w:val="00B01897"/>
    <w:rsid w:val="00B01965"/>
    <w:rsid w:val="00B0205B"/>
    <w:rsid w:val="00B04634"/>
    <w:rsid w:val="00B04C1E"/>
    <w:rsid w:val="00B063E9"/>
    <w:rsid w:val="00B06D54"/>
    <w:rsid w:val="00B105A1"/>
    <w:rsid w:val="00B111BD"/>
    <w:rsid w:val="00B112BB"/>
    <w:rsid w:val="00B117BF"/>
    <w:rsid w:val="00B11BE8"/>
    <w:rsid w:val="00B1211C"/>
    <w:rsid w:val="00B13875"/>
    <w:rsid w:val="00B14405"/>
    <w:rsid w:val="00B1457C"/>
    <w:rsid w:val="00B14D64"/>
    <w:rsid w:val="00B14DED"/>
    <w:rsid w:val="00B16FB6"/>
    <w:rsid w:val="00B17830"/>
    <w:rsid w:val="00B203FD"/>
    <w:rsid w:val="00B225AE"/>
    <w:rsid w:val="00B227AD"/>
    <w:rsid w:val="00B23D5B"/>
    <w:rsid w:val="00B242C5"/>
    <w:rsid w:val="00B24615"/>
    <w:rsid w:val="00B274B7"/>
    <w:rsid w:val="00B27BBA"/>
    <w:rsid w:val="00B30230"/>
    <w:rsid w:val="00B30650"/>
    <w:rsid w:val="00B308C2"/>
    <w:rsid w:val="00B3101A"/>
    <w:rsid w:val="00B31289"/>
    <w:rsid w:val="00B32845"/>
    <w:rsid w:val="00B32A8B"/>
    <w:rsid w:val="00B330A2"/>
    <w:rsid w:val="00B33EC5"/>
    <w:rsid w:val="00B34FB9"/>
    <w:rsid w:val="00B35353"/>
    <w:rsid w:val="00B35B3B"/>
    <w:rsid w:val="00B361B5"/>
    <w:rsid w:val="00B37A18"/>
    <w:rsid w:val="00B37DEE"/>
    <w:rsid w:val="00B404B6"/>
    <w:rsid w:val="00B41371"/>
    <w:rsid w:val="00B42558"/>
    <w:rsid w:val="00B43A56"/>
    <w:rsid w:val="00B4425B"/>
    <w:rsid w:val="00B453F6"/>
    <w:rsid w:val="00B45838"/>
    <w:rsid w:val="00B469C2"/>
    <w:rsid w:val="00B47A0E"/>
    <w:rsid w:val="00B5039A"/>
    <w:rsid w:val="00B509FD"/>
    <w:rsid w:val="00B52363"/>
    <w:rsid w:val="00B52FB9"/>
    <w:rsid w:val="00B53AF7"/>
    <w:rsid w:val="00B5517F"/>
    <w:rsid w:val="00B556F1"/>
    <w:rsid w:val="00B55934"/>
    <w:rsid w:val="00B55FAC"/>
    <w:rsid w:val="00B56075"/>
    <w:rsid w:val="00B560F5"/>
    <w:rsid w:val="00B56DAC"/>
    <w:rsid w:val="00B6136B"/>
    <w:rsid w:val="00B6153B"/>
    <w:rsid w:val="00B616E1"/>
    <w:rsid w:val="00B63B72"/>
    <w:rsid w:val="00B6598F"/>
    <w:rsid w:val="00B67133"/>
    <w:rsid w:val="00B673B0"/>
    <w:rsid w:val="00B70230"/>
    <w:rsid w:val="00B7066E"/>
    <w:rsid w:val="00B70DCF"/>
    <w:rsid w:val="00B7114A"/>
    <w:rsid w:val="00B7228A"/>
    <w:rsid w:val="00B7295D"/>
    <w:rsid w:val="00B75745"/>
    <w:rsid w:val="00B75CBE"/>
    <w:rsid w:val="00B769A5"/>
    <w:rsid w:val="00B80371"/>
    <w:rsid w:val="00B809B9"/>
    <w:rsid w:val="00B80AB6"/>
    <w:rsid w:val="00B818C2"/>
    <w:rsid w:val="00B81DB0"/>
    <w:rsid w:val="00B821CB"/>
    <w:rsid w:val="00B825A0"/>
    <w:rsid w:val="00B8261A"/>
    <w:rsid w:val="00B8265E"/>
    <w:rsid w:val="00B8373E"/>
    <w:rsid w:val="00B83AC6"/>
    <w:rsid w:val="00B859CF"/>
    <w:rsid w:val="00B862F0"/>
    <w:rsid w:val="00B86C2E"/>
    <w:rsid w:val="00B87795"/>
    <w:rsid w:val="00B928E0"/>
    <w:rsid w:val="00B9306D"/>
    <w:rsid w:val="00B93310"/>
    <w:rsid w:val="00B953F5"/>
    <w:rsid w:val="00B9623A"/>
    <w:rsid w:val="00B97D2F"/>
    <w:rsid w:val="00BA0979"/>
    <w:rsid w:val="00BA0B20"/>
    <w:rsid w:val="00BA1016"/>
    <w:rsid w:val="00BA1B53"/>
    <w:rsid w:val="00BA27A2"/>
    <w:rsid w:val="00BA28B5"/>
    <w:rsid w:val="00BA5016"/>
    <w:rsid w:val="00BA515E"/>
    <w:rsid w:val="00BA516C"/>
    <w:rsid w:val="00BA7656"/>
    <w:rsid w:val="00BA7C73"/>
    <w:rsid w:val="00BB226A"/>
    <w:rsid w:val="00BB273D"/>
    <w:rsid w:val="00BB2BB6"/>
    <w:rsid w:val="00BB2E63"/>
    <w:rsid w:val="00BB3B5E"/>
    <w:rsid w:val="00BB3EA8"/>
    <w:rsid w:val="00BB46D0"/>
    <w:rsid w:val="00BB49B1"/>
    <w:rsid w:val="00BB58E2"/>
    <w:rsid w:val="00BC13F1"/>
    <w:rsid w:val="00BC1A0E"/>
    <w:rsid w:val="00BC22C2"/>
    <w:rsid w:val="00BC30EA"/>
    <w:rsid w:val="00BC408C"/>
    <w:rsid w:val="00BC5025"/>
    <w:rsid w:val="00BC5647"/>
    <w:rsid w:val="00BC71E4"/>
    <w:rsid w:val="00BC7669"/>
    <w:rsid w:val="00BC7B56"/>
    <w:rsid w:val="00BD07FD"/>
    <w:rsid w:val="00BD1DAD"/>
    <w:rsid w:val="00BD345C"/>
    <w:rsid w:val="00BD5C46"/>
    <w:rsid w:val="00BD66B3"/>
    <w:rsid w:val="00BD78AC"/>
    <w:rsid w:val="00BE038B"/>
    <w:rsid w:val="00BE10B0"/>
    <w:rsid w:val="00BE1988"/>
    <w:rsid w:val="00BE2870"/>
    <w:rsid w:val="00BE298F"/>
    <w:rsid w:val="00BE3343"/>
    <w:rsid w:val="00BE4DA5"/>
    <w:rsid w:val="00BE578B"/>
    <w:rsid w:val="00BE6341"/>
    <w:rsid w:val="00BE6417"/>
    <w:rsid w:val="00BE7126"/>
    <w:rsid w:val="00BE7229"/>
    <w:rsid w:val="00BF1431"/>
    <w:rsid w:val="00BF1506"/>
    <w:rsid w:val="00BF1F9D"/>
    <w:rsid w:val="00BF23D1"/>
    <w:rsid w:val="00BF3702"/>
    <w:rsid w:val="00BF5F44"/>
    <w:rsid w:val="00BF6E41"/>
    <w:rsid w:val="00BF7982"/>
    <w:rsid w:val="00BF7EBC"/>
    <w:rsid w:val="00C027F8"/>
    <w:rsid w:val="00C037C6"/>
    <w:rsid w:val="00C03A48"/>
    <w:rsid w:val="00C042CB"/>
    <w:rsid w:val="00C04A4D"/>
    <w:rsid w:val="00C04B62"/>
    <w:rsid w:val="00C052CC"/>
    <w:rsid w:val="00C06279"/>
    <w:rsid w:val="00C10077"/>
    <w:rsid w:val="00C101A2"/>
    <w:rsid w:val="00C109B2"/>
    <w:rsid w:val="00C11946"/>
    <w:rsid w:val="00C11FAB"/>
    <w:rsid w:val="00C122A3"/>
    <w:rsid w:val="00C126C9"/>
    <w:rsid w:val="00C12ABB"/>
    <w:rsid w:val="00C12B2F"/>
    <w:rsid w:val="00C1525D"/>
    <w:rsid w:val="00C15F95"/>
    <w:rsid w:val="00C16C2F"/>
    <w:rsid w:val="00C17076"/>
    <w:rsid w:val="00C177A3"/>
    <w:rsid w:val="00C20FCE"/>
    <w:rsid w:val="00C211A3"/>
    <w:rsid w:val="00C213E7"/>
    <w:rsid w:val="00C220BB"/>
    <w:rsid w:val="00C2296E"/>
    <w:rsid w:val="00C23494"/>
    <w:rsid w:val="00C23F99"/>
    <w:rsid w:val="00C2428E"/>
    <w:rsid w:val="00C2466F"/>
    <w:rsid w:val="00C24C61"/>
    <w:rsid w:val="00C24E9B"/>
    <w:rsid w:val="00C26130"/>
    <w:rsid w:val="00C2744E"/>
    <w:rsid w:val="00C2758A"/>
    <w:rsid w:val="00C277C0"/>
    <w:rsid w:val="00C3185B"/>
    <w:rsid w:val="00C33033"/>
    <w:rsid w:val="00C3312B"/>
    <w:rsid w:val="00C33A0F"/>
    <w:rsid w:val="00C33B02"/>
    <w:rsid w:val="00C34C80"/>
    <w:rsid w:val="00C34FB1"/>
    <w:rsid w:val="00C35980"/>
    <w:rsid w:val="00C367EA"/>
    <w:rsid w:val="00C36EF1"/>
    <w:rsid w:val="00C37245"/>
    <w:rsid w:val="00C378F2"/>
    <w:rsid w:val="00C37FC9"/>
    <w:rsid w:val="00C4038E"/>
    <w:rsid w:val="00C40F0D"/>
    <w:rsid w:val="00C427B8"/>
    <w:rsid w:val="00C42D3E"/>
    <w:rsid w:val="00C46053"/>
    <w:rsid w:val="00C46B4A"/>
    <w:rsid w:val="00C46BC9"/>
    <w:rsid w:val="00C46C0A"/>
    <w:rsid w:val="00C46E80"/>
    <w:rsid w:val="00C4757E"/>
    <w:rsid w:val="00C50E6F"/>
    <w:rsid w:val="00C52273"/>
    <w:rsid w:val="00C540AB"/>
    <w:rsid w:val="00C55E63"/>
    <w:rsid w:val="00C565B3"/>
    <w:rsid w:val="00C56C35"/>
    <w:rsid w:val="00C5782C"/>
    <w:rsid w:val="00C6079A"/>
    <w:rsid w:val="00C60E83"/>
    <w:rsid w:val="00C62674"/>
    <w:rsid w:val="00C64730"/>
    <w:rsid w:val="00C64C6A"/>
    <w:rsid w:val="00C661F9"/>
    <w:rsid w:val="00C66566"/>
    <w:rsid w:val="00C66D19"/>
    <w:rsid w:val="00C67155"/>
    <w:rsid w:val="00C704FD"/>
    <w:rsid w:val="00C72643"/>
    <w:rsid w:val="00C72BDE"/>
    <w:rsid w:val="00C75BBC"/>
    <w:rsid w:val="00C76191"/>
    <w:rsid w:val="00C76563"/>
    <w:rsid w:val="00C76853"/>
    <w:rsid w:val="00C771A3"/>
    <w:rsid w:val="00C77DB1"/>
    <w:rsid w:val="00C802E9"/>
    <w:rsid w:val="00C80FAC"/>
    <w:rsid w:val="00C81758"/>
    <w:rsid w:val="00C81C73"/>
    <w:rsid w:val="00C81F7C"/>
    <w:rsid w:val="00C8225E"/>
    <w:rsid w:val="00C82346"/>
    <w:rsid w:val="00C83363"/>
    <w:rsid w:val="00C83E9D"/>
    <w:rsid w:val="00C84091"/>
    <w:rsid w:val="00C84299"/>
    <w:rsid w:val="00C84810"/>
    <w:rsid w:val="00C84AFB"/>
    <w:rsid w:val="00C850E3"/>
    <w:rsid w:val="00C85B4C"/>
    <w:rsid w:val="00C86318"/>
    <w:rsid w:val="00C86562"/>
    <w:rsid w:val="00C9055A"/>
    <w:rsid w:val="00C9077B"/>
    <w:rsid w:val="00C9370B"/>
    <w:rsid w:val="00C938BB"/>
    <w:rsid w:val="00C94C80"/>
    <w:rsid w:val="00C9574D"/>
    <w:rsid w:val="00CA0BC0"/>
    <w:rsid w:val="00CA112C"/>
    <w:rsid w:val="00CA29D0"/>
    <w:rsid w:val="00CA49FD"/>
    <w:rsid w:val="00CA532D"/>
    <w:rsid w:val="00CA606A"/>
    <w:rsid w:val="00CA60CB"/>
    <w:rsid w:val="00CA6751"/>
    <w:rsid w:val="00CA7430"/>
    <w:rsid w:val="00CA7DD1"/>
    <w:rsid w:val="00CB0822"/>
    <w:rsid w:val="00CB1B60"/>
    <w:rsid w:val="00CB232F"/>
    <w:rsid w:val="00CB2BDA"/>
    <w:rsid w:val="00CB4A3C"/>
    <w:rsid w:val="00CB581B"/>
    <w:rsid w:val="00CB58BE"/>
    <w:rsid w:val="00CB6D9D"/>
    <w:rsid w:val="00CB7446"/>
    <w:rsid w:val="00CB76E3"/>
    <w:rsid w:val="00CC0095"/>
    <w:rsid w:val="00CC07EB"/>
    <w:rsid w:val="00CC0A3B"/>
    <w:rsid w:val="00CC0D04"/>
    <w:rsid w:val="00CC0F4F"/>
    <w:rsid w:val="00CC11FD"/>
    <w:rsid w:val="00CC1C19"/>
    <w:rsid w:val="00CC2109"/>
    <w:rsid w:val="00CC23B5"/>
    <w:rsid w:val="00CC2AF0"/>
    <w:rsid w:val="00CC2F1C"/>
    <w:rsid w:val="00CC3B9F"/>
    <w:rsid w:val="00CC4CD9"/>
    <w:rsid w:val="00CC5204"/>
    <w:rsid w:val="00CC6489"/>
    <w:rsid w:val="00CC6BCC"/>
    <w:rsid w:val="00CC7D6F"/>
    <w:rsid w:val="00CD0486"/>
    <w:rsid w:val="00CD0AD1"/>
    <w:rsid w:val="00CD32DA"/>
    <w:rsid w:val="00CD3C02"/>
    <w:rsid w:val="00CD3D5E"/>
    <w:rsid w:val="00CD40CB"/>
    <w:rsid w:val="00CD4F02"/>
    <w:rsid w:val="00CD53CE"/>
    <w:rsid w:val="00CD602C"/>
    <w:rsid w:val="00CD70EB"/>
    <w:rsid w:val="00CD7552"/>
    <w:rsid w:val="00CE00CF"/>
    <w:rsid w:val="00CE0167"/>
    <w:rsid w:val="00CE2937"/>
    <w:rsid w:val="00CE2BFC"/>
    <w:rsid w:val="00CE3085"/>
    <w:rsid w:val="00CE3EFC"/>
    <w:rsid w:val="00CE514C"/>
    <w:rsid w:val="00CE5E1B"/>
    <w:rsid w:val="00CE66CC"/>
    <w:rsid w:val="00CE799C"/>
    <w:rsid w:val="00CF0EEC"/>
    <w:rsid w:val="00CF146F"/>
    <w:rsid w:val="00CF1F00"/>
    <w:rsid w:val="00CF2C6B"/>
    <w:rsid w:val="00CF2E16"/>
    <w:rsid w:val="00CF39DA"/>
    <w:rsid w:val="00CF4245"/>
    <w:rsid w:val="00CF4CA9"/>
    <w:rsid w:val="00CF5292"/>
    <w:rsid w:val="00CF57C8"/>
    <w:rsid w:val="00CF5811"/>
    <w:rsid w:val="00CF5AD9"/>
    <w:rsid w:val="00CF60E6"/>
    <w:rsid w:val="00CF7458"/>
    <w:rsid w:val="00CF7677"/>
    <w:rsid w:val="00CF7B7E"/>
    <w:rsid w:val="00D00520"/>
    <w:rsid w:val="00D0075F"/>
    <w:rsid w:val="00D0159D"/>
    <w:rsid w:val="00D0174A"/>
    <w:rsid w:val="00D02641"/>
    <w:rsid w:val="00D03648"/>
    <w:rsid w:val="00D03AAB"/>
    <w:rsid w:val="00D03FE6"/>
    <w:rsid w:val="00D04F50"/>
    <w:rsid w:val="00D05ADB"/>
    <w:rsid w:val="00D05E92"/>
    <w:rsid w:val="00D06A08"/>
    <w:rsid w:val="00D1234D"/>
    <w:rsid w:val="00D13608"/>
    <w:rsid w:val="00D1507D"/>
    <w:rsid w:val="00D1658A"/>
    <w:rsid w:val="00D16CC4"/>
    <w:rsid w:val="00D1712A"/>
    <w:rsid w:val="00D171BB"/>
    <w:rsid w:val="00D20BFF"/>
    <w:rsid w:val="00D214EC"/>
    <w:rsid w:val="00D215DB"/>
    <w:rsid w:val="00D21C49"/>
    <w:rsid w:val="00D22CD7"/>
    <w:rsid w:val="00D236D9"/>
    <w:rsid w:val="00D25D26"/>
    <w:rsid w:val="00D25E39"/>
    <w:rsid w:val="00D27BD7"/>
    <w:rsid w:val="00D305FE"/>
    <w:rsid w:val="00D30688"/>
    <w:rsid w:val="00D31141"/>
    <w:rsid w:val="00D3130A"/>
    <w:rsid w:val="00D313E7"/>
    <w:rsid w:val="00D3160B"/>
    <w:rsid w:val="00D31EA2"/>
    <w:rsid w:val="00D35C6F"/>
    <w:rsid w:val="00D37310"/>
    <w:rsid w:val="00D37616"/>
    <w:rsid w:val="00D4154A"/>
    <w:rsid w:val="00D418ED"/>
    <w:rsid w:val="00D4281C"/>
    <w:rsid w:val="00D42DC0"/>
    <w:rsid w:val="00D431D9"/>
    <w:rsid w:val="00D46DF0"/>
    <w:rsid w:val="00D4744A"/>
    <w:rsid w:val="00D478E3"/>
    <w:rsid w:val="00D500F6"/>
    <w:rsid w:val="00D5087E"/>
    <w:rsid w:val="00D51880"/>
    <w:rsid w:val="00D521A7"/>
    <w:rsid w:val="00D532D7"/>
    <w:rsid w:val="00D5388B"/>
    <w:rsid w:val="00D54167"/>
    <w:rsid w:val="00D55177"/>
    <w:rsid w:val="00D56573"/>
    <w:rsid w:val="00D614C0"/>
    <w:rsid w:val="00D623B0"/>
    <w:rsid w:val="00D62E9B"/>
    <w:rsid w:val="00D64329"/>
    <w:rsid w:val="00D64DF3"/>
    <w:rsid w:val="00D662AC"/>
    <w:rsid w:val="00D7063C"/>
    <w:rsid w:val="00D7075F"/>
    <w:rsid w:val="00D70A64"/>
    <w:rsid w:val="00D70B07"/>
    <w:rsid w:val="00D70F17"/>
    <w:rsid w:val="00D710AB"/>
    <w:rsid w:val="00D732AF"/>
    <w:rsid w:val="00D736BC"/>
    <w:rsid w:val="00D74E20"/>
    <w:rsid w:val="00D75540"/>
    <w:rsid w:val="00D755B6"/>
    <w:rsid w:val="00D76B1B"/>
    <w:rsid w:val="00D76F1C"/>
    <w:rsid w:val="00D77874"/>
    <w:rsid w:val="00D778F3"/>
    <w:rsid w:val="00D77F02"/>
    <w:rsid w:val="00D84229"/>
    <w:rsid w:val="00D849E3"/>
    <w:rsid w:val="00D85891"/>
    <w:rsid w:val="00D85BD6"/>
    <w:rsid w:val="00D87D7B"/>
    <w:rsid w:val="00D90094"/>
    <w:rsid w:val="00D91C7C"/>
    <w:rsid w:val="00D938BE"/>
    <w:rsid w:val="00D94460"/>
    <w:rsid w:val="00D94F7E"/>
    <w:rsid w:val="00D96C8A"/>
    <w:rsid w:val="00DA0ADD"/>
    <w:rsid w:val="00DA1ED6"/>
    <w:rsid w:val="00DA46D9"/>
    <w:rsid w:val="00DA7275"/>
    <w:rsid w:val="00DB07AC"/>
    <w:rsid w:val="00DB133E"/>
    <w:rsid w:val="00DB15F6"/>
    <w:rsid w:val="00DB2FA6"/>
    <w:rsid w:val="00DB3B76"/>
    <w:rsid w:val="00DB3D41"/>
    <w:rsid w:val="00DB45EA"/>
    <w:rsid w:val="00DB4877"/>
    <w:rsid w:val="00DB7124"/>
    <w:rsid w:val="00DB7E18"/>
    <w:rsid w:val="00DB7E62"/>
    <w:rsid w:val="00DC495D"/>
    <w:rsid w:val="00DC4E92"/>
    <w:rsid w:val="00DC628B"/>
    <w:rsid w:val="00DD0493"/>
    <w:rsid w:val="00DD04F6"/>
    <w:rsid w:val="00DD08F8"/>
    <w:rsid w:val="00DD0969"/>
    <w:rsid w:val="00DD4045"/>
    <w:rsid w:val="00DD434D"/>
    <w:rsid w:val="00DD5330"/>
    <w:rsid w:val="00DD6F19"/>
    <w:rsid w:val="00DD71BF"/>
    <w:rsid w:val="00DD79E3"/>
    <w:rsid w:val="00DE2CF5"/>
    <w:rsid w:val="00DE36BE"/>
    <w:rsid w:val="00DE3AA5"/>
    <w:rsid w:val="00DE3CB5"/>
    <w:rsid w:val="00DE533D"/>
    <w:rsid w:val="00DE53AE"/>
    <w:rsid w:val="00DF0AB1"/>
    <w:rsid w:val="00DF14E7"/>
    <w:rsid w:val="00DF6635"/>
    <w:rsid w:val="00DF66B7"/>
    <w:rsid w:val="00DF66D7"/>
    <w:rsid w:val="00E0084E"/>
    <w:rsid w:val="00E01E65"/>
    <w:rsid w:val="00E02491"/>
    <w:rsid w:val="00E0252B"/>
    <w:rsid w:val="00E02A67"/>
    <w:rsid w:val="00E02EB6"/>
    <w:rsid w:val="00E0385E"/>
    <w:rsid w:val="00E05095"/>
    <w:rsid w:val="00E05228"/>
    <w:rsid w:val="00E05623"/>
    <w:rsid w:val="00E05997"/>
    <w:rsid w:val="00E062EC"/>
    <w:rsid w:val="00E07E18"/>
    <w:rsid w:val="00E1125B"/>
    <w:rsid w:val="00E116DA"/>
    <w:rsid w:val="00E119E1"/>
    <w:rsid w:val="00E11C89"/>
    <w:rsid w:val="00E12E5C"/>
    <w:rsid w:val="00E13738"/>
    <w:rsid w:val="00E14955"/>
    <w:rsid w:val="00E15263"/>
    <w:rsid w:val="00E15E1C"/>
    <w:rsid w:val="00E15FA1"/>
    <w:rsid w:val="00E1623B"/>
    <w:rsid w:val="00E1628D"/>
    <w:rsid w:val="00E16414"/>
    <w:rsid w:val="00E17C41"/>
    <w:rsid w:val="00E17FC9"/>
    <w:rsid w:val="00E2143D"/>
    <w:rsid w:val="00E21B3D"/>
    <w:rsid w:val="00E21C1E"/>
    <w:rsid w:val="00E21FD2"/>
    <w:rsid w:val="00E233BC"/>
    <w:rsid w:val="00E23FA6"/>
    <w:rsid w:val="00E24446"/>
    <w:rsid w:val="00E259D3"/>
    <w:rsid w:val="00E27DCF"/>
    <w:rsid w:val="00E30941"/>
    <w:rsid w:val="00E30BFD"/>
    <w:rsid w:val="00E32BEA"/>
    <w:rsid w:val="00E32CD8"/>
    <w:rsid w:val="00E338CF"/>
    <w:rsid w:val="00E33AD1"/>
    <w:rsid w:val="00E348D9"/>
    <w:rsid w:val="00E34E0D"/>
    <w:rsid w:val="00E362C0"/>
    <w:rsid w:val="00E407E0"/>
    <w:rsid w:val="00E40EE3"/>
    <w:rsid w:val="00E41E3C"/>
    <w:rsid w:val="00E41EE7"/>
    <w:rsid w:val="00E42C03"/>
    <w:rsid w:val="00E436B8"/>
    <w:rsid w:val="00E44DFE"/>
    <w:rsid w:val="00E4593D"/>
    <w:rsid w:val="00E503AB"/>
    <w:rsid w:val="00E50E7D"/>
    <w:rsid w:val="00E5147B"/>
    <w:rsid w:val="00E54633"/>
    <w:rsid w:val="00E54FDB"/>
    <w:rsid w:val="00E567F6"/>
    <w:rsid w:val="00E56F67"/>
    <w:rsid w:val="00E57E1D"/>
    <w:rsid w:val="00E60633"/>
    <w:rsid w:val="00E60B18"/>
    <w:rsid w:val="00E6253E"/>
    <w:rsid w:val="00E628E0"/>
    <w:rsid w:val="00E63376"/>
    <w:rsid w:val="00E65B7B"/>
    <w:rsid w:val="00E6722F"/>
    <w:rsid w:val="00E6736B"/>
    <w:rsid w:val="00E67495"/>
    <w:rsid w:val="00E67F25"/>
    <w:rsid w:val="00E701E9"/>
    <w:rsid w:val="00E70346"/>
    <w:rsid w:val="00E708DC"/>
    <w:rsid w:val="00E71C62"/>
    <w:rsid w:val="00E72E06"/>
    <w:rsid w:val="00E7359F"/>
    <w:rsid w:val="00E73606"/>
    <w:rsid w:val="00E7363B"/>
    <w:rsid w:val="00E753E4"/>
    <w:rsid w:val="00E75614"/>
    <w:rsid w:val="00E75CDF"/>
    <w:rsid w:val="00E80BB1"/>
    <w:rsid w:val="00E81578"/>
    <w:rsid w:val="00E818D2"/>
    <w:rsid w:val="00E822D9"/>
    <w:rsid w:val="00E82316"/>
    <w:rsid w:val="00E824D2"/>
    <w:rsid w:val="00E82A6E"/>
    <w:rsid w:val="00E82C67"/>
    <w:rsid w:val="00E82EFB"/>
    <w:rsid w:val="00E83493"/>
    <w:rsid w:val="00E85BCF"/>
    <w:rsid w:val="00E85E0F"/>
    <w:rsid w:val="00E875C0"/>
    <w:rsid w:val="00E876FD"/>
    <w:rsid w:val="00E87B07"/>
    <w:rsid w:val="00E90BA8"/>
    <w:rsid w:val="00E92399"/>
    <w:rsid w:val="00E9462C"/>
    <w:rsid w:val="00E94DBC"/>
    <w:rsid w:val="00E96D3F"/>
    <w:rsid w:val="00E97247"/>
    <w:rsid w:val="00EA2E37"/>
    <w:rsid w:val="00EA30BC"/>
    <w:rsid w:val="00EA3CA9"/>
    <w:rsid w:val="00EA44A7"/>
    <w:rsid w:val="00EA48F4"/>
    <w:rsid w:val="00EA49B8"/>
    <w:rsid w:val="00EA4E63"/>
    <w:rsid w:val="00EA4ED9"/>
    <w:rsid w:val="00EA5E53"/>
    <w:rsid w:val="00EA5FD0"/>
    <w:rsid w:val="00EA64A8"/>
    <w:rsid w:val="00EA721E"/>
    <w:rsid w:val="00EA77BE"/>
    <w:rsid w:val="00EB1C50"/>
    <w:rsid w:val="00EB267F"/>
    <w:rsid w:val="00EB2CA2"/>
    <w:rsid w:val="00EB33A9"/>
    <w:rsid w:val="00EB3A85"/>
    <w:rsid w:val="00EB3CD8"/>
    <w:rsid w:val="00EB5B18"/>
    <w:rsid w:val="00EB698B"/>
    <w:rsid w:val="00EB7D5E"/>
    <w:rsid w:val="00EB7E8D"/>
    <w:rsid w:val="00EC0B1F"/>
    <w:rsid w:val="00EC1599"/>
    <w:rsid w:val="00EC28E1"/>
    <w:rsid w:val="00EC2ED1"/>
    <w:rsid w:val="00EC3141"/>
    <w:rsid w:val="00EC38EF"/>
    <w:rsid w:val="00EC3DE9"/>
    <w:rsid w:val="00EC43C4"/>
    <w:rsid w:val="00EC5245"/>
    <w:rsid w:val="00EC594D"/>
    <w:rsid w:val="00EC5C0E"/>
    <w:rsid w:val="00EC5EF2"/>
    <w:rsid w:val="00EC5F77"/>
    <w:rsid w:val="00EC6307"/>
    <w:rsid w:val="00EC76BB"/>
    <w:rsid w:val="00EC7F96"/>
    <w:rsid w:val="00ED074C"/>
    <w:rsid w:val="00ED0965"/>
    <w:rsid w:val="00ED1395"/>
    <w:rsid w:val="00ED2181"/>
    <w:rsid w:val="00ED23C8"/>
    <w:rsid w:val="00ED462A"/>
    <w:rsid w:val="00ED4C1C"/>
    <w:rsid w:val="00ED4D24"/>
    <w:rsid w:val="00ED5D24"/>
    <w:rsid w:val="00ED754A"/>
    <w:rsid w:val="00EE0C6B"/>
    <w:rsid w:val="00EE0F0A"/>
    <w:rsid w:val="00EE1E12"/>
    <w:rsid w:val="00EE44C1"/>
    <w:rsid w:val="00EE5591"/>
    <w:rsid w:val="00EE5E9E"/>
    <w:rsid w:val="00EE6553"/>
    <w:rsid w:val="00EE69E3"/>
    <w:rsid w:val="00EE6DB8"/>
    <w:rsid w:val="00EE7435"/>
    <w:rsid w:val="00EF0818"/>
    <w:rsid w:val="00EF08CB"/>
    <w:rsid w:val="00EF0C6C"/>
    <w:rsid w:val="00EF0FBC"/>
    <w:rsid w:val="00EF1680"/>
    <w:rsid w:val="00EF1E17"/>
    <w:rsid w:val="00EF22D8"/>
    <w:rsid w:val="00EF2578"/>
    <w:rsid w:val="00EF2ECD"/>
    <w:rsid w:val="00EF364D"/>
    <w:rsid w:val="00EF37E3"/>
    <w:rsid w:val="00EF3E70"/>
    <w:rsid w:val="00EF53DC"/>
    <w:rsid w:val="00EF6D31"/>
    <w:rsid w:val="00EF7C89"/>
    <w:rsid w:val="00EF7E2B"/>
    <w:rsid w:val="00F02040"/>
    <w:rsid w:val="00F02365"/>
    <w:rsid w:val="00F03830"/>
    <w:rsid w:val="00F038EF"/>
    <w:rsid w:val="00F04664"/>
    <w:rsid w:val="00F05662"/>
    <w:rsid w:val="00F05794"/>
    <w:rsid w:val="00F05A53"/>
    <w:rsid w:val="00F06E18"/>
    <w:rsid w:val="00F0770C"/>
    <w:rsid w:val="00F07DC3"/>
    <w:rsid w:val="00F07F07"/>
    <w:rsid w:val="00F10AC3"/>
    <w:rsid w:val="00F11E23"/>
    <w:rsid w:val="00F12150"/>
    <w:rsid w:val="00F12226"/>
    <w:rsid w:val="00F15986"/>
    <w:rsid w:val="00F200BB"/>
    <w:rsid w:val="00F20A87"/>
    <w:rsid w:val="00F20AF3"/>
    <w:rsid w:val="00F224D6"/>
    <w:rsid w:val="00F24CBB"/>
    <w:rsid w:val="00F2593A"/>
    <w:rsid w:val="00F25BC2"/>
    <w:rsid w:val="00F25C48"/>
    <w:rsid w:val="00F25D81"/>
    <w:rsid w:val="00F26871"/>
    <w:rsid w:val="00F26F18"/>
    <w:rsid w:val="00F26F7F"/>
    <w:rsid w:val="00F27012"/>
    <w:rsid w:val="00F27C69"/>
    <w:rsid w:val="00F30861"/>
    <w:rsid w:val="00F315B0"/>
    <w:rsid w:val="00F3176C"/>
    <w:rsid w:val="00F32AE1"/>
    <w:rsid w:val="00F33F47"/>
    <w:rsid w:val="00F342D9"/>
    <w:rsid w:val="00F34877"/>
    <w:rsid w:val="00F34EC8"/>
    <w:rsid w:val="00F3592F"/>
    <w:rsid w:val="00F35E55"/>
    <w:rsid w:val="00F36708"/>
    <w:rsid w:val="00F37127"/>
    <w:rsid w:val="00F37685"/>
    <w:rsid w:val="00F40BA1"/>
    <w:rsid w:val="00F4134D"/>
    <w:rsid w:val="00F439CB"/>
    <w:rsid w:val="00F43FF9"/>
    <w:rsid w:val="00F45458"/>
    <w:rsid w:val="00F4566B"/>
    <w:rsid w:val="00F4603F"/>
    <w:rsid w:val="00F476F8"/>
    <w:rsid w:val="00F47E79"/>
    <w:rsid w:val="00F50158"/>
    <w:rsid w:val="00F50ECB"/>
    <w:rsid w:val="00F51C49"/>
    <w:rsid w:val="00F51D9C"/>
    <w:rsid w:val="00F51DB9"/>
    <w:rsid w:val="00F51E2A"/>
    <w:rsid w:val="00F52CA9"/>
    <w:rsid w:val="00F52DCF"/>
    <w:rsid w:val="00F53236"/>
    <w:rsid w:val="00F53E94"/>
    <w:rsid w:val="00F5425C"/>
    <w:rsid w:val="00F55A9F"/>
    <w:rsid w:val="00F56089"/>
    <w:rsid w:val="00F562A7"/>
    <w:rsid w:val="00F562D7"/>
    <w:rsid w:val="00F56A47"/>
    <w:rsid w:val="00F56C03"/>
    <w:rsid w:val="00F5788E"/>
    <w:rsid w:val="00F57B9B"/>
    <w:rsid w:val="00F612A9"/>
    <w:rsid w:val="00F6233A"/>
    <w:rsid w:val="00F66624"/>
    <w:rsid w:val="00F66B25"/>
    <w:rsid w:val="00F66B70"/>
    <w:rsid w:val="00F6796E"/>
    <w:rsid w:val="00F7080A"/>
    <w:rsid w:val="00F72258"/>
    <w:rsid w:val="00F723A4"/>
    <w:rsid w:val="00F74D25"/>
    <w:rsid w:val="00F76241"/>
    <w:rsid w:val="00F773DD"/>
    <w:rsid w:val="00F77B62"/>
    <w:rsid w:val="00F839F2"/>
    <w:rsid w:val="00F83D8E"/>
    <w:rsid w:val="00F8488B"/>
    <w:rsid w:val="00F8493F"/>
    <w:rsid w:val="00F86059"/>
    <w:rsid w:val="00F9139F"/>
    <w:rsid w:val="00F925D5"/>
    <w:rsid w:val="00F94E07"/>
    <w:rsid w:val="00F94EAE"/>
    <w:rsid w:val="00F95588"/>
    <w:rsid w:val="00F95887"/>
    <w:rsid w:val="00F9694E"/>
    <w:rsid w:val="00F96BFA"/>
    <w:rsid w:val="00F97BDE"/>
    <w:rsid w:val="00FA0051"/>
    <w:rsid w:val="00FA0A71"/>
    <w:rsid w:val="00FA0C57"/>
    <w:rsid w:val="00FA1495"/>
    <w:rsid w:val="00FA2011"/>
    <w:rsid w:val="00FA2076"/>
    <w:rsid w:val="00FA213D"/>
    <w:rsid w:val="00FA2C18"/>
    <w:rsid w:val="00FA3393"/>
    <w:rsid w:val="00FA3AEC"/>
    <w:rsid w:val="00FA4428"/>
    <w:rsid w:val="00FA5081"/>
    <w:rsid w:val="00FA5D65"/>
    <w:rsid w:val="00FA6148"/>
    <w:rsid w:val="00FA6737"/>
    <w:rsid w:val="00FA6979"/>
    <w:rsid w:val="00FA6F7F"/>
    <w:rsid w:val="00FB0348"/>
    <w:rsid w:val="00FB0D34"/>
    <w:rsid w:val="00FB2A72"/>
    <w:rsid w:val="00FB3503"/>
    <w:rsid w:val="00FB3C21"/>
    <w:rsid w:val="00FB439D"/>
    <w:rsid w:val="00FB468C"/>
    <w:rsid w:val="00FB520D"/>
    <w:rsid w:val="00FB5984"/>
    <w:rsid w:val="00FB6293"/>
    <w:rsid w:val="00FB644F"/>
    <w:rsid w:val="00FB65BA"/>
    <w:rsid w:val="00FB6E17"/>
    <w:rsid w:val="00FB7493"/>
    <w:rsid w:val="00FB74C7"/>
    <w:rsid w:val="00FB7B4B"/>
    <w:rsid w:val="00FC02F7"/>
    <w:rsid w:val="00FC0C04"/>
    <w:rsid w:val="00FC0ED1"/>
    <w:rsid w:val="00FC2536"/>
    <w:rsid w:val="00FC7AE0"/>
    <w:rsid w:val="00FC7D5F"/>
    <w:rsid w:val="00FD2038"/>
    <w:rsid w:val="00FD2C8F"/>
    <w:rsid w:val="00FD2E33"/>
    <w:rsid w:val="00FD2F74"/>
    <w:rsid w:val="00FD3522"/>
    <w:rsid w:val="00FD3E5C"/>
    <w:rsid w:val="00FD58FB"/>
    <w:rsid w:val="00FD5F4E"/>
    <w:rsid w:val="00FD6297"/>
    <w:rsid w:val="00FD6CB8"/>
    <w:rsid w:val="00FD7F99"/>
    <w:rsid w:val="00FE1673"/>
    <w:rsid w:val="00FE18CF"/>
    <w:rsid w:val="00FE2818"/>
    <w:rsid w:val="00FE2D69"/>
    <w:rsid w:val="00FE3CB2"/>
    <w:rsid w:val="00FE6F8D"/>
    <w:rsid w:val="00FE70B2"/>
    <w:rsid w:val="00FF0559"/>
    <w:rsid w:val="00FF2509"/>
    <w:rsid w:val="00FF28D1"/>
    <w:rsid w:val="00FF2967"/>
    <w:rsid w:val="00FF37B8"/>
    <w:rsid w:val="00FF4E39"/>
    <w:rsid w:val="00FF6C68"/>
    <w:rsid w:val="00FF70FF"/>
    <w:rsid w:val="011B5A69"/>
    <w:rsid w:val="0138A5DE"/>
    <w:rsid w:val="01918661"/>
    <w:rsid w:val="01DF1443"/>
    <w:rsid w:val="01E0C60C"/>
    <w:rsid w:val="023FA7EF"/>
    <w:rsid w:val="024F1C48"/>
    <w:rsid w:val="025D76A2"/>
    <w:rsid w:val="0263868F"/>
    <w:rsid w:val="027233DB"/>
    <w:rsid w:val="027269B7"/>
    <w:rsid w:val="02740911"/>
    <w:rsid w:val="027FE51F"/>
    <w:rsid w:val="0297F395"/>
    <w:rsid w:val="02A22B74"/>
    <w:rsid w:val="02E12922"/>
    <w:rsid w:val="02EA455E"/>
    <w:rsid w:val="0317B66A"/>
    <w:rsid w:val="031BFAFB"/>
    <w:rsid w:val="032A1F90"/>
    <w:rsid w:val="032C74EA"/>
    <w:rsid w:val="0348EE29"/>
    <w:rsid w:val="03B904A1"/>
    <w:rsid w:val="03F5BAFD"/>
    <w:rsid w:val="04124FA6"/>
    <w:rsid w:val="0423A306"/>
    <w:rsid w:val="044FE1C0"/>
    <w:rsid w:val="046979C5"/>
    <w:rsid w:val="047CF983"/>
    <w:rsid w:val="0484D9FC"/>
    <w:rsid w:val="049404BD"/>
    <w:rsid w:val="04B68426"/>
    <w:rsid w:val="04D4FCC7"/>
    <w:rsid w:val="04E66337"/>
    <w:rsid w:val="04E685CE"/>
    <w:rsid w:val="04E8E93B"/>
    <w:rsid w:val="04EEF42C"/>
    <w:rsid w:val="051EFF6C"/>
    <w:rsid w:val="052C1AF0"/>
    <w:rsid w:val="054AD6E1"/>
    <w:rsid w:val="0553DC6C"/>
    <w:rsid w:val="05566326"/>
    <w:rsid w:val="056DC2ED"/>
    <w:rsid w:val="05753761"/>
    <w:rsid w:val="0578F025"/>
    <w:rsid w:val="05A2F650"/>
    <w:rsid w:val="05AF9CDB"/>
    <w:rsid w:val="05BB4886"/>
    <w:rsid w:val="0605D327"/>
    <w:rsid w:val="06272872"/>
    <w:rsid w:val="062BE4ED"/>
    <w:rsid w:val="062CD26D"/>
    <w:rsid w:val="06358EE6"/>
    <w:rsid w:val="06496CD6"/>
    <w:rsid w:val="0653E242"/>
    <w:rsid w:val="068AC965"/>
    <w:rsid w:val="069B441E"/>
    <w:rsid w:val="06C7AA3B"/>
    <w:rsid w:val="06ECDC6E"/>
    <w:rsid w:val="070C5634"/>
    <w:rsid w:val="073D0670"/>
    <w:rsid w:val="073D85A2"/>
    <w:rsid w:val="074CD6ED"/>
    <w:rsid w:val="075A72F5"/>
    <w:rsid w:val="07E0C146"/>
    <w:rsid w:val="08038726"/>
    <w:rsid w:val="080A10A9"/>
    <w:rsid w:val="082068A6"/>
    <w:rsid w:val="082935B2"/>
    <w:rsid w:val="088E442B"/>
    <w:rsid w:val="089E1FDC"/>
    <w:rsid w:val="08D975E4"/>
    <w:rsid w:val="0934523B"/>
    <w:rsid w:val="096B8201"/>
    <w:rsid w:val="0971F31C"/>
    <w:rsid w:val="09781525"/>
    <w:rsid w:val="097F6F4D"/>
    <w:rsid w:val="09AA3986"/>
    <w:rsid w:val="09D012D4"/>
    <w:rsid w:val="09EA46D5"/>
    <w:rsid w:val="0A09F3B1"/>
    <w:rsid w:val="0A114612"/>
    <w:rsid w:val="0A1264F2"/>
    <w:rsid w:val="0A91ABFB"/>
    <w:rsid w:val="0AD3E96E"/>
    <w:rsid w:val="0ADD3216"/>
    <w:rsid w:val="0B1279F8"/>
    <w:rsid w:val="0B202E57"/>
    <w:rsid w:val="0B7686D1"/>
    <w:rsid w:val="0B7CEEEC"/>
    <w:rsid w:val="0B8FF28C"/>
    <w:rsid w:val="0BDD5B95"/>
    <w:rsid w:val="0BEDCD70"/>
    <w:rsid w:val="0C05FEB7"/>
    <w:rsid w:val="0C08C672"/>
    <w:rsid w:val="0C0F08C8"/>
    <w:rsid w:val="0C1E1D5A"/>
    <w:rsid w:val="0C209D8C"/>
    <w:rsid w:val="0C2EB4EB"/>
    <w:rsid w:val="0C30AF01"/>
    <w:rsid w:val="0C6041ED"/>
    <w:rsid w:val="0C748C62"/>
    <w:rsid w:val="0C7C2E79"/>
    <w:rsid w:val="0C931E3E"/>
    <w:rsid w:val="0CB968DA"/>
    <w:rsid w:val="0CBAE4AC"/>
    <w:rsid w:val="0CFAB090"/>
    <w:rsid w:val="0D284415"/>
    <w:rsid w:val="0D311865"/>
    <w:rsid w:val="0D38E9F9"/>
    <w:rsid w:val="0D494133"/>
    <w:rsid w:val="0D5210A7"/>
    <w:rsid w:val="0D7AF47B"/>
    <w:rsid w:val="0DC297C6"/>
    <w:rsid w:val="0DCA854C"/>
    <w:rsid w:val="0DE63F04"/>
    <w:rsid w:val="0DE9D280"/>
    <w:rsid w:val="0E13DDCE"/>
    <w:rsid w:val="0E50EDF7"/>
    <w:rsid w:val="0E51D47A"/>
    <w:rsid w:val="0EB63014"/>
    <w:rsid w:val="0EB65AB9"/>
    <w:rsid w:val="0EBFF40E"/>
    <w:rsid w:val="0EC53E65"/>
    <w:rsid w:val="0EC6BC4F"/>
    <w:rsid w:val="0EE7A318"/>
    <w:rsid w:val="0F13E0B4"/>
    <w:rsid w:val="0F1FE4AE"/>
    <w:rsid w:val="0F21C53D"/>
    <w:rsid w:val="0F3B376D"/>
    <w:rsid w:val="0F503C11"/>
    <w:rsid w:val="0F65DAF4"/>
    <w:rsid w:val="0F764052"/>
    <w:rsid w:val="0F837848"/>
    <w:rsid w:val="0FA8217E"/>
    <w:rsid w:val="0FB5FFFF"/>
    <w:rsid w:val="0FC4B247"/>
    <w:rsid w:val="0FD2AE46"/>
    <w:rsid w:val="0FEF7A3B"/>
    <w:rsid w:val="101797FF"/>
    <w:rsid w:val="1029AEFB"/>
    <w:rsid w:val="103AE7F2"/>
    <w:rsid w:val="1082022B"/>
    <w:rsid w:val="10897D9F"/>
    <w:rsid w:val="10A3B38D"/>
    <w:rsid w:val="10AB2E35"/>
    <w:rsid w:val="10D741D4"/>
    <w:rsid w:val="10D89773"/>
    <w:rsid w:val="10E9296E"/>
    <w:rsid w:val="10F11EE5"/>
    <w:rsid w:val="10F4DE3A"/>
    <w:rsid w:val="11007C79"/>
    <w:rsid w:val="11852F11"/>
    <w:rsid w:val="11A15BB7"/>
    <w:rsid w:val="11F6DD6C"/>
    <w:rsid w:val="120C8285"/>
    <w:rsid w:val="1222F214"/>
    <w:rsid w:val="1266B5B3"/>
    <w:rsid w:val="12680212"/>
    <w:rsid w:val="12715272"/>
    <w:rsid w:val="129389E3"/>
    <w:rsid w:val="1294602F"/>
    <w:rsid w:val="12E7922A"/>
    <w:rsid w:val="1320FF72"/>
    <w:rsid w:val="133AAF22"/>
    <w:rsid w:val="134969EC"/>
    <w:rsid w:val="1366F280"/>
    <w:rsid w:val="13DE5CFC"/>
    <w:rsid w:val="13FD121B"/>
    <w:rsid w:val="140C616A"/>
    <w:rsid w:val="1436B2C1"/>
    <w:rsid w:val="1439C6D0"/>
    <w:rsid w:val="146AEBFF"/>
    <w:rsid w:val="14931D4D"/>
    <w:rsid w:val="14EC9A18"/>
    <w:rsid w:val="14EEC123"/>
    <w:rsid w:val="15264D05"/>
    <w:rsid w:val="152BD4C9"/>
    <w:rsid w:val="15704565"/>
    <w:rsid w:val="157C01FB"/>
    <w:rsid w:val="158DF3E6"/>
    <w:rsid w:val="15975FB5"/>
    <w:rsid w:val="160A1DA6"/>
    <w:rsid w:val="16381FB0"/>
    <w:rsid w:val="1650C884"/>
    <w:rsid w:val="16B71240"/>
    <w:rsid w:val="16C7C76A"/>
    <w:rsid w:val="16EB8296"/>
    <w:rsid w:val="171A6FB9"/>
    <w:rsid w:val="1773F2D3"/>
    <w:rsid w:val="177795E1"/>
    <w:rsid w:val="17834572"/>
    <w:rsid w:val="179DCFE7"/>
    <w:rsid w:val="17A351F5"/>
    <w:rsid w:val="17C916B6"/>
    <w:rsid w:val="17CF300A"/>
    <w:rsid w:val="184F56CC"/>
    <w:rsid w:val="18BAB358"/>
    <w:rsid w:val="18C9D15E"/>
    <w:rsid w:val="18D7C380"/>
    <w:rsid w:val="18DB4604"/>
    <w:rsid w:val="190804DC"/>
    <w:rsid w:val="192BCE2E"/>
    <w:rsid w:val="193E8638"/>
    <w:rsid w:val="196B50FF"/>
    <w:rsid w:val="1973478B"/>
    <w:rsid w:val="198B40F8"/>
    <w:rsid w:val="19A372B6"/>
    <w:rsid w:val="19C271F4"/>
    <w:rsid w:val="19CE4BD8"/>
    <w:rsid w:val="19D9249B"/>
    <w:rsid w:val="19DC042E"/>
    <w:rsid w:val="19ECD76D"/>
    <w:rsid w:val="19EEB302"/>
    <w:rsid w:val="1A0ED21F"/>
    <w:rsid w:val="1A14DFD3"/>
    <w:rsid w:val="1A305FE5"/>
    <w:rsid w:val="1A3C41E7"/>
    <w:rsid w:val="1A57D6AA"/>
    <w:rsid w:val="1A922063"/>
    <w:rsid w:val="1AA90854"/>
    <w:rsid w:val="1ADCA1D3"/>
    <w:rsid w:val="1AF0BABD"/>
    <w:rsid w:val="1B0A4C57"/>
    <w:rsid w:val="1B3B6FD9"/>
    <w:rsid w:val="1B3DD597"/>
    <w:rsid w:val="1B49CA86"/>
    <w:rsid w:val="1B5F281F"/>
    <w:rsid w:val="1B60D66B"/>
    <w:rsid w:val="1B850BDC"/>
    <w:rsid w:val="1B89496B"/>
    <w:rsid w:val="1B8C16FA"/>
    <w:rsid w:val="1BCC3046"/>
    <w:rsid w:val="1BDE8F09"/>
    <w:rsid w:val="1C114AF2"/>
    <w:rsid w:val="1C62B17A"/>
    <w:rsid w:val="1C6A6A94"/>
    <w:rsid w:val="1C82C206"/>
    <w:rsid w:val="1CACBCBD"/>
    <w:rsid w:val="1CE0A72B"/>
    <w:rsid w:val="1D16C3A8"/>
    <w:rsid w:val="1D2653C4"/>
    <w:rsid w:val="1D7353CF"/>
    <w:rsid w:val="1DC065A8"/>
    <w:rsid w:val="1E192C58"/>
    <w:rsid w:val="1E21E890"/>
    <w:rsid w:val="1E390340"/>
    <w:rsid w:val="1E41ED19"/>
    <w:rsid w:val="1E485544"/>
    <w:rsid w:val="1E5DD449"/>
    <w:rsid w:val="1E713D78"/>
    <w:rsid w:val="1ED869D6"/>
    <w:rsid w:val="1EF1250E"/>
    <w:rsid w:val="1F2E74F6"/>
    <w:rsid w:val="1F387A53"/>
    <w:rsid w:val="1F594EE3"/>
    <w:rsid w:val="1F6E098E"/>
    <w:rsid w:val="1F841F0A"/>
    <w:rsid w:val="1F8F5C4E"/>
    <w:rsid w:val="1F9ECF18"/>
    <w:rsid w:val="1FD0A30C"/>
    <w:rsid w:val="2003C8A5"/>
    <w:rsid w:val="2023EA77"/>
    <w:rsid w:val="20A1A524"/>
    <w:rsid w:val="20D0A68D"/>
    <w:rsid w:val="20D44ECF"/>
    <w:rsid w:val="20DE1542"/>
    <w:rsid w:val="20EB82E8"/>
    <w:rsid w:val="20F7CDAB"/>
    <w:rsid w:val="2102F272"/>
    <w:rsid w:val="21280143"/>
    <w:rsid w:val="2140B488"/>
    <w:rsid w:val="2171A055"/>
    <w:rsid w:val="21A3DB3E"/>
    <w:rsid w:val="21B9E5E1"/>
    <w:rsid w:val="21BFF660"/>
    <w:rsid w:val="21C37267"/>
    <w:rsid w:val="21DE7896"/>
    <w:rsid w:val="21E3158F"/>
    <w:rsid w:val="220DF351"/>
    <w:rsid w:val="220F7DD2"/>
    <w:rsid w:val="2248226F"/>
    <w:rsid w:val="22584FE7"/>
    <w:rsid w:val="227556C2"/>
    <w:rsid w:val="227B6E70"/>
    <w:rsid w:val="22F47962"/>
    <w:rsid w:val="230895CE"/>
    <w:rsid w:val="230D70B6"/>
    <w:rsid w:val="23151AB2"/>
    <w:rsid w:val="232CCAF9"/>
    <w:rsid w:val="2330CB80"/>
    <w:rsid w:val="23424D99"/>
    <w:rsid w:val="23589440"/>
    <w:rsid w:val="237F14D3"/>
    <w:rsid w:val="23C032D6"/>
    <w:rsid w:val="23C31667"/>
    <w:rsid w:val="23EB3B29"/>
    <w:rsid w:val="2405A5A4"/>
    <w:rsid w:val="242D7C1D"/>
    <w:rsid w:val="24485B5C"/>
    <w:rsid w:val="245AB074"/>
    <w:rsid w:val="24A52CBC"/>
    <w:rsid w:val="24A94117"/>
    <w:rsid w:val="24BFDD0D"/>
    <w:rsid w:val="24C8A932"/>
    <w:rsid w:val="24CDA873"/>
    <w:rsid w:val="24F30731"/>
    <w:rsid w:val="253C7704"/>
    <w:rsid w:val="2549D264"/>
    <w:rsid w:val="256E228A"/>
    <w:rsid w:val="257B56E4"/>
    <w:rsid w:val="257B9DEF"/>
    <w:rsid w:val="25813F97"/>
    <w:rsid w:val="258344EE"/>
    <w:rsid w:val="258BFA43"/>
    <w:rsid w:val="259F9A13"/>
    <w:rsid w:val="25A4027E"/>
    <w:rsid w:val="25AD8E33"/>
    <w:rsid w:val="25F70251"/>
    <w:rsid w:val="26008332"/>
    <w:rsid w:val="261D0940"/>
    <w:rsid w:val="26454017"/>
    <w:rsid w:val="2651A5CA"/>
    <w:rsid w:val="267FE509"/>
    <w:rsid w:val="26A3C38E"/>
    <w:rsid w:val="26B9D242"/>
    <w:rsid w:val="2716D073"/>
    <w:rsid w:val="272537A4"/>
    <w:rsid w:val="276523F5"/>
    <w:rsid w:val="2766CD1C"/>
    <w:rsid w:val="277A00CA"/>
    <w:rsid w:val="277E08F3"/>
    <w:rsid w:val="2789222E"/>
    <w:rsid w:val="27B99C53"/>
    <w:rsid w:val="27C291A8"/>
    <w:rsid w:val="27E8CF5F"/>
    <w:rsid w:val="27FEB1FD"/>
    <w:rsid w:val="285A386C"/>
    <w:rsid w:val="286034E5"/>
    <w:rsid w:val="286225F2"/>
    <w:rsid w:val="2870739D"/>
    <w:rsid w:val="2871BFE8"/>
    <w:rsid w:val="28AE9917"/>
    <w:rsid w:val="28B44AAD"/>
    <w:rsid w:val="28B6C530"/>
    <w:rsid w:val="28BCBA46"/>
    <w:rsid w:val="28D8C6A8"/>
    <w:rsid w:val="29027270"/>
    <w:rsid w:val="29248770"/>
    <w:rsid w:val="292EE6E1"/>
    <w:rsid w:val="294DFD37"/>
    <w:rsid w:val="29A28C7F"/>
    <w:rsid w:val="2A075A28"/>
    <w:rsid w:val="2A1D9A31"/>
    <w:rsid w:val="2A24FA85"/>
    <w:rsid w:val="2A592C54"/>
    <w:rsid w:val="2A8F9BA9"/>
    <w:rsid w:val="2ABE4508"/>
    <w:rsid w:val="2AC657E9"/>
    <w:rsid w:val="2B441CE5"/>
    <w:rsid w:val="2B7D6F1B"/>
    <w:rsid w:val="2BCEF645"/>
    <w:rsid w:val="2BDB9285"/>
    <w:rsid w:val="2BEA4196"/>
    <w:rsid w:val="2C05545C"/>
    <w:rsid w:val="2C078031"/>
    <w:rsid w:val="2C20F93C"/>
    <w:rsid w:val="2C67F641"/>
    <w:rsid w:val="2C90157D"/>
    <w:rsid w:val="2CC1E0B2"/>
    <w:rsid w:val="2CD18554"/>
    <w:rsid w:val="2CDAB1A0"/>
    <w:rsid w:val="2CEDF3CA"/>
    <w:rsid w:val="2CFBC6C3"/>
    <w:rsid w:val="2D1EDD43"/>
    <w:rsid w:val="2D3C5CDC"/>
    <w:rsid w:val="2D446514"/>
    <w:rsid w:val="2D63E6EE"/>
    <w:rsid w:val="2D7B83A8"/>
    <w:rsid w:val="2D840018"/>
    <w:rsid w:val="2DC381FB"/>
    <w:rsid w:val="2DDD9D29"/>
    <w:rsid w:val="2DFA9CD6"/>
    <w:rsid w:val="2E5C5308"/>
    <w:rsid w:val="2E5D451C"/>
    <w:rsid w:val="2E69F230"/>
    <w:rsid w:val="2E835C50"/>
    <w:rsid w:val="2E932F31"/>
    <w:rsid w:val="2EAE2CFA"/>
    <w:rsid w:val="2ED78C4D"/>
    <w:rsid w:val="2F0E467B"/>
    <w:rsid w:val="2F196544"/>
    <w:rsid w:val="2F377010"/>
    <w:rsid w:val="2F6E307A"/>
    <w:rsid w:val="2F793FD1"/>
    <w:rsid w:val="2FAEE699"/>
    <w:rsid w:val="2FF79F39"/>
    <w:rsid w:val="3041A9E9"/>
    <w:rsid w:val="30B34164"/>
    <w:rsid w:val="30B3DCB8"/>
    <w:rsid w:val="30D3476F"/>
    <w:rsid w:val="30DCA3C3"/>
    <w:rsid w:val="30E1FA60"/>
    <w:rsid w:val="31089020"/>
    <w:rsid w:val="31111DC5"/>
    <w:rsid w:val="312B72A8"/>
    <w:rsid w:val="31362DC1"/>
    <w:rsid w:val="31398083"/>
    <w:rsid w:val="315C677D"/>
    <w:rsid w:val="3167A96D"/>
    <w:rsid w:val="318FB1A5"/>
    <w:rsid w:val="31D4D5B8"/>
    <w:rsid w:val="31FC2042"/>
    <w:rsid w:val="321A791B"/>
    <w:rsid w:val="3234D79F"/>
    <w:rsid w:val="324A6479"/>
    <w:rsid w:val="324EE91E"/>
    <w:rsid w:val="325F1C97"/>
    <w:rsid w:val="3269E4B0"/>
    <w:rsid w:val="32B14F96"/>
    <w:rsid w:val="32BCE807"/>
    <w:rsid w:val="32C4E226"/>
    <w:rsid w:val="330F7765"/>
    <w:rsid w:val="331925A2"/>
    <w:rsid w:val="33208192"/>
    <w:rsid w:val="332B8206"/>
    <w:rsid w:val="3348A983"/>
    <w:rsid w:val="335DE539"/>
    <w:rsid w:val="3364603E"/>
    <w:rsid w:val="3384E704"/>
    <w:rsid w:val="338D9A0B"/>
    <w:rsid w:val="338E1304"/>
    <w:rsid w:val="33CA2392"/>
    <w:rsid w:val="33FE2F16"/>
    <w:rsid w:val="341B7488"/>
    <w:rsid w:val="34342F8A"/>
    <w:rsid w:val="349D681A"/>
    <w:rsid w:val="34A3AD2A"/>
    <w:rsid w:val="34B7D286"/>
    <w:rsid w:val="34C667E4"/>
    <w:rsid w:val="35151B0C"/>
    <w:rsid w:val="3540A8FA"/>
    <w:rsid w:val="355219DD"/>
    <w:rsid w:val="355C43C0"/>
    <w:rsid w:val="3599AC15"/>
    <w:rsid w:val="35A1ECFD"/>
    <w:rsid w:val="35B826D8"/>
    <w:rsid w:val="35D6F9C5"/>
    <w:rsid w:val="35ECC8A2"/>
    <w:rsid w:val="3607BE2A"/>
    <w:rsid w:val="360E8F6E"/>
    <w:rsid w:val="36173C8F"/>
    <w:rsid w:val="361B12B3"/>
    <w:rsid w:val="3649EC6E"/>
    <w:rsid w:val="364EECC5"/>
    <w:rsid w:val="37199045"/>
    <w:rsid w:val="37237A64"/>
    <w:rsid w:val="372CA291"/>
    <w:rsid w:val="374DF737"/>
    <w:rsid w:val="37569E23"/>
    <w:rsid w:val="3776BDCB"/>
    <w:rsid w:val="37D05965"/>
    <w:rsid w:val="381DBAD0"/>
    <w:rsid w:val="38284579"/>
    <w:rsid w:val="3830A671"/>
    <w:rsid w:val="383DBB68"/>
    <w:rsid w:val="3842C0DD"/>
    <w:rsid w:val="3893B3D8"/>
    <w:rsid w:val="389AB638"/>
    <w:rsid w:val="38D1A039"/>
    <w:rsid w:val="38DDCD0F"/>
    <w:rsid w:val="3910B59C"/>
    <w:rsid w:val="391EC1A6"/>
    <w:rsid w:val="391ED89C"/>
    <w:rsid w:val="392E4AE4"/>
    <w:rsid w:val="3964660F"/>
    <w:rsid w:val="396A8A39"/>
    <w:rsid w:val="396B4CFE"/>
    <w:rsid w:val="397B8D69"/>
    <w:rsid w:val="397DF606"/>
    <w:rsid w:val="39FA8AC3"/>
    <w:rsid w:val="3A147C82"/>
    <w:rsid w:val="3A456862"/>
    <w:rsid w:val="3A5C35C3"/>
    <w:rsid w:val="3A922322"/>
    <w:rsid w:val="3ACC0EA4"/>
    <w:rsid w:val="3ACCA4A5"/>
    <w:rsid w:val="3B0888F2"/>
    <w:rsid w:val="3B14B3F4"/>
    <w:rsid w:val="3B3EC4AE"/>
    <w:rsid w:val="3B8C5D92"/>
    <w:rsid w:val="3BBEC969"/>
    <w:rsid w:val="3BE138C3"/>
    <w:rsid w:val="3C44162F"/>
    <w:rsid w:val="3C52C148"/>
    <w:rsid w:val="3CCC4440"/>
    <w:rsid w:val="3CCC50E5"/>
    <w:rsid w:val="3CD34C85"/>
    <w:rsid w:val="3CD8F717"/>
    <w:rsid w:val="3D21BE46"/>
    <w:rsid w:val="3D2A4881"/>
    <w:rsid w:val="3D379609"/>
    <w:rsid w:val="3D7455BC"/>
    <w:rsid w:val="3D76C754"/>
    <w:rsid w:val="3DD90EA2"/>
    <w:rsid w:val="3DFD1216"/>
    <w:rsid w:val="3E245958"/>
    <w:rsid w:val="3E4AC18A"/>
    <w:rsid w:val="3E5E4E40"/>
    <w:rsid w:val="3E682146"/>
    <w:rsid w:val="3EBB8AD6"/>
    <w:rsid w:val="3F326521"/>
    <w:rsid w:val="3F35E8A1"/>
    <w:rsid w:val="3F4AA501"/>
    <w:rsid w:val="3F557E4B"/>
    <w:rsid w:val="3F6E4B50"/>
    <w:rsid w:val="3FD0ACF1"/>
    <w:rsid w:val="40054B1B"/>
    <w:rsid w:val="40144A91"/>
    <w:rsid w:val="4016C514"/>
    <w:rsid w:val="40354896"/>
    <w:rsid w:val="403F32BC"/>
    <w:rsid w:val="405010BC"/>
    <w:rsid w:val="408E217B"/>
    <w:rsid w:val="4092D08A"/>
    <w:rsid w:val="40C14333"/>
    <w:rsid w:val="40ED8696"/>
    <w:rsid w:val="41292133"/>
    <w:rsid w:val="4139A563"/>
    <w:rsid w:val="4144AEEA"/>
    <w:rsid w:val="4155C311"/>
    <w:rsid w:val="417880A7"/>
    <w:rsid w:val="41AE7119"/>
    <w:rsid w:val="41E5B1CD"/>
    <w:rsid w:val="41F32B98"/>
    <w:rsid w:val="42892041"/>
    <w:rsid w:val="42CB4BAA"/>
    <w:rsid w:val="42EA8B5F"/>
    <w:rsid w:val="42F6B03C"/>
    <w:rsid w:val="43461AC6"/>
    <w:rsid w:val="43658190"/>
    <w:rsid w:val="4377D537"/>
    <w:rsid w:val="437C9FDC"/>
    <w:rsid w:val="44171E7C"/>
    <w:rsid w:val="444DF3AE"/>
    <w:rsid w:val="445353CC"/>
    <w:rsid w:val="44AAB858"/>
    <w:rsid w:val="44C288E6"/>
    <w:rsid w:val="44E6D285"/>
    <w:rsid w:val="44F7716C"/>
    <w:rsid w:val="45063D37"/>
    <w:rsid w:val="455FEEE7"/>
    <w:rsid w:val="459EE86A"/>
    <w:rsid w:val="45B810C7"/>
    <w:rsid w:val="45F32F78"/>
    <w:rsid w:val="45F7E488"/>
    <w:rsid w:val="46081AE0"/>
    <w:rsid w:val="4663887E"/>
    <w:rsid w:val="466730B9"/>
    <w:rsid w:val="46A0C9C3"/>
    <w:rsid w:val="46CA9E58"/>
    <w:rsid w:val="46EB4709"/>
    <w:rsid w:val="472597AE"/>
    <w:rsid w:val="472D3AB6"/>
    <w:rsid w:val="4760EDF5"/>
    <w:rsid w:val="4774725A"/>
    <w:rsid w:val="477697AF"/>
    <w:rsid w:val="4786445B"/>
    <w:rsid w:val="4787F724"/>
    <w:rsid w:val="478EA26C"/>
    <w:rsid w:val="4799C975"/>
    <w:rsid w:val="479B300F"/>
    <w:rsid w:val="47CE3AEA"/>
    <w:rsid w:val="4801CA7B"/>
    <w:rsid w:val="480BD4CA"/>
    <w:rsid w:val="4832B1BF"/>
    <w:rsid w:val="487386ED"/>
    <w:rsid w:val="48842414"/>
    <w:rsid w:val="488B806D"/>
    <w:rsid w:val="48DD2294"/>
    <w:rsid w:val="48DE8807"/>
    <w:rsid w:val="48FC6AA4"/>
    <w:rsid w:val="4905C0D2"/>
    <w:rsid w:val="4929ED4F"/>
    <w:rsid w:val="4943D2FC"/>
    <w:rsid w:val="4A221B4E"/>
    <w:rsid w:val="4A430369"/>
    <w:rsid w:val="4A4D5DD1"/>
    <w:rsid w:val="4A5C287D"/>
    <w:rsid w:val="4A72598D"/>
    <w:rsid w:val="4A925455"/>
    <w:rsid w:val="4A94C3DA"/>
    <w:rsid w:val="4AB21520"/>
    <w:rsid w:val="4AB3EDF9"/>
    <w:rsid w:val="4AC823C8"/>
    <w:rsid w:val="4AD9D5AE"/>
    <w:rsid w:val="4B04D87D"/>
    <w:rsid w:val="4B07CA2E"/>
    <w:rsid w:val="4B207083"/>
    <w:rsid w:val="4B309EF2"/>
    <w:rsid w:val="4B59699D"/>
    <w:rsid w:val="4B6B39D8"/>
    <w:rsid w:val="4B6D53FD"/>
    <w:rsid w:val="4B83AB6F"/>
    <w:rsid w:val="4BB24AEC"/>
    <w:rsid w:val="4BC289A4"/>
    <w:rsid w:val="4C094ACD"/>
    <w:rsid w:val="4C4DA01E"/>
    <w:rsid w:val="4C62154C"/>
    <w:rsid w:val="4C784FE1"/>
    <w:rsid w:val="4C87DE51"/>
    <w:rsid w:val="4CB10A74"/>
    <w:rsid w:val="4CE27FD0"/>
    <w:rsid w:val="4CF9ABF9"/>
    <w:rsid w:val="4D079606"/>
    <w:rsid w:val="4D0EA356"/>
    <w:rsid w:val="4D1207AF"/>
    <w:rsid w:val="4D344D14"/>
    <w:rsid w:val="4D3F702C"/>
    <w:rsid w:val="4D555F77"/>
    <w:rsid w:val="4DCE39D2"/>
    <w:rsid w:val="4DE8061E"/>
    <w:rsid w:val="4E07EA3A"/>
    <w:rsid w:val="4E158062"/>
    <w:rsid w:val="4E170FC7"/>
    <w:rsid w:val="4E2217D1"/>
    <w:rsid w:val="4E29B7DD"/>
    <w:rsid w:val="4E40BC36"/>
    <w:rsid w:val="4E5F4579"/>
    <w:rsid w:val="4E5F6658"/>
    <w:rsid w:val="4ED15A6C"/>
    <w:rsid w:val="4ED1CD2E"/>
    <w:rsid w:val="4F014DA3"/>
    <w:rsid w:val="4F3B4DD0"/>
    <w:rsid w:val="4F3FB279"/>
    <w:rsid w:val="4F45CAB0"/>
    <w:rsid w:val="4F4C9D99"/>
    <w:rsid w:val="4F68B851"/>
    <w:rsid w:val="4F99C36B"/>
    <w:rsid w:val="4FD849A0"/>
    <w:rsid w:val="4FDEFE97"/>
    <w:rsid w:val="4FF8CA83"/>
    <w:rsid w:val="50066625"/>
    <w:rsid w:val="501383FD"/>
    <w:rsid w:val="50345190"/>
    <w:rsid w:val="50874A93"/>
    <w:rsid w:val="50E70105"/>
    <w:rsid w:val="51150849"/>
    <w:rsid w:val="5123133A"/>
    <w:rsid w:val="512D67FE"/>
    <w:rsid w:val="5140CC87"/>
    <w:rsid w:val="514C7B2C"/>
    <w:rsid w:val="516C7E1D"/>
    <w:rsid w:val="51751F28"/>
    <w:rsid w:val="51966481"/>
    <w:rsid w:val="519EBF50"/>
    <w:rsid w:val="51A6AE5A"/>
    <w:rsid w:val="520173BA"/>
    <w:rsid w:val="527DB782"/>
    <w:rsid w:val="52A216FC"/>
    <w:rsid w:val="52AF585C"/>
    <w:rsid w:val="52C9CCAF"/>
    <w:rsid w:val="52D3F221"/>
    <w:rsid w:val="52ED08DA"/>
    <w:rsid w:val="5323C285"/>
    <w:rsid w:val="532DC6E3"/>
    <w:rsid w:val="533E2FDB"/>
    <w:rsid w:val="538332BF"/>
    <w:rsid w:val="5387A227"/>
    <w:rsid w:val="5388A8FA"/>
    <w:rsid w:val="539C2D24"/>
    <w:rsid w:val="54583E75"/>
    <w:rsid w:val="546C04FE"/>
    <w:rsid w:val="54B809DC"/>
    <w:rsid w:val="550CFEC6"/>
    <w:rsid w:val="5529C3C8"/>
    <w:rsid w:val="554467BB"/>
    <w:rsid w:val="55658DF9"/>
    <w:rsid w:val="55817DA2"/>
    <w:rsid w:val="55A62C59"/>
    <w:rsid w:val="55F6845D"/>
    <w:rsid w:val="5632E87E"/>
    <w:rsid w:val="5657670D"/>
    <w:rsid w:val="567A524E"/>
    <w:rsid w:val="569DD74B"/>
    <w:rsid w:val="56BF493D"/>
    <w:rsid w:val="56D281AD"/>
    <w:rsid w:val="56E6E822"/>
    <w:rsid w:val="56F1444E"/>
    <w:rsid w:val="56FC085F"/>
    <w:rsid w:val="571BC798"/>
    <w:rsid w:val="5723C716"/>
    <w:rsid w:val="57D5B90F"/>
    <w:rsid w:val="57DE2E44"/>
    <w:rsid w:val="582E15C8"/>
    <w:rsid w:val="5839A7AC"/>
    <w:rsid w:val="583C2FC5"/>
    <w:rsid w:val="58902B18"/>
    <w:rsid w:val="58B3516F"/>
    <w:rsid w:val="58D74F02"/>
    <w:rsid w:val="58E59268"/>
    <w:rsid w:val="58FAA309"/>
    <w:rsid w:val="5903CD92"/>
    <w:rsid w:val="59048279"/>
    <w:rsid w:val="590E2944"/>
    <w:rsid w:val="59302193"/>
    <w:rsid w:val="593C58DD"/>
    <w:rsid w:val="594A64B7"/>
    <w:rsid w:val="59734A2F"/>
    <w:rsid w:val="59857AF9"/>
    <w:rsid w:val="599FD51E"/>
    <w:rsid w:val="59FA40C1"/>
    <w:rsid w:val="5A1002D0"/>
    <w:rsid w:val="5A1C54F9"/>
    <w:rsid w:val="5A2F26DA"/>
    <w:rsid w:val="5A3B4976"/>
    <w:rsid w:val="5A3D815F"/>
    <w:rsid w:val="5A9C7C16"/>
    <w:rsid w:val="5AC369BB"/>
    <w:rsid w:val="5B0AA35E"/>
    <w:rsid w:val="5B65B8F3"/>
    <w:rsid w:val="5B8F2DA3"/>
    <w:rsid w:val="5B94E7C4"/>
    <w:rsid w:val="5BABD88D"/>
    <w:rsid w:val="5BBB3C31"/>
    <w:rsid w:val="5BED63B7"/>
    <w:rsid w:val="5C40398E"/>
    <w:rsid w:val="5C43B5D3"/>
    <w:rsid w:val="5C63505A"/>
    <w:rsid w:val="5C730DA2"/>
    <w:rsid w:val="5C8B645E"/>
    <w:rsid w:val="5C96C609"/>
    <w:rsid w:val="5CE24E73"/>
    <w:rsid w:val="5D19255E"/>
    <w:rsid w:val="5D1C197E"/>
    <w:rsid w:val="5D40C380"/>
    <w:rsid w:val="5D86A9DD"/>
    <w:rsid w:val="5DA1E648"/>
    <w:rsid w:val="5DA9AA80"/>
    <w:rsid w:val="5DC38862"/>
    <w:rsid w:val="5DDBDDE0"/>
    <w:rsid w:val="5DDDE8E0"/>
    <w:rsid w:val="5DF1A8E6"/>
    <w:rsid w:val="5E1C524A"/>
    <w:rsid w:val="5E1DD5DA"/>
    <w:rsid w:val="5E1EAD76"/>
    <w:rsid w:val="5E39BEBA"/>
    <w:rsid w:val="5E7190FE"/>
    <w:rsid w:val="5EA916C7"/>
    <w:rsid w:val="5EBB0425"/>
    <w:rsid w:val="5ECAB7EF"/>
    <w:rsid w:val="5EEF0677"/>
    <w:rsid w:val="5EFF9180"/>
    <w:rsid w:val="5F201DD3"/>
    <w:rsid w:val="5F684292"/>
    <w:rsid w:val="5F750A7E"/>
    <w:rsid w:val="5F77AE41"/>
    <w:rsid w:val="5F971BE2"/>
    <w:rsid w:val="602AAC08"/>
    <w:rsid w:val="6034E29B"/>
    <w:rsid w:val="604FB16D"/>
    <w:rsid w:val="607231A3"/>
    <w:rsid w:val="608D6FA8"/>
    <w:rsid w:val="60A27DD6"/>
    <w:rsid w:val="60C31111"/>
    <w:rsid w:val="60F270ED"/>
    <w:rsid w:val="612F4AF4"/>
    <w:rsid w:val="612F7A72"/>
    <w:rsid w:val="61528FDE"/>
    <w:rsid w:val="616A66F8"/>
    <w:rsid w:val="61AFCA77"/>
    <w:rsid w:val="61C37996"/>
    <w:rsid w:val="61C93A43"/>
    <w:rsid w:val="61D52080"/>
    <w:rsid w:val="61D8746B"/>
    <w:rsid w:val="61F75450"/>
    <w:rsid w:val="624009EB"/>
    <w:rsid w:val="6273A660"/>
    <w:rsid w:val="6291142E"/>
    <w:rsid w:val="62DEDEF8"/>
    <w:rsid w:val="632A710E"/>
    <w:rsid w:val="63409BAF"/>
    <w:rsid w:val="63569F26"/>
    <w:rsid w:val="63B11B26"/>
    <w:rsid w:val="63B54AE0"/>
    <w:rsid w:val="63DC51D7"/>
    <w:rsid w:val="649E3E25"/>
    <w:rsid w:val="64A0AADB"/>
    <w:rsid w:val="64ACC86A"/>
    <w:rsid w:val="64B7FAA1"/>
    <w:rsid w:val="64BA6B74"/>
    <w:rsid w:val="64C6149E"/>
    <w:rsid w:val="64DBF822"/>
    <w:rsid w:val="65256AA6"/>
    <w:rsid w:val="657AAFDD"/>
    <w:rsid w:val="65979391"/>
    <w:rsid w:val="659A8E09"/>
    <w:rsid w:val="659E65C8"/>
    <w:rsid w:val="65B16BCC"/>
    <w:rsid w:val="65B67A95"/>
    <w:rsid w:val="66236B47"/>
    <w:rsid w:val="663E617D"/>
    <w:rsid w:val="66919A9A"/>
    <w:rsid w:val="66ADB81A"/>
    <w:rsid w:val="66CF7334"/>
    <w:rsid w:val="66D207E7"/>
    <w:rsid w:val="66D598A5"/>
    <w:rsid w:val="66E742BD"/>
    <w:rsid w:val="67610946"/>
    <w:rsid w:val="67A05987"/>
    <w:rsid w:val="67AB8FC3"/>
    <w:rsid w:val="67B16892"/>
    <w:rsid w:val="67F56333"/>
    <w:rsid w:val="6805BC0B"/>
    <w:rsid w:val="68073029"/>
    <w:rsid w:val="68141163"/>
    <w:rsid w:val="6814F392"/>
    <w:rsid w:val="682FC4F7"/>
    <w:rsid w:val="68354CBB"/>
    <w:rsid w:val="686B4D7B"/>
    <w:rsid w:val="68818E87"/>
    <w:rsid w:val="692F77E5"/>
    <w:rsid w:val="69B212B3"/>
    <w:rsid w:val="69C50CFE"/>
    <w:rsid w:val="6A02CAE5"/>
    <w:rsid w:val="6A77D7CC"/>
    <w:rsid w:val="6A8D8862"/>
    <w:rsid w:val="6AAA3954"/>
    <w:rsid w:val="6AD11FC4"/>
    <w:rsid w:val="6AD7CF1C"/>
    <w:rsid w:val="6AD841EF"/>
    <w:rsid w:val="6AEF9E63"/>
    <w:rsid w:val="6B49CB7E"/>
    <w:rsid w:val="6B6A5BDC"/>
    <w:rsid w:val="6B7341F3"/>
    <w:rsid w:val="6BC81E1F"/>
    <w:rsid w:val="6BEBACE8"/>
    <w:rsid w:val="6BF4D313"/>
    <w:rsid w:val="6BFA796E"/>
    <w:rsid w:val="6C7C5583"/>
    <w:rsid w:val="6C9027AD"/>
    <w:rsid w:val="6CCD267E"/>
    <w:rsid w:val="6CFBD328"/>
    <w:rsid w:val="6D24FB0B"/>
    <w:rsid w:val="6D25F783"/>
    <w:rsid w:val="6D2A8A0F"/>
    <w:rsid w:val="6D36D6C6"/>
    <w:rsid w:val="6D568441"/>
    <w:rsid w:val="6D6F80FE"/>
    <w:rsid w:val="6D7BBB2A"/>
    <w:rsid w:val="6DD73775"/>
    <w:rsid w:val="6DF93C0B"/>
    <w:rsid w:val="6E72448E"/>
    <w:rsid w:val="6E8D8D59"/>
    <w:rsid w:val="6E94B2C1"/>
    <w:rsid w:val="6E9BC673"/>
    <w:rsid w:val="6E9C4BF2"/>
    <w:rsid w:val="6EBCCF3C"/>
    <w:rsid w:val="6F00BE7F"/>
    <w:rsid w:val="6F0460F3"/>
    <w:rsid w:val="6F61514F"/>
    <w:rsid w:val="6F6CCBE3"/>
    <w:rsid w:val="6FABB312"/>
    <w:rsid w:val="6FB208C5"/>
    <w:rsid w:val="6FC52BC3"/>
    <w:rsid w:val="6FCAF2C7"/>
    <w:rsid w:val="6FD6437D"/>
    <w:rsid w:val="70255351"/>
    <w:rsid w:val="70715F62"/>
    <w:rsid w:val="709F7605"/>
    <w:rsid w:val="70D9F6F6"/>
    <w:rsid w:val="70DC0069"/>
    <w:rsid w:val="70DE37D7"/>
    <w:rsid w:val="70E5B7D1"/>
    <w:rsid w:val="71379432"/>
    <w:rsid w:val="713809D0"/>
    <w:rsid w:val="71393E0B"/>
    <w:rsid w:val="714A7507"/>
    <w:rsid w:val="71627116"/>
    <w:rsid w:val="71703346"/>
    <w:rsid w:val="718F26BE"/>
    <w:rsid w:val="719CAB1B"/>
    <w:rsid w:val="71C295B0"/>
    <w:rsid w:val="71C3C50A"/>
    <w:rsid w:val="71F06AC1"/>
    <w:rsid w:val="71F9C2DF"/>
    <w:rsid w:val="722AC1AE"/>
    <w:rsid w:val="7232A90E"/>
    <w:rsid w:val="724549AD"/>
    <w:rsid w:val="724778B2"/>
    <w:rsid w:val="7269C154"/>
    <w:rsid w:val="7282E9B1"/>
    <w:rsid w:val="7315272A"/>
    <w:rsid w:val="7356421C"/>
    <w:rsid w:val="73858357"/>
    <w:rsid w:val="73A5E94C"/>
    <w:rsid w:val="740591B5"/>
    <w:rsid w:val="740C5481"/>
    <w:rsid w:val="7418F438"/>
    <w:rsid w:val="741F66B2"/>
    <w:rsid w:val="7491E80B"/>
    <w:rsid w:val="75251687"/>
    <w:rsid w:val="757F5208"/>
    <w:rsid w:val="75824744"/>
    <w:rsid w:val="758710E7"/>
    <w:rsid w:val="762986A5"/>
    <w:rsid w:val="764137BB"/>
    <w:rsid w:val="76C3DBE4"/>
    <w:rsid w:val="76C6BA6A"/>
    <w:rsid w:val="76D29B45"/>
    <w:rsid w:val="76E58560"/>
    <w:rsid w:val="76F27744"/>
    <w:rsid w:val="770EB789"/>
    <w:rsid w:val="770F6774"/>
    <w:rsid w:val="771F4CE9"/>
    <w:rsid w:val="7748FBCF"/>
    <w:rsid w:val="77707196"/>
    <w:rsid w:val="77910E89"/>
    <w:rsid w:val="77B3275C"/>
    <w:rsid w:val="77C612C1"/>
    <w:rsid w:val="77D52DC6"/>
    <w:rsid w:val="77DDAA02"/>
    <w:rsid w:val="77E52132"/>
    <w:rsid w:val="77F29171"/>
    <w:rsid w:val="78035B67"/>
    <w:rsid w:val="7803CC77"/>
    <w:rsid w:val="78195705"/>
    <w:rsid w:val="784AE626"/>
    <w:rsid w:val="7874C11A"/>
    <w:rsid w:val="787695E5"/>
    <w:rsid w:val="789C3371"/>
    <w:rsid w:val="78D6D8EC"/>
    <w:rsid w:val="78DB6071"/>
    <w:rsid w:val="78F59BBE"/>
    <w:rsid w:val="7906B1B8"/>
    <w:rsid w:val="790DF511"/>
    <w:rsid w:val="79270A2A"/>
    <w:rsid w:val="7942A617"/>
    <w:rsid w:val="795C0BDB"/>
    <w:rsid w:val="7965DE4A"/>
    <w:rsid w:val="796CA06C"/>
    <w:rsid w:val="79F0FFC6"/>
    <w:rsid w:val="79FA447F"/>
    <w:rsid w:val="7A46584B"/>
    <w:rsid w:val="7A486F07"/>
    <w:rsid w:val="7A594C70"/>
    <w:rsid w:val="7A6E4FA0"/>
    <w:rsid w:val="7AA59F21"/>
    <w:rsid w:val="7AE75C5B"/>
    <w:rsid w:val="7B0E375E"/>
    <w:rsid w:val="7B2D2137"/>
    <w:rsid w:val="7B50A4EB"/>
    <w:rsid w:val="7B5B0631"/>
    <w:rsid w:val="7BA9D8BD"/>
    <w:rsid w:val="7BBEECC1"/>
    <w:rsid w:val="7BC71770"/>
    <w:rsid w:val="7BD540AA"/>
    <w:rsid w:val="7BE2D897"/>
    <w:rsid w:val="7C00076C"/>
    <w:rsid w:val="7C0AEB71"/>
    <w:rsid w:val="7C10A39A"/>
    <w:rsid w:val="7C6542D8"/>
    <w:rsid w:val="7CD7749C"/>
    <w:rsid w:val="7CEBF35A"/>
    <w:rsid w:val="7D2FAEB4"/>
    <w:rsid w:val="7D384450"/>
    <w:rsid w:val="7D560C09"/>
    <w:rsid w:val="7D6B2AE6"/>
    <w:rsid w:val="7D7EA8F8"/>
    <w:rsid w:val="7D98D568"/>
    <w:rsid w:val="7DE58BEB"/>
    <w:rsid w:val="7E0928C9"/>
    <w:rsid w:val="7E3A5EE1"/>
    <w:rsid w:val="7E7BA0A2"/>
    <w:rsid w:val="7E92B6E4"/>
    <w:rsid w:val="7EA036EE"/>
    <w:rsid w:val="7EAFE006"/>
    <w:rsid w:val="7EE4D72A"/>
    <w:rsid w:val="7F0C0882"/>
    <w:rsid w:val="7F2D963E"/>
    <w:rsid w:val="7F3ECB6B"/>
    <w:rsid w:val="7F490B68"/>
    <w:rsid w:val="7F544ACB"/>
    <w:rsid w:val="7F6BCEDA"/>
    <w:rsid w:val="7F98BF3E"/>
    <w:rsid w:val="7FC0920D"/>
    <w:rsid w:val="7FE5D9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24ADA"/>
  <w15:chartTrackingRefBased/>
  <w15:docId w15:val="{359968D2-4CCB-4970-B26F-EAA3346F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590C"/>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6F3AE7"/>
    <w:pPr>
      <w:spacing w:before="240"/>
      <w:outlineLvl w:val="1"/>
    </w:pPr>
    <w:rPr>
      <w:b/>
      <w:i/>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90C"/>
    <w:rPr>
      <w:rFonts w:ascii="Segoe UI" w:eastAsia="Times New Roman" w:hAnsi="Segoe UI" w:cs="Segoe UI"/>
      <w:sz w:val="18"/>
      <w:szCs w:val="18"/>
    </w:rPr>
  </w:style>
  <w:style w:type="paragraph" w:styleId="ListParagraph">
    <w:name w:val="List Paragraph"/>
    <w:aliases w:val="Recommendatio,Párrafo de lista,Recommendation,OBC Bullet,Dot pt,F5 List Paragraph,List Paragraph1,No Spacing1,List Paragraph Char Char Char,Indicator Text,Colorful List - Accent 11,Numbered Para 1,Bullet 1,Bullet Points,List Paragraph2,L"/>
    <w:basedOn w:val="Normal"/>
    <w:link w:val="ListParagraphChar"/>
    <w:uiPriority w:val="34"/>
    <w:qFormat/>
    <w:rsid w:val="0010590C"/>
    <w:pPr>
      <w:spacing w:after="240"/>
      <w:ind w:left="720"/>
      <w:contextualSpacing/>
    </w:pPr>
    <w:rPr>
      <w:szCs w:val="20"/>
      <w:lang w:eastAsia="en-GB"/>
    </w:rPr>
  </w:style>
  <w:style w:type="character" w:customStyle="1" w:styleId="ListParagraphChar">
    <w:name w:val="List Paragraph Char"/>
    <w:aliases w:val="Recommendatio Char,Párrafo de lista Char,Recommendation Char,OBC Bullet Char,Dot pt Char,F5 List Paragraph Char,List Paragraph1 Char,No Spacing1 Char,List Paragraph Char Char Char Char,Indicator Text Char,Numbered Para 1 Char,L Char"/>
    <w:basedOn w:val="DefaultParagraphFont"/>
    <w:link w:val="ListParagraph"/>
    <w:uiPriority w:val="34"/>
    <w:qFormat/>
    <w:locked/>
    <w:rsid w:val="0010590C"/>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6F3AE7"/>
    <w:rPr>
      <w:rFonts w:ascii="Arial" w:eastAsia="Times New Roman" w:hAnsi="Arial" w:cs="Times New Roman"/>
      <w:b/>
      <w:i/>
      <w:kern w:val="28"/>
      <w:sz w:val="28"/>
      <w:szCs w:val="28"/>
    </w:rPr>
  </w:style>
  <w:style w:type="table" w:styleId="TableGrid">
    <w:name w:val="Table Grid"/>
    <w:basedOn w:val="TableNormal"/>
    <w:rsid w:val="006F3A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F3AE7"/>
    <w:rPr>
      <w:color w:val="0563C1" w:themeColor="hyperlink"/>
      <w:u w:val="single"/>
    </w:rPr>
  </w:style>
  <w:style w:type="paragraph" w:styleId="Header">
    <w:name w:val="header"/>
    <w:basedOn w:val="Normal"/>
    <w:link w:val="HeaderChar"/>
    <w:uiPriority w:val="99"/>
    <w:unhideWhenUsed/>
    <w:rsid w:val="006E5785"/>
    <w:pPr>
      <w:tabs>
        <w:tab w:val="center" w:pos="4513"/>
        <w:tab w:val="right" w:pos="9026"/>
      </w:tabs>
    </w:pPr>
  </w:style>
  <w:style w:type="character" w:customStyle="1" w:styleId="HeaderChar">
    <w:name w:val="Header Char"/>
    <w:basedOn w:val="DefaultParagraphFont"/>
    <w:link w:val="Header"/>
    <w:uiPriority w:val="99"/>
    <w:rsid w:val="006E5785"/>
    <w:rPr>
      <w:rFonts w:ascii="Arial" w:eastAsia="Times New Roman" w:hAnsi="Arial" w:cs="Times New Roman"/>
      <w:sz w:val="24"/>
      <w:szCs w:val="24"/>
    </w:rPr>
  </w:style>
  <w:style w:type="paragraph" w:styleId="Footer">
    <w:name w:val="footer"/>
    <w:basedOn w:val="Normal"/>
    <w:link w:val="FooterChar"/>
    <w:uiPriority w:val="99"/>
    <w:unhideWhenUsed/>
    <w:rsid w:val="006E5785"/>
    <w:pPr>
      <w:tabs>
        <w:tab w:val="center" w:pos="4513"/>
        <w:tab w:val="right" w:pos="9026"/>
      </w:tabs>
    </w:pPr>
  </w:style>
  <w:style w:type="character" w:customStyle="1" w:styleId="FooterChar">
    <w:name w:val="Footer Char"/>
    <w:basedOn w:val="DefaultParagraphFont"/>
    <w:link w:val="Footer"/>
    <w:uiPriority w:val="99"/>
    <w:rsid w:val="006E5785"/>
    <w:rPr>
      <w:rFonts w:ascii="Arial" w:eastAsia="Times New Roman" w:hAnsi="Arial" w:cs="Times New Roman"/>
      <w:sz w:val="24"/>
      <w:szCs w:val="24"/>
    </w:rPr>
  </w:style>
  <w:style w:type="character" w:styleId="UnresolvedMention">
    <w:name w:val="Unresolved Mention"/>
    <w:basedOn w:val="DefaultParagraphFont"/>
    <w:uiPriority w:val="99"/>
    <w:unhideWhenUsed/>
    <w:rsid w:val="00B308C2"/>
    <w:rPr>
      <w:color w:val="605E5C"/>
      <w:shd w:val="clear" w:color="auto" w:fill="E1DFDD"/>
    </w:rPr>
  </w:style>
  <w:style w:type="character" w:styleId="CommentReference">
    <w:name w:val="annotation reference"/>
    <w:basedOn w:val="DefaultParagraphFont"/>
    <w:uiPriority w:val="99"/>
    <w:unhideWhenUsed/>
    <w:rsid w:val="000F5ADB"/>
    <w:rPr>
      <w:sz w:val="16"/>
      <w:szCs w:val="16"/>
    </w:rPr>
  </w:style>
  <w:style w:type="paragraph" w:styleId="CommentText">
    <w:name w:val="annotation text"/>
    <w:basedOn w:val="Normal"/>
    <w:link w:val="CommentTextChar"/>
    <w:uiPriority w:val="99"/>
    <w:unhideWhenUsed/>
    <w:rsid w:val="000F5ADB"/>
    <w:rPr>
      <w:sz w:val="20"/>
      <w:szCs w:val="20"/>
    </w:rPr>
  </w:style>
  <w:style w:type="character" w:customStyle="1" w:styleId="CommentTextChar">
    <w:name w:val="Comment Text Char"/>
    <w:basedOn w:val="DefaultParagraphFont"/>
    <w:link w:val="CommentText"/>
    <w:uiPriority w:val="99"/>
    <w:rsid w:val="000F5AD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F5ADB"/>
    <w:rPr>
      <w:b/>
      <w:bCs/>
    </w:rPr>
  </w:style>
  <w:style w:type="character" w:customStyle="1" w:styleId="CommentSubjectChar">
    <w:name w:val="Comment Subject Char"/>
    <w:basedOn w:val="CommentTextChar"/>
    <w:link w:val="CommentSubject"/>
    <w:uiPriority w:val="99"/>
    <w:semiHidden/>
    <w:rsid w:val="000F5ADB"/>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C1525D"/>
    <w:rPr>
      <w:color w:val="954F72" w:themeColor="followedHyperlink"/>
      <w:u w:val="single"/>
    </w:rPr>
  </w:style>
  <w:style w:type="character" w:customStyle="1" w:styleId="normaltextrun">
    <w:name w:val="normaltextrun"/>
    <w:basedOn w:val="DefaultParagraphFont"/>
    <w:uiPriority w:val="1"/>
    <w:rsid w:val="50E70105"/>
  </w:style>
  <w:style w:type="paragraph" w:customStyle="1" w:styleId="Normal1">
    <w:name w:val="Normal1"/>
    <w:basedOn w:val="Normal"/>
    <w:uiPriority w:val="1"/>
    <w:rsid w:val="0D311865"/>
    <w:rPr>
      <w:rFonts w:eastAsia="Arial" w:cs="Arial"/>
      <w:color w:val="000000" w:themeColor="text1"/>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eop">
    <w:name w:val="eop"/>
    <w:basedOn w:val="DefaultParagraphFont"/>
    <w:rsid w:val="00641CC6"/>
  </w:style>
  <w:style w:type="paragraph" w:customStyle="1" w:styleId="paragraph">
    <w:name w:val="paragraph"/>
    <w:basedOn w:val="Normal"/>
    <w:rsid w:val="001B6434"/>
    <w:pPr>
      <w:spacing w:before="100" w:beforeAutospacing="1" w:after="100" w:afterAutospacing="1"/>
    </w:pPr>
    <w:rPr>
      <w:rFonts w:ascii="Times New Roman" w:hAnsi="Times New Roman"/>
      <w:lang w:eastAsia="en-GB"/>
    </w:rPr>
  </w:style>
  <w:style w:type="character" w:styleId="Mention">
    <w:name w:val="Mention"/>
    <w:basedOn w:val="DefaultParagraphFont"/>
    <w:uiPriority w:val="99"/>
    <w:unhideWhenUsed/>
    <w:rPr>
      <w:color w:val="2B579A"/>
      <w:shd w:val="clear" w:color="auto" w:fill="E6E6E6"/>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E05228"/>
    <w:pPr>
      <w:spacing w:after="0" w:line="240" w:lineRule="auto"/>
    </w:pPr>
    <w:rPr>
      <w:rFonts w:ascii="Arial" w:eastAsia="Times New Roman" w:hAnsi="Arial" w:cs="Times New Roman"/>
      <w:sz w:val="24"/>
      <w:szCs w:val="24"/>
    </w:rPr>
  </w:style>
  <w:style w:type="character" w:customStyle="1" w:styleId="cf01">
    <w:name w:val="cf01"/>
    <w:basedOn w:val="DefaultParagraphFont"/>
    <w:rsid w:val="00742149"/>
    <w:rPr>
      <w:rFonts w:ascii="Segoe UI" w:hAnsi="Segoe UI" w:cs="Segoe UI" w:hint="default"/>
      <w:sz w:val="18"/>
      <w:szCs w:val="18"/>
    </w:rPr>
  </w:style>
  <w:style w:type="paragraph" w:styleId="FootnoteText">
    <w:name w:val="footnote text"/>
    <w:basedOn w:val="Normal"/>
    <w:link w:val="FootnoteTextChar"/>
    <w:uiPriority w:val="99"/>
    <w:semiHidden/>
    <w:unhideWhenUsed/>
    <w:rsid w:val="00CB581B"/>
    <w:rPr>
      <w:sz w:val="20"/>
      <w:szCs w:val="20"/>
    </w:rPr>
  </w:style>
  <w:style w:type="character" w:customStyle="1" w:styleId="FootnoteTextChar">
    <w:name w:val="Footnote Text Char"/>
    <w:basedOn w:val="DefaultParagraphFont"/>
    <w:link w:val="FootnoteText"/>
    <w:uiPriority w:val="99"/>
    <w:semiHidden/>
    <w:rsid w:val="00CB581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B581B"/>
    <w:rPr>
      <w:vertAlign w:val="superscript"/>
    </w:rPr>
  </w:style>
  <w:style w:type="paragraph" w:customStyle="1" w:styleId="Default">
    <w:name w:val="Default"/>
    <w:rsid w:val="005017B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49188">
      <w:bodyDiv w:val="1"/>
      <w:marLeft w:val="0"/>
      <w:marRight w:val="0"/>
      <w:marTop w:val="0"/>
      <w:marBottom w:val="0"/>
      <w:divBdr>
        <w:top w:val="none" w:sz="0" w:space="0" w:color="auto"/>
        <w:left w:val="none" w:sz="0" w:space="0" w:color="auto"/>
        <w:bottom w:val="none" w:sz="0" w:space="0" w:color="auto"/>
        <w:right w:val="none" w:sz="0" w:space="0" w:color="auto"/>
      </w:divBdr>
    </w:div>
    <w:div w:id="718170730">
      <w:bodyDiv w:val="1"/>
      <w:marLeft w:val="0"/>
      <w:marRight w:val="0"/>
      <w:marTop w:val="0"/>
      <w:marBottom w:val="0"/>
      <w:divBdr>
        <w:top w:val="none" w:sz="0" w:space="0" w:color="auto"/>
        <w:left w:val="none" w:sz="0" w:space="0" w:color="auto"/>
        <w:bottom w:val="none" w:sz="0" w:space="0" w:color="auto"/>
        <w:right w:val="none" w:sz="0" w:space="0" w:color="auto"/>
      </w:divBdr>
      <w:divsChild>
        <w:div w:id="2363440">
          <w:marLeft w:val="0"/>
          <w:marRight w:val="0"/>
          <w:marTop w:val="0"/>
          <w:marBottom w:val="0"/>
          <w:divBdr>
            <w:top w:val="none" w:sz="0" w:space="0" w:color="auto"/>
            <w:left w:val="none" w:sz="0" w:space="0" w:color="auto"/>
            <w:bottom w:val="none" w:sz="0" w:space="0" w:color="auto"/>
            <w:right w:val="none" w:sz="0" w:space="0" w:color="auto"/>
          </w:divBdr>
          <w:divsChild>
            <w:div w:id="894126675">
              <w:marLeft w:val="0"/>
              <w:marRight w:val="0"/>
              <w:marTop w:val="0"/>
              <w:marBottom w:val="0"/>
              <w:divBdr>
                <w:top w:val="none" w:sz="0" w:space="0" w:color="auto"/>
                <w:left w:val="none" w:sz="0" w:space="0" w:color="auto"/>
                <w:bottom w:val="none" w:sz="0" w:space="0" w:color="auto"/>
                <w:right w:val="none" w:sz="0" w:space="0" w:color="auto"/>
              </w:divBdr>
            </w:div>
          </w:divsChild>
        </w:div>
        <w:div w:id="316610133">
          <w:marLeft w:val="0"/>
          <w:marRight w:val="0"/>
          <w:marTop w:val="0"/>
          <w:marBottom w:val="0"/>
          <w:divBdr>
            <w:top w:val="none" w:sz="0" w:space="0" w:color="auto"/>
            <w:left w:val="none" w:sz="0" w:space="0" w:color="auto"/>
            <w:bottom w:val="none" w:sz="0" w:space="0" w:color="auto"/>
            <w:right w:val="none" w:sz="0" w:space="0" w:color="auto"/>
          </w:divBdr>
          <w:divsChild>
            <w:div w:id="346643940">
              <w:marLeft w:val="0"/>
              <w:marRight w:val="0"/>
              <w:marTop w:val="0"/>
              <w:marBottom w:val="0"/>
              <w:divBdr>
                <w:top w:val="none" w:sz="0" w:space="0" w:color="auto"/>
                <w:left w:val="none" w:sz="0" w:space="0" w:color="auto"/>
                <w:bottom w:val="none" w:sz="0" w:space="0" w:color="auto"/>
                <w:right w:val="none" w:sz="0" w:space="0" w:color="auto"/>
              </w:divBdr>
            </w:div>
          </w:divsChild>
        </w:div>
        <w:div w:id="351231015">
          <w:marLeft w:val="0"/>
          <w:marRight w:val="0"/>
          <w:marTop w:val="0"/>
          <w:marBottom w:val="0"/>
          <w:divBdr>
            <w:top w:val="none" w:sz="0" w:space="0" w:color="auto"/>
            <w:left w:val="none" w:sz="0" w:space="0" w:color="auto"/>
            <w:bottom w:val="none" w:sz="0" w:space="0" w:color="auto"/>
            <w:right w:val="none" w:sz="0" w:space="0" w:color="auto"/>
          </w:divBdr>
          <w:divsChild>
            <w:div w:id="951666503">
              <w:marLeft w:val="0"/>
              <w:marRight w:val="0"/>
              <w:marTop w:val="0"/>
              <w:marBottom w:val="0"/>
              <w:divBdr>
                <w:top w:val="none" w:sz="0" w:space="0" w:color="auto"/>
                <w:left w:val="none" w:sz="0" w:space="0" w:color="auto"/>
                <w:bottom w:val="none" w:sz="0" w:space="0" w:color="auto"/>
                <w:right w:val="none" w:sz="0" w:space="0" w:color="auto"/>
              </w:divBdr>
            </w:div>
          </w:divsChild>
        </w:div>
        <w:div w:id="377358473">
          <w:marLeft w:val="0"/>
          <w:marRight w:val="0"/>
          <w:marTop w:val="0"/>
          <w:marBottom w:val="0"/>
          <w:divBdr>
            <w:top w:val="none" w:sz="0" w:space="0" w:color="auto"/>
            <w:left w:val="none" w:sz="0" w:space="0" w:color="auto"/>
            <w:bottom w:val="none" w:sz="0" w:space="0" w:color="auto"/>
            <w:right w:val="none" w:sz="0" w:space="0" w:color="auto"/>
          </w:divBdr>
          <w:divsChild>
            <w:div w:id="1631134119">
              <w:marLeft w:val="0"/>
              <w:marRight w:val="0"/>
              <w:marTop w:val="0"/>
              <w:marBottom w:val="0"/>
              <w:divBdr>
                <w:top w:val="none" w:sz="0" w:space="0" w:color="auto"/>
                <w:left w:val="none" w:sz="0" w:space="0" w:color="auto"/>
                <w:bottom w:val="none" w:sz="0" w:space="0" w:color="auto"/>
                <w:right w:val="none" w:sz="0" w:space="0" w:color="auto"/>
              </w:divBdr>
            </w:div>
          </w:divsChild>
        </w:div>
        <w:div w:id="530067457">
          <w:marLeft w:val="0"/>
          <w:marRight w:val="0"/>
          <w:marTop w:val="0"/>
          <w:marBottom w:val="0"/>
          <w:divBdr>
            <w:top w:val="none" w:sz="0" w:space="0" w:color="auto"/>
            <w:left w:val="none" w:sz="0" w:space="0" w:color="auto"/>
            <w:bottom w:val="none" w:sz="0" w:space="0" w:color="auto"/>
            <w:right w:val="none" w:sz="0" w:space="0" w:color="auto"/>
          </w:divBdr>
          <w:divsChild>
            <w:div w:id="530071701">
              <w:marLeft w:val="0"/>
              <w:marRight w:val="0"/>
              <w:marTop w:val="0"/>
              <w:marBottom w:val="0"/>
              <w:divBdr>
                <w:top w:val="none" w:sz="0" w:space="0" w:color="auto"/>
                <w:left w:val="none" w:sz="0" w:space="0" w:color="auto"/>
                <w:bottom w:val="none" w:sz="0" w:space="0" w:color="auto"/>
                <w:right w:val="none" w:sz="0" w:space="0" w:color="auto"/>
              </w:divBdr>
            </w:div>
          </w:divsChild>
        </w:div>
        <w:div w:id="573123524">
          <w:marLeft w:val="0"/>
          <w:marRight w:val="0"/>
          <w:marTop w:val="0"/>
          <w:marBottom w:val="0"/>
          <w:divBdr>
            <w:top w:val="none" w:sz="0" w:space="0" w:color="auto"/>
            <w:left w:val="none" w:sz="0" w:space="0" w:color="auto"/>
            <w:bottom w:val="none" w:sz="0" w:space="0" w:color="auto"/>
            <w:right w:val="none" w:sz="0" w:space="0" w:color="auto"/>
          </w:divBdr>
          <w:divsChild>
            <w:div w:id="488400303">
              <w:marLeft w:val="0"/>
              <w:marRight w:val="0"/>
              <w:marTop w:val="0"/>
              <w:marBottom w:val="0"/>
              <w:divBdr>
                <w:top w:val="none" w:sz="0" w:space="0" w:color="auto"/>
                <w:left w:val="none" w:sz="0" w:space="0" w:color="auto"/>
                <w:bottom w:val="none" w:sz="0" w:space="0" w:color="auto"/>
                <w:right w:val="none" w:sz="0" w:space="0" w:color="auto"/>
              </w:divBdr>
            </w:div>
          </w:divsChild>
        </w:div>
        <w:div w:id="616645052">
          <w:marLeft w:val="0"/>
          <w:marRight w:val="0"/>
          <w:marTop w:val="0"/>
          <w:marBottom w:val="0"/>
          <w:divBdr>
            <w:top w:val="none" w:sz="0" w:space="0" w:color="auto"/>
            <w:left w:val="none" w:sz="0" w:space="0" w:color="auto"/>
            <w:bottom w:val="none" w:sz="0" w:space="0" w:color="auto"/>
            <w:right w:val="none" w:sz="0" w:space="0" w:color="auto"/>
          </w:divBdr>
          <w:divsChild>
            <w:div w:id="1523779625">
              <w:marLeft w:val="0"/>
              <w:marRight w:val="0"/>
              <w:marTop w:val="0"/>
              <w:marBottom w:val="0"/>
              <w:divBdr>
                <w:top w:val="none" w:sz="0" w:space="0" w:color="auto"/>
                <w:left w:val="none" w:sz="0" w:space="0" w:color="auto"/>
                <w:bottom w:val="none" w:sz="0" w:space="0" w:color="auto"/>
                <w:right w:val="none" w:sz="0" w:space="0" w:color="auto"/>
              </w:divBdr>
            </w:div>
          </w:divsChild>
        </w:div>
        <w:div w:id="791483946">
          <w:marLeft w:val="0"/>
          <w:marRight w:val="0"/>
          <w:marTop w:val="0"/>
          <w:marBottom w:val="0"/>
          <w:divBdr>
            <w:top w:val="none" w:sz="0" w:space="0" w:color="auto"/>
            <w:left w:val="none" w:sz="0" w:space="0" w:color="auto"/>
            <w:bottom w:val="none" w:sz="0" w:space="0" w:color="auto"/>
            <w:right w:val="none" w:sz="0" w:space="0" w:color="auto"/>
          </w:divBdr>
          <w:divsChild>
            <w:div w:id="487669602">
              <w:marLeft w:val="0"/>
              <w:marRight w:val="0"/>
              <w:marTop w:val="0"/>
              <w:marBottom w:val="0"/>
              <w:divBdr>
                <w:top w:val="none" w:sz="0" w:space="0" w:color="auto"/>
                <w:left w:val="none" w:sz="0" w:space="0" w:color="auto"/>
                <w:bottom w:val="none" w:sz="0" w:space="0" w:color="auto"/>
                <w:right w:val="none" w:sz="0" w:space="0" w:color="auto"/>
              </w:divBdr>
            </w:div>
          </w:divsChild>
        </w:div>
        <w:div w:id="967011546">
          <w:marLeft w:val="0"/>
          <w:marRight w:val="0"/>
          <w:marTop w:val="0"/>
          <w:marBottom w:val="0"/>
          <w:divBdr>
            <w:top w:val="none" w:sz="0" w:space="0" w:color="auto"/>
            <w:left w:val="none" w:sz="0" w:space="0" w:color="auto"/>
            <w:bottom w:val="none" w:sz="0" w:space="0" w:color="auto"/>
            <w:right w:val="none" w:sz="0" w:space="0" w:color="auto"/>
          </w:divBdr>
          <w:divsChild>
            <w:div w:id="634724399">
              <w:marLeft w:val="0"/>
              <w:marRight w:val="0"/>
              <w:marTop w:val="0"/>
              <w:marBottom w:val="0"/>
              <w:divBdr>
                <w:top w:val="none" w:sz="0" w:space="0" w:color="auto"/>
                <w:left w:val="none" w:sz="0" w:space="0" w:color="auto"/>
                <w:bottom w:val="none" w:sz="0" w:space="0" w:color="auto"/>
                <w:right w:val="none" w:sz="0" w:space="0" w:color="auto"/>
              </w:divBdr>
            </w:div>
          </w:divsChild>
        </w:div>
        <w:div w:id="1005939139">
          <w:marLeft w:val="0"/>
          <w:marRight w:val="0"/>
          <w:marTop w:val="0"/>
          <w:marBottom w:val="0"/>
          <w:divBdr>
            <w:top w:val="none" w:sz="0" w:space="0" w:color="auto"/>
            <w:left w:val="none" w:sz="0" w:space="0" w:color="auto"/>
            <w:bottom w:val="none" w:sz="0" w:space="0" w:color="auto"/>
            <w:right w:val="none" w:sz="0" w:space="0" w:color="auto"/>
          </w:divBdr>
          <w:divsChild>
            <w:div w:id="24140688">
              <w:marLeft w:val="0"/>
              <w:marRight w:val="0"/>
              <w:marTop w:val="0"/>
              <w:marBottom w:val="0"/>
              <w:divBdr>
                <w:top w:val="none" w:sz="0" w:space="0" w:color="auto"/>
                <w:left w:val="none" w:sz="0" w:space="0" w:color="auto"/>
                <w:bottom w:val="none" w:sz="0" w:space="0" w:color="auto"/>
                <w:right w:val="none" w:sz="0" w:space="0" w:color="auto"/>
              </w:divBdr>
            </w:div>
          </w:divsChild>
        </w:div>
        <w:div w:id="1029069267">
          <w:marLeft w:val="0"/>
          <w:marRight w:val="0"/>
          <w:marTop w:val="0"/>
          <w:marBottom w:val="0"/>
          <w:divBdr>
            <w:top w:val="none" w:sz="0" w:space="0" w:color="auto"/>
            <w:left w:val="none" w:sz="0" w:space="0" w:color="auto"/>
            <w:bottom w:val="none" w:sz="0" w:space="0" w:color="auto"/>
            <w:right w:val="none" w:sz="0" w:space="0" w:color="auto"/>
          </w:divBdr>
          <w:divsChild>
            <w:div w:id="1854493783">
              <w:marLeft w:val="0"/>
              <w:marRight w:val="0"/>
              <w:marTop w:val="0"/>
              <w:marBottom w:val="0"/>
              <w:divBdr>
                <w:top w:val="none" w:sz="0" w:space="0" w:color="auto"/>
                <w:left w:val="none" w:sz="0" w:space="0" w:color="auto"/>
                <w:bottom w:val="none" w:sz="0" w:space="0" w:color="auto"/>
                <w:right w:val="none" w:sz="0" w:space="0" w:color="auto"/>
              </w:divBdr>
            </w:div>
          </w:divsChild>
        </w:div>
        <w:div w:id="1293630402">
          <w:marLeft w:val="0"/>
          <w:marRight w:val="0"/>
          <w:marTop w:val="0"/>
          <w:marBottom w:val="0"/>
          <w:divBdr>
            <w:top w:val="none" w:sz="0" w:space="0" w:color="auto"/>
            <w:left w:val="none" w:sz="0" w:space="0" w:color="auto"/>
            <w:bottom w:val="none" w:sz="0" w:space="0" w:color="auto"/>
            <w:right w:val="none" w:sz="0" w:space="0" w:color="auto"/>
          </w:divBdr>
          <w:divsChild>
            <w:div w:id="147330465">
              <w:marLeft w:val="0"/>
              <w:marRight w:val="0"/>
              <w:marTop w:val="0"/>
              <w:marBottom w:val="0"/>
              <w:divBdr>
                <w:top w:val="none" w:sz="0" w:space="0" w:color="auto"/>
                <w:left w:val="none" w:sz="0" w:space="0" w:color="auto"/>
                <w:bottom w:val="none" w:sz="0" w:space="0" w:color="auto"/>
                <w:right w:val="none" w:sz="0" w:space="0" w:color="auto"/>
              </w:divBdr>
            </w:div>
          </w:divsChild>
        </w:div>
        <w:div w:id="1353845241">
          <w:marLeft w:val="0"/>
          <w:marRight w:val="0"/>
          <w:marTop w:val="0"/>
          <w:marBottom w:val="0"/>
          <w:divBdr>
            <w:top w:val="none" w:sz="0" w:space="0" w:color="auto"/>
            <w:left w:val="none" w:sz="0" w:space="0" w:color="auto"/>
            <w:bottom w:val="none" w:sz="0" w:space="0" w:color="auto"/>
            <w:right w:val="none" w:sz="0" w:space="0" w:color="auto"/>
          </w:divBdr>
          <w:divsChild>
            <w:div w:id="517082612">
              <w:marLeft w:val="0"/>
              <w:marRight w:val="0"/>
              <w:marTop w:val="0"/>
              <w:marBottom w:val="0"/>
              <w:divBdr>
                <w:top w:val="none" w:sz="0" w:space="0" w:color="auto"/>
                <w:left w:val="none" w:sz="0" w:space="0" w:color="auto"/>
                <w:bottom w:val="none" w:sz="0" w:space="0" w:color="auto"/>
                <w:right w:val="none" w:sz="0" w:space="0" w:color="auto"/>
              </w:divBdr>
            </w:div>
          </w:divsChild>
        </w:div>
        <w:div w:id="1551578288">
          <w:marLeft w:val="0"/>
          <w:marRight w:val="0"/>
          <w:marTop w:val="0"/>
          <w:marBottom w:val="0"/>
          <w:divBdr>
            <w:top w:val="none" w:sz="0" w:space="0" w:color="auto"/>
            <w:left w:val="none" w:sz="0" w:space="0" w:color="auto"/>
            <w:bottom w:val="none" w:sz="0" w:space="0" w:color="auto"/>
            <w:right w:val="none" w:sz="0" w:space="0" w:color="auto"/>
          </w:divBdr>
          <w:divsChild>
            <w:div w:id="2130852790">
              <w:marLeft w:val="0"/>
              <w:marRight w:val="0"/>
              <w:marTop w:val="0"/>
              <w:marBottom w:val="0"/>
              <w:divBdr>
                <w:top w:val="none" w:sz="0" w:space="0" w:color="auto"/>
                <w:left w:val="none" w:sz="0" w:space="0" w:color="auto"/>
                <w:bottom w:val="none" w:sz="0" w:space="0" w:color="auto"/>
                <w:right w:val="none" w:sz="0" w:space="0" w:color="auto"/>
              </w:divBdr>
            </w:div>
          </w:divsChild>
        </w:div>
        <w:div w:id="1962958543">
          <w:marLeft w:val="0"/>
          <w:marRight w:val="0"/>
          <w:marTop w:val="0"/>
          <w:marBottom w:val="0"/>
          <w:divBdr>
            <w:top w:val="none" w:sz="0" w:space="0" w:color="auto"/>
            <w:left w:val="none" w:sz="0" w:space="0" w:color="auto"/>
            <w:bottom w:val="none" w:sz="0" w:space="0" w:color="auto"/>
            <w:right w:val="none" w:sz="0" w:space="0" w:color="auto"/>
          </w:divBdr>
          <w:divsChild>
            <w:div w:id="1503082339">
              <w:marLeft w:val="0"/>
              <w:marRight w:val="0"/>
              <w:marTop w:val="0"/>
              <w:marBottom w:val="0"/>
              <w:divBdr>
                <w:top w:val="none" w:sz="0" w:space="0" w:color="auto"/>
                <w:left w:val="none" w:sz="0" w:space="0" w:color="auto"/>
                <w:bottom w:val="none" w:sz="0" w:space="0" w:color="auto"/>
                <w:right w:val="none" w:sz="0" w:space="0" w:color="auto"/>
              </w:divBdr>
            </w:div>
            <w:div w:id="1739935025">
              <w:marLeft w:val="0"/>
              <w:marRight w:val="0"/>
              <w:marTop w:val="0"/>
              <w:marBottom w:val="0"/>
              <w:divBdr>
                <w:top w:val="none" w:sz="0" w:space="0" w:color="auto"/>
                <w:left w:val="none" w:sz="0" w:space="0" w:color="auto"/>
                <w:bottom w:val="none" w:sz="0" w:space="0" w:color="auto"/>
                <w:right w:val="none" w:sz="0" w:space="0" w:color="auto"/>
              </w:divBdr>
            </w:div>
          </w:divsChild>
        </w:div>
        <w:div w:id="2051034630">
          <w:marLeft w:val="0"/>
          <w:marRight w:val="0"/>
          <w:marTop w:val="0"/>
          <w:marBottom w:val="0"/>
          <w:divBdr>
            <w:top w:val="none" w:sz="0" w:space="0" w:color="auto"/>
            <w:left w:val="none" w:sz="0" w:space="0" w:color="auto"/>
            <w:bottom w:val="none" w:sz="0" w:space="0" w:color="auto"/>
            <w:right w:val="none" w:sz="0" w:space="0" w:color="auto"/>
          </w:divBdr>
          <w:divsChild>
            <w:div w:id="15299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1019">
      <w:bodyDiv w:val="1"/>
      <w:marLeft w:val="0"/>
      <w:marRight w:val="0"/>
      <w:marTop w:val="0"/>
      <w:marBottom w:val="0"/>
      <w:divBdr>
        <w:top w:val="none" w:sz="0" w:space="0" w:color="auto"/>
        <w:left w:val="none" w:sz="0" w:space="0" w:color="auto"/>
        <w:bottom w:val="none" w:sz="0" w:space="0" w:color="auto"/>
        <w:right w:val="none" w:sz="0" w:space="0" w:color="auto"/>
      </w:divBdr>
    </w:div>
    <w:div w:id="1425146945">
      <w:bodyDiv w:val="1"/>
      <w:marLeft w:val="0"/>
      <w:marRight w:val="0"/>
      <w:marTop w:val="0"/>
      <w:marBottom w:val="0"/>
      <w:divBdr>
        <w:top w:val="none" w:sz="0" w:space="0" w:color="auto"/>
        <w:left w:val="none" w:sz="0" w:space="0" w:color="auto"/>
        <w:bottom w:val="none" w:sz="0" w:space="0" w:color="auto"/>
        <w:right w:val="none" w:sz="0" w:space="0" w:color="auto"/>
      </w:divBdr>
    </w:div>
    <w:div w:id="1604873946">
      <w:bodyDiv w:val="1"/>
      <w:marLeft w:val="0"/>
      <w:marRight w:val="0"/>
      <w:marTop w:val="0"/>
      <w:marBottom w:val="0"/>
      <w:divBdr>
        <w:top w:val="none" w:sz="0" w:space="0" w:color="auto"/>
        <w:left w:val="none" w:sz="0" w:space="0" w:color="auto"/>
        <w:bottom w:val="none" w:sz="0" w:space="0" w:color="auto"/>
        <w:right w:val="none" w:sz="0" w:space="0" w:color="auto"/>
      </w:divBdr>
    </w:div>
    <w:div w:id="1700741916">
      <w:bodyDiv w:val="1"/>
      <w:marLeft w:val="0"/>
      <w:marRight w:val="0"/>
      <w:marTop w:val="0"/>
      <w:marBottom w:val="0"/>
      <w:divBdr>
        <w:top w:val="none" w:sz="0" w:space="0" w:color="auto"/>
        <w:left w:val="none" w:sz="0" w:space="0" w:color="auto"/>
        <w:bottom w:val="none" w:sz="0" w:space="0" w:color="auto"/>
        <w:right w:val="none" w:sz="0" w:space="0" w:color="auto"/>
      </w:divBdr>
    </w:div>
    <w:div w:id="1789468215">
      <w:bodyDiv w:val="1"/>
      <w:marLeft w:val="0"/>
      <w:marRight w:val="0"/>
      <w:marTop w:val="0"/>
      <w:marBottom w:val="0"/>
      <w:divBdr>
        <w:top w:val="none" w:sz="0" w:space="0" w:color="auto"/>
        <w:left w:val="none" w:sz="0" w:space="0" w:color="auto"/>
        <w:bottom w:val="none" w:sz="0" w:space="0" w:color="auto"/>
        <w:right w:val="none" w:sz="0" w:space="0" w:color="auto"/>
      </w:divBdr>
    </w:div>
    <w:div w:id="1844469840">
      <w:bodyDiv w:val="1"/>
      <w:marLeft w:val="0"/>
      <w:marRight w:val="0"/>
      <w:marTop w:val="0"/>
      <w:marBottom w:val="0"/>
      <w:divBdr>
        <w:top w:val="none" w:sz="0" w:space="0" w:color="auto"/>
        <w:left w:val="none" w:sz="0" w:space="0" w:color="auto"/>
        <w:bottom w:val="none" w:sz="0" w:space="0" w:color="auto"/>
        <w:right w:val="none" w:sz="0" w:space="0" w:color="auto"/>
      </w:divBdr>
    </w:div>
    <w:div w:id="210279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cobusiness.fund/fileadmin/user_upload/impact/Theory_of_Change/EBF_Theory_of_change_2019.pdf" TargetMode="Externa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4.xml"/><Relationship Id="rId7" Type="http://schemas.openxmlformats.org/officeDocument/2006/relationships/styles" Target="styles.xml"/><Relationship Id="rId12" Type="http://schemas.openxmlformats.org/officeDocument/2006/relationships/hyperlink" Target="https://www.impactprinciples.org/" TargetMode="External"/><Relationship Id="rId17" Type="http://schemas.openxmlformats.org/officeDocument/2006/relationships/footer" Target="footer1.xml"/><Relationship Id="rId25" Type="http://schemas.openxmlformats.org/officeDocument/2006/relationships/hyperlink" Target="https://www.ecobusiness.fund/fileadmin/user_upload/Publications/english/EBF_Impact_Report_2022_ENG_final_web.pdf"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xglobal.org/" TargetMode="External"/><Relationship Id="rId5" Type="http://schemas.openxmlformats.org/officeDocument/2006/relationships/customXml" Target="../customXml/item5.xml"/><Relationship Id="rId15" Type="http://schemas.openxmlformats.org/officeDocument/2006/relationships/hyperlink" Target="https://impactfrontiers.org/norms/five-dimensions-of-impact/" TargetMode="External"/><Relationship Id="rId23" Type="http://schemas.openxmlformats.org/officeDocument/2006/relationships/chart" Target="charts/chart6.xml"/><Relationship Id="rId10" Type="http://schemas.openxmlformats.org/officeDocument/2006/relationships/footnotes" Target="foot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obusiness.fund/fileadmin/user_upload/impact/the_pathway_to_impact/ecobusiness_Fund_Impact_Framework_Growing_Impact_2019.pdf" TargetMode="External"/><Relationship Id="rId22" Type="http://schemas.openxmlformats.org/officeDocument/2006/relationships/chart" Target="charts/chart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defra.sharepoint.com/teams/Team2765/Integrating%20Nature%20Document%20Library/Projects/PO003%20-%20Eco%20Business%20Fund/EBF%20quick%20investment%20facts%20and%20figur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efra.sharepoint.com/teams/Team2765/Integrating%20Nature%20Document%20Library/Projects/PO003%20-%20Eco%20Business%20Fund/EBF%20quick%20investment%20facts%20and%20figur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efra.sharepoint.com/teams/Team2765/Integrating%20Nature%20Document%20Library/Projects/PO003%20-%20Eco%20Business%20Fund/EBF%20quick%20investment%20facts%20and%20figur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efra.sharepoint.com/teams/Team2765/Integrating%20Nature%20Document%20Library/Projects/PO003%20-%20Eco%20Business%20Fund/EBF%20quick%20investment%20facts%20and%20figur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defra.sharepoint.com/teams/Team2765/Integrating%20Nature%20Document%20Library/Projects/PO003%20-%20Eco%20Business%20Fund/EBF%20quick%20investment%20facts%20and%20figur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defra.sharepoint.com/teams/Team2765/Integrating%20Nature%20Document%20Library/Projects/PO003%20-%20Eco%20Business%20Fund/EBF%20quick%20investment%20facts%20and%20figure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'[EBF quick investment facts and figures.xlsx]Indicator progress'!$B$3</c:f>
              <c:strCache>
                <c:ptCount val="1"/>
                <c:pt idx="0">
                  <c:v>1.1 Water savings (m3)</c:v>
                </c:pt>
              </c:strCache>
            </c:strRef>
          </c:tx>
          <c:spPr>
            <a:ln w="28575" cap="rnd">
              <a:solidFill>
                <a:schemeClr val="accent1"/>
              </a:solidFill>
              <a:round/>
            </a:ln>
            <a:effectLst/>
          </c:spPr>
          <c:marker>
            <c:symbol val="none"/>
          </c:marker>
          <c:cat>
            <c:numRef>
              <c:f>'[EBF quick investment facts and figures.xlsx]Indicator progress'!$C$2:$H$2</c:f>
              <c:numCache>
                <c:formatCode>General</c:formatCode>
                <c:ptCount val="6"/>
                <c:pt idx="0">
                  <c:v>2017</c:v>
                </c:pt>
                <c:pt idx="1">
                  <c:v>2018</c:v>
                </c:pt>
                <c:pt idx="2">
                  <c:v>2019</c:v>
                </c:pt>
                <c:pt idx="3">
                  <c:v>2020</c:v>
                </c:pt>
                <c:pt idx="4">
                  <c:v>2021</c:v>
                </c:pt>
                <c:pt idx="5">
                  <c:v>2022</c:v>
                </c:pt>
              </c:numCache>
            </c:numRef>
          </c:cat>
          <c:val>
            <c:numRef>
              <c:f>'[EBF quick investment facts and figures.xlsx]Indicator progress'!$C$3:$H$3</c:f>
              <c:numCache>
                <c:formatCode>General</c:formatCode>
                <c:ptCount val="6"/>
                <c:pt idx="2" formatCode="#,##0">
                  <c:v>4200000</c:v>
                </c:pt>
                <c:pt idx="3" formatCode="#,##0">
                  <c:v>4500000</c:v>
                </c:pt>
                <c:pt idx="4" formatCode="#,##0">
                  <c:v>4800000</c:v>
                </c:pt>
                <c:pt idx="5" formatCode="#,##0">
                  <c:v>5200000</c:v>
                </c:pt>
              </c:numCache>
            </c:numRef>
          </c:val>
          <c:smooth val="0"/>
          <c:extLst>
            <c:ext xmlns:c16="http://schemas.microsoft.com/office/drawing/2014/chart" uri="{C3380CC4-5D6E-409C-BE32-E72D297353CC}">
              <c16:uniqueId val="{00000000-270C-4288-85D4-9CF7BD391C99}"/>
            </c:ext>
          </c:extLst>
        </c:ser>
        <c:dLbls>
          <c:showLegendKey val="0"/>
          <c:showVal val="0"/>
          <c:showCatName val="0"/>
          <c:showSerName val="0"/>
          <c:showPercent val="0"/>
          <c:showBubbleSize val="0"/>
        </c:dLbls>
        <c:smooth val="0"/>
        <c:axId val="824880528"/>
        <c:axId val="546824256"/>
      </c:lineChart>
      <c:catAx>
        <c:axId val="82488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6824256"/>
        <c:crosses val="autoZero"/>
        <c:auto val="1"/>
        <c:lblAlgn val="ctr"/>
        <c:lblOffset val="100"/>
        <c:noMultiLvlLbl val="0"/>
      </c:catAx>
      <c:valAx>
        <c:axId val="546824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4880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'[EBF quick investment facts and figures.xlsx]Indicator progress'!$B$4</c:f>
              <c:strCache>
                <c:ptCount val="1"/>
                <c:pt idx="0">
                  <c:v>1.2 Sub-loans from FIs ($m)</c:v>
                </c:pt>
              </c:strCache>
            </c:strRef>
          </c:tx>
          <c:spPr>
            <a:ln w="28575" cap="rnd">
              <a:solidFill>
                <a:schemeClr val="accent1"/>
              </a:solidFill>
              <a:round/>
            </a:ln>
            <a:effectLst/>
          </c:spPr>
          <c:marker>
            <c:symbol val="none"/>
          </c:marker>
          <c:cat>
            <c:numRef>
              <c:f>'[EBF quick investment facts and figures.xlsx]Indicator progress'!$C$2:$H$2</c:f>
              <c:numCache>
                <c:formatCode>General</c:formatCode>
                <c:ptCount val="6"/>
                <c:pt idx="0">
                  <c:v>2017</c:v>
                </c:pt>
                <c:pt idx="1">
                  <c:v>2018</c:v>
                </c:pt>
                <c:pt idx="2">
                  <c:v>2019</c:v>
                </c:pt>
                <c:pt idx="3">
                  <c:v>2020</c:v>
                </c:pt>
                <c:pt idx="4">
                  <c:v>2021</c:v>
                </c:pt>
                <c:pt idx="5">
                  <c:v>2022</c:v>
                </c:pt>
              </c:numCache>
            </c:numRef>
          </c:cat>
          <c:val>
            <c:numRef>
              <c:f>'[EBF quick investment facts and figures.xlsx]Indicator progress'!$C$4:$H$4</c:f>
              <c:numCache>
                <c:formatCode>General</c:formatCode>
                <c:ptCount val="6"/>
                <c:pt idx="2" formatCode="#,##0">
                  <c:v>872.8</c:v>
                </c:pt>
                <c:pt idx="3" formatCode="#,##0">
                  <c:v>1862</c:v>
                </c:pt>
                <c:pt idx="4" formatCode="#,##0">
                  <c:v>2573</c:v>
                </c:pt>
                <c:pt idx="5" formatCode="#,##0">
                  <c:v>3430</c:v>
                </c:pt>
              </c:numCache>
            </c:numRef>
          </c:val>
          <c:smooth val="0"/>
          <c:extLst>
            <c:ext xmlns:c16="http://schemas.microsoft.com/office/drawing/2014/chart" uri="{C3380CC4-5D6E-409C-BE32-E72D297353CC}">
              <c16:uniqueId val="{00000000-1FCF-475A-9CE4-36E6139A3354}"/>
            </c:ext>
          </c:extLst>
        </c:ser>
        <c:dLbls>
          <c:showLegendKey val="0"/>
          <c:showVal val="0"/>
          <c:showCatName val="0"/>
          <c:showSerName val="0"/>
          <c:showPercent val="0"/>
          <c:showBubbleSize val="0"/>
        </c:dLbls>
        <c:smooth val="0"/>
        <c:axId val="795395728"/>
        <c:axId val="789062736"/>
      </c:lineChart>
      <c:catAx>
        <c:axId val="795395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9062736"/>
        <c:crosses val="autoZero"/>
        <c:auto val="1"/>
        <c:lblAlgn val="ctr"/>
        <c:lblOffset val="100"/>
        <c:noMultiLvlLbl val="0"/>
      </c:catAx>
      <c:valAx>
        <c:axId val="789062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5395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'[EBF quick investment facts and figures.xlsx]Indicator progress'!$B$8</c:f>
              <c:strCache>
                <c:ptCount val="1"/>
                <c:pt idx="0">
                  <c:v>1.8 Net CO2 sequestration (t)</c:v>
                </c:pt>
              </c:strCache>
            </c:strRef>
          </c:tx>
          <c:spPr>
            <a:ln w="28575" cap="rnd">
              <a:solidFill>
                <a:schemeClr val="accent1"/>
              </a:solidFill>
              <a:round/>
            </a:ln>
            <a:effectLst/>
          </c:spPr>
          <c:marker>
            <c:symbol val="none"/>
          </c:marker>
          <c:cat>
            <c:numRef>
              <c:f>'[EBF quick investment facts and figures.xlsx]Indicator progress'!$C$2:$H$2</c:f>
              <c:numCache>
                <c:formatCode>General</c:formatCode>
                <c:ptCount val="6"/>
                <c:pt idx="0">
                  <c:v>2017</c:v>
                </c:pt>
                <c:pt idx="1">
                  <c:v>2018</c:v>
                </c:pt>
                <c:pt idx="2">
                  <c:v>2019</c:v>
                </c:pt>
                <c:pt idx="3">
                  <c:v>2020</c:v>
                </c:pt>
                <c:pt idx="4">
                  <c:v>2021</c:v>
                </c:pt>
                <c:pt idx="5">
                  <c:v>2022</c:v>
                </c:pt>
              </c:numCache>
            </c:numRef>
          </c:cat>
          <c:val>
            <c:numRef>
              <c:f>'[EBF quick investment facts and figures.xlsx]Indicator progress'!$C$8:$H$8</c:f>
              <c:numCache>
                <c:formatCode>#,##0</c:formatCode>
                <c:ptCount val="6"/>
                <c:pt idx="1">
                  <c:v>600000</c:v>
                </c:pt>
                <c:pt idx="2">
                  <c:v>1050000</c:v>
                </c:pt>
                <c:pt idx="3">
                  <c:v>1000000</c:v>
                </c:pt>
                <c:pt idx="4">
                  <c:v>3400000</c:v>
                </c:pt>
                <c:pt idx="5">
                  <c:v>3644000</c:v>
                </c:pt>
              </c:numCache>
            </c:numRef>
          </c:val>
          <c:smooth val="0"/>
          <c:extLst>
            <c:ext xmlns:c16="http://schemas.microsoft.com/office/drawing/2014/chart" uri="{C3380CC4-5D6E-409C-BE32-E72D297353CC}">
              <c16:uniqueId val="{00000000-DFEF-423A-9FE3-2671D9545292}"/>
            </c:ext>
          </c:extLst>
        </c:ser>
        <c:dLbls>
          <c:showLegendKey val="0"/>
          <c:showVal val="0"/>
          <c:showCatName val="0"/>
          <c:showSerName val="0"/>
          <c:showPercent val="0"/>
          <c:showBubbleSize val="0"/>
        </c:dLbls>
        <c:smooth val="0"/>
        <c:axId val="545736560"/>
        <c:axId val="1043910928"/>
      </c:lineChart>
      <c:catAx>
        <c:axId val="54573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3910928"/>
        <c:crosses val="autoZero"/>
        <c:auto val="1"/>
        <c:lblAlgn val="ctr"/>
        <c:lblOffset val="100"/>
        <c:noMultiLvlLbl val="0"/>
      </c:catAx>
      <c:valAx>
        <c:axId val="10439109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5736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'[EBF quick investment facts and figures.xlsx]Indicator progress'!$B$7</c:f>
              <c:strCache>
                <c:ptCount val="1"/>
                <c:pt idx="0">
                  <c:v>1.7 Jobs supported</c:v>
                </c:pt>
              </c:strCache>
            </c:strRef>
          </c:tx>
          <c:spPr>
            <a:ln w="28575" cap="rnd">
              <a:solidFill>
                <a:schemeClr val="accent1"/>
              </a:solidFill>
              <a:round/>
            </a:ln>
            <a:effectLst/>
          </c:spPr>
          <c:marker>
            <c:symbol val="none"/>
          </c:marker>
          <c:cat>
            <c:numRef>
              <c:f>'[EBF quick investment facts and figures.xlsx]Indicator progress'!$C$2:$H$2</c:f>
              <c:numCache>
                <c:formatCode>General</c:formatCode>
                <c:ptCount val="6"/>
                <c:pt idx="0">
                  <c:v>2017</c:v>
                </c:pt>
                <c:pt idx="1">
                  <c:v>2018</c:v>
                </c:pt>
                <c:pt idx="2">
                  <c:v>2019</c:v>
                </c:pt>
                <c:pt idx="3">
                  <c:v>2020</c:v>
                </c:pt>
                <c:pt idx="4">
                  <c:v>2021</c:v>
                </c:pt>
                <c:pt idx="5">
                  <c:v>2022</c:v>
                </c:pt>
              </c:numCache>
            </c:numRef>
          </c:cat>
          <c:val>
            <c:numRef>
              <c:f>'[EBF quick investment facts and figures.xlsx]Indicator progress'!$C$7:$H$7</c:f>
              <c:numCache>
                <c:formatCode>#,##0</c:formatCode>
                <c:ptCount val="6"/>
                <c:pt idx="1">
                  <c:v>250000</c:v>
                </c:pt>
                <c:pt idx="2">
                  <c:v>361000</c:v>
                </c:pt>
                <c:pt idx="3">
                  <c:v>452000</c:v>
                </c:pt>
                <c:pt idx="4">
                  <c:v>625000</c:v>
                </c:pt>
                <c:pt idx="5">
                  <c:v>660000</c:v>
                </c:pt>
              </c:numCache>
            </c:numRef>
          </c:val>
          <c:smooth val="0"/>
          <c:extLst>
            <c:ext xmlns:c16="http://schemas.microsoft.com/office/drawing/2014/chart" uri="{C3380CC4-5D6E-409C-BE32-E72D297353CC}">
              <c16:uniqueId val="{00000000-2778-4089-9B7E-E2191EF8514D}"/>
            </c:ext>
          </c:extLst>
        </c:ser>
        <c:dLbls>
          <c:showLegendKey val="0"/>
          <c:showVal val="0"/>
          <c:showCatName val="0"/>
          <c:showSerName val="0"/>
          <c:showPercent val="0"/>
          <c:showBubbleSize val="0"/>
        </c:dLbls>
        <c:smooth val="0"/>
        <c:axId val="885989456"/>
        <c:axId val="546824752"/>
      </c:lineChart>
      <c:catAx>
        <c:axId val="885989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6824752"/>
        <c:crosses val="autoZero"/>
        <c:auto val="1"/>
        <c:lblAlgn val="ctr"/>
        <c:lblOffset val="100"/>
        <c:noMultiLvlLbl val="0"/>
      </c:catAx>
      <c:valAx>
        <c:axId val="5468247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5989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'[EBF quick investment facts and figures.xlsx]Indicator progress'!$B$5</c:f>
              <c:strCache>
                <c:ptCount val="1"/>
                <c:pt idx="0">
                  <c:v>1.3 Sustainably managed land (Ha)</c:v>
                </c:pt>
              </c:strCache>
            </c:strRef>
          </c:tx>
          <c:spPr>
            <a:ln w="28575" cap="rnd">
              <a:solidFill>
                <a:schemeClr val="accent1"/>
              </a:solidFill>
              <a:round/>
            </a:ln>
            <a:effectLst/>
          </c:spPr>
          <c:marker>
            <c:symbol val="none"/>
          </c:marker>
          <c:cat>
            <c:numRef>
              <c:f>'[EBF quick investment facts and figures.xlsx]Indicator progress'!$C$2:$H$2</c:f>
              <c:numCache>
                <c:formatCode>General</c:formatCode>
                <c:ptCount val="6"/>
                <c:pt idx="0">
                  <c:v>2017</c:v>
                </c:pt>
                <c:pt idx="1">
                  <c:v>2018</c:v>
                </c:pt>
                <c:pt idx="2">
                  <c:v>2019</c:v>
                </c:pt>
                <c:pt idx="3">
                  <c:v>2020</c:v>
                </c:pt>
                <c:pt idx="4">
                  <c:v>2021</c:v>
                </c:pt>
                <c:pt idx="5">
                  <c:v>2022</c:v>
                </c:pt>
              </c:numCache>
            </c:numRef>
          </c:cat>
          <c:val>
            <c:numRef>
              <c:f>'[EBF quick investment facts and figures.xlsx]Indicator progress'!$C$5:$H$5</c:f>
              <c:numCache>
                <c:formatCode>#,##0</c:formatCode>
                <c:ptCount val="6"/>
                <c:pt idx="0">
                  <c:v>55789</c:v>
                </c:pt>
                <c:pt idx="1">
                  <c:v>140000</c:v>
                </c:pt>
                <c:pt idx="2">
                  <c:v>261000</c:v>
                </c:pt>
                <c:pt idx="3">
                  <c:v>430000</c:v>
                </c:pt>
                <c:pt idx="4">
                  <c:v>856000</c:v>
                </c:pt>
                <c:pt idx="5">
                  <c:v>971000</c:v>
                </c:pt>
              </c:numCache>
            </c:numRef>
          </c:val>
          <c:smooth val="0"/>
          <c:extLst>
            <c:ext xmlns:c16="http://schemas.microsoft.com/office/drawing/2014/chart" uri="{C3380CC4-5D6E-409C-BE32-E72D297353CC}">
              <c16:uniqueId val="{00000000-F898-4206-99ED-D02640017CB1}"/>
            </c:ext>
          </c:extLst>
        </c:ser>
        <c:dLbls>
          <c:showLegendKey val="0"/>
          <c:showVal val="0"/>
          <c:showCatName val="0"/>
          <c:showSerName val="0"/>
          <c:showPercent val="0"/>
          <c:showBubbleSize val="0"/>
        </c:dLbls>
        <c:smooth val="0"/>
        <c:axId val="820774048"/>
        <c:axId val="1042119536"/>
      </c:lineChart>
      <c:catAx>
        <c:axId val="820774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2119536"/>
        <c:crosses val="autoZero"/>
        <c:auto val="1"/>
        <c:lblAlgn val="ctr"/>
        <c:lblOffset val="100"/>
        <c:noMultiLvlLbl val="0"/>
      </c:catAx>
      <c:valAx>
        <c:axId val="1042119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0774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'[EBF quick investment facts and figures.xlsx]Indicator progress'!$B$6</c:f>
              <c:strCache>
                <c:ptCount val="1"/>
                <c:pt idx="0">
                  <c:v>1.4 Deforestation-free land (Ha)</c:v>
                </c:pt>
              </c:strCache>
            </c:strRef>
          </c:tx>
          <c:spPr>
            <a:ln w="28575" cap="rnd">
              <a:solidFill>
                <a:schemeClr val="accent1"/>
              </a:solidFill>
              <a:round/>
            </a:ln>
            <a:effectLst/>
          </c:spPr>
          <c:marker>
            <c:symbol val="none"/>
          </c:marker>
          <c:cat>
            <c:numRef>
              <c:f>'[EBF quick investment facts and figures.xlsx]Indicator progress'!$C$2:$H$2</c:f>
              <c:numCache>
                <c:formatCode>General</c:formatCode>
                <c:ptCount val="6"/>
                <c:pt idx="0">
                  <c:v>2017</c:v>
                </c:pt>
                <c:pt idx="1">
                  <c:v>2018</c:v>
                </c:pt>
                <c:pt idx="2">
                  <c:v>2019</c:v>
                </c:pt>
                <c:pt idx="3">
                  <c:v>2020</c:v>
                </c:pt>
                <c:pt idx="4">
                  <c:v>2021</c:v>
                </c:pt>
                <c:pt idx="5">
                  <c:v>2022</c:v>
                </c:pt>
              </c:numCache>
            </c:numRef>
          </c:cat>
          <c:val>
            <c:numRef>
              <c:f>'[EBF quick investment facts and figures.xlsx]Indicator progress'!$C$6:$H$6</c:f>
              <c:numCache>
                <c:formatCode>#,##0</c:formatCode>
                <c:ptCount val="6"/>
                <c:pt idx="0">
                  <c:v>42020</c:v>
                </c:pt>
                <c:pt idx="1">
                  <c:v>86800</c:v>
                </c:pt>
                <c:pt idx="2">
                  <c:v>182000</c:v>
                </c:pt>
                <c:pt idx="3">
                  <c:v>260000</c:v>
                </c:pt>
                <c:pt idx="4">
                  <c:v>377000</c:v>
                </c:pt>
                <c:pt idx="5">
                  <c:v>438000</c:v>
                </c:pt>
              </c:numCache>
            </c:numRef>
          </c:val>
          <c:smooth val="0"/>
          <c:extLst>
            <c:ext xmlns:c16="http://schemas.microsoft.com/office/drawing/2014/chart" uri="{C3380CC4-5D6E-409C-BE32-E72D297353CC}">
              <c16:uniqueId val="{00000000-B346-49E9-890A-1D729899A443}"/>
            </c:ext>
          </c:extLst>
        </c:ser>
        <c:dLbls>
          <c:showLegendKey val="0"/>
          <c:showVal val="0"/>
          <c:showCatName val="0"/>
          <c:showSerName val="0"/>
          <c:showPercent val="0"/>
          <c:showBubbleSize val="0"/>
        </c:dLbls>
        <c:smooth val="0"/>
        <c:axId val="551290384"/>
        <c:axId val="770053248"/>
      </c:lineChart>
      <c:catAx>
        <c:axId val="551290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0053248"/>
        <c:crosses val="autoZero"/>
        <c:auto val="1"/>
        <c:lblAlgn val="ctr"/>
        <c:lblOffset val="100"/>
        <c:noMultiLvlLbl val="0"/>
      </c:catAx>
      <c:valAx>
        <c:axId val="7700532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1290384"/>
        <c:crosses val="autoZero"/>
        <c:crossBetween val="between"/>
        <c:majorUnit val="100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62745e8-e224-48e8-a2e3-254862b8c2f5" xsi:nil="true"/>
    <lcf76f155ced4ddcb4097134ff3c332f xmlns="cd3c523b-aa8f-4804-a23e-31cb3efad401">
      <Terms xmlns="http://schemas.microsoft.com/office/infopath/2007/PartnerControls"/>
    </lcf76f155ced4ddcb4097134ff3c332f>
    <MediaLengthInSeconds xmlns="cd3c523b-aa8f-4804-a23e-31cb3efad401" xsi:nil="true"/>
    <SharedWithUsers xmlns="c2a29bdd-637a-4f4b-b2b1-1338f72c8a40">
      <UserInfo>
        <DisplayName>Camila Silva Arango</DisplayName>
        <AccountId>269</AccountId>
        <AccountType/>
      </UserInfo>
      <UserInfo>
        <DisplayName>Federico Sinisterra Tenorio</DisplayName>
        <AccountId>191</AccountId>
        <AccountType/>
      </UserInfo>
      <UserInfo>
        <DisplayName>Mario Torres Falcon</DisplayName>
        <AccountId>300</AccountId>
        <AccountType/>
      </UserInfo>
      <UserInfo>
        <DisplayName>Santiago Acosta Betancourt</DisplayName>
        <AccountId>914</AccountId>
        <AccountType/>
      </UserInfo>
      <UserInfo>
        <DisplayName>Daniela Maria Cuellar Riano</DisplayName>
        <AccountId>84</AccountId>
        <AccountType/>
      </UserInfo>
      <UserInfo>
        <DisplayName>SharingLinks.ca1bd038-91a3-4766-8d15-15215564892d.OrganizationEdit.cfb9341d-c223-4f4b-b446-46720a301d6f</DisplayName>
        <AccountId>913</AccountId>
        <AccountType/>
      </UserInfo>
      <UserInfo>
        <DisplayName>SharingLinks.a6c632f0-1081-461f-bfc8-80024e4417bc.Flexible.426a96aa-0851-48d0-94db-9ce6faa96281</DisplayName>
        <AccountId>588</AccountId>
        <AccountType/>
      </UserInfo>
      <UserInfo>
        <DisplayName>Liliana Negrila</DisplayName>
        <AccountId>1185</AccountId>
        <AccountType/>
      </UserInfo>
      <UserInfo>
        <DisplayName>Jose Alonso Fraire Cervantes</DisplayName>
        <AccountId>75</AccountId>
        <AccountType/>
      </UserInfo>
      <UserInfo>
        <DisplayName>Sarah Hessel</DisplayName>
        <AccountId>185</AccountId>
        <AccountType/>
      </UserInfo>
      <UserInfo>
        <DisplayName>Daniel Castro Medina</DisplayName>
        <AccountId>1272</AccountId>
        <AccountType/>
      </UserInfo>
      <UserInfo>
        <DisplayName>Wei Jin Ying</DisplayName>
        <AccountId>2522</AccountId>
        <AccountType/>
      </UserInfo>
      <UserInfo>
        <DisplayName>Simon Sonnekalb</DisplayName>
        <AccountId>343</AccountId>
        <AccountType/>
      </UserInfo>
      <UserInfo>
        <DisplayName>Zein Albeilani</DisplayName>
        <AccountId>344</AccountId>
        <AccountType/>
      </UserInfo>
      <UserInfo>
        <DisplayName>Kirsten Meyer</DisplayName>
        <AccountId>1863</AccountId>
        <AccountType/>
      </UserInfo>
      <UserInfo>
        <DisplayName>Tim van der Werf</DisplayName>
        <AccountId>1428</AccountId>
        <AccountType/>
      </UserInfo>
      <UserInfo>
        <DisplayName>Arthur Vignier</DisplayName>
        <AccountId>2806</AccountId>
        <AccountType/>
      </UserInfo>
    </SharedWithUsers>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_ip_UnifiedCompliancePolicyUIAction xmlns="http://schemas.microsoft.com/sharepoint/v3" xsi:nil="true"/>
    <k85d23755b3a46b5a51451cf336b2e9b xmlns="662745e8-e224-48e8-a2e3-254862b8c2f5">
      <Terms xmlns="http://schemas.microsoft.com/office/infopath/2007/PartnerControls"/>
    </k85d23755b3a46b5a51451cf336b2e9b>
    <Topic xmlns="662745e8-e224-48e8-a2e3-254862b8c2f5">Integrating Nature Document Library</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1104eb68-55d8-494f-b6ba-c5473579de73</TermId>
        </TermInfo>
      </Terms>
    </ddeb1fd0a9ad4436a96525d34737dc44>
    <_ip_UnifiedCompliancePolicyProperties xmlns="http://schemas.microsoft.com/sharepoint/v3" xsi:nil="true"/>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International Nature Climate and Development Division INCD</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7F88C51DAF897B458237A9C1200953D8" ma:contentTypeVersion="23" ma:contentTypeDescription="Create a new document." ma:contentTypeScope="" ma:versionID="9adfb4e62156e9562f34492fa824d286">
  <xsd:schema xmlns:xsd="http://www.w3.org/2001/XMLSchema" xmlns:xs="http://www.w3.org/2001/XMLSchema" xmlns:p="http://schemas.microsoft.com/office/2006/metadata/properties" xmlns:ns1="http://schemas.microsoft.com/sharepoint/v3" xmlns:ns2="662745e8-e224-48e8-a2e3-254862b8c2f5" xmlns:ns3="cd3c523b-aa8f-4804-a23e-31cb3efad401" xmlns:ns4="c2a29bdd-637a-4f4b-b2b1-1338f72c8a40" targetNamespace="http://schemas.microsoft.com/office/2006/metadata/properties" ma:root="true" ma:fieldsID="d3db6100861d5dc625ad90419a5236ad" ns1:_="" ns2:_="" ns3:_="" ns4:_="">
    <xsd:import namespace="http://schemas.microsoft.com/sharepoint/v3"/>
    <xsd:import namespace="662745e8-e224-48e8-a2e3-254862b8c2f5"/>
    <xsd:import namespace="cd3c523b-aa8f-4804-a23e-31cb3efad401"/>
    <xsd:import namespace="c2a29bdd-637a-4f4b-b2b1-1338f72c8a40"/>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1:_ip_UnifiedCompliancePolicyProperties" minOccurs="0"/>
                <xsd:element ref="ns1:_ip_UnifiedCompliancePolicyUIAction"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1" nillable="true" ma:displayName="Unified Compliance Policy Properties" ma:hidden="true" ma:internalName="_ip_UnifiedCompliancePolicyProperties">
      <xsd:simpleType>
        <xsd:restriction base="dms:Note"/>
      </xsd:simpleType>
    </xsd:element>
    <xsd:element name="_ip_UnifiedCompliancePolicyUIAction" ma:index="3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4dc0afb-fb50-45c9-b93d-3cf984feeaef}" ma:internalName="TaxCatchAll" ma:showField="CatchAllData" ma:web="c2a29bdd-637a-4f4b-b2b1-1338f72c8a4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4dc0afb-fb50-45c9-b93d-3cf984feeaef}" ma:internalName="TaxCatchAllLabel" ma:readOnly="true" ma:showField="CatchAllDataLabel" ma:web="c2a29bdd-637a-4f4b-b2b1-1338f72c8a40">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International Nature Climate and Development Division INCD" ma:internalName="Team">
      <xsd:simpleType>
        <xsd:restriction base="dms:Text"/>
      </xsd:simpleType>
    </xsd:element>
    <xsd:element name="Topic" ma:index="20" nillable="true" ma:displayName="Topic" ma:default="Integrating Nature Document Library"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External|1104eb68-55d8-494f-b6ba-c5473579de73"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3c523b-aa8f-4804-a23e-31cb3efad401"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ObjectDetectorVersions" ma:index="40" nillable="true" ma:displayName="MediaServiceObjectDetectorVersions" ma:description="" ma:hidden="true" ma:indexed="true" ma:internalName="MediaServiceObjectDetectorVersions" ma:readOnly="true">
      <xsd:simpleType>
        <xsd:restriction base="dms:Text"/>
      </xsd:simpleType>
    </xsd:element>
    <xsd:element name="MediaServiceLocation" ma:index="41" nillable="true" ma:displayName="Location" ma:description="" ma:indexed="true" ma:internalName="MediaServiceLocation" ma:readOnly="true">
      <xsd:simpleType>
        <xsd:restriction base="dms:Text"/>
      </xsd:simple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a29bdd-637a-4f4b-b2b1-1338f72c8a40"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1117845-93f6-4da3-abaa-fcb4fa669c78" ContentTypeId="0x010100A5BF1C78D9F64B679A5EBDE1C6598EBC01" PreviousValue="false"/>
</file>

<file path=customXml/itemProps1.xml><?xml version="1.0" encoding="utf-8"?>
<ds:datastoreItem xmlns:ds="http://schemas.openxmlformats.org/officeDocument/2006/customXml" ds:itemID="{354436A1-A674-417F-A714-4D0DA381B915}">
  <ds:schemaRefs>
    <ds:schemaRef ds:uri="http://schemas.openxmlformats.org/officeDocument/2006/bibliography"/>
  </ds:schemaRefs>
</ds:datastoreItem>
</file>

<file path=customXml/itemProps2.xml><?xml version="1.0" encoding="utf-8"?>
<ds:datastoreItem xmlns:ds="http://schemas.openxmlformats.org/officeDocument/2006/customXml" ds:itemID="{CA9E4CF3-84AA-4B72-84CD-D888B2E21F4E}">
  <ds:schemaRefs>
    <ds:schemaRef ds:uri="http://schemas.microsoft.com/office/2006/metadata/properties"/>
    <ds:schemaRef ds:uri="http://schemas.microsoft.com/office/infopath/2007/PartnerControls"/>
    <ds:schemaRef ds:uri="662745e8-e224-48e8-a2e3-254862b8c2f5"/>
    <ds:schemaRef ds:uri="cd3c523b-aa8f-4804-a23e-31cb3efad401"/>
    <ds:schemaRef ds:uri="c2a29bdd-637a-4f4b-b2b1-1338f72c8a40"/>
    <ds:schemaRef ds:uri="http://schemas.microsoft.com/sharepoint/v3"/>
  </ds:schemaRefs>
</ds:datastoreItem>
</file>

<file path=customXml/itemProps3.xml><?xml version="1.0" encoding="utf-8"?>
<ds:datastoreItem xmlns:ds="http://schemas.openxmlformats.org/officeDocument/2006/customXml" ds:itemID="{08D66729-44F7-43C9-8379-75CDCCC19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745e8-e224-48e8-a2e3-254862b8c2f5"/>
    <ds:schemaRef ds:uri="cd3c523b-aa8f-4804-a23e-31cb3efad401"/>
    <ds:schemaRef ds:uri="c2a29bdd-637a-4f4b-b2b1-1338f72c8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C31793-AE3E-4B42-9F05-5A619E9D4D7E}">
  <ds:schemaRefs>
    <ds:schemaRef ds:uri="http://schemas.microsoft.com/sharepoint/v3/contenttype/forms"/>
  </ds:schemaRefs>
</ds:datastoreItem>
</file>

<file path=customXml/itemProps5.xml><?xml version="1.0" encoding="utf-8"?>
<ds:datastoreItem xmlns:ds="http://schemas.openxmlformats.org/officeDocument/2006/customXml" ds:itemID="{A5717DD0-B1F4-4C21-AB64-7FB12A2FF591}">
  <ds:schemaRefs>
    <ds:schemaRef ds:uri="Microsoft.SharePoint.Taxonomy.ContentTypeSync"/>
  </ds:schemaRefs>
</ds:datastoreItem>
</file>

<file path=docMetadata/LabelInfo.xml><?xml version="1.0" encoding="utf-8"?>
<clbl:labelList xmlns:clbl="http://schemas.microsoft.com/office/2020/mipLabelMetadata">
  <clbl:label id="{8512503c-7438-43fc-a439-aca987ed1611}" enabled="0" method="" siteId="{8512503c-7438-43fc-a439-aca987ed1611}" removed="1"/>
</clbl:labelList>
</file>

<file path=docProps/app.xml><?xml version="1.0" encoding="utf-8"?>
<Properties xmlns="http://schemas.openxmlformats.org/officeDocument/2006/extended-properties" xmlns:vt="http://schemas.openxmlformats.org/officeDocument/2006/docPropsVTypes">
  <Template>Normal</Template>
  <TotalTime>40</TotalTime>
  <Pages>19</Pages>
  <Words>9252</Words>
  <Characters>52743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Annual Review Template</vt:lpstr>
    </vt:vector>
  </TitlesOfParts>
  <Company/>
  <LinksUpToDate>false</LinksUpToDate>
  <CharactersWithSpaces>61872</CharactersWithSpaces>
  <SharedDoc>false</SharedDoc>
  <HLinks>
    <vt:vector size="42" baseType="variant">
      <vt:variant>
        <vt:i4>2424896</vt:i4>
      </vt:variant>
      <vt:variant>
        <vt:i4>15</vt:i4>
      </vt:variant>
      <vt:variant>
        <vt:i4>0</vt:i4>
      </vt:variant>
      <vt:variant>
        <vt:i4>5</vt:i4>
      </vt:variant>
      <vt:variant>
        <vt:lpwstr>https://www.ecobusiness.fund/fileadmin/user_upload/Publications/english/EBF_Impact_Report_2022_ENG_final_web.pdf</vt:lpwstr>
      </vt:variant>
      <vt:variant>
        <vt:lpwstr/>
      </vt:variant>
      <vt:variant>
        <vt:i4>5898311</vt:i4>
      </vt:variant>
      <vt:variant>
        <vt:i4>12</vt:i4>
      </vt:variant>
      <vt:variant>
        <vt:i4>0</vt:i4>
      </vt:variant>
      <vt:variant>
        <vt:i4>5</vt:i4>
      </vt:variant>
      <vt:variant>
        <vt:lpwstr>https://www.2xglobal.org/</vt:lpwstr>
      </vt:variant>
      <vt:variant>
        <vt:lpwstr/>
      </vt:variant>
      <vt:variant>
        <vt:i4>4325458</vt:i4>
      </vt:variant>
      <vt:variant>
        <vt:i4>9</vt:i4>
      </vt:variant>
      <vt:variant>
        <vt:i4>0</vt:i4>
      </vt:variant>
      <vt:variant>
        <vt:i4>5</vt:i4>
      </vt:variant>
      <vt:variant>
        <vt:lpwstr>https://impactfrontiers.org/norms/five-dimensions-of-impact/</vt:lpwstr>
      </vt:variant>
      <vt:variant>
        <vt:lpwstr/>
      </vt:variant>
      <vt:variant>
        <vt:i4>7274556</vt:i4>
      </vt:variant>
      <vt:variant>
        <vt:i4>6</vt:i4>
      </vt:variant>
      <vt:variant>
        <vt:i4>0</vt:i4>
      </vt:variant>
      <vt:variant>
        <vt:i4>5</vt:i4>
      </vt:variant>
      <vt:variant>
        <vt:lpwstr>https://www.ecobusiness.fund/fileadmin/user_upload/impact/the_pathway_to_impact/ecobusiness_Fund_Impact_Framework_Growing_Impact_2019.pdf</vt:lpwstr>
      </vt:variant>
      <vt:variant>
        <vt:lpwstr/>
      </vt:variant>
      <vt:variant>
        <vt:i4>4194350</vt:i4>
      </vt:variant>
      <vt:variant>
        <vt:i4>3</vt:i4>
      </vt:variant>
      <vt:variant>
        <vt:i4>0</vt:i4>
      </vt:variant>
      <vt:variant>
        <vt:i4>5</vt:i4>
      </vt:variant>
      <vt:variant>
        <vt:lpwstr>https://www.ecobusiness.fund/fileadmin/user_upload/impact/Theory_of_Change/EBF_Theory_of_change_2019.pdf</vt:lpwstr>
      </vt:variant>
      <vt:variant>
        <vt:lpwstr/>
      </vt:variant>
      <vt:variant>
        <vt:i4>5373961</vt:i4>
      </vt:variant>
      <vt:variant>
        <vt:i4>0</vt:i4>
      </vt:variant>
      <vt:variant>
        <vt:i4>0</vt:i4>
      </vt:variant>
      <vt:variant>
        <vt:i4>5</vt:i4>
      </vt:variant>
      <vt:variant>
        <vt:lpwstr>https://www.impactprinciples.org/</vt:lpwstr>
      </vt:variant>
      <vt:variant>
        <vt:lpwstr/>
      </vt:variant>
      <vt:variant>
        <vt:i4>852064</vt:i4>
      </vt:variant>
      <vt:variant>
        <vt:i4>0</vt:i4>
      </vt:variant>
      <vt:variant>
        <vt:i4>0</vt:i4>
      </vt:variant>
      <vt:variant>
        <vt:i4>5</vt:i4>
      </vt:variant>
      <vt:variant>
        <vt:lpwstr>mailto:Jake.Sales-Dupont@defra.gov.uk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Review Template</dc:title>
  <dc:subject>Annual Review Template</dc:subject>
  <dc:creator>William Norman</dc:creator>
  <cp:keywords/>
  <dc:description>from April 2020</dc:description>
  <cp:lastModifiedBy>Norman, William</cp:lastModifiedBy>
  <cp:revision>29</cp:revision>
  <dcterms:created xsi:type="dcterms:W3CDTF">2024-03-22T10:55:00Z</dcterms:created>
  <dcterms:modified xsi:type="dcterms:W3CDTF">2024-03-25T10:52:00Z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c996da-17fa-4fc5-8989-2758fb4cf86b_Enabled">
    <vt:lpwstr>true</vt:lpwstr>
  </property>
  <property fmtid="{D5CDD505-2E9C-101B-9397-08002B2CF9AE}" pid="3" name="MSIP_Label_e4c996da-17fa-4fc5-8989-2758fb4cf86b_SetDate">
    <vt:lpwstr>2020-03-30T16:49:07Z</vt:lpwstr>
  </property>
  <property fmtid="{D5CDD505-2E9C-101B-9397-08002B2CF9AE}" pid="4" name="MSIP_Label_e4c996da-17fa-4fc5-8989-2758fb4cf86b_Method">
    <vt:lpwstr>Privileged</vt:lpwstr>
  </property>
  <property fmtid="{D5CDD505-2E9C-101B-9397-08002B2CF9AE}" pid="5" name="MSIP_Label_e4c996da-17fa-4fc5-8989-2758fb4cf86b_Name">
    <vt:lpwstr>OFFICIAL</vt:lpwstr>
  </property>
  <property fmtid="{D5CDD505-2E9C-101B-9397-08002B2CF9AE}" pid="6" name="MSIP_Label_e4c996da-17fa-4fc5-8989-2758fb4cf86b_SiteId">
    <vt:lpwstr>cdf709af-1a18-4c74-bd93-6d14a64d73b3</vt:lpwstr>
  </property>
  <property fmtid="{D5CDD505-2E9C-101B-9397-08002B2CF9AE}" pid="7" name="MSIP_Label_e4c996da-17fa-4fc5-8989-2758fb4cf86b_ActionId">
    <vt:lpwstr>919708a4-416e-499e-8edc-0000a189eb48</vt:lpwstr>
  </property>
  <property fmtid="{D5CDD505-2E9C-101B-9397-08002B2CF9AE}" pid="8" name="MSIP_Label_e4c996da-17fa-4fc5-8989-2758fb4cf86b_ContentBits">
    <vt:lpwstr>1</vt:lpwstr>
  </property>
  <property fmtid="{D5CDD505-2E9C-101B-9397-08002B2CF9AE}" pid="9" name="Business Document Type">
    <vt:lpwstr>Annual review</vt:lpwstr>
  </property>
  <property fmtid="{D5CDD505-2E9C-101B-9397-08002B2CF9AE}" pid="10" name="InformationType">
    <vt:lpwstr/>
  </property>
  <property fmtid="{D5CDD505-2E9C-101B-9397-08002B2CF9AE}" pid="11" name="Distribution">
    <vt:lpwstr>11;#Internal Defra Group|0867f7b3-e76e-40ca-bb1f-5ba341a49230</vt:lpwstr>
  </property>
  <property fmtid="{D5CDD505-2E9C-101B-9397-08002B2CF9AE}" pid="12" name="MediaServiceImageTags">
    <vt:lpwstr/>
  </property>
  <property fmtid="{D5CDD505-2E9C-101B-9397-08002B2CF9AE}" pid="13" name="SecurityClassification">
    <vt:lpwstr/>
  </property>
  <property fmtid="{D5CDD505-2E9C-101B-9397-08002B2CF9AE}" pid="14" name="HOCopyrightLevel">
    <vt:lpwstr>7;#Crown|69589897-2828-4761-976e-717fd8e631c9</vt:lpwstr>
  </property>
  <property fmtid="{D5CDD505-2E9C-101B-9397-08002B2CF9AE}" pid="15" name="HOGovernmentSecurityClassification">
    <vt:lpwstr>6;#Official|14c80daa-741b-422c-9722-f71693c9ede4</vt:lpwstr>
  </property>
  <property fmtid="{D5CDD505-2E9C-101B-9397-08002B2CF9AE}" pid="16" name="HOSiteType">
    <vt:lpwstr>10;#Team|ff0485df-0575-416f-802f-e999165821b7</vt:lpwstr>
  </property>
  <property fmtid="{D5CDD505-2E9C-101B-9397-08002B2CF9AE}" pid="17" name="OrganisationalUnit">
    <vt:lpwstr>8;#Core Defra|026223dd-2e56-4615-868d-7c5bfd566810</vt:lpwstr>
  </property>
  <property fmtid="{D5CDD505-2E9C-101B-9397-08002B2CF9AE}" pid="18" name="Directorate">
    <vt:lpwstr/>
  </property>
  <property fmtid="{D5CDD505-2E9C-101B-9397-08002B2CF9AE}" pid="19" name="lcf76f155ced4ddcb4097134ff3c332f">
    <vt:lpwstr/>
  </property>
  <property fmtid="{D5CDD505-2E9C-101B-9397-08002B2CF9AE}" pid="20" name="HOFrom">
    <vt:lpwstr/>
  </property>
  <property fmtid="{D5CDD505-2E9C-101B-9397-08002B2CF9AE}" pid="21" name="xd_ProgID">
    <vt:lpwstr/>
  </property>
  <property fmtid="{D5CDD505-2E9C-101B-9397-08002B2CF9AE}" pid="22" name="ComplianceAssetId">
    <vt:lpwstr/>
  </property>
  <property fmtid="{D5CDD505-2E9C-101B-9397-08002B2CF9AE}" pid="23" name="TemplateUrl">
    <vt:lpwstr/>
  </property>
  <property fmtid="{D5CDD505-2E9C-101B-9397-08002B2CF9AE}" pid="24" name="_ExtendedDescription">
    <vt:lpwstr/>
  </property>
  <property fmtid="{D5CDD505-2E9C-101B-9397-08002B2CF9AE}" pid="25" name="vti_imgdate">
    <vt:lpwstr/>
  </property>
  <property fmtid="{D5CDD505-2E9C-101B-9397-08002B2CF9AE}" pid="26" name="xd_Signature">
    <vt:bool>false</vt:bool>
  </property>
  <property fmtid="{D5CDD505-2E9C-101B-9397-08002B2CF9AE}" pid="27" name="HOSubject">
    <vt:lpwstr/>
  </property>
  <property fmtid="{D5CDD505-2E9C-101B-9397-08002B2CF9AE}" pid="28" name="wic_System_Copyright">
    <vt:lpwstr/>
  </property>
  <property fmtid="{D5CDD505-2E9C-101B-9397-08002B2CF9AE}" pid="29" name="HOCC">
    <vt:lpwstr/>
  </property>
  <property fmtid="{D5CDD505-2E9C-101B-9397-08002B2CF9AE}" pid="30" name="TriggerFlowInfo">
    <vt:lpwstr/>
  </property>
  <property fmtid="{D5CDD505-2E9C-101B-9397-08002B2CF9AE}" pid="31" name="HOTo">
    <vt:lpwstr/>
  </property>
  <property fmtid="{D5CDD505-2E9C-101B-9397-08002B2CF9AE}" pid="32" name="ContentTypeId">
    <vt:lpwstr>0x0101008E21DDD0E179D748A3896F9799B4AF54</vt:lpwstr>
  </property>
</Properties>
</file>