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9FF65" w14:textId="7621E1EB" w:rsidR="50E70105" w:rsidRPr="00A54B18" w:rsidRDefault="00852D60" w:rsidP="5E2BA3C3">
      <w:pPr>
        <w:jc w:val="center"/>
        <w:rPr>
          <w:rStyle w:val="normaltextrun"/>
          <w:rFonts w:eastAsia="Arial" w:cs="Arial"/>
          <w:b/>
          <w:bCs/>
          <w:color w:val="000000" w:themeColor="text1"/>
          <w:sz w:val="28"/>
          <w:szCs w:val="28"/>
        </w:rPr>
      </w:pPr>
      <w:r w:rsidRPr="5E2BA3C3">
        <w:rPr>
          <w:rStyle w:val="normaltextrun"/>
          <w:rFonts w:eastAsia="Arial" w:cs="Arial"/>
          <w:b/>
          <w:bCs/>
          <w:color w:val="000000" w:themeColor="text1"/>
          <w:sz w:val="28"/>
          <w:szCs w:val="28"/>
        </w:rPr>
        <w:t>e</w:t>
      </w:r>
      <w:r w:rsidR="21B9E5E1" w:rsidRPr="5E2BA3C3">
        <w:rPr>
          <w:rStyle w:val="normaltextrun"/>
          <w:rFonts w:eastAsia="Arial" w:cs="Arial"/>
          <w:b/>
          <w:bCs/>
          <w:color w:val="000000" w:themeColor="text1"/>
          <w:sz w:val="28"/>
          <w:szCs w:val="28"/>
        </w:rPr>
        <w:t>co.</w:t>
      </w:r>
      <w:r w:rsidRPr="5E2BA3C3">
        <w:rPr>
          <w:rStyle w:val="normaltextrun"/>
          <w:rFonts w:eastAsia="Arial" w:cs="Arial"/>
          <w:b/>
          <w:bCs/>
          <w:color w:val="000000" w:themeColor="text1"/>
          <w:sz w:val="28"/>
          <w:szCs w:val="28"/>
        </w:rPr>
        <w:t>b</w:t>
      </w:r>
      <w:r w:rsidR="21B9E5E1" w:rsidRPr="5E2BA3C3">
        <w:rPr>
          <w:rStyle w:val="normaltextrun"/>
          <w:rFonts w:eastAsia="Arial" w:cs="Arial"/>
          <w:b/>
          <w:bCs/>
          <w:color w:val="000000" w:themeColor="text1"/>
          <w:sz w:val="28"/>
          <w:szCs w:val="28"/>
        </w:rPr>
        <w:t>usiness Fund Annual Review 202</w:t>
      </w:r>
      <w:r w:rsidR="1F761DA0" w:rsidRPr="5E2BA3C3">
        <w:rPr>
          <w:rStyle w:val="normaltextrun"/>
          <w:rFonts w:eastAsia="Arial" w:cs="Arial"/>
          <w:b/>
          <w:bCs/>
          <w:color w:val="000000" w:themeColor="text1"/>
          <w:sz w:val="28"/>
          <w:szCs w:val="28"/>
        </w:rPr>
        <w:t>3</w:t>
      </w:r>
    </w:p>
    <w:p w14:paraId="4F1FFEFD" w14:textId="77777777" w:rsidR="006F3AE7" w:rsidRPr="00A54B18" w:rsidRDefault="006F3AE7" w:rsidP="005E557A">
      <w:pPr>
        <w:rPr>
          <w:rFonts w:eastAsia="Arial" w:cs="Arial"/>
          <w:b/>
          <w:bCs/>
          <w:sz w:val="22"/>
          <w:szCs w:val="22"/>
        </w:rPr>
      </w:pPr>
    </w:p>
    <w:tbl>
      <w:tblPr>
        <w:tblStyle w:val="TableGrid"/>
        <w:tblW w:w="0" w:type="auto"/>
        <w:tblLook w:val="04A0" w:firstRow="1" w:lastRow="0" w:firstColumn="1" w:lastColumn="0" w:noHBand="0" w:noVBand="1"/>
      </w:tblPr>
      <w:tblGrid>
        <w:gridCol w:w="3964"/>
        <w:gridCol w:w="2410"/>
        <w:gridCol w:w="2642"/>
      </w:tblGrid>
      <w:tr w:rsidR="006F3AE7" w:rsidRPr="00A54B18" w14:paraId="47F4281E" w14:textId="77777777" w:rsidTr="5E2BA3C3">
        <w:trPr>
          <w:trHeight w:val="407"/>
        </w:trPr>
        <w:tc>
          <w:tcPr>
            <w:tcW w:w="9016" w:type="dxa"/>
            <w:gridSpan w:val="3"/>
            <w:tcBorders>
              <w:top w:val="single" w:sz="4" w:space="0" w:color="auto"/>
              <w:left w:val="single" w:sz="4" w:space="0" w:color="auto"/>
              <w:bottom w:val="dotted" w:sz="2" w:space="0" w:color="000000" w:themeColor="text1"/>
              <w:right w:val="single" w:sz="4" w:space="0" w:color="auto"/>
            </w:tcBorders>
          </w:tcPr>
          <w:p w14:paraId="19861584" w14:textId="67D31D12" w:rsidR="006F3AE7" w:rsidRPr="00A54B18" w:rsidRDefault="7232A90E" w:rsidP="005E557A">
            <w:pPr>
              <w:rPr>
                <w:rFonts w:eastAsia="Arial" w:cs="Arial"/>
                <w:b/>
                <w:bCs/>
                <w:sz w:val="20"/>
                <w:szCs w:val="20"/>
              </w:rPr>
            </w:pPr>
            <w:r w:rsidRPr="00A54B18">
              <w:rPr>
                <w:rFonts w:eastAsia="Arial" w:cs="Arial"/>
                <w:b/>
                <w:bCs/>
                <w:sz w:val="20"/>
                <w:szCs w:val="20"/>
              </w:rPr>
              <w:t xml:space="preserve">Title:  </w:t>
            </w:r>
            <w:r w:rsidR="00852D60" w:rsidRPr="00A54B18">
              <w:rPr>
                <w:rFonts w:eastAsia="Arial" w:cs="Arial"/>
                <w:b/>
                <w:bCs/>
                <w:sz w:val="20"/>
                <w:szCs w:val="20"/>
              </w:rPr>
              <w:t>e</w:t>
            </w:r>
            <w:r w:rsidRPr="00A54B18">
              <w:rPr>
                <w:rFonts w:eastAsia="Arial" w:cs="Arial"/>
                <w:b/>
                <w:bCs/>
                <w:sz w:val="20"/>
                <w:szCs w:val="20"/>
              </w:rPr>
              <w:t>co.</w:t>
            </w:r>
            <w:r w:rsidR="00852D60" w:rsidRPr="00A54B18">
              <w:rPr>
                <w:rFonts w:eastAsia="Arial" w:cs="Arial"/>
                <w:b/>
                <w:bCs/>
                <w:sz w:val="20"/>
                <w:szCs w:val="20"/>
              </w:rPr>
              <w:t>b</w:t>
            </w:r>
            <w:r w:rsidRPr="00A54B18">
              <w:rPr>
                <w:rFonts w:eastAsia="Arial" w:cs="Arial"/>
                <w:b/>
                <w:bCs/>
                <w:sz w:val="20"/>
                <w:szCs w:val="20"/>
              </w:rPr>
              <w:t>usiness Fund</w:t>
            </w:r>
          </w:p>
        </w:tc>
      </w:tr>
      <w:tr w:rsidR="006F3AE7" w:rsidRPr="00A54B18" w14:paraId="0D529975" w14:textId="77777777" w:rsidTr="5E2BA3C3">
        <w:trPr>
          <w:trHeight w:val="413"/>
        </w:trPr>
        <w:tc>
          <w:tcPr>
            <w:tcW w:w="6374" w:type="dxa"/>
            <w:gridSpan w:val="2"/>
            <w:tcBorders>
              <w:top w:val="dotted" w:sz="2" w:space="0" w:color="000000" w:themeColor="text1"/>
              <w:left w:val="single" w:sz="4" w:space="0" w:color="000000" w:themeColor="text1"/>
              <w:bottom w:val="dotted" w:sz="2" w:space="0" w:color="000000" w:themeColor="text1"/>
              <w:right w:val="dotted" w:sz="2" w:space="0" w:color="000000" w:themeColor="text1"/>
            </w:tcBorders>
            <w:hideMark/>
          </w:tcPr>
          <w:p w14:paraId="7CB3E574" w14:textId="62EB1A73" w:rsidR="006F3AE7" w:rsidRPr="00A54B18" w:rsidRDefault="7232A90E" w:rsidP="005E557A">
            <w:pPr>
              <w:rPr>
                <w:rFonts w:eastAsia="Arial" w:cs="Arial"/>
                <w:b/>
                <w:bCs/>
                <w:sz w:val="20"/>
                <w:szCs w:val="20"/>
              </w:rPr>
            </w:pPr>
            <w:r w:rsidRPr="00A54B18">
              <w:rPr>
                <w:rFonts w:eastAsia="Arial" w:cs="Arial"/>
                <w:b/>
                <w:bCs/>
                <w:sz w:val="20"/>
                <w:szCs w:val="20"/>
              </w:rPr>
              <w:t>Programme Value £ (full life): £32.6</w:t>
            </w:r>
            <w:r w:rsidR="005C4991" w:rsidRPr="00A54B18">
              <w:rPr>
                <w:rFonts w:eastAsia="Arial" w:cs="Arial"/>
                <w:b/>
                <w:bCs/>
                <w:sz w:val="20"/>
                <w:szCs w:val="20"/>
              </w:rPr>
              <w:t>m</w:t>
            </w:r>
          </w:p>
        </w:tc>
        <w:tc>
          <w:tcPr>
            <w:tcW w:w="2642" w:type="dxa"/>
            <w:tcBorders>
              <w:top w:val="dotted" w:sz="2" w:space="0" w:color="000000" w:themeColor="text1"/>
              <w:left w:val="dotted" w:sz="2" w:space="0" w:color="000000" w:themeColor="text1"/>
              <w:bottom w:val="dotted" w:sz="2" w:space="0" w:color="000000" w:themeColor="text1"/>
              <w:right w:val="single" w:sz="4" w:space="0" w:color="000000" w:themeColor="text1"/>
            </w:tcBorders>
            <w:hideMark/>
          </w:tcPr>
          <w:p w14:paraId="1C769C30" w14:textId="42A35BA8" w:rsidR="006F3AE7" w:rsidRPr="00A54B18" w:rsidRDefault="7232A90E" w:rsidP="005E557A">
            <w:pPr>
              <w:rPr>
                <w:rFonts w:eastAsia="Arial" w:cs="Arial"/>
                <w:b/>
                <w:bCs/>
                <w:sz w:val="20"/>
                <w:szCs w:val="20"/>
              </w:rPr>
            </w:pPr>
            <w:r w:rsidRPr="5E2BA3C3">
              <w:rPr>
                <w:rFonts w:eastAsia="Arial" w:cs="Arial"/>
                <w:b/>
                <w:bCs/>
                <w:sz w:val="20"/>
                <w:szCs w:val="20"/>
              </w:rPr>
              <w:t xml:space="preserve">Review </w:t>
            </w:r>
            <w:r w:rsidR="6F6CCBE3" w:rsidRPr="5E2BA3C3">
              <w:rPr>
                <w:rFonts w:eastAsia="Arial" w:cs="Arial"/>
                <w:b/>
                <w:bCs/>
                <w:sz w:val="20"/>
                <w:szCs w:val="20"/>
              </w:rPr>
              <w:t>d</w:t>
            </w:r>
            <w:r w:rsidRPr="5E2BA3C3">
              <w:rPr>
                <w:rFonts w:eastAsia="Arial" w:cs="Arial"/>
                <w:b/>
                <w:bCs/>
                <w:sz w:val="20"/>
                <w:szCs w:val="20"/>
              </w:rPr>
              <w:t xml:space="preserve">ate: </w:t>
            </w:r>
            <w:r w:rsidR="4E8E60BD" w:rsidRPr="5E2BA3C3">
              <w:rPr>
                <w:rFonts w:eastAsia="Arial" w:cs="Arial"/>
                <w:b/>
                <w:bCs/>
                <w:sz w:val="20"/>
                <w:szCs w:val="20"/>
              </w:rPr>
              <w:t>June-September 2024</w:t>
            </w:r>
          </w:p>
        </w:tc>
      </w:tr>
      <w:tr w:rsidR="006F3AE7" w:rsidRPr="00A54B18" w14:paraId="7BCDC10B" w14:textId="77777777" w:rsidTr="5E2BA3C3">
        <w:trPr>
          <w:trHeight w:val="300"/>
        </w:trPr>
        <w:tc>
          <w:tcPr>
            <w:tcW w:w="3964" w:type="dxa"/>
            <w:tcBorders>
              <w:top w:val="dotted" w:sz="2" w:space="0" w:color="000000" w:themeColor="text1"/>
              <w:left w:val="single" w:sz="4" w:space="0" w:color="auto"/>
              <w:bottom w:val="single" w:sz="4" w:space="0" w:color="auto"/>
              <w:right w:val="dotted" w:sz="2" w:space="0" w:color="000000" w:themeColor="text1"/>
            </w:tcBorders>
          </w:tcPr>
          <w:p w14:paraId="0C963E24" w14:textId="17369201" w:rsidR="006F3AE7" w:rsidRPr="00A54B18" w:rsidRDefault="7232A90E" w:rsidP="005E557A">
            <w:pPr>
              <w:rPr>
                <w:rFonts w:eastAsia="Arial" w:cs="Arial"/>
                <w:sz w:val="20"/>
                <w:szCs w:val="20"/>
              </w:rPr>
            </w:pPr>
            <w:r w:rsidRPr="00A54B18">
              <w:rPr>
                <w:rFonts w:eastAsia="Arial" w:cs="Arial"/>
                <w:b/>
                <w:bCs/>
                <w:sz w:val="20"/>
                <w:szCs w:val="20"/>
              </w:rPr>
              <w:t>Programme Code:</w:t>
            </w:r>
            <w:r w:rsidRPr="00A54B18">
              <w:rPr>
                <w:rFonts w:eastAsia="Arial" w:cs="Arial"/>
                <w:sz w:val="20"/>
                <w:szCs w:val="20"/>
              </w:rPr>
              <w:t xml:space="preserve"> </w:t>
            </w:r>
            <w:r w:rsidR="21B9E5E1" w:rsidRPr="00A54B18">
              <w:rPr>
                <w:rFonts w:eastAsia="Arial" w:cs="Arial"/>
                <w:sz w:val="20"/>
                <w:szCs w:val="20"/>
              </w:rPr>
              <w:t>GB-GOV-GB-7-P00052-ICF-P0003-ECO.B</w:t>
            </w:r>
          </w:p>
        </w:tc>
        <w:tc>
          <w:tcPr>
            <w:tcW w:w="2410" w:type="dxa"/>
            <w:tcBorders>
              <w:top w:val="dotted" w:sz="2" w:space="0" w:color="000000" w:themeColor="text1"/>
              <w:left w:val="dotted" w:sz="2" w:space="0" w:color="000000" w:themeColor="text1"/>
              <w:bottom w:val="single" w:sz="4" w:space="0" w:color="000000" w:themeColor="text1"/>
              <w:right w:val="dotted" w:sz="2" w:space="0" w:color="000000" w:themeColor="text1"/>
            </w:tcBorders>
            <w:hideMark/>
          </w:tcPr>
          <w:p w14:paraId="086469CF" w14:textId="4D843757" w:rsidR="006F3AE7" w:rsidRPr="00A54B18" w:rsidRDefault="6F6CCBE3" w:rsidP="005E557A">
            <w:pPr>
              <w:rPr>
                <w:rFonts w:eastAsia="Arial" w:cs="Arial"/>
                <w:b/>
                <w:bCs/>
                <w:sz w:val="20"/>
                <w:szCs w:val="20"/>
              </w:rPr>
            </w:pPr>
            <w:r w:rsidRPr="00A54B18">
              <w:rPr>
                <w:rFonts w:eastAsia="Arial" w:cs="Arial"/>
                <w:b/>
                <w:bCs/>
                <w:sz w:val="20"/>
                <w:szCs w:val="20"/>
              </w:rPr>
              <w:t>Start d</w:t>
            </w:r>
            <w:r w:rsidR="7232A90E" w:rsidRPr="00A54B18">
              <w:rPr>
                <w:rFonts w:eastAsia="Arial" w:cs="Arial"/>
                <w:b/>
                <w:bCs/>
                <w:sz w:val="20"/>
                <w:szCs w:val="20"/>
              </w:rPr>
              <w:t>ate:</w:t>
            </w:r>
            <w:r w:rsidR="7232A90E" w:rsidRPr="00A54B18">
              <w:rPr>
                <w:rFonts w:eastAsia="Arial" w:cs="Arial"/>
                <w:sz w:val="20"/>
                <w:szCs w:val="20"/>
              </w:rPr>
              <w:t xml:space="preserve"> </w:t>
            </w:r>
            <w:r w:rsidR="21B9E5E1" w:rsidRPr="00A54B18">
              <w:rPr>
                <w:rFonts w:eastAsia="Arial" w:cs="Arial"/>
                <w:sz w:val="20"/>
                <w:szCs w:val="20"/>
              </w:rPr>
              <w:t xml:space="preserve">Fund inception: January 2015  </w:t>
            </w:r>
          </w:p>
          <w:p w14:paraId="45976266" w14:textId="43D1C5E4" w:rsidR="006F3AE7" w:rsidRPr="00A54B18" w:rsidRDefault="21B9E5E1" w:rsidP="005E557A">
            <w:pPr>
              <w:rPr>
                <w:rFonts w:eastAsia="Arial" w:cs="Arial"/>
                <w:sz w:val="20"/>
                <w:szCs w:val="20"/>
              </w:rPr>
            </w:pPr>
            <w:r w:rsidRPr="00A54B18">
              <w:rPr>
                <w:rFonts w:eastAsia="Arial" w:cs="Arial"/>
                <w:sz w:val="20"/>
                <w:szCs w:val="20"/>
              </w:rPr>
              <w:t xml:space="preserve">Promissory Note (£20m): December 2015  </w:t>
            </w:r>
          </w:p>
          <w:p w14:paraId="7ADA9748" w14:textId="35BD96A0" w:rsidR="006F3AE7" w:rsidRPr="00A54B18" w:rsidRDefault="21B9E5E1" w:rsidP="005E557A">
            <w:pPr>
              <w:rPr>
                <w:rFonts w:eastAsia="Arial" w:cs="Arial"/>
                <w:sz w:val="20"/>
                <w:szCs w:val="20"/>
              </w:rPr>
            </w:pPr>
            <w:r w:rsidRPr="00A54B18">
              <w:rPr>
                <w:rFonts w:eastAsia="Arial" w:cs="Arial"/>
                <w:sz w:val="20"/>
                <w:szCs w:val="20"/>
              </w:rPr>
              <w:t>Further investment (£12.6m): December 2019</w:t>
            </w:r>
          </w:p>
        </w:tc>
        <w:tc>
          <w:tcPr>
            <w:tcW w:w="2642" w:type="dxa"/>
            <w:tcBorders>
              <w:top w:val="dotted" w:sz="2" w:space="0" w:color="000000" w:themeColor="text1"/>
              <w:left w:val="dotted" w:sz="2" w:space="0" w:color="000000" w:themeColor="text1"/>
              <w:bottom w:val="single" w:sz="4" w:space="0" w:color="auto"/>
              <w:right w:val="single" w:sz="4" w:space="0" w:color="auto"/>
            </w:tcBorders>
            <w:hideMark/>
          </w:tcPr>
          <w:p w14:paraId="2EEAABCE" w14:textId="27DE07BA" w:rsidR="006F3AE7" w:rsidRPr="00A54B18" w:rsidRDefault="6F6CCBE3" w:rsidP="005E557A">
            <w:pPr>
              <w:rPr>
                <w:rFonts w:eastAsia="Arial" w:cs="Arial"/>
                <w:b/>
                <w:bCs/>
                <w:sz w:val="20"/>
                <w:szCs w:val="20"/>
              </w:rPr>
            </w:pPr>
            <w:r w:rsidRPr="00A54B18">
              <w:rPr>
                <w:rFonts w:eastAsia="Arial" w:cs="Arial"/>
                <w:b/>
                <w:bCs/>
                <w:sz w:val="20"/>
                <w:szCs w:val="20"/>
              </w:rPr>
              <w:t>End d</w:t>
            </w:r>
            <w:r w:rsidR="7232A90E" w:rsidRPr="00A54B18">
              <w:rPr>
                <w:rFonts w:eastAsia="Arial" w:cs="Arial"/>
                <w:b/>
                <w:bCs/>
                <w:sz w:val="20"/>
                <w:szCs w:val="20"/>
              </w:rPr>
              <w:t>ate:</w:t>
            </w:r>
            <w:r w:rsidR="7232A90E" w:rsidRPr="00A54B18">
              <w:rPr>
                <w:rFonts w:eastAsia="Arial" w:cs="Arial"/>
                <w:sz w:val="20"/>
                <w:szCs w:val="20"/>
              </w:rPr>
              <w:t xml:space="preserve"> </w:t>
            </w:r>
            <w:r w:rsidR="21B9E5E1" w:rsidRPr="00A54B18">
              <w:rPr>
                <w:rFonts w:eastAsia="Arial" w:cs="Arial"/>
                <w:sz w:val="20"/>
                <w:szCs w:val="20"/>
              </w:rPr>
              <w:t xml:space="preserve">Provision for the Department for Environment, Food and Rural Affairs (Defra) investment to be returned in December 2030 and 2035 respectively  </w:t>
            </w:r>
          </w:p>
        </w:tc>
      </w:tr>
    </w:tbl>
    <w:p w14:paraId="1F73C094" w14:textId="77777777" w:rsidR="006F3AE7" w:rsidRPr="00A54B18" w:rsidRDefault="006F3AE7" w:rsidP="005E557A">
      <w:pPr>
        <w:rPr>
          <w:rFonts w:eastAsia="Arial" w:cs="Arial"/>
          <w:b/>
          <w:bCs/>
          <w:sz w:val="22"/>
          <w:szCs w:val="22"/>
        </w:rPr>
      </w:pPr>
    </w:p>
    <w:p w14:paraId="36AFB1BA" w14:textId="77777777" w:rsidR="006F3AE7" w:rsidRPr="00A54B18" w:rsidRDefault="7232A90E" w:rsidP="005E557A">
      <w:pPr>
        <w:rPr>
          <w:rFonts w:eastAsia="Arial" w:cs="Arial"/>
          <w:b/>
          <w:bCs/>
          <w:sz w:val="22"/>
          <w:szCs w:val="22"/>
        </w:rPr>
      </w:pPr>
      <w:r w:rsidRPr="00A54B18">
        <w:rPr>
          <w:rFonts w:eastAsia="Arial" w:cs="Arial"/>
          <w:b/>
          <w:bCs/>
          <w:sz w:val="22"/>
          <w:szCs w:val="22"/>
        </w:rPr>
        <w:t xml:space="preserve">Summary of Programme Performance </w:t>
      </w:r>
    </w:p>
    <w:tbl>
      <w:tblPr>
        <w:tblStyle w:val="TableGrid"/>
        <w:tblW w:w="9024" w:type="dxa"/>
        <w:tblLook w:val="04A0" w:firstRow="1" w:lastRow="0" w:firstColumn="1" w:lastColumn="0" w:noHBand="0" w:noVBand="1"/>
      </w:tblPr>
      <w:tblGrid>
        <w:gridCol w:w="2122"/>
        <w:gridCol w:w="1134"/>
        <w:gridCol w:w="1134"/>
        <w:gridCol w:w="1134"/>
        <w:gridCol w:w="1134"/>
        <w:gridCol w:w="1134"/>
        <w:gridCol w:w="1232"/>
      </w:tblGrid>
      <w:tr w:rsidR="00371C67" w:rsidRPr="00A54B18" w14:paraId="3FAAC49F" w14:textId="0E9D64AA" w:rsidTr="5E2BA3C3">
        <w:trPr>
          <w:trHeight w:val="302"/>
        </w:trPr>
        <w:tc>
          <w:tcPr>
            <w:tcW w:w="21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41FCBF" w14:textId="77777777" w:rsidR="00371C67" w:rsidRPr="00A54B18" w:rsidRDefault="00371C67" w:rsidP="005E557A">
            <w:pPr>
              <w:rPr>
                <w:rFonts w:eastAsia="Arial" w:cs="Arial"/>
                <w:sz w:val="20"/>
                <w:szCs w:val="20"/>
              </w:rPr>
            </w:pPr>
            <w:r w:rsidRPr="00A54B18">
              <w:rPr>
                <w:rFonts w:eastAsia="Arial" w:cs="Arial"/>
                <w:sz w:val="20"/>
                <w:szCs w:val="20"/>
              </w:rPr>
              <w:t>Year</w:t>
            </w:r>
          </w:p>
        </w:tc>
        <w:tc>
          <w:tcPr>
            <w:tcW w:w="1134" w:type="dxa"/>
            <w:tcBorders>
              <w:top w:val="single" w:sz="4" w:space="0" w:color="auto"/>
              <w:left w:val="single" w:sz="4" w:space="0" w:color="auto"/>
              <w:bottom w:val="single" w:sz="4" w:space="0" w:color="auto"/>
              <w:right w:val="single" w:sz="4" w:space="0" w:color="auto"/>
            </w:tcBorders>
          </w:tcPr>
          <w:p w14:paraId="4142BE6C" w14:textId="2B1904BA" w:rsidR="00371C67" w:rsidRPr="00A54B18" w:rsidRDefault="00371C67" w:rsidP="006124BF">
            <w:pPr>
              <w:jc w:val="center"/>
              <w:rPr>
                <w:rFonts w:eastAsia="Arial" w:cs="Arial"/>
                <w:b/>
                <w:bCs/>
                <w:sz w:val="20"/>
                <w:szCs w:val="20"/>
              </w:rPr>
            </w:pPr>
            <w:r w:rsidRPr="00A54B18">
              <w:rPr>
                <w:rFonts w:eastAsia="Arial" w:cs="Arial"/>
                <w:b/>
                <w:bCs/>
                <w:sz w:val="20"/>
                <w:szCs w:val="20"/>
              </w:rPr>
              <w:t>2018</w:t>
            </w:r>
          </w:p>
        </w:tc>
        <w:tc>
          <w:tcPr>
            <w:tcW w:w="1134" w:type="dxa"/>
            <w:tcBorders>
              <w:top w:val="single" w:sz="4" w:space="0" w:color="auto"/>
              <w:left w:val="single" w:sz="4" w:space="0" w:color="auto"/>
              <w:bottom w:val="single" w:sz="4" w:space="0" w:color="auto"/>
              <w:right w:val="single" w:sz="4" w:space="0" w:color="auto"/>
            </w:tcBorders>
          </w:tcPr>
          <w:p w14:paraId="388FF97F" w14:textId="5967C163" w:rsidR="00371C67" w:rsidRPr="00A54B18" w:rsidRDefault="00371C67" w:rsidP="006124BF">
            <w:pPr>
              <w:jc w:val="center"/>
              <w:rPr>
                <w:rFonts w:eastAsia="Arial" w:cs="Arial"/>
                <w:b/>
                <w:bCs/>
                <w:sz w:val="20"/>
                <w:szCs w:val="20"/>
              </w:rPr>
            </w:pPr>
            <w:r w:rsidRPr="00A54B18">
              <w:rPr>
                <w:rFonts w:eastAsia="Arial" w:cs="Arial"/>
                <w:b/>
                <w:bCs/>
                <w:sz w:val="20"/>
                <w:szCs w:val="20"/>
              </w:rPr>
              <w:t>2019</w:t>
            </w:r>
          </w:p>
        </w:tc>
        <w:tc>
          <w:tcPr>
            <w:tcW w:w="1134" w:type="dxa"/>
            <w:tcBorders>
              <w:top w:val="single" w:sz="4" w:space="0" w:color="auto"/>
              <w:left w:val="single" w:sz="4" w:space="0" w:color="auto"/>
              <w:bottom w:val="single" w:sz="4" w:space="0" w:color="auto"/>
              <w:right w:val="single" w:sz="4" w:space="0" w:color="auto"/>
            </w:tcBorders>
          </w:tcPr>
          <w:p w14:paraId="066342D3" w14:textId="0151EE72" w:rsidR="00371C67" w:rsidRPr="00A54B18" w:rsidRDefault="00371C67" w:rsidP="006124BF">
            <w:pPr>
              <w:jc w:val="center"/>
              <w:rPr>
                <w:rFonts w:eastAsia="Arial" w:cs="Arial"/>
                <w:b/>
                <w:bCs/>
                <w:sz w:val="20"/>
                <w:szCs w:val="20"/>
              </w:rPr>
            </w:pPr>
            <w:r w:rsidRPr="00A54B18">
              <w:rPr>
                <w:rFonts w:eastAsia="Arial" w:cs="Arial"/>
                <w:b/>
                <w:bCs/>
                <w:sz w:val="20"/>
                <w:szCs w:val="20"/>
              </w:rPr>
              <w:t>2020</w:t>
            </w:r>
          </w:p>
        </w:tc>
        <w:tc>
          <w:tcPr>
            <w:tcW w:w="1134" w:type="dxa"/>
            <w:tcBorders>
              <w:top w:val="single" w:sz="4" w:space="0" w:color="auto"/>
              <w:left w:val="single" w:sz="4" w:space="0" w:color="auto"/>
              <w:bottom w:val="single" w:sz="4" w:space="0" w:color="auto"/>
              <w:right w:val="single" w:sz="4" w:space="0" w:color="auto"/>
            </w:tcBorders>
          </w:tcPr>
          <w:p w14:paraId="29074948" w14:textId="31CBFE8F" w:rsidR="00371C67" w:rsidRPr="00A54B18" w:rsidRDefault="00371C67" w:rsidP="006124BF">
            <w:pPr>
              <w:jc w:val="center"/>
              <w:rPr>
                <w:rFonts w:eastAsia="Arial" w:cs="Arial"/>
                <w:b/>
                <w:bCs/>
                <w:sz w:val="20"/>
                <w:szCs w:val="20"/>
              </w:rPr>
            </w:pPr>
            <w:r w:rsidRPr="00A54B18">
              <w:rPr>
                <w:rFonts w:eastAsia="Arial" w:cs="Arial"/>
                <w:b/>
                <w:bCs/>
                <w:sz w:val="20"/>
                <w:szCs w:val="20"/>
              </w:rPr>
              <w:t>2021</w:t>
            </w:r>
          </w:p>
        </w:tc>
        <w:tc>
          <w:tcPr>
            <w:tcW w:w="1134" w:type="dxa"/>
            <w:tcBorders>
              <w:top w:val="single" w:sz="4" w:space="0" w:color="auto"/>
              <w:left w:val="single" w:sz="4" w:space="0" w:color="auto"/>
              <w:bottom w:val="single" w:sz="4" w:space="0" w:color="auto"/>
              <w:right w:val="single" w:sz="4" w:space="0" w:color="auto"/>
            </w:tcBorders>
          </w:tcPr>
          <w:p w14:paraId="3D1B7432" w14:textId="2161EC4C" w:rsidR="00371C67" w:rsidRPr="00A54B18" w:rsidRDefault="00371C67" w:rsidP="006124BF">
            <w:pPr>
              <w:jc w:val="center"/>
              <w:rPr>
                <w:rFonts w:eastAsia="Arial" w:cs="Arial"/>
                <w:b/>
                <w:bCs/>
                <w:sz w:val="20"/>
                <w:szCs w:val="20"/>
              </w:rPr>
            </w:pPr>
            <w:r>
              <w:rPr>
                <w:rFonts w:eastAsia="Arial" w:cs="Arial"/>
                <w:b/>
                <w:bCs/>
                <w:sz w:val="20"/>
                <w:szCs w:val="20"/>
              </w:rPr>
              <w:t>2022</w:t>
            </w:r>
          </w:p>
        </w:tc>
        <w:tc>
          <w:tcPr>
            <w:tcW w:w="1232" w:type="dxa"/>
            <w:tcBorders>
              <w:top w:val="single" w:sz="4" w:space="0" w:color="auto"/>
              <w:left w:val="single" w:sz="4" w:space="0" w:color="auto"/>
              <w:bottom w:val="single" w:sz="4" w:space="0" w:color="auto"/>
              <w:right w:val="single" w:sz="4" w:space="0" w:color="auto"/>
            </w:tcBorders>
          </w:tcPr>
          <w:p w14:paraId="472B7F36" w14:textId="4B447207" w:rsidR="00371C67" w:rsidRDefault="006124BF" w:rsidP="006124BF">
            <w:pPr>
              <w:jc w:val="center"/>
              <w:rPr>
                <w:rFonts w:eastAsia="Arial" w:cs="Arial"/>
                <w:b/>
                <w:bCs/>
                <w:sz w:val="20"/>
                <w:szCs w:val="20"/>
              </w:rPr>
            </w:pPr>
            <w:r>
              <w:rPr>
                <w:rFonts w:eastAsia="Arial" w:cs="Arial"/>
                <w:b/>
                <w:bCs/>
                <w:sz w:val="20"/>
                <w:szCs w:val="20"/>
              </w:rPr>
              <w:t>2023</w:t>
            </w:r>
          </w:p>
        </w:tc>
      </w:tr>
      <w:tr w:rsidR="00371C67" w:rsidRPr="00A54B18" w14:paraId="07C3274D" w14:textId="32652C4C" w:rsidTr="5E2BA3C3">
        <w:trPr>
          <w:trHeight w:val="349"/>
        </w:trPr>
        <w:tc>
          <w:tcPr>
            <w:tcW w:w="21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45D41E" w14:textId="2FC46EB2" w:rsidR="00371C67" w:rsidRPr="00A54B18" w:rsidRDefault="00371C67" w:rsidP="005E557A">
            <w:pPr>
              <w:rPr>
                <w:rFonts w:eastAsia="Arial" w:cs="Arial"/>
                <w:sz w:val="20"/>
                <w:szCs w:val="20"/>
              </w:rPr>
            </w:pPr>
            <w:r w:rsidRPr="00A54B18">
              <w:rPr>
                <w:rFonts w:eastAsia="Arial" w:cs="Arial"/>
                <w:sz w:val="20"/>
                <w:szCs w:val="20"/>
              </w:rPr>
              <w:t>Overall Output Score</w:t>
            </w:r>
          </w:p>
        </w:tc>
        <w:tc>
          <w:tcPr>
            <w:tcW w:w="1134" w:type="dxa"/>
            <w:tcBorders>
              <w:top w:val="single" w:sz="4" w:space="0" w:color="auto"/>
              <w:left w:val="single" w:sz="4" w:space="0" w:color="auto"/>
              <w:bottom w:val="single" w:sz="4" w:space="0" w:color="auto"/>
              <w:right w:val="single" w:sz="4" w:space="0" w:color="auto"/>
            </w:tcBorders>
          </w:tcPr>
          <w:p w14:paraId="6BA4EC77" w14:textId="1CAA8FB1" w:rsidR="00371C67" w:rsidRPr="00A54B18" w:rsidRDefault="00371C67" w:rsidP="006124BF">
            <w:pPr>
              <w:jc w:val="center"/>
              <w:rPr>
                <w:rFonts w:eastAsia="Arial" w:cs="Arial"/>
                <w:b/>
                <w:bCs/>
                <w:sz w:val="20"/>
                <w:szCs w:val="20"/>
              </w:rPr>
            </w:pPr>
            <w:r w:rsidRPr="00A54B18">
              <w:rPr>
                <w:rFonts w:eastAsia="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tcPr>
          <w:p w14:paraId="31108F1C" w14:textId="1982E282" w:rsidR="00371C67" w:rsidRPr="00A54B18" w:rsidRDefault="00371C67" w:rsidP="006124BF">
            <w:pPr>
              <w:jc w:val="center"/>
              <w:rPr>
                <w:rFonts w:eastAsia="Arial" w:cs="Arial"/>
                <w:b/>
                <w:bCs/>
                <w:sz w:val="20"/>
                <w:szCs w:val="20"/>
              </w:rPr>
            </w:pPr>
            <w:r w:rsidRPr="00A54B18">
              <w:rPr>
                <w:rFonts w:eastAsia="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tcPr>
          <w:p w14:paraId="634F0501" w14:textId="01881ABA" w:rsidR="00371C67" w:rsidRPr="00A54B18" w:rsidRDefault="00371C67" w:rsidP="006124BF">
            <w:pPr>
              <w:jc w:val="center"/>
              <w:rPr>
                <w:rFonts w:eastAsia="Arial" w:cs="Arial"/>
                <w:b/>
                <w:bCs/>
                <w:sz w:val="20"/>
                <w:szCs w:val="20"/>
              </w:rPr>
            </w:pPr>
            <w:r w:rsidRPr="00A54B18">
              <w:rPr>
                <w:rFonts w:eastAsia="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tcPr>
          <w:p w14:paraId="697FDD6A" w14:textId="52A23CF9" w:rsidR="00371C67" w:rsidRPr="00A54B18" w:rsidRDefault="00371C67" w:rsidP="006124BF">
            <w:pPr>
              <w:jc w:val="center"/>
              <w:rPr>
                <w:rFonts w:eastAsia="Arial" w:cs="Arial"/>
                <w:b/>
                <w:bCs/>
                <w:sz w:val="20"/>
                <w:szCs w:val="20"/>
              </w:rPr>
            </w:pPr>
            <w:r w:rsidRPr="00A54B18">
              <w:rPr>
                <w:rFonts w:eastAsia="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B522A8" w14:textId="6E89B78A" w:rsidR="00371C67" w:rsidRPr="00A54B18" w:rsidRDefault="00371C67" w:rsidP="006124BF">
            <w:pPr>
              <w:jc w:val="center"/>
              <w:rPr>
                <w:rFonts w:eastAsia="Arial" w:cs="Arial"/>
                <w:b/>
                <w:bCs/>
                <w:sz w:val="20"/>
                <w:szCs w:val="20"/>
              </w:rPr>
            </w:pPr>
            <w:r>
              <w:rPr>
                <w:rFonts w:eastAsia="Arial" w:cs="Arial"/>
                <w:b/>
                <w:bCs/>
                <w:sz w:val="20"/>
                <w:szCs w:val="20"/>
              </w:rPr>
              <w:t>A+</w:t>
            </w:r>
          </w:p>
        </w:tc>
        <w:tc>
          <w:tcPr>
            <w:tcW w:w="1232" w:type="dxa"/>
            <w:tcBorders>
              <w:top w:val="single" w:sz="4" w:space="0" w:color="auto"/>
              <w:left w:val="single" w:sz="4" w:space="0" w:color="auto"/>
              <w:bottom w:val="single" w:sz="4" w:space="0" w:color="auto"/>
              <w:right w:val="single" w:sz="4" w:space="0" w:color="auto"/>
            </w:tcBorders>
          </w:tcPr>
          <w:p w14:paraId="6E613DB8" w14:textId="71C74657" w:rsidR="00371C67" w:rsidRDefault="00301789" w:rsidP="006124BF">
            <w:pPr>
              <w:jc w:val="center"/>
              <w:rPr>
                <w:rFonts w:eastAsia="Arial" w:cs="Arial"/>
                <w:b/>
                <w:bCs/>
                <w:sz w:val="20"/>
                <w:szCs w:val="20"/>
              </w:rPr>
            </w:pPr>
            <w:r>
              <w:rPr>
                <w:rFonts w:eastAsia="Arial" w:cs="Arial"/>
                <w:b/>
                <w:bCs/>
                <w:sz w:val="20"/>
                <w:szCs w:val="20"/>
              </w:rPr>
              <w:t>A</w:t>
            </w:r>
            <w:r w:rsidR="00727626" w:rsidRPr="00F30C24">
              <w:rPr>
                <w:rStyle w:val="FootnoteReference"/>
                <w:rFonts w:eastAsia="Arial" w:cs="Arial"/>
                <w:b/>
                <w:bCs/>
                <w:color w:val="FF0000"/>
                <w:sz w:val="16"/>
                <w:szCs w:val="16"/>
              </w:rPr>
              <w:footnoteReference w:id="2"/>
            </w:r>
          </w:p>
        </w:tc>
      </w:tr>
      <w:tr w:rsidR="00371C67" w:rsidRPr="00A54B18" w14:paraId="29305AB3" w14:textId="6CBEEE46" w:rsidTr="5E2BA3C3">
        <w:trPr>
          <w:trHeight w:val="304"/>
        </w:trPr>
        <w:tc>
          <w:tcPr>
            <w:tcW w:w="21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C76BE5" w14:textId="77777777" w:rsidR="00371C67" w:rsidRPr="00A54B18" w:rsidRDefault="00371C67" w:rsidP="005E557A">
            <w:pPr>
              <w:rPr>
                <w:rFonts w:eastAsia="Arial" w:cs="Arial"/>
                <w:sz w:val="20"/>
                <w:szCs w:val="20"/>
              </w:rPr>
            </w:pPr>
            <w:r w:rsidRPr="00A54B18">
              <w:rPr>
                <w:rFonts w:eastAsia="Arial" w:cs="Arial"/>
                <w:sz w:val="20"/>
                <w:szCs w:val="20"/>
              </w:rPr>
              <w:t>Risk Rating</w:t>
            </w:r>
            <w:r w:rsidRPr="00A54B18">
              <w:rPr>
                <w:rFonts w:eastAsia="Arial" w:cs="Arial"/>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14:paraId="2BF67D24" w14:textId="64B95742" w:rsidR="00371C67" w:rsidRPr="00A54B18" w:rsidRDefault="00371C67" w:rsidP="006124BF">
            <w:pPr>
              <w:jc w:val="center"/>
              <w:rPr>
                <w:rFonts w:eastAsia="Arial" w:cs="Arial"/>
                <w:b/>
                <w:bCs/>
              </w:rPr>
            </w:pPr>
            <w:r w:rsidRPr="00A54B18">
              <w:rPr>
                <w:rFonts w:eastAsia="Arial" w:cs="Arial"/>
                <w:b/>
                <w:bCs/>
                <w:sz w:val="20"/>
                <w:szCs w:val="20"/>
              </w:rPr>
              <w:t>Moderate</w:t>
            </w:r>
          </w:p>
        </w:tc>
        <w:tc>
          <w:tcPr>
            <w:tcW w:w="1134" w:type="dxa"/>
            <w:tcBorders>
              <w:top w:val="single" w:sz="4" w:space="0" w:color="auto"/>
              <w:left w:val="single" w:sz="4" w:space="0" w:color="auto"/>
              <w:bottom w:val="single" w:sz="4" w:space="0" w:color="auto"/>
              <w:right w:val="single" w:sz="4" w:space="0" w:color="auto"/>
            </w:tcBorders>
          </w:tcPr>
          <w:p w14:paraId="2A2B872D" w14:textId="16529386" w:rsidR="00371C67" w:rsidRPr="00A54B18" w:rsidRDefault="00371C67" w:rsidP="006124BF">
            <w:pPr>
              <w:jc w:val="center"/>
              <w:rPr>
                <w:rFonts w:eastAsia="Arial" w:cs="Arial"/>
                <w:b/>
                <w:bCs/>
              </w:rPr>
            </w:pPr>
            <w:r w:rsidRPr="00A54B18">
              <w:rPr>
                <w:rFonts w:eastAsia="Arial" w:cs="Arial"/>
                <w:b/>
                <w:bCs/>
                <w:sz w:val="20"/>
                <w:szCs w:val="20"/>
              </w:rPr>
              <w:t>Moderate</w:t>
            </w:r>
          </w:p>
        </w:tc>
        <w:tc>
          <w:tcPr>
            <w:tcW w:w="1134" w:type="dxa"/>
            <w:tcBorders>
              <w:top w:val="single" w:sz="4" w:space="0" w:color="auto"/>
              <w:left w:val="single" w:sz="4" w:space="0" w:color="auto"/>
              <w:bottom w:val="single" w:sz="4" w:space="0" w:color="auto"/>
              <w:right w:val="single" w:sz="4" w:space="0" w:color="auto"/>
            </w:tcBorders>
          </w:tcPr>
          <w:p w14:paraId="62ED8C8E" w14:textId="3094D1FA" w:rsidR="00371C67" w:rsidRPr="00A54B18" w:rsidRDefault="00371C67" w:rsidP="006124BF">
            <w:pPr>
              <w:jc w:val="center"/>
              <w:rPr>
                <w:rFonts w:eastAsia="Arial" w:cs="Arial"/>
                <w:b/>
                <w:bCs/>
              </w:rPr>
            </w:pPr>
            <w:r w:rsidRPr="00A54B18">
              <w:rPr>
                <w:rFonts w:eastAsia="Arial" w:cs="Arial"/>
                <w:b/>
                <w:bCs/>
                <w:sz w:val="20"/>
                <w:szCs w:val="20"/>
              </w:rPr>
              <w:t>Moderate</w:t>
            </w:r>
          </w:p>
        </w:tc>
        <w:tc>
          <w:tcPr>
            <w:tcW w:w="1134" w:type="dxa"/>
            <w:tcBorders>
              <w:top w:val="single" w:sz="4" w:space="0" w:color="auto"/>
              <w:left w:val="single" w:sz="4" w:space="0" w:color="auto"/>
              <w:bottom w:val="single" w:sz="4" w:space="0" w:color="auto"/>
              <w:right w:val="single" w:sz="4" w:space="0" w:color="auto"/>
            </w:tcBorders>
          </w:tcPr>
          <w:p w14:paraId="4E36212A" w14:textId="550DD26C" w:rsidR="00371C67" w:rsidRPr="00A54B18" w:rsidRDefault="00371C67" w:rsidP="006124BF">
            <w:pPr>
              <w:jc w:val="center"/>
              <w:rPr>
                <w:rFonts w:eastAsia="Arial" w:cs="Arial"/>
                <w:b/>
                <w:bCs/>
                <w:sz w:val="20"/>
                <w:szCs w:val="20"/>
              </w:rPr>
            </w:pPr>
            <w:r w:rsidRPr="00A54B18">
              <w:rPr>
                <w:rFonts w:eastAsia="Arial" w:cs="Arial"/>
                <w:b/>
                <w:bCs/>
                <w:sz w:val="20"/>
                <w:szCs w:val="20"/>
              </w:rPr>
              <w:t>Moderate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0D1089" w14:textId="5E9624C6" w:rsidR="00371C67" w:rsidRPr="00A54B18" w:rsidRDefault="006124BF" w:rsidP="006124BF">
            <w:pPr>
              <w:jc w:val="center"/>
              <w:rPr>
                <w:rFonts w:eastAsia="Arial" w:cs="Arial"/>
                <w:b/>
                <w:bCs/>
                <w:sz w:val="20"/>
                <w:szCs w:val="20"/>
              </w:rPr>
            </w:pPr>
            <w:r>
              <w:rPr>
                <w:rFonts w:eastAsia="Arial" w:cs="Arial"/>
                <w:b/>
                <w:bCs/>
                <w:sz w:val="20"/>
                <w:szCs w:val="20"/>
              </w:rPr>
              <w:t>Low</w:t>
            </w:r>
          </w:p>
        </w:tc>
        <w:tc>
          <w:tcPr>
            <w:tcW w:w="1232" w:type="dxa"/>
            <w:tcBorders>
              <w:top w:val="single" w:sz="4" w:space="0" w:color="auto"/>
              <w:left w:val="single" w:sz="4" w:space="0" w:color="auto"/>
              <w:bottom w:val="single" w:sz="4" w:space="0" w:color="auto"/>
              <w:right w:val="single" w:sz="4" w:space="0" w:color="auto"/>
            </w:tcBorders>
          </w:tcPr>
          <w:p w14:paraId="73C7D8A8" w14:textId="1523695C" w:rsidR="00371C67" w:rsidRDefault="002A1A10" w:rsidP="006124BF">
            <w:pPr>
              <w:jc w:val="center"/>
              <w:rPr>
                <w:rFonts w:eastAsia="Arial" w:cs="Arial"/>
                <w:b/>
                <w:bCs/>
                <w:sz w:val="20"/>
                <w:szCs w:val="20"/>
              </w:rPr>
            </w:pPr>
            <w:r>
              <w:rPr>
                <w:rFonts w:eastAsia="Arial" w:cs="Arial"/>
                <w:b/>
                <w:bCs/>
                <w:sz w:val="20"/>
                <w:szCs w:val="20"/>
              </w:rPr>
              <w:t>Moderate</w:t>
            </w:r>
          </w:p>
        </w:tc>
      </w:tr>
    </w:tbl>
    <w:p w14:paraId="3F14494A" w14:textId="77777777" w:rsidR="006F3AE7" w:rsidRPr="00A54B18" w:rsidRDefault="006F3AE7" w:rsidP="005E557A">
      <w:pPr>
        <w:rPr>
          <w:rFonts w:eastAsia="Arial" w:cs="Arial"/>
          <w:b/>
          <w:bCs/>
          <w:sz w:val="22"/>
          <w:szCs w:val="22"/>
        </w:rPr>
      </w:pPr>
    </w:p>
    <w:tbl>
      <w:tblPr>
        <w:tblStyle w:val="TableGrid"/>
        <w:tblW w:w="0" w:type="auto"/>
        <w:tblInd w:w="-5" w:type="dxa"/>
        <w:tblLook w:val="04A0" w:firstRow="1" w:lastRow="0" w:firstColumn="1" w:lastColumn="0" w:noHBand="0" w:noVBand="1"/>
      </w:tblPr>
      <w:tblGrid>
        <w:gridCol w:w="3969"/>
        <w:gridCol w:w="5052"/>
      </w:tblGrid>
      <w:tr w:rsidR="00BE5FC4" w:rsidRPr="00A54B18" w14:paraId="5ED04B8A" w14:textId="77777777" w:rsidTr="09AA3986">
        <w:trPr>
          <w:trHeight w:val="355"/>
        </w:trPr>
        <w:tc>
          <w:tcPr>
            <w:tcW w:w="3969" w:type="dxa"/>
            <w:shd w:val="clear" w:color="auto" w:fill="B4C6E7" w:themeFill="accent1" w:themeFillTint="66"/>
            <w:hideMark/>
          </w:tcPr>
          <w:p w14:paraId="084C6192" w14:textId="77777777" w:rsidR="006F3AE7" w:rsidRPr="00A54B18" w:rsidRDefault="7232A90E" w:rsidP="005E557A">
            <w:pPr>
              <w:rPr>
                <w:rFonts w:eastAsia="Arial" w:cs="Arial"/>
                <w:sz w:val="20"/>
                <w:szCs w:val="20"/>
              </w:rPr>
            </w:pPr>
            <w:r w:rsidRPr="00A54B18">
              <w:rPr>
                <w:rFonts w:eastAsia="Arial" w:cs="Arial"/>
                <w:sz w:val="20"/>
                <w:szCs w:val="20"/>
              </w:rPr>
              <w:t xml:space="preserve">DevTracker Link to Business Case: </w:t>
            </w:r>
          </w:p>
        </w:tc>
        <w:tc>
          <w:tcPr>
            <w:tcW w:w="5052" w:type="dxa"/>
          </w:tcPr>
          <w:p w14:paraId="7547CEAA" w14:textId="77777777" w:rsidR="006F3AE7" w:rsidRPr="00A54B18" w:rsidRDefault="006F3AE7" w:rsidP="005E557A">
            <w:pPr>
              <w:rPr>
                <w:rFonts w:eastAsia="Arial" w:cs="Arial"/>
                <w:b/>
                <w:bCs/>
                <w:sz w:val="22"/>
                <w:szCs w:val="22"/>
              </w:rPr>
            </w:pPr>
          </w:p>
        </w:tc>
      </w:tr>
      <w:tr w:rsidR="00BE5FC4" w:rsidRPr="00A54B18" w14:paraId="1BE27F98" w14:textId="77777777" w:rsidTr="09AA3986">
        <w:trPr>
          <w:trHeight w:val="403"/>
        </w:trPr>
        <w:tc>
          <w:tcPr>
            <w:tcW w:w="3969" w:type="dxa"/>
            <w:shd w:val="clear" w:color="auto" w:fill="B4C6E7" w:themeFill="accent1" w:themeFillTint="66"/>
            <w:hideMark/>
          </w:tcPr>
          <w:p w14:paraId="77EEC9AB" w14:textId="21B976EE" w:rsidR="006F3AE7" w:rsidRPr="00A54B18" w:rsidRDefault="7232A90E" w:rsidP="005E557A">
            <w:pPr>
              <w:rPr>
                <w:rFonts w:eastAsia="Arial" w:cs="Arial"/>
                <w:i/>
                <w:iCs/>
                <w:sz w:val="20"/>
                <w:szCs w:val="20"/>
              </w:rPr>
            </w:pPr>
            <w:r w:rsidRPr="00A54B18">
              <w:rPr>
                <w:rFonts w:eastAsia="Arial" w:cs="Arial"/>
                <w:sz w:val="20"/>
                <w:szCs w:val="20"/>
              </w:rPr>
              <w:t xml:space="preserve">DevTracker Link to results framework: </w:t>
            </w:r>
          </w:p>
        </w:tc>
        <w:tc>
          <w:tcPr>
            <w:tcW w:w="5052" w:type="dxa"/>
          </w:tcPr>
          <w:p w14:paraId="1EBB8B7A" w14:textId="77777777" w:rsidR="006F3AE7" w:rsidRPr="00A54B18" w:rsidRDefault="006F3AE7" w:rsidP="005E557A">
            <w:pPr>
              <w:rPr>
                <w:rFonts w:eastAsia="Arial" w:cs="Arial"/>
                <w:b/>
                <w:bCs/>
                <w:sz w:val="22"/>
                <w:szCs w:val="22"/>
              </w:rPr>
            </w:pPr>
          </w:p>
        </w:tc>
      </w:tr>
    </w:tbl>
    <w:p w14:paraId="22403C63" w14:textId="77777777" w:rsidR="003507A1" w:rsidRPr="00A54B18" w:rsidRDefault="003507A1" w:rsidP="005E557A">
      <w:pPr>
        <w:rPr>
          <w:rFonts w:eastAsia="Arial" w:cs="Arial"/>
          <w:sz w:val="20"/>
          <w:szCs w:val="20"/>
        </w:rPr>
      </w:pPr>
    </w:p>
    <w:p w14:paraId="2FEBAAA9" w14:textId="27B4B137" w:rsidR="006F3AE7" w:rsidRPr="00A54B18" w:rsidRDefault="7232A90E" w:rsidP="005E557A">
      <w:pPr>
        <w:pBdr>
          <w:top w:val="single" w:sz="4" w:space="1" w:color="auto"/>
          <w:left w:val="single" w:sz="4" w:space="4" w:color="auto"/>
          <w:bottom w:val="single" w:sz="4" w:space="1" w:color="auto"/>
          <w:right w:val="single" w:sz="4" w:space="4" w:color="auto"/>
        </w:pBdr>
        <w:shd w:val="clear" w:color="auto" w:fill="D9E2F3" w:themeFill="accent1" w:themeFillTint="33"/>
        <w:rPr>
          <w:rFonts w:eastAsia="Arial" w:cs="Arial"/>
          <w:sz w:val="20"/>
          <w:szCs w:val="20"/>
        </w:rPr>
      </w:pPr>
      <w:r w:rsidRPr="00A54B18">
        <w:rPr>
          <w:rFonts w:eastAsia="Arial" w:cs="Arial"/>
          <w:b/>
          <w:bCs/>
          <w:sz w:val="28"/>
          <w:szCs w:val="28"/>
        </w:rPr>
        <w:t>A. SUMMARY AND OVERVIEW</w:t>
      </w:r>
    </w:p>
    <w:p w14:paraId="7EFEDAB3" w14:textId="77777777" w:rsidR="006F3AE7" w:rsidRPr="00A54B18" w:rsidRDefault="006F3AE7" w:rsidP="005E557A">
      <w:pPr>
        <w:rPr>
          <w:rFonts w:eastAsia="Arial" w:cs="Arial"/>
          <w:b/>
          <w:bCs/>
          <w:sz w:val="22"/>
          <w:szCs w:val="22"/>
        </w:rPr>
      </w:pPr>
    </w:p>
    <w:p w14:paraId="121905E8" w14:textId="035BC48B" w:rsidR="006F3AE7" w:rsidRPr="00A54B18" w:rsidRDefault="7232A90E" w:rsidP="00F66B70">
      <w:pPr>
        <w:jc w:val="both"/>
        <w:rPr>
          <w:rFonts w:eastAsia="Arial" w:cs="Arial"/>
          <w:sz w:val="20"/>
          <w:szCs w:val="20"/>
        </w:rPr>
      </w:pPr>
      <w:r w:rsidRPr="237F14D3">
        <w:rPr>
          <w:rFonts w:eastAsia="Arial" w:cs="Arial"/>
          <w:b/>
          <w:bCs/>
          <w:sz w:val="22"/>
          <w:szCs w:val="22"/>
        </w:rPr>
        <w:t xml:space="preserve">Description of programme </w:t>
      </w:r>
    </w:p>
    <w:p w14:paraId="650458F1" w14:textId="77777777" w:rsidR="006F3AE7" w:rsidRPr="00A54B18" w:rsidRDefault="006F3AE7" w:rsidP="00F66B70">
      <w:pPr>
        <w:jc w:val="both"/>
        <w:rPr>
          <w:rFonts w:eastAsia="Arial" w:cs="Arial"/>
          <w:b/>
          <w:bCs/>
          <w:sz w:val="22"/>
          <w:szCs w:val="22"/>
        </w:rPr>
      </w:pPr>
    </w:p>
    <w:p w14:paraId="02107A18" w14:textId="36E19C4F" w:rsidR="00FD0E2B" w:rsidRDefault="00A21390" w:rsidP="00A21390">
      <w:pPr>
        <w:jc w:val="both"/>
        <w:rPr>
          <w:rFonts w:eastAsia="Arial" w:cs="Arial"/>
          <w:sz w:val="22"/>
          <w:szCs w:val="22"/>
        </w:rPr>
      </w:pPr>
      <w:r w:rsidRPr="006042A9">
        <w:rPr>
          <w:rFonts w:eastAsia="Arial" w:cs="Arial"/>
          <w:sz w:val="22"/>
          <w:szCs w:val="22"/>
        </w:rPr>
        <w:t>The eco.business Fund (EBF) was set up in December 2014 by the German Development Bank</w:t>
      </w:r>
      <w:r>
        <w:rPr>
          <w:rFonts w:eastAsia="Arial" w:cs="Arial"/>
          <w:sz w:val="22"/>
          <w:szCs w:val="22"/>
        </w:rPr>
        <w:t xml:space="preserve"> KfW</w:t>
      </w:r>
      <w:r w:rsidRPr="006042A9">
        <w:rPr>
          <w:rFonts w:eastAsia="Arial" w:cs="Arial"/>
          <w:sz w:val="22"/>
          <w:szCs w:val="22"/>
        </w:rPr>
        <w:t xml:space="preserve">, Conservation International and </w:t>
      </w:r>
      <w:r w:rsidR="005C308E">
        <w:rPr>
          <w:rFonts w:eastAsia="Arial" w:cs="Arial"/>
          <w:sz w:val="22"/>
          <w:szCs w:val="22"/>
        </w:rPr>
        <w:t xml:space="preserve">Fund Advisor </w:t>
      </w:r>
      <w:r w:rsidR="005C308E" w:rsidRPr="006042A9">
        <w:rPr>
          <w:rFonts w:eastAsia="Arial" w:cs="Arial"/>
          <w:sz w:val="22"/>
          <w:szCs w:val="22"/>
        </w:rPr>
        <w:t>Finance</w:t>
      </w:r>
      <w:r w:rsidR="00110E1C">
        <w:rPr>
          <w:rFonts w:eastAsia="Arial" w:cs="Arial"/>
          <w:sz w:val="22"/>
          <w:szCs w:val="22"/>
        </w:rPr>
        <w:t>-</w:t>
      </w:r>
      <w:r w:rsidR="005C308E" w:rsidRPr="006042A9">
        <w:rPr>
          <w:rFonts w:eastAsia="Arial" w:cs="Arial"/>
          <w:sz w:val="22"/>
          <w:szCs w:val="22"/>
        </w:rPr>
        <w:t>in</w:t>
      </w:r>
      <w:r w:rsidR="00110E1C">
        <w:rPr>
          <w:rFonts w:eastAsia="Arial" w:cs="Arial"/>
          <w:sz w:val="22"/>
          <w:szCs w:val="22"/>
        </w:rPr>
        <w:t>-</w:t>
      </w:r>
      <w:r w:rsidR="005C308E" w:rsidRPr="006042A9">
        <w:rPr>
          <w:rFonts w:eastAsia="Arial" w:cs="Arial"/>
          <w:sz w:val="22"/>
          <w:szCs w:val="22"/>
        </w:rPr>
        <w:t>Motion (FiM)</w:t>
      </w:r>
      <w:r w:rsidRPr="006042A9">
        <w:rPr>
          <w:rFonts w:eastAsia="Arial" w:cs="Arial"/>
          <w:sz w:val="22"/>
          <w:szCs w:val="22"/>
        </w:rPr>
        <w:t xml:space="preserve">. The Fund </w:t>
      </w:r>
      <w:r>
        <w:rPr>
          <w:rFonts w:eastAsia="Arial" w:cs="Arial"/>
          <w:sz w:val="22"/>
          <w:szCs w:val="22"/>
        </w:rPr>
        <w:t>lends</w:t>
      </w:r>
      <w:r w:rsidRPr="006042A9">
        <w:rPr>
          <w:rFonts w:eastAsia="Arial" w:cs="Arial"/>
          <w:sz w:val="22"/>
          <w:szCs w:val="22"/>
        </w:rPr>
        <w:t xml:space="preserve"> money to Partner Institutions (PIs) in target countries, with conditions attached that require those PIs to on-lend that capital to sub-borrowers who meet </w:t>
      </w:r>
      <w:r>
        <w:rPr>
          <w:rFonts w:eastAsia="Arial" w:cs="Arial"/>
          <w:sz w:val="22"/>
          <w:szCs w:val="22"/>
        </w:rPr>
        <w:t xml:space="preserve">predetermined </w:t>
      </w:r>
      <w:r w:rsidRPr="006042A9">
        <w:rPr>
          <w:rFonts w:eastAsia="Arial" w:cs="Arial"/>
          <w:sz w:val="22"/>
          <w:szCs w:val="22"/>
        </w:rPr>
        <w:t>sustainability criteria.</w:t>
      </w:r>
      <w:r>
        <w:rPr>
          <w:rFonts w:eastAsia="Arial" w:cs="Arial"/>
          <w:sz w:val="22"/>
          <w:szCs w:val="22"/>
        </w:rPr>
        <w:t xml:space="preserve"> </w:t>
      </w:r>
      <w:r w:rsidRPr="006042A9">
        <w:rPr>
          <w:rFonts w:eastAsia="Arial" w:cs="Arial"/>
          <w:sz w:val="22"/>
          <w:szCs w:val="22"/>
        </w:rPr>
        <w:t>Sub-borrowers can be in the sustainable agriculture</w:t>
      </w:r>
      <w:r w:rsidR="000B6275">
        <w:rPr>
          <w:rFonts w:eastAsia="Arial" w:cs="Arial"/>
          <w:sz w:val="22"/>
          <w:szCs w:val="22"/>
        </w:rPr>
        <w:t xml:space="preserve"> and agri-processing</w:t>
      </w:r>
      <w:r w:rsidRPr="006042A9">
        <w:rPr>
          <w:rFonts w:eastAsia="Arial" w:cs="Arial"/>
          <w:sz w:val="22"/>
          <w:szCs w:val="22"/>
        </w:rPr>
        <w:t>, forestry, aquaculture</w:t>
      </w:r>
      <w:r>
        <w:rPr>
          <w:rFonts w:eastAsia="Arial" w:cs="Arial"/>
          <w:sz w:val="22"/>
          <w:szCs w:val="22"/>
        </w:rPr>
        <w:t>,</w:t>
      </w:r>
      <w:r w:rsidRPr="006042A9">
        <w:rPr>
          <w:rFonts w:eastAsia="Arial" w:cs="Arial"/>
          <w:sz w:val="22"/>
          <w:szCs w:val="22"/>
        </w:rPr>
        <w:t xml:space="preserve"> or tourism sectors.</w:t>
      </w:r>
    </w:p>
    <w:p w14:paraId="2B74A864" w14:textId="77777777" w:rsidR="00FD0E2B" w:rsidRDefault="00FD0E2B" w:rsidP="00A21390">
      <w:pPr>
        <w:jc w:val="both"/>
        <w:rPr>
          <w:rFonts w:eastAsia="Arial" w:cs="Arial"/>
          <w:sz w:val="22"/>
          <w:szCs w:val="22"/>
        </w:rPr>
      </w:pPr>
    </w:p>
    <w:p w14:paraId="0C45DBE4" w14:textId="70670D6F" w:rsidR="006042A9" w:rsidRPr="006042A9" w:rsidRDefault="00A21390" w:rsidP="006042A9">
      <w:pPr>
        <w:jc w:val="both"/>
        <w:rPr>
          <w:rFonts w:eastAsia="Arial" w:cs="Arial"/>
          <w:sz w:val="22"/>
          <w:szCs w:val="22"/>
        </w:rPr>
      </w:pPr>
      <w:r w:rsidRPr="09F156E3">
        <w:rPr>
          <w:rFonts w:eastAsia="Arial" w:cs="Arial"/>
          <w:sz w:val="22"/>
          <w:szCs w:val="22"/>
        </w:rPr>
        <w:t>Defra holds ‘Junior Shares’ in the Fund’s Latin American and Caribbean sub-fund (LAC), which carry a greater risk and lower reward than other investment options to incentivise other private and public investment. The Fund also operates a Development Facility (DF) to provide Technical Assistance (TA) to partners.</w:t>
      </w:r>
      <w:r w:rsidR="005D0D59" w:rsidRPr="09F156E3">
        <w:rPr>
          <w:rFonts w:eastAsia="Arial" w:cs="Arial"/>
          <w:sz w:val="22"/>
          <w:szCs w:val="22"/>
        </w:rPr>
        <w:t xml:space="preserve"> </w:t>
      </w:r>
      <w:r w:rsidR="00450B55" w:rsidRPr="09F156E3">
        <w:rPr>
          <w:rFonts w:eastAsia="Arial" w:cs="Arial"/>
          <w:sz w:val="22"/>
          <w:szCs w:val="22"/>
        </w:rPr>
        <w:t>FiM</w:t>
      </w:r>
      <w:r w:rsidR="006042A9" w:rsidRPr="09F156E3">
        <w:rPr>
          <w:rFonts w:eastAsia="Arial" w:cs="Arial"/>
          <w:sz w:val="22"/>
          <w:szCs w:val="22"/>
        </w:rPr>
        <w:t xml:space="preserve"> acts as an advis</w:t>
      </w:r>
      <w:r w:rsidR="1A46E943" w:rsidRPr="09F156E3">
        <w:rPr>
          <w:rFonts w:eastAsia="Arial" w:cs="Arial"/>
          <w:sz w:val="22"/>
          <w:szCs w:val="22"/>
        </w:rPr>
        <w:t>e</w:t>
      </w:r>
      <w:r w:rsidR="006042A9" w:rsidRPr="09F156E3">
        <w:rPr>
          <w:rFonts w:eastAsia="Arial" w:cs="Arial"/>
          <w:sz w:val="22"/>
          <w:szCs w:val="22"/>
        </w:rPr>
        <w:t>r to the Board of Directors – the independent panel nominated by the Fund’s shareholders</w:t>
      </w:r>
      <w:r w:rsidR="00C76853" w:rsidRPr="09F156E3">
        <w:rPr>
          <w:rFonts w:eastAsia="Arial" w:cs="Arial"/>
          <w:sz w:val="22"/>
          <w:szCs w:val="22"/>
        </w:rPr>
        <w:t xml:space="preserve"> – where Defra sits as an observer</w:t>
      </w:r>
      <w:r w:rsidR="006042A9" w:rsidRPr="09F156E3">
        <w:rPr>
          <w:rFonts w:eastAsia="Arial" w:cs="Arial"/>
          <w:sz w:val="22"/>
          <w:szCs w:val="22"/>
        </w:rPr>
        <w:t>. The Board has the ultimate decision-making authority, provid</w:t>
      </w:r>
      <w:r w:rsidR="00D94F7E" w:rsidRPr="09F156E3">
        <w:rPr>
          <w:rFonts w:eastAsia="Arial" w:cs="Arial"/>
          <w:sz w:val="22"/>
          <w:szCs w:val="22"/>
        </w:rPr>
        <w:t>ing</w:t>
      </w:r>
      <w:r w:rsidR="006042A9" w:rsidRPr="09F156E3">
        <w:rPr>
          <w:rFonts w:eastAsia="Arial" w:cs="Arial"/>
          <w:sz w:val="22"/>
          <w:szCs w:val="22"/>
        </w:rPr>
        <w:t xml:space="preserve"> scrutiny for investments and </w:t>
      </w:r>
      <w:r w:rsidR="00CD40CB" w:rsidRPr="09F156E3">
        <w:rPr>
          <w:rFonts w:eastAsia="Arial" w:cs="Arial"/>
          <w:sz w:val="22"/>
          <w:szCs w:val="22"/>
        </w:rPr>
        <w:t>guid</w:t>
      </w:r>
      <w:r w:rsidR="00D94F7E" w:rsidRPr="09F156E3">
        <w:rPr>
          <w:rFonts w:eastAsia="Arial" w:cs="Arial"/>
          <w:sz w:val="22"/>
          <w:szCs w:val="22"/>
        </w:rPr>
        <w:t>ing</w:t>
      </w:r>
      <w:r w:rsidR="00CD40CB" w:rsidRPr="09F156E3">
        <w:rPr>
          <w:rFonts w:eastAsia="Arial" w:cs="Arial"/>
          <w:sz w:val="22"/>
          <w:szCs w:val="22"/>
        </w:rPr>
        <w:t xml:space="preserve"> Fund strategy</w:t>
      </w:r>
      <w:r w:rsidR="006042A9" w:rsidRPr="09F156E3">
        <w:rPr>
          <w:rFonts w:eastAsia="Arial" w:cs="Arial"/>
          <w:sz w:val="22"/>
          <w:szCs w:val="22"/>
        </w:rPr>
        <w:t xml:space="preserve">. </w:t>
      </w:r>
    </w:p>
    <w:p w14:paraId="5339BD8A" w14:textId="29CCD685" w:rsidR="006F3AE7" w:rsidRPr="006042A9" w:rsidRDefault="006042A9" w:rsidP="00F66B70">
      <w:pPr>
        <w:jc w:val="both"/>
        <w:rPr>
          <w:rFonts w:eastAsia="Arial" w:cs="Arial"/>
          <w:sz w:val="22"/>
          <w:szCs w:val="22"/>
        </w:rPr>
      </w:pPr>
      <w:r w:rsidRPr="006042A9">
        <w:rPr>
          <w:rFonts w:eastAsia="Arial" w:cs="Arial"/>
          <w:sz w:val="22"/>
          <w:szCs w:val="22"/>
        </w:rPr>
        <w:t xml:space="preserve"> </w:t>
      </w:r>
    </w:p>
    <w:p w14:paraId="69294281" w14:textId="08885295" w:rsidR="006F3AE7" w:rsidRPr="00A54B18" w:rsidRDefault="7232A90E" w:rsidP="00F66B70">
      <w:pPr>
        <w:jc w:val="both"/>
        <w:rPr>
          <w:rFonts w:eastAsia="Arial" w:cs="Arial"/>
          <w:sz w:val="20"/>
          <w:szCs w:val="20"/>
        </w:rPr>
      </w:pPr>
      <w:r w:rsidRPr="237F14D3">
        <w:rPr>
          <w:rFonts w:eastAsia="Arial" w:cs="Arial"/>
          <w:b/>
          <w:bCs/>
          <w:sz w:val="22"/>
          <w:szCs w:val="22"/>
        </w:rPr>
        <w:t>Summary supporting narrative for the overall score in this review</w:t>
      </w:r>
    </w:p>
    <w:p w14:paraId="6EE933DD" w14:textId="77777777" w:rsidR="006F3AE7" w:rsidRPr="00A54B18" w:rsidRDefault="006F3AE7" w:rsidP="00F66B70">
      <w:pPr>
        <w:jc w:val="both"/>
        <w:rPr>
          <w:rFonts w:eastAsia="Arial" w:cs="Arial"/>
          <w:sz w:val="18"/>
          <w:szCs w:val="18"/>
        </w:rPr>
      </w:pPr>
    </w:p>
    <w:p w14:paraId="2289ED18" w14:textId="2DCF7336" w:rsidR="008068F2" w:rsidRPr="004A1880" w:rsidRDefault="00C47356" w:rsidP="00F66B70">
      <w:pPr>
        <w:jc w:val="both"/>
        <w:rPr>
          <w:rFonts w:eastAsia="Arial" w:cs="Arial"/>
          <w:sz w:val="22"/>
          <w:szCs w:val="22"/>
        </w:rPr>
      </w:pPr>
      <w:r>
        <w:rPr>
          <w:sz w:val="22"/>
          <w:szCs w:val="22"/>
        </w:rPr>
        <w:t xml:space="preserve">In 2023, </w:t>
      </w:r>
      <w:r w:rsidR="00531935">
        <w:rPr>
          <w:sz w:val="22"/>
          <w:szCs w:val="22"/>
        </w:rPr>
        <w:t>FiM made considerable efforts to increase reporting on several valuable metrics, as recommended in the 2022 Annual Review (AR)</w:t>
      </w:r>
      <w:r w:rsidR="004A1880" w:rsidRPr="004A1880">
        <w:rPr>
          <w:sz w:val="22"/>
          <w:szCs w:val="22"/>
        </w:rPr>
        <w:t xml:space="preserve">, </w:t>
      </w:r>
      <w:r w:rsidR="007A370A">
        <w:rPr>
          <w:sz w:val="22"/>
          <w:szCs w:val="22"/>
        </w:rPr>
        <w:t xml:space="preserve">including </w:t>
      </w:r>
      <w:r w:rsidR="00531935">
        <w:rPr>
          <w:sz w:val="22"/>
          <w:szCs w:val="22"/>
        </w:rPr>
        <w:t>two</w:t>
      </w:r>
      <w:r w:rsidR="007A370A">
        <w:rPr>
          <w:sz w:val="22"/>
          <w:szCs w:val="22"/>
        </w:rPr>
        <w:t xml:space="preserve"> additional</w:t>
      </w:r>
      <w:r w:rsidR="00531935">
        <w:rPr>
          <w:sz w:val="22"/>
          <w:szCs w:val="22"/>
        </w:rPr>
        <w:t xml:space="preserve"> KPIs</w:t>
      </w:r>
      <w:r w:rsidR="004C087E">
        <w:rPr>
          <w:sz w:val="22"/>
          <w:szCs w:val="22"/>
        </w:rPr>
        <w:t xml:space="preserve"> (for ecosystem services and impact on transformational change)</w:t>
      </w:r>
      <w:r w:rsidR="007A370A">
        <w:rPr>
          <w:sz w:val="22"/>
          <w:szCs w:val="22"/>
        </w:rPr>
        <w:t>, disaggregating jobs supported by gender</w:t>
      </w:r>
      <w:r w:rsidR="00866014">
        <w:rPr>
          <w:sz w:val="22"/>
          <w:szCs w:val="22"/>
        </w:rPr>
        <w:t>.</w:t>
      </w:r>
      <w:r w:rsidR="00B926DE">
        <w:rPr>
          <w:sz w:val="22"/>
          <w:szCs w:val="22"/>
        </w:rPr>
        <w:t xml:space="preserve"> </w:t>
      </w:r>
      <w:r w:rsidR="00C04918">
        <w:rPr>
          <w:sz w:val="22"/>
          <w:szCs w:val="22"/>
        </w:rPr>
        <w:t>Outcome results showed strong increases compared t</w:t>
      </w:r>
      <w:r w:rsidR="00DC5317">
        <w:rPr>
          <w:sz w:val="22"/>
          <w:szCs w:val="22"/>
        </w:rPr>
        <w:t>o</w:t>
      </w:r>
      <w:r w:rsidR="00C04918">
        <w:rPr>
          <w:sz w:val="22"/>
          <w:szCs w:val="22"/>
        </w:rPr>
        <w:t xml:space="preserve"> 2022, notably on </w:t>
      </w:r>
      <w:r w:rsidR="00DC5317">
        <w:rPr>
          <w:sz w:val="22"/>
          <w:szCs w:val="22"/>
        </w:rPr>
        <w:t>jobs supported</w:t>
      </w:r>
      <w:r w:rsidR="00F74DD7">
        <w:rPr>
          <w:sz w:val="22"/>
          <w:szCs w:val="22"/>
        </w:rPr>
        <w:t>.</w:t>
      </w:r>
      <w:r w:rsidR="00DC5317">
        <w:rPr>
          <w:sz w:val="22"/>
          <w:szCs w:val="22"/>
        </w:rPr>
        <w:t xml:space="preserve"> </w:t>
      </w:r>
      <w:r w:rsidR="001B72CE">
        <w:rPr>
          <w:sz w:val="22"/>
          <w:szCs w:val="22"/>
        </w:rPr>
        <w:t>Although</w:t>
      </w:r>
      <w:r w:rsidR="00E17C8F">
        <w:rPr>
          <w:sz w:val="22"/>
          <w:szCs w:val="22"/>
        </w:rPr>
        <w:t xml:space="preserve"> a small number of </w:t>
      </w:r>
      <w:r w:rsidR="005E6334">
        <w:rPr>
          <w:sz w:val="22"/>
          <w:szCs w:val="22"/>
        </w:rPr>
        <w:t xml:space="preserve">loans </w:t>
      </w:r>
      <w:r w:rsidR="009B3945">
        <w:rPr>
          <w:sz w:val="22"/>
          <w:szCs w:val="22"/>
        </w:rPr>
        <w:t>have caused</w:t>
      </w:r>
      <w:r w:rsidR="005E6334">
        <w:rPr>
          <w:sz w:val="22"/>
          <w:szCs w:val="22"/>
        </w:rPr>
        <w:t xml:space="preserve"> some losses to Junior Shareholders, and </w:t>
      </w:r>
      <w:r w:rsidR="005E2AAB">
        <w:rPr>
          <w:sz w:val="22"/>
          <w:szCs w:val="22"/>
        </w:rPr>
        <w:t xml:space="preserve">the total Fund size has decreased slightly, </w:t>
      </w:r>
      <w:r w:rsidR="003E1B6C">
        <w:rPr>
          <w:sz w:val="22"/>
          <w:szCs w:val="22"/>
        </w:rPr>
        <w:t xml:space="preserve">the Fund has continued to issue loans, with </w:t>
      </w:r>
      <w:r w:rsidR="003E1B6C">
        <w:rPr>
          <w:rFonts w:eastAsia="Arial" w:cs="Arial"/>
          <w:color w:val="000000" w:themeColor="text1"/>
          <w:sz w:val="22"/>
          <w:szCs w:val="22"/>
        </w:rPr>
        <w:t xml:space="preserve">$118.5 million disbursed to PIs in 2023, making </w:t>
      </w:r>
      <w:r w:rsidR="00AD2237">
        <w:rPr>
          <w:rFonts w:eastAsia="Arial" w:cs="Arial"/>
          <w:color w:val="000000" w:themeColor="text1"/>
          <w:sz w:val="22"/>
          <w:szCs w:val="22"/>
        </w:rPr>
        <w:t xml:space="preserve">$1,137.5 million </w:t>
      </w:r>
      <w:r w:rsidR="003E1B6C">
        <w:rPr>
          <w:rFonts w:eastAsia="Arial" w:cs="Arial"/>
          <w:color w:val="000000" w:themeColor="text1"/>
          <w:sz w:val="22"/>
          <w:szCs w:val="22"/>
        </w:rPr>
        <w:t xml:space="preserve">the total amount disbursed </w:t>
      </w:r>
      <w:r w:rsidR="00A93B04">
        <w:rPr>
          <w:rFonts w:eastAsia="Arial" w:cs="Arial"/>
          <w:color w:val="000000" w:themeColor="text1"/>
          <w:sz w:val="22"/>
          <w:szCs w:val="22"/>
        </w:rPr>
        <w:t>since inception</w:t>
      </w:r>
      <w:r w:rsidR="00C04918">
        <w:rPr>
          <w:sz w:val="22"/>
          <w:szCs w:val="22"/>
        </w:rPr>
        <w:t>.</w:t>
      </w:r>
    </w:p>
    <w:p w14:paraId="24ED0E67" w14:textId="77777777" w:rsidR="008068F2" w:rsidRDefault="008068F2" w:rsidP="00F66B70">
      <w:pPr>
        <w:jc w:val="both"/>
        <w:rPr>
          <w:rFonts w:eastAsia="Arial" w:cs="Arial"/>
          <w:sz w:val="22"/>
          <w:szCs w:val="22"/>
        </w:rPr>
      </w:pPr>
    </w:p>
    <w:p w14:paraId="3B73C416" w14:textId="35FFA6A4" w:rsidR="00D37310" w:rsidRPr="00D37310" w:rsidRDefault="00BD61A2" w:rsidP="00F66B70">
      <w:pPr>
        <w:jc w:val="both"/>
        <w:rPr>
          <w:rFonts w:eastAsia="Arial" w:cs="Arial"/>
          <w:sz w:val="22"/>
          <w:szCs w:val="22"/>
        </w:rPr>
      </w:pPr>
      <w:r>
        <w:rPr>
          <w:rFonts w:eastAsia="Arial" w:cs="Arial"/>
          <w:sz w:val="22"/>
          <w:szCs w:val="22"/>
        </w:rPr>
        <w:t>Fo</w:t>
      </w:r>
      <w:r w:rsidR="0049348A">
        <w:rPr>
          <w:rFonts w:eastAsia="Arial" w:cs="Arial"/>
          <w:sz w:val="22"/>
          <w:szCs w:val="22"/>
        </w:rPr>
        <w:t>r</w:t>
      </w:r>
      <w:r>
        <w:rPr>
          <w:rFonts w:eastAsia="Arial" w:cs="Arial"/>
          <w:sz w:val="22"/>
          <w:szCs w:val="22"/>
        </w:rPr>
        <w:t xml:space="preserve"> several years most </w:t>
      </w:r>
      <w:r w:rsidR="00A93B04">
        <w:rPr>
          <w:rFonts w:eastAsia="Arial" w:cs="Arial"/>
          <w:sz w:val="22"/>
          <w:szCs w:val="22"/>
        </w:rPr>
        <w:t>Outcomes and O</w:t>
      </w:r>
      <w:r>
        <w:rPr>
          <w:rFonts w:eastAsia="Arial" w:cs="Arial"/>
          <w:sz w:val="22"/>
          <w:szCs w:val="22"/>
        </w:rPr>
        <w:t>utputs</w:t>
      </w:r>
      <w:r w:rsidR="00F95D4A">
        <w:rPr>
          <w:rFonts w:eastAsia="Arial" w:cs="Arial"/>
          <w:sz w:val="22"/>
          <w:szCs w:val="22"/>
        </w:rPr>
        <w:t xml:space="preserve"> </w:t>
      </w:r>
      <w:r w:rsidR="0049348A">
        <w:rPr>
          <w:rFonts w:eastAsia="Arial" w:cs="Arial"/>
          <w:sz w:val="22"/>
          <w:szCs w:val="22"/>
        </w:rPr>
        <w:t xml:space="preserve">have </w:t>
      </w:r>
      <w:r>
        <w:rPr>
          <w:rFonts w:eastAsia="Arial" w:cs="Arial"/>
          <w:sz w:val="22"/>
          <w:szCs w:val="22"/>
        </w:rPr>
        <w:t>far exceeded</w:t>
      </w:r>
      <w:r w:rsidR="00F95D4A">
        <w:rPr>
          <w:rFonts w:eastAsia="Arial" w:cs="Arial"/>
          <w:sz w:val="22"/>
          <w:szCs w:val="22"/>
        </w:rPr>
        <w:t xml:space="preserve"> the original set of milestones</w:t>
      </w:r>
      <w:r w:rsidR="0049348A">
        <w:rPr>
          <w:rFonts w:eastAsia="Arial" w:cs="Arial"/>
          <w:sz w:val="22"/>
          <w:szCs w:val="22"/>
        </w:rPr>
        <w:t xml:space="preserve">, demonstrating the </w:t>
      </w:r>
      <w:r w:rsidR="008C4E24">
        <w:rPr>
          <w:rFonts w:eastAsia="Arial" w:cs="Arial"/>
          <w:sz w:val="22"/>
          <w:szCs w:val="22"/>
        </w:rPr>
        <w:t>P</w:t>
      </w:r>
      <w:r w:rsidR="00406141">
        <w:rPr>
          <w:rFonts w:eastAsia="Arial" w:cs="Arial"/>
          <w:sz w:val="22"/>
          <w:szCs w:val="22"/>
        </w:rPr>
        <w:t>rogramme</w:t>
      </w:r>
      <w:r w:rsidR="0049348A">
        <w:rPr>
          <w:rFonts w:eastAsia="Arial" w:cs="Arial"/>
          <w:sz w:val="22"/>
          <w:szCs w:val="22"/>
        </w:rPr>
        <w:t>’s great</w:t>
      </w:r>
      <w:r w:rsidR="00406141">
        <w:rPr>
          <w:rFonts w:eastAsia="Arial" w:cs="Arial"/>
          <w:sz w:val="22"/>
          <w:szCs w:val="22"/>
        </w:rPr>
        <w:t>er than expected impact and value for money.</w:t>
      </w:r>
      <w:r>
        <w:rPr>
          <w:rFonts w:eastAsia="Arial" w:cs="Arial"/>
          <w:sz w:val="22"/>
          <w:szCs w:val="22"/>
        </w:rPr>
        <w:t xml:space="preserve"> </w:t>
      </w:r>
      <w:r w:rsidR="009711B8">
        <w:rPr>
          <w:sz w:val="22"/>
          <w:szCs w:val="22"/>
        </w:rPr>
        <w:t>Consequently</w:t>
      </w:r>
      <w:r w:rsidR="008C4E24">
        <w:rPr>
          <w:sz w:val="22"/>
          <w:szCs w:val="22"/>
        </w:rPr>
        <w:t>,</w:t>
      </w:r>
      <w:r w:rsidR="00B926DE">
        <w:rPr>
          <w:sz w:val="22"/>
          <w:szCs w:val="22"/>
        </w:rPr>
        <w:t xml:space="preserve"> the Programme’s ambition </w:t>
      </w:r>
      <w:r w:rsidR="008C4E24">
        <w:rPr>
          <w:sz w:val="22"/>
          <w:szCs w:val="22"/>
        </w:rPr>
        <w:t xml:space="preserve">has been challenged and increased </w:t>
      </w:r>
      <w:r w:rsidR="00B926DE">
        <w:rPr>
          <w:sz w:val="22"/>
          <w:szCs w:val="22"/>
        </w:rPr>
        <w:t>with a new set of milestones for 2023 and the next five-year period</w:t>
      </w:r>
      <w:r w:rsidR="009711B8">
        <w:rPr>
          <w:sz w:val="22"/>
          <w:szCs w:val="22"/>
        </w:rPr>
        <w:t xml:space="preserve"> that are </w:t>
      </w:r>
      <w:r w:rsidR="009711B8">
        <w:rPr>
          <w:rFonts w:eastAsia="Arial" w:cs="Arial"/>
          <w:sz w:val="22"/>
          <w:szCs w:val="22"/>
        </w:rPr>
        <w:t>considerably more stretching</w:t>
      </w:r>
      <w:r w:rsidR="00AF0375">
        <w:rPr>
          <w:rFonts w:eastAsia="Arial" w:cs="Arial"/>
          <w:sz w:val="22"/>
          <w:szCs w:val="22"/>
        </w:rPr>
        <w:t xml:space="preserve">, as </w:t>
      </w:r>
      <w:r w:rsidR="00AE3682">
        <w:rPr>
          <w:rFonts w:eastAsia="Arial" w:cs="Arial"/>
          <w:sz w:val="22"/>
          <w:szCs w:val="22"/>
        </w:rPr>
        <w:t>set out</w:t>
      </w:r>
      <w:r w:rsidR="00AF0375">
        <w:rPr>
          <w:rFonts w:eastAsia="Arial" w:cs="Arial"/>
          <w:sz w:val="22"/>
          <w:szCs w:val="22"/>
        </w:rPr>
        <w:t xml:space="preserve"> in the LogFrame</w:t>
      </w:r>
      <w:r w:rsidR="00352C45">
        <w:rPr>
          <w:rFonts w:eastAsia="Arial" w:cs="Arial"/>
          <w:sz w:val="22"/>
          <w:szCs w:val="22"/>
        </w:rPr>
        <w:t xml:space="preserve"> on DevTracker</w:t>
      </w:r>
      <w:r w:rsidR="00B926DE">
        <w:rPr>
          <w:sz w:val="22"/>
          <w:szCs w:val="22"/>
        </w:rPr>
        <w:t>.</w:t>
      </w:r>
      <w:r w:rsidR="00B926DE" w:rsidRPr="68316884">
        <w:rPr>
          <w:rFonts w:eastAsia="Arial" w:cs="Arial"/>
          <w:sz w:val="22"/>
          <w:szCs w:val="22"/>
        </w:rPr>
        <w:t xml:space="preserve"> </w:t>
      </w:r>
      <w:r w:rsidR="001A3B48">
        <w:rPr>
          <w:rFonts w:eastAsia="Arial" w:cs="Arial"/>
          <w:sz w:val="22"/>
          <w:szCs w:val="22"/>
        </w:rPr>
        <w:t xml:space="preserve">These were set </w:t>
      </w:r>
      <w:r w:rsidR="00627F10">
        <w:rPr>
          <w:rFonts w:eastAsia="Arial" w:cs="Arial"/>
          <w:sz w:val="22"/>
          <w:szCs w:val="22"/>
        </w:rPr>
        <w:t xml:space="preserve">at the end of the 2022 review process, </w:t>
      </w:r>
      <w:r w:rsidR="008222FC">
        <w:rPr>
          <w:rFonts w:eastAsia="Arial" w:cs="Arial"/>
          <w:sz w:val="22"/>
          <w:szCs w:val="22"/>
        </w:rPr>
        <w:t xml:space="preserve">so 2023 </w:t>
      </w:r>
      <w:r w:rsidR="00C3101A">
        <w:rPr>
          <w:rFonts w:eastAsia="Arial" w:cs="Arial"/>
          <w:sz w:val="22"/>
          <w:szCs w:val="22"/>
        </w:rPr>
        <w:t>milestones and results</w:t>
      </w:r>
      <w:r w:rsidR="00627F10">
        <w:rPr>
          <w:rFonts w:eastAsia="Arial" w:cs="Arial"/>
          <w:sz w:val="22"/>
          <w:szCs w:val="22"/>
        </w:rPr>
        <w:t xml:space="preserve"> </w:t>
      </w:r>
      <w:r w:rsidR="00B776D7">
        <w:rPr>
          <w:rFonts w:eastAsia="Arial" w:cs="Arial"/>
          <w:sz w:val="22"/>
          <w:szCs w:val="22"/>
        </w:rPr>
        <w:t xml:space="preserve">can be seen as a baseline for the </w:t>
      </w:r>
      <w:r w:rsidR="00C3101A">
        <w:rPr>
          <w:rFonts w:eastAsia="Arial" w:cs="Arial"/>
          <w:sz w:val="22"/>
          <w:szCs w:val="22"/>
        </w:rPr>
        <w:t>following</w:t>
      </w:r>
      <w:r w:rsidR="00B776D7">
        <w:rPr>
          <w:rFonts w:eastAsia="Arial" w:cs="Arial"/>
          <w:sz w:val="22"/>
          <w:szCs w:val="22"/>
        </w:rPr>
        <w:t xml:space="preserve"> five-year period</w:t>
      </w:r>
      <w:r w:rsidR="00322089">
        <w:rPr>
          <w:rFonts w:eastAsia="Arial" w:cs="Arial"/>
          <w:sz w:val="22"/>
          <w:szCs w:val="22"/>
        </w:rPr>
        <w:t xml:space="preserve">, with the overall </w:t>
      </w:r>
      <w:r w:rsidR="00613020">
        <w:rPr>
          <w:rFonts w:eastAsia="Arial" w:cs="Arial"/>
          <w:sz w:val="22"/>
          <w:szCs w:val="22"/>
        </w:rPr>
        <w:t xml:space="preserve">Output </w:t>
      </w:r>
      <w:r w:rsidR="00322089">
        <w:rPr>
          <w:rFonts w:eastAsia="Arial" w:cs="Arial"/>
          <w:sz w:val="22"/>
          <w:szCs w:val="22"/>
        </w:rPr>
        <w:t>score being reset to A</w:t>
      </w:r>
      <w:r w:rsidR="00613020">
        <w:rPr>
          <w:rFonts w:eastAsia="Arial" w:cs="Arial"/>
          <w:sz w:val="22"/>
          <w:szCs w:val="22"/>
        </w:rPr>
        <w:t xml:space="preserve"> </w:t>
      </w:r>
      <w:r w:rsidR="004E71BC">
        <w:rPr>
          <w:rFonts w:eastAsia="Arial" w:cs="Arial"/>
          <w:sz w:val="22"/>
          <w:szCs w:val="22"/>
        </w:rPr>
        <w:t>based on the new</w:t>
      </w:r>
      <w:r w:rsidR="00974DD2">
        <w:rPr>
          <w:rFonts w:eastAsia="Arial" w:cs="Arial"/>
          <w:sz w:val="22"/>
          <w:szCs w:val="22"/>
        </w:rPr>
        <w:t>, much higher milestones</w:t>
      </w:r>
      <w:r w:rsidR="00322089">
        <w:rPr>
          <w:rFonts w:eastAsia="Arial" w:cs="Arial"/>
          <w:sz w:val="22"/>
          <w:szCs w:val="22"/>
        </w:rPr>
        <w:t>.</w:t>
      </w:r>
      <w:r w:rsidR="00220318">
        <w:rPr>
          <w:rFonts w:eastAsia="Arial" w:cs="Arial"/>
          <w:sz w:val="22"/>
          <w:szCs w:val="22"/>
        </w:rPr>
        <w:t xml:space="preserve"> </w:t>
      </w:r>
      <w:r w:rsidR="4092D08A" w:rsidRPr="68316884">
        <w:rPr>
          <w:rFonts w:eastAsia="Arial" w:cs="Arial"/>
          <w:sz w:val="22"/>
          <w:szCs w:val="22"/>
        </w:rPr>
        <w:t xml:space="preserve">The </w:t>
      </w:r>
      <w:r w:rsidR="000741A8">
        <w:rPr>
          <w:rFonts w:eastAsia="Arial" w:cs="Arial"/>
          <w:sz w:val="22"/>
          <w:szCs w:val="22"/>
        </w:rPr>
        <w:t>only Output target not met</w:t>
      </w:r>
      <w:r w:rsidR="00C3554B">
        <w:rPr>
          <w:rFonts w:eastAsia="Arial" w:cs="Arial"/>
          <w:sz w:val="22"/>
          <w:szCs w:val="22"/>
        </w:rPr>
        <w:t xml:space="preserve"> is 3.4 </w:t>
      </w:r>
      <w:r w:rsidR="00354DBC">
        <w:rPr>
          <w:rFonts w:eastAsia="Arial" w:cs="Arial"/>
          <w:sz w:val="22"/>
          <w:szCs w:val="22"/>
        </w:rPr>
        <w:t>‘</w:t>
      </w:r>
      <w:r w:rsidR="00C3554B">
        <w:rPr>
          <w:rFonts w:eastAsia="Arial" w:cs="Arial"/>
          <w:sz w:val="22"/>
          <w:szCs w:val="22"/>
        </w:rPr>
        <w:t>Budget spent on TA programmes</w:t>
      </w:r>
      <w:r w:rsidR="00354DBC">
        <w:rPr>
          <w:rFonts w:eastAsia="Arial" w:cs="Arial"/>
          <w:sz w:val="22"/>
          <w:szCs w:val="22"/>
        </w:rPr>
        <w:t>’, which went slightly over budget</w:t>
      </w:r>
      <w:r w:rsidR="00E20295">
        <w:rPr>
          <w:rFonts w:eastAsia="Arial" w:cs="Arial"/>
          <w:sz w:val="22"/>
          <w:szCs w:val="22"/>
        </w:rPr>
        <w:t xml:space="preserve"> due to s</w:t>
      </w:r>
      <w:r w:rsidR="00E500C3">
        <w:rPr>
          <w:rFonts w:eastAsia="Arial" w:cs="Arial"/>
          <w:sz w:val="22"/>
          <w:szCs w:val="22"/>
        </w:rPr>
        <w:t>ome</w:t>
      </w:r>
      <w:r w:rsidR="00E20295">
        <w:rPr>
          <w:rFonts w:eastAsia="Arial" w:cs="Arial"/>
          <w:sz w:val="22"/>
          <w:szCs w:val="22"/>
        </w:rPr>
        <w:t xml:space="preserve"> </w:t>
      </w:r>
      <w:r w:rsidR="00E500C3">
        <w:rPr>
          <w:rFonts w:eastAsia="Arial" w:cs="Arial"/>
          <w:sz w:val="22"/>
          <w:szCs w:val="22"/>
        </w:rPr>
        <w:t xml:space="preserve">more complex but </w:t>
      </w:r>
      <w:r w:rsidR="00E20295">
        <w:rPr>
          <w:rFonts w:eastAsia="Arial" w:cs="Arial"/>
          <w:sz w:val="22"/>
          <w:szCs w:val="22"/>
        </w:rPr>
        <w:t>high</w:t>
      </w:r>
      <w:r w:rsidR="00E500C3">
        <w:rPr>
          <w:rFonts w:eastAsia="Arial" w:cs="Arial"/>
          <w:sz w:val="22"/>
          <w:szCs w:val="22"/>
        </w:rPr>
        <w:t>er</w:t>
      </w:r>
      <w:r w:rsidR="00E20295">
        <w:rPr>
          <w:rFonts w:eastAsia="Arial" w:cs="Arial"/>
          <w:sz w:val="22"/>
          <w:szCs w:val="22"/>
        </w:rPr>
        <w:t>-impact</w:t>
      </w:r>
      <w:r w:rsidR="00E500C3">
        <w:rPr>
          <w:rFonts w:eastAsia="Arial" w:cs="Arial"/>
          <w:sz w:val="22"/>
          <w:szCs w:val="22"/>
        </w:rPr>
        <w:t xml:space="preserve"> projects being carried out</w:t>
      </w:r>
      <w:r w:rsidR="00AA77F8" w:rsidRPr="68316884">
        <w:rPr>
          <w:rFonts w:eastAsia="Arial" w:cs="Arial"/>
          <w:sz w:val="22"/>
          <w:szCs w:val="22"/>
        </w:rPr>
        <w:t>.</w:t>
      </w:r>
      <w:r w:rsidR="004E7169" w:rsidRPr="68316884">
        <w:rPr>
          <w:rFonts w:eastAsia="Arial" w:cs="Arial"/>
          <w:sz w:val="22"/>
          <w:szCs w:val="22"/>
        </w:rPr>
        <w:t xml:space="preserve"> A summary of </w:t>
      </w:r>
      <w:r w:rsidR="004E7169" w:rsidRPr="68316884">
        <w:rPr>
          <w:rFonts w:eastAsia="Arial" w:cs="Arial"/>
          <w:sz w:val="22"/>
          <w:szCs w:val="22"/>
        </w:rPr>
        <w:lastRenderedPageBreak/>
        <w:t xml:space="preserve">the </w:t>
      </w:r>
      <w:r w:rsidR="00900A80" w:rsidRPr="68316884">
        <w:rPr>
          <w:rFonts w:eastAsia="Arial" w:cs="Arial"/>
          <w:sz w:val="22"/>
          <w:szCs w:val="22"/>
        </w:rPr>
        <w:t xml:space="preserve">year </w:t>
      </w:r>
      <w:r w:rsidR="004E7169" w:rsidRPr="68316884">
        <w:rPr>
          <w:rFonts w:eastAsia="Arial" w:cs="Arial"/>
          <w:sz w:val="22"/>
          <w:szCs w:val="22"/>
        </w:rPr>
        <w:t xml:space="preserve">follows here, with more detail </w:t>
      </w:r>
      <w:r w:rsidR="00B80AB6" w:rsidRPr="68316884">
        <w:rPr>
          <w:rFonts w:eastAsia="Arial" w:cs="Arial"/>
          <w:sz w:val="22"/>
          <w:szCs w:val="22"/>
        </w:rPr>
        <w:t>provided</w:t>
      </w:r>
      <w:r w:rsidR="004E7169" w:rsidRPr="68316884">
        <w:rPr>
          <w:rFonts w:eastAsia="Arial" w:cs="Arial"/>
          <w:sz w:val="22"/>
          <w:szCs w:val="22"/>
        </w:rPr>
        <w:t xml:space="preserve"> </w:t>
      </w:r>
      <w:r w:rsidR="00B80AB6" w:rsidRPr="68316884">
        <w:rPr>
          <w:rFonts w:eastAsia="Arial" w:cs="Arial"/>
          <w:sz w:val="22"/>
          <w:szCs w:val="22"/>
        </w:rPr>
        <w:t>in the next sections of the report.</w:t>
      </w:r>
      <w:r w:rsidR="00A33CDF">
        <w:rPr>
          <w:rFonts w:eastAsia="Arial" w:cs="Arial"/>
          <w:sz w:val="22"/>
          <w:szCs w:val="22"/>
        </w:rPr>
        <w:t xml:space="preserve"> Th</w:t>
      </w:r>
      <w:r w:rsidR="00D64AC5">
        <w:rPr>
          <w:rFonts w:eastAsia="Arial" w:cs="Arial"/>
          <w:sz w:val="22"/>
          <w:szCs w:val="22"/>
        </w:rPr>
        <w:t xml:space="preserve">is </w:t>
      </w:r>
      <w:r w:rsidR="00531935">
        <w:rPr>
          <w:rFonts w:eastAsia="Arial" w:cs="Arial"/>
          <w:sz w:val="22"/>
          <w:szCs w:val="22"/>
        </w:rPr>
        <w:t>AR</w:t>
      </w:r>
      <w:r w:rsidR="00D64AC5">
        <w:rPr>
          <w:rFonts w:eastAsia="Arial" w:cs="Arial"/>
          <w:sz w:val="22"/>
          <w:szCs w:val="22"/>
        </w:rPr>
        <w:t xml:space="preserve"> was </w:t>
      </w:r>
      <w:r w:rsidR="00A92A78">
        <w:rPr>
          <w:rFonts w:eastAsia="Arial" w:cs="Arial"/>
          <w:sz w:val="22"/>
          <w:szCs w:val="22"/>
        </w:rPr>
        <w:t>conducted</w:t>
      </w:r>
      <w:r w:rsidR="003D38F2">
        <w:rPr>
          <w:rFonts w:eastAsia="Arial" w:cs="Arial"/>
          <w:sz w:val="22"/>
          <w:szCs w:val="22"/>
        </w:rPr>
        <w:t xml:space="preserve"> </w:t>
      </w:r>
      <w:r w:rsidR="00975691">
        <w:rPr>
          <w:rFonts w:eastAsia="Arial" w:cs="Arial"/>
          <w:sz w:val="22"/>
          <w:szCs w:val="22"/>
        </w:rPr>
        <w:t>using data collected for the eco.business Fund by i</w:t>
      </w:r>
      <w:r w:rsidR="005643FF">
        <w:rPr>
          <w:rFonts w:eastAsia="Arial" w:cs="Arial"/>
          <w:sz w:val="22"/>
          <w:szCs w:val="22"/>
        </w:rPr>
        <w:t xml:space="preserve">ts PIs, </w:t>
      </w:r>
      <w:r w:rsidR="00A92A78">
        <w:rPr>
          <w:rFonts w:eastAsia="Arial" w:cs="Arial"/>
          <w:sz w:val="22"/>
          <w:szCs w:val="22"/>
        </w:rPr>
        <w:t>and in collaboration with the programme team, internal evidence colleagues, and Finance</w:t>
      </w:r>
      <w:r w:rsidR="00110E1C">
        <w:rPr>
          <w:rFonts w:eastAsia="Arial" w:cs="Arial"/>
          <w:sz w:val="22"/>
          <w:szCs w:val="22"/>
        </w:rPr>
        <w:t>-in-Motion.</w:t>
      </w:r>
    </w:p>
    <w:p w14:paraId="24B9CC86" w14:textId="77777777" w:rsidR="00D37310" w:rsidRDefault="00D37310" w:rsidP="00F66B70">
      <w:pPr>
        <w:jc w:val="both"/>
        <w:rPr>
          <w:rFonts w:eastAsia="Arial" w:cs="Arial"/>
          <w:sz w:val="20"/>
          <w:szCs w:val="20"/>
        </w:rPr>
      </w:pPr>
    </w:p>
    <w:p w14:paraId="24192E46" w14:textId="12D260D7" w:rsidR="001418EC" w:rsidRPr="00F53E94" w:rsidRDefault="00A4224C" w:rsidP="00F66B70">
      <w:pPr>
        <w:jc w:val="both"/>
        <w:rPr>
          <w:rFonts w:eastAsia="Arial" w:cs="Arial"/>
          <w:b/>
          <w:bCs/>
          <w:sz w:val="22"/>
          <w:szCs w:val="22"/>
        </w:rPr>
      </w:pPr>
      <w:r w:rsidRPr="00F53E94">
        <w:rPr>
          <w:rFonts w:eastAsia="Arial" w:cs="Arial"/>
          <w:b/>
          <w:bCs/>
          <w:sz w:val="22"/>
          <w:szCs w:val="22"/>
        </w:rPr>
        <w:t>Performance</w:t>
      </w:r>
    </w:p>
    <w:p w14:paraId="7DF9D555" w14:textId="77777777" w:rsidR="001418EC" w:rsidRDefault="001418EC" w:rsidP="00F66B70">
      <w:pPr>
        <w:jc w:val="both"/>
        <w:rPr>
          <w:rFonts w:eastAsia="Arial" w:cs="Arial"/>
          <w:sz w:val="20"/>
          <w:szCs w:val="20"/>
        </w:rPr>
      </w:pPr>
    </w:p>
    <w:p w14:paraId="7DE48520" w14:textId="65F5CEE1" w:rsidR="50E70105" w:rsidRPr="008D3032" w:rsidRDefault="1DD5DC82" w:rsidP="00F66B70">
      <w:pPr>
        <w:jc w:val="both"/>
        <w:rPr>
          <w:rFonts w:eastAsia="Arial" w:cs="Arial"/>
          <w:sz w:val="22"/>
          <w:szCs w:val="22"/>
        </w:rPr>
      </w:pPr>
      <w:r w:rsidRPr="3B37011C">
        <w:rPr>
          <w:rFonts w:eastAsia="Arial" w:cs="Arial"/>
          <w:sz w:val="20"/>
          <w:szCs w:val="20"/>
        </w:rPr>
        <w:t>In</w:t>
      </w:r>
      <w:r w:rsidRPr="3B37011C">
        <w:rPr>
          <w:rFonts w:eastAsia="Arial" w:cs="Arial"/>
          <w:sz w:val="22"/>
          <w:szCs w:val="22"/>
        </w:rPr>
        <w:t xml:space="preserve"> 202</w:t>
      </w:r>
      <w:r w:rsidR="1EA0A83C" w:rsidRPr="3B37011C">
        <w:rPr>
          <w:rFonts w:eastAsia="Arial" w:cs="Arial"/>
          <w:sz w:val="22"/>
          <w:szCs w:val="22"/>
        </w:rPr>
        <w:t>3</w:t>
      </w:r>
      <w:r w:rsidR="2045069A" w:rsidRPr="3B37011C">
        <w:rPr>
          <w:rFonts w:eastAsia="Arial" w:cs="Arial"/>
          <w:sz w:val="22"/>
          <w:szCs w:val="22"/>
        </w:rPr>
        <w:t>,</w:t>
      </w:r>
      <w:r w:rsidRPr="3B37011C">
        <w:rPr>
          <w:rFonts w:eastAsia="Arial" w:cs="Arial"/>
          <w:sz w:val="22"/>
          <w:szCs w:val="22"/>
        </w:rPr>
        <w:t xml:space="preserve"> EBF LAC completed </w:t>
      </w:r>
      <w:r w:rsidR="4155FFA6" w:rsidRPr="3B37011C">
        <w:rPr>
          <w:rFonts w:eastAsia="Arial" w:cs="Arial"/>
          <w:sz w:val="22"/>
          <w:szCs w:val="22"/>
        </w:rPr>
        <w:t>eight</w:t>
      </w:r>
      <w:r w:rsidRPr="3B37011C">
        <w:rPr>
          <w:rFonts w:eastAsia="Arial" w:cs="Arial"/>
          <w:sz w:val="22"/>
          <w:szCs w:val="22"/>
        </w:rPr>
        <w:t xml:space="preserve"> new investments amounting to a total of </w:t>
      </w:r>
      <w:r w:rsidR="0AFC6640" w:rsidRPr="3B37011C">
        <w:rPr>
          <w:rFonts w:eastAsia="Arial" w:cs="Arial"/>
          <w:sz w:val="22"/>
          <w:szCs w:val="22"/>
        </w:rPr>
        <w:t xml:space="preserve">US Dollar (hereafter $) </w:t>
      </w:r>
      <w:r w:rsidR="00477B63" w:rsidRPr="3B37011C">
        <w:rPr>
          <w:rFonts w:eastAsia="Arial" w:cs="Arial"/>
          <w:sz w:val="22"/>
          <w:szCs w:val="22"/>
        </w:rPr>
        <w:t>118</w:t>
      </w:r>
      <w:r w:rsidR="06FB76B8" w:rsidRPr="3B37011C">
        <w:rPr>
          <w:rFonts w:eastAsia="Arial" w:cs="Arial"/>
          <w:sz w:val="22"/>
          <w:szCs w:val="22"/>
        </w:rPr>
        <w:t>.</w:t>
      </w:r>
      <w:r w:rsidR="00477B63" w:rsidRPr="3B37011C">
        <w:rPr>
          <w:rFonts w:eastAsia="Arial" w:cs="Arial"/>
          <w:sz w:val="22"/>
          <w:szCs w:val="22"/>
        </w:rPr>
        <w:t>5</w:t>
      </w:r>
      <w:r w:rsidR="009D3932">
        <w:rPr>
          <w:rFonts w:eastAsia="Arial" w:cs="Arial"/>
          <w:sz w:val="22"/>
          <w:szCs w:val="22"/>
        </w:rPr>
        <w:t xml:space="preserve"> </w:t>
      </w:r>
      <w:r w:rsidR="1A4E86B3" w:rsidRPr="3B37011C">
        <w:rPr>
          <w:rFonts w:eastAsia="Arial" w:cs="Arial"/>
          <w:sz w:val="22"/>
          <w:szCs w:val="22"/>
        </w:rPr>
        <w:t>m</w:t>
      </w:r>
      <w:r w:rsidR="009D3932">
        <w:rPr>
          <w:rFonts w:eastAsia="Arial" w:cs="Arial"/>
          <w:sz w:val="22"/>
          <w:szCs w:val="22"/>
        </w:rPr>
        <w:t>illion</w:t>
      </w:r>
      <w:r w:rsidRPr="3B37011C">
        <w:rPr>
          <w:rFonts w:eastAsia="Arial" w:cs="Arial"/>
          <w:sz w:val="22"/>
          <w:szCs w:val="22"/>
        </w:rPr>
        <w:t>.</w:t>
      </w:r>
      <w:r w:rsidR="42983579" w:rsidRPr="3B37011C">
        <w:rPr>
          <w:rFonts w:eastAsia="Arial" w:cs="Arial"/>
          <w:sz w:val="22"/>
          <w:szCs w:val="22"/>
        </w:rPr>
        <w:t xml:space="preserve"> </w:t>
      </w:r>
      <w:r w:rsidR="0AFC6640" w:rsidRPr="3B37011C">
        <w:rPr>
          <w:rFonts w:eastAsia="Arial" w:cs="Arial"/>
          <w:sz w:val="22"/>
          <w:szCs w:val="22"/>
        </w:rPr>
        <w:t>As of December 202</w:t>
      </w:r>
      <w:r w:rsidR="5B5E8486" w:rsidRPr="3B37011C">
        <w:rPr>
          <w:rFonts w:eastAsia="Arial" w:cs="Arial"/>
          <w:sz w:val="22"/>
          <w:szCs w:val="22"/>
        </w:rPr>
        <w:t>3</w:t>
      </w:r>
      <w:r w:rsidR="0AFC6640" w:rsidRPr="3B37011C">
        <w:rPr>
          <w:rFonts w:eastAsia="Arial" w:cs="Arial"/>
          <w:sz w:val="22"/>
          <w:szCs w:val="22"/>
        </w:rPr>
        <w:t>,</w:t>
      </w:r>
      <w:r w:rsidR="42983579" w:rsidRPr="3B37011C">
        <w:rPr>
          <w:rFonts w:eastAsia="Arial" w:cs="Arial"/>
          <w:sz w:val="22"/>
          <w:szCs w:val="22"/>
        </w:rPr>
        <w:t xml:space="preserve"> the fund </w:t>
      </w:r>
      <w:r w:rsidR="0AFC6640" w:rsidRPr="3B37011C">
        <w:rPr>
          <w:rFonts w:eastAsia="Arial" w:cs="Arial"/>
          <w:sz w:val="22"/>
          <w:szCs w:val="22"/>
        </w:rPr>
        <w:t>had invested in</w:t>
      </w:r>
      <w:r w:rsidR="1832C7AE" w:rsidRPr="3B37011C">
        <w:rPr>
          <w:rFonts w:eastAsia="Arial" w:cs="Arial"/>
          <w:sz w:val="22"/>
          <w:szCs w:val="22"/>
        </w:rPr>
        <w:t xml:space="preserve"> </w:t>
      </w:r>
      <w:r w:rsidR="3FC03F8C" w:rsidRPr="3B37011C">
        <w:rPr>
          <w:rFonts w:eastAsia="Arial" w:cs="Arial"/>
          <w:sz w:val="22"/>
          <w:szCs w:val="22"/>
        </w:rPr>
        <w:t>42</w:t>
      </w:r>
      <w:r w:rsidR="42983579" w:rsidRPr="3B37011C">
        <w:rPr>
          <w:rFonts w:eastAsia="Arial" w:cs="Arial"/>
          <w:sz w:val="22"/>
          <w:szCs w:val="22"/>
        </w:rPr>
        <w:t xml:space="preserve"> PI</w:t>
      </w:r>
      <w:r w:rsidR="65D24172" w:rsidRPr="3B37011C">
        <w:rPr>
          <w:rFonts w:eastAsia="Arial" w:cs="Arial"/>
          <w:sz w:val="22"/>
          <w:szCs w:val="22"/>
        </w:rPr>
        <w:t>s</w:t>
      </w:r>
      <w:r w:rsidR="42983579" w:rsidRPr="3B37011C">
        <w:rPr>
          <w:rFonts w:eastAsia="Arial" w:cs="Arial"/>
          <w:sz w:val="22"/>
          <w:szCs w:val="22"/>
        </w:rPr>
        <w:t xml:space="preserve"> across </w:t>
      </w:r>
      <w:r w:rsidR="28868C94" w:rsidRPr="3B37011C">
        <w:rPr>
          <w:rFonts w:eastAsia="Arial" w:cs="Arial"/>
          <w:sz w:val="22"/>
          <w:szCs w:val="22"/>
        </w:rPr>
        <w:t>13</w:t>
      </w:r>
      <w:r w:rsidR="42983579" w:rsidRPr="3B37011C">
        <w:rPr>
          <w:rFonts w:eastAsia="Arial" w:cs="Arial"/>
          <w:sz w:val="22"/>
          <w:szCs w:val="22"/>
        </w:rPr>
        <w:t xml:space="preserve"> countries</w:t>
      </w:r>
      <w:r w:rsidR="65D24172" w:rsidRPr="3B37011C">
        <w:rPr>
          <w:rFonts w:eastAsia="Arial" w:cs="Arial"/>
          <w:sz w:val="22"/>
          <w:szCs w:val="22"/>
        </w:rPr>
        <w:t>.</w:t>
      </w:r>
      <w:r w:rsidR="2007198E" w:rsidRPr="3B37011C">
        <w:rPr>
          <w:rFonts w:eastAsia="Arial" w:cs="Arial"/>
          <w:sz w:val="22"/>
          <w:szCs w:val="22"/>
        </w:rPr>
        <w:t xml:space="preserve"> PIs repaid $1</w:t>
      </w:r>
      <w:r w:rsidR="00E10D9D" w:rsidRPr="3B37011C">
        <w:rPr>
          <w:rFonts w:eastAsia="Arial" w:cs="Arial"/>
          <w:sz w:val="22"/>
          <w:szCs w:val="22"/>
        </w:rPr>
        <w:t>36</w:t>
      </w:r>
      <w:r w:rsidR="2007198E" w:rsidRPr="3B37011C">
        <w:rPr>
          <w:rFonts w:eastAsia="Arial" w:cs="Arial"/>
          <w:sz w:val="22"/>
          <w:szCs w:val="22"/>
        </w:rPr>
        <w:t>.</w:t>
      </w:r>
      <w:r w:rsidR="00E10D9D" w:rsidRPr="3B37011C">
        <w:rPr>
          <w:rFonts w:eastAsia="Arial" w:cs="Arial"/>
          <w:sz w:val="22"/>
          <w:szCs w:val="22"/>
        </w:rPr>
        <w:t>7</w:t>
      </w:r>
      <w:r w:rsidR="009D3932">
        <w:rPr>
          <w:rFonts w:eastAsia="Arial" w:cs="Arial"/>
          <w:sz w:val="22"/>
          <w:szCs w:val="22"/>
        </w:rPr>
        <w:t xml:space="preserve"> million </w:t>
      </w:r>
      <w:r w:rsidR="2007198E" w:rsidRPr="3B37011C">
        <w:rPr>
          <w:rFonts w:eastAsia="Arial" w:cs="Arial"/>
          <w:sz w:val="22"/>
          <w:szCs w:val="22"/>
        </w:rPr>
        <w:t>of loans to EBF in 202</w:t>
      </w:r>
      <w:r w:rsidR="5724D659" w:rsidRPr="3B37011C">
        <w:rPr>
          <w:rFonts w:eastAsia="Arial" w:cs="Arial"/>
          <w:sz w:val="22"/>
          <w:szCs w:val="22"/>
        </w:rPr>
        <w:t>3</w:t>
      </w:r>
      <w:r w:rsidR="2007198E" w:rsidRPr="3B37011C">
        <w:rPr>
          <w:rFonts w:eastAsia="Arial" w:cs="Arial"/>
          <w:sz w:val="22"/>
          <w:szCs w:val="22"/>
        </w:rPr>
        <w:t>.</w:t>
      </w:r>
      <w:r w:rsidR="16E8BA55" w:rsidRPr="3B37011C">
        <w:rPr>
          <w:rFonts w:eastAsia="Arial" w:cs="Arial"/>
          <w:sz w:val="22"/>
          <w:szCs w:val="22"/>
        </w:rPr>
        <w:t xml:space="preserve"> Since inception</w:t>
      </w:r>
      <w:r w:rsidR="62333E00" w:rsidRPr="3B37011C">
        <w:rPr>
          <w:rFonts w:eastAsia="Arial" w:cs="Arial"/>
          <w:sz w:val="22"/>
          <w:szCs w:val="22"/>
        </w:rPr>
        <w:t>,</w:t>
      </w:r>
      <w:r w:rsidR="16E8BA55" w:rsidRPr="3B37011C">
        <w:rPr>
          <w:rFonts w:eastAsia="Arial" w:cs="Arial"/>
          <w:sz w:val="22"/>
          <w:szCs w:val="22"/>
        </w:rPr>
        <w:t xml:space="preserve"> the Fund’s PIs have disbursed </w:t>
      </w:r>
      <w:r w:rsidR="000C30BC" w:rsidRPr="3B37011C">
        <w:rPr>
          <w:rFonts w:eastAsia="Arial" w:cs="Arial"/>
          <w:sz w:val="22"/>
          <w:szCs w:val="22"/>
        </w:rPr>
        <w:t>40</w:t>
      </w:r>
      <w:r w:rsidR="16E8BA55" w:rsidRPr="3B37011C">
        <w:rPr>
          <w:rFonts w:eastAsia="Arial" w:cs="Arial"/>
          <w:sz w:val="22"/>
          <w:szCs w:val="22"/>
        </w:rPr>
        <w:t>,</w:t>
      </w:r>
      <w:r w:rsidR="000C30BC" w:rsidRPr="3B37011C">
        <w:rPr>
          <w:rFonts w:eastAsia="Arial" w:cs="Arial"/>
          <w:sz w:val="22"/>
          <w:szCs w:val="22"/>
        </w:rPr>
        <w:t>107</w:t>
      </w:r>
      <w:r w:rsidR="16E8BA55" w:rsidRPr="3B37011C">
        <w:rPr>
          <w:rFonts w:eastAsia="Arial" w:cs="Arial"/>
          <w:sz w:val="22"/>
          <w:szCs w:val="22"/>
        </w:rPr>
        <w:t xml:space="preserve"> sub-loans to end-borrowers, worth</w:t>
      </w:r>
      <w:r w:rsidR="005748E3">
        <w:rPr>
          <w:rFonts w:eastAsia="Arial" w:cs="Arial"/>
          <w:sz w:val="22"/>
          <w:szCs w:val="22"/>
        </w:rPr>
        <w:t xml:space="preserve"> </w:t>
      </w:r>
      <w:r w:rsidR="16E8BA55" w:rsidRPr="1EF1250E">
        <w:rPr>
          <w:rFonts w:eastAsia="Arial" w:cs="Arial"/>
          <w:sz w:val="22"/>
          <w:szCs w:val="22"/>
        </w:rPr>
        <w:t>$3,</w:t>
      </w:r>
      <w:r w:rsidR="7B2AFCA7" w:rsidRPr="1EF1250E">
        <w:rPr>
          <w:rFonts w:eastAsia="Arial" w:cs="Arial"/>
          <w:sz w:val="22"/>
          <w:szCs w:val="22"/>
        </w:rPr>
        <w:t>98</w:t>
      </w:r>
      <w:r w:rsidR="16E8BA55" w:rsidRPr="1EF1250E">
        <w:rPr>
          <w:rFonts w:eastAsia="Arial" w:cs="Arial"/>
          <w:sz w:val="22"/>
          <w:szCs w:val="22"/>
        </w:rPr>
        <w:t>0</w:t>
      </w:r>
      <w:r w:rsidR="009D3932">
        <w:rPr>
          <w:rFonts w:eastAsia="Arial" w:cs="Arial"/>
          <w:sz w:val="22"/>
          <w:szCs w:val="22"/>
        </w:rPr>
        <w:t xml:space="preserve"> million </w:t>
      </w:r>
      <w:r w:rsidR="16E8BA55">
        <w:rPr>
          <w:rFonts w:eastAsia="Arial" w:cs="Arial"/>
          <w:sz w:val="22"/>
          <w:szCs w:val="22"/>
        </w:rPr>
        <w:t>in total</w:t>
      </w:r>
      <w:r w:rsidR="16E8BA55" w:rsidRPr="1EF1250E">
        <w:rPr>
          <w:rFonts w:eastAsia="Arial" w:cs="Arial"/>
          <w:sz w:val="22"/>
          <w:szCs w:val="22"/>
        </w:rPr>
        <w:t>.</w:t>
      </w:r>
    </w:p>
    <w:p w14:paraId="4988CEB5" w14:textId="44AB13D9" w:rsidR="16381FB0" w:rsidRPr="008D3032" w:rsidRDefault="16381FB0" w:rsidP="00F66B70">
      <w:pPr>
        <w:jc w:val="both"/>
        <w:rPr>
          <w:rFonts w:eastAsia="Arial" w:cs="Arial"/>
          <w:sz w:val="22"/>
          <w:szCs w:val="22"/>
        </w:rPr>
      </w:pPr>
    </w:p>
    <w:p w14:paraId="42F4186E" w14:textId="0C5C2929" w:rsidR="2A1D9A31" w:rsidRDefault="00EB5B18" w:rsidP="00F66B70">
      <w:pPr>
        <w:jc w:val="both"/>
        <w:rPr>
          <w:rFonts w:eastAsia="Arial" w:cs="Arial"/>
          <w:color w:val="FF0000"/>
          <w:sz w:val="22"/>
          <w:szCs w:val="22"/>
        </w:rPr>
      </w:pPr>
      <w:r w:rsidRPr="1A5ED8D9">
        <w:rPr>
          <w:rFonts w:eastAsia="Arial" w:cs="Arial"/>
          <w:sz w:val="22"/>
          <w:szCs w:val="22"/>
        </w:rPr>
        <w:t xml:space="preserve">From establishment to </w:t>
      </w:r>
      <w:r w:rsidR="00D00520" w:rsidRPr="1A5ED8D9">
        <w:rPr>
          <w:rFonts w:eastAsia="Arial" w:cs="Arial"/>
          <w:sz w:val="22"/>
          <w:szCs w:val="22"/>
        </w:rPr>
        <w:t>the end of 202</w:t>
      </w:r>
      <w:r w:rsidR="70B546E0" w:rsidRPr="1A5ED8D9">
        <w:rPr>
          <w:rFonts w:eastAsia="Arial" w:cs="Arial"/>
          <w:sz w:val="22"/>
          <w:szCs w:val="22"/>
        </w:rPr>
        <w:t>3</w:t>
      </w:r>
      <w:r w:rsidR="00D00520" w:rsidRPr="1A5ED8D9">
        <w:rPr>
          <w:rFonts w:eastAsia="Arial" w:cs="Arial"/>
          <w:sz w:val="22"/>
          <w:szCs w:val="22"/>
        </w:rPr>
        <w:t>, the work of the</w:t>
      </w:r>
      <w:r w:rsidR="554467BB" w:rsidRPr="1A5ED8D9">
        <w:rPr>
          <w:rFonts w:eastAsia="Arial" w:cs="Arial"/>
          <w:sz w:val="22"/>
          <w:szCs w:val="22"/>
        </w:rPr>
        <w:t xml:space="preserve"> Fund and DF</w:t>
      </w:r>
      <w:r w:rsidR="00D00520" w:rsidRPr="1A5ED8D9">
        <w:rPr>
          <w:rFonts w:eastAsia="Arial" w:cs="Arial"/>
          <w:sz w:val="22"/>
          <w:szCs w:val="22"/>
        </w:rPr>
        <w:t xml:space="preserve"> led to</w:t>
      </w:r>
      <w:r w:rsidR="554467BB" w:rsidRPr="1A5ED8D9">
        <w:rPr>
          <w:rFonts w:eastAsia="Arial" w:cs="Arial"/>
          <w:sz w:val="22"/>
          <w:szCs w:val="22"/>
        </w:rPr>
        <w:t xml:space="preserve"> 3.</w:t>
      </w:r>
      <w:r w:rsidR="42B74D59" w:rsidRPr="1A5ED8D9">
        <w:rPr>
          <w:rFonts w:eastAsia="Arial" w:cs="Arial"/>
          <w:sz w:val="22"/>
          <w:szCs w:val="22"/>
        </w:rPr>
        <w:t>7</w:t>
      </w:r>
      <w:r w:rsidR="009D3932">
        <w:rPr>
          <w:rFonts w:eastAsia="Arial" w:cs="Arial"/>
          <w:sz w:val="22"/>
          <w:szCs w:val="22"/>
        </w:rPr>
        <w:t xml:space="preserve"> </w:t>
      </w:r>
      <w:r w:rsidR="00644579" w:rsidRPr="1A5ED8D9">
        <w:rPr>
          <w:rFonts w:eastAsia="Arial" w:cs="Arial"/>
          <w:sz w:val="22"/>
          <w:szCs w:val="22"/>
        </w:rPr>
        <w:t>m</w:t>
      </w:r>
      <w:r w:rsidR="00656106" w:rsidRPr="1A5ED8D9">
        <w:rPr>
          <w:rFonts w:eastAsia="Arial" w:cs="Arial"/>
          <w:sz w:val="22"/>
          <w:szCs w:val="22"/>
        </w:rPr>
        <w:t>illion</w:t>
      </w:r>
      <w:r w:rsidR="554467BB" w:rsidRPr="1A5ED8D9">
        <w:rPr>
          <w:rFonts w:eastAsia="Arial" w:cs="Arial"/>
          <w:sz w:val="22"/>
          <w:szCs w:val="22"/>
        </w:rPr>
        <w:t xml:space="preserve"> ton</w:t>
      </w:r>
      <w:r w:rsidR="0089644D" w:rsidRPr="1A5ED8D9">
        <w:rPr>
          <w:rFonts w:eastAsia="Arial" w:cs="Arial"/>
          <w:sz w:val="22"/>
          <w:szCs w:val="22"/>
        </w:rPr>
        <w:t>ne</w:t>
      </w:r>
      <w:r w:rsidR="554467BB" w:rsidRPr="1A5ED8D9">
        <w:rPr>
          <w:rFonts w:eastAsia="Arial" w:cs="Arial"/>
          <w:sz w:val="22"/>
          <w:szCs w:val="22"/>
        </w:rPr>
        <w:t>s of CO</w:t>
      </w:r>
      <w:r w:rsidR="554467BB" w:rsidRPr="1A5ED8D9">
        <w:rPr>
          <w:rFonts w:eastAsia="Arial" w:cs="Arial"/>
          <w:sz w:val="22"/>
          <w:szCs w:val="22"/>
          <w:vertAlign w:val="subscript"/>
        </w:rPr>
        <w:t>2</w:t>
      </w:r>
      <w:r w:rsidR="554467BB" w:rsidRPr="1A5ED8D9">
        <w:rPr>
          <w:rFonts w:eastAsia="Arial" w:cs="Arial"/>
          <w:sz w:val="22"/>
          <w:szCs w:val="22"/>
        </w:rPr>
        <w:t xml:space="preserve"> </w:t>
      </w:r>
      <w:r w:rsidR="00D00520" w:rsidRPr="1A5ED8D9">
        <w:rPr>
          <w:rFonts w:eastAsia="Arial" w:cs="Arial"/>
          <w:sz w:val="22"/>
          <w:szCs w:val="22"/>
        </w:rPr>
        <w:t>sequestered</w:t>
      </w:r>
      <w:r w:rsidR="554467BB" w:rsidRPr="1A5ED8D9">
        <w:rPr>
          <w:rFonts w:eastAsia="Arial" w:cs="Arial"/>
          <w:sz w:val="22"/>
          <w:szCs w:val="22"/>
        </w:rPr>
        <w:t xml:space="preserve"> through agroforestry activities</w:t>
      </w:r>
      <w:r w:rsidR="0063138A" w:rsidRPr="1A5ED8D9">
        <w:rPr>
          <w:rFonts w:eastAsia="Arial" w:cs="Arial"/>
          <w:sz w:val="22"/>
          <w:szCs w:val="22"/>
        </w:rPr>
        <w:t xml:space="preserve"> (net)</w:t>
      </w:r>
      <w:r w:rsidR="554467BB" w:rsidRPr="1A5ED8D9">
        <w:rPr>
          <w:rFonts w:eastAsia="Arial" w:cs="Arial"/>
          <w:sz w:val="22"/>
          <w:szCs w:val="22"/>
        </w:rPr>
        <w:t>,</w:t>
      </w:r>
      <w:r w:rsidR="00DE2CF5" w:rsidRPr="1A5ED8D9">
        <w:rPr>
          <w:rFonts w:eastAsia="Arial" w:cs="Arial"/>
          <w:sz w:val="22"/>
          <w:szCs w:val="22"/>
        </w:rPr>
        <w:t xml:space="preserve"> </w:t>
      </w:r>
      <w:r w:rsidR="408050F1" w:rsidRPr="1A5ED8D9">
        <w:rPr>
          <w:rFonts w:eastAsia="Arial" w:cs="Arial"/>
          <w:sz w:val="22"/>
          <w:szCs w:val="22"/>
        </w:rPr>
        <w:t>16.6</w:t>
      </w:r>
      <w:r w:rsidR="009D3932">
        <w:rPr>
          <w:rFonts w:eastAsia="Arial" w:cs="Arial"/>
          <w:sz w:val="22"/>
          <w:szCs w:val="22"/>
        </w:rPr>
        <w:t xml:space="preserve"> million </w:t>
      </w:r>
      <w:r w:rsidR="554467BB" w:rsidRPr="1A5ED8D9">
        <w:rPr>
          <w:rFonts w:eastAsia="Arial" w:cs="Arial"/>
          <w:sz w:val="22"/>
          <w:szCs w:val="22"/>
        </w:rPr>
        <w:t>m</w:t>
      </w:r>
      <w:r w:rsidR="554467BB" w:rsidRPr="1A5ED8D9">
        <w:rPr>
          <w:rFonts w:eastAsia="Arial" w:cs="Arial"/>
          <w:sz w:val="22"/>
          <w:szCs w:val="22"/>
          <w:vertAlign w:val="superscript"/>
        </w:rPr>
        <w:t>3</w:t>
      </w:r>
      <w:r w:rsidR="554467BB" w:rsidRPr="1A5ED8D9">
        <w:rPr>
          <w:rFonts w:eastAsia="Arial" w:cs="Arial"/>
          <w:sz w:val="22"/>
          <w:szCs w:val="22"/>
        </w:rPr>
        <w:t xml:space="preserve"> of water saved</w:t>
      </w:r>
      <w:r w:rsidR="00D00520" w:rsidRPr="1A5ED8D9">
        <w:rPr>
          <w:rFonts w:eastAsia="Arial" w:cs="Arial"/>
          <w:sz w:val="22"/>
          <w:szCs w:val="22"/>
        </w:rPr>
        <w:t xml:space="preserve"> and</w:t>
      </w:r>
      <w:r w:rsidR="554467BB" w:rsidRPr="1A5ED8D9">
        <w:rPr>
          <w:rFonts w:eastAsia="Arial" w:cs="Arial"/>
          <w:sz w:val="22"/>
          <w:szCs w:val="22"/>
        </w:rPr>
        <w:t xml:space="preserve"> </w:t>
      </w:r>
      <w:r w:rsidR="7461F864" w:rsidRPr="1A5ED8D9">
        <w:rPr>
          <w:rFonts w:eastAsia="Arial" w:cs="Arial"/>
          <w:sz w:val="22"/>
          <w:szCs w:val="22"/>
        </w:rPr>
        <w:t>1,050</w:t>
      </w:r>
      <w:r w:rsidR="554467BB" w:rsidRPr="1A5ED8D9">
        <w:rPr>
          <w:rFonts w:eastAsia="Arial" w:cs="Arial"/>
          <w:sz w:val="22"/>
          <w:szCs w:val="22"/>
        </w:rPr>
        <w:t>,000 h</w:t>
      </w:r>
      <w:r w:rsidR="004C0BE7" w:rsidRPr="1A5ED8D9">
        <w:rPr>
          <w:rFonts w:eastAsia="Arial" w:cs="Arial"/>
          <w:sz w:val="22"/>
          <w:szCs w:val="22"/>
        </w:rPr>
        <w:t>a</w:t>
      </w:r>
      <w:r w:rsidR="554467BB" w:rsidRPr="1A5ED8D9">
        <w:rPr>
          <w:rFonts w:eastAsia="Arial" w:cs="Arial"/>
          <w:sz w:val="22"/>
          <w:szCs w:val="22"/>
        </w:rPr>
        <w:t xml:space="preserve"> of farmland under sustainable management.</w:t>
      </w:r>
    </w:p>
    <w:p w14:paraId="413CC359" w14:textId="77777777" w:rsidR="00A4224C" w:rsidRPr="00400BF1" w:rsidRDefault="00A4224C" w:rsidP="00F66B70">
      <w:pPr>
        <w:jc w:val="both"/>
        <w:rPr>
          <w:rFonts w:eastAsia="Arial" w:cs="Arial"/>
          <w:b/>
          <w:bCs/>
          <w:color w:val="FF0000"/>
          <w:sz w:val="22"/>
          <w:szCs w:val="22"/>
        </w:rPr>
      </w:pPr>
    </w:p>
    <w:p w14:paraId="26EFE621" w14:textId="5797C917" w:rsidR="00054F98" w:rsidRPr="00443D09" w:rsidRDefault="001D163E" w:rsidP="00F66B70">
      <w:pPr>
        <w:jc w:val="both"/>
        <w:rPr>
          <w:rFonts w:eastAsia="Arial" w:cs="Arial"/>
          <w:b/>
          <w:bCs/>
          <w:color w:val="FF0000"/>
          <w:sz w:val="22"/>
          <w:szCs w:val="22"/>
        </w:rPr>
      </w:pPr>
      <w:r w:rsidRPr="003E21A1">
        <w:rPr>
          <w:rFonts w:eastAsia="Arial" w:cs="Arial"/>
          <w:b/>
          <w:bCs/>
          <w:sz w:val="22"/>
          <w:szCs w:val="22"/>
        </w:rPr>
        <w:t>Investment</w:t>
      </w:r>
    </w:p>
    <w:p w14:paraId="38662748" w14:textId="77777777" w:rsidR="00063071" w:rsidRDefault="00063071" w:rsidP="00F66B70">
      <w:pPr>
        <w:jc w:val="both"/>
        <w:rPr>
          <w:sz w:val="22"/>
          <w:szCs w:val="22"/>
        </w:rPr>
      </w:pPr>
    </w:p>
    <w:p w14:paraId="2F2D2138" w14:textId="67ACFA5A" w:rsidR="00AB5A14" w:rsidRDefault="00AB5A14" w:rsidP="00AB5A14">
      <w:pPr>
        <w:jc w:val="both"/>
        <w:rPr>
          <w:rFonts w:eastAsia="Arial" w:cs="Arial"/>
          <w:color w:val="000000" w:themeColor="text1"/>
          <w:sz w:val="22"/>
          <w:szCs w:val="22"/>
        </w:rPr>
      </w:pPr>
      <w:r w:rsidRPr="1A5ED8D9">
        <w:rPr>
          <w:rFonts w:eastAsia="Arial" w:cs="Arial"/>
          <w:color w:val="000000" w:themeColor="text1"/>
          <w:sz w:val="22"/>
          <w:szCs w:val="22"/>
        </w:rPr>
        <w:t>In 2023, EBF-LAC successfully attracted $138</w:t>
      </w:r>
      <w:r w:rsidR="009D3932">
        <w:rPr>
          <w:rFonts w:eastAsia="Arial" w:cs="Arial"/>
          <w:color w:val="000000" w:themeColor="text1"/>
          <w:sz w:val="22"/>
          <w:szCs w:val="22"/>
        </w:rPr>
        <w:t xml:space="preserve"> million </w:t>
      </w:r>
      <w:r w:rsidRPr="1A5ED8D9">
        <w:rPr>
          <w:rFonts w:eastAsia="Arial" w:cs="Arial"/>
          <w:color w:val="000000" w:themeColor="text1"/>
          <w:sz w:val="22"/>
          <w:szCs w:val="22"/>
        </w:rPr>
        <w:t>in funding from new and existing investors. The net asset value (NAV) of Senior Shares increased by $41</w:t>
      </w:r>
      <w:r w:rsidR="009D3932">
        <w:rPr>
          <w:rFonts w:eastAsia="Arial" w:cs="Arial"/>
          <w:color w:val="000000" w:themeColor="text1"/>
          <w:sz w:val="22"/>
          <w:szCs w:val="22"/>
        </w:rPr>
        <w:t xml:space="preserve"> million </w:t>
      </w:r>
      <w:r w:rsidRPr="1A5ED8D9">
        <w:rPr>
          <w:rFonts w:eastAsia="Arial" w:cs="Arial"/>
          <w:color w:val="000000" w:themeColor="text1"/>
          <w:sz w:val="22"/>
          <w:szCs w:val="22"/>
        </w:rPr>
        <w:t>to $146.7m, Subordinated Notes by $30</w:t>
      </w:r>
      <w:r w:rsidR="009D3932">
        <w:rPr>
          <w:rFonts w:eastAsia="Arial" w:cs="Arial"/>
          <w:color w:val="000000" w:themeColor="text1"/>
          <w:sz w:val="22"/>
          <w:szCs w:val="22"/>
        </w:rPr>
        <w:t xml:space="preserve"> million </w:t>
      </w:r>
      <w:r w:rsidRPr="1A5ED8D9">
        <w:rPr>
          <w:rFonts w:eastAsia="Arial" w:cs="Arial"/>
          <w:color w:val="000000" w:themeColor="text1"/>
          <w:sz w:val="22"/>
          <w:szCs w:val="22"/>
        </w:rPr>
        <w:t>to $175.3</w:t>
      </w:r>
      <w:r w:rsidR="009D3932">
        <w:rPr>
          <w:rFonts w:eastAsia="Arial" w:cs="Arial"/>
          <w:color w:val="000000" w:themeColor="text1"/>
          <w:sz w:val="22"/>
          <w:szCs w:val="22"/>
        </w:rPr>
        <w:t xml:space="preserve"> million </w:t>
      </w:r>
      <w:r w:rsidRPr="1A5ED8D9">
        <w:rPr>
          <w:rFonts w:eastAsia="Arial" w:cs="Arial"/>
          <w:color w:val="000000" w:themeColor="text1"/>
          <w:sz w:val="22"/>
          <w:szCs w:val="22"/>
        </w:rPr>
        <w:t>and Senior Notes decreased by $6</w:t>
      </w:r>
      <w:r w:rsidR="009D3932">
        <w:rPr>
          <w:rFonts w:eastAsia="Arial" w:cs="Arial"/>
          <w:color w:val="000000" w:themeColor="text1"/>
          <w:sz w:val="22"/>
          <w:szCs w:val="22"/>
        </w:rPr>
        <w:t xml:space="preserve"> million </w:t>
      </w:r>
      <w:r w:rsidRPr="1A5ED8D9">
        <w:rPr>
          <w:rFonts w:eastAsia="Arial" w:cs="Arial"/>
          <w:color w:val="000000" w:themeColor="text1"/>
          <w:sz w:val="22"/>
          <w:szCs w:val="22"/>
        </w:rPr>
        <w:t>to $184.4</w:t>
      </w:r>
      <w:r w:rsidR="009D3932">
        <w:rPr>
          <w:rFonts w:eastAsia="Arial" w:cs="Arial"/>
          <w:color w:val="000000" w:themeColor="text1"/>
          <w:sz w:val="22"/>
          <w:szCs w:val="22"/>
        </w:rPr>
        <w:t xml:space="preserve"> million.</w:t>
      </w:r>
      <w:r w:rsidRPr="1A5ED8D9">
        <w:rPr>
          <w:rFonts w:eastAsia="Arial" w:cs="Arial"/>
          <w:color w:val="000000" w:themeColor="text1"/>
          <w:sz w:val="22"/>
          <w:szCs w:val="22"/>
        </w:rPr>
        <w:t xml:space="preserve"> The NAV of Junior Shares increased by $6</w:t>
      </w:r>
      <w:r w:rsidR="009D3932">
        <w:rPr>
          <w:rFonts w:eastAsia="Arial" w:cs="Arial"/>
          <w:color w:val="000000" w:themeColor="text1"/>
          <w:sz w:val="22"/>
          <w:szCs w:val="22"/>
        </w:rPr>
        <w:t xml:space="preserve"> million </w:t>
      </w:r>
      <w:r w:rsidRPr="1A5ED8D9">
        <w:rPr>
          <w:rFonts w:eastAsia="Arial" w:cs="Arial"/>
          <w:color w:val="000000" w:themeColor="text1"/>
          <w:sz w:val="22"/>
          <w:szCs w:val="22"/>
        </w:rPr>
        <w:t>to $191.3</w:t>
      </w:r>
      <w:r w:rsidR="009D3932">
        <w:rPr>
          <w:rFonts w:eastAsia="Arial" w:cs="Arial"/>
          <w:color w:val="000000" w:themeColor="text1"/>
          <w:sz w:val="22"/>
          <w:szCs w:val="22"/>
        </w:rPr>
        <w:t xml:space="preserve"> million </w:t>
      </w:r>
      <w:r w:rsidRPr="1A5ED8D9">
        <w:rPr>
          <w:rFonts w:eastAsia="Arial" w:cs="Arial"/>
          <w:color w:val="000000" w:themeColor="text1"/>
          <w:sz w:val="22"/>
          <w:szCs w:val="22"/>
        </w:rPr>
        <w:t>as a result of a $16</w:t>
      </w:r>
      <w:r w:rsidR="009D3932">
        <w:rPr>
          <w:rFonts w:eastAsia="Arial" w:cs="Arial"/>
          <w:color w:val="000000" w:themeColor="text1"/>
          <w:sz w:val="22"/>
          <w:szCs w:val="22"/>
        </w:rPr>
        <w:t xml:space="preserve"> million </w:t>
      </w:r>
      <w:r w:rsidRPr="1A5ED8D9">
        <w:rPr>
          <w:rFonts w:eastAsia="Arial" w:cs="Arial"/>
          <w:color w:val="000000" w:themeColor="text1"/>
          <w:sz w:val="22"/>
          <w:szCs w:val="22"/>
        </w:rPr>
        <w:t>BMZ</w:t>
      </w:r>
      <w:r w:rsidR="009258C3">
        <w:rPr>
          <w:rFonts w:eastAsia="Arial" w:cs="Arial"/>
          <w:color w:val="000000" w:themeColor="text1"/>
          <w:sz w:val="22"/>
          <w:szCs w:val="22"/>
        </w:rPr>
        <w:t xml:space="preserve"> (the German </w:t>
      </w:r>
      <w:r w:rsidR="009258C3" w:rsidRPr="009258C3">
        <w:rPr>
          <w:rFonts w:eastAsia="Arial" w:cs="Arial"/>
          <w:color w:val="000000" w:themeColor="text1"/>
          <w:sz w:val="22"/>
          <w:szCs w:val="22"/>
        </w:rPr>
        <w:t>Ministry of Economic Cooperation and Development</w:t>
      </w:r>
      <w:r w:rsidR="009258C3">
        <w:rPr>
          <w:rFonts w:eastAsia="Arial" w:cs="Arial"/>
          <w:color w:val="000000" w:themeColor="text1"/>
          <w:sz w:val="22"/>
          <w:szCs w:val="22"/>
        </w:rPr>
        <w:t>)</w:t>
      </w:r>
      <w:r w:rsidRPr="1A5ED8D9">
        <w:rPr>
          <w:rFonts w:eastAsia="Arial" w:cs="Arial"/>
          <w:color w:val="000000" w:themeColor="text1"/>
          <w:sz w:val="22"/>
          <w:szCs w:val="22"/>
        </w:rPr>
        <w:t xml:space="preserve"> subscription</w:t>
      </w:r>
      <w:r w:rsidR="001C7E22" w:rsidRPr="1A5ED8D9">
        <w:rPr>
          <w:rFonts w:eastAsia="Arial" w:cs="Arial"/>
          <w:color w:val="000000" w:themeColor="text1"/>
          <w:sz w:val="22"/>
          <w:szCs w:val="22"/>
        </w:rPr>
        <w:t>. The Fund also provisioned for additional impairments</w:t>
      </w:r>
      <w:r w:rsidR="009E2E98">
        <w:rPr>
          <w:rFonts w:eastAsia="Arial" w:cs="Arial"/>
          <w:color w:val="000000" w:themeColor="text1"/>
          <w:sz w:val="22"/>
          <w:szCs w:val="22"/>
        </w:rPr>
        <w:t>, in case</w:t>
      </w:r>
      <w:r w:rsidR="00682095">
        <w:rPr>
          <w:rFonts w:eastAsia="Arial" w:cs="Arial"/>
          <w:color w:val="000000" w:themeColor="text1"/>
          <w:sz w:val="22"/>
          <w:szCs w:val="22"/>
        </w:rPr>
        <w:t xml:space="preserve"> </w:t>
      </w:r>
      <w:r w:rsidR="00565B12">
        <w:rPr>
          <w:rFonts w:eastAsia="Arial" w:cs="Arial"/>
          <w:color w:val="000000" w:themeColor="text1"/>
          <w:sz w:val="22"/>
          <w:szCs w:val="22"/>
        </w:rPr>
        <w:t xml:space="preserve">one or more </w:t>
      </w:r>
      <w:r w:rsidR="00D5390A">
        <w:rPr>
          <w:rFonts w:eastAsia="Arial" w:cs="Arial"/>
          <w:color w:val="000000" w:themeColor="text1"/>
          <w:sz w:val="22"/>
          <w:szCs w:val="22"/>
        </w:rPr>
        <w:t>PIs fail to repay their loans</w:t>
      </w:r>
      <w:r w:rsidRPr="1A5ED8D9">
        <w:rPr>
          <w:rFonts w:eastAsia="Arial" w:cs="Arial"/>
          <w:color w:val="000000" w:themeColor="text1"/>
          <w:sz w:val="22"/>
          <w:szCs w:val="22"/>
        </w:rPr>
        <w:t xml:space="preserve">. This increase in provisions meant that </w:t>
      </w:r>
      <w:r w:rsidRPr="1A5ED8D9">
        <w:rPr>
          <w:sz w:val="22"/>
          <w:szCs w:val="22"/>
        </w:rPr>
        <w:t>the value of Defra’s shares in the Fund fell by over 4% from $36.7</w:t>
      </w:r>
      <w:r w:rsidR="009D3932">
        <w:rPr>
          <w:sz w:val="22"/>
          <w:szCs w:val="22"/>
        </w:rPr>
        <w:t xml:space="preserve"> million </w:t>
      </w:r>
      <w:r w:rsidRPr="1A5ED8D9">
        <w:rPr>
          <w:sz w:val="22"/>
          <w:szCs w:val="22"/>
        </w:rPr>
        <w:t>at the end of 2022 to $35.3</w:t>
      </w:r>
      <w:r w:rsidR="009D3932">
        <w:rPr>
          <w:sz w:val="22"/>
          <w:szCs w:val="22"/>
        </w:rPr>
        <w:t xml:space="preserve"> million </w:t>
      </w:r>
      <w:r w:rsidRPr="1A5ED8D9">
        <w:rPr>
          <w:sz w:val="22"/>
          <w:szCs w:val="22"/>
        </w:rPr>
        <w:t>at the end of 2023, worth £27.7</w:t>
      </w:r>
      <w:r w:rsidR="009D3932">
        <w:rPr>
          <w:sz w:val="22"/>
          <w:szCs w:val="22"/>
        </w:rPr>
        <w:t xml:space="preserve"> million </w:t>
      </w:r>
      <w:r w:rsidRPr="1A5ED8D9">
        <w:rPr>
          <w:sz w:val="22"/>
          <w:szCs w:val="22"/>
        </w:rPr>
        <w:t>at 31 December exchange rates and a loss of £4.8</w:t>
      </w:r>
      <w:r w:rsidR="009D3932">
        <w:rPr>
          <w:sz w:val="22"/>
          <w:szCs w:val="22"/>
        </w:rPr>
        <w:t xml:space="preserve"> million </w:t>
      </w:r>
      <w:r w:rsidRPr="1A5ED8D9">
        <w:rPr>
          <w:sz w:val="22"/>
          <w:szCs w:val="22"/>
        </w:rPr>
        <w:t xml:space="preserve">compared to Defra’s overall investment. </w:t>
      </w:r>
      <w:r w:rsidR="0033484B" w:rsidRPr="00E66C8C">
        <w:rPr>
          <w:rFonts w:cs="Arial"/>
          <w:sz w:val="22"/>
          <w:szCs w:val="22"/>
        </w:rPr>
        <w:t xml:space="preserve">Throughout the duration of EBF, </w:t>
      </w:r>
      <w:r w:rsidR="0033484B">
        <w:rPr>
          <w:rFonts w:cs="Arial"/>
          <w:sz w:val="22"/>
          <w:szCs w:val="22"/>
        </w:rPr>
        <w:t xml:space="preserve">Defra’s </w:t>
      </w:r>
      <w:r w:rsidR="0033484B" w:rsidRPr="00E66C8C">
        <w:rPr>
          <w:rFonts w:cs="Arial"/>
          <w:sz w:val="22"/>
          <w:szCs w:val="22"/>
        </w:rPr>
        <w:t>share</w:t>
      </w:r>
      <w:r w:rsidR="0033484B">
        <w:rPr>
          <w:rFonts w:cs="Arial"/>
          <w:sz w:val="22"/>
          <w:szCs w:val="22"/>
        </w:rPr>
        <w:t xml:space="preserve"> value</w:t>
      </w:r>
      <w:r w:rsidR="0033484B" w:rsidRPr="00E66C8C">
        <w:rPr>
          <w:rFonts w:cs="Arial"/>
          <w:sz w:val="22"/>
          <w:szCs w:val="22"/>
        </w:rPr>
        <w:t xml:space="preserve"> </w:t>
      </w:r>
      <w:r w:rsidR="0033484B">
        <w:rPr>
          <w:rFonts w:cs="Arial"/>
          <w:sz w:val="22"/>
          <w:szCs w:val="22"/>
        </w:rPr>
        <w:t>has</w:t>
      </w:r>
      <w:r w:rsidR="0033484B" w:rsidRPr="00E66C8C">
        <w:rPr>
          <w:rFonts w:cs="Arial"/>
          <w:sz w:val="22"/>
          <w:szCs w:val="22"/>
        </w:rPr>
        <w:t xml:space="preserve"> fluctuated with international markets</w:t>
      </w:r>
      <w:r w:rsidR="0033484B">
        <w:rPr>
          <w:rFonts w:cs="Arial"/>
          <w:sz w:val="22"/>
          <w:szCs w:val="22"/>
        </w:rPr>
        <w:t xml:space="preserve"> as well as the success and impairments of the Fund.</w:t>
      </w:r>
      <w:r w:rsidR="0033484B" w:rsidRPr="1A5ED8D9">
        <w:rPr>
          <w:sz w:val="22"/>
          <w:szCs w:val="22"/>
        </w:rPr>
        <w:t xml:space="preserve"> </w:t>
      </w:r>
      <w:r w:rsidRPr="1A5ED8D9">
        <w:rPr>
          <w:sz w:val="22"/>
          <w:szCs w:val="22"/>
        </w:rPr>
        <w:t xml:space="preserve">It should </w:t>
      </w:r>
      <w:r w:rsidR="0033484B">
        <w:rPr>
          <w:sz w:val="22"/>
          <w:szCs w:val="22"/>
        </w:rPr>
        <w:t xml:space="preserve">also </w:t>
      </w:r>
      <w:r w:rsidRPr="1A5ED8D9">
        <w:rPr>
          <w:sz w:val="22"/>
          <w:szCs w:val="22"/>
        </w:rPr>
        <w:t>be considered that Defra’s first loss position in the Fund is the reason EBF has been able to grow so rapidly and attract so much private capital, so these risks (and in some years losses) are precisely what make it an impactful investment for Defra overall.</w:t>
      </w:r>
    </w:p>
    <w:p w14:paraId="56D7D749" w14:textId="77777777" w:rsidR="00054F98" w:rsidRDefault="00054F98" w:rsidP="00F66B70">
      <w:pPr>
        <w:jc w:val="both"/>
        <w:rPr>
          <w:rFonts w:eastAsia="Arial" w:cs="Arial"/>
          <w:color w:val="000000" w:themeColor="text1"/>
          <w:sz w:val="22"/>
          <w:szCs w:val="22"/>
        </w:rPr>
      </w:pPr>
    </w:p>
    <w:p w14:paraId="01AE7826" w14:textId="7D16A5B4" w:rsidR="6E94B2C1" w:rsidRPr="008D3032" w:rsidRDefault="00293272" w:rsidP="00F66B70">
      <w:pPr>
        <w:spacing w:after="160"/>
        <w:jc w:val="both"/>
        <w:rPr>
          <w:rFonts w:eastAsia="Arial" w:cs="Arial"/>
          <w:color w:val="000000" w:themeColor="text1"/>
          <w:sz w:val="22"/>
          <w:szCs w:val="22"/>
        </w:rPr>
      </w:pPr>
      <w:r w:rsidRPr="68316884">
        <w:rPr>
          <w:rFonts w:eastAsia="Arial" w:cs="Arial"/>
          <w:color w:val="000000" w:themeColor="text1"/>
          <w:sz w:val="22"/>
          <w:szCs w:val="22"/>
        </w:rPr>
        <w:t>A BMZ investment of $16</w:t>
      </w:r>
      <w:r w:rsidR="009D3932">
        <w:rPr>
          <w:rFonts w:eastAsia="Arial" w:cs="Arial"/>
          <w:color w:val="000000" w:themeColor="text1"/>
          <w:sz w:val="22"/>
          <w:szCs w:val="22"/>
        </w:rPr>
        <w:t xml:space="preserve"> million </w:t>
      </w:r>
      <w:r w:rsidRPr="68316884">
        <w:rPr>
          <w:rFonts w:eastAsia="Arial" w:cs="Arial"/>
          <w:color w:val="000000" w:themeColor="text1"/>
          <w:sz w:val="22"/>
          <w:szCs w:val="22"/>
        </w:rPr>
        <w:t>in Junior Shares,</w:t>
      </w:r>
      <w:r w:rsidR="00B162E9">
        <w:rPr>
          <w:rFonts w:eastAsia="Arial" w:cs="Arial"/>
          <w:color w:val="000000" w:themeColor="text1"/>
          <w:sz w:val="22"/>
          <w:szCs w:val="22"/>
        </w:rPr>
        <w:t xml:space="preserve"> </w:t>
      </w:r>
      <w:r w:rsidR="00054F98" w:rsidRPr="68316884">
        <w:rPr>
          <w:rFonts w:eastAsia="Arial" w:cs="Arial"/>
          <w:color w:val="000000" w:themeColor="text1"/>
          <w:sz w:val="22"/>
          <w:szCs w:val="22"/>
        </w:rPr>
        <w:t>$</w:t>
      </w:r>
      <w:r w:rsidR="00047B82">
        <w:rPr>
          <w:rFonts w:eastAsia="Arial" w:cs="Arial"/>
          <w:color w:val="000000" w:themeColor="text1"/>
          <w:sz w:val="22"/>
          <w:szCs w:val="22"/>
        </w:rPr>
        <w:t>35</w:t>
      </w:r>
      <w:r w:rsidR="009D3932">
        <w:rPr>
          <w:rFonts w:eastAsia="Arial" w:cs="Arial"/>
          <w:color w:val="000000" w:themeColor="text1"/>
          <w:sz w:val="22"/>
          <w:szCs w:val="22"/>
        </w:rPr>
        <w:t xml:space="preserve"> million </w:t>
      </w:r>
      <w:r w:rsidR="00054F98" w:rsidRPr="68316884">
        <w:rPr>
          <w:rFonts w:eastAsia="Arial" w:cs="Arial"/>
          <w:color w:val="000000" w:themeColor="text1"/>
          <w:sz w:val="22"/>
          <w:szCs w:val="22"/>
        </w:rPr>
        <w:t xml:space="preserve">in Senior Shares issued to </w:t>
      </w:r>
      <w:r w:rsidR="007C537D">
        <w:rPr>
          <w:rFonts w:eastAsia="Arial" w:cs="Arial"/>
          <w:color w:val="000000" w:themeColor="text1"/>
          <w:sz w:val="22"/>
          <w:szCs w:val="22"/>
        </w:rPr>
        <w:t xml:space="preserve">FMO </w:t>
      </w:r>
      <w:r w:rsidR="00B162E9">
        <w:rPr>
          <w:rFonts w:eastAsia="Arial" w:cs="Arial"/>
          <w:color w:val="000000" w:themeColor="text1"/>
          <w:sz w:val="22"/>
          <w:szCs w:val="22"/>
        </w:rPr>
        <w:t xml:space="preserve">and </w:t>
      </w:r>
      <w:r w:rsidR="00B26D38" w:rsidRPr="68316884">
        <w:rPr>
          <w:rFonts w:eastAsia="Arial" w:cs="Arial"/>
          <w:color w:val="000000" w:themeColor="text1"/>
          <w:sz w:val="22"/>
          <w:szCs w:val="22"/>
        </w:rPr>
        <w:t>$</w:t>
      </w:r>
      <w:r w:rsidR="00063071">
        <w:rPr>
          <w:rFonts w:eastAsia="Arial" w:cs="Arial"/>
          <w:color w:val="000000" w:themeColor="text1"/>
          <w:sz w:val="22"/>
          <w:szCs w:val="22"/>
        </w:rPr>
        <w:t>6</w:t>
      </w:r>
      <w:r w:rsidR="009D3932">
        <w:rPr>
          <w:rFonts w:eastAsia="Arial" w:cs="Arial"/>
          <w:color w:val="000000" w:themeColor="text1"/>
          <w:sz w:val="22"/>
          <w:szCs w:val="22"/>
        </w:rPr>
        <w:t xml:space="preserve"> million </w:t>
      </w:r>
      <w:r w:rsidR="00B26D38" w:rsidRPr="68316884">
        <w:rPr>
          <w:rFonts w:eastAsia="Arial" w:cs="Arial"/>
          <w:color w:val="000000" w:themeColor="text1"/>
          <w:sz w:val="22"/>
          <w:szCs w:val="22"/>
        </w:rPr>
        <w:t xml:space="preserve">in Senior Shares </w:t>
      </w:r>
      <w:r w:rsidR="00B26D38">
        <w:rPr>
          <w:rFonts w:eastAsia="Arial" w:cs="Arial"/>
          <w:color w:val="000000" w:themeColor="text1"/>
          <w:sz w:val="22"/>
          <w:szCs w:val="22"/>
        </w:rPr>
        <w:t>issued to OeEB</w:t>
      </w:r>
      <w:r w:rsidR="00A7393C">
        <w:rPr>
          <w:rFonts w:eastAsia="Arial" w:cs="Arial"/>
          <w:color w:val="000000" w:themeColor="text1"/>
          <w:sz w:val="22"/>
          <w:szCs w:val="22"/>
        </w:rPr>
        <w:t xml:space="preserve"> </w:t>
      </w:r>
      <w:r w:rsidR="003674DB" w:rsidRPr="68316884">
        <w:rPr>
          <w:rFonts w:eastAsia="Arial" w:cs="Arial"/>
          <w:color w:val="000000" w:themeColor="text1"/>
          <w:sz w:val="22"/>
          <w:szCs w:val="22"/>
        </w:rPr>
        <w:t>in 202</w:t>
      </w:r>
      <w:r w:rsidR="007C537D">
        <w:rPr>
          <w:rFonts w:eastAsia="Arial" w:cs="Arial"/>
          <w:color w:val="000000" w:themeColor="text1"/>
          <w:sz w:val="22"/>
          <w:szCs w:val="22"/>
        </w:rPr>
        <w:t>3</w:t>
      </w:r>
      <w:r w:rsidR="003674DB" w:rsidRPr="68316884">
        <w:rPr>
          <w:rFonts w:eastAsia="Arial" w:cs="Arial"/>
          <w:color w:val="000000" w:themeColor="text1"/>
          <w:sz w:val="22"/>
          <w:szCs w:val="22"/>
        </w:rPr>
        <w:t xml:space="preserve"> </w:t>
      </w:r>
      <w:r w:rsidR="00054F98" w:rsidRPr="68316884">
        <w:rPr>
          <w:rFonts w:eastAsia="Arial" w:cs="Arial"/>
          <w:color w:val="000000" w:themeColor="text1"/>
          <w:sz w:val="22"/>
          <w:szCs w:val="22"/>
        </w:rPr>
        <w:t>represent a necessary increase in public investment that should encourage further private investment. At the end of 202</w:t>
      </w:r>
      <w:r w:rsidR="005748A7">
        <w:rPr>
          <w:rFonts w:eastAsia="Arial" w:cs="Arial"/>
          <w:color w:val="000000" w:themeColor="text1"/>
          <w:sz w:val="22"/>
          <w:szCs w:val="22"/>
        </w:rPr>
        <w:t>3</w:t>
      </w:r>
      <w:r w:rsidR="00054F98" w:rsidRPr="68316884">
        <w:rPr>
          <w:rFonts w:eastAsia="Arial" w:cs="Arial"/>
          <w:color w:val="000000" w:themeColor="text1"/>
          <w:sz w:val="22"/>
          <w:szCs w:val="22"/>
        </w:rPr>
        <w:t xml:space="preserve">, </w:t>
      </w:r>
      <w:r w:rsidR="1F387A53" w:rsidRPr="68316884">
        <w:rPr>
          <w:rFonts w:eastAsia="Arial" w:cs="Arial"/>
          <w:color w:val="000000" w:themeColor="text1"/>
          <w:sz w:val="22"/>
          <w:szCs w:val="22"/>
        </w:rPr>
        <w:t xml:space="preserve">private participation in the sub-fund </w:t>
      </w:r>
      <w:r w:rsidR="00054F98" w:rsidRPr="68316884">
        <w:rPr>
          <w:rFonts w:eastAsia="Arial" w:cs="Arial"/>
          <w:color w:val="000000" w:themeColor="text1"/>
          <w:sz w:val="22"/>
          <w:szCs w:val="22"/>
        </w:rPr>
        <w:t xml:space="preserve">was at </w:t>
      </w:r>
      <w:r w:rsidR="00F823C4">
        <w:rPr>
          <w:rFonts w:eastAsia="Arial" w:cs="Arial"/>
          <w:color w:val="000000" w:themeColor="text1"/>
          <w:sz w:val="22"/>
          <w:szCs w:val="22"/>
        </w:rPr>
        <w:t>46</w:t>
      </w:r>
      <w:r w:rsidR="1F387A53" w:rsidRPr="68316884">
        <w:rPr>
          <w:rFonts w:eastAsia="Arial" w:cs="Arial"/>
          <w:color w:val="000000" w:themeColor="text1"/>
          <w:sz w:val="22"/>
          <w:szCs w:val="22"/>
        </w:rPr>
        <w:t>%</w:t>
      </w:r>
      <w:r w:rsidR="00DD71BF" w:rsidRPr="68316884">
        <w:rPr>
          <w:rFonts w:eastAsia="Arial" w:cs="Arial"/>
          <w:color w:val="000000" w:themeColor="text1"/>
          <w:sz w:val="22"/>
          <w:szCs w:val="22"/>
        </w:rPr>
        <w:t xml:space="preserve"> of total Fund capital</w:t>
      </w:r>
      <w:r w:rsidR="009D162D" w:rsidRPr="68316884">
        <w:rPr>
          <w:rFonts w:eastAsia="Arial" w:cs="Arial"/>
          <w:color w:val="000000" w:themeColor="text1"/>
          <w:sz w:val="22"/>
          <w:szCs w:val="22"/>
        </w:rPr>
        <w:t>,</w:t>
      </w:r>
      <w:r w:rsidR="009F6613" w:rsidRPr="68316884">
        <w:rPr>
          <w:rFonts w:eastAsia="Arial" w:cs="Arial"/>
          <w:color w:val="000000" w:themeColor="text1"/>
          <w:sz w:val="22"/>
          <w:szCs w:val="22"/>
        </w:rPr>
        <w:t xml:space="preserve"> </w:t>
      </w:r>
      <w:r w:rsidR="009D162D" w:rsidRPr="68316884">
        <w:rPr>
          <w:rFonts w:eastAsia="Arial" w:cs="Arial"/>
          <w:color w:val="000000" w:themeColor="text1"/>
          <w:sz w:val="22"/>
          <w:szCs w:val="22"/>
        </w:rPr>
        <w:t xml:space="preserve">including sub-participation from </w:t>
      </w:r>
      <w:r w:rsidR="00571DB5" w:rsidRPr="68316884">
        <w:rPr>
          <w:rFonts w:eastAsia="Arial" w:cs="Arial"/>
          <w:color w:val="000000" w:themeColor="text1"/>
          <w:sz w:val="22"/>
          <w:szCs w:val="22"/>
        </w:rPr>
        <w:t xml:space="preserve">the Fund’s partner and co-investor </w:t>
      </w:r>
      <w:r w:rsidR="009D162D" w:rsidRPr="68316884">
        <w:rPr>
          <w:rFonts w:eastAsia="Arial" w:cs="Arial"/>
          <w:color w:val="000000" w:themeColor="text1"/>
          <w:sz w:val="22"/>
          <w:szCs w:val="22"/>
        </w:rPr>
        <w:t xml:space="preserve">Calvert Impact Capital </w:t>
      </w:r>
      <w:r w:rsidR="009F6613" w:rsidRPr="68316884">
        <w:rPr>
          <w:rFonts w:eastAsia="Arial" w:cs="Arial"/>
          <w:color w:val="000000" w:themeColor="text1"/>
          <w:sz w:val="22"/>
          <w:szCs w:val="22"/>
        </w:rPr>
        <w:t>(</w:t>
      </w:r>
      <w:r w:rsidR="00054F98" w:rsidRPr="68316884">
        <w:rPr>
          <w:rFonts w:eastAsia="Arial" w:cs="Arial"/>
          <w:color w:val="000000" w:themeColor="text1"/>
          <w:sz w:val="22"/>
          <w:szCs w:val="22"/>
        </w:rPr>
        <w:t>compared to 4</w:t>
      </w:r>
      <w:r w:rsidR="00E14E22">
        <w:rPr>
          <w:rFonts w:eastAsia="Arial" w:cs="Arial"/>
          <w:color w:val="000000" w:themeColor="text1"/>
          <w:sz w:val="22"/>
          <w:szCs w:val="22"/>
        </w:rPr>
        <w:t>4</w:t>
      </w:r>
      <w:r w:rsidR="009F6613" w:rsidRPr="68316884">
        <w:rPr>
          <w:rFonts w:eastAsia="Arial" w:cs="Arial"/>
          <w:color w:val="000000" w:themeColor="text1"/>
          <w:sz w:val="22"/>
          <w:szCs w:val="22"/>
        </w:rPr>
        <w:t>% in 202</w:t>
      </w:r>
      <w:r w:rsidR="00E14E22">
        <w:rPr>
          <w:rFonts w:eastAsia="Arial" w:cs="Arial"/>
          <w:color w:val="000000" w:themeColor="text1"/>
          <w:sz w:val="22"/>
          <w:szCs w:val="22"/>
        </w:rPr>
        <w:t>2</w:t>
      </w:r>
      <w:r w:rsidR="009F6613" w:rsidRPr="68316884">
        <w:rPr>
          <w:rFonts w:eastAsia="Arial" w:cs="Arial"/>
          <w:color w:val="000000" w:themeColor="text1"/>
          <w:sz w:val="22"/>
          <w:szCs w:val="22"/>
        </w:rPr>
        <w:t>)</w:t>
      </w:r>
      <w:r w:rsidR="1F387A53" w:rsidRPr="68316884">
        <w:rPr>
          <w:rFonts w:eastAsia="Arial" w:cs="Arial"/>
          <w:color w:val="000000" w:themeColor="text1"/>
          <w:sz w:val="22"/>
          <w:szCs w:val="22"/>
        </w:rPr>
        <w:t xml:space="preserve">. Private investors have contributed a total of </w:t>
      </w:r>
      <w:r w:rsidR="005C4991" w:rsidRPr="68316884">
        <w:rPr>
          <w:rFonts w:eastAsia="Arial" w:cs="Arial"/>
          <w:color w:val="000000" w:themeColor="text1"/>
          <w:sz w:val="22"/>
          <w:szCs w:val="22"/>
        </w:rPr>
        <w:t>$</w:t>
      </w:r>
      <w:r w:rsidR="00BA3E05">
        <w:rPr>
          <w:rFonts w:eastAsia="Arial" w:cs="Arial"/>
          <w:color w:val="000000" w:themeColor="text1"/>
          <w:sz w:val="22"/>
          <w:szCs w:val="22"/>
        </w:rPr>
        <w:t>547</w:t>
      </w:r>
      <w:r w:rsidR="009D3932">
        <w:rPr>
          <w:rFonts w:eastAsia="Arial" w:cs="Arial"/>
          <w:color w:val="000000" w:themeColor="text1"/>
          <w:sz w:val="22"/>
          <w:szCs w:val="22"/>
        </w:rPr>
        <w:t xml:space="preserve"> million </w:t>
      </w:r>
      <w:r w:rsidR="1F387A53" w:rsidRPr="68316884">
        <w:rPr>
          <w:rFonts w:eastAsia="Arial" w:cs="Arial"/>
          <w:color w:val="000000" w:themeColor="text1"/>
          <w:sz w:val="22"/>
          <w:szCs w:val="22"/>
        </w:rPr>
        <w:t>since the inception of the Fund.</w:t>
      </w:r>
    </w:p>
    <w:p w14:paraId="3DDFBBD0" w14:textId="3E22A99C" w:rsidR="2A1D9A31" w:rsidRPr="008D3032" w:rsidRDefault="0AD3E96E" w:rsidP="00F66B70">
      <w:pPr>
        <w:jc w:val="both"/>
        <w:rPr>
          <w:rFonts w:eastAsia="Arial" w:cs="Arial"/>
          <w:sz w:val="22"/>
          <w:szCs w:val="22"/>
          <w:u w:val="single"/>
        </w:rPr>
      </w:pPr>
      <w:r w:rsidRPr="008D3032">
        <w:rPr>
          <w:rFonts w:eastAsia="Arial" w:cs="Arial"/>
          <w:sz w:val="22"/>
          <w:szCs w:val="22"/>
          <w:u w:val="single"/>
        </w:rPr>
        <w:t>The Development Facility</w:t>
      </w:r>
    </w:p>
    <w:p w14:paraId="04E7F58A" w14:textId="466E2349" w:rsidR="16381FB0" w:rsidRPr="008D3032" w:rsidRDefault="16381FB0" w:rsidP="00F66B70">
      <w:pPr>
        <w:jc w:val="both"/>
        <w:rPr>
          <w:rFonts w:eastAsia="Arial" w:cs="Arial"/>
          <w:sz w:val="22"/>
          <w:szCs w:val="22"/>
        </w:rPr>
      </w:pPr>
    </w:p>
    <w:p w14:paraId="3F67C479" w14:textId="44A6AE33" w:rsidR="16381FB0" w:rsidRPr="000D4C1A" w:rsidRDefault="566E2C4B" w:rsidP="00F66B70">
      <w:pPr>
        <w:jc w:val="both"/>
        <w:rPr>
          <w:rFonts w:eastAsia="Arial" w:cs="Arial"/>
          <w:sz w:val="22"/>
          <w:szCs w:val="22"/>
        </w:rPr>
      </w:pPr>
      <w:r w:rsidRPr="3542A3F9">
        <w:rPr>
          <w:rFonts w:eastAsia="Arial" w:cs="Arial"/>
          <w:sz w:val="22"/>
          <w:szCs w:val="22"/>
        </w:rPr>
        <w:t>The DF is a separate entity that sits alongside EBF’s investment portfolio</w:t>
      </w:r>
      <w:r w:rsidR="1E554FB0" w:rsidRPr="3542A3F9">
        <w:rPr>
          <w:rFonts w:eastAsia="Arial" w:cs="Arial"/>
          <w:sz w:val="22"/>
          <w:szCs w:val="22"/>
        </w:rPr>
        <w:t xml:space="preserve"> to </w:t>
      </w:r>
      <w:r w:rsidRPr="3542A3F9">
        <w:rPr>
          <w:rFonts w:eastAsia="Arial" w:cs="Arial"/>
          <w:sz w:val="22"/>
          <w:szCs w:val="22"/>
        </w:rPr>
        <w:t xml:space="preserve">provide grant finance directed at Technical Assistance (TA) projects. Typical examples of these projects include promoting environmentally sustainable land-use practices within small businesses to enable environmental sustainability standards to be achieved, sponsoring events, running capacity building workshops, </w:t>
      </w:r>
      <w:r w:rsidR="2581962D" w:rsidRPr="3542A3F9">
        <w:rPr>
          <w:rFonts w:eastAsia="Arial" w:cs="Arial"/>
          <w:sz w:val="22"/>
          <w:szCs w:val="22"/>
        </w:rPr>
        <w:t xml:space="preserve">and with </w:t>
      </w:r>
      <w:r w:rsidR="476E2BE5" w:rsidRPr="3542A3F9">
        <w:rPr>
          <w:rFonts w:eastAsia="Arial" w:cs="Arial"/>
          <w:sz w:val="22"/>
          <w:szCs w:val="22"/>
        </w:rPr>
        <w:t xml:space="preserve">PIs </w:t>
      </w:r>
      <w:r w:rsidR="07D46EFD" w:rsidRPr="3542A3F9">
        <w:rPr>
          <w:rFonts w:eastAsia="Arial" w:cs="Arial"/>
          <w:sz w:val="22"/>
          <w:szCs w:val="22"/>
        </w:rPr>
        <w:t>developing sustainability strategies</w:t>
      </w:r>
      <w:r w:rsidRPr="3542A3F9">
        <w:rPr>
          <w:rFonts w:eastAsia="Arial" w:cs="Arial"/>
          <w:sz w:val="22"/>
          <w:szCs w:val="22"/>
        </w:rPr>
        <w:t xml:space="preserve"> and/or implementing Environmental and Social Management Systems (ESMS). In </w:t>
      </w:r>
      <w:r w:rsidR="0064110B" w:rsidRPr="3542A3F9">
        <w:rPr>
          <w:rFonts w:eastAsia="Arial" w:cs="Arial"/>
          <w:sz w:val="22"/>
          <w:szCs w:val="22"/>
        </w:rPr>
        <w:t>2023,</w:t>
      </w:r>
      <w:r w:rsidRPr="3542A3F9">
        <w:rPr>
          <w:rFonts w:eastAsia="Arial" w:cs="Arial"/>
          <w:sz w:val="22"/>
          <w:szCs w:val="22"/>
        </w:rPr>
        <w:t xml:space="preserve"> the DF </w:t>
      </w:r>
      <w:r w:rsidR="4B4BF7C6" w:rsidRPr="3542A3F9">
        <w:rPr>
          <w:rFonts w:eastAsia="Arial" w:cs="Arial"/>
          <w:sz w:val="22"/>
          <w:szCs w:val="22"/>
        </w:rPr>
        <w:t xml:space="preserve">completed </w:t>
      </w:r>
      <w:r w:rsidR="77E03C2E" w:rsidRPr="3542A3F9">
        <w:rPr>
          <w:rFonts w:eastAsia="Arial" w:cs="Arial"/>
          <w:sz w:val="22"/>
          <w:szCs w:val="22"/>
        </w:rPr>
        <w:t>nine</w:t>
      </w:r>
      <w:r w:rsidR="4B4BF7C6" w:rsidRPr="3542A3F9">
        <w:rPr>
          <w:rFonts w:eastAsia="Arial" w:cs="Arial"/>
          <w:sz w:val="22"/>
          <w:szCs w:val="22"/>
        </w:rPr>
        <w:t xml:space="preserve"> projects, </w:t>
      </w:r>
      <w:r w:rsidR="356B9409" w:rsidRPr="3542A3F9">
        <w:rPr>
          <w:rFonts w:eastAsia="Arial" w:cs="Arial"/>
          <w:sz w:val="22"/>
          <w:szCs w:val="22"/>
        </w:rPr>
        <w:t xml:space="preserve">totalling 93 since inception </w:t>
      </w:r>
      <w:r w:rsidR="4B4BF7C6" w:rsidRPr="3542A3F9">
        <w:rPr>
          <w:rFonts w:eastAsia="Arial" w:cs="Arial"/>
          <w:sz w:val="22"/>
          <w:szCs w:val="22"/>
        </w:rPr>
        <w:t xml:space="preserve">with </w:t>
      </w:r>
      <w:r w:rsidR="07D46EFD" w:rsidRPr="3542A3F9">
        <w:rPr>
          <w:rFonts w:eastAsia="Arial" w:cs="Arial"/>
          <w:sz w:val="22"/>
          <w:szCs w:val="22"/>
        </w:rPr>
        <w:t>a</w:t>
      </w:r>
      <w:r w:rsidR="4B4BF7C6" w:rsidRPr="3542A3F9">
        <w:rPr>
          <w:rFonts w:eastAsia="Arial" w:cs="Arial"/>
          <w:sz w:val="22"/>
          <w:szCs w:val="22"/>
        </w:rPr>
        <w:t>n average</w:t>
      </w:r>
      <w:r w:rsidR="07D46EFD" w:rsidRPr="3542A3F9">
        <w:rPr>
          <w:rFonts w:eastAsia="Arial" w:cs="Arial"/>
          <w:sz w:val="22"/>
          <w:szCs w:val="22"/>
        </w:rPr>
        <w:t xml:space="preserve"> budget of </w:t>
      </w:r>
      <w:r w:rsidR="1A4E86B3" w:rsidRPr="3542A3F9">
        <w:rPr>
          <w:rFonts w:eastAsia="Arial" w:cs="Arial"/>
          <w:sz w:val="22"/>
          <w:szCs w:val="22"/>
        </w:rPr>
        <w:t>$</w:t>
      </w:r>
      <w:r w:rsidR="4B4BF7C6" w:rsidRPr="3542A3F9">
        <w:rPr>
          <w:rFonts w:eastAsia="Arial" w:cs="Arial"/>
          <w:sz w:val="22"/>
          <w:szCs w:val="22"/>
        </w:rPr>
        <w:t>5</w:t>
      </w:r>
      <w:r w:rsidR="45D51EB5" w:rsidRPr="3542A3F9">
        <w:rPr>
          <w:rFonts w:eastAsia="Arial" w:cs="Arial"/>
          <w:sz w:val="22"/>
          <w:szCs w:val="22"/>
        </w:rPr>
        <w:t>4</w:t>
      </w:r>
      <w:r w:rsidR="4B4BF7C6" w:rsidRPr="3542A3F9">
        <w:rPr>
          <w:rFonts w:eastAsia="Arial" w:cs="Arial"/>
          <w:sz w:val="22"/>
          <w:szCs w:val="22"/>
        </w:rPr>
        <w:t>,</w:t>
      </w:r>
      <w:r w:rsidR="53FAE529" w:rsidRPr="3542A3F9">
        <w:rPr>
          <w:rFonts w:eastAsia="Arial" w:cs="Arial"/>
          <w:sz w:val="22"/>
          <w:szCs w:val="22"/>
        </w:rPr>
        <w:t>314</w:t>
      </w:r>
      <w:r w:rsidRPr="3542A3F9">
        <w:rPr>
          <w:rFonts w:eastAsia="Arial" w:cs="Arial"/>
          <w:sz w:val="22"/>
          <w:szCs w:val="22"/>
        </w:rPr>
        <w:t xml:space="preserve">. This is described further in </w:t>
      </w:r>
      <w:r w:rsidR="68A6E505" w:rsidRPr="3542A3F9">
        <w:rPr>
          <w:rFonts w:eastAsia="Arial" w:cs="Arial"/>
          <w:sz w:val="22"/>
          <w:szCs w:val="22"/>
        </w:rPr>
        <w:t>O</w:t>
      </w:r>
      <w:r w:rsidRPr="3542A3F9">
        <w:rPr>
          <w:rFonts w:eastAsia="Arial" w:cs="Arial"/>
          <w:sz w:val="22"/>
          <w:szCs w:val="22"/>
        </w:rPr>
        <w:t>utput 3.</w:t>
      </w:r>
    </w:p>
    <w:p w14:paraId="49973694" w14:textId="2B53742C" w:rsidR="16381FB0" w:rsidRPr="008B63E0" w:rsidRDefault="16381FB0" w:rsidP="00F66B70">
      <w:pPr>
        <w:jc w:val="both"/>
        <w:rPr>
          <w:rFonts w:eastAsia="Arial" w:cs="Arial"/>
          <w:color w:val="000000" w:themeColor="text1"/>
          <w:sz w:val="22"/>
          <w:szCs w:val="22"/>
        </w:rPr>
      </w:pPr>
    </w:p>
    <w:p w14:paraId="17F1C1E2" w14:textId="33EA1FF5" w:rsidR="1B686662" w:rsidRDefault="1B686662" w:rsidP="68316884">
      <w:pPr>
        <w:jc w:val="both"/>
        <w:rPr>
          <w:rFonts w:eastAsia="Arial" w:cs="Arial"/>
          <w:color w:val="000000" w:themeColor="text1"/>
          <w:sz w:val="22"/>
          <w:szCs w:val="22"/>
        </w:rPr>
      </w:pPr>
      <w:r w:rsidRPr="68316884">
        <w:rPr>
          <w:rFonts w:eastAsia="Arial" w:cs="Arial"/>
          <w:b/>
          <w:bCs/>
          <w:color w:val="000000" w:themeColor="text1"/>
          <w:sz w:val="22"/>
          <w:szCs w:val="22"/>
        </w:rPr>
        <w:t>Progress on 2022’s recommendations</w:t>
      </w:r>
    </w:p>
    <w:p w14:paraId="517C0436" w14:textId="7D89F779" w:rsidR="68316884" w:rsidRDefault="68316884" w:rsidP="68316884">
      <w:pPr>
        <w:jc w:val="both"/>
        <w:rPr>
          <w:rFonts w:eastAsia="Arial" w:cs="Arial"/>
          <w:color w:val="000000" w:themeColor="text1"/>
          <w:sz w:val="22"/>
          <w:szCs w:val="22"/>
        </w:rPr>
      </w:pPr>
    </w:p>
    <w:p w14:paraId="2669DD0A" w14:textId="66F2645B" w:rsidR="1B686662" w:rsidRDefault="1B686662" w:rsidP="00674C5F">
      <w:pPr>
        <w:pStyle w:val="ListParagraph"/>
        <w:numPr>
          <w:ilvl w:val="0"/>
          <w:numId w:val="3"/>
        </w:numPr>
        <w:jc w:val="both"/>
        <w:rPr>
          <w:rFonts w:eastAsia="Arial" w:cs="Arial"/>
          <w:color w:val="000000" w:themeColor="text1"/>
          <w:sz w:val="22"/>
          <w:szCs w:val="22"/>
        </w:rPr>
      </w:pPr>
      <w:r w:rsidRPr="68316884">
        <w:rPr>
          <w:rFonts w:eastAsia="Arial" w:cs="Arial"/>
          <w:color w:val="000000" w:themeColor="text1"/>
          <w:sz w:val="22"/>
          <w:szCs w:val="22"/>
        </w:rPr>
        <w:t>From 2024, Defra will work with the Fund to begin reporting on KPI 15, assessing ‘the extent to which ICF intervention is likely to lead to transformational change’ so that it can be included in the 2023 AR and subsequently.</w:t>
      </w:r>
    </w:p>
    <w:p w14:paraId="7F7627FF" w14:textId="558FB553" w:rsidR="68316884" w:rsidRDefault="68316884" w:rsidP="68316884">
      <w:pPr>
        <w:pStyle w:val="ListParagraph"/>
        <w:jc w:val="both"/>
        <w:rPr>
          <w:rFonts w:eastAsia="Arial" w:cs="Arial"/>
          <w:color w:val="000000" w:themeColor="text1"/>
          <w:sz w:val="22"/>
          <w:szCs w:val="22"/>
        </w:rPr>
      </w:pPr>
    </w:p>
    <w:p w14:paraId="4C878406" w14:textId="16E6B49D" w:rsidR="68316884" w:rsidRPr="00C444C4" w:rsidRDefault="1B686662" w:rsidP="00C444C4">
      <w:pPr>
        <w:pStyle w:val="ListParagraph"/>
        <w:jc w:val="both"/>
        <w:rPr>
          <w:rFonts w:eastAsia="Arial" w:cs="Arial"/>
          <w:i/>
          <w:iCs/>
          <w:color w:val="000000" w:themeColor="text1"/>
          <w:sz w:val="22"/>
          <w:szCs w:val="22"/>
        </w:rPr>
      </w:pPr>
      <w:r w:rsidRPr="6E144DED">
        <w:rPr>
          <w:rFonts w:eastAsia="Arial" w:cs="Arial"/>
          <w:i/>
          <w:iCs/>
          <w:color w:val="000000" w:themeColor="text1"/>
          <w:sz w:val="22"/>
          <w:szCs w:val="22"/>
        </w:rPr>
        <w:t xml:space="preserve">KPI 15 was reported on for the first time in 2023, scoring </w:t>
      </w:r>
      <w:r w:rsidR="6BADDD06" w:rsidRPr="6E144DED">
        <w:rPr>
          <w:rFonts w:eastAsia="Arial" w:cs="Arial"/>
          <w:i/>
          <w:iCs/>
          <w:color w:val="000000" w:themeColor="text1"/>
          <w:sz w:val="22"/>
          <w:szCs w:val="22"/>
        </w:rPr>
        <w:t>4</w:t>
      </w:r>
      <w:r w:rsidRPr="6E144DED">
        <w:rPr>
          <w:rFonts w:eastAsia="Arial" w:cs="Arial"/>
          <w:i/>
          <w:iCs/>
          <w:color w:val="000000" w:themeColor="text1"/>
          <w:sz w:val="22"/>
          <w:szCs w:val="22"/>
        </w:rPr>
        <w:t xml:space="preserve"> and indicating </w:t>
      </w:r>
      <w:r w:rsidR="007A02C8" w:rsidRPr="6E144DED">
        <w:rPr>
          <w:rFonts w:eastAsia="Arial" w:cs="Arial"/>
          <w:i/>
          <w:iCs/>
          <w:color w:val="000000" w:themeColor="text1"/>
          <w:sz w:val="22"/>
          <w:szCs w:val="22"/>
        </w:rPr>
        <w:t xml:space="preserve">there is partial evidence that </w:t>
      </w:r>
      <w:r w:rsidRPr="6E144DED">
        <w:rPr>
          <w:rFonts w:eastAsia="Arial" w:cs="Arial"/>
          <w:i/>
          <w:iCs/>
          <w:color w:val="000000" w:themeColor="text1"/>
          <w:sz w:val="22"/>
          <w:szCs w:val="22"/>
        </w:rPr>
        <w:t>transformation</w:t>
      </w:r>
      <w:r w:rsidR="009840DD" w:rsidRPr="6E144DED">
        <w:rPr>
          <w:rFonts w:eastAsia="Arial" w:cs="Arial"/>
          <w:i/>
          <w:iCs/>
          <w:color w:val="000000" w:themeColor="text1"/>
          <w:sz w:val="22"/>
          <w:szCs w:val="22"/>
        </w:rPr>
        <w:t>al</w:t>
      </w:r>
      <w:r w:rsidRPr="6E144DED">
        <w:rPr>
          <w:rFonts w:eastAsia="Arial" w:cs="Arial"/>
          <w:i/>
          <w:iCs/>
          <w:color w:val="000000" w:themeColor="text1"/>
          <w:sz w:val="22"/>
          <w:szCs w:val="22"/>
        </w:rPr>
        <w:t xml:space="preserve"> change is likely.</w:t>
      </w:r>
      <w:r w:rsidR="009A7B89">
        <w:rPr>
          <w:rFonts w:eastAsia="Arial" w:cs="Arial"/>
          <w:i/>
          <w:iCs/>
          <w:color w:val="000000" w:themeColor="text1"/>
          <w:sz w:val="22"/>
          <w:szCs w:val="22"/>
        </w:rPr>
        <w:t xml:space="preserve"> </w:t>
      </w:r>
    </w:p>
    <w:p w14:paraId="063F40F9" w14:textId="44C43CC7" w:rsidR="68316884" w:rsidRDefault="68316884" w:rsidP="68316884">
      <w:pPr>
        <w:pStyle w:val="ListParagraph"/>
        <w:jc w:val="both"/>
        <w:rPr>
          <w:rFonts w:eastAsia="Arial" w:cs="Arial"/>
          <w:color w:val="000000" w:themeColor="text1"/>
          <w:sz w:val="22"/>
          <w:szCs w:val="22"/>
        </w:rPr>
      </w:pPr>
    </w:p>
    <w:p w14:paraId="716BD437" w14:textId="59D14E24" w:rsidR="1B686662" w:rsidRDefault="1B686662" w:rsidP="00674C5F">
      <w:pPr>
        <w:pStyle w:val="ListParagraph"/>
        <w:numPr>
          <w:ilvl w:val="0"/>
          <w:numId w:val="3"/>
        </w:numPr>
        <w:spacing w:after="0"/>
        <w:jc w:val="both"/>
        <w:rPr>
          <w:rFonts w:eastAsia="Arial" w:cs="Arial"/>
          <w:color w:val="000000" w:themeColor="text1"/>
          <w:sz w:val="22"/>
          <w:szCs w:val="22"/>
        </w:rPr>
      </w:pPr>
      <w:r w:rsidRPr="68316884">
        <w:rPr>
          <w:rFonts w:eastAsia="Arial" w:cs="Arial"/>
          <w:color w:val="000000" w:themeColor="text1"/>
          <w:sz w:val="22"/>
          <w:szCs w:val="22"/>
        </w:rPr>
        <w:t>From 2024, Defra and the Fund will work to implement reporting on KPI 10, to capture the unique value created by funding sustainable land use, compared to traditional conservation funding. EBF’s funding allows producers to combine climate and nature benefits with economic production, deriving multiple benefits from the same land and reducing the risk of agriculture expanding into new areas, and KPI 10 will allow the AR to capture the value of those multiple benefits.</w:t>
      </w:r>
    </w:p>
    <w:p w14:paraId="6C958122" w14:textId="187AE612" w:rsidR="68316884" w:rsidRDefault="68316884" w:rsidP="68316884">
      <w:pPr>
        <w:jc w:val="both"/>
        <w:rPr>
          <w:rFonts w:eastAsia="Arial" w:cs="Arial"/>
          <w:color w:val="000000" w:themeColor="text1"/>
          <w:sz w:val="22"/>
          <w:szCs w:val="22"/>
        </w:rPr>
      </w:pPr>
    </w:p>
    <w:p w14:paraId="6E1709D2" w14:textId="04B55734" w:rsidR="68316884" w:rsidRPr="00EE0FE4" w:rsidRDefault="6D7E57C9" w:rsidP="00EE0FE4">
      <w:pPr>
        <w:ind w:left="720"/>
        <w:jc w:val="both"/>
        <w:rPr>
          <w:rFonts w:eastAsia="Arial" w:cs="Arial"/>
          <w:i/>
          <w:iCs/>
          <w:color w:val="000000" w:themeColor="text1"/>
          <w:sz w:val="22"/>
          <w:szCs w:val="22"/>
        </w:rPr>
      </w:pPr>
      <w:r w:rsidRPr="1F4908CE">
        <w:rPr>
          <w:rFonts w:eastAsia="Arial" w:cs="Arial"/>
          <w:i/>
          <w:iCs/>
          <w:color w:val="000000" w:themeColor="text1"/>
          <w:sz w:val="22"/>
          <w:szCs w:val="22"/>
        </w:rPr>
        <w:t>Results for KPI 10 were provided for the first time in</w:t>
      </w:r>
      <w:r w:rsidR="5AEFDFF8" w:rsidRPr="1F4908CE">
        <w:rPr>
          <w:rFonts w:eastAsia="Arial" w:cs="Arial"/>
          <w:i/>
          <w:iCs/>
          <w:color w:val="000000" w:themeColor="text1"/>
          <w:sz w:val="22"/>
          <w:szCs w:val="22"/>
        </w:rPr>
        <w:t xml:space="preserve"> 2023. $720</w:t>
      </w:r>
      <w:r w:rsidR="009D3932">
        <w:rPr>
          <w:rFonts w:eastAsia="Arial" w:cs="Arial"/>
          <w:i/>
          <w:iCs/>
          <w:color w:val="000000" w:themeColor="text1"/>
          <w:sz w:val="22"/>
          <w:szCs w:val="22"/>
        </w:rPr>
        <w:t xml:space="preserve"> million </w:t>
      </w:r>
      <w:r w:rsidR="5AEFDFF8" w:rsidRPr="1F4908CE">
        <w:rPr>
          <w:rFonts w:eastAsia="Arial" w:cs="Arial"/>
          <w:i/>
          <w:iCs/>
          <w:color w:val="000000" w:themeColor="text1"/>
          <w:sz w:val="22"/>
          <w:szCs w:val="22"/>
        </w:rPr>
        <w:t>of ecosystem services were reported to have been generated</w:t>
      </w:r>
      <w:r w:rsidR="00301789" w:rsidRPr="1F4908CE">
        <w:rPr>
          <w:rFonts w:eastAsia="Arial" w:cs="Arial"/>
          <w:i/>
          <w:iCs/>
          <w:color w:val="000000" w:themeColor="text1"/>
          <w:sz w:val="22"/>
          <w:szCs w:val="22"/>
        </w:rPr>
        <w:t>. This was calculated using the value of the area protected from deforestation as a result of Fund activities.</w:t>
      </w:r>
    </w:p>
    <w:p w14:paraId="63B8B20E" w14:textId="7347CFAF" w:rsidR="68316884" w:rsidRDefault="68316884" w:rsidP="68316884">
      <w:pPr>
        <w:jc w:val="both"/>
        <w:rPr>
          <w:rFonts w:eastAsia="Arial" w:cs="Arial"/>
          <w:color w:val="000000" w:themeColor="text1"/>
          <w:sz w:val="22"/>
          <w:szCs w:val="22"/>
        </w:rPr>
      </w:pPr>
    </w:p>
    <w:p w14:paraId="39327417" w14:textId="299F054F" w:rsidR="1B686662" w:rsidRDefault="1B686662" w:rsidP="00674C5F">
      <w:pPr>
        <w:pStyle w:val="ListParagraph"/>
        <w:numPr>
          <w:ilvl w:val="0"/>
          <w:numId w:val="3"/>
        </w:numPr>
        <w:spacing w:after="0"/>
        <w:jc w:val="both"/>
        <w:rPr>
          <w:rFonts w:eastAsia="Arial" w:cs="Arial"/>
          <w:color w:val="000000" w:themeColor="text1"/>
          <w:sz w:val="22"/>
          <w:szCs w:val="22"/>
        </w:rPr>
      </w:pPr>
      <w:r w:rsidRPr="68316884">
        <w:rPr>
          <w:rFonts w:eastAsia="Arial" w:cs="Arial"/>
          <w:color w:val="000000" w:themeColor="text1"/>
          <w:sz w:val="22"/>
          <w:szCs w:val="22"/>
        </w:rPr>
        <w:t xml:space="preserve">In January 2024, a new five-year set of more stretching milestones </w:t>
      </w:r>
      <w:r w:rsidR="00EE0FE4">
        <w:rPr>
          <w:rFonts w:eastAsia="Arial" w:cs="Arial"/>
          <w:color w:val="000000" w:themeColor="text1"/>
          <w:sz w:val="22"/>
          <w:szCs w:val="22"/>
        </w:rPr>
        <w:t>was</w:t>
      </w:r>
      <w:r w:rsidRPr="68316884">
        <w:rPr>
          <w:rFonts w:eastAsia="Arial" w:cs="Arial"/>
          <w:color w:val="000000" w:themeColor="text1"/>
          <w:sz w:val="22"/>
          <w:szCs w:val="22"/>
        </w:rPr>
        <w:t xml:space="preserve"> set for 2024-28, based on the Fund’s </w:t>
      </w:r>
      <w:r w:rsidR="00EE0FE4">
        <w:rPr>
          <w:rFonts w:eastAsia="Arial" w:cs="Arial"/>
          <w:color w:val="000000" w:themeColor="text1"/>
          <w:sz w:val="22"/>
          <w:szCs w:val="22"/>
        </w:rPr>
        <w:t xml:space="preserve">five-year </w:t>
      </w:r>
      <w:r w:rsidRPr="68316884">
        <w:rPr>
          <w:rFonts w:eastAsia="Arial" w:cs="Arial"/>
          <w:color w:val="000000" w:themeColor="text1"/>
          <w:sz w:val="22"/>
          <w:szCs w:val="22"/>
        </w:rPr>
        <w:t xml:space="preserve">business plan for that period, and taking into account the Fund’s success so far in exceeding by a large margin most targets. This </w:t>
      </w:r>
      <w:r w:rsidR="00E74A34">
        <w:rPr>
          <w:rFonts w:eastAsia="Arial" w:cs="Arial"/>
          <w:color w:val="000000" w:themeColor="text1"/>
          <w:sz w:val="22"/>
          <w:szCs w:val="22"/>
        </w:rPr>
        <w:t>was</w:t>
      </w:r>
      <w:r w:rsidRPr="68316884">
        <w:rPr>
          <w:rFonts w:eastAsia="Arial" w:cs="Arial"/>
          <w:color w:val="000000" w:themeColor="text1"/>
          <w:sz w:val="22"/>
          <w:szCs w:val="22"/>
        </w:rPr>
        <w:t xml:space="preserve"> also an opportunity to review the LogFrame and remove indicators which have not been useful or possible to report on, as well as considering a rebalancing of Output weighting. Revisions to the LogFrame </w:t>
      </w:r>
      <w:r w:rsidR="00E74A34">
        <w:rPr>
          <w:rFonts w:eastAsia="Arial" w:cs="Arial"/>
          <w:color w:val="000000" w:themeColor="text1"/>
          <w:sz w:val="22"/>
          <w:szCs w:val="22"/>
        </w:rPr>
        <w:t>were</w:t>
      </w:r>
      <w:r w:rsidRPr="68316884">
        <w:rPr>
          <w:rFonts w:eastAsia="Arial" w:cs="Arial"/>
          <w:color w:val="000000" w:themeColor="text1"/>
          <w:sz w:val="22"/>
          <w:szCs w:val="22"/>
        </w:rPr>
        <w:t xml:space="preserve"> approved at Deputy Director level.</w:t>
      </w:r>
    </w:p>
    <w:p w14:paraId="586603BE" w14:textId="635473E0" w:rsidR="68316884" w:rsidRDefault="68316884" w:rsidP="68316884">
      <w:pPr>
        <w:jc w:val="both"/>
        <w:rPr>
          <w:rFonts w:eastAsia="Arial" w:cs="Arial"/>
          <w:color w:val="000000" w:themeColor="text1"/>
          <w:sz w:val="22"/>
          <w:szCs w:val="22"/>
        </w:rPr>
      </w:pPr>
    </w:p>
    <w:p w14:paraId="591919C8" w14:textId="6DEBEEB3" w:rsidR="118A230A" w:rsidRDefault="001F4E7E" w:rsidP="00DF2855">
      <w:pPr>
        <w:ind w:left="720"/>
        <w:jc w:val="both"/>
        <w:rPr>
          <w:rFonts w:eastAsia="Arial" w:cs="Arial"/>
          <w:i/>
          <w:iCs/>
          <w:color w:val="000000" w:themeColor="text1"/>
          <w:sz w:val="22"/>
          <w:szCs w:val="22"/>
        </w:rPr>
      </w:pPr>
      <w:r>
        <w:rPr>
          <w:rFonts w:eastAsia="Arial" w:cs="Arial"/>
          <w:i/>
          <w:iCs/>
          <w:color w:val="000000" w:themeColor="text1"/>
          <w:sz w:val="22"/>
          <w:szCs w:val="22"/>
        </w:rPr>
        <w:t xml:space="preserve">Due to the nature of this programme, </w:t>
      </w:r>
      <w:r w:rsidR="006E2986">
        <w:rPr>
          <w:rFonts w:eastAsia="Arial" w:cs="Arial"/>
          <w:i/>
          <w:iCs/>
          <w:color w:val="000000" w:themeColor="text1"/>
          <w:sz w:val="22"/>
          <w:szCs w:val="22"/>
        </w:rPr>
        <w:t xml:space="preserve">with </w:t>
      </w:r>
      <w:r w:rsidR="00477C68">
        <w:rPr>
          <w:rFonts w:eastAsia="Arial" w:cs="Arial"/>
          <w:i/>
          <w:iCs/>
          <w:color w:val="000000" w:themeColor="text1"/>
          <w:sz w:val="22"/>
          <w:szCs w:val="22"/>
        </w:rPr>
        <w:t xml:space="preserve">a wide range of possible impact </w:t>
      </w:r>
      <w:r w:rsidR="001022D7">
        <w:rPr>
          <w:rFonts w:eastAsia="Arial" w:cs="Arial"/>
          <w:i/>
          <w:iCs/>
          <w:color w:val="000000" w:themeColor="text1"/>
          <w:sz w:val="22"/>
          <w:szCs w:val="22"/>
        </w:rPr>
        <w:t>results</w:t>
      </w:r>
      <w:r w:rsidR="00477C68">
        <w:rPr>
          <w:rFonts w:eastAsia="Arial" w:cs="Arial"/>
          <w:i/>
          <w:iCs/>
          <w:color w:val="000000" w:themeColor="text1"/>
          <w:sz w:val="22"/>
          <w:szCs w:val="22"/>
        </w:rPr>
        <w:t xml:space="preserve"> depending on </w:t>
      </w:r>
      <w:r w:rsidR="00937798">
        <w:rPr>
          <w:rFonts w:eastAsia="Arial" w:cs="Arial"/>
          <w:i/>
          <w:iCs/>
          <w:color w:val="000000" w:themeColor="text1"/>
          <w:sz w:val="22"/>
          <w:szCs w:val="22"/>
        </w:rPr>
        <w:t xml:space="preserve">the Fund’s success in leveraging </w:t>
      </w:r>
      <w:r w:rsidR="00886FA9">
        <w:rPr>
          <w:rFonts w:eastAsia="Arial" w:cs="Arial"/>
          <w:i/>
          <w:iCs/>
          <w:color w:val="000000" w:themeColor="text1"/>
          <w:sz w:val="22"/>
          <w:szCs w:val="22"/>
        </w:rPr>
        <w:t xml:space="preserve">additional </w:t>
      </w:r>
      <w:r w:rsidR="00937798">
        <w:rPr>
          <w:rFonts w:eastAsia="Arial" w:cs="Arial"/>
          <w:i/>
          <w:iCs/>
          <w:color w:val="000000" w:themeColor="text1"/>
          <w:sz w:val="22"/>
          <w:szCs w:val="22"/>
        </w:rPr>
        <w:t>finance</w:t>
      </w:r>
      <w:r w:rsidR="00886FA9">
        <w:rPr>
          <w:rFonts w:eastAsia="Arial" w:cs="Arial"/>
          <w:i/>
          <w:iCs/>
          <w:color w:val="000000" w:themeColor="text1"/>
          <w:sz w:val="22"/>
          <w:szCs w:val="22"/>
        </w:rPr>
        <w:t xml:space="preserve"> from the initial public investments,</w:t>
      </w:r>
      <w:r w:rsidR="006E2986">
        <w:rPr>
          <w:rFonts w:eastAsia="Arial" w:cs="Arial"/>
          <w:i/>
          <w:iCs/>
          <w:color w:val="000000" w:themeColor="text1"/>
          <w:sz w:val="22"/>
          <w:szCs w:val="22"/>
        </w:rPr>
        <w:t xml:space="preserve"> </w:t>
      </w:r>
      <w:r>
        <w:rPr>
          <w:rFonts w:eastAsia="Arial" w:cs="Arial"/>
          <w:i/>
          <w:iCs/>
          <w:color w:val="000000" w:themeColor="text1"/>
          <w:sz w:val="22"/>
          <w:szCs w:val="22"/>
        </w:rPr>
        <w:t>m</w:t>
      </w:r>
      <w:r w:rsidR="00DF2855">
        <w:rPr>
          <w:rFonts w:eastAsia="Arial" w:cs="Arial"/>
          <w:i/>
          <w:iCs/>
          <w:color w:val="000000" w:themeColor="text1"/>
          <w:sz w:val="22"/>
          <w:szCs w:val="22"/>
        </w:rPr>
        <w:t xml:space="preserve">ilestones </w:t>
      </w:r>
      <w:r w:rsidR="007F268A">
        <w:rPr>
          <w:rFonts w:eastAsia="Arial" w:cs="Arial"/>
          <w:i/>
          <w:iCs/>
          <w:color w:val="000000" w:themeColor="text1"/>
          <w:sz w:val="22"/>
          <w:szCs w:val="22"/>
        </w:rPr>
        <w:t>need to be revisited at in</w:t>
      </w:r>
      <w:r w:rsidR="001E62EF">
        <w:rPr>
          <w:rFonts w:eastAsia="Arial" w:cs="Arial"/>
          <w:i/>
          <w:iCs/>
          <w:color w:val="000000" w:themeColor="text1"/>
          <w:sz w:val="22"/>
          <w:szCs w:val="22"/>
        </w:rPr>
        <w:t>tervals, particularly where targets were set very early in the Fund’s life</w:t>
      </w:r>
      <w:r w:rsidR="00A60875">
        <w:rPr>
          <w:rFonts w:eastAsia="Arial" w:cs="Arial"/>
          <w:i/>
          <w:iCs/>
          <w:color w:val="000000" w:themeColor="text1"/>
          <w:sz w:val="22"/>
          <w:szCs w:val="22"/>
        </w:rPr>
        <w:t xml:space="preserve">, </w:t>
      </w:r>
      <w:r w:rsidR="00A60875" w:rsidRPr="00A60875">
        <w:rPr>
          <w:rFonts w:eastAsia="Arial" w:cs="Arial"/>
          <w:i/>
          <w:iCs/>
          <w:color w:val="000000" w:themeColor="text1"/>
          <w:sz w:val="22"/>
          <w:szCs w:val="22"/>
        </w:rPr>
        <w:t>to ensure they are set at an appropriate level and continue to reflect an ambitious but realistic level of delivery and performance</w:t>
      </w:r>
      <w:r w:rsidR="008C1485">
        <w:rPr>
          <w:rFonts w:eastAsia="Arial" w:cs="Arial"/>
          <w:i/>
          <w:iCs/>
          <w:color w:val="000000" w:themeColor="text1"/>
          <w:sz w:val="22"/>
          <w:szCs w:val="22"/>
        </w:rPr>
        <w:t xml:space="preserve">. As the Fund’s growth has been greater than </w:t>
      </w:r>
      <w:r w:rsidR="00715D04">
        <w:rPr>
          <w:rFonts w:eastAsia="Arial" w:cs="Arial"/>
          <w:i/>
          <w:iCs/>
          <w:color w:val="000000" w:themeColor="text1"/>
          <w:sz w:val="22"/>
          <w:szCs w:val="22"/>
        </w:rPr>
        <w:t xml:space="preserve">initially projected, most indicators exceeded their </w:t>
      </w:r>
      <w:r w:rsidR="00ED2857">
        <w:rPr>
          <w:rFonts w:eastAsia="Arial" w:cs="Arial"/>
          <w:i/>
          <w:iCs/>
          <w:color w:val="000000" w:themeColor="text1"/>
          <w:sz w:val="22"/>
          <w:szCs w:val="22"/>
        </w:rPr>
        <w:t xml:space="preserve">2022 </w:t>
      </w:r>
      <w:r w:rsidR="00715D04">
        <w:rPr>
          <w:rFonts w:eastAsia="Arial" w:cs="Arial"/>
          <w:i/>
          <w:iCs/>
          <w:color w:val="000000" w:themeColor="text1"/>
          <w:sz w:val="22"/>
          <w:szCs w:val="22"/>
        </w:rPr>
        <w:t>milestones, some by a great margin, and so m</w:t>
      </w:r>
      <w:r w:rsidR="2B94C3DB" w:rsidRPr="1656C201">
        <w:rPr>
          <w:rFonts w:eastAsia="Arial" w:cs="Arial"/>
          <w:i/>
          <w:iCs/>
          <w:color w:val="000000" w:themeColor="text1"/>
          <w:sz w:val="22"/>
          <w:szCs w:val="22"/>
        </w:rPr>
        <w:t>ore stretching milestones were set in January 2024</w:t>
      </w:r>
      <w:r w:rsidR="00715D04">
        <w:rPr>
          <w:rFonts w:eastAsia="Arial" w:cs="Arial"/>
          <w:i/>
          <w:iCs/>
          <w:color w:val="000000" w:themeColor="text1"/>
          <w:sz w:val="22"/>
          <w:szCs w:val="22"/>
        </w:rPr>
        <w:t>.</w:t>
      </w:r>
      <w:r w:rsidR="2B94C3DB" w:rsidRPr="1656C201">
        <w:rPr>
          <w:rFonts w:eastAsia="Arial" w:cs="Arial"/>
          <w:i/>
          <w:iCs/>
          <w:color w:val="000000" w:themeColor="text1"/>
          <w:sz w:val="22"/>
          <w:szCs w:val="22"/>
        </w:rPr>
        <w:t xml:space="preserve"> </w:t>
      </w:r>
      <w:r w:rsidR="00715D04">
        <w:rPr>
          <w:rFonts w:eastAsia="Arial" w:cs="Arial"/>
          <w:i/>
          <w:iCs/>
          <w:color w:val="000000" w:themeColor="text1"/>
          <w:sz w:val="22"/>
          <w:szCs w:val="22"/>
        </w:rPr>
        <w:t>F</w:t>
      </w:r>
      <w:r w:rsidR="2B94C3DB" w:rsidRPr="1656C201">
        <w:rPr>
          <w:rFonts w:eastAsia="Arial" w:cs="Arial"/>
          <w:i/>
          <w:iCs/>
          <w:color w:val="000000" w:themeColor="text1"/>
          <w:sz w:val="22"/>
          <w:szCs w:val="22"/>
        </w:rPr>
        <w:t xml:space="preserve">ollowing 2023’s reporting, </w:t>
      </w:r>
      <w:r w:rsidR="00715D04">
        <w:rPr>
          <w:rFonts w:eastAsia="Arial" w:cs="Arial"/>
          <w:i/>
          <w:iCs/>
          <w:color w:val="000000" w:themeColor="text1"/>
          <w:sz w:val="22"/>
          <w:szCs w:val="22"/>
        </w:rPr>
        <w:t xml:space="preserve">these </w:t>
      </w:r>
      <w:r w:rsidR="2B94C3DB" w:rsidRPr="1656C201">
        <w:rPr>
          <w:rFonts w:eastAsia="Arial" w:cs="Arial"/>
          <w:i/>
          <w:iCs/>
          <w:color w:val="000000" w:themeColor="text1"/>
          <w:sz w:val="22"/>
          <w:szCs w:val="22"/>
        </w:rPr>
        <w:t xml:space="preserve">look </w:t>
      </w:r>
      <w:r w:rsidR="5853FE99" w:rsidRPr="1656C201">
        <w:rPr>
          <w:rFonts w:eastAsia="Arial" w:cs="Arial"/>
          <w:i/>
          <w:iCs/>
          <w:color w:val="000000" w:themeColor="text1"/>
          <w:sz w:val="22"/>
          <w:szCs w:val="22"/>
        </w:rPr>
        <w:t>suitable for</w:t>
      </w:r>
      <w:r w:rsidR="2B94C3DB" w:rsidRPr="1656C201">
        <w:rPr>
          <w:rFonts w:eastAsia="Arial" w:cs="Arial"/>
          <w:i/>
          <w:iCs/>
          <w:color w:val="000000" w:themeColor="text1"/>
          <w:sz w:val="22"/>
          <w:szCs w:val="22"/>
        </w:rPr>
        <w:t xml:space="preserve"> </w:t>
      </w:r>
      <w:r w:rsidR="00ED2857">
        <w:rPr>
          <w:rFonts w:eastAsia="Arial" w:cs="Arial"/>
          <w:i/>
          <w:iCs/>
          <w:color w:val="000000" w:themeColor="text1"/>
          <w:sz w:val="22"/>
          <w:szCs w:val="22"/>
        </w:rPr>
        <w:t>the next five</w:t>
      </w:r>
      <w:r w:rsidR="2B94C3DB" w:rsidRPr="1656C201">
        <w:rPr>
          <w:rFonts w:eastAsia="Arial" w:cs="Arial"/>
          <w:i/>
          <w:iCs/>
          <w:color w:val="000000" w:themeColor="text1"/>
          <w:sz w:val="22"/>
          <w:szCs w:val="22"/>
        </w:rPr>
        <w:t xml:space="preserve"> years.</w:t>
      </w:r>
    </w:p>
    <w:p w14:paraId="16487B1A" w14:textId="732F1C33" w:rsidR="68316884" w:rsidRDefault="68316884" w:rsidP="68316884">
      <w:pPr>
        <w:jc w:val="both"/>
        <w:rPr>
          <w:rFonts w:eastAsia="Arial" w:cs="Arial"/>
          <w:color w:val="000000" w:themeColor="text1"/>
          <w:sz w:val="22"/>
          <w:szCs w:val="22"/>
        </w:rPr>
      </w:pPr>
    </w:p>
    <w:p w14:paraId="6418F3C3" w14:textId="7AC33417" w:rsidR="1B686662" w:rsidRDefault="4D55C1E0" w:rsidP="00674C5F">
      <w:pPr>
        <w:pStyle w:val="ListParagraph"/>
        <w:numPr>
          <w:ilvl w:val="0"/>
          <w:numId w:val="3"/>
        </w:numPr>
        <w:spacing w:after="0"/>
        <w:jc w:val="both"/>
        <w:rPr>
          <w:rFonts w:eastAsia="Arial" w:cs="Arial"/>
          <w:color w:val="000000" w:themeColor="text1"/>
          <w:sz w:val="22"/>
          <w:szCs w:val="22"/>
        </w:rPr>
      </w:pPr>
      <w:r w:rsidRPr="07FC4C9B">
        <w:rPr>
          <w:rFonts w:eastAsia="Arial" w:cs="Arial"/>
          <w:color w:val="000000" w:themeColor="text1"/>
          <w:sz w:val="22"/>
          <w:szCs w:val="22"/>
        </w:rPr>
        <w:t>In 2024, following one of the recommendations of the midterm review, the Fund should continue exploring ways to make more finance available to the ‘willing but not yet able’, to increase its additionality by reaching more uncertified end-borrowers with limited other options for finance. This measure will address a poverty barrier by making more micro-finance available to lower-income borrowers with limited credit options, and create more environmental impact as a result. The proportion of Green List end-borrowers in the portfolio has increased again in 2022, suggesting the Fund is already on a good trajectory.</w:t>
      </w:r>
    </w:p>
    <w:p w14:paraId="46FECACB" w14:textId="5E2BD677" w:rsidR="68316884" w:rsidRPr="00301789" w:rsidRDefault="68316884" w:rsidP="68316884">
      <w:pPr>
        <w:jc w:val="both"/>
        <w:rPr>
          <w:rFonts w:eastAsia="Arial" w:cs="Arial"/>
          <w:i/>
          <w:iCs/>
          <w:color w:val="000000" w:themeColor="text1"/>
          <w:sz w:val="22"/>
          <w:szCs w:val="22"/>
        </w:rPr>
      </w:pPr>
    </w:p>
    <w:p w14:paraId="4CA6CC16" w14:textId="32A95864" w:rsidR="04473D57" w:rsidRDefault="00301789" w:rsidP="2E78AC79">
      <w:pPr>
        <w:ind w:left="720"/>
        <w:jc w:val="both"/>
        <w:rPr>
          <w:rFonts w:eastAsia="Arial" w:cs="Arial"/>
          <w:i/>
          <w:iCs/>
          <w:color w:val="000000" w:themeColor="text1"/>
          <w:sz w:val="22"/>
          <w:szCs w:val="22"/>
        </w:rPr>
      </w:pPr>
      <w:r w:rsidRPr="2E78AC79">
        <w:rPr>
          <w:rFonts w:eastAsia="Arial" w:cs="Arial"/>
          <w:i/>
          <w:iCs/>
          <w:color w:val="000000" w:themeColor="text1"/>
          <w:sz w:val="22"/>
          <w:szCs w:val="22"/>
        </w:rPr>
        <w:t xml:space="preserve">The proportion of Green List end-borrowers in the portfolio further increased in 2023. This growth of borrowers implementing Green List activities was concentrated in three </w:t>
      </w:r>
      <w:r w:rsidR="00BB0263">
        <w:rPr>
          <w:rFonts w:eastAsia="Arial" w:cs="Arial"/>
          <w:i/>
          <w:iCs/>
          <w:color w:val="000000" w:themeColor="text1"/>
          <w:sz w:val="22"/>
          <w:szCs w:val="22"/>
        </w:rPr>
        <w:t>PIs</w:t>
      </w:r>
      <w:r w:rsidRPr="2E78AC79">
        <w:rPr>
          <w:rFonts w:eastAsia="Arial" w:cs="Arial"/>
          <w:i/>
          <w:iCs/>
          <w:color w:val="000000" w:themeColor="text1"/>
          <w:sz w:val="22"/>
          <w:szCs w:val="22"/>
        </w:rPr>
        <w:t xml:space="preserve"> with approximately 400 additional sub-borrowers</w:t>
      </w:r>
      <w:r w:rsidR="009D3664">
        <w:rPr>
          <w:rFonts w:eastAsia="Arial" w:cs="Arial"/>
          <w:i/>
          <w:iCs/>
          <w:color w:val="000000" w:themeColor="text1"/>
          <w:sz w:val="22"/>
          <w:szCs w:val="22"/>
        </w:rPr>
        <w:t>, increasing the proportion of ‘willing-but-not-yet-able’ borrowers in the portfolio</w:t>
      </w:r>
      <w:r w:rsidRPr="2E78AC79">
        <w:rPr>
          <w:rFonts w:eastAsia="Arial" w:cs="Arial"/>
          <w:i/>
          <w:iCs/>
          <w:color w:val="000000" w:themeColor="text1"/>
          <w:sz w:val="22"/>
          <w:szCs w:val="22"/>
        </w:rPr>
        <w:t>.</w:t>
      </w:r>
      <w:r w:rsidR="218F99E3" w:rsidRPr="2E78AC79">
        <w:rPr>
          <w:rFonts w:eastAsia="Arial" w:cs="Arial"/>
          <w:i/>
          <w:iCs/>
          <w:color w:val="000000" w:themeColor="text1"/>
          <w:sz w:val="22"/>
          <w:szCs w:val="22"/>
        </w:rPr>
        <w:t xml:space="preserve"> The Fund has also increased efforts to partner with FIs dedicated to providing micro-finance</w:t>
      </w:r>
      <w:r w:rsidR="605E08E9" w:rsidRPr="2E78AC79">
        <w:rPr>
          <w:rFonts w:eastAsia="Arial" w:cs="Arial"/>
          <w:i/>
          <w:iCs/>
          <w:color w:val="000000" w:themeColor="text1"/>
          <w:sz w:val="22"/>
          <w:szCs w:val="22"/>
        </w:rPr>
        <w:t xml:space="preserve">, supporting those with less access to conventional banking and related services. </w:t>
      </w:r>
    </w:p>
    <w:p w14:paraId="29A51E12" w14:textId="20729CE8" w:rsidR="68316884" w:rsidRDefault="68316884" w:rsidP="68316884">
      <w:pPr>
        <w:jc w:val="both"/>
        <w:rPr>
          <w:rFonts w:eastAsia="Arial" w:cs="Arial"/>
          <w:color w:val="000000" w:themeColor="text1"/>
          <w:sz w:val="22"/>
          <w:szCs w:val="22"/>
        </w:rPr>
      </w:pPr>
    </w:p>
    <w:p w14:paraId="67689BB2" w14:textId="58E28F22" w:rsidR="1B686662" w:rsidRDefault="4D55C1E0" w:rsidP="00674C5F">
      <w:pPr>
        <w:pStyle w:val="ListParagraph"/>
        <w:numPr>
          <w:ilvl w:val="0"/>
          <w:numId w:val="3"/>
        </w:numPr>
        <w:spacing w:after="0"/>
        <w:jc w:val="both"/>
        <w:rPr>
          <w:rFonts w:eastAsia="Arial" w:cs="Arial"/>
          <w:color w:val="000000" w:themeColor="text1"/>
          <w:sz w:val="22"/>
          <w:szCs w:val="22"/>
        </w:rPr>
      </w:pPr>
      <w:r w:rsidRPr="07FC4C9B">
        <w:rPr>
          <w:rFonts w:eastAsia="Arial" w:cs="Arial"/>
          <w:color w:val="000000" w:themeColor="text1"/>
          <w:sz w:val="22"/>
          <w:szCs w:val="22"/>
        </w:rPr>
        <w:t>The DF was highlighted in the midterm review as critical to the Fund’s impact and success, as a way of identifying, improving and helping clients qualify for loans. FiM and Defra should look at ways to raise more money for the DF in 2024 so it can continue and expand its work, as it represents excellent value both for the Fund and its commercial success, as well as for the nature and climate impacts.</w:t>
      </w:r>
    </w:p>
    <w:p w14:paraId="3448468C" w14:textId="6224171A" w:rsidR="68316884" w:rsidRDefault="68316884" w:rsidP="68316884">
      <w:pPr>
        <w:jc w:val="both"/>
        <w:rPr>
          <w:rFonts w:eastAsia="Arial" w:cs="Arial"/>
          <w:color w:val="000000" w:themeColor="text1"/>
          <w:sz w:val="22"/>
          <w:szCs w:val="22"/>
        </w:rPr>
      </w:pPr>
    </w:p>
    <w:p w14:paraId="1340A9FD" w14:textId="7B3346D5" w:rsidR="4F8EE10F" w:rsidRDefault="4848F9E6" w:rsidP="07FC4C9B">
      <w:pPr>
        <w:ind w:left="720"/>
        <w:jc w:val="both"/>
        <w:rPr>
          <w:rFonts w:eastAsia="Arial" w:cs="Arial"/>
          <w:color w:val="000000" w:themeColor="text1"/>
          <w:sz w:val="22"/>
          <w:szCs w:val="22"/>
        </w:rPr>
      </w:pPr>
      <w:r w:rsidRPr="1A878D2C">
        <w:rPr>
          <w:rFonts w:eastAsia="Arial" w:cs="Arial"/>
          <w:i/>
          <w:iCs/>
          <w:color w:val="000000" w:themeColor="text1"/>
          <w:sz w:val="22"/>
          <w:szCs w:val="22"/>
        </w:rPr>
        <w:t>In 2023 the Board explored options for regular contributions to the DF from the main Fund and determined that such a system could be set up in future if the DF’s finances require. Defra also offered a further contribution to the DF for two specific projects in 2023, but this was not taken up.</w:t>
      </w:r>
    </w:p>
    <w:p w14:paraId="0E2A02A1" w14:textId="3C60BB11" w:rsidR="68316884" w:rsidRDefault="68316884" w:rsidP="68316884">
      <w:pPr>
        <w:jc w:val="both"/>
        <w:rPr>
          <w:rFonts w:eastAsia="Arial" w:cs="Arial"/>
          <w:color w:val="000000" w:themeColor="text1"/>
          <w:sz w:val="22"/>
          <w:szCs w:val="22"/>
        </w:rPr>
      </w:pPr>
    </w:p>
    <w:p w14:paraId="4A26551B" w14:textId="4A82B212" w:rsidR="1B686662" w:rsidRDefault="1B686662" w:rsidP="00674C5F">
      <w:pPr>
        <w:pStyle w:val="ListParagraph"/>
        <w:numPr>
          <w:ilvl w:val="0"/>
          <w:numId w:val="3"/>
        </w:numPr>
        <w:spacing w:after="0"/>
        <w:jc w:val="both"/>
        <w:rPr>
          <w:rFonts w:eastAsia="Arial" w:cs="Arial"/>
          <w:color w:val="000000" w:themeColor="text1"/>
          <w:sz w:val="22"/>
          <w:szCs w:val="22"/>
        </w:rPr>
      </w:pPr>
      <w:r w:rsidRPr="68316884">
        <w:rPr>
          <w:rFonts w:eastAsia="Arial" w:cs="Arial"/>
          <w:color w:val="000000" w:themeColor="text1"/>
          <w:sz w:val="22"/>
          <w:szCs w:val="22"/>
        </w:rPr>
        <w:t xml:space="preserve">In 2024 the Fund should continue working towards disaggregating by gender the share of sub-borrower capital and also the number of jobs supported in its impact reporting, in line with Defra’s GESI (Gender Equality and Social Inclusion) mainstreaming. Disaggregation of jobs should be included in the 2023 Annual Review, and a report included on piloting of disaggregation of sub-loan volume. The Fund and DF should consider the levers they may have available to further integrate gender and social inclusion into the programme and its impacts. Defra will work with the Fund to establish what it is achieving in terms of equity of other excluded and vulnerable groups, and how this impact can be further improved. </w:t>
      </w:r>
    </w:p>
    <w:p w14:paraId="2DCC4060" w14:textId="764B4B41" w:rsidR="5926DBCE" w:rsidRDefault="5926DBCE" w:rsidP="68316884">
      <w:pPr>
        <w:jc w:val="both"/>
      </w:pPr>
    </w:p>
    <w:p w14:paraId="0A467195" w14:textId="48B7B9D5" w:rsidR="68316884" w:rsidRDefault="00BA2002" w:rsidP="00301789">
      <w:pPr>
        <w:ind w:left="720"/>
        <w:jc w:val="both"/>
        <w:rPr>
          <w:rFonts w:eastAsia="Arial" w:cs="Arial"/>
          <w:i/>
          <w:iCs/>
          <w:color w:val="000000" w:themeColor="text1"/>
          <w:sz w:val="22"/>
          <w:szCs w:val="22"/>
        </w:rPr>
      </w:pPr>
      <w:r w:rsidRPr="00BA2002">
        <w:rPr>
          <w:rFonts w:eastAsia="Arial" w:cs="Arial"/>
          <w:i/>
          <w:iCs/>
          <w:color w:val="000000" w:themeColor="text1"/>
          <w:sz w:val="22"/>
          <w:szCs w:val="22"/>
        </w:rPr>
        <w:t>Disaggregation of jobs by gender started in 2023 after the development of the corresponding calculation methodology, with 167,000 jobs indirect</w:t>
      </w:r>
      <w:r w:rsidR="00762B1D">
        <w:rPr>
          <w:rFonts w:eastAsia="Arial" w:cs="Arial"/>
          <w:i/>
          <w:iCs/>
          <w:color w:val="000000" w:themeColor="text1"/>
          <w:sz w:val="22"/>
          <w:szCs w:val="22"/>
        </w:rPr>
        <w:t>ly</w:t>
      </w:r>
      <w:r w:rsidRPr="00BA2002">
        <w:rPr>
          <w:rFonts w:eastAsia="Arial" w:cs="Arial"/>
          <w:i/>
          <w:iCs/>
          <w:color w:val="000000" w:themeColor="text1"/>
          <w:sz w:val="22"/>
          <w:szCs w:val="22"/>
        </w:rPr>
        <w:t xml:space="preserve"> supported by end-borrowers held by women. Gender data collection at the level of sub-borrower will be piloted in 2024, with a selected number of institutions expected to report.</w:t>
      </w:r>
    </w:p>
    <w:p w14:paraId="2E2B431E" w14:textId="77777777" w:rsidR="008873BB" w:rsidRDefault="008873BB" w:rsidP="008873BB">
      <w:pPr>
        <w:jc w:val="both"/>
        <w:rPr>
          <w:rFonts w:eastAsia="Arial" w:cs="Arial"/>
          <w:color w:val="000000" w:themeColor="text1"/>
          <w:sz w:val="22"/>
          <w:szCs w:val="22"/>
        </w:rPr>
      </w:pPr>
    </w:p>
    <w:p w14:paraId="29C81E76" w14:textId="23EFCDD4" w:rsidR="008873BB" w:rsidRDefault="008873BB" w:rsidP="008873BB">
      <w:pPr>
        <w:jc w:val="both"/>
        <w:rPr>
          <w:rFonts w:eastAsia="Arial" w:cs="Arial"/>
          <w:color w:val="000000" w:themeColor="text1"/>
          <w:sz w:val="22"/>
          <w:szCs w:val="22"/>
        </w:rPr>
      </w:pPr>
      <w:r>
        <w:rPr>
          <w:rFonts w:eastAsia="Arial" w:cs="Arial"/>
          <w:b/>
          <w:bCs/>
          <w:color w:val="000000" w:themeColor="text1"/>
          <w:sz w:val="22"/>
          <w:szCs w:val="22"/>
        </w:rPr>
        <w:t>GESI update</w:t>
      </w:r>
    </w:p>
    <w:p w14:paraId="4A842BC1" w14:textId="77777777" w:rsidR="008873BB" w:rsidRDefault="008873BB" w:rsidP="008873BB">
      <w:pPr>
        <w:jc w:val="both"/>
        <w:rPr>
          <w:rFonts w:eastAsia="Arial" w:cs="Arial"/>
          <w:color w:val="000000" w:themeColor="text1"/>
          <w:sz w:val="22"/>
          <w:szCs w:val="22"/>
        </w:rPr>
      </w:pPr>
    </w:p>
    <w:p w14:paraId="55FB8381" w14:textId="75A7574D" w:rsidR="008873BB" w:rsidRPr="00FC3CC9" w:rsidRDefault="000E3783" w:rsidP="008873BB">
      <w:pPr>
        <w:jc w:val="both"/>
        <w:rPr>
          <w:rFonts w:eastAsia="Arial" w:cs="Arial"/>
          <w:color w:val="000000" w:themeColor="text1"/>
          <w:sz w:val="22"/>
          <w:szCs w:val="22"/>
        </w:rPr>
      </w:pPr>
      <w:r>
        <w:rPr>
          <w:rFonts w:eastAsia="Arial" w:cs="Arial"/>
          <w:color w:val="000000" w:themeColor="text1"/>
          <w:sz w:val="22"/>
          <w:szCs w:val="22"/>
        </w:rPr>
        <w:t>In line with our primary GESI Action Plan</w:t>
      </w:r>
      <w:r w:rsidR="004121BA">
        <w:rPr>
          <w:rFonts w:eastAsia="Arial" w:cs="Arial"/>
          <w:color w:val="000000" w:themeColor="text1"/>
          <w:sz w:val="22"/>
          <w:szCs w:val="22"/>
        </w:rPr>
        <w:t xml:space="preserve"> action, t</w:t>
      </w:r>
      <w:r w:rsidR="008873BB" w:rsidRPr="000E3783">
        <w:rPr>
          <w:rFonts w:eastAsia="Arial" w:cs="Arial"/>
          <w:color w:val="000000" w:themeColor="text1"/>
          <w:sz w:val="22"/>
          <w:szCs w:val="22"/>
        </w:rPr>
        <w:t>he programme team continue to engage with FiM on GESI reporting</w:t>
      </w:r>
      <w:r w:rsidR="004121BA">
        <w:rPr>
          <w:rFonts w:eastAsia="Arial" w:cs="Arial"/>
          <w:color w:val="000000" w:themeColor="text1"/>
          <w:sz w:val="22"/>
          <w:szCs w:val="22"/>
        </w:rPr>
        <w:t>. W</w:t>
      </w:r>
      <w:r w:rsidR="008873BB" w:rsidRPr="000E3783">
        <w:rPr>
          <w:rFonts w:eastAsia="Arial" w:cs="Arial"/>
          <w:color w:val="000000" w:themeColor="text1"/>
          <w:sz w:val="22"/>
          <w:szCs w:val="22"/>
        </w:rPr>
        <w:t xml:space="preserve">ith the greater disaggregation of </w:t>
      </w:r>
      <w:r w:rsidR="004121BA">
        <w:rPr>
          <w:rFonts w:eastAsia="Arial" w:cs="Arial"/>
          <w:color w:val="000000" w:themeColor="text1"/>
          <w:sz w:val="22"/>
          <w:szCs w:val="22"/>
        </w:rPr>
        <w:t xml:space="preserve">gender </w:t>
      </w:r>
      <w:r w:rsidR="008873BB" w:rsidRPr="000E3783">
        <w:rPr>
          <w:rFonts w:eastAsia="Arial" w:cs="Arial"/>
          <w:color w:val="000000" w:themeColor="text1"/>
          <w:sz w:val="22"/>
          <w:szCs w:val="22"/>
        </w:rPr>
        <w:t>data now available, the strength of the Fund’s internal Gender Policy and their stated and measurable goal of meeting 2X Challenge criteria, the aim in 2024 is to have the EBF programme upgraded to GESI Sensitive</w:t>
      </w:r>
      <w:r w:rsidR="008873BB">
        <w:rPr>
          <w:rFonts w:eastAsia="Arial" w:cs="Arial"/>
          <w:i/>
          <w:iCs/>
          <w:color w:val="000000" w:themeColor="text1"/>
          <w:sz w:val="22"/>
          <w:szCs w:val="22"/>
        </w:rPr>
        <w:t>.</w:t>
      </w:r>
      <w:r w:rsidR="00FC3CC9">
        <w:rPr>
          <w:rFonts w:eastAsia="Arial" w:cs="Arial"/>
          <w:color w:val="000000" w:themeColor="text1"/>
          <w:sz w:val="22"/>
          <w:szCs w:val="22"/>
        </w:rPr>
        <w:t xml:space="preserve"> Further details can be found throughout the AR.</w:t>
      </w:r>
    </w:p>
    <w:p w14:paraId="353DAE4B" w14:textId="7A0604F2" w:rsidR="68316884" w:rsidRDefault="68316884" w:rsidP="68316884">
      <w:pPr>
        <w:jc w:val="both"/>
        <w:rPr>
          <w:rFonts w:eastAsia="Arial" w:cs="Arial"/>
          <w:color w:val="000000" w:themeColor="text1"/>
          <w:sz w:val="22"/>
          <w:szCs w:val="22"/>
        </w:rPr>
      </w:pPr>
    </w:p>
    <w:p w14:paraId="5E23EE91" w14:textId="77777777" w:rsidR="002B5F9D" w:rsidRDefault="002B5F9D" w:rsidP="002B5F9D">
      <w:pPr>
        <w:tabs>
          <w:tab w:val="left" w:pos="6915"/>
          <w:tab w:val="left" w:pos="9495"/>
        </w:tabs>
        <w:rPr>
          <w:b/>
          <w:bCs/>
          <w:color w:val="000000" w:themeColor="text1"/>
          <w:sz w:val="22"/>
          <w:szCs w:val="22"/>
        </w:rPr>
      </w:pPr>
      <w:r>
        <w:rPr>
          <w:b/>
          <w:bCs/>
          <w:color w:val="000000" w:themeColor="text1"/>
          <w:sz w:val="22"/>
          <w:szCs w:val="22"/>
        </w:rPr>
        <w:t>Recommendations arising from this AR:</w:t>
      </w:r>
    </w:p>
    <w:p w14:paraId="36FB81E7" w14:textId="21097450" w:rsidR="00C12211" w:rsidRDefault="00C12211" w:rsidP="00147A64">
      <w:pPr>
        <w:tabs>
          <w:tab w:val="left" w:pos="6915"/>
          <w:tab w:val="left" w:pos="9495"/>
        </w:tabs>
        <w:jc w:val="both"/>
        <w:rPr>
          <w:rFonts w:eastAsia="Arial" w:cs="Arial"/>
          <w:sz w:val="22"/>
          <w:szCs w:val="22"/>
        </w:rPr>
      </w:pPr>
    </w:p>
    <w:p w14:paraId="760D635E" w14:textId="7F9F8A4E" w:rsidR="00432300" w:rsidRDefault="00432300" w:rsidP="00432300">
      <w:pPr>
        <w:pStyle w:val="ListParagraph"/>
        <w:numPr>
          <w:ilvl w:val="0"/>
          <w:numId w:val="14"/>
        </w:numPr>
        <w:tabs>
          <w:tab w:val="left" w:pos="6915"/>
          <w:tab w:val="left" w:pos="9495"/>
        </w:tabs>
        <w:jc w:val="both"/>
        <w:rPr>
          <w:rFonts w:eastAsia="Arial" w:cs="Arial"/>
          <w:sz w:val="22"/>
          <w:szCs w:val="22"/>
        </w:rPr>
      </w:pPr>
      <w:r>
        <w:rPr>
          <w:rFonts w:eastAsia="Arial" w:cs="Arial"/>
          <w:sz w:val="22"/>
          <w:szCs w:val="22"/>
        </w:rPr>
        <w:t>Review FiM’s updated</w:t>
      </w:r>
      <w:r w:rsidR="006F29F2">
        <w:rPr>
          <w:rFonts w:eastAsia="Arial" w:cs="Arial"/>
          <w:sz w:val="22"/>
          <w:szCs w:val="22"/>
        </w:rPr>
        <w:t xml:space="preserve"> ToC and its underlying assumptions in the AR for 2024.</w:t>
      </w:r>
    </w:p>
    <w:p w14:paraId="28E7F464" w14:textId="09CD5F7F" w:rsidR="00784DB9" w:rsidRDefault="00CC5222" w:rsidP="00432300">
      <w:pPr>
        <w:pStyle w:val="ListParagraph"/>
        <w:numPr>
          <w:ilvl w:val="0"/>
          <w:numId w:val="14"/>
        </w:numPr>
        <w:tabs>
          <w:tab w:val="left" w:pos="6915"/>
          <w:tab w:val="left" w:pos="9495"/>
        </w:tabs>
        <w:jc w:val="both"/>
        <w:rPr>
          <w:rFonts w:eastAsia="Arial" w:cs="Arial"/>
          <w:sz w:val="22"/>
          <w:szCs w:val="22"/>
        </w:rPr>
      </w:pPr>
      <w:r>
        <w:rPr>
          <w:rFonts w:eastAsia="Arial" w:cs="Arial"/>
          <w:sz w:val="22"/>
          <w:szCs w:val="22"/>
        </w:rPr>
        <w:t>2024 AR should report on the results of FiM</w:t>
      </w:r>
      <w:r w:rsidR="008F1746">
        <w:rPr>
          <w:rFonts w:eastAsia="Arial" w:cs="Arial"/>
          <w:sz w:val="22"/>
          <w:szCs w:val="22"/>
        </w:rPr>
        <w:t>’s pilot of collecting gender data for sub-borrowers.</w:t>
      </w:r>
    </w:p>
    <w:p w14:paraId="4F255A39" w14:textId="0A59AA69" w:rsidR="002D0917" w:rsidRPr="00432300" w:rsidRDefault="002D0917" w:rsidP="00432300">
      <w:pPr>
        <w:pStyle w:val="ListParagraph"/>
        <w:numPr>
          <w:ilvl w:val="0"/>
          <w:numId w:val="14"/>
        </w:numPr>
        <w:tabs>
          <w:tab w:val="left" w:pos="6915"/>
          <w:tab w:val="left" w:pos="9495"/>
        </w:tabs>
        <w:jc w:val="both"/>
        <w:rPr>
          <w:rFonts w:eastAsia="Arial" w:cs="Arial"/>
          <w:sz w:val="22"/>
          <w:szCs w:val="22"/>
        </w:rPr>
      </w:pPr>
      <w:r>
        <w:rPr>
          <w:rFonts w:eastAsia="Arial" w:cs="Arial"/>
          <w:sz w:val="22"/>
          <w:szCs w:val="22"/>
        </w:rPr>
        <w:t>Explore with FiM for the next AR the impact of the Fund on smallholders and Indigenous Communities.</w:t>
      </w:r>
    </w:p>
    <w:p w14:paraId="5BD3103A" w14:textId="77777777" w:rsidR="00702790" w:rsidRPr="003D5304" w:rsidRDefault="00702790" w:rsidP="00702790">
      <w:pPr>
        <w:pStyle w:val="ListParagraph"/>
        <w:spacing w:after="0"/>
        <w:jc w:val="both"/>
        <w:rPr>
          <w:rFonts w:eastAsia="Arial" w:cs="Arial"/>
          <w:color w:val="000000" w:themeColor="text1"/>
          <w:sz w:val="22"/>
          <w:szCs w:val="22"/>
        </w:rPr>
      </w:pPr>
    </w:p>
    <w:p w14:paraId="5B0C6A76" w14:textId="3201DBDE" w:rsidR="006F3AE7" w:rsidRPr="00A54B18" w:rsidRDefault="7232A90E" w:rsidP="005E557A">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rPr>
          <w:rFonts w:eastAsia="Arial" w:cs="Arial"/>
          <w:b w:val="0"/>
          <w:i w:val="0"/>
          <w:sz w:val="20"/>
          <w:szCs w:val="20"/>
        </w:rPr>
      </w:pPr>
      <w:r w:rsidRPr="00A54B18">
        <w:rPr>
          <w:rFonts w:eastAsia="Arial" w:cs="Arial"/>
          <w:i w:val="0"/>
        </w:rPr>
        <w:t>B: THEORY OF CHANGE AND PROGRESS TOWARDS OUTCOMES</w:t>
      </w:r>
    </w:p>
    <w:p w14:paraId="065D0850" w14:textId="77777777" w:rsidR="006F3AE7" w:rsidRPr="00A54B18" w:rsidRDefault="006F3AE7" w:rsidP="005E557A">
      <w:pPr>
        <w:rPr>
          <w:rFonts w:eastAsia="Arial" w:cs="Arial"/>
          <w:b/>
          <w:bCs/>
          <w:sz w:val="22"/>
          <w:szCs w:val="22"/>
        </w:rPr>
      </w:pPr>
    </w:p>
    <w:p w14:paraId="748B9119" w14:textId="5DA9C3BE" w:rsidR="0D311865" w:rsidRDefault="5B65B8F3" w:rsidP="005E557A">
      <w:pPr>
        <w:jc w:val="both"/>
        <w:rPr>
          <w:rFonts w:eastAsia="Arial" w:cs="Arial"/>
          <w:color w:val="000000" w:themeColor="text1"/>
          <w:sz w:val="22"/>
          <w:szCs w:val="22"/>
        </w:rPr>
      </w:pPr>
      <w:r w:rsidRPr="6C540CC8">
        <w:rPr>
          <w:rFonts w:eastAsia="Arial" w:cs="Arial"/>
          <w:color w:val="000000" w:themeColor="text1"/>
          <w:sz w:val="22"/>
          <w:szCs w:val="22"/>
        </w:rPr>
        <w:t>E</w:t>
      </w:r>
      <w:r w:rsidR="12715272" w:rsidRPr="6C540CC8">
        <w:rPr>
          <w:rFonts w:eastAsia="Arial" w:cs="Arial"/>
          <w:color w:val="000000" w:themeColor="text1"/>
          <w:sz w:val="22"/>
          <w:szCs w:val="22"/>
        </w:rPr>
        <w:t>BF manages its impact based on a Theory of Change (ToC)</w:t>
      </w:r>
      <w:r w:rsidR="00401B67">
        <w:rPr>
          <w:rFonts w:eastAsia="Arial" w:cs="Arial"/>
          <w:color w:val="000000" w:themeColor="text1"/>
          <w:sz w:val="22"/>
          <w:szCs w:val="22"/>
        </w:rPr>
        <w:t xml:space="preserve"> for the Fund as a whole</w:t>
      </w:r>
      <w:r w:rsidR="12715272" w:rsidRPr="6C540CC8">
        <w:rPr>
          <w:rFonts w:eastAsia="Arial" w:cs="Arial"/>
          <w:color w:val="000000" w:themeColor="text1"/>
          <w:sz w:val="22"/>
          <w:szCs w:val="22"/>
        </w:rPr>
        <w:t xml:space="preserve"> and in alignment with the </w:t>
      </w:r>
      <w:hyperlink r:id="rId12">
        <w:r w:rsidR="12715272" w:rsidRPr="6C540CC8">
          <w:rPr>
            <w:rStyle w:val="Hyperlink"/>
            <w:rFonts w:eastAsia="Arial" w:cs="Arial"/>
            <w:sz w:val="22"/>
            <w:szCs w:val="22"/>
          </w:rPr>
          <w:t>Operating Principles for Impact Management</w:t>
        </w:r>
      </w:hyperlink>
      <w:r w:rsidR="00B50692" w:rsidRPr="6C540CC8">
        <w:rPr>
          <w:rStyle w:val="Hyperlink"/>
          <w:rFonts w:eastAsia="Arial" w:cs="Arial"/>
          <w:sz w:val="22"/>
          <w:szCs w:val="22"/>
          <w:u w:val="none"/>
        </w:rPr>
        <w:t xml:space="preserve"> </w:t>
      </w:r>
      <w:r w:rsidR="00B50692" w:rsidRPr="6C540CC8">
        <w:rPr>
          <w:rStyle w:val="Hyperlink"/>
          <w:rFonts w:eastAsia="Arial" w:cs="Arial"/>
          <w:color w:val="000000" w:themeColor="text1"/>
          <w:sz w:val="22"/>
          <w:szCs w:val="22"/>
          <w:u w:val="none"/>
        </w:rPr>
        <w:t>(OPIM)</w:t>
      </w:r>
      <w:r w:rsidR="45B5F8A2" w:rsidRPr="6C540CC8">
        <w:rPr>
          <w:rStyle w:val="Hyperlink"/>
          <w:rFonts w:eastAsia="Arial" w:cs="Arial"/>
          <w:color w:val="000000" w:themeColor="text1"/>
          <w:sz w:val="22"/>
          <w:szCs w:val="22"/>
          <w:u w:val="none"/>
        </w:rPr>
        <w:t>.</w:t>
      </w:r>
      <w:r w:rsidR="00877D39" w:rsidRPr="6C540CC8">
        <w:rPr>
          <w:rStyle w:val="Hyperlink"/>
          <w:rFonts w:eastAsia="Arial" w:cs="Arial"/>
          <w:color w:val="000000" w:themeColor="text1"/>
          <w:sz w:val="22"/>
          <w:szCs w:val="22"/>
          <w:u w:val="none"/>
        </w:rPr>
        <w:t xml:space="preserve"> FiM</w:t>
      </w:r>
      <w:r w:rsidR="006B36B2" w:rsidRPr="6C540CC8">
        <w:rPr>
          <w:rStyle w:val="Hyperlink"/>
          <w:rFonts w:eastAsia="Arial" w:cs="Arial"/>
          <w:color w:val="000000" w:themeColor="text1"/>
          <w:sz w:val="22"/>
          <w:szCs w:val="22"/>
          <w:u w:val="none"/>
        </w:rPr>
        <w:t>,</w:t>
      </w:r>
      <w:r w:rsidR="00877D39" w:rsidRPr="6C540CC8">
        <w:rPr>
          <w:rStyle w:val="Hyperlink"/>
          <w:rFonts w:eastAsia="Arial" w:cs="Arial"/>
          <w:color w:val="000000" w:themeColor="text1"/>
          <w:sz w:val="22"/>
          <w:szCs w:val="22"/>
          <w:u w:val="none"/>
        </w:rPr>
        <w:t xml:space="preserve"> as advis</w:t>
      </w:r>
      <w:r w:rsidR="6589350E" w:rsidRPr="6C540CC8">
        <w:rPr>
          <w:rStyle w:val="Hyperlink"/>
          <w:rFonts w:eastAsia="Arial" w:cs="Arial"/>
          <w:color w:val="000000" w:themeColor="text1"/>
          <w:sz w:val="22"/>
          <w:szCs w:val="22"/>
          <w:u w:val="none"/>
        </w:rPr>
        <w:t>e</w:t>
      </w:r>
      <w:r w:rsidR="00877D39" w:rsidRPr="6C540CC8">
        <w:rPr>
          <w:rStyle w:val="Hyperlink"/>
          <w:rFonts w:eastAsia="Arial" w:cs="Arial"/>
          <w:color w:val="000000" w:themeColor="text1"/>
          <w:sz w:val="22"/>
          <w:szCs w:val="22"/>
          <w:u w:val="none"/>
        </w:rPr>
        <w:t>r of the fund</w:t>
      </w:r>
      <w:r w:rsidR="006B36B2" w:rsidRPr="6C540CC8">
        <w:rPr>
          <w:rStyle w:val="Hyperlink"/>
          <w:rFonts w:eastAsia="Arial" w:cs="Arial"/>
          <w:color w:val="000000" w:themeColor="text1"/>
          <w:sz w:val="22"/>
          <w:szCs w:val="22"/>
          <w:u w:val="none"/>
        </w:rPr>
        <w:t>,</w:t>
      </w:r>
      <w:r w:rsidR="00877D39" w:rsidRPr="6C540CC8">
        <w:rPr>
          <w:rStyle w:val="Hyperlink"/>
          <w:rFonts w:eastAsia="Arial" w:cs="Arial"/>
          <w:color w:val="000000" w:themeColor="text1"/>
          <w:sz w:val="22"/>
          <w:szCs w:val="22"/>
          <w:u w:val="none"/>
        </w:rPr>
        <w:t xml:space="preserve"> </w:t>
      </w:r>
      <w:r w:rsidR="002635EC" w:rsidRPr="6C540CC8">
        <w:rPr>
          <w:rStyle w:val="Hyperlink"/>
          <w:rFonts w:eastAsia="Arial" w:cs="Arial"/>
          <w:color w:val="000000" w:themeColor="text1"/>
          <w:sz w:val="22"/>
          <w:szCs w:val="22"/>
          <w:u w:val="none"/>
        </w:rPr>
        <w:t>underwent</w:t>
      </w:r>
      <w:r w:rsidR="00E014A6" w:rsidRPr="6C540CC8">
        <w:rPr>
          <w:rStyle w:val="Hyperlink"/>
          <w:rFonts w:eastAsia="Arial" w:cs="Arial"/>
          <w:color w:val="000000" w:themeColor="text1"/>
          <w:sz w:val="22"/>
          <w:szCs w:val="22"/>
          <w:u w:val="none"/>
        </w:rPr>
        <w:t xml:space="preserve"> a</w:t>
      </w:r>
      <w:r w:rsidR="002635EC" w:rsidRPr="6C540CC8">
        <w:rPr>
          <w:rStyle w:val="Hyperlink"/>
          <w:rFonts w:eastAsia="Arial" w:cs="Arial"/>
          <w:color w:val="000000" w:themeColor="text1"/>
          <w:sz w:val="22"/>
          <w:szCs w:val="22"/>
          <w:u w:val="none"/>
        </w:rPr>
        <w:t xml:space="preserve">n </w:t>
      </w:r>
      <w:r w:rsidR="002635EC" w:rsidRPr="6C540CC8">
        <w:rPr>
          <w:rFonts w:eastAsia="Arial" w:cs="Arial"/>
          <w:color w:val="000000" w:themeColor="text1"/>
          <w:sz w:val="22"/>
          <w:szCs w:val="22"/>
        </w:rPr>
        <w:t>independent</w:t>
      </w:r>
      <w:r w:rsidR="00E014A6" w:rsidRPr="6C540CC8">
        <w:rPr>
          <w:rFonts w:eastAsia="Arial" w:cs="Arial"/>
          <w:color w:val="000000" w:themeColor="text1"/>
          <w:sz w:val="22"/>
          <w:szCs w:val="22"/>
        </w:rPr>
        <w:t xml:space="preserve"> verification</w:t>
      </w:r>
      <w:r w:rsidR="00B50692" w:rsidRPr="6C540CC8">
        <w:rPr>
          <w:rStyle w:val="Hyperlink"/>
          <w:rFonts w:eastAsia="Arial" w:cs="Arial"/>
          <w:color w:val="000000" w:themeColor="text1"/>
          <w:sz w:val="22"/>
          <w:szCs w:val="22"/>
          <w:u w:val="none"/>
        </w:rPr>
        <w:t xml:space="preserve"> of</w:t>
      </w:r>
      <w:r w:rsidR="00E014A6" w:rsidRPr="6C540CC8">
        <w:rPr>
          <w:rStyle w:val="Hyperlink"/>
          <w:rFonts w:eastAsia="Arial" w:cs="Arial"/>
          <w:color w:val="000000" w:themeColor="text1"/>
          <w:sz w:val="22"/>
          <w:szCs w:val="22"/>
          <w:u w:val="none"/>
        </w:rPr>
        <w:t xml:space="preserve"> </w:t>
      </w:r>
      <w:r w:rsidR="00B50692" w:rsidRPr="6C540CC8">
        <w:rPr>
          <w:rStyle w:val="Hyperlink"/>
          <w:rFonts w:eastAsia="Arial" w:cs="Arial"/>
          <w:color w:val="000000" w:themeColor="text1"/>
          <w:sz w:val="22"/>
          <w:szCs w:val="22"/>
          <w:u w:val="none"/>
        </w:rPr>
        <w:t>the alignment with the OPIM in 2023</w:t>
      </w:r>
      <w:r w:rsidR="12715272" w:rsidRPr="6C540CC8">
        <w:rPr>
          <w:rFonts w:eastAsia="Arial" w:cs="Arial"/>
          <w:color w:val="000000" w:themeColor="text1"/>
          <w:sz w:val="22"/>
          <w:szCs w:val="22"/>
        </w:rPr>
        <w:t>. The ToC considers four levels</w:t>
      </w:r>
      <w:r w:rsidR="00046384" w:rsidRPr="6C540CC8">
        <w:rPr>
          <w:rFonts w:eastAsia="Arial" w:cs="Arial"/>
          <w:color w:val="000000" w:themeColor="text1"/>
          <w:sz w:val="22"/>
          <w:szCs w:val="22"/>
        </w:rPr>
        <w:t>:</w:t>
      </w:r>
      <w:r w:rsidR="12715272" w:rsidRPr="6C540CC8">
        <w:rPr>
          <w:rFonts w:eastAsia="Arial" w:cs="Arial"/>
          <w:color w:val="000000" w:themeColor="text1"/>
          <w:sz w:val="22"/>
          <w:szCs w:val="22"/>
        </w:rPr>
        <w:t xml:space="preserve"> activities, outputs, outcomes, and final impact. Some elements of the ToC are directly controlled by the Fund, for example raising public and private capital or providing </w:t>
      </w:r>
      <w:r w:rsidR="00D0174A" w:rsidRPr="6C540CC8">
        <w:rPr>
          <w:rFonts w:eastAsia="Arial" w:cs="Arial"/>
          <w:color w:val="000000" w:themeColor="text1"/>
          <w:sz w:val="22"/>
          <w:szCs w:val="22"/>
        </w:rPr>
        <w:t>TA</w:t>
      </w:r>
      <w:r w:rsidR="12715272" w:rsidRPr="6C540CC8">
        <w:rPr>
          <w:rFonts w:eastAsia="Arial" w:cs="Arial"/>
          <w:color w:val="000000" w:themeColor="text1"/>
          <w:sz w:val="22"/>
          <w:szCs w:val="22"/>
        </w:rPr>
        <w:t xml:space="preserve"> to financial institutions</w:t>
      </w:r>
      <w:r w:rsidR="00EA44A7" w:rsidRPr="6C540CC8">
        <w:rPr>
          <w:rFonts w:eastAsia="Arial" w:cs="Arial"/>
          <w:color w:val="000000" w:themeColor="text1"/>
          <w:sz w:val="22"/>
          <w:szCs w:val="22"/>
        </w:rPr>
        <w:t xml:space="preserve"> (FIs)</w:t>
      </w:r>
      <w:r w:rsidR="12715272" w:rsidRPr="6C540CC8">
        <w:rPr>
          <w:rFonts w:eastAsia="Arial" w:cs="Arial"/>
          <w:color w:val="000000" w:themeColor="text1"/>
          <w:sz w:val="22"/>
          <w:szCs w:val="22"/>
        </w:rPr>
        <w:t xml:space="preserve"> (activities and outputs). However, some are a result of both the </w:t>
      </w:r>
      <w:r w:rsidR="007E633F" w:rsidRPr="6C540CC8">
        <w:rPr>
          <w:rFonts w:eastAsia="Arial" w:cs="Arial"/>
          <w:color w:val="000000" w:themeColor="text1"/>
          <w:sz w:val="22"/>
          <w:szCs w:val="22"/>
        </w:rPr>
        <w:t>F</w:t>
      </w:r>
      <w:r w:rsidR="12715272" w:rsidRPr="6C540CC8">
        <w:rPr>
          <w:rFonts w:eastAsia="Arial" w:cs="Arial"/>
          <w:color w:val="000000" w:themeColor="text1"/>
          <w:sz w:val="22"/>
          <w:szCs w:val="22"/>
        </w:rPr>
        <w:t>und and external factors, for example an increased integration of sustainability considerations in investment and production practices in the short term and scaling sustainable investment and production practices in the long term (outcomes and final impacts).</w:t>
      </w:r>
      <w:r w:rsidR="005214FC" w:rsidRPr="6C540CC8">
        <w:rPr>
          <w:rFonts w:eastAsia="Arial" w:cs="Arial"/>
          <w:color w:val="000000" w:themeColor="text1"/>
          <w:sz w:val="22"/>
          <w:szCs w:val="22"/>
        </w:rPr>
        <w:t xml:space="preserve"> The Fund’s ToC can be found </w:t>
      </w:r>
      <w:hyperlink r:id="rId13">
        <w:r w:rsidR="005214FC" w:rsidRPr="6C540CC8">
          <w:rPr>
            <w:rStyle w:val="Hyperlink"/>
            <w:rFonts w:eastAsia="Arial" w:cs="Arial"/>
            <w:sz w:val="22"/>
            <w:szCs w:val="22"/>
            <w:lang w:val="en-US"/>
          </w:rPr>
          <w:t>here.</w:t>
        </w:r>
      </w:hyperlink>
      <w:r w:rsidR="007D26E4" w:rsidRPr="6C540CC8">
        <w:rPr>
          <w:rStyle w:val="CommentReference"/>
        </w:rPr>
        <w:t xml:space="preserve"> </w:t>
      </w:r>
      <w:r w:rsidR="007D26E4" w:rsidRPr="6C540CC8">
        <w:rPr>
          <w:rStyle w:val="CommentReference"/>
          <w:sz w:val="22"/>
          <w:szCs w:val="22"/>
        </w:rPr>
        <w:t xml:space="preserve">FiM plan to revisit the ToC </w:t>
      </w:r>
      <w:r w:rsidR="00F25D81" w:rsidRPr="6C540CC8">
        <w:rPr>
          <w:rStyle w:val="CommentReference"/>
          <w:sz w:val="22"/>
          <w:szCs w:val="22"/>
        </w:rPr>
        <w:t>in late 2024</w:t>
      </w:r>
      <w:r w:rsidR="00343C9E" w:rsidRPr="6C540CC8">
        <w:rPr>
          <w:rStyle w:val="CommentReference"/>
          <w:sz w:val="22"/>
          <w:szCs w:val="22"/>
        </w:rPr>
        <w:t xml:space="preserve"> to integrat</w:t>
      </w:r>
      <w:r w:rsidR="000941B4" w:rsidRPr="6C540CC8">
        <w:rPr>
          <w:rStyle w:val="CommentReference"/>
          <w:sz w:val="22"/>
          <w:szCs w:val="22"/>
        </w:rPr>
        <w:t xml:space="preserve">e </w:t>
      </w:r>
      <w:r w:rsidR="000776F5" w:rsidRPr="6C540CC8">
        <w:rPr>
          <w:rStyle w:val="CommentReference"/>
          <w:sz w:val="22"/>
          <w:szCs w:val="22"/>
        </w:rPr>
        <w:t>newer initiatives, for example on climate change</w:t>
      </w:r>
      <w:r w:rsidR="00194E21" w:rsidRPr="6C540CC8">
        <w:rPr>
          <w:rStyle w:val="CommentReference"/>
          <w:sz w:val="22"/>
          <w:szCs w:val="22"/>
        </w:rPr>
        <w:t xml:space="preserve">. The assumptions underlying the ToC are </w:t>
      </w:r>
      <w:r w:rsidR="00D521A7" w:rsidRPr="6C540CC8">
        <w:rPr>
          <w:rStyle w:val="CommentReference"/>
          <w:sz w:val="22"/>
          <w:szCs w:val="22"/>
        </w:rPr>
        <w:t>reviewed periodically</w:t>
      </w:r>
      <w:r w:rsidR="00B1457C" w:rsidRPr="6C540CC8">
        <w:rPr>
          <w:rStyle w:val="CommentReference"/>
          <w:sz w:val="22"/>
          <w:szCs w:val="22"/>
        </w:rPr>
        <w:t xml:space="preserve"> outside the ToC review cycle, and a</w:t>
      </w:r>
      <w:r w:rsidR="00FE70B2" w:rsidRPr="6C540CC8">
        <w:rPr>
          <w:rStyle w:val="CommentReference"/>
          <w:sz w:val="22"/>
          <w:szCs w:val="22"/>
        </w:rPr>
        <w:t xml:space="preserve">n </w:t>
      </w:r>
      <w:r w:rsidR="00C03493" w:rsidRPr="6C540CC8">
        <w:rPr>
          <w:rStyle w:val="CommentReference"/>
          <w:sz w:val="22"/>
          <w:szCs w:val="22"/>
        </w:rPr>
        <w:t>I</w:t>
      </w:r>
      <w:r w:rsidR="00FE70B2" w:rsidRPr="6C540CC8">
        <w:rPr>
          <w:rStyle w:val="CommentReference"/>
          <w:sz w:val="22"/>
          <w:szCs w:val="22"/>
        </w:rPr>
        <w:t xml:space="preserve">mpact </w:t>
      </w:r>
      <w:r w:rsidR="00C03493" w:rsidRPr="6C540CC8">
        <w:rPr>
          <w:rStyle w:val="CommentReference"/>
          <w:sz w:val="22"/>
          <w:szCs w:val="22"/>
        </w:rPr>
        <w:t>S</w:t>
      </w:r>
      <w:r w:rsidR="00FE70B2" w:rsidRPr="6C540CC8">
        <w:rPr>
          <w:rStyle w:val="CommentReference"/>
          <w:sz w:val="22"/>
          <w:szCs w:val="22"/>
        </w:rPr>
        <w:t xml:space="preserve">coring </w:t>
      </w:r>
      <w:r w:rsidR="00C03493" w:rsidRPr="6C540CC8">
        <w:rPr>
          <w:rStyle w:val="CommentReference"/>
          <w:sz w:val="22"/>
          <w:szCs w:val="22"/>
        </w:rPr>
        <w:t>T</w:t>
      </w:r>
      <w:r w:rsidR="00FE70B2" w:rsidRPr="6C540CC8">
        <w:rPr>
          <w:rStyle w:val="CommentReference"/>
          <w:sz w:val="22"/>
          <w:szCs w:val="22"/>
        </w:rPr>
        <w:t xml:space="preserve">ool </w:t>
      </w:r>
      <w:r w:rsidR="006C415F" w:rsidRPr="6C540CC8">
        <w:rPr>
          <w:rStyle w:val="CommentReference"/>
          <w:sz w:val="22"/>
          <w:szCs w:val="22"/>
        </w:rPr>
        <w:t xml:space="preserve">is used to </w:t>
      </w:r>
      <w:r w:rsidR="00257368" w:rsidRPr="6C540CC8">
        <w:rPr>
          <w:rStyle w:val="CommentReference"/>
          <w:sz w:val="22"/>
          <w:szCs w:val="22"/>
        </w:rPr>
        <w:t>monitor assumptions at outcome level</w:t>
      </w:r>
      <w:r w:rsidR="004001B0" w:rsidRPr="6C540CC8">
        <w:rPr>
          <w:rStyle w:val="CommentReference"/>
          <w:sz w:val="22"/>
          <w:szCs w:val="22"/>
        </w:rPr>
        <w:t>, giving reassurance that underlying assumptions are still valid.</w:t>
      </w:r>
    </w:p>
    <w:p w14:paraId="1210D3D8" w14:textId="77777777" w:rsidR="007954D4" w:rsidRDefault="007954D4" w:rsidP="005E557A">
      <w:pPr>
        <w:jc w:val="both"/>
        <w:rPr>
          <w:rFonts w:eastAsia="Arial" w:cs="Arial"/>
          <w:color w:val="000000" w:themeColor="text1"/>
          <w:sz w:val="22"/>
          <w:szCs w:val="22"/>
        </w:rPr>
      </w:pPr>
    </w:p>
    <w:p w14:paraId="3BCC5E80" w14:textId="28008CC6" w:rsidR="0D311865" w:rsidRPr="008D3032" w:rsidRDefault="12715272" w:rsidP="005E557A">
      <w:pPr>
        <w:jc w:val="both"/>
        <w:rPr>
          <w:rFonts w:eastAsia="Arial" w:cs="Arial"/>
          <w:color w:val="000000" w:themeColor="text1"/>
          <w:sz w:val="22"/>
          <w:szCs w:val="22"/>
        </w:rPr>
      </w:pPr>
      <w:r w:rsidRPr="3D160706">
        <w:rPr>
          <w:rFonts w:eastAsia="Arial" w:cs="Arial"/>
          <w:color w:val="000000" w:themeColor="text1"/>
          <w:sz w:val="22"/>
          <w:szCs w:val="22"/>
        </w:rPr>
        <w:t xml:space="preserve">Given the nature of the </w:t>
      </w:r>
      <w:r w:rsidR="00D215DB" w:rsidRPr="3D160706">
        <w:rPr>
          <w:rFonts w:eastAsia="Arial" w:cs="Arial"/>
          <w:color w:val="000000" w:themeColor="text1"/>
          <w:sz w:val="22"/>
          <w:szCs w:val="22"/>
        </w:rPr>
        <w:t>F</w:t>
      </w:r>
      <w:r w:rsidRPr="3D160706">
        <w:rPr>
          <w:rFonts w:eastAsia="Arial" w:cs="Arial"/>
          <w:color w:val="000000" w:themeColor="text1"/>
          <w:sz w:val="22"/>
          <w:szCs w:val="22"/>
        </w:rPr>
        <w:t xml:space="preserve">und (lending to </w:t>
      </w:r>
      <w:r w:rsidR="00EA44A7" w:rsidRPr="3D160706">
        <w:rPr>
          <w:rFonts w:eastAsia="Arial" w:cs="Arial"/>
          <w:color w:val="000000" w:themeColor="text1"/>
          <w:sz w:val="22"/>
          <w:szCs w:val="22"/>
        </w:rPr>
        <w:t>FIs</w:t>
      </w:r>
      <w:r w:rsidRPr="3D160706">
        <w:rPr>
          <w:rFonts w:eastAsia="Arial" w:cs="Arial"/>
          <w:color w:val="000000" w:themeColor="text1"/>
          <w:sz w:val="22"/>
          <w:szCs w:val="22"/>
        </w:rPr>
        <w:t xml:space="preserve"> who then on-lend to end borrowers) and the complex environments in which the </w:t>
      </w:r>
      <w:r w:rsidR="00D215DB" w:rsidRPr="3D160706">
        <w:rPr>
          <w:rFonts w:eastAsia="Arial" w:cs="Arial"/>
          <w:color w:val="000000" w:themeColor="text1"/>
          <w:sz w:val="22"/>
          <w:szCs w:val="22"/>
        </w:rPr>
        <w:t>F</w:t>
      </w:r>
      <w:r w:rsidRPr="3D160706">
        <w:rPr>
          <w:rFonts w:eastAsia="Arial" w:cs="Arial"/>
          <w:color w:val="000000" w:themeColor="text1"/>
          <w:sz w:val="22"/>
          <w:szCs w:val="22"/>
        </w:rPr>
        <w:t xml:space="preserve">und’s investees and stakeholders operate, the EBF does not attribute the total change happening at outcome and final impact level exclusively to the Fund’s contributions. Instead, the ToC focuses on the processes that are likely to be triggered by the Fund’s activities and how these lead to the final environmental and socio-economic impacts. This analysis draws on evidence from </w:t>
      </w:r>
      <w:r w:rsidR="000D0504" w:rsidRPr="3D160706">
        <w:rPr>
          <w:rFonts w:eastAsia="Arial" w:cs="Arial"/>
          <w:color w:val="000000" w:themeColor="text1"/>
          <w:sz w:val="22"/>
          <w:szCs w:val="22"/>
        </w:rPr>
        <w:t>FIs</w:t>
      </w:r>
      <w:r w:rsidRPr="3D160706">
        <w:rPr>
          <w:rFonts w:eastAsia="Arial" w:cs="Arial"/>
          <w:color w:val="000000" w:themeColor="text1"/>
          <w:sz w:val="22"/>
          <w:szCs w:val="22"/>
        </w:rPr>
        <w:t xml:space="preserve">, industry networks, international institutions, academia, and conservation organisations. </w:t>
      </w:r>
    </w:p>
    <w:p w14:paraId="69582ADA" w14:textId="3D86ECFE" w:rsidR="0D311865" w:rsidRPr="008D3032" w:rsidRDefault="0D311865" w:rsidP="005E557A">
      <w:pPr>
        <w:jc w:val="both"/>
        <w:rPr>
          <w:rFonts w:eastAsia="Arial" w:cs="Arial"/>
          <w:color w:val="000000" w:themeColor="text1"/>
        </w:rPr>
      </w:pPr>
    </w:p>
    <w:p w14:paraId="7DDB1CBF" w14:textId="02801940" w:rsidR="0D311865" w:rsidRPr="008D3032" w:rsidRDefault="12715272" w:rsidP="005E557A">
      <w:pPr>
        <w:jc w:val="both"/>
        <w:rPr>
          <w:rFonts w:eastAsia="Arial" w:cs="Arial"/>
          <w:color w:val="000000" w:themeColor="text1"/>
          <w:sz w:val="22"/>
          <w:szCs w:val="22"/>
        </w:rPr>
      </w:pPr>
      <w:r w:rsidRPr="31D45C84">
        <w:rPr>
          <w:rFonts w:eastAsia="Arial" w:cs="Arial"/>
          <w:color w:val="000000" w:themeColor="text1"/>
          <w:sz w:val="22"/>
          <w:szCs w:val="22"/>
          <w:lang w:val="en-US"/>
        </w:rPr>
        <w:t xml:space="preserve">The Fund’s </w:t>
      </w:r>
      <w:hyperlink r:id="rId14">
        <w:r w:rsidRPr="31D45C84">
          <w:rPr>
            <w:rStyle w:val="Hyperlink"/>
            <w:rFonts w:eastAsia="Arial" w:cs="Arial"/>
            <w:sz w:val="22"/>
            <w:szCs w:val="22"/>
          </w:rPr>
          <w:t>Impact Framework</w:t>
        </w:r>
      </w:hyperlink>
      <w:r w:rsidRPr="31D45C84">
        <w:rPr>
          <w:rFonts w:eastAsia="Arial" w:cs="Arial"/>
          <w:color w:val="000000" w:themeColor="text1"/>
          <w:sz w:val="20"/>
          <w:szCs w:val="20"/>
          <w:lang w:val="en-US"/>
        </w:rPr>
        <w:t xml:space="preserve"> </w:t>
      </w:r>
      <w:r w:rsidRPr="31D45C84">
        <w:rPr>
          <w:rFonts w:eastAsia="Arial" w:cs="Arial"/>
          <w:color w:val="000000" w:themeColor="text1"/>
          <w:sz w:val="22"/>
          <w:szCs w:val="22"/>
          <w:lang w:val="en-US"/>
        </w:rPr>
        <w:t>complements the ToC and illustrates how the Fund meets its objectives by connecting actions to defined outcomes and final impacts. It also maps out how progress is measured and reported.</w:t>
      </w:r>
      <w:r w:rsidR="00B82B9B" w:rsidRPr="31D45C84">
        <w:rPr>
          <w:rFonts w:eastAsia="Arial" w:cs="Arial"/>
          <w:color w:val="000000" w:themeColor="text1"/>
          <w:sz w:val="22"/>
          <w:szCs w:val="22"/>
        </w:rPr>
        <w:t xml:space="preserve"> The Fund</w:t>
      </w:r>
      <w:r w:rsidR="00CD70EB" w:rsidRPr="31D45C84">
        <w:rPr>
          <w:rFonts w:eastAsia="Arial" w:cs="Arial"/>
          <w:color w:val="000000" w:themeColor="text1"/>
          <w:sz w:val="22"/>
          <w:szCs w:val="22"/>
        </w:rPr>
        <w:t xml:space="preserve"> </w:t>
      </w:r>
      <w:r w:rsidR="00EF15A6" w:rsidRPr="31D45C84">
        <w:rPr>
          <w:rFonts w:eastAsia="Arial" w:cs="Arial"/>
          <w:color w:val="000000" w:themeColor="text1"/>
          <w:sz w:val="22"/>
          <w:szCs w:val="22"/>
        </w:rPr>
        <w:t>use</w:t>
      </w:r>
      <w:r w:rsidR="008A4ED4" w:rsidRPr="31D45C84">
        <w:rPr>
          <w:rFonts w:eastAsia="Arial" w:cs="Arial"/>
          <w:color w:val="000000" w:themeColor="text1"/>
          <w:sz w:val="22"/>
          <w:szCs w:val="22"/>
        </w:rPr>
        <w:t>s</w:t>
      </w:r>
      <w:r w:rsidR="00B82B9B" w:rsidRPr="31D45C84">
        <w:rPr>
          <w:rFonts w:eastAsia="Arial" w:cs="Arial"/>
          <w:color w:val="000000" w:themeColor="text1"/>
          <w:sz w:val="22"/>
          <w:szCs w:val="22"/>
        </w:rPr>
        <w:t xml:space="preserve"> its bespoke</w:t>
      </w:r>
      <w:r w:rsidR="00CD70EB" w:rsidRPr="31D45C84">
        <w:rPr>
          <w:rFonts w:eastAsia="Arial" w:cs="Arial"/>
          <w:color w:val="000000" w:themeColor="text1"/>
          <w:sz w:val="22"/>
          <w:szCs w:val="22"/>
        </w:rPr>
        <w:t xml:space="preserve"> Impact Scoring Tool to</w:t>
      </w:r>
      <w:r w:rsidR="004B29BA" w:rsidRPr="31D45C84">
        <w:rPr>
          <w:rFonts w:eastAsia="Arial" w:cs="Arial"/>
          <w:color w:val="000000" w:themeColor="text1"/>
          <w:sz w:val="22"/>
          <w:szCs w:val="22"/>
        </w:rPr>
        <w:t xml:space="preserve"> systematically</w:t>
      </w:r>
      <w:r w:rsidR="00CD70EB" w:rsidRPr="31D45C84">
        <w:rPr>
          <w:rFonts w:eastAsia="Arial" w:cs="Arial"/>
          <w:color w:val="000000" w:themeColor="text1"/>
          <w:sz w:val="22"/>
          <w:szCs w:val="22"/>
        </w:rPr>
        <w:t xml:space="preserve"> evaluate</w:t>
      </w:r>
      <w:r w:rsidR="00B82B9B" w:rsidRPr="31D45C84">
        <w:rPr>
          <w:rFonts w:eastAsia="Arial" w:cs="Arial"/>
          <w:color w:val="000000" w:themeColor="text1"/>
          <w:sz w:val="22"/>
          <w:szCs w:val="22"/>
        </w:rPr>
        <w:t xml:space="preserve"> and monitor</w:t>
      </w:r>
      <w:r w:rsidR="00CD70EB" w:rsidRPr="31D45C84">
        <w:rPr>
          <w:rFonts w:eastAsia="Arial" w:cs="Arial"/>
          <w:color w:val="000000" w:themeColor="text1"/>
          <w:sz w:val="22"/>
          <w:szCs w:val="22"/>
        </w:rPr>
        <w:t xml:space="preserve"> the impact of </w:t>
      </w:r>
      <w:r w:rsidR="00B82B9B" w:rsidRPr="31D45C84">
        <w:rPr>
          <w:rFonts w:eastAsia="Arial" w:cs="Arial"/>
          <w:color w:val="000000" w:themeColor="text1"/>
          <w:sz w:val="22"/>
          <w:szCs w:val="22"/>
        </w:rPr>
        <w:t xml:space="preserve">its </w:t>
      </w:r>
      <w:r w:rsidR="00CD70EB" w:rsidRPr="31D45C84">
        <w:rPr>
          <w:rFonts w:eastAsia="Arial" w:cs="Arial"/>
          <w:color w:val="000000" w:themeColor="text1"/>
          <w:sz w:val="22"/>
          <w:szCs w:val="22"/>
        </w:rPr>
        <w:t xml:space="preserve">investments. It considers the </w:t>
      </w:r>
      <w:r w:rsidR="00810998" w:rsidRPr="31D45C84">
        <w:rPr>
          <w:rFonts w:eastAsia="Arial" w:cs="Arial"/>
          <w:color w:val="000000" w:themeColor="text1"/>
          <w:sz w:val="22"/>
          <w:szCs w:val="22"/>
        </w:rPr>
        <w:t>F</w:t>
      </w:r>
      <w:r w:rsidR="00CD70EB" w:rsidRPr="31D45C84">
        <w:rPr>
          <w:rFonts w:eastAsia="Arial" w:cs="Arial"/>
          <w:color w:val="000000" w:themeColor="text1"/>
          <w:sz w:val="22"/>
          <w:szCs w:val="22"/>
        </w:rPr>
        <w:t xml:space="preserve">und’s impacts on its investees and the final environmental impact supported through its investments. The tool is aligned with industry best practices, including the </w:t>
      </w:r>
      <w:hyperlink r:id="rId15">
        <w:r w:rsidR="00CD70EB" w:rsidRPr="31D45C84">
          <w:rPr>
            <w:rStyle w:val="Hyperlink"/>
            <w:rFonts w:eastAsia="Arial" w:cs="Arial"/>
            <w:sz w:val="22"/>
            <w:szCs w:val="22"/>
          </w:rPr>
          <w:t>five Dimensions of Impact</w:t>
        </w:r>
      </w:hyperlink>
      <w:r w:rsidR="00CD70EB" w:rsidRPr="31D45C84">
        <w:rPr>
          <w:rFonts w:eastAsia="Arial" w:cs="Arial"/>
          <w:color w:val="000000" w:themeColor="text1"/>
          <w:sz w:val="22"/>
          <w:szCs w:val="22"/>
        </w:rPr>
        <w:t>.</w:t>
      </w:r>
      <w:r w:rsidR="00B3101A" w:rsidRPr="31D45C84">
        <w:rPr>
          <w:rFonts w:eastAsia="Arial" w:cs="Arial"/>
          <w:color w:val="000000" w:themeColor="text1"/>
          <w:sz w:val="22"/>
          <w:szCs w:val="22"/>
        </w:rPr>
        <w:t xml:space="preserve"> </w:t>
      </w:r>
      <w:r w:rsidR="0075433C" w:rsidRPr="31D45C84">
        <w:rPr>
          <w:rFonts w:eastAsia="Arial" w:cs="Arial"/>
          <w:color w:val="000000" w:themeColor="text1"/>
          <w:sz w:val="22"/>
          <w:szCs w:val="22"/>
        </w:rPr>
        <w:t xml:space="preserve">In terms of </w:t>
      </w:r>
      <w:r w:rsidR="00B616E1" w:rsidRPr="31D45C84">
        <w:rPr>
          <w:rFonts w:eastAsia="Arial" w:cs="Arial"/>
          <w:color w:val="000000" w:themeColor="text1"/>
          <w:sz w:val="22"/>
          <w:szCs w:val="22"/>
        </w:rPr>
        <w:t>‘who’ is impacted</w:t>
      </w:r>
      <w:r w:rsidR="00CC5204" w:rsidRPr="31D45C84">
        <w:rPr>
          <w:rFonts w:eastAsia="Arial" w:cs="Arial"/>
          <w:color w:val="000000" w:themeColor="text1"/>
          <w:sz w:val="22"/>
          <w:szCs w:val="22"/>
        </w:rPr>
        <w:t xml:space="preserve"> and how poverty is addressed</w:t>
      </w:r>
      <w:r w:rsidR="0075433C" w:rsidRPr="31D45C84">
        <w:rPr>
          <w:rFonts w:eastAsia="Arial" w:cs="Arial"/>
          <w:color w:val="000000" w:themeColor="text1"/>
          <w:sz w:val="22"/>
          <w:szCs w:val="22"/>
        </w:rPr>
        <w:t>, t</w:t>
      </w:r>
      <w:r w:rsidR="00100AA6" w:rsidRPr="31D45C84">
        <w:rPr>
          <w:rFonts w:eastAsia="Arial" w:cs="Arial"/>
          <w:color w:val="000000" w:themeColor="text1"/>
          <w:sz w:val="22"/>
          <w:szCs w:val="22"/>
        </w:rPr>
        <w:t>he Fund’s primary target group are FI</w:t>
      </w:r>
      <w:r w:rsidR="0008079B" w:rsidRPr="31D45C84">
        <w:rPr>
          <w:rFonts w:eastAsia="Arial" w:cs="Arial"/>
          <w:color w:val="000000" w:themeColor="text1"/>
          <w:sz w:val="22"/>
          <w:szCs w:val="22"/>
        </w:rPr>
        <w:t>s</w:t>
      </w:r>
      <w:r w:rsidR="001C3C3E" w:rsidRPr="31D45C84">
        <w:rPr>
          <w:rFonts w:eastAsia="Arial" w:cs="Arial"/>
          <w:color w:val="000000" w:themeColor="text1"/>
          <w:sz w:val="22"/>
          <w:szCs w:val="22"/>
        </w:rPr>
        <w:t>, and through them agri-corporates and agricultural producers</w:t>
      </w:r>
      <w:r w:rsidR="002D01AB" w:rsidRPr="31D45C84">
        <w:rPr>
          <w:rFonts w:eastAsia="Arial" w:cs="Arial"/>
          <w:color w:val="000000" w:themeColor="text1"/>
          <w:sz w:val="22"/>
          <w:szCs w:val="22"/>
        </w:rPr>
        <w:t xml:space="preserve">, traders and processors; </w:t>
      </w:r>
      <w:r w:rsidR="00EF364D" w:rsidRPr="31D45C84">
        <w:rPr>
          <w:rFonts w:eastAsia="Arial" w:cs="Arial"/>
          <w:color w:val="000000" w:themeColor="text1"/>
          <w:sz w:val="22"/>
          <w:szCs w:val="22"/>
        </w:rPr>
        <w:t xml:space="preserve">this funding </w:t>
      </w:r>
      <w:r w:rsidR="00C67155" w:rsidRPr="31D45C84">
        <w:rPr>
          <w:rFonts w:eastAsia="Arial" w:cs="Arial"/>
          <w:color w:val="000000" w:themeColor="text1"/>
          <w:sz w:val="22"/>
          <w:szCs w:val="22"/>
        </w:rPr>
        <w:t xml:space="preserve">in turn </w:t>
      </w:r>
      <w:r w:rsidR="00EF364D" w:rsidRPr="31D45C84">
        <w:rPr>
          <w:rFonts w:eastAsia="Arial" w:cs="Arial"/>
          <w:color w:val="000000" w:themeColor="text1"/>
          <w:sz w:val="22"/>
          <w:szCs w:val="22"/>
        </w:rPr>
        <w:t>benefits</w:t>
      </w:r>
      <w:r w:rsidR="00723117" w:rsidRPr="31D45C84">
        <w:rPr>
          <w:rFonts w:eastAsia="Arial" w:cs="Arial"/>
          <w:color w:val="000000" w:themeColor="text1"/>
          <w:sz w:val="22"/>
          <w:szCs w:val="22"/>
        </w:rPr>
        <w:t xml:space="preserve"> local communities</w:t>
      </w:r>
      <w:r w:rsidR="00C0672D" w:rsidRPr="31D45C84">
        <w:rPr>
          <w:rFonts w:eastAsia="Arial" w:cs="Arial"/>
          <w:color w:val="000000" w:themeColor="text1"/>
          <w:sz w:val="22"/>
          <w:szCs w:val="22"/>
        </w:rPr>
        <w:t xml:space="preserve">, including </w:t>
      </w:r>
      <w:r w:rsidR="00200804" w:rsidRPr="31D45C84">
        <w:rPr>
          <w:rFonts w:eastAsia="Arial" w:cs="Arial"/>
          <w:color w:val="000000" w:themeColor="text1"/>
          <w:sz w:val="22"/>
          <w:szCs w:val="22"/>
        </w:rPr>
        <w:t>women, who</w:t>
      </w:r>
      <w:r w:rsidR="00723117" w:rsidRPr="31D45C84">
        <w:rPr>
          <w:rFonts w:eastAsia="Arial" w:cs="Arial"/>
          <w:color w:val="000000" w:themeColor="text1"/>
          <w:sz w:val="22"/>
          <w:szCs w:val="22"/>
        </w:rPr>
        <w:t xml:space="preserve"> represent a large share of the agricultural labour force</w:t>
      </w:r>
      <w:r w:rsidR="00F33F47" w:rsidRPr="31D45C84">
        <w:rPr>
          <w:rFonts w:eastAsia="Arial" w:cs="Arial"/>
          <w:color w:val="000000" w:themeColor="text1"/>
          <w:sz w:val="22"/>
          <w:szCs w:val="22"/>
        </w:rPr>
        <w:t>.</w:t>
      </w:r>
      <w:r w:rsidR="00F74D25" w:rsidRPr="31D45C84">
        <w:rPr>
          <w:rFonts w:eastAsia="Arial" w:cs="Arial"/>
          <w:color w:val="000000" w:themeColor="text1"/>
          <w:sz w:val="22"/>
          <w:szCs w:val="22"/>
        </w:rPr>
        <w:t xml:space="preserve"> T</w:t>
      </w:r>
      <w:r w:rsidR="006224C1" w:rsidRPr="31D45C84">
        <w:rPr>
          <w:rFonts w:eastAsia="Arial" w:cs="Arial"/>
          <w:color w:val="000000" w:themeColor="text1"/>
          <w:sz w:val="22"/>
          <w:szCs w:val="22"/>
        </w:rPr>
        <w:t>o</w:t>
      </w:r>
      <w:r w:rsidR="00F74D25" w:rsidRPr="31D45C84">
        <w:rPr>
          <w:rFonts w:eastAsia="Arial" w:cs="Arial"/>
          <w:color w:val="000000" w:themeColor="text1"/>
          <w:sz w:val="22"/>
          <w:szCs w:val="22"/>
        </w:rPr>
        <w:t xml:space="preserve"> enhance outreach to smallholder farmers, the Fund also </w:t>
      </w:r>
      <w:r w:rsidR="006224C1" w:rsidRPr="31D45C84">
        <w:rPr>
          <w:rFonts w:eastAsia="Arial" w:cs="Arial"/>
          <w:color w:val="000000" w:themeColor="text1"/>
          <w:sz w:val="22"/>
          <w:szCs w:val="22"/>
        </w:rPr>
        <w:t>partners</w:t>
      </w:r>
      <w:r w:rsidR="00F74D25" w:rsidRPr="31D45C84">
        <w:rPr>
          <w:rFonts w:eastAsia="Arial" w:cs="Arial"/>
          <w:color w:val="000000" w:themeColor="text1"/>
          <w:sz w:val="22"/>
          <w:szCs w:val="22"/>
        </w:rPr>
        <w:t xml:space="preserve"> with F</w:t>
      </w:r>
      <w:r w:rsidR="006224C1" w:rsidRPr="31D45C84">
        <w:rPr>
          <w:rFonts w:eastAsia="Arial" w:cs="Arial"/>
          <w:color w:val="000000" w:themeColor="text1"/>
          <w:sz w:val="22"/>
          <w:szCs w:val="22"/>
        </w:rPr>
        <w:t>I</w:t>
      </w:r>
      <w:r w:rsidR="00F74D25" w:rsidRPr="31D45C84">
        <w:rPr>
          <w:rFonts w:eastAsia="Arial" w:cs="Arial"/>
          <w:color w:val="000000" w:themeColor="text1"/>
          <w:sz w:val="22"/>
          <w:szCs w:val="22"/>
        </w:rPr>
        <w:t xml:space="preserve">s dedicated to </w:t>
      </w:r>
      <w:r w:rsidR="006224C1" w:rsidRPr="31D45C84">
        <w:rPr>
          <w:rFonts w:eastAsia="Arial" w:cs="Arial"/>
          <w:color w:val="000000" w:themeColor="text1"/>
          <w:sz w:val="22"/>
          <w:szCs w:val="22"/>
        </w:rPr>
        <w:t>providing micro-finance, such as Caja Municipal Arequipa in Peru.</w:t>
      </w:r>
    </w:p>
    <w:p w14:paraId="3D87C0DE" w14:textId="7A73B6BD" w:rsidR="16381FB0" w:rsidRPr="008D3032" w:rsidRDefault="16381FB0" w:rsidP="005E557A">
      <w:pPr>
        <w:jc w:val="both"/>
        <w:rPr>
          <w:rFonts w:eastAsia="Arial" w:cs="Arial"/>
          <w:sz w:val="22"/>
          <w:szCs w:val="22"/>
          <w:lang w:val="en-US"/>
        </w:rPr>
      </w:pPr>
    </w:p>
    <w:p w14:paraId="3DEA4163" w14:textId="14232F93" w:rsidR="0D311865" w:rsidRPr="00A54B18" w:rsidRDefault="46CA9E58" w:rsidP="00F66B70">
      <w:pPr>
        <w:jc w:val="both"/>
        <w:rPr>
          <w:rFonts w:eastAsia="Arial" w:cs="Arial"/>
          <w:sz w:val="22"/>
          <w:szCs w:val="22"/>
        </w:rPr>
      </w:pPr>
      <w:r w:rsidRPr="68316884">
        <w:rPr>
          <w:rFonts w:eastAsia="Arial" w:cs="Arial"/>
          <w:sz w:val="22"/>
          <w:szCs w:val="22"/>
        </w:rPr>
        <w:t>EBF</w:t>
      </w:r>
      <w:r w:rsidR="7F0C0882" w:rsidRPr="68316884">
        <w:rPr>
          <w:rFonts w:eastAsia="Arial" w:cs="Arial"/>
          <w:sz w:val="22"/>
          <w:szCs w:val="22"/>
        </w:rPr>
        <w:t xml:space="preserve"> published its </w:t>
      </w:r>
      <w:r w:rsidR="14D36C5B" w:rsidRPr="68316884">
        <w:rPr>
          <w:rFonts w:eastAsia="Arial" w:cs="Arial"/>
          <w:sz w:val="22"/>
          <w:szCs w:val="22"/>
        </w:rPr>
        <w:t xml:space="preserve">sixth </w:t>
      </w:r>
      <w:hyperlink r:id="rId16" w:history="1">
        <w:r w:rsidR="7F0C0882" w:rsidRPr="00571DC0">
          <w:rPr>
            <w:rStyle w:val="Hyperlink"/>
            <w:rFonts w:eastAsia="Arial" w:cs="Arial"/>
            <w:sz w:val="22"/>
            <w:szCs w:val="22"/>
          </w:rPr>
          <w:t>Impact Report</w:t>
        </w:r>
        <w:r w:rsidR="00F34EC8" w:rsidRPr="00571DC0">
          <w:rPr>
            <w:rStyle w:val="Hyperlink"/>
            <w:rFonts w:eastAsia="Arial" w:cs="Arial"/>
            <w:sz w:val="22"/>
            <w:szCs w:val="22"/>
          </w:rPr>
          <w:t xml:space="preserve"> in 202</w:t>
        </w:r>
        <w:r w:rsidR="10C994F7" w:rsidRPr="00571DC0">
          <w:rPr>
            <w:rStyle w:val="Hyperlink"/>
            <w:rFonts w:eastAsia="Arial" w:cs="Arial"/>
            <w:sz w:val="22"/>
            <w:szCs w:val="22"/>
          </w:rPr>
          <w:t>3</w:t>
        </w:r>
      </w:hyperlink>
      <w:r w:rsidR="7F0C0882" w:rsidRPr="68316884">
        <w:rPr>
          <w:rFonts w:eastAsia="Arial" w:cs="Arial"/>
          <w:sz w:val="22"/>
          <w:szCs w:val="22"/>
        </w:rPr>
        <w:t xml:space="preserve">, titled </w:t>
      </w:r>
      <w:r w:rsidRPr="68316884">
        <w:rPr>
          <w:rFonts w:eastAsia="Arial" w:cs="Arial"/>
          <w:sz w:val="22"/>
          <w:szCs w:val="22"/>
        </w:rPr>
        <w:t>‘</w:t>
      </w:r>
      <w:r w:rsidR="1E70DC1D" w:rsidRPr="68316884">
        <w:rPr>
          <w:rFonts w:eastAsia="Arial" w:cs="Arial"/>
          <w:sz w:val="22"/>
          <w:szCs w:val="22"/>
        </w:rPr>
        <w:t>New Horizons</w:t>
      </w:r>
      <w:r w:rsidRPr="68316884">
        <w:rPr>
          <w:rFonts w:eastAsia="Arial" w:cs="Arial"/>
          <w:sz w:val="22"/>
          <w:szCs w:val="22"/>
        </w:rPr>
        <w:t>’,</w:t>
      </w:r>
      <w:r w:rsidR="7F0C0882" w:rsidRPr="68316884">
        <w:rPr>
          <w:rFonts w:eastAsia="Arial" w:cs="Arial"/>
          <w:sz w:val="22"/>
          <w:szCs w:val="22"/>
        </w:rPr>
        <w:t xml:space="preserve"> </w:t>
      </w:r>
      <w:r w:rsidR="00F34EC8" w:rsidRPr="68316884">
        <w:rPr>
          <w:rFonts w:eastAsia="Arial" w:cs="Arial"/>
          <w:sz w:val="22"/>
          <w:szCs w:val="22"/>
        </w:rPr>
        <w:t xml:space="preserve">with a focus on </w:t>
      </w:r>
      <w:r w:rsidR="00331A16" w:rsidRPr="68316884">
        <w:rPr>
          <w:rFonts w:eastAsia="Arial" w:cs="Arial"/>
          <w:sz w:val="22"/>
          <w:szCs w:val="22"/>
        </w:rPr>
        <w:t>increasing</w:t>
      </w:r>
      <w:r w:rsidR="00F34EC8" w:rsidRPr="68316884">
        <w:rPr>
          <w:rFonts w:eastAsia="Arial" w:cs="Arial"/>
          <w:sz w:val="22"/>
          <w:szCs w:val="22"/>
        </w:rPr>
        <w:t xml:space="preserve"> global efforts to tackle biodiversity loss. The Report features</w:t>
      </w:r>
      <w:r w:rsidR="0088189D">
        <w:rPr>
          <w:rFonts w:eastAsia="Arial" w:cs="Arial"/>
          <w:sz w:val="22"/>
          <w:szCs w:val="22"/>
        </w:rPr>
        <w:t xml:space="preserve"> </w:t>
      </w:r>
      <w:r w:rsidR="00F34EC8" w:rsidRPr="68316884">
        <w:rPr>
          <w:rFonts w:eastAsia="Arial" w:cs="Arial"/>
          <w:sz w:val="22"/>
          <w:szCs w:val="22"/>
        </w:rPr>
        <w:t xml:space="preserve">TA projects funded by the </w:t>
      </w:r>
      <w:r w:rsidR="001D6F65" w:rsidRPr="68316884">
        <w:rPr>
          <w:rFonts w:eastAsia="Arial" w:cs="Arial"/>
          <w:sz w:val="22"/>
          <w:szCs w:val="22"/>
        </w:rPr>
        <w:t>DF</w:t>
      </w:r>
      <w:r w:rsidR="00F34EC8" w:rsidRPr="68316884">
        <w:rPr>
          <w:rFonts w:eastAsia="Arial" w:cs="Arial"/>
          <w:sz w:val="22"/>
          <w:szCs w:val="22"/>
        </w:rPr>
        <w:t>, as well as public impact and operating results</w:t>
      </w:r>
      <w:r w:rsidR="7F0C0882" w:rsidRPr="68316884">
        <w:rPr>
          <w:rFonts w:eastAsia="Arial" w:cs="Arial"/>
          <w:sz w:val="22"/>
          <w:szCs w:val="22"/>
        </w:rPr>
        <w:t xml:space="preserve">. </w:t>
      </w:r>
    </w:p>
    <w:p w14:paraId="2EFDE787" w14:textId="47D65D64" w:rsidR="0D311865" w:rsidRDefault="0D311865" w:rsidP="005E557A">
      <w:pPr>
        <w:rPr>
          <w:rFonts w:eastAsia="Arial" w:cs="Arial"/>
          <w:color w:val="FF0000"/>
        </w:rPr>
      </w:pPr>
    </w:p>
    <w:p w14:paraId="30D42A9D" w14:textId="3934A18E" w:rsidR="0044219A" w:rsidRPr="00D01E4F" w:rsidRDefault="00D01E4F" w:rsidP="005E557A">
      <w:pPr>
        <w:rPr>
          <w:rFonts w:eastAsia="Arial" w:cs="Arial"/>
          <w:b/>
          <w:bCs/>
          <w:sz w:val="22"/>
          <w:szCs w:val="22"/>
        </w:rPr>
      </w:pPr>
      <w:r w:rsidRPr="00D01E4F">
        <w:rPr>
          <w:rFonts w:eastAsia="Arial" w:cs="Arial"/>
          <w:b/>
          <w:bCs/>
          <w:sz w:val="22"/>
          <w:szCs w:val="22"/>
        </w:rPr>
        <w:t>Impact Indicators</w:t>
      </w:r>
    </w:p>
    <w:p w14:paraId="2A5F3E07" w14:textId="77777777" w:rsidR="0044219A" w:rsidRPr="00715C4C" w:rsidRDefault="0044219A" w:rsidP="005E557A">
      <w:pPr>
        <w:rPr>
          <w:rFonts w:eastAsia="Arial" w:cs="Arial"/>
          <w:color w:val="FF0000"/>
          <w:sz w:val="22"/>
          <w:szCs w:val="22"/>
        </w:rPr>
      </w:pPr>
    </w:p>
    <w:p w14:paraId="534A8645" w14:textId="3A7A2CB2" w:rsidR="0044219A" w:rsidRPr="00715C4C" w:rsidRDefault="004926D7" w:rsidP="005E557A">
      <w:pPr>
        <w:rPr>
          <w:rFonts w:eastAsia="Arial" w:cs="Arial"/>
          <w:sz w:val="22"/>
          <w:szCs w:val="22"/>
        </w:rPr>
      </w:pPr>
      <w:r w:rsidRPr="638BBF33">
        <w:rPr>
          <w:rFonts w:eastAsia="Arial" w:cs="Arial"/>
          <w:sz w:val="22"/>
          <w:szCs w:val="22"/>
        </w:rPr>
        <w:t xml:space="preserve">Impact indicators are included for the first time in this 2023 AR. </w:t>
      </w:r>
      <w:r w:rsidR="00F4431F" w:rsidRPr="638BBF33">
        <w:rPr>
          <w:rFonts w:eastAsia="Arial" w:cs="Arial"/>
          <w:sz w:val="22"/>
          <w:szCs w:val="22"/>
        </w:rPr>
        <w:t xml:space="preserve">These indicators assess whether EBF drives transformational change in financial and </w:t>
      </w:r>
      <w:r w:rsidR="00C358F7" w:rsidRPr="638BBF33">
        <w:rPr>
          <w:rFonts w:eastAsia="Arial" w:cs="Arial"/>
          <w:sz w:val="22"/>
          <w:szCs w:val="22"/>
        </w:rPr>
        <w:t>land use</w:t>
      </w:r>
      <w:r w:rsidR="00F4431F" w:rsidRPr="638BBF33">
        <w:rPr>
          <w:rFonts w:eastAsia="Arial" w:cs="Arial"/>
          <w:sz w:val="22"/>
          <w:szCs w:val="22"/>
        </w:rPr>
        <w:t xml:space="preserve"> sectors</w:t>
      </w:r>
      <w:r w:rsidR="00B21B90" w:rsidRPr="638BBF33">
        <w:rPr>
          <w:rFonts w:eastAsia="Arial" w:cs="Arial"/>
          <w:sz w:val="22"/>
          <w:szCs w:val="22"/>
        </w:rPr>
        <w:t>,</w:t>
      </w:r>
      <w:r w:rsidR="00F4431F" w:rsidRPr="638BBF33">
        <w:rPr>
          <w:rFonts w:eastAsia="Arial" w:cs="Arial"/>
          <w:sz w:val="22"/>
          <w:szCs w:val="22"/>
        </w:rPr>
        <w:t xml:space="preserve"> that contribute</w:t>
      </w:r>
      <w:r w:rsidR="0042098C" w:rsidRPr="638BBF33">
        <w:rPr>
          <w:rFonts w:eastAsia="Arial" w:cs="Arial"/>
          <w:sz w:val="22"/>
          <w:szCs w:val="22"/>
        </w:rPr>
        <w:t>s</w:t>
      </w:r>
      <w:r w:rsidR="00F4431F" w:rsidRPr="638BBF33">
        <w:rPr>
          <w:rFonts w:eastAsia="Arial" w:cs="Arial"/>
          <w:sz w:val="22"/>
          <w:szCs w:val="22"/>
        </w:rPr>
        <w:t xml:space="preserve"> to biodiversity conservation, sustainable use of natural resources, and climate change mitigation and adaptation.</w:t>
      </w:r>
      <w:r w:rsidR="00167CE7" w:rsidRPr="638BBF33">
        <w:rPr>
          <w:rFonts w:eastAsia="Arial" w:cs="Arial"/>
          <w:sz w:val="22"/>
          <w:szCs w:val="22"/>
        </w:rPr>
        <w:t xml:space="preserve"> </w:t>
      </w:r>
      <w:r w:rsidR="00D3353D" w:rsidRPr="638BBF33">
        <w:rPr>
          <w:rFonts w:eastAsia="Arial" w:cs="Arial"/>
          <w:sz w:val="22"/>
          <w:szCs w:val="22"/>
        </w:rPr>
        <w:t>Indicator 2</w:t>
      </w:r>
      <w:r w:rsidR="006D2ECA" w:rsidRPr="638BBF33">
        <w:rPr>
          <w:rFonts w:eastAsia="Arial" w:cs="Arial"/>
          <w:sz w:val="22"/>
          <w:szCs w:val="22"/>
        </w:rPr>
        <w:t xml:space="preserve">, which </w:t>
      </w:r>
      <w:r w:rsidR="007F17DF" w:rsidRPr="638BBF33">
        <w:rPr>
          <w:rFonts w:eastAsia="Arial" w:cs="Arial"/>
          <w:sz w:val="22"/>
          <w:szCs w:val="22"/>
        </w:rPr>
        <w:t>shows total</w:t>
      </w:r>
      <w:r w:rsidR="00DD1C37" w:rsidRPr="638BBF33">
        <w:rPr>
          <w:rFonts w:eastAsia="Arial" w:cs="Arial"/>
          <w:sz w:val="22"/>
          <w:szCs w:val="22"/>
        </w:rPr>
        <w:t xml:space="preserve"> sustainable lending</w:t>
      </w:r>
      <w:r w:rsidR="00D3353D" w:rsidRPr="638BBF33">
        <w:rPr>
          <w:rFonts w:eastAsia="Arial" w:cs="Arial"/>
          <w:sz w:val="22"/>
          <w:szCs w:val="22"/>
        </w:rPr>
        <w:t xml:space="preserve"> </w:t>
      </w:r>
      <w:r w:rsidR="007F17DF" w:rsidRPr="638BBF33">
        <w:rPr>
          <w:rFonts w:eastAsia="Arial" w:cs="Arial"/>
          <w:sz w:val="22"/>
          <w:szCs w:val="22"/>
        </w:rPr>
        <w:t xml:space="preserve">by FIs working with EBF </w:t>
      </w:r>
      <w:r w:rsidR="00D3353D" w:rsidRPr="638BBF33">
        <w:rPr>
          <w:rFonts w:eastAsia="Arial" w:cs="Arial"/>
          <w:sz w:val="22"/>
          <w:szCs w:val="22"/>
        </w:rPr>
        <w:t xml:space="preserve">has been moved up from </w:t>
      </w:r>
      <w:r w:rsidR="009A0E21" w:rsidRPr="638BBF33">
        <w:rPr>
          <w:rFonts w:eastAsia="Arial" w:cs="Arial"/>
          <w:sz w:val="22"/>
          <w:szCs w:val="22"/>
        </w:rPr>
        <w:t>the Outcome section to mark it</w:t>
      </w:r>
      <w:r w:rsidR="0077292B" w:rsidRPr="638BBF33">
        <w:rPr>
          <w:rFonts w:eastAsia="Arial" w:cs="Arial"/>
          <w:sz w:val="22"/>
          <w:szCs w:val="22"/>
        </w:rPr>
        <w:t xml:space="preserve">s relevance to wider transformational change, and to </w:t>
      </w:r>
      <w:r w:rsidR="009A0E21" w:rsidRPr="638BBF33">
        <w:rPr>
          <w:rFonts w:eastAsia="Arial" w:cs="Arial"/>
          <w:sz w:val="22"/>
          <w:szCs w:val="22"/>
        </w:rPr>
        <w:t xml:space="preserve">replace </w:t>
      </w:r>
      <w:r w:rsidR="00A26E32" w:rsidRPr="638BBF33">
        <w:rPr>
          <w:rFonts w:eastAsia="Arial" w:cs="Arial"/>
          <w:sz w:val="22"/>
          <w:szCs w:val="22"/>
        </w:rPr>
        <w:t xml:space="preserve">two previous indicators on alternative funding </w:t>
      </w:r>
      <w:r w:rsidR="0017091D" w:rsidRPr="638BBF33">
        <w:rPr>
          <w:rFonts w:eastAsia="Arial" w:cs="Arial"/>
          <w:sz w:val="22"/>
          <w:szCs w:val="22"/>
        </w:rPr>
        <w:t xml:space="preserve">sources </w:t>
      </w:r>
      <w:r w:rsidR="00820ADB" w:rsidRPr="638BBF33">
        <w:rPr>
          <w:rFonts w:eastAsia="Arial" w:cs="Arial"/>
          <w:sz w:val="22"/>
          <w:szCs w:val="22"/>
        </w:rPr>
        <w:t>for which data was unavailable</w:t>
      </w:r>
      <w:r w:rsidR="009A0E21" w:rsidRPr="638BBF33">
        <w:rPr>
          <w:rFonts w:eastAsia="Arial" w:cs="Arial"/>
          <w:sz w:val="22"/>
          <w:szCs w:val="22"/>
        </w:rPr>
        <w:t xml:space="preserve">. </w:t>
      </w:r>
      <w:r w:rsidR="00167CE7" w:rsidRPr="638BBF33">
        <w:rPr>
          <w:rFonts w:eastAsia="Arial" w:cs="Arial"/>
          <w:sz w:val="22"/>
          <w:szCs w:val="22"/>
        </w:rPr>
        <w:t>In late 2022</w:t>
      </w:r>
      <w:r w:rsidR="5FA0048C" w:rsidRPr="638BBF33">
        <w:rPr>
          <w:rFonts w:eastAsia="Arial" w:cs="Arial"/>
          <w:sz w:val="22"/>
          <w:szCs w:val="22"/>
        </w:rPr>
        <w:t>,</w:t>
      </w:r>
      <w:r w:rsidR="00167CE7" w:rsidRPr="638BBF33">
        <w:rPr>
          <w:rFonts w:eastAsia="Arial" w:cs="Arial"/>
          <w:sz w:val="22"/>
          <w:szCs w:val="22"/>
        </w:rPr>
        <w:t xml:space="preserve"> FiM and Defra</w:t>
      </w:r>
      <w:r w:rsidR="00FB78EC" w:rsidRPr="638BBF33">
        <w:rPr>
          <w:rFonts w:eastAsia="Arial" w:cs="Arial"/>
          <w:sz w:val="22"/>
          <w:szCs w:val="22"/>
        </w:rPr>
        <w:t xml:space="preserve"> agreed a methodology for KPI 15</w:t>
      </w:r>
      <w:r w:rsidR="005B6650" w:rsidRPr="638BBF33">
        <w:rPr>
          <w:rFonts w:eastAsia="Arial" w:cs="Arial"/>
          <w:sz w:val="22"/>
          <w:szCs w:val="22"/>
        </w:rPr>
        <w:t xml:space="preserve">, allowing a first </w:t>
      </w:r>
      <w:r w:rsidR="00380FFA" w:rsidRPr="638BBF33">
        <w:rPr>
          <w:rFonts w:eastAsia="Arial" w:cs="Arial"/>
          <w:sz w:val="22"/>
          <w:szCs w:val="22"/>
        </w:rPr>
        <w:t>score</w:t>
      </w:r>
      <w:r w:rsidR="0035486D" w:rsidRPr="638BBF33">
        <w:rPr>
          <w:rFonts w:eastAsia="Arial" w:cs="Arial"/>
          <w:sz w:val="22"/>
          <w:szCs w:val="22"/>
        </w:rPr>
        <w:t xml:space="preserve"> </w:t>
      </w:r>
      <w:r w:rsidR="00820ADB" w:rsidRPr="638BBF33">
        <w:rPr>
          <w:rFonts w:eastAsia="Arial" w:cs="Arial"/>
          <w:sz w:val="22"/>
          <w:szCs w:val="22"/>
        </w:rPr>
        <w:t xml:space="preserve">for overall transformational change </w:t>
      </w:r>
      <w:r w:rsidR="0035486D" w:rsidRPr="638BBF33">
        <w:rPr>
          <w:rFonts w:eastAsia="Arial" w:cs="Arial"/>
          <w:sz w:val="22"/>
          <w:szCs w:val="22"/>
        </w:rPr>
        <w:t xml:space="preserve">to be </w:t>
      </w:r>
      <w:r w:rsidR="002435F7" w:rsidRPr="638BBF33">
        <w:rPr>
          <w:rFonts w:eastAsia="Arial" w:cs="Arial"/>
          <w:sz w:val="22"/>
          <w:szCs w:val="22"/>
        </w:rPr>
        <w:t>given</w:t>
      </w:r>
      <w:r w:rsidR="0035486D" w:rsidRPr="638BBF33">
        <w:rPr>
          <w:rFonts w:eastAsia="Arial" w:cs="Arial"/>
          <w:sz w:val="22"/>
          <w:szCs w:val="22"/>
        </w:rPr>
        <w:t xml:space="preserve"> for 2023.</w:t>
      </w:r>
    </w:p>
    <w:p w14:paraId="4869993D" w14:textId="77777777" w:rsidR="0044219A" w:rsidRPr="00715C4C" w:rsidRDefault="0044219A" w:rsidP="005E557A">
      <w:pPr>
        <w:rPr>
          <w:rFonts w:eastAsia="Arial" w:cs="Arial"/>
          <w:color w:val="FF0000"/>
          <w:sz w:val="22"/>
          <w:szCs w:val="22"/>
        </w:rPr>
      </w:pPr>
    </w:p>
    <w:tbl>
      <w:tblPr>
        <w:tblStyle w:val="TableGrid"/>
        <w:tblpPr w:leftFromText="180" w:rightFromText="180" w:vertAnchor="text" w:horzAnchor="margin" w:tblpXSpec="center" w:tblpY="8"/>
        <w:tblOverlap w:val="never"/>
        <w:tblW w:w="11062" w:type="dxa"/>
        <w:tblLayout w:type="fixed"/>
        <w:tblLook w:val="04A0" w:firstRow="1" w:lastRow="0" w:firstColumn="1" w:lastColumn="0" w:noHBand="0" w:noVBand="1"/>
      </w:tblPr>
      <w:tblGrid>
        <w:gridCol w:w="5675"/>
        <w:gridCol w:w="1691"/>
        <w:gridCol w:w="1843"/>
        <w:gridCol w:w="1853"/>
      </w:tblGrid>
      <w:tr w:rsidR="00114095" w:rsidRPr="008B73F2" w14:paraId="43BE2636" w14:textId="77777777" w:rsidTr="07FC4C9B">
        <w:trPr>
          <w:trHeight w:val="300"/>
        </w:trPr>
        <w:tc>
          <w:tcPr>
            <w:tcW w:w="5675" w:type="dxa"/>
            <w:shd w:val="clear" w:color="auto" w:fill="D9E2F3" w:themeFill="accent1" w:themeFillTint="33"/>
          </w:tcPr>
          <w:p w14:paraId="67F2B8D6" w14:textId="472D63BD" w:rsidR="00114095" w:rsidRPr="008B73F2" w:rsidRDefault="00E17976" w:rsidP="005D7D44">
            <w:pPr>
              <w:pStyle w:val="Normal1"/>
              <w:spacing w:after="120"/>
              <w:rPr>
                <w:b/>
                <w:bCs/>
                <w:sz w:val="20"/>
                <w:szCs w:val="20"/>
              </w:rPr>
            </w:pPr>
            <w:r>
              <w:rPr>
                <w:b/>
                <w:bCs/>
                <w:sz w:val="20"/>
                <w:szCs w:val="20"/>
              </w:rPr>
              <w:t>Impact</w:t>
            </w:r>
            <w:r w:rsidR="00114095" w:rsidRPr="008B73F2">
              <w:rPr>
                <w:b/>
                <w:bCs/>
                <w:sz w:val="20"/>
                <w:szCs w:val="20"/>
              </w:rPr>
              <w:t xml:space="preserve"> indicator </w:t>
            </w:r>
            <w:r w:rsidR="00114095">
              <w:rPr>
                <w:b/>
                <w:bCs/>
                <w:sz w:val="20"/>
                <w:szCs w:val="20"/>
              </w:rPr>
              <w:t>(cumulative</w:t>
            </w:r>
            <w:r w:rsidR="00E25506">
              <w:rPr>
                <w:b/>
                <w:bCs/>
                <w:sz w:val="20"/>
                <w:szCs w:val="20"/>
              </w:rPr>
              <w:t>, in-year change in brackets</w:t>
            </w:r>
            <w:r w:rsidR="00114095">
              <w:rPr>
                <w:b/>
                <w:bCs/>
                <w:sz w:val="20"/>
                <w:szCs w:val="20"/>
              </w:rPr>
              <w:t>)</w:t>
            </w:r>
          </w:p>
        </w:tc>
        <w:tc>
          <w:tcPr>
            <w:tcW w:w="1691" w:type="dxa"/>
            <w:shd w:val="clear" w:color="auto" w:fill="D9E2F3" w:themeFill="accent1" w:themeFillTint="33"/>
          </w:tcPr>
          <w:p w14:paraId="5B39BAFC" w14:textId="16FEB221" w:rsidR="00114095" w:rsidRPr="008B73F2" w:rsidRDefault="00114095" w:rsidP="005D7D44">
            <w:pPr>
              <w:pStyle w:val="Normal1"/>
              <w:spacing w:after="120"/>
              <w:rPr>
                <w:b/>
                <w:bCs/>
                <w:sz w:val="20"/>
                <w:szCs w:val="20"/>
              </w:rPr>
            </w:pPr>
            <w:r>
              <w:rPr>
                <w:b/>
                <w:bCs/>
                <w:sz w:val="20"/>
                <w:szCs w:val="20"/>
              </w:rPr>
              <w:t>Achieved 2022</w:t>
            </w:r>
            <w:r w:rsidRPr="008B73F2">
              <w:rPr>
                <w:b/>
                <w:bCs/>
                <w:sz w:val="20"/>
                <w:szCs w:val="20"/>
              </w:rPr>
              <w:t xml:space="preserve"> </w:t>
            </w:r>
            <w:r w:rsidRPr="008B73F2">
              <w:rPr>
                <w:sz w:val="20"/>
                <w:szCs w:val="20"/>
              </w:rPr>
              <w:t>(cumulative fund level)</w:t>
            </w:r>
          </w:p>
        </w:tc>
        <w:tc>
          <w:tcPr>
            <w:tcW w:w="1843" w:type="dxa"/>
            <w:shd w:val="clear" w:color="auto" w:fill="D9E2F3" w:themeFill="accent1" w:themeFillTint="33"/>
          </w:tcPr>
          <w:p w14:paraId="65A9E167" w14:textId="74DC54BA" w:rsidR="00114095" w:rsidRPr="008B73F2" w:rsidRDefault="00114095" w:rsidP="005D7D44">
            <w:pPr>
              <w:pStyle w:val="Normal1"/>
              <w:spacing w:after="120"/>
              <w:rPr>
                <w:b/>
                <w:bCs/>
                <w:sz w:val="20"/>
                <w:szCs w:val="20"/>
              </w:rPr>
            </w:pPr>
            <w:r w:rsidRPr="008B73F2">
              <w:rPr>
                <w:b/>
                <w:bCs/>
                <w:sz w:val="20"/>
                <w:szCs w:val="20"/>
              </w:rPr>
              <w:t>Defra Target 202</w:t>
            </w:r>
            <w:r>
              <w:rPr>
                <w:b/>
                <w:bCs/>
                <w:sz w:val="20"/>
                <w:szCs w:val="20"/>
              </w:rPr>
              <w:t>3</w:t>
            </w:r>
            <w:r w:rsidRPr="008B73F2">
              <w:rPr>
                <w:b/>
                <w:bCs/>
                <w:sz w:val="20"/>
                <w:szCs w:val="20"/>
              </w:rPr>
              <w:t xml:space="preserve"> </w:t>
            </w:r>
            <w:r w:rsidRPr="008B73F2">
              <w:rPr>
                <w:sz w:val="20"/>
                <w:szCs w:val="20"/>
              </w:rPr>
              <w:t>(cumulative fund level)</w:t>
            </w:r>
          </w:p>
        </w:tc>
        <w:tc>
          <w:tcPr>
            <w:tcW w:w="1853" w:type="dxa"/>
            <w:shd w:val="clear" w:color="auto" w:fill="D9E2F3" w:themeFill="accent1" w:themeFillTint="33"/>
          </w:tcPr>
          <w:p w14:paraId="41390954" w14:textId="1F59491D" w:rsidR="00114095" w:rsidRPr="008B73F2" w:rsidRDefault="3F67C0F1" w:rsidP="005D7D44">
            <w:pPr>
              <w:pStyle w:val="Normal1"/>
              <w:spacing w:after="120"/>
              <w:rPr>
                <w:b/>
                <w:bCs/>
                <w:sz w:val="20"/>
                <w:szCs w:val="20"/>
              </w:rPr>
            </w:pPr>
            <w:r w:rsidRPr="68316884">
              <w:rPr>
                <w:b/>
                <w:bCs/>
                <w:sz w:val="20"/>
                <w:szCs w:val="20"/>
              </w:rPr>
              <w:t>Achieved 2023</w:t>
            </w:r>
            <w:r w:rsidRPr="68316884">
              <w:rPr>
                <w:sz w:val="20"/>
                <w:szCs w:val="20"/>
              </w:rPr>
              <w:t xml:space="preserve"> (cumulative fund level)</w:t>
            </w:r>
          </w:p>
        </w:tc>
      </w:tr>
      <w:tr w:rsidR="00114095" w:rsidRPr="008B73F2" w14:paraId="10489BB0" w14:textId="77777777" w:rsidTr="07FC4C9B">
        <w:trPr>
          <w:trHeight w:val="304"/>
        </w:trPr>
        <w:tc>
          <w:tcPr>
            <w:tcW w:w="5675" w:type="dxa"/>
          </w:tcPr>
          <w:p w14:paraId="70CCC333" w14:textId="4CE10389" w:rsidR="00114095" w:rsidRPr="00A80CB1" w:rsidRDefault="00A80CB1" w:rsidP="00674C5F">
            <w:pPr>
              <w:pStyle w:val="Normal1"/>
              <w:numPr>
                <w:ilvl w:val="0"/>
                <w:numId w:val="12"/>
              </w:numPr>
              <w:spacing w:after="120"/>
              <w:rPr>
                <w:sz w:val="20"/>
                <w:szCs w:val="20"/>
              </w:rPr>
            </w:pPr>
            <w:r w:rsidRPr="00A80CB1">
              <w:rPr>
                <w:sz w:val="20"/>
                <w:szCs w:val="20"/>
              </w:rPr>
              <w:t>Sustained and increased levels of funding in impact investment funds in Latin America</w:t>
            </w:r>
            <w:r>
              <w:rPr>
                <w:sz w:val="20"/>
                <w:szCs w:val="20"/>
              </w:rPr>
              <w:t xml:space="preserve"> ($m)</w:t>
            </w:r>
          </w:p>
        </w:tc>
        <w:tc>
          <w:tcPr>
            <w:tcW w:w="1691" w:type="dxa"/>
            <w:vAlign w:val="center"/>
          </w:tcPr>
          <w:p w14:paraId="669B738E" w14:textId="23BC2144" w:rsidR="00114095" w:rsidRPr="00D84924" w:rsidRDefault="00A80CB1" w:rsidP="00C97DA6">
            <w:pPr>
              <w:pStyle w:val="Normal1"/>
              <w:spacing w:after="120"/>
              <w:jc w:val="center"/>
              <w:rPr>
                <w:i/>
                <w:iCs/>
                <w:sz w:val="20"/>
                <w:szCs w:val="20"/>
              </w:rPr>
            </w:pPr>
            <w:r w:rsidRPr="00D84924">
              <w:rPr>
                <w:i/>
                <w:iCs/>
                <w:sz w:val="20"/>
                <w:szCs w:val="20"/>
              </w:rPr>
              <w:t>650.5</w:t>
            </w:r>
          </w:p>
        </w:tc>
        <w:tc>
          <w:tcPr>
            <w:tcW w:w="1843" w:type="dxa"/>
            <w:vAlign w:val="center"/>
          </w:tcPr>
          <w:p w14:paraId="7A6976B5" w14:textId="19470284" w:rsidR="00114095" w:rsidRPr="008B73F2" w:rsidRDefault="00A80CB1" w:rsidP="00C97DA6">
            <w:pPr>
              <w:pStyle w:val="Normal1"/>
              <w:spacing w:after="120"/>
              <w:jc w:val="center"/>
              <w:rPr>
                <w:sz w:val="20"/>
                <w:szCs w:val="20"/>
              </w:rPr>
            </w:pPr>
            <w:r>
              <w:rPr>
                <w:sz w:val="20"/>
                <w:szCs w:val="20"/>
              </w:rPr>
              <w:t>700</w:t>
            </w:r>
          </w:p>
        </w:tc>
        <w:tc>
          <w:tcPr>
            <w:tcW w:w="1853" w:type="dxa"/>
            <w:shd w:val="clear" w:color="auto" w:fill="FF0000"/>
            <w:vAlign w:val="center"/>
          </w:tcPr>
          <w:p w14:paraId="3AFBEF45" w14:textId="7262B6DE" w:rsidR="00114095" w:rsidRPr="008B73F2" w:rsidRDefault="5F72FE8A" w:rsidP="00C97DA6">
            <w:pPr>
              <w:pStyle w:val="Normal1"/>
              <w:spacing w:after="120"/>
              <w:jc w:val="center"/>
              <w:rPr>
                <w:sz w:val="20"/>
                <w:szCs w:val="20"/>
              </w:rPr>
            </w:pPr>
            <w:r w:rsidRPr="07FC4C9B">
              <w:rPr>
                <w:sz w:val="20"/>
                <w:szCs w:val="20"/>
              </w:rPr>
              <w:t>644.</w:t>
            </w:r>
            <w:r w:rsidR="344893AE" w:rsidRPr="07FC4C9B">
              <w:rPr>
                <w:sz w:val="20"/>
                <w:szCs w:val="20"/>
              </w:rPr>
              <w:t>4</w:t>
            </w:r>
            <w:r w:rsidR="00FA3EEE">
              <w:rPr>
                <w:sz w:val="20"/>
                <w:szCs w:val="20"/>
              </w:rPr>
              <w:t xml:space="preserve"> (-</w:t>
            </w:r>
            <w:r w:rsidR="009F6BCF">
              <w:rPr>
                <w:sz w:val="20"/>
                <w:szCs w:val="20"/>
              </w:rPr>
              <w:t>6.1)</w:t>
            </w:r>
          </w:p>
        </w:tc>
      </w:tr>
      <w:tr w:rsidR="00114095" w:rsidRPr="008B73F2" w14:paraId="227A861B" w14:textId="77777777" w:rsidTr="07FC4C9B">
        <w:trPr>
          <w:trHeight w:val="305"/>
        </w:trPr>
        <w:tc>
          <w:tcPr>
            <w:tcW w:w="5675" w:type="dxa"/>
          </w:tcPr>
          <w:p w14:paraId="4C896256" w14:textId="74D83F30" w:rsidR="00114095" w:rsidRPr="003D6869" w:rsidRDefault="00114095" w:rsidP="00674C5F">
            <w:pPr>
              <w:pStyle w:val="Normal1"/>
              <w:numPr>
                <w:ilvl w:val="0"/>
                <w:numId w:val="12"/>
              </w:numPr>
              <w:spacing w:after="120"/>
              <w:rPr>
                <w:sz w:val="20"/>
                <w:szCs w:val="20"/>
              </w:rPr>
            </w:pPr>
            <w:r w:rsidRPr="003D6869">
              <w:rPr>
                <w:sz w:val="20"/>
                <w:szCs w:val="20"/>
              </w:rPr>
              <w:lastRenderedPageBreak/>
              <w:t>Level of funding provided by FIs to businesses that adopt sustainable practices ($m)</w:t>
            </w:r>
          </w:p>
        </w:tc>
        <w:tc>
          <w:tcPr>
            <w:tcW w:w="1691" w:type="dxa"/>
            <w:vAlign w:val="center"/>
          </w:tcPr>
          <w:p w14:paraId="3A812231" w14:textId="7D7F3D34" w:rsidR="00114095" w:rsidRPr="00D84924" w:rsidRDefault="00C97DA6" w:rsidP="00C97DA6">
            <w:pPr>
              <w:pStyle w:val="Normal1"/>
              <w:spacing w:after="120"/>
              <w:jc w:val="center"/>
              <w:rPr>
                <w:i/>
                <w:iCs/>
                <w:sz w:val="20"/>
                <w:szCs w:val="20"/>
              </w:rPr>
            </w:pPr>
            <w:r w:rsidRPr="00D84924">
              <w:rPr>
                <w:i/>
                <w:iCs/>
                <w:sz w:val="20"/>
                <w:szCs w:val="20"/>
              </w:rPr>
              <w:t>3,430</w:t>
            </w:r>
          </w:p>
        </w:tc>
        <w:tc>
          <w:tcPr>
            <w:tcW w:w="1843" w:type="dxa"/>
            <w:vAlign w:val="center"/>
          </w:tcPr>
          <w:p w14:paraId="4D8E6E4F" w14:textId="0B1DA9AA" w:rsidR="00114095" w:rsidRPr="008B73F2" w:rsidRDefault="5DDD7116" w:rsidP="00C97DA6">
            <w:pPr>
              <w:pStyle w:val="Normal1"/>
              <w:spacing w:after="120"/>
              <w:jc w:val="center"/>
              <w:rPr>
                <w:sz w:val="20"/>
                <w:szCs w:val="20"/>
              </w:rPr>
            </w:pPr>
            <w:r w:rsidRPr="68316884">
              <w:rPr>
                <w:sz w:val="20"/>
                <w:szCs w:val="20"/>
              </w:rPr>
              <w:t>3</w:t>
            </w:r>
            <w:r w:rsidR="470B5F01" w:rsidRPr="68316884">
              <w:rPr>
                <w:sz w:val="20"/>
                <w:szCs w:val="20"/>
              </w:rPr>
              <w:t>,</w:t>
            </w:r>
            <w:r w:rsidRPr="68316884">
              <w:rPr>
                <w:sz w:val="20"/>
                <w:szCs w:val="20"/>
              </w:rPr>
              <w:t>7</w:t>
            </w:r>
            <w:r w:rsidR="3F67C0F1" w:rsidRPr="68316884">
              <w:rPr>
                <w:sz w:val="20"/>
                <w:szCs w:val="20"/>
              </w:rPr>
              <w:t>00</w:t>
            </w:r>
          </w:p>
        </w:tc>
        <w:tc>
          <w:tcPr>
            <w:tcW w:w="1853" w:type="dxa"/>
            <w:shd w:val="clear" w:color="auto" w:fill="A8D08D" w:themeFill="accent6" w:themeFillTint="99"/>
            <w:vAlign w:val="center"/>
          </w:tcPr>
          <w:p w14:paraId="6C2AAA35" w14:textId="5C4BBB77" w:rsidR="00114095" w:rsidRPr="008B73F2" w:rsidRDefault="6789A2EE" w:rsidP="00C97DA6">
            <w:pPr>
              <w:pStyle w:val="Normal1"/>
              <w:spacing w:after="120"/>
              <w:jc w:val="center"/>
              <w:rPr>
                <w:sz w:val="20"/>
                <w:szCs w:val="20"/>
              </w:rPr>
            </w:pPr>
            <w:r w:rsidRPr="68316884">
              <w:rPr>
                <w:sz w:val="20"/>
                <w:szCs w:val="20"/>
              </w:rPr>
              <w:t>3,980</w:t>
            </w:r>
            <w:r w:rsidR="00FA3EEE">
              <w:rPr>
                <w:sz w:val="20"/>
                <w:szCs w:val="20"/>
              </w:rPr>
              <w:t xml:space="preserve"> (+550)</w:t>
            </w:r>
          </w:p>
        </w:tc>
      </w:tr>
      <w:tr w:rsidR="00114095" w:rsidRPr="008B73F2" w14:paraId="31ACB00A" w14:textId="77777777" w:rsidTr="07FC4C9B">
        <w:trPr>
          <w:trHeight w:val="221"/>
        </w:trPr>
        <w:tc>
          <w:tcPr>
            <w:tcW w:w="5675" w:type="dxa"/>
          </w:tcPr>
          <w:p w14:paraId="51776E55" w14:textId="75148878" w:rsidR="00114095" w:rsidRPr="008B73F2" w:rsidRDefault="003D6869" w:rsidP="00674C5F">
            <w:pPr>
              <w:pStyle w:val="Normal1"/>
              <w:numPr>
                <w:ilvl w:val="0"/>
                <w:numId w:val="12"/>
              </w:numPr>
              <w:spacing w:after="120"/>
              <w:rPr>
                <w:sz w:val="20"/>
                <w:szCs w:val="20"/>
              </w:rPr>
            </w:pPr>
            <w:r w:rsidRPr="003D6869">
              <w:rPr>
                <w:sz w:val="20"/>
                <w:szCs w:val="20"/>
              </w:rPr>
              <w:t xml:space="preserve">Number of </w:t>
            </w:r>
            <w:r w:rsidR="00FC2300">
              <w:rPr>
                <w:sz w:val="20"/>
                <w:szCs w:val="20"/>
              </w:rPr>
              <w:t>FIs</w:t>
            </w:r>
            <w:r w:rsidRPr="003D6869">
              <w:rPr>
                <w:sz w:val="20"/>
                <w:szCs w:val="20"/>
              </w:rPr>
              <w:t xml:space="preserve"> within Latin America using lessons learned from </w:t>
            </w:r>
            <w:r w:rsidR="00CF571F">
              <w:rPr>
                <w:sz w:val="20"/>
                <w:szCs w:val="20"/>
              </w:rPr>
              <w:t>EBF’s</w:t>
            </w:r>
            <w:r w:rsidRPr="003D6869">
              <w:rPr>
                <w:sz w:val="20"/>
                <w:szCs w:val="20"/>
              </w:rPr>
              <w:t xml:space="preserve"> approach</w:t>
            </w:r>
          </w:p>
        </w:tc>
        <w:tc>
          <w:tcPr>
            <w:tcW w:w="1691" w:type="dxa"/>
            <w:vAlign w:val="center"/>
          </w:tcPr>
          <w:p w14:paraId="4011072B" w14:textId="5F437F7C" w:rsidR="00114095" w:rsidRPr="00D84924" w:rsidRDefault="00BE3B19" w:rsidP="00C97DA6">
            <w:pPr>
              <w:pStyle w:val="Normal1"/>
              <w:spacing w:after="120"/>
              <w:jc w:val="center"/>
              <w:rPr>
                <w:i/>
                <w:iCs/>
                <w:sz w:val="20"/>
                <w:szCs w:val="20"/>
              </w:rPr>
            </w:pPr>
            <w:r w:rsidRPr="00D84924">
              <w:rPr>
                <w:i/>
                <w:iCs/>
                <w:sz w:val="20"/>
                <w:szCs w:val="20"/>
              </w:rPr>
              <w:t>25</w:t>
            </w:r>
          </w:p>
        </w:tc>
        <w:tc>
          <w:tcPr>
            <w:tcW w:w="1843" w:type="dxa"/>
            <w:vAlign w:val="center"/>
          </w:tcPr>
          <w:p w14:paraId="6DD09961" w14:textId="056F97F2" w:rsidR="00114095" w:rsidRPr="008B73F2" w:rsidRDefault="00BE3B19" w:rsidP="00C97DA6">
            <w:pPr>
              <w:pStyle w:val="Normal1"/>
              <w:spacing w:after="120"/>
              <w:jc w:val="center"/>
              <w:rPr>
                <w:sz w:val="20"/>
                <w:szCs w:val="20"/>
              </w:rPr>
            </w:pPr>
            <w:r>
              <w:rPr>
                <w:sz w:val="20"/>
                <w:szCs w:val="20"/>
              </w:rPr>
              <w:t>28</w:t>
            </w:r>
          </w:p>
        </w:tc>
        <w:tc>
          <w:tcPr>
            <w:tcW w:w="1853" w:type="dxa"/>
            <w:shd w:val="clear" w:color="auto" w:fill="A8D08D" w:themeFill="accent6" w:themeFillTint="99"/>
            <w:vAlign w:val="center"/>
          </w:tcPr>
          <w:p w14:paraId="76990AA8" w14:textId="06AB0EE6" w:rsidR="00114095" w:rsidRPr="008B73F2" w:rsidRDefault="18BA555B" w:rsidP="00C97DA6">
            <w:pPr>
              <w:pStyle w:val="Normal1"/>
              <w:spacing w:after="120"/>
              <w:jc w:val="center"/>
              <w:rPr>
                <w:sz w:val="20"/>
                <w:szCs w:val="20"/>
              </w:rPr>
            </w:pPr>
            <w:r w:rsidRPr="68316884">
              <w:rPr>
                <w:sz w:val="20"/>
                <w:szCs w:val="20"/>
              </w:rPr>
              <w:t>28</w:t>
            </w:r>
            <w:r w:rsidR="00E25506">
              <w:rPr>
                <w:sz w:val="20"/>
                <w:szCs w:val="20"/>
              </w:rPr>
              <w:t xml:space="preserve"> (+3)</w:t>
            </w:r>
          </w:p>
        </w:tc>
      </w:tr>
      <w:tr w:rsidR="003D6869" w:rsidRPr="008B73F2" w14:paraId="4C60D71E" w14:textId="77777777" w:rsidTr="07FC4C9B">
        <w:trPr>
          <w:trHeight w:val="221"/>
        </w:trPr>
        <w:tc>
          <w:tcPr>
            <w:tcW w:w="5675" w:type="dxa"/>
          </w:tcPr>
          <w:p w14:paraId="55B0FB7F" w14:textId="10577035" w:rsidR="003D6869" w:rsidRPr="008B73F2" w:rsidRDefault="00A20583" w:rsidP="00674C5F">
            <w:pPr>
              <w:pStyle w:val="Normal1"/>
              <w:numPr>
                <w:ilvl w:val="0"/>
                <w:numId w:val="12"/>
              </w:numPr>
              <w:spacing w:after="120"/>
              <w:rPr>
                <w:sz w:val="20"/>
                <w:szCs w:val="20"/>
              </w:rPr>
            </w:pPr>
            <w:r w:rsidRPr="00A20583">
              <w:rPr>
                <w:sz w:val="20"/>
                <w:szCs w:val="20"/>
              </w:rPr>
              <w:t>Extent to which ICF intervention is likely to lead to Transformational Chang</w:t>
            </w:r>
            <w:r>
              <w:rPr>
                <w:sz w:val="20"/>
                <w:szCs w:val="20"/>
              </w:rPr>
              <w:t>e</w:t>
            </w:r>
            <w:r w:rsidRPr="00A20583">
              <w:rPr>
                <w:sz w:val="20"/>
                <w:szCs w:val="20"/>
              </w:rPr>
              <w:t xml:space="preserve"> </w:t>
            </w:r>
            <w:r>
              <w:rPr>
                <w:sz w:val="20"/>
                <w:szCs w:val="20"/>
              </w:rPr>
              <w:t>(</w:t>
            </w:r>
            <w:r w:rsidRPr="00A20583">
              <w:rPr>
                <w:sz w:val="20"/>
                <w:szCs w:val="20"/>
              </w:rPr>
              <w:t>KPI 15</w:t>
            </w:r>
            <w:r>
              <w:rPr>
                <w:sz w:val="20"/>
                <w:szCs w:val="20"/>
              </w:rPr>
              <w:t>)</w:t>
            </w:r>
          </w:p>
        </w:tc>
        <w:tc>
          <w:tcPr>
            <w:tcW w:w="1691" w:type="dxa"/>
            <w:vAlign w:val="center"/>
          </w:tcPr>
          <w:p w14:paraId="01AD1CAB" w14:textId="3B14BB44" w:rsidR="003D6869" w:rsidRPr="00D84924" w:rsidRDefault="00BE3B19" w:rsidP="00C97DA6">
            <w:pPr>
              <w:pStyle w:val="Normal1"/>
              <w:spacing w:after="120"/>
              <w:jc w:val="center"/>
              <w:rPr>
                <w:i/>
                <w:iCs/>
                <w:sz w:val="20"/>
                <w:szCs w:val="20"/>
              </w:rPr>
            </w:pPr>
            <w:r w:rsidRPr="00D84924">
              <w:rPr>
                <w:i/>
                <w:iCs/>
                <w:sz w:val="20"/>
                <w:szCs w:val="20"/>
              </w:rPr>
              <w:t>n/a</w:t>
            </w:r>
          </w:p>
        </w:tc>
        <w:tc>
          <w:tcPr>
            <w:tcW w:w="1843" w:type="dxa"/>
            <w:vAlign w:val="center"/>
          </w:tcPr>
          <w:p w14:paraId="69318451" w14:textId="054ACE59" w:rsidR="003D6869" w:rsidRPr="008B73F2" w:rsidRDefault="00BE3B19" w:rsidP="00C97DA6">
            <w:pPr>
              <w:pStyle w:val="Normal1"/>
              <w:spacing w:after="120"/>
              <w:jc w:val="center"/>
              <w:rPr>
                <w:sz w:val="20"/>
                <w:szCs w:val="20"/>
              </w:rPr>
            </w:pPr>
            <w:r>
              <w:rPr>
                <w:sz w:val="20"/>
                <w:szCs w:val="20"/>
              </w:rPr>
              <w:t>n/a</w:t>
            </w:r>
          </w:p>
        </w:tc>
        <w:tc>
          <w:tcPr>
            <w:tcW w:w="1853" w:type="dxa"/>
            <w:shd w:val="clear" w:color="auto" w:fill="A8D08D" w:themeFill="accent6" w:themeFillTint="99"/>
            <w:vAlign w:val="center"/>
          </w:tcPr>
          <w:p w14:paraId="2BADFA1C" w14:textId="47CA4650" w:rsidR="003D6869" w:rsidRPr="008B73F2" w:rsidRDefault="0057724B" w:rsidP="00C97DA6">
            <w:pPr>
              <w:pStyle w:val="Normal1"/>
              <w:spacing w:after="120"/>
              <w:jc w:val="center"/>
              <w:rPr>
                <w:sz w:val="20"/>
                <w:szCs w:val="20"/>
              </w:rPr>
            </w:pPr>
            <w:r>
              <w:rPr>
                <w:sz w:val="20"/>
                <w:szCs w:val="20"/>
              </w:rPr>
              <w:t>4</w:t>
            </w:r>
          </w:p>
        </w:tc>
      </w:tr>
    </w:tbl>
    <w:p w14:paraId="298D4EB4" w14:textId="77777777" w:rsidR="005D7D44" w:rsidRDefault="005D7D44" w:rsidP="005E557A">
      <w:pPr>
        <w:pStyle w:val="Normal1"/>
        <w:spacing w:after="120"/>
        <w:jc w:val="both"/>
        <w:rPr>
          <w:b/>
          <w:bCs/>
          <w:sz w:val="22"/>
          <w:szCs w:val="22"/>
        </w:rPr>
      </w:pPr>
    </w:p>
    <w:p w14:paraId="40F0D1CD" w14:textId="59BE59FE" w:rsidR="0D311865" w:rsidRPr="00715C4C" w:rsidRDefault="12715272" w:rsidP="005E557A">
      <w:pPr>
        <w:pStyle w:val="Normal1"/>
        <w:spacing w:after="120"/>
        <w:jc w:val="both"/>
        <w:rPr>
          <w:sz w:val="22"/>
          <w:szCs w:val="22"/>
        </w:rPr>
      </w:pPr>
      <w:r w:rsidRPr="00715C4C">
        <w:rPr>
          <w:b/>
          <w:bCs/>
          <w:sz w:val="22"/>
          <w:szCs w:val="22"/>
        </w:rPr>
        <w:t>Annual outcome assessment</w:t>
      </w:r>
    </w:p>
    <w:p w14:paraId="00A22DE8" w14:textId="2E43831A" w:rsidR="0D311865" w:rsidRPr="008D3032" w:rsidRDefault="12715272" w:rsidP="005E557A">
      <w:pPr>
        <w:pStyle w:val="Normal1"/>
        <w:spacing w:after="120"/>
        <w:jc w:val="both"/>
        <w:rPr>
          <w:sz w:val="22"/>
          <w:szCs w:val="22"/>
        </w:rPr>
      </w:pPr>
      <w:r w:rsidRPr="008D3032">
        <w:rPr>
          <w:sz w:val="22"/>
          <w:szCs w:val="22"/>
        </w:rPr>
        <w:t xml:space="preserve">In Defra’s </w:t>
      </w:r>
      <w:r w:rsidR="00A0386B">
        <w:rPr>
          <w:sz w:val="22"/>
          <w:szCs w:val="22"/>
        </w:rPr>
        <w:t>L</w:t>
      </w:r>
      <w:r w:rsidR="00EF2578" w:rsidRPr="008D3032">
        <w:rPr>
          <w:sz w:val="22"/>
          <w:szCs w:val="22"/>
        </w:rPr>
        <w:t>og</w:t>
      </w:r>
      <w:r w:rsidR="00A0386B">
        <w:rPr>
          <w:sz w:val="22"/>
          <w:szCs w:val="22"/>
        </w:rPr>
        <w:t>F</w:t>
      </w:r>
      <w:r w:rsidR="00EF2578" w:rsidRPr="008D3032">
        <w:rPr>
          <w:sz w:val="22"/>
          <w:szCs w:val="22"/>
        </w:rPr>
        <w:t>rame</w:t>
      </w:r>
      <w:r w:rsidRPr="008D3032">
        <w:rPr>
          <w:sz w:val="22"/>
          <w:szCs w:val="22"/>
        </w:rPr>
        <w:t xml:space="preserve"> for the EBF, outcome indicators are </w:t>
      </w:r>
      <w:r w:rsidR="2ABE4508" w:rsidRPr="008D3032">
        <w:rPr>
          <w:sz w:val="22"/>
          <w:szCs w:val="22"/>
        </w:rPr>
        <w:t xml:space="preserve">categorised </w:t>
      </w:r>
      <w:r w:rsidRPr="008D3032">
        <w:rPr>
          <w:sz w:val="22"/>
          <w:szCs w:val="22"/>
        </w:rPr>
        <w:t>as</w:t>
      </w:r>
      <w:r w:rsidR="23151AB2" w:rsidRPr="008D3032">
        <w:rPr>
          <w:sz w:val="22"/>
          <w:szCs w:val="22"/>
        </w:rPr>
        <w:t xml:space="preserve"> either measuring</w:t>
      </w:r>
      <w:r w:rsidRPr="008D3032">
        <w:rPr>
          <w:sz w:val="22"/>
          <w:szCs w:val="22"/>
        </w:rPr>
        <w:t xml:space="preserve">: </w:t>
      </w:r>
    </w:p>
    <w:p w14:paraId="72DE1684" w14:textId="5F448370" w:rsidR="0D311865" w:rsidRPr="008D3032" w:rsidRDefault="12715272" w:rsidP="00674C5F">
      <w:pPr>
        <w:pStyle w:val="Normal1"/>
        <w:numPr>
          <w:ilvl w:val="0"/>
          <w:numId w:val="5"/>
        </w:numPr>
        <w:spacing w:after="120"/>
        <w:jc w:val="both"/>
        <w:rPr>
          <w:sz w:val="22"/>
          <w:szCs w:val="22"/>
        </w:rPr>
      </w:pPr>
      <w:r w:rsidRPr="008D3032">
        <w:rPr>
          <w:sz w:val="22"/>
          <w:szCs w:val="22"/>
        </w:rPr>
        <w:t xml:space="preserve">EBF's success in contributing to biodiversity conservation, the sustainable use of natural resources and climate change adaptation and mitigation; and this success creating an incentive for others to also act towards these goals. </w:t>
      </w:r>
    </w:p>
    <w:p w14:paraId="08F83662" w14:textId="15D8834C" w:rsidR="00CE3AC6" w:rsidRPr="00CE3AC6" w:rsidRDefault="12715272" w:rsidP="00CE3AC6">
      <w:pPr>
        <w:pStyle w:val="Normal1"/>
        <w:numPr>
          <w:ilvl w:val="0"/>
          <w:numId w:val="5"/>
        </w:numPr>
        <w:spacing w:after="120"/>
        <w:jc w:val="both"/>
        <w:rPr>
          <w:sz w:val="22"/>
          <w:szCs w:val="22"/>
        </w:rPr>
      </w:pPr>
      <w:r w:rsidRPr="008D3032">
        <w:rPr>
          <w:sz w:val="22"/>
          <w:szCs w:val="22"/>
        </w:rPr>
        <w:t xml:space="preserve">Level of behavioural change embedded in downstream lenders and </w:t>
      </w:r>
      <w:r w:rsidR="000E7CEF">
        <w:rPr>
          <w:sz w:val="22"/>
          <w:szCs w:val="22"/>
        </w:rPr>
        <w:t>FIs</w:t>
      </w:r>
      <w:r w:rsidRPr="008D3032">
        <w:rPr>
          <w:sz w:val="22"/>
          <w:szCs w:val="22"/>
        </w:rPr>
        <w:t>.</w:t>
      </w:r>
    </w:p>
    <w:tbl>
      <w:tblPr>
        <w:tblStyle w:val="TableGrid"/>
        <w:tblpPr w:leftFromText="180" w:rightFromText="180" w:vertAnchor="text" w:horzAnchor="margin" w:tblpXSpec="center" w:tblpY="463"/>
        <w:tblOverlap w:val="never"/>
        <w:tblW w:w="10485" w:type="dxa"/>
        <w:tblLayout w:type="fixed"/>
        <w:tblLook w:val="04A0" w:firstRow="1" w:lastRow="0" w:firstColumn="1" w:lastColumn="0" w:noHBand="0" w:noVBand="1"/>
      </w:tblPr>
      <w:tblGrid>
        <w:gridCol w:w="6673"/>
        <w:gridCol w:w="1843"/>
        <w:gridCol w:w="1969"/>
      </w:tblGrid>
      <w:tr w:rsidR="00D80842" w:rsidRPr="008B73F2" w14:paraId="7F5E8CA1" w14:textId="77777777" w:rsidTr="00D80842">
        <w:trPr>
          <w:trHeight w:val="300"/>
        </w:trPr>
        <w:tc>
          <w:tcPr>
            <w:tcW w:w="6673" w:type="dxa"/>
            <w:shd w:val="clear" w:color="auto" w:fill="D9E2F3" w:themeFill="accent1" w:themeFillTint="33"/>
          </w:tcPr>
          <w:p w14:paraId="7D632B59" w14:textId="138198C5" w:rsidR="00D80842" w:rsidRPr="008B73F2" w:rsidRDefault="00D80842">
            <w:pPr>
              <w:pStyle w:val="Normal1"/>
              <w:spacing w:after="120"/>
              <w:rPr>
                <w:b/>
                <w:bCs/>
                <w:sz w:val="20"/>
                <w:szCs w:val="20"/>
              </w:rPr>
            </w:pPr>
            <w:r w:rsidRPr="30361899">
              <w:rPr>
                <w:b/>
                <w:bCs/>
                <w:sz w:val="20"/>
                <w:szCs w:val="20"/>
              </w:rPr>
              <w:t>Outcome indicator (</w:t>
            </w:r>
            <w:r>
              <w:rPr>
                <w:b/>
                <w:bCs/>
                <w:sz w:val="20"/>
                <w:szCs w:val="20"/>
              </w:rPr>
              <w:t xml:space="preserve">all </w:t>
            </w:r>
            <w:r w:rsidRPr="30361899">
              <w:rPr>
                <w:b/>
                <w:bCs/>
                <w:sz w:val="20"/>
                <w:szCs w:val="20"/>
              </w:rPr>
              <w:t>cumulative</w:t>
            </w:r>
            <w:r>
              <w:rPr>
                <w:b/>
                <w:bCs/>
                <w:sz w:val="20"/>
                <w:szCs w:val="20"/>
              </w:rPr>
              <w:t>, in-year change in brackets</w:t>
            </w:r>
            <w:r w:rsidRPr="30361899">
              <w:rPr>
                <w:b/>
                <w:bCs/>
                <w:sz w:val="20"/>
                <w:szCs w:val="20"/>
              </w:rPr>
              <w:t>)</w:t>
            </w:r>
          </w:p>
        </w:tc>
        <w:tc>
          <w:tcPr>
            <w:tcW w:w="1843" w:type="dxa"/>
            <w:shd w:val="clear" w:color="auto" w:fill="D9E2F3" w:themeFill="accent1" w:themeFillTint="33"/>
          </w:tcPr>
          <w:p w14:paraId="6082FCBA" w14:textId="7EE05AC7" w:rsidR="00D80842" w:rsidRPr="008B73F2" w:rsidRDefault="00D80842">
            <w:pPr>
              <w:pStyle w:val="Normal1"/>
              <w:spacing w:after="120"/>
              <w:rPr>
                <w:b/>
                <w:bCs/>
                <w:sz w:val="20"/>
                <w:szCs w:val="20"/>
              </w:rPr>
            </w:pPr>
            <w:r w:rsidRPr="008B73F2">
              <w:rPr>
                <w:b/>
                <w:bCs/>
                <w:sz w:val="20"/>
                <w:szCs w:val="20"/>
              </w:rPr>
              <w:t>Defra Target 202</w:t>
            </w:r>
            <w:r>
              <w:rPr>
                <w:b/>
                <w:bCs/>
                <w:sz w:val="20"/>
                <w:szCs w:val="20"/>
              </w:rPr>
              <w:t>3</w:t>
            </w:r>
            <w:r w:rsidRPr="008B73F2">
              <w:rPr>
                <w:b/>
                <w:bCs/>
                <w:sz w:val="20"/>
                <w:szCs w:val="20"/>
              </w:rPr>
              <w:t xml:space="preserve"> </w:t>
            </w:r>
            <w:r w:rsidRPr="008B73F2">
              <w:rPr>
                <w:sz w:val="20"/>
                <w:szCs w:val="20"/>
              </w:rPr>
              <w:t>(fund level)</w:t>
            </w:r>
          </w:p>
        </w:tc>
        <w:tc>
          <w:tcPr>
            <w:tcW w:w="1969" w:type="dxa"/>
            <w:shd w:val="clear" w:color="auto" w:fill="D9E2F3" w:themeFill="accent1" w:themeFillTint="33"/>
          </w:tcPr>
          <w:p w14:paraId="1C264E1B" w14:textId="5D98E278" w:rsidR="00D80842" w:rsidRPr="008B73F2" w:rsidRDefault="00D80842">
            <w:pPr>
              <w:pStyle w:val="Normal1"/>
              <w:spacing w:after="120"/>
              <w:rPr>
                <w:b/>
                <w:bCs/>
                <w:sz w:val="20"/>
                <w:szCs w:val="20"/>
              </w:rPr>
            </w:pPr>
            <w:r w:rsidRPr="07FC4C9B">
              <w:rPr>
                <w:b/>
                <w:bCs/>
                <w:sz w:val="20"/>
                <w:szCs w:val="20"/>
              </w:rPr>
              <w:t>Achieved 2023</w:t>
            </w:r>
            <w:r w:rsidRPr="07FC4C9B">
              <w:rPr>
                <w:sz w:val="20"/>
                <w:szCs w:val="20"/>
              </w:rPr>
              <w:t xml:space="preserve"> (fund level)</w:t>
            </w:r>
          </w:p>
        </w:tc>
      </w:tr>
      <w:tr w:rsidR="00D80842" w:rsidRPr="008B73F2" w14:paraId="4F462402" w14:textId="77777777" w:rsidTr="00D80842">
        <w:trPr>
          <w:trHeight w:val="304"/>
        </w:trPr>
        <w:tc>
          <w:tcPr>
            <w:tcW w:w="6673" w:type="dxa"/>
          </w:tcPr>
          <w:p w14:paraId="6945F62B" w14:textId="77777777" w:rsidR="00D80842" w:rsidRPr="008B73F2" w:rsidRDefault="00D80842">
            <w:pPr>
              <w:pStyle w:val="Normal1"/>
              <w:spacing w:after="120"/>
              <w:rPr>
                <w:sz w:val="20"/>
                <w:szCs w:val="20"/>
              </w:rPr>
            </w:pPr>
            <w:r w:rsidRPr="008B73F2">
              <w:rPr>
                <w:sz w:val="20"/>
                <w:szCs w:val="20"/>
              </w:rPr>
              <w:t>1.1 Amount of water savings entirely or partly attributable to the intervention of the EBF (million m</w:t>
            </w:r>
            <w:r w:rsidRPr="008B73F2">
              <w:rPr>
                <w:sz w:val="20"/>
                <w:szCs w:val="20"/>
                <w:vertAlign w:val="superscript"/>
              </w:rPr>
              <w:t>3</w:t>
            </w:r>
            <w:r w:rsidRPr="008B73F2">
              <w:rPr>
                <w:sz w:val="20"/>
                <w:szCs w:val="20"/>
              </w:rPr>
              <w:t>)</w:t>
            </w:r>
          </w:p>
        </w:tc>
        <w:tc>
          <w:tcPr>
            <w:tcW w:w="1843" w:type="dxa"/>
          </w:tcPr>
          <w:p w14:paraId="3C01CF39" w14:textId="16CCC449" w:rsidR="00D80842" w:rsidRPr="008B73F2" w:rsidRDefault="00D80842">
            <w:pPr>
              <w:pStyle w:val="Normal1"/>
              <w:spacing w:after="120"/>
              <w:rPr>
                <w:sz w:val="20"/>
                <w:szCs w:val="20"/>
              </w:rPr>
            </w:pPr>
            <w:r>
              <w:rPr>
                <w:sz w:val="20"/>
                <w:szCs w:val="20"/>
              </w:rPr>
              <w:t>8.7</w:t>
            </w:r>
          </w:p>
        </w:tc>
        <w:tc>
          <w:tcPr>
            <w:tcW w:w="1969" w:type="dxa"/>
            <w:shd w:val="clear" w:color="auto" w:fill="A8D08D" w:themeFill="accent6" w:themeFillTint="99"/>
          </w:tcPr>
          <w:p w14:paraId="2C77A45C" w14:textId="713E3319" w:rsidR="00D80842" w:rsidRPr="008B73F2" w:rsidRDefault="00D80842">
            <w:pPr>
              <w:pStyle w:val="Normal1"/>
              <w:spacing w:after="120"/>
              <w:rPr>
                <w:sz w:val="20"/>
                <w:szCs w:val="20"/>
              </w:rPr>
            </w:pPr>
            <w:r w:rsidRPr="68316884">
              <w:rPr>
                <w:sz w:val="20"/>
                <w:szCs w:val="20"/>
              </w:rPr>
              <w:t>16.6</w:t>
            </w:r>
            <w:r>
              <w:rPr>
                <w:sz w:val="20"/>
                <w:szCs w:val="20"/>
              </w:rPr>
              <w:t xml:space="preserve"> (+11.4)</w:t>
            </w:r>
          </w:p>
        </w:tc>
      </w:tr>
      <w:tr w:rsidR="00D80842" w14:paraId="19E4F555" w14:textId="77777777" w:rsidTr="00D80842">
        <w:trPr>
          <w:trHeight w:val="221"/>
        </w:trPr>
        <w:tc>
          <w:tcPr>
            <w:tcW w:w="6673" w:type="dxa"/>
          </w:tcPr>
          <w:p w14:paraId="71D93628" w14:textId="664C4207" w:rsidR="00D80842" w:rsidRDefault="00D80842" w:rsidP="07FC4C9B">
            <w:pPr>
              <w:pStyle w:val="Normal1"/>
              <w:spacing w:after="120"/>
              <w:rPr>
                <w:sz w:val="20"/>
                <w:szCs w:val="20"/>
              </w:rPr>
            </w:pPr>
            <w:r w:rsidRPr="07FC4C9B">
              <w:rPr>
                <w:sz w:val="20"/>
                <w:szCs w:val="20"/>
              </w:rPr>
              <w:t>1.2 ICF KPI 6: Net CO</w:t>
            </w:r>
            <w:r w:rsidRPr="07FC4C9B">
              <w:rPr>
                <w:sz w:val="20"/>
                <w:szCs w:val="20"/>
                <w:vertAlign w:val="subscript"/>
              </w:rPr>
              <w:t>2</w:t>
            </w:r>
            <w:r w:rsidRPr="07FC4C9B">
              <w:rPr>
                <w:sz w:val="20"/>
                <w:szCs w:val="20"/>
                <w:vertAlign w:val="superscript"/>
              </w:rPr>
              <w:t xml:space="preserve"> </w:t>
            </w:r>
            <w:r w:rsidRPr="07FC4C9B">
              <w:rPr>
                <w:sz w:val="20"/>
                <w:szCs w:val="20"/>
              </w:rPr>
              <w:t>storage as a result of EBF support to agroforestry (tonnes)</w:t>
            </w:r>
          </w:p>
        </w:tc>
        <w:tc>
          <w:tcPr>
            <w:tcW w:w="1843" w:type="dxa"/>
          </w:tcPr>
          <w:p w14:paraId="5FA9D2B9" w14:textId="6FA3DF36" w:rsidR="00D80842" w:rsidRDefault="00D80842" w:rsidP="07FC4C9B">
            <w:pPr>
              <w:pStyle w:val="Normal1"/>
              <w:spacing w:after="120"/>
              <w:rPr>
                <w:sz w:val="20"/>
                <w:szCs w:val="20"/>
              </w:rPr>
            </w:pPr>
            <w:r w:rsidRPr="07FC4C9B">
              <w:rPr>
                <w:sz w:val="20"/>
                <w:szCs w:val="20"/>
              </w:rPr>
              <w:t>3,650,000</w:t>
            </w:r>
          </w:p>
        </w:tc>
        <w:tc>
          <w:tcPr>
            <w:tcW w:w="1969" w:type="dxa"/>
            <w:shd w:val="clear" w:color="auto" w:fill="A8D08D" w:themeFill="accent6" w:themeFillTint="99"/>
          </w:tcPr>
          <w:p w14:paraId="39254414" w14:textId="7D7B2AC4" w:rsidR="00D80842" w:rsidRDefault="00D80842" w:rsidP="07FC4C9B">
            <w:pPr>
              <w:pStyle w:val="Normal1"/>
              <w:spacing w:after="120"/>
              <w:rPr>
                <w:sz w:val="20"/>
                <w:szCs w:val="20"/>
              </w:rPr>
            </w:pPr>
            <w:r w:rsidRPr="07FC4C9B">
              <w:rPr>
                <w:sz w:val="20"/>
                <w:szCs w:val="20"/>
              </w:rPr>
              <w:t>3,704,000</w:t>
            </w:r>
            <w:r>
              <w:rPr>
                <w:sz w:val="20"/>
                <w:szCs w:val="20"/>
              </w:rPr>
              <w:t xml:space="preserve"> (+60,000)</w:t>
            </w:r>
          </w:p>
        </w:tc>
      </w:tr>
      <w:tr w:rsidR="00D80842" w:rsidRPr="008B73F2" w14:paraId="448573DA" w14:textId="77777777" w:rsidTr="00D80842">
        <w:trPr>
          <w:trHeight w:val="221"/>
        </w:trPr>
        <w:tc>
          <w:tcPr>
            <w:tcW w:w="6673" w:type="dxa"/>
          </w:tcPr>
          <w:p w14:paraId="2214C7FF" w14:textId="77777777" w:rsidR="00D80842" w:rsidRPr="008B73F2" w:rsidRDefault="00D80842">
            <w:pPr>
              <w:pStyle w:val="Normal1"/>
              <w:spacing w:after="120"/>
              <w:rPr>
                <w:sz w:val="20"/>
                <w:szCs w:val="20"/>
              </w:rPr>
            </w:pPr>
            <w:r w:rsidRPr="008B73F2">
              <w:rPr>
                <w:sz w:val="20"/>
                <w:szCs w:val="20"/>
              </w:rPr>
              <w:t>1.3 Land sustainably managed through the EBF's portfolio (Ha)</w:t>
            </w:r>
          </w:p>
        </w:tc>
        <w:tc>
          <w:tcPr>
            <w:tcW w:w="1843" w:type="dxa"/>
          </w:tcPr>
          <w:p w14:paraId="12494779" w14:textId="3D4A9FD9" w:rsidR="00D80842" w:rsidRPr="008B73F2" w:rsidRDefault="00D80842">
            <w:pPr>
              <w:pStyle w:val="Normal1"/>
              <w:spacing w:after="120"/>
              <w:rPr>
                <w:sz w:val="20"/>
                <w:szCs w:val="20"/>
              </w:rPr>
            </w:pPr>
            <w:r>
              <w:rPr>
                <w:sz w:val="20"/>
                <w:szCs w:val="20"/>
              </w:rPr>
              <w:t>1,015,000</w:t>
            </w:r>
          </w:p>
        </w:tc>
        <w:tc>
          <w:tcPr>
            <w:tcW w:w="1969" w:type="dxa"/>
            <w:shd w:val="clear" w:color="auto" w:fill="A8D08D" w:themeFill="accent6" w:themeFillTint="99"/>
          </w:tcPr>
          <w:p w14:paraId="2047AB86" w14:textId="316EC9F9" w:rsidR="00D80842" w:rsidRPr="008B73F2" w:rsidRDefault="00D80842">
            <w:pPr>
              <w:pStyle w:val="Normal1"/>
              <w:spacing w:after="120"/>
              <w:rPr>
                <w:sz w:val="20"/>
                <w:szCs w:val="20"/>
              </w:rPr>
            </w:pPr>
            <w:r w:rsidRPr="68316884">
              <w:rPr>
                <w:sz w:val="20"/>
                <w:szCs w:val="20"/>
              </w:rPr>
              <w:t>1,050,000</w:t>
            </w:r>
            <w:r>
              <w:rPr>
                <w:sz w:val="20"/>
                <w:szCs w:val="20"/>
              </w:rPr>
              <w:t xml:space="preserve"> (+79,000)</w:t>
            </w:r>
          </w:p>
        </w:tc>
      </w:tr>
      <w:tr w:rsidR="00D80842" w14:paraId="577C07F9" w14:textId="77777777" w:rsidTr="00D80842">
        <w:trPr>
          <w:trHeight w:val="221"/>
        </w:trPr>
        <w:tc>
          <w:tcPr>
            <w:tcW w:w="6673" w:type="dxa"/>
          </w:tcPr>
          <w:p w14:paraId="17EB2719" w14:textId="6A81410D" w:rsidR="00D80842" w:rsidRDefault="00D80842" w:rsidP="07FC4C9B">
            <w:pPr>
              <w:jc w:val="center"/>
              <w:rPr>
                <w:rFonts w:eastAsia="Arial" w:cs="Arial"/>
                <w:sz w:val="20"/>
                <w:szCs w:val="20"/>
              </w:rPr>
            </w:pPr>
            <w:r w:rsidRPr="07FC4C9B">
              <w:rPr>
                <w:rFonts w:eastAsia="Arial" w:cs="Arial"/>
                <w:sz w:val="20"/>
                <w:szCs w:val="20"/>
              </w:rPr>
              <w:t>1.4 Value of ecosystem services generated or protected as a result of International Climate Finance (KPI 10)</w:t>
            </w:r>
          </w:p>
        </w:tc>
        <w:tc>
          <w:tcPr>
            <w:tcW w:w="1843" w:type="dxa"/>
          </w:tcPr>
          <w:p w14:paraId="707B64A2" w14:textId="1884FFE7" w:rsidR="00D80842" w:rsidRDefault="00DC67BF" w:rsidP="07FC4C9B">
            <w:pPr>
              <w:pStyle w:val="Normal1"/>
              <w:rPr>
                <w:sz w:val="20"/>
                <w:szCs w:val="20"/>
              </w:rPr>
            </w:pPr>
            <w:r>
              <w:rPr>
                <w:sz w:val="20"/>
                <w:szCs w:val="20"/>
              </w:rPr>
              <w:t>n/a</w:t>
            </w:r>
          </w:p>
        </w:tc>
        <w:tc>
          <w:tcPr>
            <w:tcW w:w="1969" w:type="dxa"/>
          </w:tcPr>
          <w:p w14:paraId="7D5CBBA2" w14:textId="53A4F275" w:rsidR="00D80842" w:rsidRDefault="00D80842" w:rsidP="07FC4C9B">
            <w:pPr>
              <w:pStyle w:val="Normal1"/>
              <w:rPr>
                <w:sz w:val="20"/>
                <w:szCs w:val="20"/>
              </w:rPr>
            </w:pPr>
            <w:r w:rsidRPr="07FC4C9B">
              <w:rPr>
                <w:sz w:val="20"/>
                <w:szCs w:val="20"/>
              </w:rPr>
              <w:t>720,000,000</w:t>
            </w:r>
          </w:p>
        </w:tc>
      </w:tr>
      <w:tr w:rsidR="00D80842" w:rsidRPr="008B73F2" w14:paraId="771D7366" w14:textId="77777777" w:rsidTr="00D80842">
        <w:trPr>
          <w:trHeight w:val="393"/>
        </w:trPr>
        <w:tc>
          <w:tcPr>
            <w:tcW w:w="6673" w:type="dxa"/>
          </w:tcPr>
          <w:p w14:paraId="153B0117" w14:textId="77777777" w:rsidR="00D80842" w:rsidRPr="008B73F2" w:rsidRDefault="00D80842">
            <w:pPr>
              <w:pStyle w:val="Normal1"/>
              <w:spacing w:after="120"/>
              <w:rPr>
                <w:sz w:val="20"/>
                <w:szCs w:val="20"/>
              </w:rPr>
            </w:pPr>
            <w:r w:rsidRPr="008B73F2">
              <w:rPr>
                <w:sz w:val="20"/>
                <w:szCs w:val="20"/>
              </w:rPr>
              <w:t>1.5 ICF KPI 12: Volume of private finance mobilised for climate change purposes as a result of ICF funding ($m)</w:t>
            </w:r>
          </w:p>
        </w:tc>
        <w:tc>
          <w:tcPr>
            <w:tcW w:w="1843" w:type="dxa"/>
          </w:tcPr>
          <w:p w14:paraId="13A5895A" w14:textId="2B5F7559" w:rsidR="00D80842" w:rsidRPr="008B73F2" w:rsidRDefault="00D80842">
            <w:pPr>
              <w:pStyle w:val="Normal1"/>
              <w:spacing w:after="120"/>
              <w:rPr>
                <w:sz w:val="20"/>
                <w:szCs w:val="20"/>
              </w:rPr>
            </w:pPr>
            <w:r>
              <w:rPr>
                <w:sz w:val="20"/>
                <w:szCs w:val="20"/>
              </w:rPr>
              <w:t>n/a</w:t>
            </w:r>
          </w:p>
        </w:tc>
        <w:tc>
          <w:tcPr>
            <w:tcW w:w="1969" w:type="dxa"/>
          </w:tcPr>
          <w:p w14:paraId="50930BCC" w14:textId="364F750E" w:rsidR="00D80842" w:rsidRPr="008B73F2" w:rsidRDefault="00D80842">
            <w:pPr>
              <w:pStyle w:val="Normal1"/>
              <w:spacing w:after="120"/>
              <w:rPr>
                <w:sz w:val="20"/>
                <w:szCs w:val="20"/>
              </w:rPr>
            </w:pPr>
            <w:r>
              <w:rPr>
                <w:sz w:val="20"/>
                <w:szCs w:val="20"/>
              </w:rPr>
              <w:t>n/a</w:t>
            </w:r>
          </w:p>
        </w:tc>
      </w:tr>
      <w:tr w:rsidR="00D80842" w:rsidRPr="008B73F2" w14:paraId="04BD7D34" w14:textId="77777777" w:rsidTr="00D80842">
        <w:trPr>
          <w:trHeight w:val="393"/>
        </w:trPr>
        <w:tc>
          <w:tcPr>
            <w:tcW w:w="6673" w:type="dxa"/>
          </w:tcPr>
          <w:p w14:paraId="3FE102B2" w14:textId="77777777" w:rsidR="00D80842" w:rsidRPr="008B73F2" w:rsidRDefault="00D80842">
            <w:pPr>
              <w:pStyle w:val="Normal1"/>
              <w:spacing w:after="120"/>
              <w:rPr>
                <w:sz w:val="20"/>
                <w:szCs w:val="20"/>
              </w:rPr>
            </w:pPr>
            <w:r w:rsidRPr="008B73F2">
              <w:rPr>
                <w:sz w:val="20"/>
                <w:szCs w:val="20"/>
              </w:rPr>
              <w:t>1.6 ICF KPI 11: Volume of public finance mobilised for climate change purposes as a result of ICF funding ($m)</w:t>
            </w:r>
          </w:p>
        </w:tc>
        <w:tc>
          <w:tcPr>
            <w:tcW w:w="1843" w:type="dxa"/>
          </w:tcPr>
          <w:p w14:paraId="36313D35" w14:textId="553DB361" w:rsidR="00D80842" w:rsidRPr="008B73F2" w:rsidRDefault="00D80842">
            <w:pPr>
              <w:pStyle w:val="Normal1"/>
              <w:spacing w:after="120"/>
              <w:rPr>
                <w:sz w:val="20"/>
                <w:szCs w:val="20"/>
              </w:rPr>
            </w:pPr>
            <w:r>
              <w:rPr>
                <w:sz w:val="20"/>
                <w:szCs w:val="20"/>
              </w:rPr>
              <w:t>n/a</w:t>
            </w:r>
          </w:p>
        </w:tc>
        <w:tc>
          <w:tcPr>
            <w:tcW w:w="1969" w:type="dxa"/>
          </w:tcPr>
          <w:p w14:paraId="1A05EC3A" w14:textId="124B5BDC" w:rsidR="00D80842" w:rsidRPr="008B73F2" w:rsidRDefault="00D80842">
            <w:pPr>
              <w:pStyle w:val="Normal1"/>
              <w:spacing w:after="120"/>
              <w:rPr>
                <w:sz w:val="20"/>
                <w:szCs w:val="20"/>
              </w:rPr>
            </w:pPr>
            <w:r>
              <w:rPr>
                <w:sz w:val="20"/>
                <w:szCs w:val="20"/>
              </w:rPr>
              <w:t>n/a</w:t>
            </w:r>
          </w:p>
        </w:tc>
      </w:tr>
      <w:tr w:rsidR="00D80842" w:rsidRPr="008B73F2" w14:paraId="1E93E728" w14:textId="77777777" w:rsidTr="00D80842">
        <w:trPr>
          <w:trHeight w:val="304"/>
        </w:trPr>
        <w:tc>
          <w:tcPr>
            <w:tcW w:w="6673" w:type="dxa"/>
          </w:tcPr>
          <w:p w14:paraId="7478DAC7" w14:textId="4827A41B" w:rsidR="00D80842" w:rsidRPr="008B73F2" w:rsidRDefault="00D80842" w:rsidP="00F5619F">
            <w:pPr>
              <w:pStyle w:val="Normal1"/>
              <w:rPr>
                <w:sz w:val="20"/>
                <w:szCs w:val="20"/>
              </w:rPr>
            </w:pPr>
            <w:r w:rsidRPr="008B73F2">
              <w:rPr>
                <w:sz w:val="20"/>
                <w:szCs w:val="20"/>
              </w:rPr>
              <w:t>1.7 Number of jobs supported by sub-borrowers as a result of EBF support</w:t>
            </w:r>
            <w:r>
              <w:rPr>
                <w:sz w:val="20"/>
                <w:szCs w:val="20"/>
              </w:rPr>
              <w:t xml:space="preserve"> (F: held by women)</w:t>
            </w:r>
          </w:p>
        </w:tc>
        <w:tc>
          <w:tcPr>
            <w:tcW w:w="1843" w:type="dxa"/>
          </w:tcPr>
          <w:p w14:paraId="5B6DE88C" w14:textId="534D01A0" w:rsidR="00D80842" w:rsidRPr="008B73F2" w:rsidRDefault="00D80842" w:rsidP="00F5619F">
            <w:pPr>
              <w:pStyle w:val="Normal1"/>
              <w:rPr>
                <w:sz w:val="20"/>
                <w:szCs w:val="20"/>
              </w:rPr>
            </w:pPr>
            <w:r>
              <w:rPr>
                <w:sz w:val="20"/>
                <w:szCs w:val="20"/>
              </w:rPr>
              <w:t>665</w:t>
            </w:r>
            <w:r w:rsidRPr="008B73F2">
              <w:rPr>
                <w:sz w:val="20"/>
                <w:szCs w:val="20"/>
              </w:rPr>
              <w:t>,000</w:t>
            </w:r>
          </w:p>
        </w:tc>
        <w:tc>
          <w:tcPr>
            <w:tcW w:w="1969" w:type="dxa"/>
            <w:shd w:val="clear" w:color="auto" w:fill="A8D08D" w:themeFill="accent6" w:themeFillTint="99"/>
          </w:tcPr>
          <w:p w14:paraId="39412990" w14:textId="515BD581" w:rsidR="00D80842" w:rsidRDefault="00D80842" w:rsidP="00F5619F">
            <w:pPr>
              <w:pStyle w:val="Normal1"/>
              <w:rPr>
                <w:sz w:val="20"/>
                <w:szCs w:val="20"/>
              </w:rPr>
            </w:pPr>
            <w:r w:rsidRPr="07FC4C9B">
              <w:rPr>
                <w:sz w:val="20"/>
                <w:szCs w:val="20"/>
              </w:rPr>
              <w:t>721,000</w:t>
            </w:r>
            <w:r>
              <w:rPr>
                <w:sz w:val="20"/>
                <w:szCs w:val="20"/>
              </w:rPr>
              <w:t xml:space="preserve"> (+61,000)</w:t>
            </w:r>
          </w:p>
          <w:p w14:paraId="227F1E33" w14:textId="0DDB2DE2" w:rsidR="00D80842" w:rsidRPr="008B73F2" w:rsidRDefault="00D80842" w:rsidP="00F5619F">
            <w:pPr>
              <w:pStyle w:val="Normal1"/>
              <w:rPr>
                <w:sz w:val="20"/>
                <w:szCs w:val="20"/>
              </w:rPr>
            </w:pPr>
            <w:r>
              <w:rPr>
                <w:sz w:val="20"/>
                <w:szCs w:val="20"/>
              </w:rPr>
              <w:t>(F: 167,000)</w:t>
            </w:r>
          </w:p>
        </w:tc>
      </w:tr>
      <w:tr w:rsidR="00D80842" w:rsidRPr="008B73F2" w14:paraId="30432AE8" w14:textId="77777777" w:rsidTr="00D80842">
        <w:trPr>
          <w:trHeight w:val="300"/>
        </w:trPr>
        <w:tc>
          <w:tcPr>
            <w:tcW w:w="6673" w:type="dxa"/>
          </w:tcPr>
          <w:p w14:paraId="54315CCB" w14:textId="77777777" w:rsidR="00D80842" w:rsidRPr="008B73F2" w:rsidRDefault="00D80842">
            <w:pPr>
              <w:pStyle w:val="Normal1"/>
              <w:spacing w:after="120"/>
              <w:rPr>
                <w:sz w:val="20"/>
                <w:szCs w:val="20"/>
              </w:rPr>
            </w:pPr>
            <w:r w:rsidRPr="008B73F2">
              <w:rPr>
                <w:sz w:val="20"/>
                <w:szCs w:val="20"/>
              </w:rPr>
              <w:t>2.1 Number of sub-borrowers supported by EBF’s PIs to incorporate sustainable practices</w:t>
            </w:r>
          </w:p>
        </w:tc>
        <w:tc>
          <w:tcPr>
            <w:tcW w:w="1843" w:type="dxa"/>
          </w:tcPr>
          <w:p w14:paraId="04C1CBF7" w14:textId="73794AEE" w:rsidR="00D80842" w:rsidRPr="008B73F2" w:rsidRDefault="00D80842">
            <w:pPr>
              <w:pStyle w:val="Normal1"/>
              <w:spacing w:after="120"/>
              <w:rPr>
                <w:sz w:val="20"/>
                <w:szCs w:val="20"/>
              </w:rPr>
            </w:pPr>
            <w:r>
              <w:rPr>
                <w:sz w:val="20"/>
                <w:szCs w:val="20"/>
              </w:rPr>
              <w:t>n/a</w:t>
            </w:r>
          </w:p>
        </w:tc>
        <w:tc>
          <w:tcPr>
            <w:tcW w:w="1969" w:type="dxa"/>
            <w:shd w:val="clear" w:color="auto" w:fill="A8D08D" w:themeFill="accent6" w:themeFillTint="99"/>
          </w:tcPr>
          <w:p w14:paraId="19BA6BA5" w14:textId="119232E7" w:rsidR="00D80842" w:rsidRPr="008B73F2" w:rsidRDefault="00D80842">
            <w:pPr>
              <w:pStyle w:val="Normal1"/>
              <w:spacing w:after="120"/>
              <w:rPr>
                <w:sz w:val="20"/>
                <w:szCs w:val="20"/>
              </w:rPr>
            </w:pPr>
            <w:r>
              <w:rPr>
                <w:sz w:val="20"/>
                <w:szCs w:val="20"/>
              </w:rPr>
              <w:t>n/a</w:t>
            </w:r>
          </w:p>
        </w:tc>
      </w:tr>
      <w:tr w:rsidR="00D80842" w:rsidRPr="008B73F2" w14:paraId="4093FC99" w14:textId="77777777" w:rsidTr="00D80842">
        <w:trPr>
          <w:trHeight w:val="300"/>
        </w:trPr>
        <w:tc>
          <w:tcPr>
            <w:tcW w:w="6673" w:type="dxa"/>
          </w:tcPr>
          <w:p w14:paraId="1BD1C60C" w14:textId="77777777" w:rsidR="00D80842" w:rsidRPr="008B73F2" w:rsidRDefault="00D80842">
            <w:pPr>
              <w:pStyle w:val="Normal1"/>
              <w:spacing w:after="120"/>
              <w:rPr>
                <w:sz w:val="20"/>
                <w:szCs w:val="20"/>
              </w:rPr>
            </w:pPr>
            <w:r w:rsidRPr="008B73F2">
              <w:rPr>
                <w:sz w:val="20"/>
                <w:szCs w:val="20"/>
              </w:rPr>
              <w:t>2.2 Number of individuals reached through conferences and events</w:t>
            </w:r>
          </w:p>
        </w:tc>
        <w:tc>
          <w:tcPr>
            <w:tcW w:w="1843" w:type="dxa"/>
          </w:tcPr>
          <w:p w14:paraId="59A783F0" w14:textId="77777777" w:rsidR="00D80842" w:rsidRPr="008B73F2" w:rsidRDefault="00D80842">
            <w:pPr>
              <w:pStyle w:val="Normal1"/>
              <w:spacing w:after="120"/>
              <w:rPr>
                <w:sz w:val="20"/>
                <w:szCs w:val="20"/>
              </w:rPr>
            </w:pPr>
            <w:r w:rsidRPr="008B73F2">
              <w:rPr>
                <w:sz w:val="20"/>
                <w:szCs w:val="20"/>
              </w:rPr>
              <w:t>n/a</w:t>
            </w:r>
          </w:p>
        </w:tc>
        <w:tc>
          <w:tcPr>
            <w:tcW w:w="1969" w:type="dxa"/>
            <w:shd w:val="clear" w:color="auto" w:fill="A8D08D" w:themeFill="accent6" w:themeFillTint="99"/>
          </w:tcPr>
          <w:p w14:paraId="0A7D7644" w14:textId="61D49E37" w:rsidR="00D80842" w:rsidRPr="008B73F2" w:rsidRDefault="00D80842">
            <w:pPr>
              <w:pStyle w:val="Normal1"/>
              <w:spacing w:after="120"/>
              <w:rPr>
                <w:sz w:val="20"/>
                <w:szCs w:val="20"/>
              </w:rPr>
            </w:pPr>
            <w:r w:rsidRPr="07FC4C9B">
              <w:rPr>
                <w:sz w:val="20"/>
                <w:szCs w:val="20"/>
              </w:rPr>
              <w:t>418,</w:t>
            </w:r>
            <w:r>
              <w:rPr>
                <w:sz w:val="20"/>
                <w:szCs w:val="20"/>
              </w:rPr>
              <w:t>8</w:t>
            </w:r>
            <w:r w:rsidRPr="07FC4C9B">
              <w:rPr>
                <w:sz w:val="20"/>
                <w:szCs w:val="20"/>
              </w:rPr>
              <w:t>00</w:t>
            </w:r>
            <w:r>
              <w:rPr>
                <w:sz w:val="20"/>
                <w:szCs w:val="20"/>
              </w:rPr>
              <w:t xml:space="preserve"> (+800)</w:t>
            </w:r>
          </w:p>
        </w:tc>
      </w:tr>
      <w:tr w:rsidR="00D80842" w:rsidRPr="008B73F2" w14:paraId="6F10A669" w14:textId="77777777" w:rsidTr="00D80842">
        <w:trPr>
          <w:trHeight w:val="300"/>
        </w:trPr>
        <w:tc>
          <w:tcPr>
            <w:tcW w:w="6673" w:type="dxa"/>
          </w:tcPr>
          <w:p w14:paraId="084E4244" w14:textId="2AD8D9E6" w:rsidR="00D80842" w:rsidRPr="008B73F2" w:rsidRDefault="00D80842">
            <w:pPr>
              <w:pStyle w:val="Normal1"/>
              <w:spacing w:after="120"/>
              <w:rPr>
                <w:sz w:val="20"/>
                <w:szCs w:val="20"/>
              </w:rPr>
            </w:pPr>
            <w:r w:rsidRPr="008B73F2">
              <w:rPr>
                <w:sz w:val="20"/>
                <w:szCs w:val="20"/>
              </w:rPr>
              <w:t>2.3 Individuals benefitting from Technical Assistance (M/F)</w:t>
            </w:r>
          </w:p>
        </w:tc>
        <w:tc>
          <w:tcPr>
            <w:tcW w:w="1843" w:type="dxa"/>
          </w:tcPr>
          <w:p w14:paraId="3D50E586" w14:textId="77777777" w:rsidR="00D80842" w:rsidRPr="008B73F2" w:rsidRDefault="00D80842">
            <w:pPr>
              <w:pStyle w:val="Normal1"/>
              <w:spacing w:after="120"/>
              <w:rPr>
                <w:sz w:val="20"/>
                <w:szCs w:val="20"/>
              </w:rPr>
            </w:pPr>
            <w:r w:rsidRPr="008B73F2">
              <w:rPr>
                <w:sz w:val="20"/>
                <w:szCs w:val="20"/>
              </w:rPr>
              <w:t>n/a</w:t>
            </w:r>
          </w:p>
        </w:tc>
        <w:tc>
          <w:tcPr>
            <w:tcW w:w="1969" w:type="dxa"/>
            <w:shd w:val="clear" w:color="auto" w:fill="A8D08D" w:themeFill="accent6" w:themeFillTint="99"/>
          </w:tcPr>
          <w:p w14:paraId="63820FB5" w14:textId="6AF3CDD9" w:rsidR="00D80842" w:rsidRPr="008B73F2" w:rsidRDefault="00D80842">
            <w:pPr>
              <w:pStyle w:val="Normal1"/>
              <w:rPr>
                <w:sz w:val="20"/>
                <w:szCs w:val="20"/>
              </w:rPr>
            </w:pPr>
            <w:r w:rsidRPr="07FC4C9B">
              <w:rPr>
                <w:sz w:val="20"/>
                <w:szCs w:val="20"/>
              </w:rPr>
              <w:t>M: 3,705</w:t>
            </w:r>
            <w:r>
              <w:rPr>
                <w:sz w:val="20"/>
                <w:szCs w:val="20"/>
              </w:rPr>
              <w:t xml:space="preserve"> (+501)</w:t>
            </w:r>
          </w:p>
          <w:p w14:paraId="0FA17E47" w14:textId="5C8FD2C8" w:rsidR="00D80842" w:rsidRPr="008B73F2" w:rsidRDefault="00D80842">
            <w:pPr>
              <w:pStyle w:val="Normal1"/>
              <w:rPr>
                <w:sz w:val="20"/>
                <w:szCs w:val="20"/>
              </w:rPr>
            </w:pPr>
            <w:r w:rsidRPr="07FC4C9B">
              <w:rPr>
                <w:sz w:val="20"/>
                <w:szCs w:val="20"/>
              </w:rPr>
              <w:t>F: 4,169</w:t>
            </w:r>
            <w:r>
              <w:rPr>
                <w:sz w:val="20"/>
                <w:szCs w:val="20"/>
              </w:rPr>
              <w:t xml:space="preserve"> (+525)</w:t>
            </w:r>
          </w:p>
        </w:tc>
      </w:tr>
      <w:tr w:rsidR="00D80842" w:rsidRPr="008B73F2" w14:paraId="376AD19E" w14:textId="77777777" w:rsidTr="00D80842">
        <w:trPr>
          <w:trHeight w:val="300"/>
        </w:trPr>
        <w:tc>
          <w:tcPr>
            <w:tcW w:w="6673" w:type="dxa"/>
          </w:tcPr>
          <w:p w14:paraId="6CCD0A6B" w14:textId="0CC5382F" w:rsidR="00D80842" w:rsidRPr="008B73F2" w:rsidRDefault="00D80842">
            <w:pPr>
              <w:pStyle w:val="Normal1"/>
              <w:spacing w:after="120"/>
              <w:rPr>
                <w:sz w:val="20"/>
                <w:szCs w:val="20"/>
              </w:rPr>
            </w:pPr>
            <w:r w:rsidRPr="008B73F2">
              <w:rPr>
                <w:sz w:val="20"/>
                <w:szCs w:val="20"/>
              </w:rPr>
              <w:t xml:space="preserve">2.4 Percentage of women employed by PIs: a) overall; b) management; c) Board </w:t>
            </w:r>
          </w:p>
        </w:tc>
        <w:tc>
          <w:tcPr>
            <w:tcW w:w="1843" w:type="dxa"/>
          </w:tcPr>
          <w:p w14:paraId="1115A9E1" w14:textId="0F0A528D" w:rsidR="00D80842" w:rsidRPr="008B73F2" w:rsidRDefault="00D80842">
            <w:pPr>
              <w:pStyle w:val="Normal1"/>
              <w:spacing w:after="120"/>
              <w:rPr>
                <w:sz w:val="20"/>
                <w:szCs w:val="20"/>
              </w:rPr>
            </w:pPr>
            <w:r>
              <w:rPr>
                <w:sz w:val="20"/>
                <w:szCs w:val="20"/>
              </w:rPr>
              <w:t>a) 46%; b) 43%, c) 30%</w:t>
            </w:r>
          </w:p>
        </w:tc>
        <w:tc>
          <w:tcPr>
            <w:tcW w:w="1969" w:type="dxa"/>
            <w:shd w:val="clear" w:color="auto" w:fill="FF0000"/>
          </w:tcPr>
          <w:p w14:paraId="0722CBB9" w14:textId="08647FAF" w:rsidR="00D80842" w:rsidRPr="008B73F2" w:rsidRDefault="00D80842">
            <w:pPr>
              <w:pStyle w:val="Normal1"/>
              <w:spacing w:after="120"/>
              <w:rPr>
                <w:sz w:val="20"/>
                <w:szCs w:val="20"/>
              </w:rPr>
            </w:pPr>
            <w:r w:rsidRPr="07FC4C9B">
              <w:rPr>
                <w:sz w:val="20"/>
                <w:szCs w:val="20"/>
              </w:rPr>
              <w:t>a) 55%</w:t>
            </w:r>
            <w:r>
              <w:rPr>
                <w:sz w:val="20"/>
                <w:szCs w:val="20"/>
              </w:rPr>
              <w:t xml:space="preserve"> (-1)</w:t>
            </w:r>
            <w:r w:rsidRPr="07FC4C9B">
              <w:rPr>
                <w:sz w:val="20"/>
                <w:szCs w:val="20"/>
              </w:rPr>
              <w:t>; b) 36%</w:t>
            </w:r>
            <w:r>
              <w:rPr>
                <w:sz w:val="20"/>
                <w:szCs w:val="20"/>
              </w:rPr>
              <w:t xml:space="preserve"> (-3)</w:t>
            </w:r>
            <w:r w:rsidRPr="07FC4C9B">
              <w:rPr>
                <w:sz w:val="20"/>
                <w:szCs w:val="20"/>
              </w:rPr>
              <w:t xml:space="preserve">; c) 19% </w:t>
            </w:r>
            <w:r>
              <w:rPr>
                <w:sz w:val="20"/>
                <w:szCs w:val="20"/>
              </w:rPr>
              <w:t>(+1)</w:t>
            </w:r>
          </w:p>
        </w:tc>
      </w:tr>
    </w:tbl>
    <w:p w14:paraId="1888DF79" w14:textId="1938F6B6" w:rsidR="00CB31F7" w:rsidRPr="003A6401" w:rsidRDefault="003A6401" w:rsidP="005E557A">
      <w:pPr>
        <w:rPr>
          <w:rFonts w:eastAsia="Arial" w:cs="Arial"/>
          <w:sz w:val="22"/>
          <w:szCs w:val="22"/>
        </w:rPr>
      </w:pPr>
      <w:r>
        <w:rPr>
          <w:rFonts w:eastAsia="Arial" w:cs="Arial"/>
          <w:sz w:val="22"/>
          <w:szCs w:val="22"/>
        </w:rPr>
        <w:t>Some results have been redacted for publication.</w:t>
      </w:r>
    </w:p>
    <w:p w14:paraId="249AD7D3" w14:textId="37CA624B" w:rsidR="00CE3AC6" w:rsidRDefault="00CE3AC6" w:rsidP="005E557A">
      <w:pPr>
        <w:rPr>
          <w:rFonts w:eastAsia="Arial" w:cs="Arial"/>
          <w:b/>
          <w:bCs/>
          <w:sz w:val="22"/>
          <w:szCs w:val="22"/>
        </w:rPr>
      </w:pPr>
    </w:p>
    <w:p w14:paraId="2F7ED273" w14:textId="67A04F7A" w:rsidR="00684A27" w:rsidRDefault="0BA06143" w:rsidP="07FC4C9B">
      <w:pPr>
        <w:rPr>
          <w:rFonts w:eastAsia="Arial" w:cs="Arial"/>
          <w:b/>
          <w:bCs/>
          <w:sz w:val="22"/>
          <w:szCs w:val="22"/>
        </w:rPr>
      </w:pPr>
      <w:r w:rsidRPr="2781B873">
        <w:rPr>
          <w:rFonts w:eastAsia="Arial" w:cs="Arial"/>
          <w:b/>
          <w:bCs/>
          <w:sz w:val="22"/>
          <w:szCs w:val="22"/>
        </w:rPr>
        <w:t>Indicator progress since inception</w:t>
      </w:r>
      <w:r w:rsidR="4EEA142A" w:rsidRPr="2781B873">
        <w:rPr>
          <w:rFonts w:eastAsia="Arial" w:cs="Arial"/>
          <w:b/>
          <w:bCs/>
          <w:sz w:val="22"/>
          <w:szCs w:val="22"/>
        </w:rPr>
        <w:t xml:space="preserve"> (Fund level)</w:t>
      </w:r>
    </w:p>
    <w:p w14:paraId="1242A24E" w14:textId="77777777" w:rsidR="00C238F5" w:rsidRDefault="00C238F5" w:rsidP="07FC4C9B">
      <w:pPr>
        <w:rPr>
          <w:rFonts w:eastAsia="Arial" w:cs="Arial"/>
          <w:b/>
          <w:bCs/>
          <w:sz w:val="22"/>
          <w:szCs w:val="22"/>
        </w:rPr>
      </w:pPr>
    </w:p>
    <w:p w14:paraId="78D2F8A7" w14:textId="6C216AE3" w:rsidR="00C238F5" w:rsidRPr="003B1958" w:rsidRDefault="003B1958" w:rsidP="07FC4C9B">
      <w:pPr>
        <w:rPr>
          <w:rFonts w:eastAsia="Arial" w:cs="Arial"/>
          <w:sz w:val="22"/>
          <w:szCs w:val="22"/>
        </w:rPr>
      </w:pPr>
      <w:r w:rsidRPr="003B1958">
        <w:rPr>
          <w:rFonts w:eastAsia="Arial" w:cs="Arial"/>
          <w:sz w:val="22"/>
          <w:szCs w:val="22"/>
        </w:rPr>
        <w:t>The Fund reports on all</w:t>
      </w:r>
      <w:r>
        <w:rPr>
          <w:rFonts w:eastAsia="Arial" w:cs="Arial"/>
          <w:sz w:val="22"/>
          <w:szCs w:val="22"/>
        </w:rPr>
        <w:t xml:space="preserve"> its impact indicators cumulatively, and so it is in this form that data is provided to Defra</w:t>
      </w:r>
      <w:r w:rsidR="00242808">
        <w:rPr>
          <w:rFonts w:eastAsia="Arial" w:cs="Arial"/>
          <w:sz w:val="22"/>
          <w:szCs w:val="22"/>
        </w:rPr>
        <w:t>, and that milestones have been set</w:t>
      </w:r>
      <w:r w:rsidR="00DD627B">
        <w:rPr>
          <w:rFonts w:eastAsia="Arial" w:cs="Arial"/>
          <w:sz w:val="22"/>
          <w:szCs w:val="22"/>
        </w:rPr>
        <w:t>. A graphic representation of the trends since 2017 for key indicators is provided in the charts belo</w:t>
      </w:r>
      <w:r w:rsidR="002B58EB">
        <w:rPr>
          <w:rFonts w:eastAsia="Arial" w:cs="Arial"/>
          <w:sz w:val="22"/>
          <w:szCs w:val="22"/>
        </w:rPr>
        <w:t>w, while detail of the increase in any given year can be extracted from the LogFrame by comparing against previous</w:t>
      </w:r>
      <w:r w:rsidR="00C27B11">
        <w:rPr>
          <w:rFonts w:eastAsia="Arial" w:cs="Arial"/>
          <w:sz w:val="22"/>
          <w:szCs w:val="22"/>
        </w:rPr>
        <w:t xml:space="preserve"> results</w:t>
      </w:r>
      <w:r w:rsidR="00001D1E">
        <w:rPr>
          <w:rFonts w:eastAsia="Arial" w:cs="Arial"/>
          <w:sz w:val="22"/>
          <w:szCs w:val="22"/>
        </w:rPr>
        <w:t>, and this year’s increases are included throughout the AR</w:t>
      </w:r>
      <w:r w:rsidR="00290E90">
        <w:rPr>
          <w:rFonts w:eastAsia="Arial" w:cs="Arial"/>
          <w:sz w:val="22"/>
          <w:szCs w:val="22"/>
        </w:rPr>
        <w:t xml:space="preserve"> as (+/-) figures in tables</w:t>
      </w:r>
      <w:r w:rsidR="00C27B11">
        <w:rPr>
          <w:rFonts w:eastAsia="Arial" w:cs="Arial"/>
          <w:sz w:val="22"/>
          <w:szCs w:val="22"/>
        </w:rPr>
        <w:t>.</w:t>
      </w:r>
    </w:p>
    <w:p w14:paraId="1CE02077" w14:textId="381C7D05" w:rsidR="07FC4C9B" w:rsidRPr="001259B0" w:rsidRDefault="00CE3AC6" w:rsidP="07FC4C9B">
      <w:pPr>
        <w:sectPr w:rsidR="07FC4C9B" w:rsidRPr="001259B0" w:rsidSect="007A43F7">
          <w:headerReference w:type="default" r:id="rId17"/>
          <w:footerReference w:type="default" r:id="rId18"/>
          <w:type w:val="continuous"/>
          <w:pgSz w:w="11906" w:h="16838" w:code="9"/>
          <w:pgMar w:top="709" w:right="709" w:bottom="709" w:left="709" w:header="284" w:footer="284" w:gutter="0"/>
          <w:cols w:space="708"/>
          <w:docGrid w:linePitch="360"/>
        </w:sectPr>
      </w:pPr>
      <w:r>
        <w:rPr>
          <w:noProof/>
        </w:rPr>
        <w:lastRenderedPageBreak/>
        <w:drawing>
          <wp:anchor distT="0" distB="0" distL="114300" distR="114300" simplePos="0" relativeHeight="251658240" behindDoc="0" locked="0" layoutInCell="1" allowOverlap="1" wp14:anchorId="6E45D6D0" wp14:editId="505EA02E">
            <wp:simplePos x="0" y="0"/>
            <wp:positionH relativeFrom="margin">
              <wp:align>left</wp:align>
            </wp:positionH>
            <wp:positionV relativeFrom="paragraph">
              <wp:posOffset>530579</wp:posOffset>
            </wp:positionV>
            <wp:extent cx="6470015" cy="4999355"/>
            <wp:effectExtent l="0" t="0" r="0" b="0"/>
            <wp:wrapTopAndBottom/>
            <wp:docPr id="1797134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0015" cy="4999355"/>
                    </a:xfrm>
                    <a:prstGeom prst="rect">
                      <a:avLst/>
                    </a:prstGeom>
                    <a:noFill/>
                  </pic:spPr>
                </pic:pic>
              </a:graphicData>
            </a:graphic>
            <wp14:sizeRelH relativeFrom="margin">
              <wp14:pctWidth>0</wp14:pctWidth>
            </wp14:sizeRelH>
            <wp14:sizeRelV relativeFrom="margin">
              <wp14:pctHeight>0</wp14:pctHeight>
            </wp14:sizeRelV>
          </wp:anchor>
        </w:drawing>
      </w:r>
    </w:p>
    <w:p w14:paraId="3FB118D0" w14:textId="781FD169" w:rsidR="0D311865" w:rsidRPr="00A54B18" w:rsidRDefault="0D311865" w:rsidP="005E557A">
      <w:pPr>
        <w:rPr>
          <w:rFonts w:eastAsia="Arial" w:cs="Arial"/>
          <w:b/>
          <w:bCs/>
        </w:rPr>
      </w:pPr>
    </w:p>
    <w:p w14:paraId="2A8D2D29" w14:textId="765F21B0" w:rsidR="0D311865" w:rsidRPr="00A54B18" w:rsidRDefault="676B675B" w:rsidP="005E557A">
      <w:pPr>
        <w:pStyle w:val="Normal1"/>
        <w:spacing w:after="120"/>
        <w:jc w:val="both"/>
        <w:rPr>
          <w:sz w:val="22"/>
          <w:szCs w:val="22"/>
        </w:rPr>
      </w:pPr>
      <w:r w:rsidRPr="07FC4C9B">
        <w:rPr>
          <w:b/>
          <w:bCs/>
          <w:sz w:val="22"/>
          <w:szCs w:val="22"/>
        </w:rPr>
        <w:t xml:space="preserve">Progress on </w:t>
      </w:r>
      <w:r w:rsidR="000E50A6">
        <w:rPr>
          <w:b/>
          <w:bCs/>
          <w:sz w:val="22"/>
          <w:szCs w:val="22"/>
        </w:rPr>
        <w:t>Targets</w:t>
      </w:r>
    </w:p>
    <w:p w14:paraId="3992F29D" w14:textId="77777777" w:rsidR="009D2C70" w:rsidRDefault="009D2C70" w:rsidP="005E557A">
      <w:pPr>
        <w:jc w:val="both"/>
        <w:rPr>
          <w:rFonts w:eastAsia="Arial" w:cs="Arial"/>
          <w:color w:val="000000" w:themeColor="text1"/>
          <w:sz w:val="22"/>
          <w:szCs w:val="22"/>
        </w:rPr>
      </w:pPr>
    </w:p>
    <w:p w14:paraId="50ADD08D" w14:textId="53FFC142" w:rsidR="6A4975E0" w:rsidRDefault="6A4975E0" w:rsidP="07FC4C9B">
      <w:pPr>
        <w:jc w:val="both"/>
        <w:rPr>
          <w:sz w:val="22"/>
          <w:szCs w:val="22"/>
        </w:rPr>
      </w:pPr>
      <w:r w:rsidRPr="07FC4C9B">
        <w:rPr>
          <w:rFonts w:eastAsia="Arial" w:cs="Arial"/>
          <w:color w:val="000000" w:themeColor="text1"/>
          <w:sz w:val="22"/>
          <w:szCs w:val="22"/>
        </w:rPr>
        <w:t>The Fund has continued to progress strongly in 2023 – all but one recorded</w:t>
      </w:r>
      <w:r w:rsidR="000E50A6">
        <w:rPr>
          <w:rFonts w:eastAsia="Arial" w:cs="Arial"/>
          <w:color w:val="000000" w:themeColor="text1"/>
          <w:sz w:val="22"/>
          <w:szCs w:val="22"/>
        </w:rPr>
        <w:t xml:space="preserve"> Impact I</w:t>
      </w:r>
      <w:r w:rsidRPr="07FC4C9B">
        <w:rPr>
          <w:rFonts w:eastAsia="Arial" w:cs="Arial"/>
          <w:color w:val="000000" w:themeColor="text1"/>
          <w:sz w:val="22"/>
          <w:szCs w:val="22"/>
        </w:rPr>
        <w:t>ndicator was met or exceeded</w:t>
      </w:r>
      <w:r w:rsidR="3944F1EE" w:rsidRPr="07FC4C9B">
        <w:rPr>
          <w:rFonts w:eastAsia="Arial" w:cs="Arial"/>
          <w:color w:val="000000" w:themeColor="text1"/>
          <w:sz w:val="22"/>
          <w:szCs w:val="22"/>
        </w:rPr>
        <w:t>, with Impact Indicator 1 ‘sustained</w:t>
      </w:r>
      <w:r w:rsidR="3944F1EE" w:rsidRPr="07FC4C9B">
        <w:rPr>
          <w:sz w:val="22"/>
          <w:szCs w:val="22"/>
        </w:rPr>
        <w:t xml:space="preserve"> and increased levels of funding in impact investment funds in Latin America ($m)</w:t>
      </w:r>
      <w:r w:rsidR="762BD48F" w:rsidRPr="07FC4C9B">
        <w:rPr>
          <w:sz w:val="22"/>
          <w:szCs w:val="22"/>
        </w:rPr>
        <w:t>’ slightly off track. Milestones for this annual review were set in the previous Annual Review.</w:t>
      </w:r>
      <w:r w:rsidR="01AC7287" w:rsidRPr="07FC4C9B">
        <w:rPr>
          <w:sz w:val="22"/>
          <w:szCs w:val="22"/>
        </w:rPr>
        <w:t xml:space="preserve"> Targets that require</w:t>
      </w:r>
      <w:r w:rsidR="000E50A6">
        <w:rPr>
          <w:sz w:val="22"/>
          <w:szCs w:val="22"/>
        </w:rPr>
        <w:t xml:space="preserve"> further</w:t>
      </w:r>
      <w:r w:rsidR="01AC7287" w:rsidRPr="07FC4C9B">
        <w:rPr>
          <w:sz w:val="22"/>
          <w:szCs w:val="22"/>
        </w:rPr>
        <w:t xml:space="preserve"> reconsideration are mentioned in the detailed target review later in this section.</w:t>
      </w:r>
      <w:r w:rsidR="762BD48F" w:rsidRPr="07FC4C9B">
        <w:rPr>
          <w:sz w:val="22"/>
          <w:szCs w:val="22"/>
        </w:rPr>
        <w:t xml:space="preserve"> A</w:t>
      </w:r>
      <w:r w:rsidR="6DE4FB4A" w:rsidRPr="07FC4C9B">
        <w:rPr>
          <w:sz w:val="22"/>
          <w:szCs w:val="22"/>
        </w:rPr>
        <w:t>mendment of any targets will take place</w:t>
      </w:r>
      <w:r w:rsidR="762BD48F" w:rsidRPr="07FC4C9B">
        <w:rPr>
          <w:sz w:val="22"/>
          <w:szCs w:val="22"/>
        </w:rPr>
        <w:t xml:space="preserve"> in 2024</w:t>
      </w:r>
      <w:r w:rsidR="75EECFE3" w:rsidRPr="07FC4C9B">
        <w:rPr>
          <w:sz w:val="22"/>
          <w:szCs w:val="22"/>
        </w:rPr>
        <w:t xml:space="preserve">/25 </w:t>
      </w:r>
      <w:r w:rsidR="762BD48F" w:rsidRPr="07FC4C9B">
        <w:rPr>
          <w:sz w:val="22"/>
          <w:szCs w:val="22"/>
        </w:rPr>
        <w:t>a</w:t>
      </w:r>
      <w:r w:rsidR="6B0BC2E2" w:rsidRPr="07FC4C9B">
        <w:rPr>
          <w:sz w:val="22"/>
          <w:szCs w:val="22"/>
        </w:rPr>
        <w:t>nd if any milestones are being significantly overachieved or are off-track, either more suitable milestones or remediation measures will be employed.</w:t>
      </w:r>
    </w:p>
    <w:p w14:paraId="63893F9C" w14:textId="77777777" w:rsidR="00FE4F4A" w:rsidRDefault="00FE4F4A" w:rsidP="07FC4C9B">
      <w:pPr>
        <w:jc w:val="both"/>
        <w:rPr>
          <w:sz w:val="22"/>
          <w:szCs w:val="22"/>
        </w:rPr>
      </w:pPr>
    </w:p>
    <w:p w14:paraId="2BBB3C05" w14:textId="496F5B37" w:rsidR="00FE4F4A" w:rsidRPr="00FE4F4A" w:rsidRDefault="00FE4F4A" w:rsidP="00FE4F4A">
      <w:pPr>
        <w:rPr>
          <w:sz w:val="22"/>
          <w:szCs w:val="22"/>
        </w:rPr>
      </w:pPr>
      <w:r w:rsidRPr="00FE4F4A">
        <w:rPr>
          <w:sz w:val="22"/>
          <w:szCs w:val="22"/>
          <w:lang w:val="en-US"/>
        </w:rPr>
        <w:t xml:space="preserve">Defra’s attribution is based on the percentage of the Fund which Defra represents directly as well as investment leveraged off Defra’s investment. </w:t>
      </w:r>
      <w:r w:rsidR="00073D25">
        <w:rPr>
          <w:sz w:val="22"/>
          <w:szCs w:val="22"/>
        </w:rPr>
        <w:t>Direct a</w:t>
      </w:r>
      <w:r w:rsidRPr="00FE4F4A">
        <w:rPr>
          <w:sz w:val="22"/>
          <w:szCs w:val="22"/>
        </w:rPr>
        <w:t xml:space="preserve">ttribution is calculated </w:t>
      </w:r>
      <w:r w:rsidR="00AA4909">
        <w:rPr>
          <w:sz w:val="22"/>
          <w:szCs w:val="22"/>
        </w:rPr>
        <w:t>as</w:t>
      </w:r>
      <w:r w:rsidRPr="00FE4F4A">
        <w:rPr>
          <w:sz w:val="22"/>
          <w:szCs w:val="22"/>
        </w:rPr>
        <w:t xml:space="preserve"> the percentage of Defra’s share in the Fund each year</w:t>
      </w:r>
      <w:r w:rsidR="002B0C76">
        <w:rPr>
          <w:sz w:val="22"/>
          <w:szCs w:val="22"/>
        </w:rPr>
        <w:t>,</w:t>
      </w:r>
      <w:r w:rsidRPr="00FE4F4A">
        <w:rPr>
          <w:sz w:val="22"/>
          <w:szCs w:val="22"/>
        </w:rPr>
        <w:t xml:space="preserve"> </w:t>
      </w:r>
      <w:r w:rsidR="00AA4909">
        <w:rPr>
          <w:sz w:val="22"/>
          <w:szCs w:val="22"/>
        </w:rPr>
        <w:t>multiplied by</w:t>
      </w:r>
      <w:r w:rsidRPr="00FE4F4A">
        <w:rPr>
          <w:sz w:val="22"/>
          <w:szCs w:val="22"/>
        </w:rPr>
        <w:t xml:space="preserve"> the increase in Fund level results, and added to the previous year’s attribution. </w:t>
      </w:r>
      <w:r w:rsidRPr="00FE4F4A">
        <w:rPr>
          <w:sz w:val="22"/>
          <w:szCs w:val="22"/>
          <w:lang w:val="en-US"/>
        </w:rPr>
        <w:t>Leveraged attribution is based on the impacts of additional finance leveraged by Defra’s investment</w:t>
      </w:r>
      <w:r w:rsidR="009E2704">
        <w:rPr>
          <w:sz w:val="22"/>
          <w:szCs w:val="22"/>
          <w:lang w:val="en-US"/>
        </w:rPr>
        <w:t>.</w:t>
      </w:r>
    </w:p>
    <w:p w14:paraId="3E520ED2" w14:textId="77777777" w:rsidR="00FE4F4A" w:rsidRDefault="00FE4F4A" w:rsidP="00FE4F4A">
      <w:pPr>
        <w:rPr>
          <w:sz w:val="22"/>
          <w:szCs w:val="22"/>
        </w:rPr>
      </w:pPr>
    </w:p>
    <w:p w14:paraId="48FA56F8" w14:textId="46722AF6" w:rsidR="00FE4F4A" w:rsidRPr="00FE4F4A" w:rsidRDefault="00FE4F4A" w:rsidP="00FE4F4A">
      <w:pPr>
        <w:rPr>
          <w:sz w:val="22"/>
          <w:szCs w:val="22"/>
        </w:rPr>
      </w:pPr>
      <w:r w:rsidRPr="00FE4F4A">
        <w:rPr>
          <w:sz w:val="22"/>
          <w:szCs w:val="22"/>
        </w:rPr>
        <w:t xml:space="preserve">In previous annual reviews, an additionality rate of 50% </w:t>
      </w:r>
      <w:r w:rsidR="00F21E10">
        <w:rPr>
          <w:sz w:val="22"/>
          <w:szCs w:val="22"/>
        </w:rPr>
        <w:t>w</w:t>
      </w:r>
      <w:r w:rsidRPr="00FE4F4A">
        <w:rPr>
          <w:sz w:val="22"/>
          <w:szCs w:val="22"/>
        </w:rPr>
        <w:t xml:space="preserve">as applied to Defra’s attributed figures due to perceived uncertainties in the additional impact of Defra’s investment beyond what might have been expected to occur anyway. Following discussion with Defra’s ODA Hub, continued confidence in </w:t>
      </w:r>
      <w:r w:rsidR="00F21E10">
        <w:rPr>
          <w:sz w:val="22"/>
          <w:szCs w:val="22"/>
        </w:rPr>
        <w:t>EBF</w:t>
      </w:r>
      <w:r w:rsidRPr="00FE4F4A">
        <w:rPr>
          <w:sz w:val="22"/>
          <w:szCs w:val="22"/>
        </w:rPr>
        <w:t xml:space="preserve">’s reporting methodologies, and in ensuring alignment with the approach of other ODA programming, it has been decided that this 50% reduction will be removed across Defra’s attributed figures from the 2023 </w:t>
      </w:r>
      <w:r w:rsidR="00F21E10">
        <w:rPr>
          <w:sz w:val="22"/>
          <w:szCs w:val="22"/>
        </w:rPr>
        <w:t>AR</w:t>
      </w:r>
      <w:r w:rsidRPr="00FE4F4A">
        <w:rPr>
          <w:sz w:val="22"/>
          <w:szCs w:val="22"/>
        </w:rPr>
        <w:t xml:space="preserve"> onwards.</w:t>
      </w:r>
      <w:r w:rsidR="00E00CB6">
        <w:rPr>
          <w:sz w:val="22"/>
          <w:szCs w:val="22"/>
        </w:rPr>
        <w:t xml:space="preserve"> The size of the Fund is limited only by availability of investors, and particularly of Junior Capital, so every pound invested by this programme is additional, and has allowed the Fund to make larger loans to more PIs than would otherwise have been the case. At </w:t>
      </w:r>
      <w:r w:rsidR="00F97D3E">
        <w:rPr>
          <w:sz w:val="22"/>
          <w:szCs w:val="22"/>
        </w:rPr>
        <w:t>end-borrower</w:t>
      </w:r>
      <w:r w:rsidR="00E00CB6">
        <w:rPr>
          <w:sz w:val="22"/>
          <w:szCs w:val="22"/>
        </w:rPr>
        <w:t xml:space="preserve"> level, the sustainable land use sector is also far from saturation in seeking </w:t>
      </w:r>
      <w:r w:rsidR="00F97D3E">
        <w:rPr>
          <w:sz w:val="22"/>
          <w:szCs w:val="22"/>
        </w:rPr>
        <w:t>sustainable finance</w:t>
      </w:r>
      <w:r w:rsidR="00E00CB6">
        <w:rPr>
          <w:sz w:val="22"/>
          <w:szCs w:val="22"/>
        </w:rPr>
        <w:t xml:space="preserve">, so the additionality of loans to </w:t>
      </w:r>
      <w:r w:rsidR="00BE69E7">
        <w:rPr>
          <w:sz w:val="22"/>
          <w:szCs w:val="22"/>
        </w:rPr>
        <w:t>end-borrowers</w:t>
      </w:r>
      <w:r w:rsidR="00E00CB6">
        <w:rPr>
          <w:sz w:val="22"/>
          <w:szCs w:val="22"/>
        </w:rPr>
        <w:t xml:space="preserve"> is also 100%.</w:t>
      </w:r>
    </w:p>
    <w:p w14:paraId="0FA759EC" w14:textId="77777777" w:rsidR="00FE4F4A" w:rsidRDefault="00FE4F4A" w:rsidP="07FC4C9B">
      <w:pPr>
        <w:jc w:val="both"/>
        <w:rPr>
          <w:sz w:val="22"/>
          <w:szCs w:val="22"/>
        </w:rPr>
      </w:pPr>
    </w:p>
    <w:p w14:paraId="55B1420C" w14:textId="23C1CB75" w:rsidR="00FE4F4A" w:rsidRPr="00FE4F4A" w:rsidRDefault="00FE4F4A" w:rsidP="07FC4C9B">
      <w:pPr>
        <w:jc w:val="both"/>
        <w:rPr>
          <w:b/>
          <w:bCs/>
          <w:sz w:val="22"/>
          <w:szCs w:val="22"/>
        </w:rPr>
      </w:pPr>
      <w:r>
        <w:rPr>
          <w:b/>
          <w:bCs/>
          <w:sz w:val="22"/>
          <w:szCs w:val="22"/>
        </w:rPr>
        <w:t xml:space="preserve">Indicator </w:t>
      </w:r>
      <w:r w:rsidRPr="00FE4F4A">
        <w:rPr>
          <w:b/>
          <w:bCs/>
          <w:sz w:val="22"/>
          <w:szCs w:val="22"/>
        </w:rPr>
        <w:t>Analysis</w:t>
      </w:r>
    </w:p>
    <w:p w14:paraId="676760ED" w14:textId="77777777" w:rsidR="000E50A6" w:rsidRDefault="000E50A6" w:rsidP="07FC4C9B">
      <w:pPr>
        <w:jc w:val="both"/>
        <w:rPr>
          <w:sz w:val="22"/>
          <w:szCs w:val="22"/>
        </w:rPr>
      </w:pPr>
    </w:p>
    <w:p w14:paraId="2FE9DBE3" w14:textId="0BB236BD" w:rsidR="000E50A6" w:rsidRDefault="000E50A6" w:rsidP="07FC4C9B">
      <w:pPr>
        <w:jc w:val="both"/>
        <w:rPr>
          <w:sz w:val="22"/>
          <w:szCs w:val="22"/>
        </w:rPr>
      </w:pPr>
      <w:r w:rsidRPr="79DE95F6">
        <w:rPr>
          <w:sz w:val="22"/>
          <w:szCs w:val="22"/>
        </w:rPr>
        <w:t xml:space="preserve">Impact </w:t>
      </w:r>
      <w:r w:rsidRPr="79DE95F6">
        <w:rPr>
          <w:rFonts w:eastAsia="Arial" w:cs="Arial"/>
          <w:color w:val="000000" w:themeColor="text1"/>
          <w:sz w:val="22"/>
          <w:szCs w:val="22"/>
        </w:rPr>
        <w:t>Indicator 1 relates to the portfolio size of the EBF that is driven by many factors such as timing and type of funding, investment opportunities, and risk limits. For the year 2023, the indicator has been off track for various reasons. The global macroeconomic environment (i.e. persistently high inflation and high interest rates) had a significant impact on the investment opportunities in the region that are feasible for the Fund to pursue – investments that meet the ‘Risk – Return – Impact’ expectations of the Fund. The EBF expects more of such opportunities to be available once the global business cycle reverts to a more optimistic climate. Taking an outlook based on the current funding structure composition of the EBF, the most critical type of funding required to grow the portfolio is the catalytical Junior Shares. This is due to the fundamental Investor Protection Level capital risk structure of the EBF, where growth of the Fund requires additional Junior Share funding once the prescribed Private Investor leverage levels are close to the maximum.</w:t>
      </w:r>
      <w:r w:rsidR="00751DEE" w:rsidRPr="79DE95F6">
        <w:rPr>
          <w:rFonts w:eastAsia="Arial" w:cs="Arial"/>
          <w:color w:val="000000" w:themeColor="text1"/>
          <w:sz w:val="22"/>
          <w:szCs w:val="22"/>
        </w:rPr>
        <w:t xml:space="preserve"> </w:t>
      </w:r>
      <w:r w:rsidR="00834DE7">
        <w:rPr>
          <w:rFonts w:eastAsia="Arial" w:cs="Arial"/>
          <w:color w:val="000000" w:themeColor="text1"/>
          <w:sz w:val="22"/>
          <w:szCs w:val="22"/>
        </w:rPr>
        <w:t>Additional</w:t>
      </w:r>
      <w:r w:rsidR="00751DEE" w:rsidRPr="79DE95F6">
        <w:rPr>
          <w:rFonts w:eastAsia="Arial" w:cs="Arial"/>
          <w:color w:val="000000" w:themeColor="text1"/>
          <w:sz w:val="22"/>
          <w:szCs w:val="22"/>
        </w:rPr>
        <w:t xml:space="preserve"> Junior Shares have been required to grow the portfolio further and it is hoped that they will be secured in the coming years.</w:t>
      </w:r>
      <w:r w:rsidR="006C5471">
        <w:rPr>
          <w:rFonts w:eastAsia="Arial" w:cs="Arial"/>
          <w:color w:val="000000" w:themeColor="text1"/>
          <w:sz w:val="22"/>
          <w:szCs w:val="22"/>
        </w:rPr>
        <w:t xml:space="preserve"> </w:t>
      </w:r>
      <w:r w:rsidR="00844951">
        <w:rPr>
          <w:rFonts w:eastAsia="Arial" w:cs="Arial"/>
          <w:color w:val="000000" w:themeColor="text1"/>
          <w:sz w:val="22"/>
          <w:szCs w:val="22"/>
        </w:rPr>
        <w:t>W</w:t>
      </w:r>
      <w:r w:rsidR="00923B71">
        <w:rPr>
          <w:rFonts w:eastAsia="Arial" w:cs="Arial"/>
          <w:color w:val="000000" w:themeColor="text1"/>
          <w:sz w:val="22"/>
          <w:szCs w:val="22"/>
        </w:rPr>
        <w:t xml:space="preserve">hile the portfolio size </w:t>
      </w:r>
      <w:r w:rsidR="00844951">
        <w:rPr>
          <w:rFonts w:eastAsia="Arial" w:cs="Arial"/>
          <w:color w:val="000000" w:themeColor="text1"/>
          <w:sz w:val="22"/>
          <w:szCs w:val="22"/>
        </w:rPr>
        <w:t xml:space="preserve">for live investments </w:t>
      </w:r>
      <w:r w:rsidR="00923B71">
        <w:rPr>
          <w:rFonts w:eastAsia="Arial" w:cs="Arial"/>
          <w:color w:val="000000" w:themeColor="text1"/>
          <w:sz w:val="22"/>
          <w:szCs w:val="22"/>
        </w:rPr>
        <w:t xml:space="preserve">has shrunk this year, </w:t>
      </w:r>
      <w:r w:rsidR="00844951">
        <w:rPr>
          <w:rFonts w:eastAsia="Arial" w:cs="Arial"/>
          <w:color w:val="000000" w:themeColor="text1"/>
          <w:sz w:val="22"/>
          <w:szCs w:val="22"/>
        </w:rPr>
        <w:t>many</w:t>
      </w:r>
      <w:r w:rsidR="00923B71">
        <w:rPr>
          <w:rFonts w:eastAsia="Arial" w:cs="Arial"/>
          <w:color w:val="000000" w:themeColor="text1"/>
          <w:sz w:val="22"/>
          <w:szCs w:val="22"/>
        </w:rPr>
        <w:t xml:space="preserve"> loans have been repaid and</w:t>
      </w:r>
      <w:r w:rsidR="00204196">
        <w:rPr>
          <w:rFonts w:eastAsia="Arial" w:cs="Arial"/>
          <w:color w:val="000000" w:themeColor="text1"/>
          <w:sz w:val="22"/>
          <w:szCs w:val="22"/>
        </w:rPr>
        <w:t xml:space="preserve"> then</w:t>
      </w:r>
      <w:r w:rsidR="00923B71">
        <w:rPr>
          <w:rFonts w:eastAsia="Arial" w:cs="Arial"/>
          <w:color w:val="000000" w:themeColor="text1"/>
          <w:sz w:val="22"/>
          <w:szCs w:val="22"/>
        </w:rPr>
        <w:t xml:space="preserve"> reinvested</w:t>
      </w:r>
      <w:r w:rsidR="00714131">
        <w:rPr>
          <w:rFonts w:eastAsia="Arial" w:cs="Arial"/>
          <w:color w:val="000000" w:themeColor="text1"/>
          <w:sz w:val="22"/>
          <w:szCs w:val="22"/>
        </w:rPr>
        <w:t>, allowing EBF to make eight new investments this year</w:t>
      </w:r>
      <w:r w:rsidR="00872285">
        <w:rPr>
          <w:rFonts w:eastAsia="Arial" w:cs="Arial"/>
          <w:color w:val="000000" w:themeColor="text1"/>
          <w:sz w:val="22"/>
          <w:szCs w:val="22"/>
        </w:rPr>
        <w:t>.</w:t>
      </w:r>
      <w:r w:rsidR="007F4EF3">
        <w:rPr>
          <w:rFonts w:eastAsia="Arial" w:cs="Arial"/>
          <w:color w:val="000000" w:themeColor="text1"/>
          <w:sz w:val="22"/>
          <w:szCs w:val="22"/>
        </w:rPr>
        <w:t xml:space="preserve"> </w:t>
      </w:r>
      <w:r w:rsidR="00567AEB">
        <w:rPr>
          <w:rFonts w:eastAsia="Arial" w:cs="Arial"/>
          <w:color w:val="000000" w:themeColor="text1"/>
          <w:sz w:val="22"/>
          <w:szCs w:val="22"/>
        </w:rPr>
        <w:t>Consequently, i</w:t>
      </w:r>
      <w:r w:rsidR="00872285">
        <w:rPr>
          <w:rFonts w:eastAsia="Arial" w:cs="Arial"/>
          <w:color w:val="000000" w:themeColor="text1"/>
          <w:sz w:val="22"/>
          <w:szCs w:val="22"/>
        </w:rPr>
        <w:t>n 2023, $118.5 million was still disbursed</w:t>
      </w:r>
      <w:r w:rsidR="00567AEB">
        <w:rPr>
          <w:rFonts w:eastAsia="Arial" w:cs="Arial"/>
          <w:color w:val="000000" w:themeColor="text1"/>
          <w:sz w:val="22"/>
          <w:szCs w:val="22"/>
        </w:rPr>
        <w:t xml:space="preserve"> to PIs despite the portfolio size shrinking overall;</w:t>
      </w:r>
      <w:r w:rsidR="00872285">
        <w:rPr>
          <w:rFonts w:eastAsia="Arial" w:cs="Arial"/>
          <w:color w:val="000000" w:themeColor="text1"/>
          <w:sz w:val="22"/>
          <w:szCs w:val="22"/>
        </w:rPr>
        <w:t xml:space="preserve"> </w:t>
      </w:r>
      <w:r w:rsidR="000F38DA">
        <w:rPr>
          <w:rFonts w:eastAsia="Arial" w:cs="Arial"/>
          <w:color w:val="000000" w:themeColor="text1"/>
          <w:sz w:val="22"/>
          <w:szCs w:val="22"/>
        </w:rPr>
        <w:t xml:space="preserve">the total amount disbursed by the Fund </w:t>
      </w:r>
      <w:r w:rsidR="007F4EF3">
        <w:rPr>
          <w:rFonts w:eastAsia="Arial" w:cs="Arial"/>
          <w:color w:val="000000" w:themeColor="text1"/>
          <w:sz w:val="22"/>
          <w:szCs w:val="22"/>
        </w:rPr>
        <w:t xml:space="preserve">in LAC </w:t>
      </w:r>
      <w:r w:rsidR="00204196">
        <w:rPr>
          <w:rFonts w:eastAsia="Arial" w:cs="Arial"/>
          <w:color w:val="000000" w:themeColor="text1"/>
          <w:sz w:val="22"/>
          <w:szCs w:val="22"/>
        </w:rPr>
        <w:t>between inception and 2023 wa</w:t>
      </w:r>
      <w:r w:rsidR="000F38DA">
        <w:rPr>
          <w:rFonts w:eastAsia="Arial" w:cs="Arial"/>
          <w:color w:val="000000" w:themeColor="text1"/>
          <w:sz w:val="22"/>
          <w:szCs w:val="22"/>
        </w:rPr>
        <w:t xml:space="preserve">s </w:t>
      </w:r>
      <w:r w:rsidR="006F4762">
        <w:rPr>
          <w:rFonts w:eastAsia="Arial" w:cs="Arial"/>
          <w:color w:val="000000" w:themeColor="text1"/>
          <w:sz w:val="22"/>
          <w:szCs w:val="22"/>
        </w:rPr>
        <w:t>$1,137</w:t>
      </w:r>
      <w:r w:rsidR="00AC4674">
        <w:rPr>
          <w:rFonts w:eastAsia="Arial" w:cs="Arial"/>
          <w:color w:val="000000" w:themeColor="text1"/>
          <w:sz w:val="22"/>
          <w:szCs w:val="22"/>
        </w:rPr>
        <w:t>.5</w:t>
      </w:r>
      <w:r w:rsidR="006F4762">
        <w:rPr>
          <w:rFonts w:eastAsia="Arial" w:cs="Arial"/>
          <w:color w:val="000000" w:themeColor="text1"/>
          <w:sz w:val="22"/>
          <w:szCs w:val="22"/>
        </w:rPr>
        <w:t xml:space="preserve"> million.</w:t>
      </w:r>
    </w:p>
    <w:p w14:paraId="175390B0" w14:textId="18AD03E5" w:rsidR="07FC4C9B" w:rsidRDefault="07FC4C9B" w:rsidP="07FC4C9B">
      <w:pPr>
        <w:jc w:val="both"/>
        <w:rPr>
          <w:sz w:val="22"/>
          <w:szCs w:val="22"/>
        </w:rPr>
      </w:pPr>
    </w:p>
    <w:p w14:paraId="6043BFC8" w14:textId="5C1908F7" w:rsidR="47DB7CE2" w:rsidRDefault="47DB7CE2" w:rsidP="07FC4C9B">
      <w:pPr>
        <w:jc w:val="both"/>
        <w:rPr>
          <w:sz w:val="22"/>
          <w:szCs w:val="22"/>
        </w:rPr>
      </w:pPr>
      <w:r w:rsidRPr="07FC4C9B">
        <w:rPr>
          <w:sz w:val="22"/>
          <w:szCs w:val="22"/>
        </w:rPr>
        <w:t>For Outcome Indicator 1.1 the Fund achieved a significant increase on</w:t>
      </w:r>
      <w:r w:rsidR="5B095785" w:rsidRPr="07FC4C9B">
        <w:rPr>
          <w:sz w:val="22"/>
          <w:szCs w:val="22"/>
        </w:rPr>
        <w:t xml:space="preserve"> the</w:t>
      </w:r>
      <w:r w:rsidRPr="07FC4C9B">
        <w:rPr>
          <w:sz w:val="22"/>
          <w:szCs w:val="22"/>
        </w:rPr>
        <w:t xml:space="preserve"> previously reported</w:t>
      </w:r>
      <w:r w:rsidR="0E891172" w:rsidRPr="07FC4C9B">
        <w:rPr>
          <w:sz w:val="22"/>
          <w:szCs w:val="22"/>
        </w:rPr>
        <w:t xml:space="preserve"> water saving</w:t>
      </w:r>
      <w:r w:rsidRPr="07FC4C9B">
        <w:rPr>
          <w:sz w:val="22"/>
          <w:szCs w:val="22"/>
        </w:rPr>
        <w:t xml:space="preserve"> results</w:t>
      </w:r>
      <w:r w:rsidR="00AE5872">
        <w:rPr>
          <w:sz w:val="22"/>
          <w:szCs w:val="22"/>
        </w:rPr>
        <w:t>, partly</w:t>
      </w:r>
      <w:r w:rsidR="00706BCF">
        <w:rPr>
          <w:sz w:val="22"/>
          <w:szCs w:val="22"/>
        </w:rPr>
        <w:t xml:space="preserve"> due to an expansion of rice</w:t>
      </w:r>
      <w:r w:rsidR="00531683">
        <w:rPr>
          <w:sz w:val="22"/>
          <w:szCs w:val="22"/>
        </w:rPr>
        <w:t xml:space="preserve"> investments within the portfolio (on which the methodology for water savings in previous years was primarily based), but also</w:t>
      </w:r>
      <w:r w:rsidR="3AC250AD" w:rsidRPr="07FC4C9B">
        <w:rPr>
          <w:sz w:val="22"/>
          <w:szCs w:val="22"/>
        </w:rPr>
        <w:t xml:space="preserve"> due to</w:t>
      </w:r>
      <w:r w:rsidR="0011784F">
        <w:rPr>
          <w:sz w:val="22"/>
          <w:szCs w:val="22"/>
        </w:rPr>
        <w:t xml:space="preserve"> the addition of a</w:t>
      </w:r>
      <w:r w:rsidR="00554EC5">
        <w:rPr>
          <w:sz w:val="22"/>
          <w:szCs w:val="22"/>
        </w:rPr>
        <w:t xml:space="preserve"> </w:t>
      </w:r>
      <w:r w:rsidR="0011784F">
        <w:rPr>
          <w:sz w:val="22"/>
          <w:szCs w:val="22"/>
        </w:rPr>
        <w:t>n</w:t>
      </w:r>
      <w:r w:rsidR="00554EC5">
        <w:rPr>
          <w:sz w:val="22"/>
          <w:szCs w:val="22"/>
        </w:rPr>
        <w:t>ew</w:t>
      </w:r>
      <w:r w:rsidR="00A7783D">
        <w:rPr>
          <w:sz w:val="22"/>
          <w:szCs w:val="22"/>
        </w:rPr>
        <w:t xml:space="preserve">ly </w:t>
      </w:r>
      <w:r w:rsidR="00C12211">
        <w:rPr>
          <w:sz w:val="22"/>
          <w:szCs w:val="22"/>
        </w:rPr>
        <w:t xml:space="preserve">created </w:t>
      </w:r>
      <w:r w:rsidR="00C12211" w:rsidRPr="07FC4C9B">
        <w:rPr>
          <w:sz w:val="22"/>
          <w:szCs w:val="22"/>
        </w:rPr>
        <w:t>reporting</w:t>
      </w:r>
      <w:r w:rsidR="3AC250AD" w:rsidRPr="07FC4C9B">
        <w:rPr>
          <w:sz w:val="22"/>
          <w:szCs w:val="22"/>
        </w:rPr>
        <w:t xml:space="preserve"> methodology</w:t>
      </w:r>
      <w:r w:rsidR="00554EC5">
        <w:rPr>
          <w:sz w:val="22"/>
          <w:szCs w:val="22"/>
        </w:rPr>
        <w:t xml:space="preserve"> </w:t>
      </w:r>
      <w:r w:rsidR="00A26365">
        <w:rPr>
          <w:sz w:val="22"/>
          <w:szCs w:val="22"/>
        </w:rPr>
        <w:t>for</w:t>
      </w:r>
      <w:r w:rsidR="00554EC5">
        <w:rPr>
          <w:sz w:val="22"/>
          <w:szCs w:val="22"/>
        </w:rPr>
        <w:t xml:space="preserve"> </w:t>
      </w:r>
      <w:r w:rsidR="00DE7D51">
        <w:rPr>
          <w:sz w:val="22"/>
          <w:szCs w:val="22"/>
        </w:rPr>
        <w:t>dry-cleaning</w:t>
      </w:r>
      <w:r w:rsidR="00554EC5">
        <w:rPr>
          <w:sz w:val="22"/>
          <w:szCs w:val="22"/>
        </w:rPr>
        <w:t xml:space="preserve"> </w:t>
      </w:r>
      <w:r w:rsidR="00D275CD">
        <w:rPr>
          <w:sz w:val="22"/>
          <w:szCs w:val="22"/>
        </w:rPr>
        <w:t xml:space="preserve">technology </w:t>
      </w:r>
      <w:r w:rsidR="00554EC5">
        <w:rPr>
          <w:sz w:val="22"/>
          <w:szCs w:val="22"/>
        </w:rPr>
        <w:t>of sugar cane</w:t>
      </w:r>
      <w:r w:rsidR="00A414B4">
        <w:rPr>
          <w:sz w:val="22"/>
          <w:szCs w:val="22"/>
        </w:rPr>
        <w:t>, which significant</w:t>
      </w:r>
      <w:r w:rsidR="00DE7D51">
        <w:rPr>
          <w:sz w:val="22"/>
          <w:szCs w:val="22"/>
        </w:rPr>
        <w:t>l</w:t>
      </w:r>
      <w:r w:rsidR="00A414B4">
        <w:rPr>
          <w:sz w:val="22"/>
          <w:szCs w:val="22"/>
        </w:rPr>
        <w:t>y</w:t>
      </w:r>
      <w:r w:rsidR="00DE7D51">
        <w:rPr>
          <w:sz w:val="22"/>
          <w:szCs w:val="22"/>
        </w:rPr>
        <w:t xml:space="preserve"> </w:t>
      </w:r>
      <w:r w:rsidR="00A414B4" w:rsidRPr="00A414B4">
        <w:rPr>
          <w:sz w:val="22"/>
          <w:szCs w:val="22"/>
        </w:rPr>
        <w:t>reduc</w:t>
      </w:r>
      <w:r w:rsidR="00A414B4">
        <w:rPr>
          <w:sz w:val="22"/>
          <w:szCs w:val="22"/>
        </w:rPr>
        <w:t>e</w:t>
      </w:r>
      <w:r w:rsidR="00B52D10">
        <w:rPr>
          <w:sz w:val="22"/>
          <w:szCs w:val="22"/>
        </w:rPr>
        <w:t>s</w:t>
      </w:r>
      <w:r w:rsidR="00A414B4" w:rsidRPr="00A414B4">
        <w:rPr>
          <w:sz w:val="22"/>
          <w:szCs w:val="22"/>
        </w:rPr>
        <w:t xml:space="preserve"> water use and pollution </w:t>
      </w:r>
      <w:r w:rsidR="00DE7D51">
        <w:rPr>
          <w:sz w:val="22"/>
          <w:szCs w:val="22"/>
        </w:rPr>
        <w:t>in cane processing</w:t>
      </w:r>
      <w:r w:rsidR="00DE137C">
        <w:rPr>
          <w:sz w:val="22"/>
          <w:szCs w:val="22"/>
        </w:rPr>
        <w:t>.</w:t>
      </w:r>
      <w:r w:rsidR="00BA2002">
        <w:rPr>
          <w:sz w:val="22"/>
          <w:szCs w:val="22"/>
        </w:rPr>
        <w:t xml:space="preserve"> </w:t>
      </w:r>
      <w:r w:rsidR="3AC250AD" w:rsidRPr="07FC4C9B">
        <w:rPr>
          <w:sz w:val="22"/>
          <w:szCs w:val="22"/>
        </w:rPr>
        <w:t>As this increase has almost do</w:t>
      </w:r>
      <w:r w:rsidR="15FA1C35" w:rsidRPr="07FC4C9B">
        <w:rPr>
          <w:sz w:val="22"/>
          <w:szCs w:val="22"/>
        </w:rPr>
        <w:t>ubled the set target for 2023, and achieved water savings above that targeted to the end of the Fund, a revised set of milestones will be produced in 2024/25.</w:t>
      </w:r>
    </w:p>
    <w:p w14:paraId="425EC9A3" w14:textId="472F03B0" w:rsidR="07FC4C9B" w:rsidRDefault="07FC4C9B" w:rsidP="07FC4C9B">
      <w:pPr>
        <w:jc w:val="both"/>
        <w:rPr>
          <w:sz w:val="22"/>
          <w:szCs w:val="22"/>
        </w:rPr>
      </w:pPr>
    </w:p>
    <w:p w14:paraId="07DA4936" w14:textId="7CB1D349" w:rsidR="0AD1C15A" w:rsidRDefault="0AD1C15A" w:rsidP="07FC4C9B">
      <w:pPr>
        <w:jc w:val="both"/>
        <w:rPr>
          <w:rFonts w:eastAsia="Arial" w:cs="Arial"/>
          <w:sz w:val="22"/>
          <w:szCs w:val="22"/>
        </w:rPr>
      </w:pPr>
      <w:r w:rsidRPr="07FC4C9B">
        <w:rPr>
          <w:sz w:val="22"/>
          <w:szCs w:val="22"/>
        </w:rPr>
        <w:t>Outcome Indicator 1.2 on Net CO</w:t>
      </w:r>
      <w:r w:rsidRPr="006A419B">
        <w:rPr>
          <w:sz w:val="22"/>
          <w:szCs w:val="22"/>
          <w:vertAlign w:val="subscript"/>
        </w:rPr>
        <w:t>2</w:t>
      </w:r>
      <w:r w:rsidRPr="07FC4C9B">
        <w:rPr>
          <w:sz w:val="22"/>
          <w:szCs w:val="22"/>
        </w:rPr>
        <w:t xml:space="preserve"> stored as a result of the EBF has continued progressing well, meeting its targeted milestone for 2023</w:t>
      </w:r>
      <w:r w:rsidR="5535E382" w:rsidRPr="07FC4C9B">
        <w:rPr>
          <w:sz w:val="22"/>
          <w:szCs w:val="22"/>
        </w:rPr>
        <w:t xml:space="preserve">. This </w:t>
      </w:r>
      <w:r w:rsidR="55A3837A" w:rsidRPr="07FC4C9B">
        <w:rPr>
          <w:sz w:val="22"/>
          <w:szCs w:val="22"/>
        </w:rPr>
        <w:t xml:space="preserve">methodology for this </w:t>
      </w:r>
      <w:r w:rsidR="5535E382" w:rsidRPr="07FC4C9B">
        <w:rPr>
          <w:sz w:val="22"/>
          <w:szCs w:val="22"/>
        </w:rPr>
        <w:t xml:space="preserve">indicator is calculated </w:t>
      </w:r>
      <w:r w:rsidR="26EAFC73" w:rsidRPr="07FC4C9B">
        <w:rPr>
          <w:sz w:val="22"/>
          <w:szCs w:val="22"/>
        </w:rPr>
        <w:lastRenderedPageBreak/>
        <w:t>using</w:t>
      </w:r>
      <w:r w:rsidR="5535E382" w:rsidRPr="07FC4C9B">
        <w:rPr>
          <w:sz w:val="22"/>
          <w:szCs w:val="22"/>
        </w:rPr>
        <w:t xml:space="preserve"> </w:t>
      </w:r>
      <w:r w:rsidR="63E638E3" w:rsidRPr="07FC4C9B">
        <w:rPr>
          <w:rFonts w:eastAsia="Arial" w:cs="Arial"/>
          <w:color w:val="000000" w:themeColor="text1"/>
          <w:sz w:val="22"/>
          <w:szCs w:val="22"/>
        </w:rPr>
        <w:t>a share of hectares reported, namely those under agroforestry practices, coffee and cocoa, the two products for which the methodology is built.</w:t>
      </w:r>
      <w:r w:rsidR="5EBD0EB4" w:rsidRPr="07FC4C9B">
        <w:rPr>
          <w:rFonts w:eastAsia="Arial" w:cs="Arial"/>
          <w:color w:val="000000" w:themeColor="text1"/>
          <w:sz w:val="22"/>
          <w:szCs w:val="22"/>
        </w:rPr>
        <w:t xml:space="preserve"> This also feeds into Outcome Indicator 1.3, focusing on the total land being sustainably managed under the Fund. As such this has progressed in line with 1.2, also meeting set targets for 2023.</w:t>
      </w:r>
    </w:p>
    <w:p w14:paraId="2CA6373D" w14:textId="6AC8DB6A" w:rsidR="07FC4C9B" w:rsidRDefault="07FC4C9B" w:rsidP="07FC4C9B">
      <w:pPr>
        <w:jc w:val="both"/>
        <w:rPr>
          <w:rFonts w:eastAsia="Arial" w:cs="Arial"/>
          <w:color w:val="000000" w:themeColor="text1"/>
          <w:sz w:val="22"/>
          <w:szCs w:val="22"/>
        </w:rPr>
      </w:pPr>
    </w:p>
    <w:p w14:paraId="16371421" w14:textId="7B7E333E" w:rsidR="5EBD0EB4" w:rsidRDefault="5EBD0EB4" w:rsidP="07FC4C9B">
      <w:pPr>
        <w:jc w:val="both"/>
        <w:rPr>
          <w:rFonts w:eastAsia="Arial" w:cs="Arial"/>
          <w:sz w:val="22"/>
          <w:szCs w:val="22"/>
        </w:rPr>
      </w:pPr>
      <w:r w:rsidRPr="07FC4C9B">
        <w:rPr>
          <w:rFonts w:eastAsia="Arial" w:cs="Arial"/>
          <w:color w:val="000000" w:themeColor="text1"/>
          <w:sz w:val="22"/>
          <w:szCs w:val="22"/>
        </w:rPr>
        <w:t>Outcome Indicator 1.4 on the value of ecosystem services generated or protected as a result of ICF was reported on for the first time in this year</w:t>
      </w:r>
      <w:r w:rsidR="005EE5AE" w:rsidRPr="07FC4C9B">
        <w:rPr>
          <w:rFonts w:eastAsia="Arial" w:cs="Arial"/>
          <w:color w:val="000000" w:themeColor="text1"/>
          <w:sz w:val="22"/>
          <w:szCs w:val="22"/>
        </w:rPr>
        <w:t xml:space="preserve"> to capture the unique value created by funding targeting sustainable land use, compared to traditional conservation funding. Milestones were not set as we derive a baseline for this indicator. Discussions as to whether targets can be set will be considered in 2024/25.</w:t>
      </w:r>
    </w:p>
    <w:p w14:paraId="3443E0C1" w14:textId="53027426" w:rsidR="07FC4C9B" w:rsidRDefault="07FC4C9B" w:rsidP="07FC4C9B">
      <w:pPr>
        <w:jc w:val="both"/>
        <w:rPr>
          <w:rFonts w:eastAsia="Arial" w:cs="Arial"/>
          <w:color w:val="000000" w:themeColor="text1"/>
          <w:sz w:val="22"/>
          <w:szCs w:val="22"/>
        </w:rPr>
      </w:pPr>
    </w:p>
    <w:p w14:paraId="7D4D3EFD" w14:textId="4937F69F" w:rsidR="44B8F8E3" w:rsidRDefault="44B8F8E3" w:rsidP="07FC4C9B">
      <w:pPr>
        <w:jc w:val="both"/>
        <w:rPr>
          <w:rFonts w:eastAsia="Arial" w:cs="Arial"/>
          <w:sz w:val="22"/>
          <w:szCs w:val="22"/>
        </w:rPr>
      </w:pPr>
      <w:r w:rsidRPr="07FC4C9B">
        <w:rPr>
          <w:rFonts w:eastAsia="Arial" w:cs="Arial"/>
          <w:color w:val="000000" w:themeColor="text1"/>
          <w:sz w:val="22"/>
          <w:szCs w:val="22"/>
        </w:rPr>
        <w:t>Outcomes 1.5 and 1.6 are commercially sensitive and cannot be published, but both continue to exceed Defra’s targets, even after 2023’s milestone reprofiling.</w:t>
      </w:r>
    </w:p>
    <w:p w14:paraId="54815E7C" w14:textId="105A7FD6" w:rsidR="07FC4C9B" w:rsidRDefault="07FC4C9B" w:rsidP="07FC4C9B">
      <w:pPr>
        <w:jc w:val="both"/>
        <w:rPr>
          <w:rFonts w:eastAsia="Arial" w:cs="Arial"/>
          <w:color w:val="000000" w:themeColor="text1"/>
          <w:sz w:val="22"/>
          <w:szCs w:val="22"/>
        </w:rPr>
      </w:pPr>
    </w:p>
    <w:p w14:paraId="770A2B3E" w14:textId="4C8A908D" w:rsidR="44B8F8E3" w:rsidRDefault="44B8F8E3" w:rsidP="07FC4C9B">
      <w:pPr>
        <w:jc w:val="both"/>
        <w:rPr>
          <w:rFonts w:eastAsia="Arial" w:cs="Arial"/>
          <w:sz w:val="22"/>
          <w:szCs w:val="22"/>
        </w:rPr>
      </w:pPr>
      <w:r w:rsidRPr="07FC4C9B">
        <w:rPr>
          <w:rFonts w:eastAsia="Arial" w:cs="Arial"/>
          <w:color w:val="000000" w:themeColor="text1"/>
          <w:sz w:val="22"/>
          <w:szCs w:val="22"/>
        </w:rPr>
        <w:t>The number of jobs supported by sub-borrowers because of EBF support (1.7) increased in line with the greater area being supported under sustainable management, tackling poverty by making finance available to small farmers and sustainable businesses. Regarding the quality and security of these jobs, many of the sustainability certifications which qualify end-borrowers for finance through the Fund have requirements on labour practices. One example of this is Fairtrade, which requires compliance with local regulations and stipulates extra requirements in areas such as freedom of association and collective bargaining, occupational health and safety, workplace conditions, contract requirements, annual leave and living wages, amongst others. The Fund always requires that activities financed are compliant with local labour regulations for both certified and non-certified borrowers.</w:t>
      </w:r>
      <w:r w:rsidR="00223031">
        <w:rPr>
          <w:rFonts w:eastAsia="Arial" w:cs="Arial"/>
          <w:color w:val="000000" w:themeColor="text1"/>
          <w:sz w:val="22"/>
          <w:szCs w:val="22"/>
        </w:rPr>
        <w:t xml:space="preserve"> Of the 721,000 jobs supported, 167,000 are held by women; this imbalance </w:t>
      </w:r>
      <w:r w:rsidR="00A40474">
        <w:rPr>
          <w:rFonts w:eastAsia="Arial" w:cs="Arial"/>
          <w:color w:val="000000" w:themeColor="text1"/>
          <w:sz w:val="22"/>
          <w:szCs w:val="22"/>
        </w:rPr>
        <w:t>most likely reflects traditional patterns of land and business ownership in target communities</w:t>
      </w:r>
      <w:r w:rsidR="0020059D">
        <w:rPr>
          <w:rFonts w:eastAsia="Arial" w:cs="Arial"/>
          <w:color w:val="000000" w:themeColor="text1"/>
          <w:sz w:val="22"/>
          <w:szCs w:val="22"/>
        </w:rPr>
        <w:t xml:space="preserve">, and is being addressed by the Fund’s </w:t>
      </w:r>
      <w:r w:rsidR="001F64D1">
        <w:rPr>
          <w:rFonts w:eastAsia="Arial" w:cs="Arial"/>
          <w:color w:val="000000" w:themeColor="text1"/>
          <w:sz w:val="22"/>
          <w:szCs w:val="22"/>
        </w:rPr>
        <w:t xml:space="preserve">Gender Policy and </w:t>
      </w:r>
      <w:r w:rsidR="0020059D">
        <w:rPr>
          <w:rFonts w:eastAsia="Arial" w:cs="Arial"/>
          <w:color w:val="000000" w:themeColor="text1"/>
          <w:sz w:val="22"/>
          <w:szCs w:val="22"/>
        </w:rPr>
        <w:t>engagement wi</w:t>
      </w:r>
      <w:r w:rsidR="001F64D1">
        <w:rPr>
          <w:rFonts w:eastAsia="Arial" w:cs="Arial"/>
          <w:color w:val="000000" w:themeColor="text1"/>
          <w:sz w:val="22"/>
          <w:szCs w:val="22"/>
        </w:rPr>
        <w:t>th PIs and end-borrowers through targeted ESMS and TA.</w:t>
      </w:r>
    </w:p>
    <w:p w14:paraId="48E1FFFA" w14:textId="1F810720" w:rsidR="07FC4C9B" w:rsidRDefault="07FC4C9B" w:rsidP="07FC4C9B">
      <w:pPr>
        <w:jc w:val="both"/>
        <w:rPr>
          <w:sz w:val="22"/>
          <w:szCs w:val="22"/>
        </w:rPr>
      </w:pPr>
    </w:p>
    <w:p w14:paraId="46371F9B" w14:textId="25A12410" w:rsidR="009E1645" w:rsidRPr="008D3032" w:rsidRDefault="69250E29" w:rsidP="005E557A">
      <w:pPr>
        <w:jc w:val="both"/>
        <w:rPr>
          <w:rFonts w:eastAsia="Arial" w:cs="Arial"/>
          <w:color w:val="000000" w:themeColor="text1"/>
          <w:sz w:val="22"/>
          <w:szCs w:val="22"/>
        </w:rPr>
      </w:pPr>
      <w:r w:rsidRPr="07FC4C9B">
        <w:rPr>
          <w:rFonts w:eastAsia="Arial" w:cs="Arial"/>
          <w:color w:val="000000" w:themeColor="text1"/>
          <w:sz w:val="22"/>
          <w:szCs w:val="22"/>
        </w:rPr>
        <w:t xml:space="preserve">EBF also records </w:t>
      </w:r>
      <w:r w:rsidR="6706E386" w:rsidRPr="07FC4C9B">
        <w:rPr>
          <w:rFonts w:eastAsia="Arial" w:cs="Arial"/>
          <w:color w:val="000000" w:themeColor="text1"/>
          <w:sz w:val="22"/>
          <w:szCs w:val="22"/>
        </w:rPr>
        <w:t>several</w:t>
      </w:r>
      <w:r w:rsidRPr="07FC4C9B">
        <w:rPr>
          <w:rFonts w:eastAsia="Arial" w:cs="Arial"/>
          <w:color w:val="000000" w:themeColor="text1"/>
          <w:sz w:val="22"/>
          <w:szCs w:val="22"/>
        </w:rPr>
        <w:t xml:space="preserve"> other </w:t>
      </w:r>
      <w:r w:rsidR="5CB1B2AF" w:rsidRPr="07FC4C9B">
        <w:rPr>
          <w:rFonts w:eastAsia="Arial" w:cs="Arial"/>
          <w:color w:val="000000" w:themeColor="text1"/>
          <w:sz w:val="22"/>
          <w:szCs w:val="22"/>
        </w:rPr>
        <w:t>impacts</w:t>
      </w:r>
      <w:r w:rsidR="17636EF5" w:rsidRPr="07FC4C9B">
        <w:rPr>
          <w:rFonts w:eastAsia="Arial" w:cs="Arial"/>
          <w:color w:val="000000" w:themeColor="text1"/>
          <w:sz w:val="22"/>
          <w:szCs w:val="22"/>
        </w:rPr>
        <w:t xml:space="preserve"> that</w:t>
      </w:r>
      <w:r w:rsidR="00AE859C" w:rsidRPr="07FC4C9B">
        <w:rPr>
          <w:rFonts w:eastAsia="Arial" w:cs="Arial"/>
          <w:color w:val="000000" w:themeColor="text1"/>
          <w:sz w:val="22"/>
          <w:szCs w:val="22"/>
        </w:rPr>
        <w:t xml:space="preserve"> capture more detail on the types of change EBF is driving in Latin America and the Caribbean. This includes farming techniques which reduce soil erosion, and reduced use of herbicides and fertilisers, all essential parts of sustainable production practices.</w:t>
      </w:r>
      <w:r w:rsidR="71849367" w:rsidRPr="07FC4C9B">
        <w:rPr>
          <w:rFonts w:eastAsia="Arial" w:cs="Arial"/>
          <w:color w:val="000000" w:themeColor="text1"/>
          <w:sz w:val="22"/>
          <w:szCs w:val="22"/>
        </w:rPr>
        <w:t xml:space="preserve"> As of</w:t>
      </w:r>
      <w:r w:rsidR="17736388" w:rsidRPr="07FC4C9B">
        <w:rPr>
          <w:rFonts w:eastAsia="Arial" w:cs="Arial"/>
          <w:color w:val="000000" w:themeColor="text1"/>
          <w:sz w:val="22"/>
          <w:szCs w:val="22"/>
        </w:rPr>
        <w:t xml:space="preserve"> 202</w:t>
      </w:r>
      <w:r w:rsidR="572C99E2" w:rsidRPr="07FC4C9B">
        <w:rPr>
          <w:rFonts w:eastAsia="Arial" w:cs="Arial"/>
          <w:color w:val="000000" w:themeColor="text1"/>
          <w:sz w:val="22"/>
          <w:szCs w:val="22"/>
        </w:rPr>
        <w:t>3</w:t>
      </w:r>
      <w:r w:rsidR="17736388" w:rsidRPr="07FC4C9B">
        <w:rPr>
          <w:rFonts w:eastAsia="Arial" w:cs="Arial"/>
          <w:color w:val="000000" w:themeColor="text1"/>
          <w:sz w:val="22"/>
          <w:szCs w:val="22"/>
        </w:rPr>
        <w:t xml:space="preserve">, the Fund’s </w:t>
      </w:r>
      <w:r w:rsidR="44AC3F1D" w:rsidRPr="07FC4C9B">
        <w:rPr>
          <w:rFonts w:eastAsia="Arial" w:cs="Arial"/>
          <w:color w:val="000000" w:themeColor="text1"/>
          <w:sz w:val="22"/>
          <w:szCs w:val="22"/>
        </w:rPr>
        <w:t xml:space="preserve">support had </w:t>
      </w:r>
      <w:r w:rsidR="12A4B81F" w:rsidRPr="07FC4C9B">
        <w:rPr>
          <w:rFonts w:eastAsia="Arial" w:cs="Arial"/>
          <w:color w:val="000000" w:themeColor="text1"/>
          <w:sz w:val="22"/>
          <w:szCs w:val="22"/>
        </w:rPr>
        <w:t xml:space="preserve">helped avoid </w:t>
      </w:r>
      <w:r w:rsidR="00F6681C">
        <w:rPr>
          <w:rFonts w:eastAsia="Arial" w:cs="Arial"/>
          <w:color w:val="000000" w:themeColor="text1"/>
          <w:sz w:val="22"/>
          <w:szCs w:val="22"/>
        </w:rPr>
        <w:t>970</w:t>
      </w:r>
      <w:r w:rsidR="12A4B81F" w:rsidRPr="07FC4C9B">
        <w:rPr>
          <w:rFonts w:eastAsia="Arial" w:cs="Arial"/>
          <w:color w:val="000000" w:themeColor="text1"/>
          <w:sz w:val="22"/>
          <w:szCs w:val="22"/>
        </w:rPr>
        <w:t xml:space="preserve"> hectares of soil erosion, </w:t>
      </w:r>
      <w:r w:rsidR="0435D3A3" w:rsidRPr="07FC4C9B">
        <w:rPr>
          <w:rFonts w:eastAsia="Arial" w:cs="Arial"/>
          <w:color w:val="000000" w:themeColor="text1"/>
          <w:sz w:val="22"/>
          <w:szCs w:val="22"/>
        </w:rPr>
        <w:t>1</w:t>
      </w:r>
      <w:r w:rsidR="00337D3B">
        <w:rPr>
          <w:rFonts w:eastAsia="Arial" w:cs="Arial"/>
          <w:color w:val="000000" w:themeColor="text1"/>
          <w:sz w:val="22"/>
          <w:szCs w:val="22"/>
        </w:rPr>
        <w:t>55</w:t>
      </w:r>
      <w:r w:rsidR="0435D3A3" w:rsidRPr="07FC4C9B">
        <w:rPr>
          <w:rFonts w:eastAsia="Arial" w:cs="Arial"/>
          <w:color w:val="000000" w:themeColor="text1"/>
          <w:sz w:val="22"/>
          <w:szCs w:val="22"/>
        </w:rPr>
        <w:t xml:space="preserve">,000 litres of </w:t>
      </w:r>
      <w:r w:rsidR="74F584A5" w:rsidRPr="07FC4C9B">
        <w:rPr>
          <w:rFonts w:eastAsia="Arial" w:cs="Arial"/>
          <w:color w:val="000000" w:themeColor="text1"/>
          <w:sz w:val="22"/>
          <w:szCs w:val="22"/>
        </w:rPr>
        <w:t>herbicide use and 1,</w:t>
      </w:r>
      <w:r w:rsidR="00337D3B">
        <w:rPr>
          <w:rFonts w:eastAsia="Arial" w:cs="Arial"/>
          <w:color w:val="000000" w:themeColor="text1"/>
          <w:sz w:val="22"/>
          <w:szCs w:val="22"/>
        </w:rPr>
        <w:t>7</w:t>
      </w:r>
      <w:r w:rsidR="006272E0">
        <w:rPr>
          <w:rFonts w:eastAsia="Arial" w:cs="Arial"/>
          <w:color w:val="000000" w:themeColor="text1"/>
          <w:sz w:val="22"/>
          <w:szCs w:val="22"/>
        </w:rPr>
        <w:t>00</w:t>
      </w:r>
      <w:r w:rsidR="74F584A5" w:rsidRPr="07FC4C9B">
        <w:rPr>
          <w:rFonts w:eastAsia="Arial" w:cs="Arial"/>
          <w:color w:val="000000" w:themeColor="text1"/>
          <w:sz w:val="22"/>
          <w:szCs w:val="22"/>
        </w:rPr>
        <w:t xml:space="preserve"> tonnes of nutrient overload.</w:t>
      </w:r>
    </w:p>
    <w:p w14:paraId="36B18CD9" w14:textId="31753CD8" w:rsidR="00D849E3" w:rsidRPr="008D3032" w:rsidRDefault="00D849E3" w:rsidP="005E557A">
      <w:pPr>
        <w:jc w:val="both"/>
        <w:rPr>
          <w:rFonts w:eastAsia="Arial" w:cs="Arial"/>
          <w:color w:val="000000" w:themeColor="text1"/>
          <w:sz w:val="22"/>
          <w:szCs w:val="22"/>
        </w:rPr>
      </w:pPr>
    </w:p>
    <w:p w14:paraId="5F0C471C" w14:textId="4CFE99BE" w:rsidR="07FC4C9B" w:rsidRDefault="000E50A6" w:rsidP="213D6706">
      <w:pPr>
        <w:jc w:val="both"/>
        <w:rPr>
          <w:rFonts w:eastAsia="Arial" w:cs="Arial"/>
          <w:i/>
          <w:iCs/>
          <w:color w:val="000000" w:themeColor="text1"/>
          <w:sz w:val="22"/>
          <w:szCs w:val="22"/>
        </w:rPr>
      </w:pPr>
      <w:r w:rsidRPr="213D6706">
        <w:rPr>
          <w:rFonts w:eastAsia="Arial" w:cs="Arial"/>
          <w:color w:val="000000" w:themeColor="text1"/>
          <w:sz w:val="22"/>
          <w:szCs w:val="22"/>
        </w:rPr>
        <w:t xml:space="preserve">For Outcome Indicators 2.1 - 2.4 </w:t>
      </w:r>
      <w:r w:rsidR="00BC4259" w:rsidRPr="213D6706">
        <w:rPr>
          <w:rFonts w:eastAsia="Arial" w:cs="Arial"/>
          <w:color w:val="000000" w:themeColor="text1"/>
          <w:sz w:val="22"/>
          <w:szCs w:val="22"/>
        </w:rPr>
        <w:t xml:space="preserve">the Fund began tracking the progress of its partner institutions toward </w:t>
      </w:r>
      <w:r w:rsidR="00A25C5A" w:rsidRPr="213D6706">
        <w:rPr>
          <w:rFonts w:eastAsia="Arial" w:cs="Arial"/>
          <w:color w:val="000000" w:themeColor="text1"/>
          <w:sz w:val="22"/>
          <w:szCs w:val="22"/>
        </w:rPr>
        <w:t xml:space="preserve">regional </w:t>
      </w:r>
      <w:hyperlink r:id="rId20">
        <w:r w:rsidR="00BC4259" w:rsidRPr="213D6706">
          <w:rPr>
            <w:rStyle w:val="Hyperlink"/>
            <w:rFonts w:eastAsia="Arial" w:cs="Arial"/>
            <w:sz w:val="22"/>
            <w:szCs w:val="22"/>
          </w:rPr>
          <w:t>2X Global</w:t>
        </w:r>
      </w:hyperlink>
      <w:r w:rsidR="00BC4259" w:rsidRPr="213D6706">
        <w:rPr>
          <w:rFonts w:eastAsia="Arial" w:cs="Arial"/>
          <w:color w:val="000000" w:themeColor="text1"/>
          <w:sz w:val="22"/>
          <w:szCs w:val="22"/>
        </w:rPr>
        <w:t xml:space="preserve"> targets at the institutional level. Although this area falls outside the Fund's direct influence, it is noteworthy that, on average, institutions financed by the Fund exceed the criteria for women's participation among employees </w:t>
      </w:r>
      <w:r w:rsidR="00751DEE" w:rsidRPr="213D6706">
        <w:rPr>
          <w:rFonts w:eastAsia="Arial" w:cs="Arial"/>
          <w:color w:val="000000" w:themeColor="text1"/>
          <w:sz w:val="22"/>
          <w:szCs w:val="22"/>
        </w:rPr>
        <w:t xml:space="preserve">overall, </w:t>
      </w:r>
      <w:r w:rsidR="00BC4259" w:rsidRPr="213D6706">
        <w:rPr>
          <w:rFonts w:eastAsia="Arial" w:cs="Arial"/>
          <w:color w:val="000000" w:themeColor="text1"/>
          <w:sz w:val="22"/>
          <w:szCs w:val="22"/>
        </w:rPr>
        <w:t xml:space="preserve">but </w:t>
      </w:r>
      <w:r w:rsidR="00516BB9" w:rsidRPr="213D6706">
        <w:rPr>
          <w:rFonts w:eastAsia="Arial" w:cs="Arial"/>
          <w:color w:val="000000" w:themeColor="text1"/>
          <w:sz w:val="22"/>
          <w:szCs w:val="22"/>
        </w:rPr>
        <w:t xml:space="preserve">fall short </w:t>
      </w:r>
      <w:r w:rsidR="00943133" w:rsidRPr="213D6706">
        <w:rPr>
          <w:rFonts w:eastAsia="Arial" w:cs="Arial"/>
          <w:color w:val="000000" w:themeColor="text1"/>
          <w:sz w:val="22"/>
          <w:szCs w:val="22"/>
        </w:rPr>
        <w:t>i</w:t>
      </w:r>
      <w:r w:rsidR="00BC4259" w:rsidRPr="213D6706">
        <w:rPr>
          <w:rFonts w:eastAsia="Arial" w:cs="Arial"/>
          <w:color w:val="000000" w:themeColor="text1"/>
          <w:sz w:val="22"/>
          <w:szCs w:val="22"/>
        </w:rPr>
        <w:t>n management and board representation</w:t>
      </w:r>
      <w:r w:rsidR="009559DE" w:rsidRPr="213D6706">
        <w:rPr>
          <w:rFonts w:eastAsia="Arial" w:cs="Arial"/>
          <w:color w:val="000000" w:themeColor="text1"/>
          <w:sz w:val="22"/>
          <w:szCs w:val="22"/>
        </w:rPr>
        <w:t xml:space="preserve">. </w:t>
      </w:r>
      <w:r w:rsidR="00F84DAD">
        <w:rPr>
          <w:rFonts w:eastAsia="Arial" w:cs="Arial"/>
          <w:color w:val="000000" w:themeColor="text1"/>
          <w:sz w:val="22"/>
          <w:szCs w:val="22"/>
        </w:rPr>
        <w:t xml:space="preserve">The Fund is not currently able to report </w:t>
      </w:r>
      <w:r w:rsidR="00E7210D">
        <w:rPr>
          <w:rFonts w:eastAsia="Arial" w:cs="Arial"/>
          <w:color w:val="000000" w:themeColor="text1"/>
          <w:sz w:val="22"/>
          <w:szCs w:val="22"/>
        </w:rPr>
        <w:t>with</w:t>
      </w:r>
      <w:r w:rsidR="00F84DAD">
        <w:rPr>
          <w:rFonts w:eastAsia="Arial" w:cs="Arial"/>
          <w:color w:val="000000" w:themeColor="text1"/>
          <w:sz w:val="22"/>
          <w:szCs w:val="22"/>
        </w:rPr>
        <w:t xml:space="preserve"> any GESI-disaggregat</w:t>
      </w:r>
      <w:r w:rsidR="00E7210D">
        <w:rPr>
          <w:rFonts w:eastAsia="Arial" w:cs="Arial"/>
          <w:color w:val="000000" w:themeColor="text1"/>
          <w:sz w:val="22"/>
          <w:szCs w:val="22"/>
        </w:rPr>
        <w:t>ion other than gender</w:t>
      </w:r>
      <w:r w:rsidR="00F84DAD">
        <w:rPr>
          <w:rFonts w:eastAsia="Arial" w:cs="Arial"/>
          <w:color w:val="000000" w:themeColor="text1"/>
          <w:sz w:val="22"/>
          <w:szCs w:val="22"/>
        </w:rPr>
        <w:t xml:space="preserve">. </w:t>
      </w:r>
      <w:r w:rsidR="00F30AC4" w:rsidRPr="213D6706">
        <w:rPr>
          <w:rFonts w:eastAsia="Arial" w:cs="Arial"/>
          <w:color w:val="000000" w:themeColor="text1"/>
          <w:sz w:val="22"/>
          <w:szCs w:val="22"/>
        </w:rPr>
        <w:t xml:space="preserve">The DF </w:t>
      </w:r>
      <w:r w:rsidR="00C93DDA" w:rsidRPr="213D6706">
        <w:rPr>
          <w:rFonts w:eastAsia="Arial" w:cs="Arial"/>
          <w:color w:val="000000" w:themeColor="text1"/>
          <w:sz w:val="22"/>
          <w:szCs w:val="22"/>
        </w:rPr>
        <w:t xml:space="preserve">has </w:t>
      </w:r>
      <w:r w:rsidR="00784140" w:rsidRPr="213D6706">
        <w:rPr>
          <w:rFonts w:eastAsia="Arial" w:cs="Arial"/>
          <w:color w:val="000000" w:themeColor="text1"/>
          <w:sz w:val="22"/>
          <w:szCs w:val="22"/>
        </w:rPr>
        <w:t xml:space="preserve">been supporting </w:t>
      </w:r>
      <w:r w:rsidR="00F35FFD" w:rsidRPr="213D6706">
        <w:rPr>
          <w:rFonts w:eastAsia="Arial" w:cs="Arial"/>
          <w:color w:val="000000" w:themeColor="text1"/>
          <w:sz w:val="22"/>
          <w:szCs w:val="22"/>
        </w:rPr>
        <w:t xml:space="preserve">PIs </w:t>
      </w:r>
      <w:r w:rsidR="00222566" w:rsidRPr="213D6706">
        <w:rPr>
          <w:rFonts w:eastAsia="Arial" w:cs="Arial"/>
          <w:color w:val="000000" w:themeColor="text1"/>
          <w:sz w:val="22"/>
          <w:szCs w:val="22"/>
        </w:rPr>
        <w:t xml:space="preserve">in </w:t>
      </w:r>
      <w:r w:rsidR="00C22F2D" w:rsidRPr="213D6706">
        <w:rPr>
          <w:rFonts w:eastAsia="Arial" w:cs="Arial"/>
          <w:color w:val="000000" w:themeColor="text1"/>
          <w:sz w:val="22"/>
          <w:szCs w:val="22"/>
        </w:rPr>
        <w:t xml:space="preserve">building capacity on sustainability policies and international </w:t>
      </w:r>
      <w:r w:rsidR="00A3149B" w:rsidRPr="213D6706">
        <w:rPr>
          <w:rFonts w:eastAsia="Arial" w:cs="Arial"/>
          <w:color w:val="000000" w:themeColor="text1"/>
          <w:sz w:val="22"/>
          <w:szCs w:val="22"/>
        </w:rPr>
        <w:t>frameworks</w:t>
      </w:r>
      <w:r w:rsidR="00222566" w:rsidRPr="213D6706">
        <w:rPr>
          <w:rFonts w:eastAsia="Arial" w:cs="Arial"/>
          <w:color w:val="000000" w:themeColor="text1"/>
          <w:sz w:val="22"/>
          <w:szCs w:val="22"/>
        </w:rPr>
        <w:t xml:space="preserve">. Trainings have ranged from </w:t>
      </w:r>
      <w:r w:rsidR="002E25F0" w:rsidRPr="213D6706">
        <w:rPr>
          <w:rFonts w:eastAsia="Arial" w:cs="Arial"/>
          <w:color w:val="000000" w:themeColor="text1"/>
          <w:sz w:val="22"/>
          <w:szCs w:val="22"/>
        </w:rPr>
        <w:t xml:space="preserve">the </w:t>
      </w:r>
      <w:r w:rsidR="00BD719A" w:rsidRPr="213D6706">
        <w:rPr>
          <w:rFonts w:eastAsia="Arial" w:cs="Arial"/>
          <w:color w:val="000000" w:themeColor="text1"/>
          <w:sz w:val="22"/>
          <w:szCs w:val="22"/>
        </w:rPr>
        <w:t>importance of sustainability within financial institutions</w:t>
      </w:r>
      <w:r w:rsidR="000F27F5" w:rsidRPr="213D6706">
        <w:rPr>
          <w:rFonts w:eastAsia="Arial" w:cs="Arial"/>
          <w:color w:val="000000" w:themeColor="text1"/>
          <w:sz w:val="22"/>
          <w:szCs w:val="22"/>
        </w:rPr>
        <w:t xml:space="preserve"> to </w:t>
      </w:r>
      <w:r w:rsidR="00D028E2" w:rsidRPr="213D6706">
        <w:rPr>
          <w:rFonts w:eastAsia="Arial" w:cs="Arial"/>
          <w:color w:val="000000" w:themeColor="text1"/>
          <w:sz w:val="22"/>
          <w:szCs w:val="22"/>
        </w:rPr>
        <w:t xml:space="preserve">sponsoring a peer-to-peer exchange on </w:t>
      </w:r>
      <w:r w:rsidR="00454C05" w:rsidRPr="213D6706">
        <w:rPr>
          <w:rFonts w:eastAsia="Arial" w:cs="Arial"/>
          <w:color w:val="000000" w:themeColor="text1"/>
          <w:sz w:val="22"/>
          <w:szCs w:val="22"/>
        </w:rPr>
        <w:t>setti</w:t>
      </w:r>
      <w:r w:rsidR="002923BF" w:rsidRPr="213D6706">
        <w:rPr>
          <w:rFonts w:eastAsia="Arial" w:cs="Arial"/>
          <w:color w:val="000000" w:themeColor="text1"/>
          <w:sz w:val="22"/>
          <w:szCs w:val="22"/>
        </w:rPr>
        <w:t xml:space="preserve">ng targets in line with the Principles for Responsible Banking. Additionally, </w:t>
      </w:r>
      <w:r w:rsidR="00EA438F" w:rsidRPr="213D6706">
        <w:rPr>
          <w:rFonts w:eastAsia="Arial" w:cs="Arial"/>
          <w:color w:val="000000" w:themeColor="text1"/>
          <w:sz w:val="22"/>
          <w:szCs w:val="22"/>
        </w:rPr>
        <w:t xml:space="preserve">the </w:t>
      </w:r>
      <w:r w:rsidR="00F41BDB" w:rsidRPr="213D6706">
        <w:rPr>
          <w:rFonts w:eastAsia="Arial" w:cs="Arial"/>
          <w:color w:val="000000" w:themeColor="text1"/>
          <w:sz w:val="22"/>
          <w:szCs w:val="22"/>
        </w:rPr>
        <w:t xml:space="preserve">internal auditors of one sub-borrower in Costa Rica have been trained </w:t>
      </w:r>
      <w:r w:rsidR="00F83CEA" w:rsidRPr="213D6706">
        <w:rPr>
          <w:rFonts w:eastAsia="Arial" w:cs="Arial"/>
          <w:color w:val="000000" w:themeColor="text1"/>
          <w:sz w:val="22"/>
          <w:szCs w:val="22"/>
        </w:rPr>
        <w:t xml:space="preserve">on the </w:t>
      </w:r>
      <w:r w:rsidR="004E611E" w:rsidRPr="213D6706">
        <w:rPr>
          <w:rFonts w:eastAsia="Arial" w:cs="Arial"/>
          <w:color w:val="000000" w:themeColor="text1"/>
          <w:sz w:val="22"/>
          <w:szCs w:val="22"/>
        </w:rPr>
        <w:t>audit of the sustainability certification.</w:t>
      </w:r>
    </w:p>
    <w:p w14:paraId="53EF9D1B" w14:textId="77777777" w:rsidR="0056448F" w:rsidRPr="006223C8" w:rsidRDefault="0056448F" w:rsidP="00F66B70">
      <w:pPr>
        <w:jc w:val="both"/>
        <w:rPr>
          <w:rFonts w:eastAsia="Arial" w:cs="Arial"/>
          <w:i/>
          <w:iCs/>
          <w:color w:val="000000" w:themeColor="text1"/>
          <w:sz w:val="22"/>
          <w:szCs w:val="22"/>
        </w:rPr>
      </w:pPr>
    </w:p>
    <w:p w14:paraId="5A3C7F9B" w14:textId="2BD6C0A4" w:rsidR="006F3AE7" w:rsidRPr="00A54B18" w:rsidRDefault="7232A90E" w:rsidP="00F66B70">
      <w:pPr>
        <w:jc w:val="both"/>
        <w:rPr>
          <w:rFonts w:eastAsia="Arial" w:cs="Arial"/>
          <w:b/>
          <w:bCs/>
          <w:sz w:val="22"/>
          <w:szCs w:val="22"/>
        </w:rPr>
      </w:pPr>
      <w:r w:rsidRPr="00A54B18">
        <w:rPr>
          <w:rFonts w:eastAsia="Arial" w:cs="Arial"/>
          <w:b/>
          <w:bCs/>
          <w:sz w:val="22"/>
          <w:szCs w:val="22"/>
        </w:rPr>
        <w:t>Describe where the programme is on/off track to contribute to the expected outcomes and impact. What action is planned in the year ahead?</w:t>
      </w:r>
      <w:r w:rsidRPr="00A54B18">
        <w:rPr>
          <w:rFonts w:eastAsia="Arial" w:cs="Arial"/>
          <w:sz w:val="22"/>
          <w:szCs w:val="22"/>
        </w:rPr>
        <w:t xml:space="preserve"> </w:t>
      </w:r>
    </w:p>
    <w:p w14:paraId="3357F9ED" w14:textId="77777777" w:rsidR="00A71920" w:rsidRPr="00A54B18" w:rsidRDefault="00A71920" w:rsidP="00F66B70">
      <w:pPr>
        <w:jc w:val="both"/>
        <w:rPr>
          <w:rFonts w:eastAsia="Arial" w:cs="Arial"/>
          <w:color w:val="000000" w:themeColor="text1"/>
          <w:sz w:val="20"/>
          <w:szCs w:val="20"/>
        </w:rPr>
      </w:pPr>
    </w:p>
    <w:p w14:paraId="62EFC9C8" w14:textId="126FE9FF" w:rsidR="00F6681C" w:rsidRDefault="3D8F2C93" w:rsidP="07FC4C9B">
      <w:pPr>
        <w:jc w:val="both"/>
        <w:rPr>
          <w:rFonts w:eastAsia="Arial" w:cs="Arial"/>
          <w:color w:val="000000" w:themeColor="text1"/>
          <w:sz w:val="22"/>
          <w:szCs w:val="22"/>
        </w:rPr>
      </w:pPr>
      <w:r w:rsidRPr="07FC4C9B">
        <w:rPr>
          <w:rFonts w:eastAsia="Arial" w:cs="Arial"/>
          <w:color w:val="000000" w:themeColor="text1"/>
          <w:sz w:val="22"/>
          <w:szCs w:val="22"/>
        </w:rPr>
        <w:t>The programme is on track to contribute to Defra’s expected outcomes and impact</w:t>
      </w:r>
      <w:r w:rsidR="2EB15BEA" w:rsidRPr="07FC4C9B">
        <w:rPr>
          <w:rFonts w:eastAsia="Arial" w:cs="Arial"/>
          <w:color w:val="000000" w:themeColor="text1"/>
          <w:sz w:val="22"/>
          <w:szCs w:val="22"/>
        </w:rPr>
        <w:t xml:space="preserve">, and </w:t>
      </w:r>
      <w:r w:rsidRPr="07FC4C9B">
        <w:rPr>
          <w:rFonts w:eastAsia="Arial" w:cs="Arial"/>
          <w:color w:val="000000" w:themeColor="text1"/>
          <w:sz w:val="22"/>
          <w:szCs w:val="22"/>
        </w:rPr>
        <w:t xml:space="preserve">in </w:t>
      </w:r>
      <w:r w:rsidR="2EB15BEA" w:rsidRPr="07FC4C9B">
        <w:rPr>
          <w:rFonts w:eastAsia="Arial" w:cs="Arial"/>
          <w:color w:val="000000" w:themeColor="text1"/>
          <w:sz w:val="22"/>
          <w:szCs w:val="22"/>
        </w:rPr>
        <w:t>most</w:t>
      </w:r>
      <w:r w:rsidRPr="07FC4C9B">
        <w:rPr>
          <w:rFonts w:eastAsia="Arial" w:cs="Arial"/>
          <w:color w:val="000000" w:themeColor="text1"/>
          <w:sz w:val="22"/>
          <w:szCs w:val="22"/>
        </w:rPr>
        <w:t xml:space="preserve"> </w:t>
      </w:r>
      <w:r w:rsidR="0CF7A823" w:rsidRPr="07FC4C9B">
        <w:rPr>
          <w:rFonts w:eastAsia="Arial" w:cs="Arial"/>
          <w:color w:val="000000" w:themeColor="text1"/>
          <w:sz w:val="22"/>
          <w:szCs w:val="22"/>
        </w:rPr>
        <w:t>areas,</w:t>
      </w:r>
      <w:r w:rsidRPr="07FC4C9B">
        <w:rPr>
          <w:rFonts w:eastAsia="Arial" w:cs="Arial"/>
          <w:color w:val="000000" w:themeColor="text1"/>
          <w:sz w:val="22"/>
          <w:szCs w:val="22"/>
        </w:rPr>
        <w:t xml:space="preserve"> targets are being surpassed. </w:t>
      </w:r>
      <w:r w:rsidR="2EB15BEA" w:rsidRPr="07FC4C9B">
        <w:rPr>
          <w:rFonts w:eastAsia="Arial" w:cs="Arial"/>
          <w:color w:val="000000" w:themeColor="text1"/>
          <w:sz w:val="22"/>
          <w:szCs w:val="22"/>
        </w:rPr>
        <w:t>T</w:t>
      </w:r>
      <w:r w:rsidRPr="07FC4C9B">
        <w:rPr>
          <w:rFonts w:eastAsia="Arial" w:cs="Arial"/>
          <w:color w:val="000000" w:themeColor="text1"/>
          <w:sz w:val="22"/>
          <w:szCs w:val="22"/>
        </w:rPr>
        <w:t xml:space="preserve">argets in the Defra logframe </w:t>
      </w:r>
      <w:r w:rsidR="21D5641C" w:rsidRPr="07FC4C9B">
        <w:rPr>
          <w:rFonts w:eastAsia="Arial" w:cs="Arial"/>
          <w:color w:val="000000" w:themeColor="text1"/>
          <w:sz w:val="22"/>
          <w:szCs w:val="22"/>
        </w:rPr>
        <w:t xml:space="preserve">have been revised since the last Annual Review </w:t>
      </w:r>
      <w:r w:rsidR="004E1C0E">
        <w:rPr>
          <w:rFonts w:eastAsia="Arial" w:cs="Arial"/>
          <w:color w:val="000000" w:themeColor="text1"/>
          <w:sz w:val="22"/>
          <w:szCs w:val="22"/>
        </w:rPr>
        <w:t xml:space="preserve">to reflect </w:t>
      </w:r>
      <w:r w:rsidR="00602065">
        <w:rPr>
          <w:rFonts w:eastAsia="Arial" w:cs="Arial"/>
          <w:color w:val="000000" w:themeColor="text1"/>
          <w:sz w:val="22"/>
          <w:szCs w:val="22"/>
        </w:rPr>
        <w:t xml:space="preserve">greater-than-expected Fund size and ambition since Defra’s initial investment, </w:t>
      </w:r>
      <w:r w:rsidR="21D5641C" w:rsidRPr="07FC4C9B">
        <w:rPr>
          <w:rFonts w:eastAsia="Arial" w:cs="Arial"/>
          <w:color w:val="000000" w:themeColor="text1"/>
          <w:sz w:val="22"/>
          <w:szCs w:val="22"/>
        </w:rPr>
        <w:t>and have continued to mostly be met</w:t>
      </w:r>
      <w:r w:rsidRPr="07FC4C9B">
        <w:rPr>
          <w:rFonts w:eastAsia="Arial" w:cs="Arial"/>
          <w:color w:val="000000" w:themeColor="text1"/>
          <w:sz w:val="22"/>
          <w:szCs w:val="22"/>
        </w:rPr>
        <w:t>.</w:t>
      </w:r>
      <w:r w:rsidR="7AF5E683" w:rsidRPr="07FC4C9B">
        <w:rPr>
          <w:rFonts w:eastAsia="Arial" w:cs="Arial"/>
          <w:color w:val="000000" w:themeColor="text1"/>
          <w:sz w:val="22"/>
          <w:szCs w:val="22"/>
        </w:rPr>
        <w:t xml:space="preserve"> Defra has worked with the Fund to ensure realistic targets are set based upon the best available evidence, to encourage maximum impact.</w:t>
      </w:r>
      <w:r w:rsidR="0088189D">
        <w:rPr>
          <w:rFonts w:eastAsia="Arial" w:cs="Arial"/>
          <w:color w:val="000000" w:themeColor="text1"/>
          <w:sz w:val="22"/>
          <w:szCs w:val="22"/>
        </w:rPr>
        <w:t xml:space="preserve"> </w:t>
      </w:r>
      <w:r w:rsidR="706A8C6C" w:rsidRPr="07FC4C9B">
        <w:rPr>
          <w:rFonts w:eastAsia="Arial" w:cs="Arial"/>
          <w:color w:val="000000" w:themeColor="text1"/>
          <w:sz w:val="22"/>
          <w:szCs w:val="22"/>
        </w:rPr>
        <w:t>Some recalculation of milestones will be needed where targets have been significantly exceeded.</w:t>
      </w:r>
      <w:r w:rsidRPr="07FC4C9B">
        <w:rPr>
          <w:rFonts w:eastAsia="Arial" w:cs="Arial"/>
          <w:color w:val="000000" w:themeColor="text1"/>
          <w:sz w:val="22"/>
          <w:szCs w:val="22"/>
        </w:rPr>
        <w:t xml:space="preserve"> </w:t>
      </w:r>
      <w:r w:rsidR="0EDDCAB6" w:rsidRPr="07FC4C9B">
        <w:rPr>
          <w:rFonts w:eastAsia="Arial" w:cs="Arial"/>
          <w:color w:val="000000" w:themeColor="text1"/>
          <w:sz w:val="22"/>
          <w:szCs w:val="22"/>
        </w:rPr>
        <w:t>T</w:t>
      </w:r>
      <w:r w:rsidRPr="07FC4C9B">
        <w:rPr>
          <w:rFonts w:eastAsia="Arial" w:cs="Arial"/>
          <w:color w:val="000000" w:themeColor="text1"/>
          <w:sz w:val="22"/>
          <w:szCs w:val="22"/>
        </w:rPr>
        <w:t xml:space="preserve">his will </w:t>
      </w:r>
      <w:r w:rsidR="4D25FDAB" w:rsidRPr="07FC4C9B">
        <w:rPr>
          <w:rFonts w:eastAsia="Arial" w:cs="Arial"/>
          <w:color w:val="000000" w:themeColor="text1"/>
          <w:sz w:val="22"/>
          <w:szCs w:val="22"/>
        </w:rPr>
        <w:t xml:space="preserve">continue to </w:t>
      </w:r>
      <w:r w:rsidRPr="07FC4C9B">
        <w:rPr>
          <w:rFonts w:eastAsia="Arial" w:cs="Arial"/>
          <w:color w:val="000000" w:themeColor="text1"/>
          <w:sz w:val="22"/>
          <w:szCs w:val="22"/>
        </w:rPr>
        <w:t>raise the ambition of the fund and hopefully lead to greater results at final impact level</w:t>
      </w:r>
      <w:r w:rsidR="77E9B9CB" w:rsidRPr="07FC4C9B">
        <w:rPr>
          <w:rFonts w:eastAsia="Arial" w:cs="Arial"/>
          <w:color w:val="000000" w:themeColor="text1"/>
          <w:sz w:val="22"/>
          <w:szCs w:val="22"/>
        </w:rPr>
        <w:t>.</w:t>
      </w:r>
      <w:r w:rsidR="2EB15BEA" w:rsidRPr="07FC4C9B">
        <w:rPr>
          <w:rFonts w:eastAsia="Arial" w:cs="Arial"/>
          <w:color w:val="000000" w:themeColor="text1"/>
          <w:sz w:val="22"/>
          <w:szCs w:val="22"/>
        </w:rPr>
        <w:t xml:space="preserve"> </w:t>
      </w:r>
    </w:p>
    <w:p w14:paraId="64FC4E75" w14:textId="77777777" w:rsidR="00F6681C" w:rsidRDefault="00F6681C" w:rsidP="07FC4C9B">
      <w:pPr>
        <w:jc w:val="both"/>
        <w:rPr>
          <w:rFonts w:eastAsia="Arial" w:cs="Arial"/>
          <w:color w:val="000000" w:themeColor="text1"/>
          <w:sz w:val="22"/>
          <w:szCs w:val="22"/>
        </w:rPr>
      </w:pPr>
    </w:p>
    <w:p w14:paraId="789E18F5" w14:textId="0509C09A" w:rsidR="00D86F3B" w:rsidRDefault="0B5CDCF2" w:rsidP="07FC4C9B">
      <w:pPr>
        <w:jc w:val="both"/>
        <w:rPr>
          <w:rFonts w:eastAsia="Arial" w:cs="Arial"/>
          <w:color w:val="000000" w:themeColor="text1"/>
          <w:sz w:val="22"/>
          <w:szCs w:val="22"/>
        </w:rPr>
      </w:pPr>
      <w:r w:rsidRPr="34FEBCDD">
        <w:rPr>
          <w:rFonts w:eastAsia="Arial" w:cs="Arial"/>
          <w:color w:val="000000" w:themeColor="text1"/>
          <w:sz w:val="22"/>
          <w:szCs w:val="22"/>
        </w:rPr>
        <w:t>The indicator</w:t>
      </w:r>
      <w:r w:rsidR="00F6681C" w:rsidRPr="34FEBCDD">
        <w:rPr>
          <w:rFonts w:eastAsia="Arial" w:cs="Arial"/>
          <w:color w:val="000000" w:themeColor="text1"/>
          <w:sz w:val="22"/>
          <w:szCs w:val="22"/>
        </w:rPr>
        <w:t>s</w:t>
      </w:r>
      <w:r w:rsidRPr="34FEBCDD">
        <w:rPr>
          <w:rFonts w:eastAsia="Arial" w:cs="Arial"/>
          <w:color w:val="000000" w:themeColor="text1"/>
          <w:sz w:val="22"/>
          <w:szCs w:val="22"/>
        </w:rPr>
        <w:t xml:space="preserve"> that </w:t>
      </w:r>
      <w:r w:rsidR="00F6681C" w:rsidRPr="34FEBCDD">
        <w:rPr>
          <w:rFonts w:eastAsia="Arial" w:cs="Arial"/>
          <w:color w:val="000000" w:themeColor="text1"/>
          <w:sz w:val="22"/>
          <w:szCs w:val="22"/>
        </w:rPr>
        <w:t>are</w:t>
      </w:r>
      <w:r w:rsidRPr="34FEBCDD">
        <w:rPr>
          <w:rFonts w:eastAsia="Arial" w:cs="Arial"/>
          <w:color w:val="000000" w:themeColor="text1"/>
          <w:sz w:val="22"/>
          <w:szCs w:val="22"/>
        </w:rPr>
        <w:t xml:space="preserve"> currently off </w:t>
      </w:r>
      <w:r w:rsidR="00751DEE" w:rsidRPr="34FEBCDD">
        <w:rPr>
          <w:rFonts w:eastAsia="Arial" w:cs="Arial"/>
          <w:color w:val="000000" w:themeColor="text1"/>
          <w:sz w:val="22"/>
          <w:szCs w:val="22"/>
        </w:rPr>
        <w:t xml:space="preserve">track </w:t>
      </w:r>
      <w:r w:rsidR="00F6681C" w:rsidRPr="34FEBCDD">
        <w:rPr>
          <w:rFonts w:eastAsia="Arial" w:cs="Arial"/>
          <w:color w:val="000000" w:themeColor="text1"/>
          <w:sz w:val="22"/>
          <w:szCs w:val="22"/>
        </w:rPr>
        <w:t>are</w:t>
      </w:r>
      <w:r w:rsidRPr="34FEBCDD">
        <w:rPr>
          <w:rFonts w:eastAsia="Arial" w:cs="Arial"/>
          <w:color w:val="000000" w:themeColor="text1"/>
          <w:sz w:val="22"/>
          <w:szCs w:val="22"/>
        </w:rPr>
        <w:t xml:space="preserve"> Impact Indicator 1 on Sustained and increased levels of funding in impact investment funds in Latin America</w:t>
      </w:r>
      <w:r w:rsidR="3F56AEF7" w:rsidRPr="34FEBCDD">
        <w:rPr>
          <w:rFonts w:eastAsia="Arial" w:cs="Arial"/>
          <w:color w:val="000000" w:themeColor="text1"/>
          <w:sz w:val="22"/>
          <w:szCs w:val="22"/>
        </w:rPr>
        <w:t>;</w:t>
      </w:r>
      <w:r w:rsidR="000E50A6" w:rsidRPr="34FEBCDD">
        <w:rPr>
          <w:rFonts w:eastAsia="Arial" w:cs="Arial"/>
          <w:color w:val="000000" w:themeColor="text1"/>
          <w:sz w:val="22"/>
          <w:szCs w:val="22"/>
        </w:rPr>
        <w:t xml:space="preserve"> </w:t>
      </w:r>
      <w:r w:rsidR="00F6681C" w:rsidRPr="34FEBCDD">
        <w:rPr>
          <w:rFonts w:eastAsia="Arial" w:cs="Arial"/>
          <w:color w:val="000000" w:themeColor="text1"/>
          <w:sz w:val="22"/>
          <w:szCs w:val="22"/>
        </w:rPr>
        <w:t xml:space="preserve">Outcome Indicator 2.4 on the </w:t>
      </w:r>
      <w:r w:rsidR="00F6681C" w:rsidRPr="34FEBCDD">
        <w:rPr>
          <w:rFonts w:eastAsia="Arial" w:cs="Arial"/>
          <w:color w:val="000000" w:themeColor="text1"/>
          <w:sz w:val="22"/>
          <w:szCs w:val="22"/>
        </w:rPr>
        <w:lastRenderedPageBreak/>
        <w:t>percentage of women employed by PIs</w:t>
      </w:r>
      <w:r w:rsidR="66F8C3B6" w:rsidRPr="34FEBCDD">
        <w:rPr>
          <w:rFonts w:eastAsia="Arial" w:cs="Arial"/>
          <w:color w:val="000000" w:themeColor="text1"/>
          <w:sz w:val="22"/>
          <w:szCs w:val="22"/>
        </w:rPr>
        <w:t>;</w:t>
      </w:r>
      <w:r w:rsidR="000E50A6" w:rsidRPr="34FEBCDD">
        <w:rPr>
          <w:rFonts w:eastAsia="Arial" w:cs="Arial"/>
          <w:color w:val="000000" w:themeColor="text1"/>
          <w:sz w:val="22"/>
          <w:szCs w:val="22"/>
        </w:rPr>
        <w:t xml:space="preserve"> and Output Indicator 3.4 on Budget spend on TA projects</w:t>
      </w:r>
      <w:r w:rsidRPr="34FEBCDD">
        <w:rPr>
          <w:rFonts w:eastAsia="Arial" w:cs="Arial"/>
          <w:color w:val="000000" w:themeColor="text1"/>
          <w:sz w:val="22"/>
          <w:szCs w:val="22"/>
        </w:rPr>
        <w:t>.</w:t>
      </w:r>
      <w:r w:rsidR="00751DEE" w:rsidRPr="34FEBCDD">
        <w:rPr>
          <w:rFonts w:eastAsia="Arial" w:cs="Arial"/>
          <w:color w:val="000000" w:themeColor="text1"/>
          <w:sz w:val="22"/>
          <w:szCs w:val="22"/>
        </w:rPr>
        <w:t xml:space="preserve"> Each of these indicators have reasonable justification for why they are off track and are expected to </w:t>
      </w:r>
      <w:r w:rsidR="00067B34">
        <w:rPr>
          <w:rFonts w:eastAsia="Arial" w:cs="Arial"/>
          <w:color w:val="000000" w:themeColor="text1"/>
          <w:sz w:val="22"/>
          <w:szCs w:val="22"/>
        </w:rPr>
        <w:t>improve</w:t>
      </w:r>
      <w:r w:rsidR="00751DEE" w:rsidRPr="34FEBCDD">
        <w:rPr>
          <w:rFonts w:eastAsia="Arial" w:cs="Arial"/>
          <w:color w:val="000000" w:themeColor="text1"/>
          <w:sz w:val="22"/>
          <w:szCs w:val="22"/>
        </w:rPr>
        <w:t xml:space="preserve"> in future. </w:t>
      </w:r>
    </w:p>
    <w:p w14:paraId="2148F8B2" w14:textId="7AF5DB6E" w:rsidR="005F55AE" w:rsidRDefault="005F55AE" w:rsidP="07FC4C9B">
      <w:pPr>
        <w:jc w:val="both"/>
        <w:rPr>
          <w:rFonts w:eastAsia="Arial" w:cs="Arial"/>
          <w:color w:val="000000" w:themeColor="text1"/>
          <w:sz w:val="22"/>
          <w:szCs w:val="22"/>
        </w:rPr>
      </w:pPr>
    </w:p>
    <w:p w14:paraId="158DB094" w14:textId="4A8937CD" w:rsidR="006F3AE7" w:rsidRPr="00A54B18" w:rsidRDefault="7232A90E" w:rsidP="00F66B70">
      <w:pPr>
        <w:jc w:val="both"/>
        <w:rPr>
          <w:rFonts w:eastAsia="Arial" w:cs="Arial"/>
          <w:sz w:val="22"/>
          <w:szCs w:val="22"/>
        </w:rPr>
      </w:pPr>
      <w:r w:rsidRPr="00A54B18">
        <w:rPr>
          <w:rFonts w:eastAsia="Arial" w:cs="Arial"/>
          <w:b/>
          <w:bCs/>
          <w:sz w:val="22"/>
          <w:szCs w:val="22"/>
          <w:lang w:val="en" w:eastAsia="en-GB"/>
        </w:rPr>
        <w:t>Justify whether the programme should continue, based on its own merits and in the context of the wider portfolio</w:t>
      </w:r>
      <w:r w:rsidR="006C1DAF">
        <w:rPr>
          <w:rFonts w:eastAsia="Arial" w:cs="Arial"/>
          <w:b/>
          <w:bCs/>
          <w:sz w:val="22"/>
          <w:szCs w:val="22"/>
          <w:lang w:val="en" w:eastAsia="en-GB"/>
        </w:rPr>
        <w:t>.</w:t>
      </w:r>
    </w:p>
    <w:p w14:paraId="77BBDA88" w14:textId="77777777" w:rsidR="006F3AE7" w:rsidRPr="00A54B18" w:rsidRDefault="006F3AE7" w:rsidP="00F66B70">
      <w:pPr>
        <w:jc w:val="both"/>
        <w:rPr>
          <w:rFonts w:eastAsia="Arial" w:cs="Arial"/>
          <w:sz w:val="22"/>
          <w:szCs w:val="22"/>
        </w:rPr>
      </w:pPr>
    </w:p>
    <w:p w14:paraId="26679FF4" w14:textId="081A3F1A" w:rsidR="00514E0C" w:rsidRPr="0074697B" w:rsidRDefault="7378C3F2" w:rsidP="4170B8BB">
      <w:pPr>
        <w:jc w:val="both"/>
        <w:rPr>
          <w:rFonts w:eastAsia="Arial" w:cs="Arial"/>
          <w:sz w:val="22"/>
          <w:szCs w:val="22"/>
          <w:lang w:val="en-US" w:eastAsia="en-GB"/>
        </w:rPr>
      </w:pPr>
      <w:r w:rsidRPr="07FC4C9B">
        <w:rPr>
          <w:rFonts w:eastAsia="Arial" w:cs="Arial"/>
          <w:sz w:val="22"/>
          <w:szCs w:val="22"/>
          <w:lang w:val="en-US" w:eastAsia="en-GB"/>
        </w:rPr>
        <w:t xml:space="preserve">Based on the above analysis of outcome and output achievement, ToC and </w:t>
      </w:r>
      <w:r w:rsidR="1D42A655" w:rsidRPr="07FC4C9B">
        <w:rPr>
          <w:rFonts w:eastAsia="Arial" w:cs="Arial"/>
          <w:sz w:val="22"/>
          <w:szCs w:val="22"/>
          <w:lang w:val="en-US" w:eastAsia="en-GB"/>
        </w:rPr>
        <w:t>value for money (</w:t>
      </w:r>
      <w:r w:rsidRPr="07FC4C9B">
        <w:rPr>
          <w:rFonts w:eastAsia="Arial" w:cs="Arial"/>
          <w:sz w:val="22"/>
          <w:szCs w:val="22"/>
          <w:lang w:val="en-US" w:eastAsia="en-GB"/>
        </w:rPr>
        <w:t>VfM</w:t>
      </w:r>
      <w:r w:rsidR="1D42A655" w:rsidRPr="07FC4C9B">
        <w:rPr>
          <w:rFonts w:eastAsia="Arial" w:cs="Arial"/>
          <w:sz w:val="22"/>
          <w:szCs w:val="22"/>
          <w:lang w:val="en-US" w:eastAsia="en-GB"/>
        </w:rPr>
        <w:t>)</w:t>
      </w:r>
      <w:r w:rsidRPr="07FC4C9B">
        <w:rPr>
          <w:rFonts w:eastAsia="Arial" w:cs="Arial"/>
          <w:sz w:val="22"/>
          <w:szCs w:val="22"/>
          <w:lang w:val="en-US" w:eastAsia="en-GB"/>
        </w:rPr>
        <w:t xml:space="preserve"> analysis</w:t>
      </w:r>
      <w:r w:rsidR="19F0E8AD" w:rsidRPr="07FC4C9B">
        <w:rPr>
          <w:rFonts w:eastAsia="Arial" w:cs="Arial"/>
          <w:sz w:val="22"/>
          <w:szCs w:val="22"/>
          <w:lang w:val="en-US" w:eastAsia="en-GB"/>
        </w:rPr>
        <w:t xml:space="preserve"> (see </w:t>
      </w:r>
      <w:r w:rsidR="1D42A655" w:rsidRPr="07FC4C9B">
        <w:rPr>
          <w:rFonts w:eastAsia="Arial" w:cs="Arial"/>
          <w:sz w:val="22"/>
          <w:szCs w:val="22"/>
          <w:lang w:val="en-US" w:eastAsia="en-GB"/>
        </w:rPr>
        <w:t>Section E)</w:t>
      </w:r>
      <w:r w:rsidRPr="07FC4C9B">
        <w:rPr>
          <w:rFonts w:eastAsia="Arial" w:cs="Arial"/>
          <w:sz w:val="22"/>
          <w:szCs w:val="22"/>
          <w:lang w:val="en-US" w:eastAsia="en-GB"/>
        </w:rPr>
        <w:t xml:space="preserve">, the programme is performing </w:t>
      </w:r>
      <w:r w:rsidR="00443D09">
        <w:rPr>
          <w:rFonts w:eastAsia="Arial" w:cs="Arial"/>
          <w:sz w:val="22"/>
          <w:szCs w:val="22"/>
          <w:lang w:val="en-US" w:eastAsia="en-GB"/>
        </w:rPr>
        <w:t>extremely well</w:t>
      </w:r>
      <w:r w:rsidRPr="07FC4C9B">
        <w:rPr>
          <w:rFonts w:eastAsia="Arial" w:cs="Arial"/>
          <w:sz w:val="22"/>
          <w:szCs w:val="22"/>
          <w:lang w:val="en-US" w:eastAsia="en-GB"/>
        </w:rPr>
        <w:t>, continues to represent good VfM</w:t>
      </w:r>
      <w:r w:rsidR="00443D09">
        <w:rPr>
          <w:rFonts w:eastAsia="Arial" w:cs="Arial"/>
          <w:sz w:val="22"/>
          <w:szCs w:val="22"/>
          <w:lang w:val="en-US" w:eastAsia="en-GB"/>
        </w:rPr>
        <w:t>,</w:t>
      </w:r>
      <w:r w:rsidRPr="07FC4C9B">
        <w:rPr>
          <w:rFonts w:eastAsia="Arial" w:cs="Arial"/>
          <w:sz w:val="22"/>
          <w:szCs w:val="22"/>
          <w:lang w:val="en-US" w:eastAsia="en-GB"/>
        </w:rPr>
        <w:t xml:space="preserve"> and fits with Defra’s I</w:t>
      </w:r>
      <w:r w:rsidR="7DE00D67" w:rsidRPr="07FC4C9B">
        <w:rPr>
          <w:rFonts w:eastAsia="Arial" w:cs="Arial"/>
          <w:sz w:val="22"/>
          <w:szCs w:val="22"/>
          <w:lang w:val="en-US" w:eastAsia="en-GB"/>
        </w:rPr>
        <w:t>nternational Climate Finance (ICF) and Official Development Assistance (</w:t>
      </w:r>
      <w:r w:rsidRPr="07FC4C9B">
        <w:rPr>
          <w:rFonts w:eastAsia="Arial" w:cs="Arial"/>
          <w:sz w:val="22"/>
          <w:szCs w:val="22"/>
          <w:lang w:val="en-US" w:eastAsia="en-GB"/>
        </w:rPr>
        <w:t>ODA</w:t>
      </w:r>
      <w:r w:rsidR="7DE00D67" w:rsidRPr="07FC4C9B">
        <w:rPr>
          <w:rFonts w:eastAsia="Arial" w:cs="Arial"/>
          <w:sz w:val="22"/>
          <w:szCs w:val="22"/>
          <w:lang w:val="en-US" w:eastAsia="en-GB"/>
        </w:rPr>
        <w:t>)</w:t>
      </w:r>
      <w:r w:rsidRPr="07FC4C9B">
        <w:rPr>
          <w:rFonts w:eastAsia="Arial" w:cs="Arial"/>
          <w:sz w:val="22"/>
          <w:szCs w:val="22"/>
          <w:lang w:val="en-US" w:eastAsia="en-GB"/>
        </w:rPr>
        <w:t xml:space="preserve"> priorities</w:t>
      </w:r>
      <w:r w:rsidR="00443D09">
        <w:rPr>
          <w:rFonts w:eastAsia="Arial" w:cs="Arial"/>
          <w:sz w:val="22"/>
          <w:szCs w:val="22"/>
          <w:lang w:val="en-US" w:eastAsia="en-GB"/>
        </w:rPr>
        <w:t>,</w:t>
      </w:r>
      <w:r w:rsidRPr="07FC4C9B">
        <w:rPr>
          <w:rFonts w:eastAsia="Arial" w:cs="Arial"/>
          <w:sz w:val="22"/>
          <w:szCs w:val="22"/>
          <w:lang w:val="en-US" w:eastAsia="en-GB"/>
        </w:rPr>
        <w:t xml:space="preserve"> including</w:t>
      </w:r>
      <w:r w:rsidR="00443D09">
        <w:rPr>
          <w:rFonts w:eastAsia="Arial" w:cs="Arial"/>
          <w:sz w:val="22"/>
          <w:szCs w:val="22"/>
          <w:lang w:val="en-US" w:eastAsia="en-GB"/>
        </w:rPr>
        <w:t xml:space="preserve"> through</w:t>
      </w:r>
      <w:r w:rsidRPr="07FC4C9B">
        <w:rPr>
          <w:rFonts w:eastAsia="Arial" w:cs="Arial"/>
          <w:sz w:val="22"/>
          <w:szCs w:val="22"/>
          <w:lang w:val="en-US" w:eastAsia="en-GB"/>
        </w:rPr>
        <w:t xml:space="preserve"> mobilising finance for nature and testing and demonstrating innovative investment models</w:t>
      </w:r>
      <w:r w:rsidR="5BF6878E" w:rsidRPr="07FC4C9B">
        <w:rPr>
          <w:rFonts w:eastAsia="Arial" w:cs="Arial"/>
          <w:sz w:val="22"/>
          <w:szCs w:val="22"/>
          <w:lang w:val="en-US" w:eastAsia="en-GB"/>
        </w:rPr>
        <w:t>,</w:t>
      </w:r>
      <w:r w:rsidRPr="07FC4C9B">
        <w:rPr>
          <w:rFonts w:eastAsia="Arial" w:cs="Arial"/>
          <w:sz w:val="22"/>
          <w:szCs w:val="22"/>
          <w:lang w:val="en-US" w:eastAsia="en-GB"/>
        </w:rPr>
        <w:t xml:space="preserve"> i.e. blended finance and </w:t>
      </w:r>
      <w:r w:rsidR="507D0FBA" w:rsidRPr="07FC4C9B">
        <w:rPr>
          <w:rFonts w:eastAsia="Arial" w:cs="Arial"/>
          <w:sz w:val="22"/>
          <w:szCs w:val="22"/>
          <w:lang w:val="en-US" w:eastAsia="en-GB"/>
        </w:rPr>
        <w:t>TA</w:t>
      </w:r>
      <w:r w:rsidRPr="07FC4C9B">
        <w:rPr>
          <w:rFonts w:eastAsia="Arial" w:cs="Arial"/>
          <w:sz w:val="22"/>
          <w:szCs w:val="22"/>
          <w:lang w:val="en-US" w:eastAsia="en-GB"/>
        </w:rPr>
        <w:t xml:space="preserve"> for </w:t>
      </w:r>
      <w:r w:rsidR="00443D09">
        <w:rPr>
          <w:rFonts w:eastAsia="Arial" w:cs="Arial"/>
          <w:sz w:val="22"/>
          <w:szCs w:val="22"/>
          <w:lang w:val="en-US" w:eastAsia="en-GB"/>
        </w:rPr>
        <w:t xml:space="preserve">the </w:t>
      </w:r>
      <w:r w:rsidRPr="07FC4C9B">
        <w:rPr>
          <w:rFonts w:eastAsia="Arial" w:cs="Arial"/>
          <w:sz w:val="22"/>
          <w:szCs w:val="22"/>
          <w:lang w:val="en-US" w:eastAsia="en-GB"/>
        </w:rPr>
        <w:t xml:space="preserve">implementation of sustainable agriculture. </w:t>
      </w:r>
      <w:r w:rsidR="00F12BB9">
        <w:rPr>
          <w:rFonts w:eastAsia="Arial" w:cs="Arial"/>
          <w:sz w:val="22"/>
          <w:szCs w:val="22"/>
          <w:lang w:val="en-US" w:eastAsia="en-GB"/>
        </w:rPr>
        <w:t>The 202</w:t>
      </w:r>
      <w:r w:rsidR="00E244B2">
        <w:rPr>
          <w:rFonts w:eastAsia="Arial" w:cs="Arial"/>
          <w:sz w:val="22"/>
          <w:szCs w:val="22"/>
          <w:lang w:val="en-US" w:eastAsia="en-GB"/>
        </w:rPr>
        <w:t>2 independent</w:t>
      </w:r>
      <w:r w:rsidR="00F12BB9">
        <w:rPr>
          <w:rFonts w:eastAsia="Arial" w:cs="Arial"/>
          <w:sz w:val="22"/>
          <w:szCs w:val="22"/>
          <w:lang w:val="en-US" w:eastAsia="en-GB"/>
        </w:rPr>
        <w:t xml:space="preserve"> review of </w:t>
      </w:r>
      <w:r w:rsidR="00E244B2">
        <w:rPr>
          <w:rFonts w:eastAsia="Arial" w:cs="Arial"/>
          <w:sz w:val="22"/>
          <w:szCs w:val="22"/>
          <w:lang w:val="en-US" w:eastAsia="en-GB"/>
        </w:rPr>
        <w:t xml:space="preserve">the Fund has given Defra confidence in the </w:t>
      </w:r>
      <w:r w:rsidR="00311F77">
        <w:rPr>
          <w:rFonts w:eastAsia="Arial" w:cs="Arial"/>
          <w:sz w:val="22"/>
          <w:szCs w:val="22"/>
          <w:lang w:val="en-US" w:eastAsia="en-GB"/>
        </w:rPr>
        <w:t>reliability and robustness of the Fund’s impact reporting</w:t>
      </w:r>
      <w:r w:rsidR="00EB056F">
        <w:rPr>
          <w:rFonts w:eastAsia="Arial" w:cs="Arial"/>
          <w:sz w:val="22"/>
          <w:szCs w:val="22"/>
          <w:lang w:val="en-US" w:eastAsia="en-GB"/>
        </w:rPr>
        <w:t xml:space="preserve">, with no need for further review </w:t>
      </w:r>
      <w:r w:rsidR="00DF7355">
        <w:rPr>
          <w:rFonts w:eastAsia="Arial" w:cs="Arial"/>
          <w:sz w:val="22"/>
          <w:szCs w:val="22"/>
          <w:lang w:val="en-US" w:eastAsia="en-GB"/>
        </w:rPr>
        <w:t>in the next few years, provided</w:t>
      </w:r>
      <w:r w:rsidR="00EB056F">
        <w:rPr>
          <w:rFonts w:eastAsia="Arial" w:cs="Arial"/>
          <w:sz w:val="22"/>
          <w:szCs w:val="22"/>
          <w:lang w:val="en-US" w:eastAsia="en-GB"/>
        </w:rPr>
        <w:t xml:space="preserve"> the Fund continues to follow the same </w:t>
      </w:r>
      <w:r w:rsidR="00DF7355">
        <w:rPr>
          <w:rFonts w:eastAsia="Arial" w:cs="Arial"/>
          <w:sz w:val="22"/>
          <w:szCs w:val="22"/>
          <w:lang w:val="en-US" w:eastAsia="en-GB"/>
        </w:rPr>
        <w:t xml:space="preserve">strategy and </w:t>
      </w:r>
      <w:r w:rsidR="00EB056F">
        <w:rPr>
          <w:rFonts w:eastAsia="Arial" w:cs="Arial"/>
          <w:sz w:val="22"/>
          <w:szCs w:val="22"/>
          <w:lang w:val="en-US" w:eastAsia="en-GB"/>
        </w:rPr>
        <w:t>reporting principles</w:t>
      </w:r>
      <w:r w:rsidR="00311F77">
        <w:rPr>
          <w:rFonts w:eastAsia="Arial" w:cs="Arial"/>
          <w:sz w:val="22"/>
          <w:szCs w:val="22"/>
          <w:lang w:val="en-US" w:eastAsia="en-GB"/>
        </w:rPr>
        <w:t xml:space="preserve">. </w:t>
      </w:r>
      <w:r w:rsidR="00443D09">
        <w:rPr>
          <w:rFonts w:eastAsia="Arial" w:cs="Arial"/>
          <w:sz w:val="22"/>
          <w:szCs w:val="22"/>
          <w:lang w:val="en-US" w:eastAsia="en-GB"/>
        </w:rPr>
        <w:t>The programme</w:t>
      </w:r>
      <w:r w:rsidRPr="07FC4C9B">
        <w:rPr>
          <w:rFonts w:eastAsia="Arial" w:cs="Arial"/>
          <w:sz w:val="22"/>
          <w:szCs w:val="22"/>
          <w:lang w:val="en-US" w:eastAsia="en-GB"/>
        </w:rPr>
        <w:t xml:space="preserve"> is working to address barriers to progress in climate change adaptation and sustainable livelihoods and transformational change of the financial system. It is recommended that the programme continue</w:t>
      </w:r>
      <w:r w:rsidR="00FE573F">
        <w:rPr>
          <w:rFonts w:eastAsia="Arial" w:cs="Arial"/>
          <w:sz w:val="22"/>
          <w:szCs w:val="22"/>
          <w:lang w:val="en-US" w:eastAsia="en-GB"/>
        </w:rPr>
        <w:t>s</w:t>
      </w:r>
      <w:r w:rsidRPr="07FC4C9B">
        <w:rPr>
          <w:rFonts w:eastAsia="Arial" w:cs="Arial"/>
          <w:sz w:val="22"/>
          <w:szCs w:val="22"/>
          <w:lang w:val="en-US" w:eastAsia="en-GB"/>
        </w:rPr>
        <w:t>.</w:t>
      </w:r>
    </w:p>
    <w:p w14:paraId="7C518865" w14:textId="03C3886D" w:rsidR="00514E0C" w:rsidRDefault="00514E0C" w:rsidP="005E557A">
      <w:pPr>
        <w:rPr>
          <w:rFonts w:eastAsia="Arial" w:cs="Arial"/>
          <w:sz w:val="20"/>
          <w:szCs w:val="20"/>
          <w:lang w:val="en" w:eastAsia="en-GB"/>
        </w:rPr>
      </w:pPr>
    </w:p>
    <w:p w14:paraId="7F557232" w14:textId="77777777" w:rsidR="00514E0C" w:rsidRPr="00A54B18" w:rsidRDefault="00514E0C" w:rsidP="005E557A">
      <w:pPr>
        <w:rPr>
          <w:rFonts w:eastAsia="Arial" w:cs="Arial"/>
          <w:sz w:val="20"/>
          <w:szCs w:val="20"/>
          <w:lang w:val="en" w:eastAsia="en-GB"/>
        </w:rPr>
      </w:pPr>
    </w:p>
    <w:p w14:paraId="2071A61A" w14:textId="1D01CF0D" w:rsidR="006F3AE7" w:rsidRPr="00A54B18" w:rsidRDefault="7232A90E" w:rsidP="005E557A">
      <w:pPr>
        <w:pStyle w:val="Heading2"/>
        <w:pBdr>
          <w:top w:val="single" w:sz="4" w:space="1" w:color="auto"/>
          <w:left w:val="single" w:sz="4" w:space="6" w:color="auto"/>
          <w:bottom w:val="single" w:sz="4" w:space="1" w:color="auto"/>
          <w:right w:val="single" w:sz="4" w:space="4" w:color="auto"/>
        </w:pBdr>
        <w:shd w:val="clear" w:color="auto" w:fill="D9E2F3" w:themeFill="accent1" w:themeFillTint="33"/>
        <w:spacing w:before="0"/>
        <w:rPr>
          <w:rFonts w:eastAsia="Arial" w:cs="Arial"/>
          <w:b w:val="0"/>
          <w:i w:val="0"/>
          <w:sz w:val="20"/>
          <w:szCs w:val="20"/>
        </w:rPr>
      </w:pPr>
      <w:r w:rsidRPr="00A54B18">
        <w:rPr>
          <w:rFonts w:eastAsia="Arial" w:cs="Arial"/>
          <w:i w:val="0"/>
        </w:rPr>
        <w:t>C. DETAILED OUTPUT SCORING</w:t>
      </w:r>
    </w:p>
    <w:p w14:paraId="662C714B" w14:textId="77777777" w:rsidR="00535C82" w:rsidRPr="00A54B18" w:rsidRDefault="00535C82" w:rsidP="005E557A">
      <w:pPr>
        <w:rPr>
          <w:rFonts w:eastAsia="Arial" w:cs="Arial"/>
          <w:b/>
          <w:bCs/>
          <w:i/>
          <w:iCs/>
          <w:color w:val="000000" w:themeColor="text1"/>
        </w:rPr>
      </w:pPr>
    </w:p>
    <w:p w14:paraId="6C064463" w14:textId="41DA138A" w:rsidR="00535C82" w:rsidRPr="00A54B18" w:rsidRDefault="00535C82" w:rsidP="00F66B70">
      <w:pPr>
        <w:jc w:val="both"/>
        <w:rPr>
          <w:rFonts w:eastAsia="Arial" w:cs="Arial"/>
          <w:color w:val="000000" w:themeColor="text1"/>
          <w:lang w:val="en"/>
        </w:rPr>
      </w:pPr>
      <w:r w:rsidRPr="00A54B18">
        <w:rPr>
          <w:rFonts w:eastAsia="Arial" w:cs="Arial"/>
          <w:b/>
          <w:bCs/>
          <w:i/>
          <w:iCs/>
          <w:color w:val="000000" w:themeColor="text1"/>
        </w:rPr>
        <w:t>Output level Summary</w:t>
      </w:r>
    </w:p>
    <w:p w14:paraId="42FDE965" w14:textId="25161849" w:rsidR="006F3AE7" w:rsidRPr="00A54B18" w:rsidRDefault="00535C82" w:rsidP="00F66B70">
      <w:pPr>
        <w:jc w:val="both"/>
        <w:rPr>
          <w:rFonts w:eastAsia="Arial" w:cs="Arial"/>
          <w:color w:val="000000" w:themeColor="text1"/>
          <w:sz w:val="22"/>
          <w:szCs w:val="22"/>
        </w:rPr>
      </w:pPr>
      <w:r w:rsidRPr="001E0775">
        <w:rPr>
          <w:rFonts w:eastAsia="Arial" w:cs="Arial"/>
          <w:color w:val="000000" w:themeColor="text1"/>
          <w:sz w:val="22"/>
          <w:szCs w:val="22"/>
        </w:rPr>
        <w:t xml:space="preserve">Outputs have been decided based on the objectives of the EBF to promote business and consumption practices that contribute to biodiversity conservation, to the sustainable use of natural resources, and to mitigate climate change and adapt to its impacts. Outputs have been weighted in accordance with their importance to the success of the EBF and alignment with Defra ICF’s strategic </w:t>
      </w:r>
      <w:r w:rsidR="00E67F25" w:rsidRPr="001E0775">
        <w:rPr>
          <w:rFonts w:eastAsia="Arial" w:cs="Arial"/>
          <w:color w:val="000000" w:themeColor="text1"/>
          <w:sz w:val="22"/>
          <w:szCs w:val="22"/>
        </w:rPr>
        <w:t>priorities</w:t>
      </w:r>
      <w:r w:rsidR="00745B0B">
        <w:rPr>
          <w:rFonts w:eastAsia="Arial" w:cs="Arial"/>
          <w:color w:val="000000" w:themeColor="text1"/>
          <w:sz w:val="22"/>
          <w:szCs w:val="22"/>
        </w:rPr>
        <w:t>, and were revised in 202</w:t>
      </w:r>
      <w:r w:rsidR="00AF7913">
        <w:rPr>
          <w:rFonts w:eastAsia="Arial" w:cs="Arial"/>
          <w:color w:val="000000" w:themeColor="text1"/>
          <w:sz w:val="22"/>
          <w:szCs w:val="22"/>
        </w:rPr>
        <w:t>3</w:t>
      </w:r>
      <w:r w:rsidR="00E67F25" w:rsidRPr="001E0775">
        <w:rPr>
          <w:rFonts w:eastAsia="Arial" w:cs="Arial"/>
          <w:color w:val="000000" w:themeColor="text1"/>
          <w:sz w:val="22"/>
          <w:szCs w:val="22"/>
        </w:rPr>
        <w:t>.</w:t>
      </w:r>
      <w:r w:rsidR="004B16AA">
        <w:rPr>
          <w:rFonts w:eastAsia="Arial" w:cs="Arial"/>
          <w:color w:val="000000" w:themeColor="text1"/>
          <w:sz w:val="22"/>
          <w:szCs w:val="22"/>
        </w:rPr>
        <w:t xml:space="preserve"> </w:t>
      </w:r>
      <w:r w:rsidR="004B16AA" w:rsidRPr="005816E7">
        <w:rPr>
          <w:rFonts w:eastAsia="Arial" w:cs="Arial"/>
          <w:i/>
          <w:iCs/>
          <w:color w:val="000000" w:themeColor="text1"/>
          <w:sz w:val="22"/>
          <w:szCs w:val="22"/>
        </w:rPr>
        <w:t xml:space="preserve">All outputs are </w:t>
      </w:r>
      <w:r w:rsidR="00864889" w:rsidRPr="005816E7">
        <w:rPr>
          <w:rFonts w:eastAsia="Arial" w:cs="Arial"/>
          <w:i/>
          <w:iCs/>
          <w:color w:val="000000" w:themeColor="text1"/>
          <w:sz w:val="22"/>
          <w:szCs w:val="22"/>
        </w:rPr>
        <w:t xml:space="preserve">given as cumulative figures in line with the Fund’s </w:t>
      </w:r>
      <w:r w:rsidR="00E5147B" w:rsidRPr="005816E7">
        <w:rPr>
          <w:rFonts w:eastAsia="Arial" w:cs="Arial"/>
          <w:i/>
          <w:iCs/>
          <w:color w:val="000000" w:themeColor="text1"/>
          <w:sz w:val="22"/>
          <w:szCs w:val="22"/>
        </w:rPr>
        <w:t xml:space="preserve">other </w:t>
      </w:r>
      <w:r w:rsidR="00864889" w:rsidRPr="005816E7">
        <w:rPr>
          <w:rFonts w:eastAsia="Arial" w:cs="Arial"/>
          <w:i/>
          <w:iCs/>
          <w:color w:val="000000" w:themeColor="text1"/>
          <w:sz w:val="22"/>
          <w:szCs w:val="22"/>
        </w:rPr>
        <w:t>reporting</w:t>
      </w:r>
      <w:r w:rsidR="00E5147B" w:rsidRPr="005816E7">
        <w:rPr>
          <w:rFonts w:eastAsia="Arial" w:cs="Arial"/>
          <w:i/>
          <w:iCs/>
          <w:color w:val="000000" w:themeColor="text1"/>
          <w:sz w:val="22"/>
          <w:szCs w:val="22"/>
        </w:rPr>
        <w:t xml:space="preserve"> responsibilities</w:t>
      </w:r>
      <w:r w:rsidR="00864889" w:rsidRPr="005816E7">
        <w:rPr>
          <w:rFonts w:eastAsia="Arial" w:cs="Arial"/>
          <w:i/>
          <w:iCs/>
          <w:color w:val="000000" w:themeColor="text1"/>
          <w:sz w:val="22"/>
          <w:szCs w:val="22"/>
        </w:rPr>
        <w:t xml:space="preserve"> </w:t>
      </w:r>
      <w:r w:rsidR="00624101">
        <w:rPr>
          <w:rFonts w:eastAsia="Arial" w:cs="Arial"/>
          <w:i/>
          <w:iCs/>
          <w:color w:val="000000" w:themeColor="text1"/>
          <w:sz w:val="22"/>
          <w:szCs w:val="22"/>
        </w:rPr>
        <w:t>(</w:t>
      </w:r>
      <w:r w:rsidR="00864889" w:rsidRPr="005816E7">
        <w:rPr>
          <w:rFonts w:eastAsia="Arial" w:cs="Arial"/>
          <w:i/>
          <w:iCs/>
          <w:color w:val="000000" w:themeColor="text1"/>
          <w:sz w:val="22"/>
          <w:szCs w:val="22"/>
        </w:rPr>
        <w:t xml:space="preserve">in-year </w:t>
      </w:r>
      <w:r w:rsidR="00624101">
        <w:rPr>
          <w:rFonts w:eastAsia="Arial" w:cs="Arial"/>
          <w:i/>
          <w:iCs/>
          <w:color w:val="000000" w:themeColor="text1"/>
          <w:sz w:val="22"/>
          <w:szCs w:val="22"/>
        </w:rPr>
        <w:t>change</w:t>
      </w:r>
      <w:r w:rsidR="00864889" w:rsidRPr="005816E7">
        <w:rPr>
          <w:rFonts w:eastAsia="Arial" w:cs="Arial"/>
          <w:i/>
          <w:iCs/>
          <w:color w:val="000000" w:themeColor="text1"/>
          <w:sz w:val="22"/>
          <w:szCs w:val="22"/>
        </w:rPr>
        <w:t xml:space="preserve"> in brackets</w:t>
      </w:r>
      <w:r w:rsidR="00624101">
        <w:rPr>
          <w:rFonts w:eastAsia="Arial" w:cs="Arial"/>
          <w:i/>
          <w:iCs/>
          <w:color w:val="000000" w:themeColor="text1"/>
          <w:sz w:val="22"/>
          <w:szCs w:val="22"/>
        </w:rPr>
        <w:t>)</w:t>
      </w:r>
      <w:r w:rsidR="00864889" w:rsidRPr="005816E7">
        <w:rPr>
          <w:rFonts w:eastAsia="Arial" w:cs="Arial"/>
          <w:i/>
          <w:iCs/>
          <w:color w:val="000000" w:themeColor="text1"/>
          <w:sz w:val="22"/>
          <w:szCs w:val="22"/>
        </w:rPr>
        <w:t>.</w:t>
      </w:r>
    </w:p>
    <w:p w14:paraId="5FF355FD" w14:textId="77777777" w:rsidR="00535C82" w:rsidRPr="00A54B18" w:rsidRDefault="00535C82" w:rsidP="005E557A">
      <w:pPr>
        <w:rPr>
          <w:rFonts w:eastAsia="Arial" w:cs="Arial"/>
          <w:sz w:val="22"/>
          <w:szCs w:val="22"/>
        </w:rPr>
      </w:pPr>
    </w:p>
    <w:tbl>
      <w:tblPr>
        <w:tblStyle w:val="TableGrid"/>
        <w:tblW w:w="9214" w:type="dxa"/>
        <w:tblInd w:w="-147" w:type="dxa"/>
        <w:tblLook w:val="04A0" w:firstRow="1" w:lastRow="0" w:firstColumn="1" w:lastColumn="0" w:noHBand="0" w:noVBand="1"/>
      </w:tblPr>
      <w:tblGrid>
        <w:gridCol w:w="1708"/>
        <w:gridCol w:w="616"/>
        <w:gridCol w:w="937"/>
        <w:gridCol w:w="3283"/>
        <w:gridCol w:w="2670"/>
      </w:tblGrid>
      <w:tr w:rsidR="00605E79" w:rsidRPr="00A54B18" w14:paraId="52E574E6" w14:textId="77777777" w:rsidTr="56CCD8E2">
        <w:trPr>
          <w:trHeight w:val="489"/>
        </w:trPr>
        <w:tc>
          <w:tcPr>
            <w:tcW w:w="170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1EF9924" w14:textId="77777777" w:rsidR="006F3AE7" w:rsidRPr="00A54B18" w:rsidRDefault="7232A90E" w:rsidP="005E557A">
            <w:pPr>
              <w:rPr>
                <w:rFonts w:eastAsia="Arial" w:cs="Arial"/>
                <w:b/>
                <w:bCs/>
                <w:sz w:val="20"/>
                <w:szCs w:val="20"/>
              </w:rPr>
            </w:pPr>
            <w:r w:rsidRPr="00A54B18">
              <w:rPr>
                <w:rFonts w:eastAsia="Arial" w:cs="Arial"/>
                <w:b/>
                <w:bCs/>
                <w:sz w:val="20"/>
                <w:szCs w:val="20"/>
              </w:rPr>
              <w:t xml:space="preserve">Output Title </w:t>
            </w:r>
          </w:p>
        </w:tc>
        <w:tc>
          <w:tcPr>
            <w:tcW w:w="7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FD2BE8F" w14:textId="5012C752" w:rsidR="006F3AE7" w:rsidRPr="00A54B18" w:rsidRDefault="3E4AC18A" w:rsidP="005E557A">
            <w:pPr>
              <w:rPr>
                <w:rFonts w:eastAsia="Arial" w:cs="Arial"/>
                <w:i/>
                <w:iCs/>
                <w:color w:val="FF0000"/>
                <w:sz w:val="22"/>
                <w:szCs w:val="22"/>
              </w:rPr>
            </w:pPr>
            <w:r w:rsidRPr="00A54B18">
              <w:rPr>
                <w:rStyle w:val="normaltextrun"/>
                <w:rFonts w:eastAsia="Arial" w:cs="Arial"/>
                <w:color w:val="000000"/>
                <w:sz w:val="22"/>
                <w:szCs w:val="22"/>
                <w:shd w:val="clear" w:color="auto" w:fill="FFFFFF"/>
              </w:rPr>
              <w:t>EBF has a diversified portfolio supporting a range of geographies and sectors</w:t>
            </w:r>
            <w:r w:rsidRPr="00A54B18">
              <w:rPr>
                <w:rStyle w:val="eop"/>
                <w:rFonts w:eastAsia="Arial" w:cs="Arial"/>
                <w:color w:val="000000"/>
                <w:sz w:val="22"/>
                <w:szCs w:val="22"/>
                <w:shd w:val="clear" w:color="auto" w:fill="FFFFFF"/>
              </w:rPr>
              <w:t> </w:t>
            </w:r>
          </w:p>
        </w:tc>
      </w:tr>
      <w:tr w:rsidR="00F45458" w:rsidRPr="00A54B18" w14:paraId="5136958B" w14:textId="77777777" w:rsidTr="56CCD8E2">
        <w:trPr>
          <w:trHeight w:val="347"/>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C28C9F" w14:textId="77777777" w:rsidR="006F3AE7" w:rsidRPr="00A54B18" w:rsidRDefault="7232A90E" w:rsidP="005E557A">
            <w:pPr>
              <w:rPr>
                <w:rFonts w:eastAsia="Arial" w:cs="Arial"/>
                <w:sz w:val="20"/>
                <w:szCs w:val="20"/>
              </w:rPr>
            </w:pPr>
            <w:r w:rsidRPr="00A54B18">
              <w:rPr>
                <w:rFonts w:eastAsia="Arial" w:cs="Arial"/>
                <w:sz w:val="20"/>
                <w:szCs w:val="20"/>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0D998D47" w14:textId="206DD742" w:rsidR="006F3AE7" w:rsidRPr="00A54B18" w:rsidRDefault="6B49CB7E" w:rsidP="005E557A">
            <w:pPr>
              <w:rPr>
                <w:rFonts w:eastAsia="Arial" w:cs="Arial"/>
                <w:sz w:val="20"/>
                <w:szCs w:val="20"/>
              </w:rPr>
            </w:pPr>
            <w:r w:rsidRPr="00A54B18">
              <w:rPr>
                <w:rFonts w:eastAsia="Arial" w:cs="Arial"/>
                <w:sz w:val="20"/>
                <w:szCs w:val="20"/>
              </w:rPr>
              <w:t>1</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CD8447" w14:textId="77777777" w:rsidR="006F3AE7" w:rsidRPr="00A54B18" w:rsidRDefault="47712A54" w:rsidP="005E557A">
            <w:pPr>
              <w:rPr>
                <w:rFonts w:eastAsia="Arial" w:cs="Arial"/>
                <w:sz w:val="20"/>
                <w:szCs w:val="20"/>
              </w:rPr>
            </w:pPr>
            <w:r w:rsidRPr="07FC4C9B">
              <w:rPr>
                <w:rFonts w:eastAsia="Arial" w:cs="Arial"/>
                <w:sz w:val="20"/>
                <w:szCs w:val="20"/>
              </w:rPr>
              <w:t xml:space="preserve">Output Score: </w:t>
            </w:r>
          </w:p>
        </w:tc>
        <w:tc>
          <w:tcPr>
            <w:tcW w:w="2670" w:type="dxa"/>
            <w:tcBorders>
              <w:top w:val="single" w:sz="4" w:space="0" w:color="auto"/>
              <w:left w:val="single" w:sz="4" w:space="0" w:color="auto"/>
              <w:bottom w:val="single" w:sz="4" w:space="0" w:color="auto"/>
              <w:right w:val="single" w:sz="4" w:space="0" w:color="auto"/>
            </w:tcBorders>
          </w:tcPr>
          <w:p w14:paraId="25588D6F" w14:textId="3DB05A12" w:rsidR="006F3AE7" w:rsidRPr="00A54B18" w:rsidRDefault="44DC9CB7" w:rsidP="07FC4C9B">
            <w:pPr>
              <w:rPr>
                <w:rFonts w:eastAsia="Arial" w:cs="Arial"/>
                <w:b/>
                <w:bCs/>
                <w:i/>
                <w:iCs/>
                <w:sz w:val="20"/>
                <w:szCs w:val="20"/>
              </w:rPr>
            </w:pPr>
            <w:r w:rsidRPr="07FC4C9B">
              <w:rPr>
                <w:rFonts w:eastAsia="Arial" w:cs="Arial"/>
                <w:b/>
                <w:bCs/>
                <w:i/>
                <w:iCs/>
                <w:sz w:val="20"/>
                <w:szCs w:val="20"/>
              </w:rPr>
              <w:t>A+</w:t>
            </w:r>
          </w:p>
        </w:tc>
      </w:tr>
      <w:tr w:rsidR="00F45458" w:rsidRPr="00A54B18" w14:paraId="2E063A5F" w14:textId="77777777" w:rsidTr="56CCD8E2">
        <w:trPr>
          <w:trHeight w:val="345"/>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13D482" w14:textId="77777777" w:rsidR="006F3AE7" w:rsidRPr="00A54B18" w:rsidRDefault="7232A90E" w:rsidP="005E557A">
            <w:pPr>
              <w:rPr>
                <w:rFonts w:eastAsia="Arial" w:cs="Arial"/>
                <w:sz w:val="20"/>
                <w:szCs w:val="20"/>
              </w:rPr>
            </w:pPr>
            <w:r w:rsidRPr="00A54B18">
              <w:rPr>
                <w:rFonts w:eastAsia="Arial" w:cs="Arial"/>
                <w:sz w:val="20"/>
                <w:szCs w:val="20"/>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31CC3EFE" w14:textId="34EECE49" w:rsidR="006F3AE7" w:rsidRPr="00A54B18" w:rsidRDefault="54AD1A75" w:rsidP="005E557A">
            <w:pPr>
              <w:rPr>
                <w:rFonts w:eastAsia="Arial" w:cs="Arial"/>
                <w:sz w:val="20"/>
                <w:szCs w:val="20"/>
              </w:rPr>
            </w:pPr>
            <w:r w:rsidRPr="56CCD8E2">
              <w:rPr>
                <w:rFonts w:eastAsia="Arial" w:cs="Arial"/>
                <w:sz w:val="20"/>
                <w:szCs w:val="20"/>
              </w:rPr>
              <w:t>40</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995FDB" w14:textId="2FF2D427" w:rsidR="006F3AE7" w:rsidRPr="00A54B18" w:rsidRDefault="7232A90E" w:rsidP="005E557A">
            <w:pPr>
              <w:rPr>
                <w:rFonts w:eastAsia="Arial" w:cs="Arial"/>
                <w:sz w:val="20"/>
                <w:szCs w:val="20"/>
              </w:rPr>
            </w:pPr>
            <w:r w:rsidRPr="00A54B18">
              <w:rPr>
                <w:rFonts w:eastAsia="Arial" w:cs="Arial"/>
                <w:sz w:val="20"/>
                <w:szCs w:val="20"/>
              </w:rPr>
              <w:t xml:space="preserve">Weighting revised since last AR? </w:t>
            </w:r>
          </w:p>
        </w:tc>
        <w:tc>
          <w:tcPr>
            <w:tcW w:w="2670" w:type="dxa"/>
            <w:tcBorders>
              <w:top w:val="single" w:sz="4" w:space="0" w:color="auto"/>
              <w:left w:val="single" w:sz="4" w:space="0" w:color="auto"/>
              <w:bottom w:val="single" w:sz="4" w:space="0" w:color="auto"/>
              <w:right w:val="single" w:sz="4" w:space="0" w:color="auto"/>
            </w:tcBorders>
          </w:tcPr>
          <w:p w14:paraId="2DFF1646" w14:textId="59E60347" w:rsidR="006F3AE7" w:rsidRPr="00A54B18" w:rsidRDefault="0083617D" w:rsidP="005E557A">
            <w:pPr>
              <w:rPr>
                <w:rFonts w:eastAsia="Arial" w:cs="Arial"/>
                <w:sz w:val="20"/>
                <w:szCs w:val="20"/>
              </w:rPr>
            </w:pPr>
            <w:r>
              <w:rPr>
                <w:rFonts w:eastAsia="Arial" w:cs="Arial"/>
                <w:sz w:val="20"/>
                <w:szCs w:val="20"/>
              </w:rPr>
              <w:t>Yes</w:t>
            </w:r>
          </w:p>
        </w:tc>
      </w:tr>
    </w:tbl>
    <w:p w14:paraId="3FFA182B" w14:textId="77777777" w:rsidR="006F3AE7" w:rsidRPr="00A54B18" w:rsidRDefault="006F3AE7" w:rsidP="005E557A">
      <w:pPr>
        <w:rPr>
          <w:rFonts w:eastAsia="Arial" w:cs="Arial"/>
          <w:b/>
          <w:bCs/>
        </w:rPr>
      </w:pPr>
    </w:p>
    <w:tbl>
      <w:tblPr>
        <w:tblStyle w:val="TableGrid"/>
        <w:tblpPr w:leftFromText="180" w:rightFromText="180" w:vertAnchor="text" w:horzAnchor="page" w:tblpX="1325" w:tblpY="-10"/>
        <w:tblOverlap w:val="never"/>
        <w:tblW w:w="9193" w:type="dxa"/>
        <w:tblLook w:val="04A0" w:firstRow="1" w:lastRow="0" w:firstColumn="1" w:lastColumn="0" w:noHBand="0" w:noVBand="1"/>
      </w:tblPr>
      <w:tblGrid>
        <w:gridCol w:w="5382"/>
        <w:gridCol w:w="1984"/>
        <w:gridCol w:w="1827"/>
      </w:tblGrid>
      <w:tr w:rsidR="00882442" w:rsidRPr="00A54B18" w14:paraId="12589E58" w14:textId="2BA6FC84" w:rsidTr="07FC4C9B">
        <w:trPr>
          <w:trHeight w:val="209"/>
        </w:trPr>
        <w:tc>
          <w:tcPr>
            <w:tcW w:w="538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7DF24C" w14:textId="23873839" w:rsidR="00882442" w:rsidRPr="00A54B18" w:rsidRDefault="00882442" w:rsidP="005E557A">
            <w:pPr>
              <w:rPr>
                <w:rFonts w:eastAsia="Arial" w:cs="Arial"/>
                <w:b/>
                <w:bCs/>
                <w:sz w:val="20"/>
                <w:szCs w:val="20"/>
              </w:rPr>
            </w:pPr>
            <w:r w:rsidRPr="00A54B18">
              <w:rPr>
                <w:rFonts w:eastAsia="Arial" w:cs="Arial"/>
                <w:b/>
                <w:bCs/>
                <w:sz w:val="20"/>
                <w:szCs w:val="20"/>
              </w:rPr>
              <w:t>Indicator</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C55528" w14:textId="03493E8E" w:rsidR="00882442" w:rsidRPr="00A54B18" w:rsidRDefault="00882442" w:rsidP="005E557A">
            <w:pPr>
              <w:jc w:val="center"/>
              <w:rPr>
                <w:rFonts w:eastAsia="Arial" w:cs="Arial"/>
                <w:b/>
                <w:bCs/>
                <w:sz w:val="20"/>
                <w:szCs w:val="20"/>
              </w:rPr>
            </w:pPr>
            <w:r>
              <w:rPr>
                <w:rFonts w:eastAsia="Arial" w:cs="Arial"/>
                <w:b/>
                <w:bCs/>
                <w:sz w:val="20"/>
                <w:szCs w:val="20"/>
              </w:rPr>
              <w:t>202</w:t>
            </w:r>
            <w:r w:rsidR="0083617D">
              <w:rPr>
                <w:rFonts w:eastAsia="Arial" w:cs="Arial"/>
                <w:b/>
                <w:bCs/>
                <w:sz w:val="20"/>
                <w:szCs w:val="20"/>
              </w:rPr>
              <w:t>3</w:t>
            </w:r>
            <w:r>
              <w:rPr>
                <w:rFonts w:eastAsia="Arial" w:cs="Arial"/>
                <w:b/>
                <w:bCs/>
                <w:sz w:val="20"/>
                <w:szCs w:val="20"/>
              </w:rPr>
              <w:t xml:space="preserve"> </w:t>
            </w:r>
            <w:r w:rsidRPr="00A54B18">
              <w:rPr>
                <w:rFonts w:eastAsia="Arial" w:cs="Arial"/>
                <w:b/>
                <w:bCs/>
                <w:sz w:val="20"/>
                <w:szCs w:val="20"/>
              </w:rPr>
              <w:t>Milestone</w:t>
            </w:r>
          </w:p>
        </w:tc>
        <w:tc>
          <w:tcPr>
            <w:tcW w:w="182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60A9A3" w14:textId="39966755" w:rsidR="00882442" w:rsidRPr="00A54B18" w:rsidRDefault="0230C859" w:rsidP="005E557A">
            <w:pPr>
              <w:jc w:val="center"/>
              <w:rPr>
                <w:rFonts w:eastAsia="Arial" w:cs="Arial"/>
                <w:b/>
                <w:bCs/>
                <w:sz w:val="20"/>
                <w:szCs w:val="20"/>
              </w:rPr>
            </w:pPr>
            <w:r w:rsidRPr="07FC4C9B">
              <w:rPr>
                <w:rFonts w:eastAsia="Arial" w:cs="Arial"/>
                <w:b/>
                <w:bCs/>
                <w:sz w:val="20"/>
                <w:szCs w:val="20"/>
              </w:rPr>
              <w:t>Progress</w:t>
            </w:r>
          </w:p>
        </w:tc>
      </w:tr>
      <w:tr w:rsidR="00882442" w:rsidRPr="00A54B18" w14:paraId="63BE3357" w14:textId="3EE3A445" w:rsidTr="07FC4C9B">
        <w:trPr>
          <w:trHeight w:val="259"/>
        </w:trPr>
        <w:tc>
          <w:tcPr>
            <w:tcW w:w="5382" w:type="dxa"/>
            <w:tcBorders>
              <w:top w:val="single" w:sz="4" w:space="0" w:color="auto"/>
              <w:left w:val="single" w:sz="4" w:space="0" w:color="auto"/>
              <w:bottom w:val="single" w:sz="4" w:space="0" w:color="auto"/>
              <w:right w:val="single" w:sz="4" w:space="0" w:color="auto"/>
            </w:tcBorders>
          </w:tcPr>
          <w:p w14:paraId="6CBF5E6C" w14:textId="49CD8F02" w:rsidR="00882442" w:rsidRPr="00A54B18" w:rsidRDefault="00882442" w:rsidP="005E557A">
            <w:pPr>
              <w:rPr>
                <w:rFonts w:eastAsia="Arial" w:cs="Arial"/>
                <w:sz w:val="20"/>
                <w:szCs w:val="20"/>
              </w:rPr>
            </w:pPr>
            <w:r w:rsidRPr="00A54B18">
              <w:rPr>
                <w:rFonts w:eastAsia="Arial" w:cs="Arial"/>
                <w:color w:val="000000" w:themeColor="text1"/>
                <w:sz w:val="22"/>
                <w:szCs w:val="22"/>
              </w:rPr>
              <w:t>1.1 Number of financial institutions in EBF’s portfolio</w:t>
            </w:r>
          </w:p>
        </w:tc>
        <w:tc>
          <w:tcPr>
            <w:tcW w:w="1984" w:type="dxa"/>
            <w:tcBorders>
              <w:top w:val="single" w:sz="4" w:space="0" w:color="auto"/>
              <w:left w:val="single" w:sz="4" w:space="0" w:color="auto"/>
              <w:bottom w:val="single" w:sz="4" w:space="0" w:color="auto"/>
              <w:right w:val="single" w:sz="4" w:space="0" w:color="auto"/>
            </w:tcBorders>
          </w:tcPr>
          <w:p w14:paraId="049647E1" w14:textId="555F7A64" w:rsidR="00882442" w:rsidRPr="00A54B18" w:rsidRDefault="0083617D" w:rsidP="005E557A">
            <w:pPr>
              <w:jc w:val="center"/>
              <w:rPr>
                <w:rFonts w:eastAsia="Arial" w:cs="Arial"/>
                <w:sz w:val="22"/>
                <w:szCs w:val="22"/>
              </w:rPr>
            </w:pPr>
            <w:r>
              <w:rPr>
                <w:rFonts w:eastAsia="Arial" w:cs="Arial"/>
                <w:sz w:val="22"/>
                <w:szCs w:val="22"/>
              </w:rPr>
              <w:t>37</w:t>
            </w:r>
          </w:p>
        </w:tc>
        <w:tc>
          <w:tcPr>
            <w:tcW w:w="18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45032EC" w14:textId="0B20A222" w:rsidR="00882442" w:rsidRPr="00A54B18" w:rsidRDefault="5E01E506" w:rsidP="005E557A">
            <w:pPr>
              <w:jc w:val="center"/>
              <w:rPr>
                <w:rFonts w:eastAsia="Arial" w:cs="Arial"/>
                <w:sz w:val="22"/>
                <w:szCs w:val="22"/>
              </w:rPr>
            </w:pPr>
            <w:r w:rsidRPr="07FC4C9B">
              <w:rPr>
                <w:rFonts w:eastAsia="Arial" w:cs="Arial"/>
                <w:sz w:val="22"/>
                <w:szCs w:val="22"/>
              </w:rPr>
              <w:t>42</w:t>
            </w:r>
            <w:r w:rsidR="003C2BBC">
              <w:rPr>
                <w:rFonts w:eastAsia="Arial" w:cs="Arial"/>
                <w:sz w:val="22"/>
                <w:szCs w:val="22"/>
              </w:rPr>
              <w:t xml:space="preserve"> (+6)</w:t>
            </w:r>
          </w:p>
        </w:tc>
      </w:tr>
      <w:tr w:rsidR="00882442" w:rsidRPr="00A54B18" w14:paraId="723D0A09" w14:textId="06B9AAD4" w:rsidTr="07FC4C9B">
        <w:trPr>
          <w:trHeight w:val="259"/>
        </w:trPr>
        <w:tc>
          <w:tcPr>
            <w:tcW w:w="5382" w:type="dxa"/>
            <w:tcBorders>
              <w:top w:val="single" w:sz="4" w:space="0" w:color="auto"/>
              <w:left w:val="single" w:sz="4" w:space="0" w:color="auto"/>
              <w:bottom w:val="single" w:sz="4" w:space="0" w:color="auto"/>
              <w:right w:val="single" w:sz="4" w:space="0" w:color="auto"/>
            </w:tcBorders>
          </w:tcPr>
          <w:p w14:paraId="12C485DF" w14:textId="7A0A7F82" w:rsidR="00882442" w:rsidRPr="00A54B18" w:rsidRDefault="00882442" w:rsidP="005E557A">
            <w:pPr>
              <w:rPr>
                <w:rFonts w:eastAsia="Arial" w:cs="Arial"/>
                <w:sz w:val="20"/>
                <w:szCs w:val="20"/>
              </w:rPr>
            </w:pPr>
            <w:r w:rsidRPr="00A54B18">
              <w:rPr>
                <w:rStyle w:val="normaltextrun"/>
                <w:rFonts w:eastAsia="Arial" w:cs="Arial"/>
                <w:color w:val="000000"/>
                <w:sz w:val="22"/>
                <w:szCs w:val="22"/>
                <w:shd w:val="clear" w:color="auto" w:fill="FFFFFF"/>
              </w:rPr>
              <w:t>1.2 Number of commodities supported</w:t>
            </w:r>
            <w:r w:rsidRPr="00A54B18">
              <w:rPr>
                <w:rStyle w:val="eop"/>
                <w:rFonts w:eastAsia="Arial" w:cs="Arial"/>
                <w:color w:val="000000"/>
                <w:sz w:val="22"/>
                <w:szCs w:val="22"/>
                <w:shd w:val="clear" w:color="auto" w:fill="FFFFFF"/>
              </w:rPr>
              <w:t> </w:t>
            </w:r>
          </w:p>
        </w:tc>
        <w:tc>
          <w:tcPr>
            <w:tcW w:w="1984" w:type="dxa"/>
            <w:tcBorders>
              <w:top w:val="single" w:sz="4" w:space="0" w:color="auto"/>
              <w:left w:val="single" w:sz="4" w:space="0" w:color="auto"/>
              <w:bottom w:val="single" w:sz="4" w:space="0" w:color="auto"/>
              <w:right w:val="single" w:sz="4" w:space="0" w:color="auto"/>
            </w:tcBorders>
          </w:tcPr>
          <w:p w14:paraId="185079C1" w14:textId="2ABD6968" w:rsidR="00882442" w:rsidRPr="00A54B18" w:rsidRDefault="0083617D" w:rsidP="005E557A">
            <w:pPr>
              <w:jc w:val="center"/>
              <w:rPr>
                <w:rFonts w:eastAsia="Arial" w:cs="Arial"/>
                <w:sz w:val="22"/>
                <w:szCs w:val="22"/>
              </w:rPr>
            </w:pPr>
            <w:r>
              <w:rPr>
                <w:rFonts w:eastAsia="Arial" w:cs="Arial"/>
                <w:sz w:val="22"/>
                <w:szCs w:val="22"/>
              </w:rPr>
              <w:t>40</w:t>
            </w:r>
          </w:p>
        </w:tc>
        <w:tc>
          <w:tcPr>
            <w:tcW w:w="18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25BAE5D" w14:textId="7EDC329B" w:rsidR="00882442" w:rsidRPr="00A54B18" w:rsidRDefault="37BE97FC" w:rsidP="005E557A">
            <w:pPr>
              <w:jc w:val="center"/>
              <w:rPr>
                <w:rFonts w:eastAsia="Arial" w:cs="Arial"/>
                <w:sz w:val="22"/>
                <w:szCs w:val="22"/>
              </w:rPr>
            </w:pPr>
            <w:r w:rsidRPr="07FC4C9B">
              <w:rPr>
                <w:rFonts w:eastAsia="Arial" w:cs="Arial"/>
                <w:sz w:val="22"/>
                <w:szCs w:val="22"/>
              </w:rPr>
              <w:t>48</w:t>
            </w:r>
            <w:r w:rsidR="003C2BBC">
              <w:rPr>
                <w:rFonts w:eastAsia="Arial" w:cs="Arial"/>
                <w:sz w:val="22"/>
                <w:szCs w:val="22"/>
              </w:rPr>
              <w:t xml:space="preserve"> (+15)</w:t>
            </w:r>
          </w:p>
        </w:tc>
      </w:tr>
      <w:tr w:rsidR="00882442" w:rsidRPr="00A54B18" w14:paraId="38E2173F" w14:textId="277E36E7" w:rsidTr="07FC4C9B">
        <w:trPr>
          <w:trHeight w:val="259"/>
        </w:trPr>
        <w:tc>
          <w:tcPr>
            <w:tcW w:w="5382" w:type="dxa"/>
            <w:tcBorders>
              <w:top w:val="single" w:sz="4" w:space="0" w:color="auto"/>
              <w:left w:val="single" w:sz="4" w:space="0" w:color="auto"/>
              <w:bottom w:val="single" w:sz="4" w:space="0" w:color="auto"/>
              <w:right w:val="single" w:sz="4" w:space="0" w:color="auto"/>
            </w:tcBorders>
          </w:tcPr>
          <w:p w14:paraId="1662C785" w14:textId="3EDE0FAC" w:rsidR="00882442" w:rsidRPr="00A54B18" w:rsidRDefault="00882442" w:rsidP="005E557A">
            <w:pPr>
              <w:rPr>
                <w:rFonts w:eastAsia="Arial" w:cs="Arial"/>
                <w:sz w:val="20"/>
                <w:szCs w:val="20"/>
              </w:rPr>
            </w:pPr>
            <w:r w:rsidRPr="00A54B18">
              <w:rPr>
                <w:rStyle w:val="normaltextrun"/>
                <w:rFonts w:eastAsia="Arial" w:cs="Arial"/>
                <w:color w:val="000000"/>
                <w:sz w:val="22"/>
                <w:szCs w:val="22"/>
                <w:shd w:val="clear" w:color="auto" w:fill="FFFFFF"/>
              </w:rPr>
              <w:t>1.3 Number of countries in which the Fund operates</w:t>
            </w:r>
            <w:r w:rsidRPr="00A54B18">
              <w:rPr>
                <w:rStyle w:val="eop"/>
                <w:rFonts w:eastAsia="Arial" w:cs="Arial"/>
                <w:color w:val="000000"/>
                <w:sz w:val="22"/>
                <w:szCs w:val="22"/>
                <w:shd w:val="clear" w:color="auto" w:fill="FFFFFF"/>
              </w:rPr>
              <w:t> </w:t>
            </w:r>
          </w:p>
        </w:tc>
        <w:tc>
          <w:tcPr>
            <w:tcW w:w="1984" w:type="dxa"/>
            <w:tcBorders>
              <w:top w:val="single" w:sz="4" w:space="0" w:color="auto"/>
              <w:left w:val="single" w:sz="4" w:space="0" w:color="auto"/>
              <w:bottom w:val="single" w:sz="4" w:space="0" w:color="auto"/>
              <w:right w:val="single" w:sz="4" w:space="0" w:color="auto"/>
            </w:tcBorders>
          </w:tcPr>
          <w:p w14:paraId="668CF0E9" w14:textId="4DDA9E7B" w:rsidR="00882442" w:rsidRPr="00A54B18" w:rsidRDefault="0083617D" w:rsidP="005E557A">
            <w:pPr>
              <w:jc w:val="center"/>
              <w:rPr>
                <w:rFonts w:eastAsia="Arial" w:cs="Arial"/>
                <w:sz w:val="22"/>
                <w:szCs w:val="22"/>
              </w:rPr>
            </w:pPr>
            <w:r>
              <w:rPr>
                <w:rFonts w:eastAsia="Arial" w:cs="Arial"/>
                <w:sz w:val="22"/>
                <w:szCs w:val="22"/>
              </w:rPr>
              <w:t>12</w:t>
            </w:r>
          </w:p>
        </w:tc>
        <w:tc>
          <w:tcPr>
            <w:tcW w:w="18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803124E" w14:textId="533EFEA0" w:rsidR="00882442" w:rsidRPr="00A54B18" w:rsidRDefault="67020870" w:rsidP="005E557A">
            <w:pPr>
              <w:jc w:val="center"/>
              <w:rPr>
                <w:rFonts w:eastAsia="Arial" w:cs="Arial"/>
                <w:sz w:val="22"/>
                <w:szCs w:val="22"/>
              </w:rPr>
            </w:pPr>
            <w:r w:rsidRPr="07FC4C9B">
              <w:rPr>
                <w:rFonts w:eastAsia="Arial" w:cs="Arial"/>
                <w:sz w:val="22"/>
                <w:szCs w:val="22"/>
              </w:rPr>
              <w:t>13</w:t>
            </w:r>
            <w:r w:rsidR="003C2BBC">
              <w:rPr>
                <w:rFonts w:eastAsia="Arial" w:cs="Arial"/>
                <w:sz w:val="22"/>
                <w:szCs w:val="22"/>
              </w:rPr>
              <w:t xml:space="preserve"> (</w:t>
            </w:r>
            <w:r w:rsidR="001F47E7">
              <w:rPr>
                <w:rFonts w:eastAsia="Arial" w:cs="Arial"/>
                <w:sz w:val="22"/>
                <w:szCs w:val="22"/>
              </w:rPr>
              <w:t>+3)</w:t>
            </w:r>
          </w:p>
        </w:tc>
      </w:tr>
    </w:tbl>
    <w:p w14:paraId="6AE21648" w14:textId="6852328C" w:rsidR="088E442B" w:rsidRPr="00A54B18" w:rsidRDefault="10E9296E" w:rsidP="005E557A">
      <w:pPr>
        <w:pStyle w:val="Normal1"/>
        <w:spacing w:after="120"/>
        <w:jc w:val="both"/>
        <w:rPr>
          <w:sz w:val="22"/>
          <w:szCs w:val="22"/>
        </w:rPr>
      </w:pPr>
      <w:r w:rsidRPr="00A54B18">
        <w:rPr>
          <w:b/>
          <w:bCs/>
          <w:sz w:val="22"/>
          <w:szCs w:val="22"/>
        </w:rPr>
        <w:t>Key Points</w:t>
      </w:r>
    </w:p>
    <w:p w14:paraId="37DB1E74" w14:textId="0D1BD741" w:rsidR="002E3D7A" w:rsidRPr="00BA2002" w:rsidRDefault="6C44E990" w:rsidP="00674C5F">
      <w:pPr>
        <w:pStyle w:val="ListParagraph"/>
        <w:numPr>
          <w:ilvl w:val="0"/>
          <w:numId w:val="8"/>
        </w:numPr>
        <w:spacing w:before="60" w:after="0"/>
        <w:ind w:left="357" w:hanging="357"/>
        <w:jc w:val="both"/>
        <w:rPr>
          <w:rFonts w:eastAsia="Arial" w:cs="Arial"/>
          <w:sz w:val="22"/>
          <w:szCs w:val="22"/>
        </w:rPr>
      </w:pPr>
      <w:r w:rsidRPr="0178C2ED">
        <w:rPr>
          <w:rFonts w:eastAsia="Arial" w:cs="Arial"/>
          <w:sz w:val="22"/>
          <w:szCs w:val="22"/>
        </w:rPr>
        <w:t>T</w:t>
      </w:r>
      <w:r w:rsidR="772354F4" w:rsidRPr="0178C2ED">
        <w:rPr>
          <w:rFonts w:eastAsia="Arial" w:cs="Arial"/>
          <w:sz w:val="22"/>
          <w:szCs w:val="22"/>
        </w:rPr>
        <w:t xml:space="preserve">he Fund’s outstanding sub-loan portfolio </w:t>
      </w:r>
      <w:r w:rsidR="67D166EC" w:rsidRPr="0178C2ED">
        <w:rPr>
          <w:rFonts w:eastAsia="Arial" w:cs="Arial"/>
          <w:sz w:val="22"/>
          <w:szCs w:val="22"/>
        </w:rPr>
        <w:t>b</w:t>
      </w:r>
      <w:r w:rsidRPr="0178C2ED">
        <w:rPr>
          <w:rFonts w:eastAsia="Arial" w:cs="Arial"/>
          <w:sz w:val="22"/>
          <w:szCs w:val="22"/>
        </w:rPr>
        <w:t>e</w:t>
      </w:r>
      <w:r w:rsidR="67D166EC" w:rsidRPr="0178C2ED">
        <w:rPr>
          <w:rFonts w:eastAsia="Arial" w:cs="Arial"/>
          <w:sz w:val="22"/>
          <w:szCs w:val="22"/>
        </w:rPr>
        <w:t>came</w:t>
      </w:r>
      <w:r w:rsidRPr="0178C2ED">
        <w:rPr>
          <w:rFonts w:eastAsia="Arial" w:cs="Arial"/>
          <w:sz w:val="22"/>
          <w:szCs w:val="22"/>
        </w:rPr>
        <w:t xml:space="preserve"> more balanced in 2022, with</w:t>
      </w:r>
      <w:r w:rsidR="772354F4" w:rsidRPr="0178C2ED">
        <w:rPr>
          <w:rFonts w:eastAsia="Arial" w:cs="Arial"/>
          <w:sz w:val="22"/>
          <w:szCs w:val="22"/>
        </w:rPr>
        <w:t xml:space="preserve"> coffee</w:t>
      </w:r>
      <w:r w:rsidRPr="0178C2ED">
        <w:rPr>
          <w:rFonts w:eastAsia="Arial" w:cs="Arial"/>
          <w:sz w:val="22"/>
          <w:szCs w:val="22"/>
        </w:rPr>
        <w:t xml:space="preserve"> reducing from 30% to 18% of the portfolio.</w:t>
      </w:r>
      <w:r w:rsidR="7DE00D67" w:rsidRPr="0178C2ED">
        <w:rPr>
          <w:rFonts w:eastAsia="Arial" w:cs="Arial"/>
          <w:sz w:val="22"/>
          <w:szCs w:val="22"/>
        </w:rPr>
        <w:t xml:space="preserve"> </w:t>
      </w:r>
      <w:r w:rsidR="00923305" w:rsidRPr="0178C2ED">
        <w:rPr>
          <w:rFonts w:eastAsia="Arial" w:cs="Arial"/>
          <w:sz w:val="22"/>
          <w:szCs w:val="22"/>
        </w:rPr>
        <w:t xml:space="preserve">In 2023, sugarcane </w:t>
      </w:r>
      <w:r w:rsidR="00BA11DC" w:rsidRPr="0178C2ED">
        <w:rPr>
          <w:rFonts w:eastAsia="Arial" w:cs="Arial"/>
          <w:sz w:val="22"/>
          <w:szCs w:val="22"/>
        </w:rPr>
        <w:t>made up the largest portion of outstanding sub-loan portfolio</w:t>
      </w:r>
      <w:r w:rsidR="00F0295F" w:rsidRPr="0178C2ED">
        <w:rPr>
          <w:rFonts w:eastAsia="Arial" w:cs="Arial"/>
          <w:sz w:val="22"/>
          <w:szCs w:val="22"/>
        </w:rPr>
        <w:t xml:space="preserve"> with 18% (from </w:t>
      </w:r>
      <w:r w:rsidR="001744DC" w:rsidRPr="0178C2ED">
        <w:rPr>
          <w:rFonts w:eastAsia="Arial" w:cs="Arial"/>
          <w:sz w:val="22"/>
          <w:szCs w:val="22"/>
        </w:rPr>
        <w:t>12% in 2022).</w:t>
      </w:r>
      <w:r w:rsidR="00BA2002" w:rsidRPr="0178C2ED">
        <w:rPr>
          <w:rFonts w:eastAsia="Arial" w:cs="Arial"/>
          <w:sz w:val="22"/>
          <w:szCs w:val="22"/>
        </w:rPr>
        <w:t xml:space="preserve"> </w:t>
      </w:r>
      <w:r w:rsidRPr="0178C2ED">
        <w:rPr>
          <w:rFonts w:eastAsia="Arial" w:cs="Arial"/>
          <w:sz w:val="22"/>
          <w:szCs w:val="22"/>
        </w:rPr>
        <w:t>T</w:t>
      </w:r>
      <w:r w:rsidR="772354F4" w:rsidRPr="0178C2ED">
        <w:rPr>
          <w:rFonts w:eastAsia="Arial" w:cs="Arial"/>
          <w:sz w:val="22"/>
          <w:szCs w:val="22"/>
        </w:rPr>
        <w:t>he “blue sector” (farmed fish and shrimp) represents the second most relevant produce in the Fund’s sub-loan portfolio</w:t>
      </w:r>
      <w:r w:rsidRPr="0178C2ED">
        <w:rPr>
          <w:rFonts w:eastAsia="Arial" w:cs="Arial"/>
          <w:sz w:val="22"/>
          <w:szCs w:val="22"/>
        </w:rPr>
        <w:t>,</w:t>
      </w:r>
      <w:r w:rsidR="772354F4" w:rsidRPr="0178C2ED">
        <w:rPr>
          <w:rFonts w:eastAsia="Arial" w:cs="Arial"/>
          <w:sz w:val="22"/>
          <w:szCs w:val="22"/>
        </w:rPr>
        <w:t xml:space="preserve"> totalling 1</w:t>
      </w:r>
      <w:r w:rsidRPr="0178C2ED">
        <w:rPr>
          <w:rFonts w:eastAsia="Arial" w:cs="Arial"/>
          <w:sz w:val="22"/>
          <w:szCs w:val="22"/>
        </w:rPr>
        <w:t>6</w:t>
      </w:r>
      <w:r w:rsidR="772354F4" w:rsidRPr="0178C2ED">
        <w:rPr>
          <w:rFonts w:eastAsia="Arial" w:cs="Arial"/>
          <w:sz w:val="22"/>
          <w:szCs w:val="22"/>
        </w:rPr>
        <w:t>%</w:t>
      </w:r>
      <w:r w:rsidRPr="0178C2ED">
        <w:rPr>
          <w:rFonts w:eastAsia="Arial" w:cs="Arial"/>
          <w:sz w:val="22"/>
          <w:szCs w:val="22"/>
        </w:rPr>
        <w:t xml:space="preserve"> (unchanged since 202</w:t>
      </w:r>
      <w:r w:rsidR="00DA37DC" w:rsidRPr="0178C2ED">
        <w:rPr>
          <w:rFonts w:eastAsia="Arial" w:cs="Arial"/>
          <w:sz w:val="22"/>
          <w:szCs w:val="22"/>
        </w:rPr>
        <w:t>2</w:t>
      </w:r>
      <w:r w:rsidR="772354F4" w:rsidRPr="0178C2ED">
        <w:rPr>
          <w:rFonts w:eastAsia="Arial" w:cs="Arial"/>
          <w:sz w:val="22"/>
          <w:szCs w:val="22"/>
        </w:rPr>
        <w:t>)</w:t>
      </w:r>
      <w:r w:rsidR="7DE00D67" w:rsidRPr="0178C2ED">
        <w:rPr>
          <w:rFonts w:eastAsia="Arial" w:cs="Arial"/>
          <w:sz w:val="22"/>
          <w:szCs w:val="22"/>
        </w:rPr>
        <w:t xml:space="preserve">. </w:t>
      </w:r>
      <w:r w:rsidR="00CD0063" w:rsidRPr="0178C2ED">
        <w:rPr>
          <w:rFonts w:eastAsia="Arial" w:cs="Arial"/>
          <w:sz w:val="22"/>
          <w:szCs w:val="22"/>
        </w:rPr>
        <w:t>Coffee</w:t>
      </w:r>
      <w:r w:rsidRPr="0178C2ED">
        <w:rPr>
          <w:rFonts w:eastAsia="Arial" w:cs="Arial"/>
          <w:sz w:val="22"/>
          <w:szCs w:val="22"/>
        </w:rPr>
        <w:t xml:space="preserve"> is third with 1</w:t>
      </w:r>
      <w:r w:rsidR="00CD0063" w:rsidRPr="0178C2ED">
        <w:rPr>
          <w:rFonts w:eastAsia="Arial" w:cs="Arial"/>
          <w:sz w:val="22"/>
          <w:szCs w:val="22"/>
        </w:rPr>
        <w:t>5</w:t>
      </w:r>
      <w:r w:rsidRPr="0178C2ED">
        <w:rPr>
          <w:rFonts w:eastAsia="Arial" w:cs="Arial"/>
          <w:sz w:val="22"/>
          <w:szCs w:val="22"/>
        </w:rPr>
        <w:t>%</w:t>
      </w:r>
      <w:r w:rsidR="13F40576" w:rsidRPr="0178C2ED">
        <w:rPr>
          <w:rFonts w:eastAsia="Arial" w:cs="Arial"/>
          <w:sz w:val="22"/>
          <w:szCs w:val="22"/>
        </w:rPr>
        <w:t xml:space="preserve"> (down from </w:t>
      </w:r>
      <w:r w:rsidR="00855837" w:rsidRPr="0178C2ED">
        <w:rPr>
          <w:rFonts w:eastAsia="Arial" w:cs="Arial"/>
          <w:sz w:val="22"/>
          <w:szCs w:val="22"/>
        </w:rPr>
        <w:t>18</w:t>
      </w:r>
      <w:r w:rsidR="13F40576" w:rsidRPr="0178C2ED">
        <w:rPr>
          <w:rFonts w:eastAsia="Arial" w:cs="Arial"/>
          <w:sz w:val="22"/>
          <w:szCs w:val="22"/>
        </w:rPr>
        <w:t>%)</w:t>
      </w:r>
      <w:r w:rsidRPr="0178C2ED">
        <w:rPr>
          <w:rFonts w:eastAsia="Arial" w:cs="Arial"/>
          <w:sz w:val="22"/>
          <w:szCs w:val="22"/>
        </w:rPr>
        <w:t xml:space="preserve">, while bananas have grown to </w:t>
      </w:r>
      <w:r w:rsidR="00100B2A" w:rsidRPr="0178C2ED">
        <w:rPr>
          <w:rFonts w:eastAsia="Arial" w:cs="Arial"/>
          <w:sz w:val="22"/>
          <w:szCs w:val="22"/>
        </w:rPr>
        <w:t>9</w:t>
      </w:r>
      <w:r w:rsidRPr="0178C2ED">
        <w:rPr>
          <w:rFonts w:eastAsia="Arial" w:cs="Arial"/>
          <w:sz w:val="22"/>
          <w:szCs w:val="22"/>
        </w:rPr>
        <w:t xml:space="preserve">% </w:t>
      </w:r>
      <w:r w:rsidR="000B6767" w:rsidRPr="0178C2ED">
        <w:rPr>
          <w:rFonts w:eastAsia="Arial" w:cs="Arial"/>
          <w:sz w:val="22"/>
          <w:szCs w:val="22"/>
        </w:rPr>
        <w:t>from</w:t>
      </w:r>
      <w:r w:rsidRPr="0178C2ED">
        <w:rPr>
          <w:rFonts w:eastAsia="Arial" w:cs="Arial"/>
          <w:sz w:val="22"/>
          <w:szCs w:val="22"/>
        </w:rPr>
        <w:t xml:space="preserve"> </w:t>
      </w:r>
      <w:r w:rsidR="13F40576" w:rsidRPr="0178C2ED">
        <w:rPr>
          <w:rFonts w:eastAsia="Arial" w:cs="Arial"/>
          <w:sz w:val="22"/>
          <w:szCs w:val="22"/>
        </w:rPr>
        <w:t xml:space="preserve">previous </w:t>
      </w:r>
      <w:r w:rsidR="00100B2A" w:rsidRPr="0178C2ED">
        <w:rPr>
          <w:rFonts w:eastAsia="Arial" w:cs="Arial"/>
          <w:sz w:val="22"/>
          <w:szCs w:val="22"/>
        </w:rPr>
        <w:t>7</w:t>
      </w:r>
      <w:r w:rsidR="13F40576" w:rsidRPr="0178C2ED">
        <w:rPr>
          <w:rFonts w:eastAsia="Arial" w:cs="Arial"/>
          <w:sz w:val="22"/>
          <w:szCs w:val="22"/>
        </w:rPr>
        <w:t>%</w:t>
      </w:r>
      <w:r w:rsidR="000B6767" w:rsidRPr="0178C2ED">
        <w:rPr>
          <w:rFonts w:eastAsia="Arial" w:cs="Arial"/>
          <w:sz w:val="22"/>
          <w:szCs w:val="22"/>
        </w:rPr>
        <w:t xml:space="preserve">, </w:t>
      </w:r>
      <w:r w:rsidR="13F40576" w:rsidRPr="0178C2ED">
        <w:rPr>
          <w:rFonts w:eastAsia="Arial" w:cs="Arial"/>
          <w:sz w:val="22"/>
          <w:szCs w:val="22"/>
        </w:rPr>
        <w:t>as have other smaller sectors</w:t>
      </w:r>
      <w:r w:rsidRPr="0178C2ED">
        <w:rPr>
          <w:rFonts w:eastAsia="Arial" w:cs="Arial"/>
          <w:sz w:val="22"/>
          <w:szCs w:val="22"/>
        </w:rPr>
        <w:t xml:space="preserve">. </w:t>
      </w:r>
      <w:r w:rsidR="7DE00D67" w:rsidRPr="0178C2ED">
        <w:rPr>
          <w:rFonts w:eastAsia="Arial" w:cs="Arial"/>
          <w:sz w:val="22"/>
          <w:szCs w:val="22"/>
        </w:rPr>
        <w:t>Th</w:t>
      </w:r>
      <w:r w:rsidRPr="0178C2ED">
        <w:rPr>
          <w:rFonts w:eastAsia="Arial" w:cs="Arial"/>
          <w:sz w:val="22"/>
          <w:szCs w:val="22"/>
        </w:rPr>
        <w:t>is shows that while</w:t>
      </w:r>
      <w:r w:rsidR="772354F4" w:rsidRPr="0178C2ED">
        <w:rPr>
          <w:rFonts w:eastAsia="Arial" w:cs="Arial"/>
          <w:sz w:val="22"/>
          <w:szCs w:val="22"/>
        </w:rPr>
        <w:t xml:space="preserve"> the Fund </w:t>
      </w:r>
      <w:r w:rsidRPr="0178C2ED">
        <w:rPr>
          <w:rFonts w:eastAsia="Arial" w:cs="Arial"/>
          <w:sz w:val="22"/>
          <w:szCs w:val="22"/>
        </w:rPr>
        <w:t xml:space="preserve">continues </w:t>
      </w:r>
      <w:r w:rsidR="3FEA67F7" w:rsidRPr="0178C2ED">
        <w:rPr>
          <w:rFonts w:eastAsia="Arial" w:cs="Arial"/>
          <w:sz w:val="22"/>
          <w:szCs w:val="22"/>
        </w:rPr>
        <w:t>to support</w:t>
      </w:r>
      <w:r w:rsidR="772354F4" w:rsidRPr="0178C2ED">
        <w:rPr>
          <w:rFonts w:eastAsia="Arial" w:cs="Arial"/>
          <w:sz w:val="22"/>
          <w:szCs w:val="22"/>
        </w:rPr>
        <w:t xml:space="preserve"> </w:t>
      </w:r>
      <w:r w:rsidR="13F40576" w:rsidRPr="0178C2ED">
        <w:rPr>
          <w:rFonts w:eastAsia="Arial" w:cs="Arial"/>
          <w:sz w:val="22"/>
          <w:szCs w:val="22"/>
        </w:rPr>
        <w:t>larger</w:t>
      </w:r>
      <w:r w:rsidR="772354F4" w:rsidRPr="0178C2ED">
        <w:rPr>
          <w:rFonts w:eastAsia="Arial" w:cs="Arial"/>
          <w:sz w:val="22"/>
          <w:szCs w:val="22"/>
        </w:rPr>
        <w:t xml:space="preserve"> economic </w:t>
      </w:r>
      <w:r w:rsidR="7DE00D67" w:rsidRPr="0178C2ED">
        <w:rPr>
          <w:rFonts w:eastAsia="Arial" w:cs="Arial"/>
          <w:sz w:val="22"/>
          <w:szCs w:val="22"/>
        </w:rPr>
        <w:t>sectors</w:t>
      </w:r>
      <w:r w:rsidR="5C946F30" w:rsidRPr="0178C2ED">
        <w:rPr>
          <w:rFonts w:eastAsia="Arial" w:cs="Arial"/>
          <w:sz w:val="22"/>
          <w:szCs w:val="22"/>
        </w:rPr>
        <w:t xml:space="preserve"> with opportunities to drive change at scale</w:t>
      </w:r>
      <w:r w:rsidR="3FEA67F7" w:rsidRPr="0178C2ED">
        <w:rPr>
          <w:rFonts w:eastAsia="Arial" w:cs="Arial"/>
          <w:sz w:val="22"/>
          <w:szCs w:val="22"/>
        </w:rPr>
        <w:t>, it has successfully diversified the portfolio to reach other sectors as well</w:t>
      </w:r>
      <w:r w:rsidR="772354F4" w:rsidRPr="0178C2ED">
        <w:rPr>
          <w:rFonts w:eastAsia="Arial" w:cs="Arial"/>
          <w:sz w:val="22"/>
          <w:szCs w:val="22"/>
        </w:rPr>
        <w:t>.</w:t>
      </w:r>
    </w:p>
    <w:p w14:paraId="1FD01A39" w14:textId="001FF76B" w:rsidR="227556C2" w:rsidRPr="00BA2002" w:rsidRDefault="238F0BF7" w:rsidP="00674C5F">
      <w:pPr>
        <w:pStyle w:val="ListParagraph"/>
        <w:numPr>
          <w:ilvl w:val="0"/>
          <w:numId w:val="8"/>
        </w:numPr>
        <w:spacing w:before="60" w:after="0"/>
        <w:ind w:left="357" w:hanging="357"/>
        <w:jc w:val="both"/>
        <w:rPr>
          <w:rFonts w:eastAsia="Arial" w:cs="Arial"/>
          <w:sz w:val="22"/>
          <w:szCs w:val="22"/>
        </w:rPr>
      </w:pPr>
      <w:r w:rsidRPr="00BA2002">
        <w:rPr>
          <w:rFonts w:eastAsia="Arial" w:cs="Arial"/>
          <w:sz w:val="22"/>
          <w:szCs w:val="22"/>
        </w:rPr>
        <w:t>The Fund close</w:t>
      </w:r>
      <w:r w:rsidR="772354F4" w:rsidRPr="00BA2002">
        <w:rPr>
          <w:rFonts w:eastAsia="Arial" w:cs="Arial"/>
          <w:sz w:val="22"/>
          <w:szCs w:val="22"/>
        </w:rPr>
        <w:t>d</w:t>
      </w:r>
      <w:r w:rsidRPr="00BA2002">
        <w:rPr>
          <w:rFonts w:eastAsia="Arial" w:cs="Arial"/>
          <w:sz w:val="22"/>
          <w:szCs w:val="22"/>
        </w:rPr>
        <w:t xml:space="preserve"> the year with a loan portfolio of </w:t>
      </w:r>
      <w:r w:rsidR="1A4E86B3" w:rsidRPr="00BA2002">
        <w:rPr>
          <w:rFonts w:eastAsia="Arial" w:cs="Arial"/>
          <w:sz w:val="22"/>
          <w:szCs w:val="22"/>
        </w:rPr>
        <w:t>$</w:t>
      </w:r>
      <w:r w:rsidR="2A565325" w:rsidRPr="00BA2002">
        <w:rPr>
          <w:rFonts w:eastAsia="Arial" w:cs="Arial"/>
          <w:sz w:val="22"/>
          <w:szCs w:val="22"/>
        </w:rPr>
        <w:t>6</w:t>
      </w:r>
      <w:r w:rsidR="008D3A27" w:rsidRPr="00BA2002">
        <w:rPr>
          <w:rFonts w:eastAsia="Arial" w:cs="Arial"/>
          <w:sz w:val="22"/>
          <w:szCs w:val="22"/>
        </w:rPr>
        <w:t>44</w:t>
      </w:r>
      <w:r w:rsidR="2A565325" w:rsidRPr="00BA2002">
        <w:rPr>
          <w:rFonts w:eastAsia="Arial" w:cs="Arial"/>
          <w:sz w:val="22"/>
          <w:szCs w:val="22"/>
        </w:rPr>
        <w:t>.</w:t>
      </w:r>
      <w:r w:rsidR="008D3A27" w:rsidRPr="00BA2002">
        <w:rPr>
          <w:rFonts w:eastAsia="Arial" w:cs="Arial"/>
          <w:sz w:val="22"/>
          <w:szCs w:val="22"/>
        </w:rPr>
        <w:t>4</w:t>
      </w:r>
      <w:r w:rsidR="1A4E86B3" w:rsidRPr="00BA2002">
        <w:rPr>
          <w:rFonts w:eastAsia="Arial" w:cs="Arial"/>
          <w:sz w:val="22"/>
          <w:szCs w:val="22"/>
        </w:rPr>
        <w:t>m</w:t>
      </w:r>
      <w:r w:rsidRPr="00BA2002">
        <w:rPr>
          <w:rFonts w:eastAsia="Arial" w:cs="Arial"/>
          <w:sz w:val="22"/>
          <w:szCs w:val="22"/>
        </w:rPr>
        <w:t xml:space="preserve">, distributed across </w:t>
      </w:r>
      <w:r w:rsidR="00D44CE3" w:rsidRPr="001305C0">
        <w:rPr>
          <w:rFonts w:eastAsia="Arial" w:cs="Arial"/>
          <w:sz w:val="22"/>
          <w:szCs w:val="22"/>
        </w:rPr>
        <w:t>eleven</w:t>
      </w:r>
      <w:r w:rsidRPr="00BA2002">
        <w:rPr>
          <w:rFonts w:eastAsia="Arial" w:cs="Arial"/>
          <w:sz w:val="22"/>
          <w:szCs w:val="22"/>
        </w:rPr>
        <w:t xml:space="preserve"> countries </w:t>
      </w:r>
      <w:r w:rsidRPr="00BA2002">
        <w:rPr>
          <w:rFonts w:eastAsia="Arial" w:cs="Arial"/>
          <w:sz w:val="22"/>
          <w:szCs w:val="22"/>
          <w:lang w:val="en-US"/>
        </w:rPr>
        <w:t xml:space="preserve">(Colombia, Costa Rica, </w:t>
      </w:r>
      <w:r w:rsidR="009B6162" w:rsidRPr="001305C0">
        <w:rPr>
          <w:rFonts w:eastAsia="Arial" w:cs="Arial"/>
          <w:sz w:val="22"/>
          <w:szCs w:val="22"/>
          <w:lang w:val="en-US"/>
        </w:rPr>
        <w:t xml:space="preserve">Dominican Republic, </w:t>
      </w:r>
      <w:r w:rsidRPr="00BA2002">
        <w:rPr>
          <w:rFonts w:eastAsia="Arial" w:cs="Arial"/>
          <w:sz w:val="22"/>
          <w:szCs w:val="22"/>
          <w:lang w:val="en-US"/>
        </w:rPr>
        <w:t xml:space="preserve">Ecuador, El Salvador, Panama, Honduras, </w:t>
      </w:r>
      <w:r w:rsidR="656E48B0" w:rsidRPr="00BA2002">
        <w:rPr>
          <w:rFonts w:eastAsia="Arial" w:cs="Arial"/>
          <w:sz w:val="22"/>
          <w:szCs w:val="22"/>
          <w:lang w:val="en-US"/>
        </w:rPr>
        <w:t>Peru</w:t>
      </w:r>
      <w:r w:rsidR="2A565325" w:rsidRPr="00BA2002">
        <w:rPr>
          <w:rFonts w:eastAsia="Arial" w:cs="Arial"/>
          <w:sz w:val="22"/>
          <w:szCs w:val="22"/>
          <w:lang w:val="en-US"/>
        </w:rPr>
        <w:t>,</w:t>
      </w:r>
      <w:r w:rsidR="656E48B0" w:rsidRPr="00BA2002">
        <w:rPr>
          <w:rFonts w:eastAsia="Arial" w:cs="Arial"/>
          <w:sz w:val="22"/>
          <w:szCs w:val="22"/>
          <w:lang w:val="en-US"/>
        </w:rPr>
        <w:t xml:space="preserve"> </w:t>
      </w:r>
      <w:r w:rsidR="58D69E4A" w:rsidRPr="00BA2002">
        <w:rPr>
          <w:rFonts w:eastAsia="Arial" w:cs="Arial"/>
          <w:sz w:val="22"/>
          <w:szCs w:val="22"/>
          <w:lang w:val="en-US"/>
        </w:rPr>
        <w:t>Mexico</w:t>
      </w:r>
      <w:r w:rsidR="2A565325" w:rsidRPr="00BA2002">
        <w:rPr>
          <w:rFonts w:eastAsia="Arial" w:cs="Arial"/>
          <w:sz w:val="22"/>
          <w:szCs w:val="22"/>
          <w:lang w:val="en-US"/>
        </w:rPr>
        <w:t>, Guatemala</w:t>
      </w:r>
      <w:r w:rsidR="001823C5" w:rsidRPr="00BA2002">
        <w:rPr>
          <w:rFonts w:eastAsia="Arial" w:cs="Arial"/>
          <w:sz w:val="22"/>
          <w:szCs w:val="22"/>
          <w:lang w:val="en-US"/>
        </w:rPr>
        <w:t xml:space="preserve"> and Paraguay</w:t>
      </w:r>
      <w:r w:rsidRPr="00BA2002">
        <w:rPr>
          <w:rFonts w:eastAsia="Arial" w:cs="Arial"/>
          <w:sz w:val="22"/>
          <w:szCs w:val="22"/>
          <w:lang w:val="en-US"/>
        </w:rPr>
        <w:t xml:space="preserve">) </w:t>
      </w:r>
      <w:r w:rsidRPr="00BA2002">
        <w:rPr>
          <w:rFonts w:eastAsia="Arial" w:cs="Arial"/>
          <w:sz w:val="22"/>
          <w:szCs w:val="22"/>
        </w:rPr>
        <w:t>and 3</w:t>
      </w:r>
      <w:r w:rsidR="2A565325" w:rsidRPr="00BA2002">
        <w:rPr>
          <w:rFonts w:eastAsia="Arial" w:cs="Arial"/>
          <w:sz w:val="22"/>
          <w:szCs w:val="22"/>
        </w:rPr>
        <w:t>7</w:t>
      </w:r>
      <w:r w:rsidRPr="00BA2002">
        <w:rPr>
          <w:rFonts w:eastAsia="Arial" w:cs="Arial"/>
          <w:sz w:val="22"/>
          <w:szCs w:val="22"/>
        </w:rPr>
        <w:t xml:space="preserve"> P</w:t>
      </w:r>
      <w:r w:rsidR="772354F4" w:rsidRPr="00BA2002">
        <w:rPr>
          <w:rFonts w:eastAsia="Arial" w:cs="Arial"/>
          <w:sz w:val="22"/>
          <w:szCs w:val="22"/>
        </w:rPr>
        <w:t>Is</w:t>
      </w:r>
      <w:r w:rsidR="1E0FC1FA" w:rsidRPr="00BA2002">
        <w:rPr>
          <w:rFonts w:eastAsia="Arial" w:cs="Arial"/>
          <w:sz w:val="22"/>
          <w:szCs w:val="22"/>
        </w:rPr>
        <w:t xml:space="preserve"> (3</w:t>
      </w:r>
      <w:r w:rsidR="00E3147A" w:rsidRPr="00BA2002">
        <w:rPr>
          <w:rFonts w:eastAsia="Arial" w:cs="Arial"/>
          <w:sz w:val="22"/>
          <w:szCs w:val="22"/>
        </w:rPr>
        <w:t>5</w:t>
      </w:r>
      <w:r w:rsidR="1E0FC1FA" w:rsidRPr="00BA2002">
        <w:rPr>
          <w:rFonts w:eastAsia="Arial" w:cs="Arial"/>
          <w:sz w:val="22"/>
          <w:szCs w:val="22"/>
        </w:rPr>
        <w:t xml:space="preserve"> </w:t>
      </w:r>
      <w:r w:rsidR="3F031E50" w:rsidRPr="00BA2002">
        <w:rPr>
          <w:rFonts w:eastAsia="Arial" w:cs="Arial"/>
          <w:sz w:val="22"/>
          <w:szCs w:val="22"/>
        </w:rPr>
        <w:t>FIs</w:t>
      </w:r>
      <w:r w:rsidR="1E0FC1FA" w:rsidRPr="00BA2002">
        <w:rPr>
          <w:rFonts w:eastAsia="Arial" w:cs="Arial"/>
          <w:sz w:val="22"/>
          <w:szCs w:val="22"/>
        </w:rPr>
        <w:t xml:space="preserve"> and </w:t>
      </w:r>
      <w:r w:rsidR="00DC7CD2" w:rsidRPr="001305C0">
        <w:rPr>
          <w:rFonts w:eastAsia="Arial" w:cs="Arial"/>
          <w:sz w:val="22"/>
          <w:szCs w:val="22"/>
        </w:rPr>
        <w:t>two</w:t>
      </w:r>
      <w:r w:rsidR="1E0FC1FA" w:rsidRPr="00BA2002">
        <w:rPr>
          <w:rFonts w:eastAsia="Arial" w:cs="Arial"/>
          <w:sz w:val="22"/>
          <w:szCs w:val="22"/>
        </w:rPr>
        <w:t xml:space="preserve"> direct investment</w:t>
      </w:r>
      <w:r w:rsidR="00DC7CD2" w:rsidRPr="00BA2002">
        <w:rPr>
          <w:rFonts w:eastAsia="Arial" w:cs="Arial"/>
          <w:sz w:val="22"/>
          <w:szCs w:val="22"/>
        </w:rPr>
        <w:t>s</w:t>
      </w:r>
      <w:r w:rsidR="1E0FC1FA" w:rsidRPr="00BA2002">
        <w:rPr>
          <w:rFonts w:eastAsia="Arial" w:cs="Arial"/>
          <w:sz w:val="22"/>
          <w:szCs w:val="22"/>
        </w:rPr>
        <w:t xml:space="preserve"> in large </w:t>
      </w:r>
      <w:r w:rsidR="00FB6448" w:rsidRPr="00BA2002">
        <w:rPr>
          <w:rFonts w:eastAsia="Arial" w:cs="Arial"/>
          <w:sz w:val="22"/>
          <w:szCs w:val="22"/>
        </w:rPr>
        <w:t>agriculture and</w:t>
      </w:r>
      <w:r w:rsidR="1E0FC1FA" w:rsidRPr="00BA2002">
        <w:rPr>
          <w:rFonts w:eastAsia="Arial" w:cs="Arial"/>
          <w:sz w:val="22"/>
          <w:szCs w:val="22"/>
        </w:rPr>
        <w:t xml:space="preserve"> aquaculture business</w:t>
      </w:r>
      <w:r w:rsidR="00552BB2" w:rsidRPr="00BA2002">
        <w:rPr>
          <w:rFonts w:eastAsia="Arial" w:cs="Arial"/>
          <w:sz w:val="22"/>
          <w:szCs w:val="22"/>
        </w:rPr>
        <w:t>es</w:t>
      </w:r>
      <w:r w:rsidR="1E0FC1FA" w:rsidRPr="00BA2002">
        <w:rPr>
          <w:rFonts w:eastAsia="Arial" w:cs="Arial"/>
          <w:sz w:val="22"/>
          <w:szCs w:val="22"/>
        </w:rPr>
        <w:t>)</w:t>
      </w:r>
      <w:r w:rsidRPr="00BA2002">
        <w:rPr>
          <w:rFonts w:eastAsia="Arial" w:cs="Arial"/>
          <w:sz w:val="22"/>
          <w:szCs w:val="22"/>
        </w:rPr>
        <w:t xml:space="preserve">. </w:t>
      </w:r>
      <w:r w:rsidR="003A6F13" w:rsidRPr="00BA2002">
        <w:rPr>
          <w:rFonts w:eastAsia="Arial" w:cs="Arial"/>
          <w:sz w:val="22"/>
          <w:szCs w:val="22"/>
        </w:rPr>
        <w:t>In</w:t>
      </w:r>
      <w:r w:rsidRPr="00BA2002">
        <w:rPr>
          <w:rFonts w:eastAsia="Arial" w:cs="Arial"/>
          <w:sz w:val="22"/>
          <w:szCs w:val="22"/>
        </w:rPr>
        <w:t xml:space="preserve"> addition</w:t>
      </w:r>
      <w:r w:rsidR="003A6F13" w:rsidRPr="00BA2002">
        <w:rPr>
          <w:rFonts w:eastAsia="Arial" w:cs="Arial"/>
          <w:sz w:val="22"/>
          <w:szCs w:val="22"/>
        </w:rPr>
        <w:t>, two</w:t>
      </w:r>
      <w:r w:rsidRPr="00BA2002">
        <w:rPr>
          <w:rFonts w:eastAsia="Arial" w:cs="Arial"/>
          <w:sz w:val="22"/>
          <w:szCs w:val="22"/>
        </w:rPr>
        <w:t xml:space="preserve"> investment</w:t>
      </w:r>
      <w:r w:rsidR="003A6F13" w:rsidRPr="00BA2002">
        <w:rPr>
          <w:rFonts w:eastAsia="Arial" w:cs="Arial"/>
          <w:sz w:val="22"/>
          <w:szCs w:val="22"/>
        </w:rPr>
        <w:t>s</w:t>
      </w:r>
      <w:r w:rsidRPr="00BA2002">
        <w:rPr>
          <w:rFonts w:eastAsia="Arial" w:cs="Arial"/>
          <w:sz w:val="22"/>
          <w:szCs w:val="22"/>
        </w:rPr>
        <w:t xml:space="preserve"> </w:t>
      </w:r>
      <w:r w:rsidR="1F4305D5" w:rsidRPr="00BA2002">
        <w:rPr>
          <w:rFonts w:eastAsia="Arial" w:cs="Arial"/>
          <w:sz w:val="22"/>
          <w:szCs w:val="22"/>
        </w:rPr>
        <w:t xml:space="preserve">in </w:t>
      </w:r>
      <w:r w:rsidR="2A565325" w:rsidRPr="00BA2002">
        <w:rPr>
          <w:rFonts w:eastAsia="Arial" w:cs="Arial"/>
          <w:sz w:val="22"/>
          <w:szCs w:val="22"/>
        </w:rPr>
        <w:t>Brazil</w:t>
      </w:r>
      <w:r w:rsidR="58D69E4A" w:rsidRPr="00BA2002">
        <w:rPr>
          <w:rFonts w:eastAsia="Arial" w:cs="Arial"/>
          <w:sz w:val="22"/>
          <w:szCs w:val="22"/>
        </w:rPr>
        <w:t xml:space="preserve"> </w:t>
      </w:r>
      <w:r w:rsidRPr="00BA2002">
        <w:rPr>
          <w:rFonts w:eastAsia="Arial" w:cs="Arial"/>
          <w:sz w:val="22"/>
          <w:szCs w:val="22"/>
        </w:rPr>
        <w:t>w</w:t>
      </w:r>
      <w:r w:rsidR="003A6F13" w:rsidRPr="00BA2002">
        <w:rPr>
          <w:rFonts w:eastAsia="Arial" w:cs="Arial"/>
          <w:sz w:val="22"/>
          <w:szCs w:val="22"/>
        </w:rPr>
        <w:t>ere</w:t>
      </w:r>
      <w:r w:rsidRPr="00BA2002">
        <w:rPr>
          <w:rFonts w:eastAsia="Arial" w:cs="Arial"/>
          <w:sz w:val="22"/>
          <w:szCs w:val="22"/>
        </w:rPr>
        <w:t xml:space="preserve"> </w:t>
      </w:r>
      <w:r w:rsidR="2A565325" w:rsidRPr="00BA2002">
        <w:rPr>
          <w:rFonts w:eastAsia="Arial" w:cs="Arial"/>
          <w:sz w:val="22"/>
          <w:szCs w:val="22"/>
        </w:rPr>
        <w:t xml:space="preserve">approved, </w:t>
      </w:r>
      <w:r w:rsidRPr="00BA2002">
        <w:rPr>
          <w:rFonts w:eastAsia="Arial" w:cs="Arial"/>
          <w:sz w:val="22"/>
          <w:szCs w:val="22"/>
        </w:rPr>
        <w:t xml:space="preserve">making that the </w:t>
      </w:r>
      <w:r w:rsidR="00CA0DF0" w:rsidRPr="001305C0">
        <w:rPr>
          <w:rFonts w:eastAsia="Arial" w:cs="Arial"/>
          <w:sz w:val="22"/>
          <w:szCs w:val="22"/>
        </w:rPr>
        <w:t>twelfth</w:t>
      </w:r>
      <w:r w:rsidR="00CA0DF0" w:rsidRPr="00BA2002">
        <w:rPr>
          <w:rFonts w:eastAsia="Arial" w:cs="Arial"/>
          <w:sz w:val="22"/>
          <w:szCs w:val="22"/>
        </w:rPr>
        <w:t xml:space="preserve"> </w:t>
      </w:r>
      <w:r w:rsidRPr="00BA2002">
        <w:rPr>
          <w:rFonts w:eastAsia="Arial" w:cs="Arial"/>
          <w:sz w:val="22"/>
          <w:szCs w:val="22"/>
        </w:rPr>
        <w:t>country of activity</w:t>
      </w:r>
      <w:r w:rsidR="31A841F6" w:rsidRPr="00BA2002">
        <w:rPr>
          <w:rFonts w:eastAsia="Arial" w:cs="Arial"/>
          <w:sz w:val="22"/>
          <w:szCs w:val="22"/>
        </w:rPr>
        <w:t xml:space="preserve"> from 2023</w:t>
      </w:r>
      <w:r w:rsidRPr="00BA2002">
        <w:rPr>
          <w:rFonts w:eastAsia="Arial" w:cs="Arial"/>
          <w:sz w:val="22"/>
          <w:szCs w:val="22"/>
        </w:rPr>
        <w:t>.</w:t>
      </w:r>
    </w:p>
    <w:p w14:paraId="1ECE357F" w14:textId="2DC06CA3" w:rsidR="00CE3085" w:rsidRPr="00012EB1" w:rsidRDefault="44E7269A" w:rsidP="07FC4C9B">
      <w:pPr>
        <w:spacing w:before="120"/>
        <w:jc w:val="both"/>
        <w:rPr>
          <w:rFonts w:eastAsia="Arial" w:cs="Arial"/>
          <w:i/>
          <w:iCs/>
          <w:color w:val="000000" w:themeColor="text1"/>
          <w:sz w:val="22"/>
          <w:szCs w:val="22"/>
        </w:rPr>
      </w:pPr>
      <w:r w:rsidRPr="07FC4C9B">
        <w:rPr>
          <w:rFonts w:eastAsia="Arial" w:cs="Arial"/>
          <w:b/>
          <w:bCs/>
          <w:color w:val="000000" w:themeColor="text1"/>
          <w:sz w:val="22"/>
          <w:szCs w:val="22"/>
        </w:rPr>
        <w:t>Recommendation</w:t>
      </w:r>
      <w:r w:rsidR="30D1DB42" w:rsidRPr="07FC4C9B">
        <w:rPr>
          <w:rFonts w:eastAsia="Arial" w:cs="Arial"/>
          <w:b/>
          <w:bCs/>
          <w:color w:val="000000" w:themeColor="text1"/>
          <w:sz w:val="22"/>
          <w:szCs w:val="22"/>
        </w:rPr>
        <w:t>s</w:t>
      </w:r>
      <w:r w:rsidRPr="07FC4C9B">
        <w:rPr>
          <w:rFonts w:eastAsia="Arial" w:cs="Arial"/>
          <w:b/>
          <w:bCs/>
          <w:color w:val="000000" w:themeColor="text1"/>
          <w:sz w:val="22"/>
          <w:szCs w:val="22"/>
        </w:rPr>
        <w:t>:</w:t>
      </w:r>
      <w:r w:rsidR="1F4305D5" w:rsidRPr="07FC4C9B">
        <w:rPr>
          <w:rFonts w:eastAsia="Arial" w:cs="Arial"/>
          <w:color w:val="000000" w:themeColor="text1"/>
          <w:sz w:val="22"/>
          <w:szCs w:val="22"/>
        </w:rPr>
        <w:t xml:space="preserve"> </w:t>
      </w:r>
    </w:p>
    <w:p w14:paraId="184C86CC" w14:textId="09729D05" w:rsidR="36E9C041" w:rsidRDefault="36E9C041" w:rsidP="07FC4C9B">
      <w:pPr>
        <w:spacing w:before="120"/>
        <w:jc w:val="both"/>
        <w:rPr>
          <w:rFonts w:eastAsia="Arial" w:cs="Arial"/>
          <w:color w:val="000000" w:themeColor="text1"/>
          <w:sz w:val="22"/>
          <w:szCs w:val="22"/>
        </w:rPr>
      </w:pPr>
      <w:r w:rsidRPr="07FC4C9B">
        <w:rPr>
          <w:rFonts w:eastAsia="Arial" w:cs="Arial"/>
          <w:color w:val="000000" w:themeColor="text1"/>
          <w:sz w:val="22"/>
          <w:szCs w:val="22"/>
        </w:rPr>
        <w:lastRenderedPageBreak/>
        <w:t>Targets set for the end of the programme have already been surpassed for Indicator 1.1 and 1.2. To ensure ambition remains for these indicators, milestones should be reset during 2024/25.</w:t>
      </w:r>
    </w:p>
    <w:p w14:paraId="508DF89B" w14:textId="77777777" w:rsidR="00610AAC" w:rsidRPr="00A54B18" w:rsidRDefault="00610AAC" w:rsidP="005E557A">
      <w:pPr>
        <w:jc w:val="both"/>
        <w:rPr>
          <w:rFonts w:eastAsia="Arial" w:cs="Arial"/>
          <w:sz w:val="22"/>
          <w:szCs w:val="22"/>
        </w:rPr>
      </w:pPr>
    </w:p>
    <w:tbl>
      <w:tblPr>
        <w:tblStyle w:val="TableGrid"/>
        <w:tblW w:w="9214" w:type="dxa"/>
        <w:tblInd w:w="-147" w:type="dxa"/>
        <w:tblLayout w:type="fixed"/>
        <w:tblLook w:val="04A0" w:firstRow="1" w:lastRow="0" w:firstColumn="1" w:lastColumn="0" w:noHBand="0" w:noVBand="1"/>
      </w:tblPr>
      <w:tblGrid>
        <w:gridCol w:w="1394"/>
        <w:gridCol w:w="596"/>
        <w:gridCol w:w="890"/>
        <w:gridCol w:w="2507"/>
        <w:gridCol w:w="784"/>
        <w:gridCol w:w="1201"/>
        <w:gridCol w:w="1788"/>
        <w:gridCol w:w="54"/>
      </w:tblGrid>
      <w:tr w:rsidR="00816841" w:rsidRPr="00A54B18" w14:paraId="4DD5EE70" w14:textId="00FB3ECA" w:rsidTr="07FC4C9B">
        <w:trPr>
          <w:gridAfter w:val="1"/>
          <w:wAfter w:w="54" w:type="dxa"/>
          <w:trHeight w:val="657"/>
        </w:trPr>
        <w:tc>
          <w:tcPr>
            <w:tcW w:w="13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7D1757" w14:textId="77777777" w:rsidR="006649CB" w:rsidRPr="00A54B18" w:rsidRDefault="006649CB" w:rsidP="005E557A">
            <w:pPr>
              <w:rPr>
                <w:rFonts w:eastAsia="Arial" w:cs="Arial"/>
                <w:b/>
                <w:bCs/>
                <w:sz w:val="20"/>
                <w:szCs w:val="20"/>
              </w:rPr>
            </w:pPr>
            <w:r w:rsidRPr="00A54B18">
              <w:rPr>
                <w:rFonts w:eastAsia="Arial" w:cs="Arial"/>
                <w:b/>
                <w:bCs/>
                <w:sz w:val="20"/>
                <w:szCs w:val="20"/>
              </w:rPr>
              <w:t xml:space="preserve">Output Title </w:t>
            </w:r>
          </w:p>
        </w:tc>
        <w:tc>
          <w:tcPr>
            <w:tcW w:w="77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1A48946" w14:textId="7DD1C1A3" w:rsidR="006649CB" w:rsidRPr="00A54B18" w:rsidRDefault="006649CB" w:rsidP="005E557A">
            <w:pPr>
              <w:rPr>
                <w:rStyle w:val="normaltextrun"/>
                <w:rFonts w:eastAsia="Arial" w:cs="Arial"/>
                <w:color w:val="000000"/>
                <w:sz w:val="22"/>
                <w:szCs w:val="22"/>
                <w:shd w:val="clear" w:color="auto" w:fill="FFFFFF"/>
              </w:rPr>
            </w:pPr>
            <w:r w:rsidRPr="00A54B18">
              <w:rPr>
                <w:rStyle w:val="normaltextrun"/>
                <w:rFonts w:eastAsia="Arial" w:cs="Arial"/>
                <w:color w:val="000000"/>
                <w:sz w:val="22"/>
                <w:szCs w:val="22"/>
                <w:shd w:val="clear" w:color="auto" w:fill="FFFFFF"/>
              </w:rPr>
              <w:t>Broad support to sustainability practices reflected in the composition of the portfolio</w:t>
            </w:r>
            <w:r w:rsidRPr="00A54B18">
              <w:rPr>
                <w:rStyle w:val="eop"/>
                <w:rFonts w:eastAsia="Arial" w:cs="Arial"/>
                <w:color w:val="000000"/>
                <w:sz w:val="22"/>
                <w:szCs w:val="22"/>
                <w:shd w:val="clear" w:color="auto" w:fill="FFFFFF"/>
              </w:rPr>
              <w:t> </w:t>
            </w:r>
          </w:p>
        </w:tc>
      </w:tr>
      <w:tr w:rsidR="00DC2AD0" w:rsidRPr="00A54B18" w14:paraId="3ABFA508" w14:textId="4CFAEE4B" w:rsidTr="07FC4C9B">
        <w:trPr>
          <w:gridAfter w:val="1"/>
          <w:wAfter w:w="54" w:type="dxa"/>
          <w:trHeight w:val="466"/>
        </w:trPr>
        <w:tc>
          <w:tcPr>
            <w:tcW w:w="19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AF6F69" w14:textId="77777777" w:rsidR="006649CB" w:rsidRPr="00A54B18" w:rsidRDefault="006649CB" w:rsidP="005E557A">
            <w:pPr>
              <w:rPr>
                <w:rFonts w:eastAsia="Arial" w:cs="Arial"/>
                <w:sz w:val="20"/>
                <w:szCs w:val="20"/>
              </w:rPr>
            </w:pPr>
            <w:r w:rsidRPr="00A54B18">
              <w:rPr>
                <w:rFonts w:eastAsia="Arial" w:cs="Arial"/>
                <w:sz w:val="20"/>
                <w:szCs w:val="20"/>
              </w:rPr>
              <w:t xml:space="preserve">Output number: </w:t>
            </w:r>
          </w:p>
        </w:tc>
        <w:tc>
          <w:tcPr>
            <w:tcW w:w="890" w:type="dxa"/>
            <w:tcBorders>
              <w:top w:val="single" w:sz="4" w:space="0" w:color="auto"/>
              <w:left w:val="single" w:sz="4" w:space="0" w:color="auto"/>
              <w:bottom w:val="single" w:sz="4" w:space="0" w:color="auto"/>
              <w:right w:val="single" w:sz="4" w:space="0" w:color="auto"/>
            </w:tcBorders>
          </w:tcPr>
          <w:p w14:paraId="7F6DCEE4" w14:textId="633ED375" w:rsidR="006649CB" w:rsidRPr="00A54B18" w:rsidRDefault="006649CB" w:rsidP="005E557A">
            <w:pPr>
              <w:rPr>
                <w:rFonts w:eastAsia="Arial" w:cs="Arial"/>
                <w:sz w:val="20"/>
                <w:szCs w:val="20"/>
              </w:rPr>
            </w:pPr>
            <w:r w:rsidRPr="00A54B18">
              <w:rPr>
                <w:rFonts w:eastAsia="Arial" w:cs="Arial"/>
                <w:sz w:val="20"/>
                <w:szCs w:val="20"/>
              </w:rPr>
              <w:t>2</w:t>
            </w:r>
          </w:p>
        </w:tc>
        <w:tc>
          <w:tcPr>
            <w:tcW w:w="32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8E2810" w14:textId="77777777" w:rsidR="006649CB" w:rsidRPr="00A54B18" w:rsidRDefault="55E4DE4F" w:rsidP="005E557A">
            <w:pPr>
              <w:rPr>
                <w:rFonts w:eastAsia="Arial" w:cs="Arial"/>
                <w:sz w:val="20"/>
                <w:szCs w:val="20"/>
              </w:rPr>
            </w:pPr>
            <w:r w:rsidRPr="07FC4C9B">
              <w:rPr>
                <w:rFonts w:eastAsia="Arial" w:cs="Arial"/>
                <w:sz w:val="20"/>
                <w:szCs w:val="20"/>
              </w:rPr>
              <w:t xml:space="preserve">Output Score: </w:t>
            </w:r>
          </w:p>
        </w:tc>
        <w:tc>
          <w:tcPr>
            <w:tcW w:w="2989" w:type="dxa"/>
            <w:gridSpan w:val="2"/>
            <w:tcBorders>
              <w:top w:val="single" w:sz="4" w:space="0" w:color="auto"/>
              <w:left w:val="single" w:sz="4" w:space="0" w:color="auto"/>
              <w:bottom w:val="single" w:sz="4" w:space="0" w:color="auto"/>
              <w:right w:val="single" w:sz="4" w:space="0" w:color="auto"/>
            </w:tcBorders>
          </w:tcPr>
          <w:p w14:paraId="51949DDE" w14:textId="0E97E8CA" w:rsidR="006649CB" w:rsidRPr="00A54B18" w:rsidRDefault="3BD262EC" w:rsidP="07FC4C9B">
            <w:pPr>
              <w:rPr>
                <w:rFonts w:eastAsia="Arial" w:cs="Arial"/>
                <w:b/>
                <w:bCs/>
                <w:i/>
                <w:iCs/>
                <w:sz w:val="20"/>
                <w:szCs w:val="20"/>
              </w:rPr>
            </w:pPr>
            <w:r w:rsidRPr="07FC4C9B">
              <w:rPr>
                <w:rFonts w:eastAsia="Arial" w:cs="Arial"/>
                <w:b/>
                <w:bCs/>
                <w:i/>
                <w:iCs/>
                <w:sz w:val="20"/>
                <w:szCs w:val="20"/>
              </w:rPr>
              <w:t>A</w:t>
            </w:r>
          </w:p>
        </w:tc>
      </w:tr>
      <w:tr w:rsidR="00DC2AD0" w:rsidRPr="00A54B18" w14:paraId="244C8FD1" w14:textId="30355A73" w:rsidTr="07FC4C9B">
        <w:trPr>
          <w:gridAfter w:val="1"/>
          <w:wAfter w:w="54" w:type="dxa"/>
          <w:trHeight w:val="464"/>
        </w:trPr>
        <w:tc>
          <w:tcPr>
            <w:tcW w:w="19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C49B34" w14:textId="77777777" w:rsidR="006649CB" w:rsidRPr="00A54B18" w:rsidRDefault="006649CB" w:rsidP="005E557A">
            <w:pPr>
              <w:rPr>
                <w:rFonts w:eastAsia="Arial" w:cs="Arial"/>
                <w:sz w:val="20"/>
                <w:szCs w:val="20"/>
              </w:rPr>
            </w:pPr>
            <w:r w:rsidRPr="00A54B18">
              <w:rPr>
                <w:rFonts w:eastAsia="Arial" w:cs="Arial"/>
                <w:sz w:val="20"/>
                <w:szCs w:val="20"/>
              </w:rPr>
              <w:t xml:space="preserve">Impact weighting (%):  </w:t>
            </w:r>
          </w:p>
        </w:tc>
        <w:tc>
          <w:tcPr>
            <w:tcW w:w="890" w:type="dxa"/>
            <w:tcBorders>
              <w:top w:val="single" w:sz="4" w:space="0" w:color="auto"/>
              <w:left w:val="single" w:sz="4" w:space="0" w:color="auto"/>
              <w:bottom w:val="single" w:sz="4" w:space="0" w:color="auto"/>
              <w:right w:val="single" w:sz="4" w:space="0" w:color="auto"/>
            </w:tcBorders>
          </w:tcPr>
          <w:p w14:paraId="3143826B" w14:textId="0ECA20AB" w:rsidR="006649CB" w:rsidRPr="00A54B18" w:rsidRDefault="00966D7A" w:rsidP="005E557A">
            <w:pPr>
              <w:rPr>
                <w:rFonts w:eastAsia="Arial" w:cs="Arial"/>
                <w:sz w:val="20"/>
                <w:szCs w:val="20"/>
              </w:rPr>
            </w:pPr>
            <w:r>
              <w:rPr>
                <w:rFonts w:eastAsia="Arial" w:cs="Arial"/>
                <w:sz w:val="20"/>
                <w:szCs w:val="20"/>
              </w:rPr>
              <w:t>20</w:t>
            </w:r>
          </w:p>
        </w:tc>
        <w:tc>
          <w:tcPr>
            <w:tcW w:w="32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56072D" w14:textId="2FF2D427" w:rsidR="006649CB" w:rsidRPr="00A54B18" w:rsidRDefault="006649CB" w:rsidP="005E557A">
            <w:pPr>
              <w:rPr>
                <w:rFonts w:eastAsia="Arial" w:cs="Arial"/>
                <w:sz w:val="20"/>
                <w:szCs w:val="20"/>
              </w:rPr>
            </w:pPr>
            <w:r w:rsidRPr="00A54B18">
              <w:rPr>
                <w:rFonts w:eastAsia="Arial" w:cs="Arial"/>
                <w:sz w:val="20"/>
                <w:szCs w:val="20"/>
              </w:rPr>
              <w:t xml:space="preserve">Weighting revised since last AR? </w:t>
            </w:r>
          </w:p>
        </w:tc>
        <w:tc>
          <w:tcPr>
            <w:tcW w:w="2989" w:type="dxa"/>
            <w:gridSpan w:val="2"/>
            <w:tcBorders>
              <w:top w:val="single" w:sz="4" w:space="0" w:color="auto"/>
              <w:left w:val="single" w:sz="4" w:space="0" w:color="auto"/>
              <w:bottom w:val="single" w:sz="4" w:space="0" w:color="auto"/>
              <w:right w:val="single" w:sz="4" w:space="0" w:color="auto"/>
            </w:tcBorders>
          </w:tcPr>
          <w:p w14:paraId="09DBCA51" w14:textId="6069CE07" w:rsidR="006649CB" w:rsidRPr="00A54B18" w:rsidRDefault="00966D7A" w:rsidP="005E557A">
            <w:pPr>
              <w:rPr>
                <w:rFonts w:eastAsia="Arial" w:cs="Arial"/>
                <w:sz w:val="20"/>
                <w:szCs w:val="20"/>
              </w:rPr>
            </w:pPr>
            <w:r>
              <w:rPr>
                <w:rFonts w:eastAsia="Arial" w:cs="Arial"/>
                <w:sz w:val="20"/>
                <w:szCs w:val="20"/>
              </w:rPr>
              <w:t>Yes</w:t>
            </w:r>
          </w:p>
        </w:tc>
      </w:tr>
      <w:tr w:rsidR="000B69CB" w:rsidRPr="00A54B18" w14:paraId="54E72674" w14:textId="2160D8FD" w:rsidTr="07FC4C9B">
        <w:trPr>
          <w:trHeight w:val="367"/>
        </w:trPr>
        <w:tc>
          <w:tcPr>
            <w:tcW w:w="53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9CF7C9" w14:textId="77C01AE9" w:rsidR="009D1F5B" w:rsidRPr="00A54B18" w:rsidRDefault="009D1F5B" w:rsidP="005E557A">
            <w:pPr>
              <w:rPr>
                <w:rFonts w:eastAsia="Arial" w:cs="Arial"/>
                <w:b/>
                <w:bCs/>
                <w:sz w:val="20"/>
                <w:szCs w:val="20"/>
              </w:rPr>
            </w:pPr>
            <w:r w:rsidRPr="00A54B18">
              <w:rPr>
                <w:rFonts w:eastAsia="Arial" w:cs="Arial"/>
                <w:b/>
                <w:bCs/>
                <w:sz w:val="20"/>
                <w:szCs w:val="20"/>
              </w:rPr>
              <w:t>Indicator</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8FD5B8" w14:textId="1FD54506" w:rsidR="009D1F5B" w:rsidRPr="00A54B18" w:rsidRDefault="009D1F5B" w:rsidP="007C70B1">
            <w:pPr>
              <w:jc w:val="center"/>
              <w:rPr>
                <w:rFonts w:eastAsia="Arial" w:cs="Arial"/>
                <w:b/>
                <w:bCs/>
                <w:sz w:val="20"/>
                <w:szCs w:val="20"/>
              </w:rPr>
            </w:pPr>
            <w:r w:rsidRPr="00A54B18">
              <w:rPr>
                <w:rFonts w:eastAsia="Arial" w:cs="Arial"/>
                <w:b/>
                <w:bCs/>
                <w:sz w:val="20"/>
                <w:szCs w:val="20"/>
              </w:rPr>
              <w:t>Milestone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1AAA9E" w14:textId="357B1988" w:rsidR="009D1F5B" w:rsidRPr="00A54B18" w:rsidRDefault="77898C16" w:rsidP="007C70B1">
            <w:pPr>
              <w:jc w:val="center"/>
              <w:rPr>
                <w:rFonts w:eastAsia="Arial" w:cs="Arial"/>
                <w:b/>
                <w:bCs/>
                <w:sz w:val="20"/>
                <w:szCs w:val="20"/>
              </w:rPr>
            </w:pPr>
            <w:r w:rsidRPr="07FC4C9B">
              <w:rPr>
                <w:rFonts w:eastAsia="Arial" w:cs="Arial"/>
                <w:b/>
                <w:bCs/>
                <w:sz w:val="20"/>
                <w:szCs w:val="20"/>
              </w:rPr>
              <w:t>Progress</w:t>
            </w:r>
          </w:p>
        </w:tc>
      </w:tr>
      <w:tr w:rsidR="00B63EC3" w:rsidRPr="00A54B18" w14:paraId="5F3BD6E1" w14:textId="26C5A09A" w:rsidTr="07FC4C9B">
        <w:trPr>
          <w:trHeight w:val="403"/>
        </w:trPr>
        <w:tc>
          <w:tcPr>
            <w:tcW w:w="5387" w:type="dxa"/>
            <w:gridSpan w:val="4"/>
            <w:tcBorders>
              <w:top w:val="single" w:sz="4" w:space="0" w:color="auto"/>
              <w:left w:val="single" w:sz="4" w:space="0" w:color="auto"/>
              <w:bottom w:val="single" w:sz="4" w:space="0" w:color="auto"/>
              <w:right w:val="single" w:sz="4" w:space="0" w:color="auto"/>
            </w:tcBorders>
          </w:tcPr>
          <w:p w14:paraId="615703BD" w14:textId="150BA5C5" w:rsidR="009D1F5B" w:rsidRPr="00C427B8" w:rsidRDefault="009D1F5B" w:rsidP="005E557A">
            <w:pPr>
              <w:rPr>
                <w:rFonts w:eastAsia="Arial" w:cs="Arial"/>
                <w:sz w:val="22"/>
                <w:szCs w:val="22"/>
              </w:rPr>
            </w:pPr>
            <w:r w:rsidRPr="00C427B8">
              <w:rPr>
                <w:rStyle w:val="normaltextrun"/>
                <w:rFonts w:eastAsia="Arial" w:cs="Arial"/>
                <w:color w:val="000000"/>
                <w:sz w:val="22"/>
                <w:szCs w:val="22"/>
                <w:shd w:val="clear" w:color="auto" w:fill="FFFFFF"/>
              </w:rPr>
              <w:t>2.1 Number of sustainability standards represented in the portfolio of sub-borrowers</w:t>
            </w:r>
            <w:r w:rsidRPr="00C427B8">
              <w:rPr>
                <w:rStyle w:val="eop"/>
                <w:rFonts w:eastAsia="Arial" w:cs="Arial"/>
                <w:color w:val="000000"/>
                <w:sz w:val="22"/>
                <w:szCs w:val="22"/>
                <w:shd w:val="clear" w:color="auto" w:fill="FFFFFF"/>
              </w:rPr>
              <w:t> </w:t>
            </w:r>
          </w:p>
        </w:tc>
        <w:tc>
          <w:tcPr>
            <w:tcW w:w="1985" w:type="dxa"/>
            <w:gridSpan w:val="2"/>
            <w:tcBorders>
              <w:top w:val="single" w:sz="4" w:space="0" w:color="auto"/>
              <w:left w:val="single" w:sz="4" w:space="0" w:color="auto"/>
              <w:bottom w:val="single" w:sz="4" w:space="0" w:color="auto"/>
              <w:right w:val="single" w:sz="4" w:space="0" w:color="auto"/>
            </w:tcBorders>
          </w:tcPr>
          <w:p w14:paraId="6E0EE37F" w14:textId="31B3AF46" w:rsidR="009D1F5B" w:rsidRPr="00C427B8" w:rsidRDefault="00DF2951" w:rsidP="007C70B1">
            <w:pPr>
              <w:jc w:val="center"/>
              <w:rPr>
                <w:rFonts w:eastAsia="Arial" w:cs="Arial"/>
                <w:sz w:val="22"/>
                <w:szCs w:val="22"/>
              </w:rPr>
            </w:pPr>
            <w:r>
              <w:rPr>
                <w:rFonts w:eastAsia="Arial" w:cs="Arial"/>
                <w:sz w:val="22"/>
                <w:szCs w:val="22"/>
              </w:rPr>
              <w:t>29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6E4E000" w14:textId="692FFB84" w:rsidR="009D1F5B" w:rsidRPr="00C427B8" w:rsidRDefault="781934AC" w:rsidP="007C70B1">
            <w:pPr>
              <w:jc w:val="center"/>
              <w:rPr>
                <w:rFonts w:eastAsia="Arial" w:cs="Arial"/>
                <w:sz w:val="22"/>
                <w:szCs w:val="22"/>
              </w:rPr>
            </w:pPr>
            <w:r w:rsidRPr="07FC4C9B">
              <w:rPr>
                <w:rFonts w:eastAsia="Arial" w:cs="Arial"/>
                <w:sz w:val="22"/>
                <w:szCs w:val="22"/>
              </w:rPr>
              <w:t>30</w:t>
            </w:r>
            <w:r w:rsidR="001F47E7">
              <w:rPr>
                <w:rFonts w:eastAsia="Arial" w:cs="Arial"/>
                <w:sz w:val="22"/>
                <w:szCs w:val="22"/>
              </w:rPr>
              <w:t xml:space="preserve"> (+3)</w:t>
            </w:r>
          </w:p>
        </w:tc>
      </w:tr>
      <w:tr w:rsidR="00B63EC3" w:rsidRPr="00A54B18" w14:paraId="1A3C6ACC" w14:textId="4E99F69C" w:rsidTr="07FC4C9B">
        <w:trPr>
          <w:trHeight w:val="403"/>
        </w:trPr>
        <w:tc>
          <w:tcPr>
            <w:tcW w:w="5387" w:type="dxa"/>
            <w:gridSpan w:val="4"/>
            <w:tcBorders>
              <w:top w:val="single" w:sz="4" w:space="0" w:color="auto"/>
              <w:left w:val="single" w:sz="4" w:space="0" w:color="auto"/>
              <w:bottom w:val="single" w:sz="4" w:space="0" w:color="auto"/>
              <w:right w:val="single" w:sz="4" w:space="0" w:color="auto"/>
            </w:tcBorders>
          </w:tcPr>
          <w:p w14:paraId="2FAC4797" w14:textId="4A95106A" w:rsidR="009D1F5B" w:rsidRPr="00C427B8" w:rsidRDefault="009D1F5B" w:rsidP="005E557A">
            <w:pPr>
              <w:rPr>
                <w:rFonts w:eastAsia="Arial" w:cs="Arial"/>
                <w:sz w:val="22"/>
                <w:szCs w:val="22"/>
              </w:rPr>
            </w:pPr>
            <w:r w:rsidRPr="00C427B8">
              <w:rPr>
                <w:rStyle w:val="normaltextrun"/>
                <w:rFonts w:eastAsia="Arial" w:cs="Arial"/>
                <w:color w:val="000000"/>
                <w:sz w:val="22"/>
                <w:szCs w:val="22"/>
                <w:shd w:val="clear" w:color="auto" w:fill="FFFFFF"/>
              </w:rPr>
              <w:t>2.2 Number of Green List measures represented in the portfolio of sub-borrowers</w:t>
            </w:r>
            <w:r w:rsidRPr="00C427B8">
              <w:rPr>
                <w:rStyle w:val="eop"/>
                <w:rFonts w:eastAsia="Arial" w:cs="Arial"/>
                <w:color w:val="000000"/>
                <w:sz w:val="22"/>
                <w:szCs w:val="22"/>
                <w:shd w:val="clear" w:color="auto" w:fill="FFFFFF"/>
              </w:rPr>
              <w:t> </w:t>
            </w:r>
          </w:p>
        </w:tc>
        <w:tc>
          <w:tcPr>
            <w:tcW w:w="1985" w:type="dxa"/>
            <w:gridSpan w:val="2"/>
            <w:tcBorders>
              <w:top w:val="single" w:sz="4" w:space="0" w:color="auto"/>
              <w:left w:val="single" w:sz="4" w:space="0" w:color="auto"/>
              <w:bottom w:val="single" w:sz="4" w:space="0" w:color="auto"/>
              <w:right w:val="single" w:sz="4" w:space="0" w:color="auto"/>
            </w:tcBorders>
          </w:tcPr>
          <w:p w14:paraId="7036B4FF" w14:textId="5684BE58" w:rsidR="009D1F5B" w:rsidRPr="00C427B8" w:rsidRDefault="00DF2951" w:rsidP="007C70B1">
            <w:pPr>
              <w:jc w:val="center"/>
              <w:rPr>
                <w:rFonts w:eastAsia="Arial" w:cs="Arial"/>
                <w:sz w:val="22"/>
                <w:szCs w:val="22"/>
              </w:rPr>
            </w:pPr>
            <w:r>
              <w:rPr>
                <w:rFonts w:eastAsia="Arial" w:cs="Arial"/>
                <w:sz w:val="22"/>
                <w:szCs w:val="22"/>
              </w:rPr>
              <w:t>44</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8FFCE5A" w14:textId="24E2099F" w:rsidR="009D1F5B" w:rsidRPr="00C427B8" w:rsidRDefault="0C09812D" w:rsidP="007C70B1">
            <w:pPr>
              <w:jc w:val="center"/>
              <w:rPr>
                <w:rFonts w:eastAsia="Arial" w:cs="Arial"/>
                <w:sz w:val="22"/>
                <w:szCs w:val="22"/>
              </w:rPr>
            </w:pPr>
            <w:r w:rsidRPr="07FC4C9B">
              <w:rPr>
                <w:rFonts w:eastAsia="Arial" w:cs="Arial"/>
                <w:sz w:val="22"/>
                <w:szCs w:val="22"/>
              </w:rPr>
              <w:t>44</w:t>
            </w:r>
            <w:r w:rsidR="001F47E7">
              <w:rPr>
                <w:rFonts w:eastAsia="Arial" w:cs="Arial"/>
                <w:sz w:val="22"/>
                <w:szCs w:val="22"/>
              </w:rPr>
              <w:t xml:space="preserve"> (+3)</w:t>
            </w:r>
          </w:p>
        </w:tc>
      </w:tr>
      <w:tr w:rsidR="00B63EC3" w:rsidRPr="00A54B18" w14:paraId="6B101521" w14:textId="65426073" w:rsidTr="07FC4C9B">
        <w:trPr>
          <w:trHeight w:val="403"/>
        </w:trPr>
        <w:tc>
          <w:tcPr>
            <w:tcW w:w="5387" w:type="dxa"/>
            <w:gridSpan w:val="4"/>
            <w:tcBorders>
              <w:top w:val="single" w:sz="4" w:space="0" w:color="auto"/>
              <w:left w:val="single" w:sz="4" w:space="0" w:color="auto"/>
              <w:bottom w:val="single" w:sz="4" w:space="0" w:color="auto"/>
              <w:right w:val="single" w:sz="4" w:space="0" w:color="auto"/>
            </w:tcBorders>
          </w:tcPr>
          <w:p w14:paraId="6230AEC8" w14:textId="5ABAC7E3" w:rsidR="009D1F5B" w:rsidRPr="00C427B8" w:rsidRDefault="009D1F5B" w:rsidP="005E557A">
            <w:pPr>
              <w:rPr>
                <w:rFonts w:eastAsia="Arial" w:cs="Arial"/>
                <w:sz w:val="22"/>
                <w:szCs w:val="22"/>
              </w:rPr>
            </w:pPr>
            <w:r w:rsidRPr="00C427B8">
              <w:rPr>
                <w:rStyle w:val="normaltextrun"/>
                <w:rFonts w:eastAsia="Arial" w:cs="Arial"/>
                <w:color w:val="000000"/>
                <w:sz w:val="22"/>
                <w:szCs w:val="22"/>
                <w:shd w:val="clear" w:color="auto" w:fill="FFFFFF"/>
              </w:rPr>
              <w:t xml:space="preserve">2.3 </w:t>
            </w:r>
            <w:r w:rsidR="00DF2951">
              <w:rPr>
                <w:rStyle w:val="normaltextrun"/>
                <w:rFonts w:eastAsia="Arial" w:cs="Arial"/>
                <w:color w:val="000000"/>
                <w:sz w:val="22"/>
                <w:szCs w:val="22"/>
                <w:shd w:val="clear" w:color="auto" w:fill="FFFFFF"/>
              </w:rPr>
              <w:t xml:space="preserve">Proportion of </w:t>
            </w:r>
            <w:r w:rsidR="00607B66">
              <w:rPr>
                <w:rStyle w:val="normaltextrun"/>
                <w:rFonts w:eastAsia="Arial" w:cs="Arial"/>
                <w:color w:val="000000"/>
                <w:sz w:val="22"/>
                <w:szCs w:val="22"/>
                <w:shd w:val="clear" w:color="auto" w:fill="FFFFFF"/>
              </w:rPr>
              <w:t>Green List</w:t>
            </w:r>
            <w:r w:rsidRPr="00C427B8">
              <w:rPr>
                <w:rStyle w:val="normaltextrun"/>
                <w:rFonts w:eastAsia="Arial" w:cs="Arial"/>
                <w:color w:val="000000"/>
                <w:sz w:val="22"/>
                <w:szCs w:val="22"/>
                <w:shd w:val="clear" w:color="auto" w:fill="FFFFFF"/>
              </w:rPr>
              <w:t xml:space="preserve"> </w:t>
            </w:r>
            <w:r w:rsidR="00607B66">
              <w:rPr>
                <w:rStyle w:val="normaltextrun"/>
                <w:rFonts w:eastAsia="Arial" w:cs="Arial"/>
                <w:color w:val="000000"/>
                <w:sz w:val="22"/>
                <w:szCs w:val="22"/>
                <w:shd w:val="clear" w:color="auto" w:fill="FFFFFF"/>
              </w:rPr>
              <w:t xml:space="preserve">and certified </w:t>
            </w:r>
            <w:r w:rsidRPr="00C427B8">
              <w:rPr>
                <w:rStyle w:val="normaltextrun"/>
                <w:rFonts w:eastAsia="Arial" w:cs="Arial"/>
                <w:color w:val="000000"/>
                <w:sz w:val="22"/>
                <w:szCs w:val="22"/>
                <w:shd w:val="clear" w:color="auto" w:fill="FFFFFF"/>
              </w:rPr>
              <w:t>sub-borrowers</w:t>
            </w:r>
          </w:p>
        </w:tc>
        <w:tc>
          <w:tcPr>
            <w:tcW w:w="1985" w:type="dxa"/>
            <w:gridSpan w:val="2"/>
            <w:tcBorders>
              <w:top w:val="single" w:sz="4" w:space="0" w:color="auto"/>
              <w:left w:val="single" w:sz="4" w:space="0" w:color="auto"/>
              <w:bottom w:val="single" w:sz="4" w:space="0" w:color="auto"/>
              <w:right w:val="single" w:sz="4" w:space="0" w:color="auto"/>
            </w:tcBorders>
          </w:tcPr>
          <w:p w14:paraId="00AE1AA2" w14:textId="00045DDB" w:rsidR="009D1F5B" w:rsidRPr="00C427B8" w:rsidRDefault="009D1F5B" w:rsidP="007C70B1">
            <w:pPr>
              <w:jc w:val="center"/>
              <w:rPr>
                <w:rFonts w:eastAsia="Arial" w:cs="Arial"/>
                <w:sz w:val="22"/>
                <w:szCs w:val="22"/>
              </w:rPr>
            </w:pPr>
            <w:r w:rsidRPr="00C427B8">
              <w:rPr>
                <w:rFonts w:eastAsia="Arial" w:cs="Arial"/>
                <w:sz w:val="22"/>
                <w:szCs w:val="22"/>
              </w:rPr>
              <w:t>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2406283" w14:textId="593B60A6" w:rsidR="009D1F5B" w:rsidRPr="00C427B8" w:rsidRDefault="57BF9C4D" w:rsidP="007C70B1">
            <w:pPr>
              <w:jc w:val="center"/>
              <w:rPr>
                <w:rFonts w:eastAsia="Arial" w:cs="Arial"/>
                <w:sz w:val="22"/>
                <w:szCs w:val="22"/>
              </w:rPr>
            </w:pPr>
            <w:r w:rsidRPr="07FC4C9B">
              <w:rPr>
                <w:rFonts w:eastAsia="Arial" w:cs="Arial"/>
                <w:sz w:val="22"/>
                <w:szCs w:val="22"/>
              </w:rPr>
              <w:t>Cert</w:t>
            </w:r>
            <w:r w:rsidR="00D231C4">
              <w:rPr>
                <w:rFonts w:eastAsia="Arial" w:cs="Arial"/>
                <w:sz w:val="22"/>
                <w:szCs w:val="22"/>
              </w:rPr>
              <w:t>.</w:t>
            </w:r>
            <w:r w:rsidRPr="07FC4C9B">
              <w:rPr>
                <w:rFonts w:eastAsia="Arial" w:cs="Arial"/>
                <w:sz w:val="22"/>
                <w:szCs w:val="22"/>
              </w:rPr>
              <w:t>:</w:t>
            </w:r>
            <w:r w:rsidR="000F721C" w:rsidRPr="07FC4C9B">
              <w:rPr>
                <w:rFonts w:eastAsia="Arial" w:cs="Arial"/>
                <w:sz w:val="22"/>
                <w:szCs w:val="22"/>
              </w:rPr>
              <w:t xml:space="preserve"> 63%</w:t>
            </w:r>
            <w:r w:rsidR="00881623">
              <w:rPr>
                <w:rFonts w:eastAsia="Arial" w:cs="Arial"/>
                <w:sz w:val="22"/>
                <w:szCs w:val="22"/>
              </w:rPr>
              <w:t xml:space="preserve"> (-3)</w:t>
            </w:r>
            <w:r w:rsidR="006B2BB3">
              <w:br/>
            </w:r>
            <w:r w:rsidRPr="07FC4C9B">
              <w:rPr>
                <w:rFonts w:eastAsia="Arial" w:cs="Arial"/>
                <w:sz w:val="22"/>
                <w:szCs w:val="22"/>
              </w:rPr>
              <w:t xml:space="preserve">GL: </w:t>
            </w:r>
            <w:r w:rsidR="000F721C">
              <w:rPr>
                <w:rFonts w:eastAsia="Arial" w:cs="Arial"/>
                <w:sz w:val="22"/>
                <w:szCs w:val="22"/>
              </w:rPr>
              <w:t>37%</w:t>
            </w:r>
            <w:r w:rsidR="00881623">
              <w:rPr>
                <w:rFonts w:eastAsia="Arial" w:cs="Arial"/>
                <w:sz w:val="22"/>
                <w:szCs w:val="22"/>
              </w:rPr>
              <w:t xml:space="preserve"> (+3)</w:t>
            </w:r>
          </w:p>
        </w:tc>
      </w:tr>
    </w:tbl>
    <w:p w14:paraId="0C9F9350" w14:textId="77777777" w:rsidR="003B74CB" w:rsidRPr="00A54B18" w:rsidRDefault="003B74CB" w:rsidP="005E557A">
      <w:pPr>
        <w:pStyle w:val="Normal1"/>
        <w:spacing w:after="120"/>
        <w:jc w:val="both"/>
        <w:rPr>
          <w:b/>
          <w:bCs/>
          <w:sz w:val="22"/>
          <w:szCs w:val="22"/>
        </w:rPr>
      </w:pPr>
    </w:p>
    <w:p w14:paraId="05DCE31E" w14:textId="0518346B" w:rsidR="00E75614" w:rsidRPr="00A54B18" w:rsidRDefault="5ECAB7EF" w:rsidP="005E557A">
      <w:pPr>
        <w:pStyle w:val="Normal1"/>
        <w:spacing w:after="120"/>
        <w:jc w:val="both"/>
        <w:rPr>
          <w:sz w:val="22"/>
          <w:szCs w:val="22"/>
        </w:rPr>
      </w:pPr>
      <w:r w:rsidRPr="00A54B18">
        <w:rPr>
          <w:b/>
          <w:bCs/>
          <w:sz w:val="22"/>
          <w:szCs w:val="22"/>
        </w:rPr>
        <w:t>Key Points</w:t>
      </w:r>
    </w:p>
    <w:p w14:paraId="04555BFF" w14:textId="2B94B563" w:rsidR="0064657E" w:rsidRPr="00BA2002" w:rsidRDefault="00C92F52" w:rsidP="00674C5F">
      <w:pPr>
        <w:pStyle w:val="ListParagraph"/>
        <w:numPr>
          <w:ilvl w:val="0"/>
          <w:numId w:val="7"/>
        </w:numPr>
        <w:spacing w:before="60" w:after="0"/>
        <w:ind w:hanging="357"/>
        <w:jc w:val="both"/>
        <w:rPr>
          <w:strike/>
          <w:sz w:val="20"/>
        </w:rPr>
      </w:pPr>
      <w:r w:rsidRPr="00BA2002">
        <w:rPr>
          <w:rFonts w:eastAsia="Arial" w:cs="Arial"/>
          <w:sz w:val="22"/>
          <w:szCs w:val="22"/>
        </w:rPr>
        <w:t xml:space="preserve">Two </w:t>
      </w:r>
      <w:r w:rsidR="560D747E" w:rsidRPr="00BA2002">
        <w:rPr>
          <w:rFonts w:eastAsia="Arial" w:cs="Arial"/>
          <w:sz w:val="22"/>
          <w:szCs w:val="22"/>
        </w:rPr>
        <w:t>new certification</w:t>
      </w:r>
      <w:r w:rsidR="37E8507D" w:rsidRPr="00BA2002">
        <w:rPr>
          <w:rFonts w:eastAsia="Arial" w:cs="Arial"/>
          <w:sz w:val="22"/>
          <w:szCs w:val="22"/>
        </w:rPr>
        <w:t>s</w:t>
      </w:r>
      <w:r w:rsidR="4DA60135" w:rsidRPr="00BA2002">
        <w:rPr>
          <w:rFonts w:eastAsia="Arial" w:cs="Arial"/>
          <w:sz w:val="22"/>
          <w:szCs w:val="22"/>
        </w:rPr>
        <w:t xml:space="preserve"> entered the portfolio. Rainforest Alliance represented the largest portfolio share (25%), followed by Fairtrade Standard for Small Producer Organizations (</w:t>
      </w:r>
      <w:r w:rsidR="00D14810" w:rsidRPr="00BA2002">
        <w:rPr>
          <w:rFonts w:eastAsia="Arial" w:cs="Arial"/>
          <w:sz w:val="22"/>
          <w:szCs w:val="22"/>
        </w:rPr>
        <w:t>18</w:t>
      </w:r>
      <w:r w:rsidR="4DA60135" w:rsidRPr="00BA2002">
        <w:rPr>
          <w:rFonts w:eastAsia="Arial" w:cs="Arial"/>
          <w:sz w:val="22"/>
          <w:szCs w:val="22"/>
        </w:rPr>
        <w:t>%).</w:t>
      </w:r>
    </w:p>
    <w:p w14:paraId="1D7D4077" w14:textId="66DC7F7E" w:rsidR="6DD73775" w:rsidRPr="00BA2002" w:rsidRDefault="00BA5F63" w:rsidP="00674C5F">
      <w:pPr>
        <w:pStyle w:val="ListParagraph"/>
        <w:numPr>
          <w:ilvl w:val="0"/>
          <w:numId w:val="7"/>
        </w:numPr>
        <w:spacing w:before="60" w:after="0"/>
        <w:ind w:hanging="357"/>
        <w:jc w:val="both"/>
        <w:rPr>
          <w:rFonts w:eastAsia="Arial" w:cs="Arial"/>
        </w:rPr>
      </w:pPr>
      <w:r w:rsidRPr="4B2FF2ED">
        <w:rPr>
          <w:rFonts w:eastAsia="Arial" w:cs="Arial"/>
          <w:sz w:val="22"/>
          <w:szCs w:val="22"/>
        </w:rPr>
        <w:t>Four</w:t>
      </w:r>
      <w:r w:rsidR="0F0FB5A3" w:rsidRPr="4B2FF2ED">
        <w:rPr>
          <w:rFonts w:eastAsia="Arial" w:cs="Arial"/>
          <w:sz w:val="22"/>
          <w:szCs w:val="22"/>
        </w:rPr>
        <w:t xml:space="preserve"> new Green List </w:t>
      </w:r>
      <w:r w:rsidR="6722C47F" w:rsidRPr="4B2FF2ED">
        <w:rPr>
          <w:rFonts w:eastAsia="Arial" w:cs="Arial"/>
          <w:sz w:val="22"/>
          <w:szCs w:val="22"/>
        </w:rPr>
        <w:t xml:space="preserve">(GL) </w:t>
      </w:r>
      <w:r w:rsidR="0F0FB5A3" w:rsidRPr="4B2FF2ED">
        <w:rPr>
          <w:rFonts w:eastAsia="Arial" w:cs="Arial"/>
          <w:sz w:val="22"/>
          <w:szCs w:val="22"/>
        </w:rPr>
        <w:t>measures were added</w:t>
      </w:r>
      <w:r w:rsidR="37E8507D" w:rsidRPr="4B2FF2ED">
        <w:rPr>
          <w:rFonts w:eastAsia="Arial" w:cs="Arial"/>
          <w:sz w:val="22"/>
          <w:szCs w:val="22"/>
        </w:rPr>
        <w:t>.</w:t>
      </w:r>
      <w:r w:rsidR="091684F3" w:rsidRPr="4B2FF2ED">
        <w:rPr>
          <w:rFonts w:eastAsia="Arial" w:cs="Arial"/>
          <w:sz w:val="22"/>
          <w:szCs w:val="22"/>
        </w:rPr>
        <w:t xml:space="preserve"> Amongst supported G</w:t>
      </w:r>
      <w:r w:rsidR="06502E95" w:rsidRPr="4B2FF2ED">
        <w:rPr>
          <w:rFonts w:eastAsia="Arial" w:cs="Arial"/>
          <w:sz w:val="22"/>
          <w:szCs w:val="22"/>
        </w:rPr>
        <w:t>L</w:t>
      </w:r>
      <w:r w:rsidR="091684F3" w:rsidRPr="4B2FF2ED">
        <w:rPr>
          <w:rFonts w:eastAsia="Arial" w:cs="Arial"/>
          <w:sz w:val="22"/>
          <w:szCs w:val="22"/>
        </w:rPr>
        <w:t xml:space="preserve"> activities, the Fund’s PIs primarily on-lend for activities related to sustainable land use, production and extraction practices (4</w:t>
      </w:r>
      <w:r w:rsidR="002A2D71" w:rsidRPr="4B2FF2ED">
        <w:rPr>
          <w:rFonts w:eastAsia="Arial" w:cs="Arial"/>
          <w:sz w:val="22"/>
          <w:szCs w:val="22"/>
        </w:rPr>
        <w:t>3</w:t>
      </w:r>
      <w:r w:rsidR="091684F3" w:rsidRPr="4B2FF2ED">
        <w:rPr>
          <w:rFonts w:eastAsia="Arial" w:cs="Arial"/>
          <w:sz w:val="22"/>
          <w:szCs w:val="22"/>
        </w:rPr>
        <w:t>%), but this figure has fallen from 65% in 202</w:t>
      </w:r>
      <w:r w:rsidR="0093344F" w:rsidRPr="4B2FF2ED">
        <w:rPr>
          <w:rFonts w:eastAsia="Arial" w:cs="Arial"/>
          <w:sz w:val="22"/>
          <w:szCs w:val="22"/>
        </w:rPr>
        <w:t>2</w:t>
      </w:r>
      <w:r w:rsidR="091684F3" w:rsidRPr="4B2FF2ED">
        <w:rPr>
          <w:rFonts w:eastAsia="Arial" w:cs="Arial"/>
          <w:sz w:val="22"/>
          <w:szCs w:val="22"/>
        </w:rPr>
        <w:t xml:space="preserve"> as the Fund has expanded into new impact areas, notably resource efficiency (</w:t>
      </w:r>
      <w:r w:rsidR="009A09A5" w:rsidRPr="4B2FF2ED">
        <w:rPr>
          <w:rFonts w:eastAsia="Arial" w:cs="Arial"/>
          <w:sz w:val="22"/>
          <w:szCs w:val="22"/>
        </w:rPr>
        <w:t>30</w:t>
      </w:r>
      <w:r w:rsidR="091684F3" w:rsidRPr="4B2FF2ED">
        <w:rPr>
          <w:rFonts w:eastAsia="Arial" w:cs="Arial"/>
          <w:sz w:val="22"/>
          <w:szCs w:val="22"/>
        </w:rPr>
        <w:t>%), as well as wa</w:t>
      </w:r>
      <w:r w:rsidR="006B297B" w:rsidRPr="4B2FF2ED">
        <w:rPr>
          <w:rFonts w:eastAsia="Arial" w:cs="Arial"/>
          <w:sz w:val="22"/>
          <w:szCs w:val="22"/>
        </w:rPr>
        <w:t>ter</w:t>
      </w:r>
      <w:r w:rsidR="091684F3" w:rsidRPr="4B2FF2ED">
        <w:rPr>
          <w:rFonts w:eastAsia="Arial" w:cs="Arial"/>
          <w:sz w:val="22"/>
          <w:szCs w:val="22"/>
        </w:rPr>
        <w:t xml:space="preserve"> treatment (</w:t>
      </w:r>
      <w:r w:rsidR="005407EE" w:rsidRPr="4B2FF2ED">
        <w:rPr>
          <w:rFonts w:eastAsia="Arial" w:cs="Arial"/>
          <w:sz w:val="22"/>
          <w:szCs w:val="22"/>
        </w:rPr>
        <w:t>14</w:t>
      </w:r>
      <w:r w:rsidR="091684F3" w:rsidRPr="4B2FF2ED">
        <w:rPr>
          <w:rFonts w:eastAsia="Arial" w:cs="Arial"/>
          <w:sz w:val="22"/>
          <w:szCs w:val="22"/>
        </w:rPr>
        <w:t>%) and soil conservation (6%).</w:t>
      </w:r>
    </w:p>
    <w:p w14:paraId="5958F3EA" w14:textId="6506EC3B" w:rsidR="00EE0F0A" w:rsidRPr="00BA2002" w:rsidRDefault="5328FDBD" w:rsidP="00674C5F">
      <w:pPr>
        <w:pStyle w:val="ListParagraph"/>
        <w:numPr>
          <w:ilvl w:val="0"/>
          <w:numId w:val="7"/>
        </w:numPr>
        <w:spacing w:before="60" w:after="0"/>
        <w:ind w:hanging="357"/>
        <w:jc w:val="both"/>
        <w:rPr>
          <w:rFonts w:eastAsia="Arial" w:cs="Arial"/>
          <w:sz w:val="22"/>
          <w:szCs w:val="22"/>
        </w:rPr>
      </w:pPr>
      <w:r w:rsidRPr="4B2FF2ED">
        <w:rPr>
          <w:rFonts w:eastAsia="Arial" w:cs="Arial"/>
          <w:sz w:val="22"/>
          <w:szCs w:val="22"/>
        </w:rPr>
        <w:t xml:space="preserve">When financing a new PI using the </w:t>
      </w:r>
      <w:r w:rsidR="310960EE" w:rsidRPr="4B2FF2ED">
        <w:rPr>
          <w:rFonts w:eastAsia="Arial" w:cs="Arial"/>
          <w:sz w:val="22"/>
          <w:szCs w:val="22"/>
        </w:rPr>
        <w:t>GL</w:t>
      </w:r>
      <w:r w:rsidRPr="4B2FF2ED">
        <w:rPr>
          <w:rFonts w:eastAsia="Arial" w:cs="Arial"/>
          <w:sz w:val="22"/>
          <w:szCs w:val="22"/>
        </w:rPr>
        <w:t xml:space="preserve"> approach, EBF discusses and agrees with the PI which GL measures (of the ~70 available) are the most appropriate. The actual financing then follows the fund’s market logic, based on the needs and interest of the end-clients. New GL measures added to the portfolio in 202</w:t>
      </w:r>
      <w:r w:rsidR="00CE3076" w:rsidRPr="4B2FF2ED">
        <w:rPr>
          <w:rFonts w:eastAsia="Arial" w:cs="Arial"/>
          <w:sz w:val="22"/>
          <w:szCs w:val="22"/>
        </w:rPr>
        <w:t>3</w:t>
      </w:r>
      <w:r w:rsidRPr="4B2FF2ED">
        <w:rPr>
          <w:rFonts w:eastAsia="Arial" w:cs="Arial"/>
          <w:sz w:val="22"/>
          <w:szCs w:val="22"/>
        </w:rPr>
        <w:t xml:space="preserve"> include: </w:t>
      </w:r>
      <w:r w:rsidR="1FC419FC" w:rsidRPr="4B2FF2ED">
        <w:rPr>
          <w:rFonts w:eastAsia="Arial" w:cs="Arial"/>
          <w:sz w:val="22"/>
          <w:szCs w:val="22"/>
        </w:rPr>
        <w:t xml:space="preserve">i) </w:t>
      </w:r>
      <w:r w:rsidR="002B31C8" w:rsidRPr="4B2FF2ED">
        <w:rPr>
          <w:rFonts w:eastAsia="Arial" w:cs="Arial"/>
          <w:sz w:val="22"/>
          <w:szCs w:val="22"/>
        </w:rPr>
        <w:t>Investments in isolated energy generation in rural areas that are not linked to the electricity grid (ex:  solar panels, micro wind mills, micro hydroelectric power generators) in countries where wood is a primary source of fuel</w:t>
      </w:r>
      <w:r w:rsidR="1FC419FC" w:rsidRPr="4B2FF2ED">
        <w:rPr>
          <w:rFonts w:eastAsia="Arial" w:cs="Arial"/>
          <w:sz w:val="22"/>
          <w:szCs w:val="22"/>
        </w:rPr>
        <w:t xml:space="preserve">; ii) </w:t>
      </w:r>
      <w:r w:rsidR="00203F38" w:rsidRPr="4B2FF2ED">
        <w:rPr>
          <w:rFonts w:eastAsia="Arial" w:cs="Arial"/>
          <w:sz w:val="22"/>
          <w:szCs w:val="22"/>
        </w:rPr>
        <w:t>Equipment for recycling plastic bags (e.g. bananas and other fruit)</w:t>
      </w:r>
      <w:r w:rsidR="1FC419FC" w:rsidRPr="4B2FF2ED">
        <w:rPr>
          <w:rFonts w:eastAsia="Arial" w:cs="Arial"/>
          <w:sz w:val="22"/>
          <w:szCs w:val="22"/>
        </w:rPr>
        <w:t xml:space="preserve">; iii) </w:t>
      </w:r>
      <w:r w:rsidR="003D77FF" w:rsidRPr="4B2FF2ED">
        <w:rPr>
          <w:rFonts w:eastAsia="Arial" w:cs="Arial"/>
          <w:sz w:val="22"/>
          <w:szCs w:val="22"/>
        </w:rPr>
        <w:t>Financing the infrastructure required and implementation process of approved international Sustainable standards such as: Global</w:t>
      </w:r>
      <w:r w:rsidR="00BA2002" w:rsidRPr="4B2FF2ED">
        <w:rPr>
          <w:rFonts w:eastAsia="Arial" w:cs="Arial"/>
          <w:sz w:val="22"/>
          <w:szCs w:val="22"/>
        </w:rPr>
        <w:t xml:space="preserve"> </w:t>
      </w:r>
      <w:r w:rsidR="003D77FF" w:rsidRPr="4B2FF2ED">
        <w:rPr>
          <w:rFonts w:eastAsia="Arial" w:cs="Arial"/>
          <w:sz w:val="22"/>
          <w:szCs w:val="22"/>
        </w:rPr>
        <w:t>G.A.P., Rainforest Alliance, FairTrade, etc. including the cost of certification audits; iv) Construction of facilities and equipment for proper management of solid and hazardous waste, such as: storage, recycling, or disposal of any form.</w:t>
      </w:r>
    </w:p>
    <w:p w14:paraId="54DBC60E" w14:textId="2BFC7AE8" w:rsidR="001A56A0" w:rsidRPr="00BA2002" w:rsidRDefault="280530AD" w:rsidP="4D670321">
      <w:pPr>
        <w:pStyle w:val="ListParagraph"/>
        <w:numPr>
          <w:ilvl w:val="0"/>
          <w:numId w:val="7"/>
        </w:numPr>
        <w:spacing w:before="60" w:after="0"/>
        <w:ind w:hanging="357"/>
        <w:jc w:val="both"/>
        <w:rPr>
          <w:rFonts w:eastAsia="Arial" w:cs="Arial"/>
          <w:sz w:val="22"/>
          <w:szCs w:val="22"/>
        </w:rPr>
      </w:pPr>
      <w:r w:rsidRPr="4D670321">
        <w:rPr>
          <w:rFonts w:eastAsia="Arial" w:cs="Arial"/>
          <w:sz w:val="22"/>
          <w:szCs w:val="22"/>
        </w:rPr>
        <w:t xml:space="preserve">The proportion of the Fund in GL end-borrowers is an important indicator of finance reaching smaller </w:t>
      </w:r>
      <w:r w:rsidR="33D2C645" w:rsidRPr="4D670321">
        <w:rPr>
          <w:rFonts w:eastAsia="Arial" w:cs="Arial"/>
          <w:sz w:val="22"/>
          <w:szCs w:val="22"/>
        </w:rPr>
        <w:t>businesses and growers, including smallholder farmers</w:t>
      </w:r>
      <w:r w:rsidR="1047EC2C" w:rsidRPr="4D670321">
        <w:rPr>
          <w:rFonts w:eastAsia="Arial" w:cs="Arial"/>
          <w:sz w:val="22"/>
          <w:szCs w:val="22"/>
        </w:rPr>
        <w:t xml:space="preserve">, </w:t>
      </w:r>
      <w:r w:rsidR="00877ECE">
        <w:rPr>
          <w:rFonts w:eastAsia="Arial" w:cs="Arial"/>
          <w:sz w:val="22"/>
          <w:szCs w:val="22"/>
        </w:rPr>
        <w:t>who are</w:t>
      </w:r>
      <w:r w:rsidR="007E5FAD">
        <w:rPr>
          <w:rFonts w:eastAsia="Arial" w:cs="Arial"/>
          <w:sz w:val="22"/>
          <w:szCs w:val="22"/>
        </w:rPr>
        <w:t xml:space="preserve"> unable to afford full certification</w:t>
      </w:r>
      <w:r w:rsidR="00C06965">
        <w:rPr>
          <w:rFonts w:eastAsia="Arial" w:cs="Arial"/>
          <w:sz w:val="22"/>
          <w:szCs w:val="22"/>
        </w:rPr>
        <w:t xml:space="preserve">, </w:t>
      </w:r>
      <w:r w:rsidR="002724FD">
        <w:rPr>
          <w:rFonts w:eastAsia="Arial" w:cs="Arial"/>
          <w:sz w:val="22"/>
          <w:szCs w:val="22"/>
        </w:rPr>
        <w:t>support</w:t>
      </w:r>
      <w:r w:rsidR="00C06965">
        <w:rPr>
          <w:rFonts w:eastAsia="Arial" w:cs="Arial"/>
          <w:sz w:val="22"/>
          <w:szCs w:val="22"/>
        </w:rPr>
        <w:t>ing businesses and jobs more widely across rural economies</w:t>
      </w:r>
      <w:r w:rsidR="33D2C645" w:rsidRPr="4D670321">
        <w:rPr>
          <w:rFonts w:eastAsia="Arial" w:cs="Arial"/>
          <w:sz w:val="22"/>
          <w:szCs w:val="22"/>
        </w:rPr>
        <w:t>.</w:t>
      </w:r>
      <w:r w:rsidR="436A9296" w:rsidRPr="4D670321">
        <w:rPr>
          <w:rFonts w:eastAsia="Arial" w:cs="Arial"/>
          <w:sz w:val="22"/>
          <w:szCs w:val="22"/>
        </w:rPr>
        <w:t xml:space="preserve"> 2.3 is a new indicator replacing two previous indicators</w:t>
      </w:r>
      <w:r w:rsidR="1D4D9C95" w:rsidRPr="4D670321">
        <w:rPr>
          <w:rFonts w:eastAsia="Arial" w:cs="Arial"/>
          <w:sz w:val="22"/>
          <w:szCs w:val="22"/>
        </w:rPr>
        <w:t xml:space="preserve"> that provided </w:t>
      </w:r>
      <w:r w:rsidR="20ED7F24" w:rsidRPr="4D670321">
        <w:rPr>
          <w:rFonts w:eastAsia="Arial" w:cs="Arial"/>
          <w:sz w:val="22"/>
          <w:szCs w:val="22"/>
        </w:rPr>
        <w:t>figures in US dollars invested in certified/GL en</w:t>
      </w:r>
      <w:r w:rsidR="001E1B4A">
        <w:rPr>
          <w:rFonts w:eastAsia="Arial" w:cs="Arial"/>
          <w:sz w:val="22"/>
          <w:szCs w:val="22"/>
        </w:rPr>
        <w:t>d</w:t>
      </w:r>
      <w:r w:rsidR="20ED7F24" w:rsidRPr="4D670321">
        <w:rPr>
          <w:rFonts w:eastAsia="Arial" w:cs="Arial"/>
          <w:sz w:val="22"/>
          <w:szCs w:val="22"/>
        </w:rPr>
        <w:t xml:space="preserve">-borrowers, </w:t>
      </w:r>
      <w:r w:rsidR="506A542B" w:rsidRPr="4D670321">
        <w:rPr>
          <w:rFonts w:eastAsia="Arial" w:cs="Arial"/>
          <w:sz w:val="22"/>
          <w:szCs w:val="22"/>
        </w:rPr>
        <w:t>as these figures could not be published and the ratio is more telling.</w:t>
      </w:r>
    </w:p>
    <w:p w14:paraId="206A0AF7" w14:textId="77777777" w:rsidR="00610AAC" w:rsidRPr="00A54B18" w:rsidRDefault="00610AAC" w:rsidP="005E557A">
      <w:pPr>
        <w:jc w:val="both"/>
        <w:rPr>
          <w:rFonts w:eastAsia="Arial" w:cs="Arial"/>
          <w:b/>
          <w:bCs/>
          <w:color w:val="000000" w:themeColor="text1"/>
        </w:rPr>
      </w:pPr>
    </w:p>
    <w:tbl>
      <w:tblPr>
        <w:tblStyle w:val="TableGrid"/>
        <w:tblW w:w="9073" w:type="dxa"/>
        <w:tblInd w:w="-147" w:type="dxa"/>
        <w:tblLook w:val="04A0" w:firstRow="1" w:lastRow="0" w:firstColumn="1" w:lastColumn="0" w:noHBand="0" w:noVBand="1"/>
      </w:tblPr>
      <w:tblGrid>
        <w:gridCol w:w="1680"/>
        <w:gridCol w:w="361"/>
        <w:gridCol w:w="739"/>
        <w:gridCol w:w="2396"/>
        <w:gridCol w:w="719"/>
        <w:gridCol w:w="1570"/>
        <w:gridCol w:w="1608"/>
      </w:tblGrid>
      <w:tr w:rsidR="0072252B" w:rsidRPr="00A54B18" w14:paraId="1838673D" w14:textId="6167DCBB" w:rsidTr="07FC4C9B">
        <w:trPr>
          <w:trHeight w:val="467"/>
        </w:trPr>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E98ACF" w14:textId="77777777" w:rsidR="00EA2E37" w:rsidRPr="00A54B18" w:rsidRDefault="00EA2E37" w:rsidP="005E557A">
            <w:pPr>
              <w:rPr>
                <w:rFonts w:eastAsia="Arial" w:cs="Arial"/>
                <w:b/>
                <w:bCs/>
                <w:sz w:val="20"/>
                <w:szCs w:val="20"/>
              </w:rPr>
            </w:pPr>
            <w:r w:rsidRPr="00A54B18">
              <w:rPr>
                <w:rFonts w:eastAsia="Arial" w:cs="Arial"/>
                <w:b/>
                <w:bCs/>
                <w:sz w:val="20"/>
                <w:szCs w:val="20"/>
              </w:rPr>
              <w:t xml:space="preserve">Output Title </w:t>
            </w:r>
          </w:p>
        </w:tc>
        <w:tc>
          <w:tcPr>
            <w:tcW w:w="73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88BECAA" w14:textId="6F6E7307" w:rsidR="00EA2E37" w:rsidRPr="00A54B18" w:rsidRDefault="00EA2E37" w:rsidP="005E557A">
            <w:pPr>
              <w:rPr>
                <w:rStyle w:val="normaltextrun"/>
                <w:rFonts w:eastAsia="Arial" w:cs="Arial"/>
                <w:color w:val="000000"/>
                <w:sz w:val="22"/>
                <w:szCs w:val="22"/>
                <w:shd w:val="clear" w:color="auto" w:fill="FFFFFF"/>
              </w:rPr>
            </w:pPr>
            <w:r w:rsidRPr="00A54B18">
              <w:rPr>
                <w:rStyle w:val="normaltextrun"/>
                <w:rFonts w:eastAsia="Arial" w:cs="Arial"/>
                <w:color w:val="000000"/>
                <w:sz w:val="22"/>
                <w:szCs w:val="22"/>
                <w:shd w:val="clear" w:color="auto" w:fill="FFFFFF"/>
              </w:rPr>
              <w:t>Provision of continuous and sufficient Technical Assistance</w:t>
            </w:r>
            <w:r w:rsidRPr="00A54B18">
              <w:rPr>
                <w:rStyle w:val="eop"/>
                <w:rFonts w:eastAsia="Arial" w:cs="Arial"/>
                <w:color w:val="000000"/>
                <w:sz w:val="22"/>
                <w:szCs w:val="22"/>
                <w:shd w:val="clear" w:color="auto" w:fill="FFFFFF"/>
              </w:rPr>
              <w:t> </w:t>
            </w:r>
          </w:p>
        </w:tc>
      </w:tr>
      <w:tr w:rsidR="00DC2AD0" w:rsidRPr="00A54B18" w14:paraId="30904444" w14:textId="7C2A6F7A" w:rsidTr="07FC4C9B">
        <w:trPr>
          <w:trHeight w:val="331"/>
        </w:trPr>
        <w:tc>
          <w:tcPr>
            <w:tcW w:w="205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FF8E99" w14:textId="77777777" w:rsidR="00EA2E37" w:rsidRPr="00A54B18" w:rsidRDefault="00EA2E37" w:rsidP="005E557A">
            <w:pPr>
              <w:rPr>
                <w:rFonts w:eastAsia="Arial" w:cs="Arial"/>
                <w:sz w:val="20"/>
                <w:szCs w:val="20"/>
              </w:rPr>
            </w:pPr>
            <w:r w:rsidRPr="00A54B18">
              <w:rPr>
                <w:rFonts w:eastAsia="Arial" w:cs="Arial"/>
                <w:sz w:val="20"/>
                <w:szCs w:val="20"/>
              </w:rPr>
              <w:t xml:space="preserve">Output number: </w:t>
            </w:r>
          </w:p>
        </w:tc>
        <w:tc>
          <w:tcPr>
            <w:tcW w:w="744" w:type="dxa"/>
            <w:tcBorders>
              <w:top w:val="single" w:sz="4" w:space="0" w:color="auto"/>
              <w:left w:val="single" w:sz="4" w:space="0" w:color="auto"/>
              <w:bottom w:val="single" w:sz="4" w:space="0" w:color="auto"/>
              <w:right w:val="single" w:sz="4" w:space="0" w:color="auto"/>
            </w:tcBorders>
          </w:tcPr>
          <w:p w14:paraId="606C7DD3" w14:textId="3C732C6A" w:rsidR="00EA2E37" w:rsidRPr="00A54B18" w:rsidRDefault="00EA2E37" w:rsidP="005E557A">
            <w:pPr>
              <w:rPr>
                <w:rFonts w:eastAsia="Arial" w:cs="Arial"/>
                <w:sz w:val="20"/>
                <w:szCs w:val="20"/>
              </w:rPr>
            </w:pPr>
            <w:r w:rsidRPr="00A54B18">
              <w:rPr>
                <w:rFonts w:eastAsia="Arial" w:cs="Arial"/>
                <w:sz w:val="20"/>
                <w:szCs w:val="20"/>
              </w:rPr>
              <w:t>3</w:t>
            </w:r>
          </w:p>
        </w:tc>
        <w:tc>
          <w:tcPr>
            <w:tcW w:w="241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3B8035" w14:textId="77777777" w:rsidR="00EA2E37" w:rsidRPr="00A54B18" w:rsidRDefault="1F7E7EA6" w:rsidP="005E557A">
            <w:pPr>
              <w:rPr>
                <w:rFonts w:eastAsia="Arial" w:cs="Arial"/>
                <w:sz w:val="20"/>
                <w:szCs w:val="20"/>
              </w:rPr>
            </w:pPr>
            <w:r w:rsidRPr="07FC4C9B">
              <w:rPr>
                <w:rFonts w:eastAsia="Arial" w:cs="Arial"/>
                <w:sz w:val="20"/>
                <w:szCs w:val="20"/>
              </w:rPr>
              <w:t xml:space="preserve">Output Score: </w:t>
            </w:r>
          </w:p>
        </w:tc>
        <w:tc>
          <w:tcPr>
            <w:tcW w:w="3851" w:type="dxa"/>
            <w:gridSpan w:val="3"/>
            <w:tcBorders>
              <w:top w:val="single" w:sz="4" w:space="0" w:color="auto"/>
              <w:left w:val="single" w:sz="4" w:space="0" w:color="auto"/>
              <w:bottom w:val="single" w:sz="4" w:space="0" w:color="auto"/>
              <w:right w:val="single" w:sz="4" w:space="0" w:color="auto"/>
            </w:tcBorders>
          </w:tcPr>
          <w:p w14:paraId="0303A857" w14:textId="17D469E0" w:rsidR="00EA2E37" w:rsidRPr="00A54B18" w:rsidRDefault="2EDB25D4" w:rsidP="005E557A">
            <w:pPr>
              <w:rPr>
                <w:rFonts w:eastAsia="Arial" w:cs="Arial"/>
                <w:b/>
                <w:bCs/>
                <w:sz w:val="20"/>
                <w:szCs w:val="20"/>
              </w:rPr>
            </w:pPr>
            <w:r w:rsidRPr="07FC4C9B">
              <w:rPr>
                <w:rFonts w:eastAsia="Arial" w:cs="Arial"/>
                <w:b/>
                <w:bCs/>
                <w:sz w:val="20"/>
                <w:szCs w:val="20"/>
              </w:rPr>
              <w:t>A</w:t>
            </w:r>
          </w:p>
        </w:tc>
      </w:tr>
      <w:tr w:rsidR="00DC2AD0" w:rsidRPr="00A54B18" w14:paraId="3E2C7797" w14:textId="3EB872AD" w:rsidTr="07FC4C9B">
        <w:trPr>
          <w:trHeight w:val="329"/>
        </w:trPr>
        <w:tc>
          <w:tcPr>
            <w:tcW w:w="205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245455" w14:textId="77777777" w:rsidR="00EA2E37" w:rsidRPr="00A54B18" w:rsidRDefault="00EA2E37" w:rsidP="005E557A">
            <w:pPr>
              <w:rPr>
                <w:rFonts w:eastAsia="Arial" w:cs="Arial"/>
                <w:sz w:val="20"/>
                <w:szCs w:val="20"/>
              </w:rPr>
            </w:pPr>
            <w:r w:rsidRPr="00A54B18">
              <w:rPr>
                <w:rFonts w:eastAsia="Arial" w:cs="Arial"/>
                <w:sz w:val="20"/>
                <w:szCs w:val="20"/>
              </w:rPr>
              <w:t xml:space="preserve">Impact weighting (%):  </w:t>
            </w:r>
          </w:p>
        </w:tc>
        <w:tc>
          <w:tcPr>
            <w:tcW w:w="744" w:type="dxa"/>
            <w:tcBorders>
              <w:top w:val="single" w:sz="4" w:space="0" w:color="auto"/>
              <w:left w:val="single" w:sz="4" w:space="0" w:color="auto"/>
              <w:bottom w:val="single" w:sz="4" w:space="0" w:color="auto"/>
              <w:right w:val="single" w:sz="4" w:space="0" w:color="auto"/>
            </w:tcBorders>
          </w:tcPr>
          <w:p w14:paraId="1D46A101" w14:textId="6614C631" w:rsidR="00EA2E37" w:rsidRPr="00A54B18" w:rsidRDefault="00C83079" w:rsidP="005E557A">
            <w:pPr>
              <w:rPr>
                <w:rFonts w:eastAsia="Arial" w:cs="Arial"/>
                <w:sz w:val="20"/>
                <w:szCs w:val="20"/>
              </w:rPr>
            </w:pPr>
            <w:r>
              <w:rPr>
                <w:rFonts w:eastAsia="Arial" w:cs="Arial"/>
                <w:sz w:val="20"/>
                <w:szCs w:val="20"/>
              </w:rPr>
              <w:t>40</w:t>
            </w:r>
          </w:p>
        </w:tc>
        <w:tc>
          <w:tcPr>
            <w:tcW w:w="241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22A60E" w14:textId="2FF2D427" w:rsidR="00EA2E37" w:rsidRPr="00A54B18" w:rsidRDefault="00EA2E37" w:rsidP="005E557A">
            <w:pPr>
              <w:rPr>
                <w:rFonts w:eastAsia="Arial" w:cs="Arial"/>
                <w:sz w:val="20"/>
                <w:szCs w:val="20"/>
              </w:rPr>
            </w:pPr>
            <w:r w:rsidRPr="00A54B18">
              <w:rPr>
                <w:rFonts w:eastAsia="Arial" w:cs="Arial"/>
                <w:sz w:val="20"/>
                <w:szCs w:val="20"/>
              </w:rPr>
              <w:t xml:space="preserve">Weighting revised since last AR? </w:t>
            </w:r>
          </w:p>
        </w:tc>
        <w:tc>
          <w:tcPr>
            <w:tcW w:w="3851" w:type="dxa"/>
            <w:gridSpan w:val="3"/>
            <w:tcBorders>
              <w:top w:val="single" w:sz="4" w:space="0" w:color="auto"/>
              <w:left w:val="single" w:sz="4" w:space="0" w:color="auto"/>
              <w:bottom w:val="single" w:sz="4" w:space="0" w:color="auto"/>
              <w:right w:val="single" w:sz="4" w:space="0" w:color="auto"/>
            </w:tcBorders>
          </w:tcPr>
          <w:p w14:paraId="451425E6" w14:textId="105EBCA4" w:rsidR="00EA2E37" w:rsidRPr="00A54B18" w:rsidRDefault="00EA2E37" w:rsidP="005E557A">
            <w:pPr>
              <w:rPr>
                <w:rFonts w:eastAsia="Arial" w:cs="Arial"/>
                <w:sz w:val="20"/>
                <w:szCs w:val="20"/>
              </w:rPr>
            </w:pPr>
            <w:r w:rsidRPr="00A54B18">
              <w:rPr>
                <w:rFonts w:eastAsia="Arial" w:cs="Arial"/>
                <w:sz w:val="20"/>
                <w:szCs w:val="20"/>
              </w:rPr>
              <w:t>No</w:t>
            </w:r>
          </w:p>
        </w:tc>
      </w:tr>
      <w:tr w:rsidR="000B69CB" w:rsidRPr="00A54B18" w14:paraId="13B39467" w14:textId="7BBE91D6" w:rsidTr="07FC4C9B">
        <w:trPr>
          <w:trHeight w:val="300"/>
        </w:trPr>
        <w:tc>
          <w:tcPr>
            <w:tcW w:w="595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89BDE1" w14:textId="68675FDC" w:rsidR="008E01DF" w:rsidRPr="00A54B18" w:rsidRDefault="008E01DF" w:rsidP="005E557A">
            <w:pPr>
              <w:rPr>
                <w:rFonts w:eastAsia="Arial" w:cs="Arial"/>
                <w:b/>
                <w:bCs/>
                <w:sz w:val="20"/>
                <w:szCs w:val="20"/>
              </w:rPr>
            </w:pPr>
            <w:r w:rsidRPr="00A54B18">
              <w:rPr>
                <w:rFonts w:eastAsia="Arial" w:cs="Arial"/>
                <w:b/>
                <w:bCs/>
                <w:sz w:val="20"/>
                <w:szCs w:val="20"/>
              </w:rPr>
              <w:t>Indicator</w:t>
            </w:r>
          </w:p>
        </w:tc>
        <w:tc>
          <w:tcPr>
            <w:tcW w:w="157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6CE9E3" w14:textId="7BCBC2C9" w:rsidR="008E01DF" w:rsidRPr="00A54B18" w:rsidRDefault="008E01DF" w:rsidP="00EA2E37">
            <w:pPr>
              <w:jc w:val="center"/>
              <w:rPr>
                <w:rFonts w:eastAsia="Arial" w:cs="Arial"/>
                <w:b/>
                <w:bCs/>
                <w:sz w:val="20"/>
                <w:szCs w:val="20"/>
              </w:rPr>
            </w:pPr>
            <w:r w:rsidRPr="00A54B18">
              <w:rPr>
                <w:rFonts w:eastAsia="Arial" w:cs="Arial"/>
                <w:b/>
                <w:bCs/>
                <w:sz w:val="20"/>
                <w:szCs w:val="20"/>
              </w:rPr>
              <w:t>Milestone</w:t>
            </w:r>
          </w:p>
        </w:tc>
        <w:tc>
          <w:tcPr>
            <w:tcW w:w="154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00CAD4" w14:textId="5485F4A2" w:rsidR="008E01DF" w:rsidRPr="00A54B18" w:rsidRDefault="7134E833" w:rsidP="00EA2E37">
            <w:pPr>
              <w:jc w:val="center"/>
              <w:rPr>
                <w:rFonts w:eastAsia="Arial" w:cs="Arial"/>
                <w:b/>
                <w:bCs/>
                <w:sz w:val="20"/>
                <w:szCs w:val="20"/>
              </w:rPr>
            </w:pPr>
            <w:r w:rsidRPr="07FC4C9B">
              <w:rPr>
                <w:rFonts w:eastAsia="Arial" w:cs="Arial"/>
                <w:b/>
                <w:bCs/>
                <w:sz w:val="20"/>
                <w:szCs w:val="20"/>
              </w:rPr>
              <w:t>Progress</w:t>
            </w:r>
          </w:p>
        </w:tc>
      </w:tr>
      <w:tr w:rsidR="00B63EC3" w:rsidRPr="00A54B18" w14:paraId="72684F23" w14:textId="1F712405" w:rsidTr="07FC4C9B">
        <w:trPr>
          <w:trHeight w:val="286"/>
        </w:trPr>
        <w:tc>
          <w:tcPr>
            <w:tcW w:w="5954" w:type="dxa"/>
            <w:gridSpan w:val="5"/>
            <w:tcBorders>
              <w:top w:val="single" w:sz="4" w:space="0" w:color="auto"/>
              <w:left w:val="single" w:sz="4" w:space="0" w:color="auto"/>
              <w:bottom w:val="single" w:sz="4" w:space="0" w:color="auto"/>
              <w:right w:val="single" w:sz="4" w:space="0" w:color="auto"/>
            </w:tcBorders>
          </w:tcPr>
          <w:p w14:paraId="1F58785B" w14:textId="18C47979" w:rsidR="008E01DF" w:rsidRPr="00A54B18" w:rsidRDefault="7134E833" w:rsidP="005E557A">
            <w:pPr>
              <w:rPr>
                <w:rFonts w:eastAsia="Arial" w:cs="Arial"/>
                <w:sz w:val="20"/>
                <w:szCs w:val="20"/>
              </w:rPr>
            </w:pPr>
            <w:r w:rsidRPr="00A54B18">
              <w:rPr>
                <w:rStyle w:val="normaltextrun"/>
                <w:rFonts w:eastAsia="Arial" w:cs="Arial"/>
                <w:color w:val="000000"/>
                <w:sz w:val="22"/>
                <w:szCs w:val="22"/>
                <w:shd w:val="clear" w:color="auto" w:fill="FFFFFF"/>
              </w:rPr>
              <w:t>3.</w:t>
            </w:r>
            <w:r w:rsidR="475CBA76" w:rsidRPr="00A54B18">
              <w:rPr>
                <w:rStyle w:val="normaltextrun"/>
                <w:rFonts w:eastAsia="Arial" w:cs="Arial"/>
                <w:color w:val="000000"/>
                <w:sz w:val="22"/>
                <w:szCs w:val="22"/>
                <w:shd w:val="clear" w:color="auto" w:fill="FFFFFF"/>
              </w:rPr>
              <w:t>1</w:t>
            </w:r>
            <w:r w:rsidRPr="00A54B18">
              <w:rPr>
                <w:rStyle w:val="normaltextrun"/>
                <w:rFonts w:eastAsia="Arial" w:cs="Arial"/>
                <w:color w:val="000000"/>
                <w:sz w:val="22"/>
                <w:szCs w:val="22"/>
                <w:shd w:val="clear" w:color="auto" w:fill="FFFFFF"/>
              </w:rPr>
              <w:t xml:space="preserve"> Number of completed TA projects</w:t>
            </w:r>
            <w:r w:rsidRPr="00A54B18">
              <w:rPr>
                <w:rStyle w:val="eop"/>
                <w:rFonts w:eastAsia="Arial" w:cs="Arial"/>
                <w:color w:val="000000"/>
                <w:sz w:val="22"/>
                <w:szCs w:val="22"/>
                <w:shd w:val="clear" w:color="auto" w:fill="FFFFFF"/>
              </w:rPr>
              <w:t> </w:t>
            </w:r>
          </w:p>
        </w:tc>
        <w:tc>
          <w:tcPr>
            <w:tcW w:w="1578" w:type="dxa"/>
            <w:tcBorders>
              <w:top w:val="single" w:sz="4" w:space="0" w:color="auto"/>
              <w:left w:val="single" w:sz="4" w:space="0" w:color="auto"/>
              <w:bottom w:val="single" w:sz="4" w:space="0" w:color="auto"/>
              <w:right w:val="single" w:sz="4" w:space="0" w:color="auto"/>
            </w:tcBorders>
          </w:tcPr>
          <w:p w14:paraId="200E076A" w14:textId="2D0660B5" w:rsidR="008E01DF" w:rsidRPr="00C427B8" w:rsidRDefault="002741A8" w:rsidP="00EA2E37">
            <w:pPr>
              <w:jc w:val="center"/>
              <w:rPr>
                <w:rFonts w:eastAsia="Arial" w:cs="Arial"/>
                <w:sz w:val="22"/>
                <w:szCs w:val="22"/>
              </w:rPr>
            </w:pPr>
            <w:r>
              <w:rPr>
                <w:rFonts w:eastAsia="Arial" w:cs="Arial"/>
                <w:sz w:val="22"/>
                <w:szCs w:val="22"/>
              </w:rPr>
              <w:t>93</w:t>
            </w:r>
          </w:p>
        </w:tc>
        <w:tc>
          <w:tcPr>
            <w:tcW w:w="154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53F2481" w14:textId="34A0582A" w:rsidR="008E01DF" w:rsidRPr="00C427B8" w:rsidRDefault="52DFC9EE" w:rsidP="00EA2E37">
            <w:pPr>
              <w:jc w:val="center"/>
              <w:rPr>
                <w:rFonts w:eastAsia="Arial" w:cs="Arial"/>
                <w:sz w:val="22"/>
                <w:szCs w:val="22"/>
              </w:rPr>
            </w:pPr>
            <w:r w:rsidRPr="07FC4C9B">
              <w:rPr>
                <w:rFonts w:eastAsia="Arial" w:cs="Arial"/>
                <w:sz w:val="22"/>
                <w:szCs w:val="22"/>
              </w:rPr>
              <w:t>93</w:t>
            </w:r>
            <w:r w:rsidR="00D231C4">
              <w:rPr>
                <w:rFonts w:eastAsia="Arial" w:cs="Arial"/>
                <w:sz w:val="22"/>
                <w:szCs w:val="22"/>
              </w:rPr>
              <w:t xml:space="preserve"> (+9)</w:t>
            </w:r>
          </w:p>
        </w:tc>
      </w:tr>
      <w:tr w:rsidR="00B63EC3" w14:paraId="69E4C5FE" w14:textId="77777777" w:rsidTr="07FC4C9B">
        <w:trPr>
          <w:trHeight w:val="286"/>
        </w:trPr>
        <w:tc>
          <w:tcPr>
            <w:tcW w:w="5887" w:type="dxa"/>
            <w:gridSpan w:val="5"/>
            <w:tcBorders>
              <w:top w:val="single" w:sz="4" w:space="0" w:color="auto"/>
              <w:left w:val="single" w:sz="4" w:space="0" w:color="auto"/>
              <w:bottom w:val="single" w:sz="4" w:space="0" w:color="auto"/>
              <w:right w:val="single" w:sz="4" w:space="0" w:color="auto"/>
            </w:tcBorders>
          </w:tcPr>
          <w:p w14:paraId="49005681" w14:textId="643C2D0E" w:rsidR="07FC4C9B" w:rsidRDefault="07FC4C9B" w:rsidP="07FC4C9B">
            <w:pPr>
              <w:rPr>
                <w:rStyle w:val="normaltextrun"/>
                <w:rFonts w:eastAsia="Arial" w:cs="Arial"/>
                <w:color w:val="000000" w:themeColor="text1"/>
                <w:sz w:val="22"/>
                <w:szCs w:val="22"/>
              </w:rPr>
            </w:pPr>
            <w:r w:rsidRPr="07FC4C9B">
              <w:rPr>
                <w:rStyle w:val="normaltextrun"/>
                <w:rFonts w:eastAsia="Arial" w:cs="Arial"/>
                <w:color w:val="000000" w:themeColor="text1"/>
                <w:sz w:val="22"/>
                <w:szCs w:val="22"/>
              </w:rPr>
              <w:t>3</w:t>
            </w:r>
            <w:r w:rsidRPr="07FC4C9B">
              <w:rPr>
                <w:rStyle w:val="normaltextrun"/>
                <w:rFonts w:eastAsia="Arial"/>
                <w:color w:val="000000" w:themeColor="text1"/>
                <w:sz w:val="22"/>
                <w:szCs w:val="22"/>
              </w:rPr>
              <w:t>.2 Number of countries receiving TA (TA KPI 1)</w:t>
            </w:r>
          </w:p>
        </w:tc>
        <w:tc>
          <w:tcPr>
            <w:tcW w:w="1569" w:type="dxa"/>
            <w:tcBorders>
              <w:top w:val="single" w:sz="4" w:space="0" w:color="auto"/>
              <w:left w:val="single" w:sz="4" w:space="0" w:color="auto"/>
              <w:bottom w:val="single" w:sz="4" w:space="0" w:color="auto"/>
              <w:right w:val="single" w:sz="4" w:space="0" w:color="auto"/>
            </w:tcBorders>
          </w:tcPr>
          <w:p w14:paraId="1C6E6652" w14:textId="091F7178" w:rsidR="4C543563" w:rsidRDefault="4C543563" w:rsidP="07FC4C9B">
            <w:pPr>
              <w:jc w:val="center"/>
              <w:rPr>
                <w:rFonts w:eastAsia="Arial" w:cs="Arial"/>
                <w:sz w:val="22"/>
                <w:szCs w:val="22"/>
              </w:rPr>
            </w:pPr>
            <w:r w:rsidRPr="07FC4C9B">
              <w:rPr>
                <w:rFonts w:eastAsia="Arial" w:cs="Arial"/>
                <w:sz w:val="22"/>
                <w:szCs w:val="22"/>
              </w:rPr>
              <w:t>15</w:t>
            </w:r>
          </w:p>
        </w:tc>
        <w:tc>
          <w:tcPr>
            <w:tcW w:w="161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AA3C13A" w14:textId="0D5485EA" w:rsidR="4C543563" w:rsidRDefault="4C543563" w:rsidP="07FC4C9B">
            <w:pPr>
              <w:jc w:val="center"/>
              <w:rPr>
                <w:rFonts w:eastAsia="Arial" w:cs="Arial"/>
                <w:sz w:val="22"/>
                <w:szCs w:val="22"/>
              </w:rPr>
            </w:pPr>
            <w:r w:rsidRPr="07FC4C9B">
              <w:rPr>
                <w:rFonts w:eastAsia="Arial" w:cs="Arial"/>
                <w:sz w:val="22"/>
                <w:szCs w:val="22"/>
              </w:rPr>
              <w:t>15</w:t>
            </w:r>
            <w:r w:rsidR="00D231C4">
              <w:rPr>
                <w:rFonts w:eastAsia="Arial" w:cs="Arial"/>
                <w:sz w:val="22"/>
                <w:szCs w:val="22"/>
              </w:rPr>
              <w:t xml:space="preserve"> (</w:t>
            </w:r>
            <w:r w:rsidR="00536BE0">
              <w:rPr>
                <w:rFonts w:eastAsia="Arial" w:cs="Arial"/>
                <w:sz w:val="22"/>
                <w:szCs w:val="22"/>
              </w:rPr>
              <w:t>+0)</w:t>
            </w:r>
          </w:p>
        </w:tc>
      </w:tr>
      <w:tr w:rsidR="00B63EC3" w14:paraId="78AD2524" w14:textId="77777777" w:rsidTr="07FC4C9B">
        <w:trPr>
          <w:trHeight w:val="286"/>
        </w:trPr>
        <w:tc>
          <w:tcPr>
            <w:tcW w:w="5887" w:type="dxa"/>
            <w:gridSpan w:val="5"/>
            <w:tcBorders>
              <w:top w:val="single" w:sz="4" w:space="0" w:color="auto"/>
              <w:left w:val="single" w:sz="4" w:space="0" w:color="auto"/>
              <w:bottom w:val="single" w:sz="4" w:space="0" w:color="auto"/>
              <w:right w:val="single" w:sz="4" w:space="0" w:color="auto"/>
            </w:tcBorders>
          </w:tcPr>
          <w:p w14:paraId="08F73749" w14:textId="73B811E2" w:rsidR="07FC4C9B" w:rsidRDefault="07FC4C9B" w:rsidP="07FC4C9B">
            <w:pPr>
              <w:rPr>
                <w:rFonts w:eastAsia="Arial" w:cs="Arial"/>
                <w:sz w:val="20"/>
                <w:szCs w:val="20"/>
              </w:rPr>
            </w:pPr>
            <w:r w:rsidRPr="07FC4C9B">
              <w:rPr>
                <w:rStyle w:val="normaltextrun"/>
                <w:rFonts w:eastAsia="Arial" w:cs="Arial"/>
                <w:color w:val="000000" w:themeColor="text1"/>
                <w:sz w:val="22"/>
                <w:szCs w:val="22"/>
              </w:rPr>
              <w:t>3.3 Number of events EBF has supported</w:t>
            </w:r>
            <w:r w:rsidRPr="07FC4C9B">
              <w:rPr>
                <w:rStyle w:val="eop"/>
                <w:rFonts w:eastAsia="Arial" w:cs="Arial"/>
                <w:color w:val="000000" w:themeColor="text1"/>
                <w:sz w:val="22"/>
                <w:szCs w:val="22"/>
              </w:rPr>
              <w:t> </w:t>
            </w:r>
          </w:p>
        </w:tc>
        <w:tc>
          <w:tcPr>
            <w:tcW w:w="1569" w:type="dxa"/>
            <w:tcBorders>
              <w:top w:val="single" w:sz="4" w:space="0" w:color="auto"/>
              <w:left w:val="single" w:sz="4" w:space="0" w:color="auto"/>
              <w:bottom w:val="single" w:sz="4" w:space="0" w:color="auto"/>
              <w:right w:val="single" w:sz="4" w:space="0" w:color="auto"/>
            </w:tcBorders>
          </w:tcPr>
          <w:p w14:paraId="3835E9B4" w14:textId="28171AF2" w:rsidR="03C80CDE" w:rsidRDefault="03C80CDE" w:rsidP="07FC4C9B">
            <w:pPr>
              <w:jc w:val="center"/>
              <w:rPr>
                <w:rFonts w:eastAsia="Arial" w:cs="Arial"/>
                <w:sz w:val="22"/>
                <w:szCs w:val="22"/>
              </w:rPr>
            </w:pPr>
            <w:r w:rsidRPr="07FC4C9B">
              <w:rPr>
                <w:rFonts w:eastAsia="Arial" w:cs="Arial"/>
                <w:sz w:val="22"/>
                <w:szCs w:val="22"/>
              </w:rPr>
              <w:t>64</w:t>
            </w:r>
          </w:p>
        </w:tc>
        <w:tc>
          <w:tcPr>
            <w:tcW w:w="161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BCDFC5D" w14:textId="5C1A9140" w:rsidR="03C80CDE" w:rsidRDefault="03C80CDE" w:rsidP="07FC4C9B">
            <w:pPr>
              <w:jc w:val="center"/>
              <w:rPr>
                <w:rFonts w:eastAsia="Arial" w:cs="Arial"/>
                <w:sz w:val="22"/>
                <w:szCs w:val="22"/>
              </w:rPr>
            </w:pPr>
            <w:r w:rsidRPr="07FC4C9B">
              <w:rPr>
                <w:rFonts w:eastAsia="Arial" w:cs="Arial"/>
                <w:sz w:val="22"/>
                <w:szCs w:val="22"/>
              </w:rPr>
              <w:t>64</w:t>
            </w:r>
            <w:r w:rsidR="00536BE0">
              <w:rPr>
                <w:rFonts w:eastAsia="Arial" w:cs="Arial"/>
                <w:sz w:val="22"/>
                <w:szCs w:val="22"/>
              </w:rPr>
              <w:t xml:space="preserve"> (+5)</w:t>
            </w:r>
          </w:p>
        </w:tc>
      </w:tr>
      <w:tr w:rsidR="00B63EC3" w:rsidRPr="00A54B18" w14:paraId="5714D70E" w14:textId="4477A98F" w:rsidTr="00443D09">
        <w:trPr>
          <w:trHeight w:val="286"/>
        </w:trPr>
        <w:tc>
          <w:tcPr>
            <w:tcW w:w="5954" w:type="dxa"/>
            <w:gridSpan w:val="5"/>
            <w:tcBorders>
              <w:top w:val="single" w:sz="4" w:space="0" w:color="auto"/>
              <w:left w:val="single" w:sz="4" w:space="0" w:color="auto"/>
              <w:bottom w:val="single" w:sz="4" w:space="0" w:color="auto"/>
              <w:right w:val="single" w:sz="4" w:space="0" w:color="auto"/>
            </w:tcBorders>
          </w:tcPr>
          <w:p w14:paraId="26B0EF99" w14:textId="1DE54834" w:rsidR="008E01DF" w:rsidRPr="00A54B18" w:rsidRDefault="008E01DF" w:rsidP="005E557A">
            <w:pPr>
              <w:rPr>
                <w:rFonts w:eastAsia="Arial" w:cs="Arial"/>
                <w:sz w:val="20"/>
                <w:szCs w:val="20"/>
              </w:rPr>
            </w:pPr>
            <w:r w:rsidRPr="00A54B18">
              <w:rPr>
                <w:rStyle w:val="normaltextrun"/>
                <w:rFonts w:eastAsia="Arial" w:cs="Arial"/>
                <w:color w:val="000000"/>
                <w:sz w:val="22"/>
                <w:szCs w:val="22"/>
                <w:shd w:val="clear" w:color="auto" w:fill="FFFFFF"/>
              </w:rPr>
              <w:t>3.4 Budget spent on TA projects ($million)</w:t>
            </w:r>
            <w:r w:rsidRPr="00A54B18">
              <w:rPr>
                <w:rStyle w:val="eop"/>
                <w:rFonts w:eastAsia="Arial" w:cs="Arial"/>
                <w:color w:val="000000"/>
                <w:sz w:val="22"/>
                <w:szCs w:val="22"/>
                <w:shd w:val="clear" w:color="auto" w:fill="FFFFFF"/>
              </w:rPr>
              <w:t> </w:t>
            </w:r>
          </w:p>
        </w:tc>
        <w:tc>
          <w:tcPr>
            <w:tcW w:w="1578" w:type="dxa"/>
            <w:tcBorders>
              <w:top w:val="single" w:sz="4" w:space="0" w:color="auto"/>
              <w:left w:val="single" w:sz="4" w:space="0" w:color="auto"/>
              <w:bottom w:val="single" w:sz="4" w:space="0" w:color="auto"/>
              <w:right w:val="single" w:sz="4" w:space="0" w:color="auto"/>
            </w:tcBorders>
          </w:tcPr>
          <w:p w14:paraId="6CE47A0D" w14:textId="1350129F" w:rsidR="008E01DF" w:rsidRPr="00C427B8" w:rsidRDefault="7134E833" w:rsidP="00EA2E37">
            <w:pPr>
              <w:jc w:val="center"/>
              <w:rPr>
                <w:rFonts w:eastAsia="Arial" w:cs="Arial"/>
                <w:sz w:val="22"/>
                <w:szCs w:val="22"/>
              </w:rPr>
            </w:pPr>
            <w:r w:rsidRPr="07FC4C9B">
              <w:rPr>
                <w:rFonts w:eastAsia="Arial" w:cs="Arial"/>
                <w:sz w:val="22"/>
                <w:szCs w:val="22"/>
              </w:rPr>
              <w:t>6.</w:t>
            </w:r>
            <w:r w:rsidR="034D8DCE" w:rsidRPr="07FC4C9B">
              <w:rPr>
                <w:rFonts w:eastAsia="Arial" w:cs="Arial"/>
                <w:sz w:val="22"/>
                <w:szCs w:val="22"/>
              </w:rPr>
              <w:t>5</w:t>
            </w:r>
          </w:p>
        </w:tc>
        <w:tc>
          <w:tcPr>
            <w:tcW w:w="154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42B2AC7" w14:textId="18A6C1EA" w:rsidR="008E01DF" w:rsidRPr="00C427B8" w:rsidRDefault="43A61015" w:rsidP="00EA2E37">
            <w:pPr>
              <w:jc w:val="center"/>
              <w:rPr>
                <w:rFonts w:eastAsia="Arial" w:cs="Arial"/>
                <w:sz w:val="22"/>
                <w:szCs w:val="22"/>
              </w:rPr>
            </w:pPr>
            <w:r w:rsidRPr="07FC4C9B">
              <w:rPr>
                <w:rFonts w:eastAsia="Arial" w:cs="Arial"/>
                <w:sz w:val="22"/>
                <w:szCs w:val="22"/>
              </w:rPr>
              <w:t>6.68</w:t>
            </w:r>
            <w:r w:rsidR="00536BE0">
              <w:rPr>
                <w:rFonts w:eastAsia="Arial" w:cs="Arial"/>
                <w:sz w:val="22"/>
                <w:szCs w:val="22"/>
              </w:rPr>
              <w:t xml:space="preserve"> (+0.88)</w:t>
            </w:r>
          </w:p>
        </w:tc>
      </w:tr>
    </w:tbl>
    <w:p w14:paraId="5FFAA8BB" w14:textId="1FF587A1" w:rsidR="07FC4C9B" w:rsidRDefault="07FC4C9B"/>
    <w:p w14:paraId="0BE1D459" w14:textId="6852328C" w:rsidR="00E75614" w:rsidRPr="00A54B18" w:rsidRDefault="001BEC8C" w:rsidP="005E557A">
      <w:pPr>
        <w:pStyle w:val="Normal1"/>
        <w:spacing w:before="240"/>
        <w:jc w:val="both"/>
        <w:rPr>
          <w:sz w:val="22"/>
          <w:szCs w:val="22"/>
        </w:rPr>
      </w:pPr>
      <w:r w:rsidRPr="00A54B18">
        <w:rPr>
          <w:b/>
          <w:bCs/>
          <w:sz w:val="22"/>
          <w:szCs w:val="22"/>
        </w:rPr>
        <w:lastRenderedPageBreak/>
        <w:t>Key Points</w:t>
      </w:r>
    </w:p>
    <w:p w14:paraId="4A2C6049" w14:textId="11C92E33" w:rsidR="008F1CD5" w:rsidRPr="002A1FC0" w:rsidRDefault="008F1CD5" w:rsidP="00674C5F">
      <w:pPr>
        <w:pStyle w:val="ListParagraph"/>
        <w:numPr>
          <w:ilvl w:val="0"/>
          <w:numId w:val="10"/>
        </w:numPr>
        <w:spacing w:before="60" w:after="0"/>
        <w:contextualSpacing w:val="0"/>
        <w:jc w:val="both"/>
        <w:rPr>
          <w:rFonts w:eastAsia="Arial" w:cs="Arial"/>
          <w:color w:val="000000" w:themeColor="text1"/>
          <w:sz w:val="22"/>
          <w:szCs w:val="22"/>
        </w:rPr>
      </w:pPr>
      <w:r w:rsidRPr="002A1FC0">
        <w:rPr>
          <w:rFonts w:eastAsia="Arial" w:cs="Arial"/>
          <w:color w:val="000000" w:themeColor="text1"/>
          <w:sz w:val="22"/>
          <w:szCs w:val="22"/>
        </w:rPr>
        <w:t>Examples of events and engagement</w:t>
      </w:r>
      <w:r w:rsidR="002E2FFB">
        <w:rPr>
          <w:rFonts w:eastAsia="Arial" w:cs="Arial"/>
          <w:color w:val="000000" w:themeColor="text1"/>
          <w:sz w:val="22"/>
          <w:szCs w:val="22"/>
        </w:rPr>
        <w:t xml:space="preserve"> supported by EBF</w:t>
      </w:r>
      <w:r w:rsidRPr="002A1FC0">
        <w:rPr>
          <w:rFonts w:eastAsia="Arial" w:cs="Arial"/>
          <w:color w:val="000000" w:themeColor="text1"/>
          <w:sz w:val="22"/>
          <w:szCs w:val="22"/>
        </w:rPr>
        <w:t>:</w:t>
      </w:r>
    </w:p>
    <w:p w14:paraId="6944552C" w14:textId="0059732C" w:rsidR="00A84E56" w:rsidRPr="00BA2002" w:rsidRDefault="00A84E56" w:rsidP="00674C5F">
      <w:pPr>
        <w:pStyle w:val="ListParagraph"/>
        <w:numPr>
          <w:ilvl w:val="1"/>
          <w:numId w:val="10"/>
        </w:numPr>
        <w:spacing w:before="60" w:after="0"/>
        <w:jc w:val="both"/>
        <w:rPr>
          <w:rFonts w:eastAsia="Arial" w:cs="Arial"/>
          <w:color w:val="000000" w:themeColor="text1"/>
          <w:sz w:val="22"/>
          <w:szCs w:val="22"/>
        </w:rPr>
      </w:pPr>
      <w:r w:rsidRPr="00BA2002">
        <w:rPr>
          <w:rFonts w:eastAsia="Arial" w:cs="Arial"/>
          <w:b/>
          <w:color w:val="000000" w:themeColor="text1"/>
          <w:sz w:val="22"/>
          <w:szCs w:val="22"/>
        </w:rPr>
        <w:t>Peer-to-peer exchange on Principles for Responsible Banking:</w:t>
      </w:r>
      <w:r>
        <w:rPr>
          <w:rFonts w:eastAsia="Arial" w:cs="Arial"/>
          <w:color w:val="000000" w:themeColor="text1"/>
          <w:sz w:val="22"/>
          <w:szCs w:val="22"/>
        </w:rPr>
        <w:t xml:space="preserve"> the Sustainability Academy sponsored a regional peer exchange for signatories of the PRB</w:t>
      </w:r>
      <w:r w:rsidR="008B20BF">
        <w:rPr>
          <w:rFonts w:eastAsia="Arial" w:cs="Arial"/>
          <w:color w:val="000000" w:themeColor="text1"/>
          <w:sz w:val="22"/>
          <w:szCs w:val="22"/>
        </w:rPr>
        <w:t>, organized in collaboration with UNEP FI. The exchange took place in Sao Paulo</w:t>
      </w:r>
      <w:r w:rsidR="00F03E39">
        <w:rPr>
          <w:rFonts w:eastAsia="Arial" w:cs="Arial"/>
          <w:color w:val="000000" w:themeColor="text1"/>
          <w:sz w:val="22"/>
          <w:szCs w:val="22"/>
        </w:rPr>
        <w:t xml:space="preserve"> with</w:t>
      </w:r>
      <w:r w:rsidR="004A78D7">
        <w:rPr>
          <w:rFonts w:eastAsia="Arial" w:cs="Arial"/>
          <w:color w:val="000000" w:themeColor="text1"/>
          <w:sz w:val="22"/>
          <w:szCs w:val="22"/>
        </w:rPr>
        <w:t xml:space="preserve"> 160</w:t>
      </w:r>
      <w:r w:rsidR="00F03E39">
        <w:rPr>
          <w:rFonts w:eastAsia="Arial" w:cs="Arial"/>
          <w:color w:val="000000" w:themeColor="text1"/>
          <w:sz w:val="22"/>
          <w:szCs w:val="22"/>
        </w:rPr>
        <w:t xml:space="preserve"> attendees from 13 countries and 26 organizations. </w:t>
      </w:r>
    </w:p>
    <w:p w14:paraId="18ECA96C" w14:textId="5976CEB6" w:rsidR="008F1CD5" w:rsidRPr="00BA2002" w:rsidRDefault="002F5AA1" w:rsidP="001305C0">
      <w:pPr>
        <w:pStyle w:val="ListParagraph"/>
        <w:numPr>
          <w:ilvl w:val="1"/>
          <w:numId w:val="10"/>
        </w:numPr>
        <w:spacing w:before="60"/>
        <w:jc w:val="both"/>
        <w:rPr>
          <w:rFonts w:eastAsia="Arial" w:cs="Arial"/>
          <w:color w:val="000000" w:themeColor="text1"/>
          <w:sz w:val="22"/>
          <w:szCs w:val="22"/>
        </w:rPr>
      </w:pPr>
      <w:r>
        <w:rPr>
          <w:rFonts w:eastAsia="Arial" w:cs="Arial"/>
          <w:b/>
          <w:bCs/>
          <w:color w:val="000000" w:themeColor="text1"/>
          <w:sz w:val="22"/>
          <w:szCs w:val="22"/>
        </w:rPr>
        <w:t>ASOBANCA</w:t>
      </w:r>
      <w:r w:rsidR="00D614FC">
        <w:rPr>
          <w:rFonts w:eastAsia="Arial" w:cs="Arial"/>
          <w:b/>
          <w:bCs/>
          <w:color w:val="000000" w:themeColor="text1"/>
          <w:sz w:val="22"/>
          <w:szCs w:val="22"/>
        </w:rPr>
        <w:t>’s First</w:t>
      </w:r>
      <w:r>
        <w:rPr>
          <w:rFonts w:eastAsia="Arial" w:cs="Arial"/>
          <w:b/>
          <w:bCs/>
          <w:color w:val="000000" w:themeColor="text1"/>
          <w:sz w:val="22"/>
          <w:szCs w:val="22"/>
        </w:rPr>
        <w:t xml:space="preserve"> Sustainability Congress</w:t>
      </w:r>
      <w:r w:rsidR="08C42D98" w:rsidRPr="07FC4C9B">
        <w:rPr>
          <w:rFonts w:eastAsia="Arial" w:cs="Arial"/>
          <w:b/>
          <w:bCs/>
          <w:color w:val="000000" w:themeColor="text1"/>
          <w:sz w:val="22"/>
          <w:szCs w:val="22"/>
        </w:rPr>
        <w:t xml:space="preserve">: </w:t>
      </w:r>
      <w:r w:rsidR="08C42D98" w:rsidRPr="07FC4C9B">
        <w:rPr>
          <w:rFonts w:eastAsia="Arial" w:cs="Arial"/>
          <w:color w:val="000000" w:themeColor="text1"/>
          <w:sz w:val="22"/>
          <w:szCs w:val="22"/>
        </w:rPr>
        <w:t xml:space="preserve">the DF supported the </w:t>
      </w:r>
      <w:r w:rsidR="00521A91">
        <w:rPr>
          <w:rFonts w:eastAsia="Arial" w:cs="Arial"/>
          <w:color w:val="000000" w:themeColor="text1"/>
          <w:sz w:val="22"/>
          <w:szCs w:val="22"/>
        </w:rPr>
        <w:t>first Sustainability Congress organized by the Ecuadorian banking association</w:t>
      </w:r>
      <w:r w:rsidR="08C42D98" w:rsidRPr="07FC4C9B">
        <w:rPr>
          <w:rFonts w:eastAsia="Arial" w:cs="Arial"/>
          <w:color w:val="000000" w:themeColor="text1"/>
          <w:sz w:val="22"/>
          <w:szCs w:val="22"/>
        </w:rPr>
        <w:t>.</w:t>
      </w:r>
      <w:r w:rsidR="00E36D01">
        <w:rPr>
          <w:rFonts w:eastAsia="Arial" w:cs="Arial"/>
          <w:color w:val="000000" w:themeColor="text1"/>
          <w:sz w:val="22"/>
          <w:szCs w:val="22"/>
        </w:rPr>
        <w:t xml:space="preserve"> </w:t>
      </w:r>
      <w:r w:rsidR="00E36D01" w:rsidRPr="00E36D01">
        <w:rPr>
          <w:rFonts w:eastAsia="Arial" w:cs="Arial"/>
          <w:color w:val="000000" w:themeColor="text1"/>
          <w:sz w:val="22"/>
          <w:szCs w:val="22"/>
        </w:rPr>
        <w:t>Th</w:t>
      </w:r>
      <w:r w:rsidR="00E36D01">
        <w:rPr>
          <w:rFonts w:eastAsia="Arial" w:cs="Arial"/>
          <w:color w:val="000000" w:themeColor="text1"/>
          <w:sz w:val="22"/>
          <w:szCs w:val="22"/>
        </w:rPr>
        <w:t>e event brought</w:t>
      </w:r>
      <w:r w:rsidR="00E36D01" w:rsidRPr="00E36D01">
        <w:rPr>
          <w:rFonts w:eastAsia="Arial" w:cs="Arial"/>
          <w:color w:val="000000" w:themeColor="text1"/>
          <w:sz w:val="22"/>
          <w:szCs w:val="22"/>
        </w:rPr>
        <w:t xml:space="preserve"> together the country's financial system with the main multilaterals that have lines of financing for sustainable development. </w:t>
      </w:r>
      <w:r w:rsidR="00E36D01">
        <w:rPr>
          <w:rFonts w:eastAsia="Arial" w:cs="Arial"/>
          <w:color w:val="000000" w:themeColor="text1"/>
          <w:sz w:val="22"/>
          <w:szCs w:val="22"/>
        </w:rPr>
        <w:t>It</w:t>
      </w:r>
      <w:r w:rsidR="00E36D01" w:rsidRPr="00E36D01">
        <w:rPr>
          <w:rFonts w:eastAsia="Arial" w:cs="Arial"/>
          <w:color w:val="000000" w:themeColor="text1"/>
          <w:sz w:val="22"/>
          <w:szCs w:val="22"/>
        </w:rPr>
        <w:t xml:space="preserve"> promote</w:t>
      </w:r>
      <w:r w:rsidR="00E36D01">
        <w:rPr>
          <w:rFonts w:eastAsia="Arial" w:cs="Arial"/>
          <w:color w:val="000000" w:themeColor="text1"/>
          <w:sz w:val="22"/>
          <w:szCs w:val="22"/>
        </w:rPr>
        <w:t>d</w:t>
      </w:r>
      <w:r w:rsidR="00E36D01" w:rsidRPr="00E36D01">
        <w:rPr>
          <w:rFonts w:eastAsia="Arial" w:cs="Arial"/>
          <w:color w:val="000000" w:themeColor="text1"/>
          <w:sz w:val="22"/>
          <w:szCs w:val="22"/>
        </w:rPr>
        <w:t xml:space="preserve"> the discussion and analysis of trends, opportunities and challenges to promote sustainable financing that contributes to the fight against climate change and the sustainable development of the country</w:t>
      </w:r>
      <w:r w:rsidR="00E36D01">
        <w:rPr>
          <w:rFonts w:eastAsia="Arial" w:cs="Arial"/>
          <w:color w:val="000000" w:themeColor="text1"/>
          <w:sz w:val="22"/>
          <w:szCs w:val="22"/>
        </w:rPr>
        <w:t>.</w:t>
      </w:r>
    </w:p>
    <w:p w14:paraId="0622B8AB" w14:textId="50142311" w:rsidR="00FD2F74" w:rsidRPr="00492F36" w:rsidRDefault="4F513749" w:rsidP="00674C5F">
      <w:pPr>
        <w:pStyle w:val="ListParagraph"/>
        <w:numPr>
          <w:ilvl w:val="0"/>
          <w:numId w:val="10"/>
        </w:numPr>
        <w:spacing w:before="60" w:after="0"/>
        <w:ind w:left="357" w:hanging="357"/>
        <w:jc w:val="both"/>
        <w:rPr>
          <w:sz w:val="22"/>
          <w:szCs w:val="22"/>
        </w:rPr>
      </w:pPr>
      <w:r w:rsidRPr="0CFBDDCF">
        <w:rPr>
          <w:rFonts w:eastAsia="Arial"/>
          <w:sz w:val="22"/>
          <w:szCs w:val="22"/>
        </w:rPr>
        <w:t>Since establishment</w:t>
      </w:r>
      <w:r w:rsidR="519F88C0" w:rsidRPr="0CFBDDCF">
        <w:rPr>
          <w:rFonts w:eastAsia="Arial"/>
          <w:sz w:val="22"/>
          <w:szCs w:val="22"/>
        </w:rPr>
        <w:t>,</w:t>
      </w:r>
      <w:r w:rsidRPr="0CFBDDCF">
        <w:rPr>
          <w:rFonts w:eastAsia="Arial"/>
          <w:sz w:val="22"/>
          <w:szCs w:val="22"/>
        </w:rPr>
        <w:t xml:space="preserve"> t</w:t>
      </w:r>
      <w:r w:rsidR="247F909D" w:rsidRPr="0CFBDDCF">
        <w:rPr>
          <w:rFonts w:eastAsia="Arial"/>
          <w:sz w:val="22"/>
          <w:szCs w:val="22"/>
        </w:rPr>
        <w:t xml:space="preserve">he Fund’s DF has completed </w:t>
      </w:r>
      <w:r w:rsidR="2763E9A8" w:rsidRPr="0CFBDDCF">
        <w:rPr>
          <w:rFonts w:eastAsia="Arial"/>
          <w:sz w:val="22"/>
          <w:szCs w:val="22"/>
        </w:rPr>
        <w:t>93</w:t>
      </w:r>
      <w:r w:rsidR="247F909D" w:rsidRPr="0CFBDDCF">
        <w:rPr>
          <w:rFonts w:eastAsia="Arial"/>
          <w:sz w:val="22"/>
          <w:szCs w:val="22"/>
        </w:rPr>
        <w:t xml:space="preserve"> projects, </w:t>
      </w:r>
      <w:r w:rsidR="477902E7" w:rsidRPr="0CFBDDCF">
        <w:rPr>
          <w:rFonts w:eastAsia="Arial"/>
          <w:sz w:val="22"/>
          <w:szCs w:val="22"/>
        </w:rPr>
        <w:t>with</w:t>
      </w:r>
      <w:r w:rsidR="318F6302" w:rsidRPr="0CFBDDCF">
        <w:rPr>
          <w:rFonts w:eastAsia="Arial"/>
          <w:sz w:val="22"/>
          <w:szCs w:val="22"/>
        </w:rPr>
        <w:t xml:space="preserve"> $6.</w:t>
      </w:r>
      <w:r w:rsidR="67267465" w:rsidRPr="0CFBDDCF">
        <w:rPr>
          <w:rFonts w:eastAsia="Arial"/>
          <w:sz w:val="22"/>
          <w:szCs w:val="22"/>
        </w:rPr>
        <w:t>68</w:t>
      </w:r>
      <w:r w:rsidR="009D3932">
        <w:rPr>
          <w:rFonts w:eastAsia="Arial"/>
          <w:sz w:val="22"/>
          <w:szCs w:val="22"/>
        </w:rPr>
        <w:t xml:space="preserve"> million </w:t>
      </w:r>
      <w:r w:rsidR="0DCDC256" w:rsidRPr="0CFBDDCF">
        <w:rPr>
          <w:sz w:val="22"/>
          <w:szCs w:val="22"/>
        </w:rPr>
        <w:t>spen</w:t>
      </w:r>
      <w:r w:rsidR="5D84016F" w:rsidRPr="0CFBDDCF">
        <w:rPr>
          <w:sz w:val="22"/>
          <w:szCs w:val="22"/>
        </w:rPr>
        <w:t>t</w:t>
      </w:r>
      <w:r w:rsidR="5C946F30" w:rsidRPr="0CFBDDCF">
        <w:rPr>
          <w:sz w:val="22"/>
          <w:szCs w:val="22"/>
        </w:rPr>
        <w:t xml:space="preserve">. </w:t>
      </w:r>
      <w:r w:rsidR="5CEBE2D8" w:rsidRPr="0CFBDDCF">
        <w:rPr>
          <w:sz w:val="22"/>
          <w:szCs w:val="22"/>
        </w:rPr>
        <w:t>As the budget slightly exceeds the milestone</w:t>
      </w:r>
      <w:r w:rsidR="00751DEE" w:rsidRPr="0CFBDDCF">
        <w:rPr>
          <w:sz w:val="22"/>
          <w:szCs w:val="22"/>
        </w:rPr>
        <w:t xml:space="preserve"> (3.4)</w:t>
      </w:r>
      <w:r w:rsidR="5CEBE2D8" w:rsidRPr="0CFBDDCF">
        <w:rPr>
          <w:sz w:val="22"/>
          <w:szCs w:val="22"/>
        </w:rPr>
        <w:t>, whilst the number of TA projects completed is as expected, there may be room for an increase in the efficiency of using TA budget. The overspend is very slight however, and this will be monitored in future years.</w:t>
      </w:r>
      <w:r w:rsidR="7A295C69" w:rsidRPr="0CFBDDCF">
        <w:rPr>
          <w:sz w:val="22"/>
          <w:szCs w:val="22"/>
        </w:rPr>
        <w:t xml:space="preserve"> </w:t>
      </w:r>
      <w:r w:rsidR="210DD9AD" w:rsidRPr="0CFBDDCF">
        <w:rPr>
          <w:rFonts w:eastAsia="Arial"/>
          <w:sz w:val="22"/>
          <w:szCs w:val="22"/>
        </w:rPr>
        <w:t>The DF is essential to the success and impact of the Fund, with 80% of PIs receiving support (27 institutions across 15 countries).</w:t>
      </w:r>
    </w:p>
    <w:p w14:paraId="0036F95C" w14:textId="035DAB32" w:rsidR="00E75614" w:rsidRPr="00A54B18" w:rsidRDefault="36A611AC" w:rsidP="00674C5F">
      <w:pPr>
        <w:pStyle w:val="ListParagraph"/>
        <w:numPr>
          <w:ilvl w:val="0"/>
          <w:numId w:val="10"/>
        </w:numPr>
        <w:spacing w:before="60" w:after="0"/>
        <w:ind w:left="357" w:hanging="357"/>
        <w:jc w:val="both"/>
        <w:rPr>
          <w:rFonts w:eastAsia="Arial"/>
          <w:sz w:val="22"/>
          <w:szCs w:val="22"/>
        </w:rPr>
      </w:pPr>
      <w:r w:rsidRPr="07FC4C9B">
        <w:rPr>
          <w:rFonts w:eastAsia="Arial"/>
          <w:sz w:val="22"/>
          <w:szCs w:val="22"/>
        </w:rPr>
        <w:t xml:space="preserve">The DF has carried out projects ranging from supporting </w:t>
      </w:r>
      <w:r w:rsidR="39C7EEEF" w:rsidRPr="07FC4C9B">
        <w:rPr>
          <w:rFonts w:eastAsia="Arial"/>
          <w:sz w:val="22"/>
          <w:szCs w:val="22"/>
        </w:rPr>
        <w:t>specialised agri-finance and environmental and social training for banking staff</w:t>
      </w:r>
      <w:r w:rsidRPr="07FC4C9B">
        <w:rPr>
          <w:rFonts w:eastAsia="Arial"/>
          <w:sz w:val="22"/>
          <w:szCs w:val="22"/>
        </w:rPr>
        <w:t xml:space="preserve">, </w:t>
      </w:r>
      <w:r w:rsidR="39C7EEEF" w:rsidRPr="07FC4C9B">
        <w:rPr>
          <w:rFonts w:eastAsia="Arial"/>
          <w:sz w:val="22"/>
          <w:szCs w:val="22"/>
        </w:rPr>
        <w:t xml:space="preserve">to supporting </w:t>
      </w:r>
      <w:r w:rsidR="7C8D6A83" w:rsidRPr="07FC4C9B">
        <w:rPr>
          <w:rFonts w:eastAsia="Arial"/>
          <w:sz w:val="22"/>
          <w:szCs w:val="22"/>
        </w:rPr>
        <w:t>the strengthening of corporate ESMS systems</w:t>
      </w:r>
      <w:r w:rsidRPr="07FC4C9B">
        <w:rPr>
          <w:rFonts w:eastAsia="Arial"/>
          <w:sz w:val="22"/>
          <w:szCs w:val="22"/>
        </w:rPr>
        <w:t>.</w:t>
      </w:r>
      <w:r w:rsidR="39C7EEEF" w:rsidRPr="07FC4C9B">
        <w:rPr>
          <w:rFonts w:eastAsia="Arial"/>
          <w:sz w:val="22"/>
          <w:szCs w:val="22"/>
        </w:rPr>
        <w:t xml:space="preserve"> More information on these examples can be found in the Fund’s 202</w:t>
      </w:r>
      <w:r w:rsidR="7CDF2FDE" w:rsidRPr="07FC4C9B">
        <w:rPr>
          <w:rFonts w:eastAsia="Arial"/>
          <w:sz w:val="22"/>
          <w:szCs w:val="22"/>
        </w:rPr>
        <w:t>3 Impact Report</w:t>
      </w:r>
      <w:r w:rsidR="39C7EEEF" w:rsidRPr="07FC4C9B">
        <w:rPr>
          <w:rFonts w:eastAsia="Arial"/>
          <w:sz w:val="22"/>
          <w:szCs w:val="22"/>
        </w:rPr>
        <w:t>.</w:t>
      </w:r>
      <w:r w:rsidR="210DD9AD" w:rsidRPr="07FC4C9B">
        <w:rPr>
          <w:rFonts w:eastAsia="Arial"/>
          <w:sz w:val="22"/>
          <w:szCs w:val="22"/>
        </w:rPr>
        <w:t xml:space="preserve"> </w:t>
      </w:r>
    </w:p>
    <w:p w14:paraId="6B57292A" w14:textId="77777777" w:rsidR="00E75614" w:rsidRPr="00A54B18" w:rsidRDefault="00E75614" w:rsidP="005E557A">
      <w:pPr>
        <w:rPr>
          <w:rFonts w:eastAsia="Arial" w:cs="Arial"/>
          <w:sz w:val="20"/>
          <w:szCs w:val="20"/>
        </w:rPr>
      </w:pPr>
    </w:p>
    <w:p w14:paraId="274110C9" w14:textId="0EB802ED" w:rsidR="006F3AE7" w:rsidRPr="00A54B18" w:rsidRDefault="7232A90E" w:rsidP="005E557A">
      <w:pPr>
        <w:shd w:val="clear" w:color="auto" w:fill="D9E2F3" w:themeFill="accent1" w:themeFillTint="33"/>
        <w:rPr>
          <w:rFonts w:eastAsia="Arial" w:cs="Arial"/>
          <w:sz w:val="20"/>
          <w:szCs w:val="20"/>
        </w:rPr>
      </w:pPr>
      <w:r w:rsidRPr="00A54B18">
        <w:rPr>
          <w:rFonts w:eastAsia="Arial" w:cs="Arial"/>
          <w:b/>
          <w:bCs/>
          <w:sz w:val="28"/>
          <w:szCs w:val="28"/>
        </w:rPr>
        <w:t>D: RISK</w:t>
      </w:r>
    </w:p>
    <w:p w14:paraId="046885C4" w14:textId="3EC2ADB2" w:rsidR="19A372B6" w:rsidRPr="00A54B18" w:rsidRDefault="19A372B6" w:rsidP="005E557A">
      <w:pPr>
        <w:rPr>
          <w:rFonts w:eastAsia="Arial" w:cs="Arial"/>
          <w:sz w:val="22"/>
          <w:szCs w:val="22"/>
        </w:rPr>
      </w:pPr>
    </w:p>
    <w:p w14:paraId="57DBB18E" w14:textId="5D1AAA2F" w:rsidR="17A351F5" w:rsidRPr="00237D8D" w:rsidRDefault="5DAF6B1F" w:rsidP="005E557A">
      <w:pPr>
        <w:jc w:val="both"/>
        <w:rPr>
          <w:rFonts w:eastAsia="Arial" w:cs="Arial"/>
          <w:color w:val="000000" w:themeColor="text1"/>
          <w:sz w:val="22"/>
          <w:szCs w:val="22"/>
        </w:rPr>
      </w:pPr>
      <w:r w:rsidRPr="00237D8D">
        <w:rPr>
          <w:rFonts w:eastAsia="Arial" w:cs="Arial"/>
          <w:color w:val="000000" w:themeColor="text1"/>
          <w:sz w:val="22"/>
          <w:szCs w:val="22"/>
        </w:rPr>
        <w:t xml:space="preserve">Most risks associated with EBF are </w:t>
      </w:r>
      <w:r w:rsidR="3D1CABB1" w:rsidRPr="00237D8D">
        <w:rPr>
          <w:rFonts w:eastAsia="Arial" w:cs="Arial"/>
          <w:color w:val="000000" w:themeColor="text1"/>
          <w:sz w:val="22"/>
          <w:szCs w:val="22"/>
        </w:rPr>
        <w:t>managed by Finance in Motion</w:t>
      </w:r>
      <w:r w:rsidR="1C192DCB" w:rsidRPr="00237D8D">
        <w:rPr>
          <w:rFonts w:eastAsia="Arial" w:cs="Arial"/>
          <w:color w:val="000000" w:themeColor="text1"/>
          <w:sz w:val="22"/>
          <w:szCs w:val="22"/>
        </w:rPr>
        <w:t xml:space="preserve"> (FiM)</w:t>
      </w:r>
      <w:r w:rsidR="3D1CABB1" w:rsidRPr="00237D8D">
        <w:rPr>
          <w:rFonts w:eastAsia="Arial" w:cs="Arial"/>
          <w:color w:val="000000" w:themeColor="text1"/>
          <w:sz w:val="22"/>
          <w:szCs w:val="22"/>
        </w:rPr>
        <w:t xml:space="preserve"> in their role as Fund Advis</w:t>
      </w:r>
      <w:r w:rsidR="4D71A2C4" w:rsidRPr="00237D8D">
        <w:rPr>
          <w:rFonts w:eastAsia="Arial" w:cs="Arial"/>
          <w:color w:val="000000" w:themeColor="text1"/>
          <w:sz w:val="22"/>
          <w:szCs w:val="22"/>
        </w:rPr>
        <w:t>e</w:t>
      </w:r>
      <w:r w:rsidR="3D1CABB1" w:rsidRPr="00237D8D">
        <w:rPr>
          <w:rFonts w:eastAsia="Arial" w:cs="Arial"/>
          <w:color w:val="000000" w:themeColor="text1"/>
          <w:sz w:val="22"/>
          <w:szCs w:val="22"/>
        </w:rPr>
        <w:t xml:space="preserve">r. This includes due diligence on </w:t>
      </w:r>
      <w:r w:rsidR="1D79AD9C" w:rsidRPr="00237D8D">
        <w:rPr>
          <w:rFonts w:eastAsia="Arial" w:cs="Arial"/>
          <w:color w:val="000000" w:themeColor="text1"/>
          <w:sz w:val="22"/>
          <w:szCs w:val="22"/>
        </w:rPr>
        <w:t>PIs</w:t>
      </w:r>
      <w:r w:rsidR="3D1CABB1" w:rsidRPr="00237D8D">
        <w:rPr>
          <w:rFonts w:eastAsia="Arial" w:cs="Arial"/>
          <w:color w:val="000000" w:themeColor="text1"/>
          <w:sz w:val="22"/>
          <w:szCs w:val="22"/>
        </w:rPr>
        <w:t xml:space="preserve">, </w:t>
      </w:r>
      <w:r w:rsidR="03BF13E0" w:rsidRPr="00237D8D">
        <w:rPr>
          <w:rFonts w:eastAsia="Arial" w:cs="Arial"/>
          <w:color w:val="000000" w:themeColor="text1"/>
          <w:sz w:val="22"/>
          <w:szCs w:val="22"/>
        </w:rPr>
        <w:t xml:space="preserve">assessment of political and economic risks in target countries, financial risks to the Fund, </w:t>
      </w:r>
      <w:r w:rsidR="675E34FE" w:rsidRPr="00237D8D">
        <w:rPr>
          <w:rFonts w:eastAsia="Arial" w:cs="Arial"/>
          <w:color w:val="000000" w:themeColor="text1"/>
          <w:sz w:val="22"/>
          <w:szCs w:val="22"/>
        </w:rPr>
        <w:t>equity and safe-guarding</w:t>
      </w:r>
      <w:r w:rsidR="58E15841" w:rsidRPr="00237D8D">
        <w:rPr>
          <w:rFonts w:eastAsia="Arial" w:cs="Arial"/>
          <w:color w:val="000000" w:themeColor="text1"/>
          <w:sz w:val="22"/>
          <w:szCs w:val="22"/>
        </w:rPr>
        <w:t xml:space="preserve"> issues</w:t>
      </w:r>
      <w:r w:rsidR="675E34FE" w:rsidRPr="00237D8D">
        <w:rPr>
          <w:rFonts w:eastAsia="Arial" w:cs="Arial"/>
          <w:color w:val="000000" w:themeColor="text1"/>
          <w:sz w:val="22"/>
          <w:szCs w:val="22"/>
        </w:rPr>
        <w:t xml:space="preserve"> </w:t>
      </w:r>
      <w:r w:rsidR="03BF13E0" w:rsidRPr="00237D8D">
        <w:rPr>
          <w:rFonts w:eastAsia="Arial" w:cs="Arial"/>
          <w:color w:val="000000" w:themeColor="text1"/>
          <w:sz w:val="22"/>
          <w:szCs w:val="22"/>
        </w:rPr>
        <w:t xml:space="preserve">and implementation </w:t>
      </w:r>
      <w:r w:rsidR="58E15841" w:rsidRPr="00237D8D">
        <w:rPr>
          <w:rFonts w:eastAsia="Arial" w:cs="Arial"/>
          <w:color w:val="000000" w:themeColor="text1"/>
          <w:sz w:val="22"/>
          <w:szCs w:val="22"/>
        </w:rPr>
        <w:t xml:space="preserve">of impact assessment and reporting. </w:t>
      </w:r>
      <w:r w:rsidR="29CCFCB5" w:rsidRPr="00237D8D">
        <w:rPr>
          <w:rFonts w:eastAsia="Arial" w:cs="Arial"/>
          <w:color w:val="000000" w:themeColor="text1"/>
          <w:sz w:val="22"/>
          <w:szCs w:val="22"/>
        </w:rPr>
        <w:t xml:space="preserve">FiM </w:t>
      </w:r>
      <w:r w:rsidR="2C38326A" w:rsidRPr="00237D8D">
        <w:rPr>
          <w:rFonts w:eastAsia="Arial" w:cs="Arial"/>
          <w:color w:val="000000" w:themeColor="text1"/>
          <w:sz w:val="22"/>
          <w:szCs w:val="22"/>
        </w:rPr>
        <w:t xml:space="preserve">have extensive resources </w:t>
      </w:r>
      <w:r w:rsidR="131F5F89" w:rsidRPr="00237D8D">
        <w:rPr>
          <w:rFonts w:eastAsia="Arial" w:cs="Arial"/>
          <w:color w:val="000000" w:themeColor="text1"/>
          <w:sz w:val="22"/>
          <w:szCs w:val="22"/>
        </w:rPr>
        <w:t xml:space="preserve">and significant expertise </w:t>
      </w:r>
      <w:r w:rsidR="2C38326A" w:rsidRPr="00237D8D">
        <w:rPr>
          <w:rFonts w:eastAsia="Arial" w:cs="Arial"/>
          <w:color w:val="000000" w:themeColor="text1"/>
          <w:sz w:val="22"/>
          <w:szCs w:val="22"/>
        </w:rPr>
        <w:t>for risk management</w:t>
      </w:r>
      <w:r w:rsidR="131F5F89" w:rsidRPr="00237D8D">
        <w:rPr>
          <w:rFonts w:eastAsia="Arial" w:cs="Arial"/>
          <w:color w:val="000000" w:themeColor="text1"/>
          <w:sz w:val="22"/>
          <w:szCs w:val="22"/>
        </w:rPr>
        <w:t xml:space="preserve">, </w:t>
      </w:r>
      <w:r w:rsidR="2C38326A" w:rsidRPr="00237D8D">
        <w:rPr>
          <w:rFonts w:eastAsia="Arial" w:cs="Arial"/>
          <w:color w:val="000000" w:themeColor="text1"/>
          <w:sz w:val="22"/>
          <w:szCs w:val="22"/>
        </w:rPr>
        <w:t xml:space="preserve">carry out continuous risk management and report to the Board every quarter. </w:t>
      </w:r>
      <w:r w:rsidR="58E15841" w:rsidRPr="00237D8D">
        <w:rPr>
          <w:rFonts w:eastAsia="Arial" w:cs="Arial"/>
          <w:color w:val="000000" w:themeColor="text1"/>
          <w:sz w:val="22"/>
          <w:szCs w:val="22"/>
        </w:rPr>
        <w:t xml:space="preserve">Examples of risks </w:t>
      </w:r>
      <w:r w:rsidR="1C192DCB" w:rsidRPr="00237D8D">
        <w:rPr>
          <w:rFonts w:eastAsia="Arial" w:cs="Arial"/>
          <w:color w:val="000000" w:themeColor="text1"/>
          <w:sz w:val="22"/>
          <w:szCs w:val="22"/>
        </w:rPr>
        <w:t>managed</w:t>
      </w:r>
      <w:r w:rsidR="58E15841" w:rsidRPr="00237D8D">
        <w:rPr>
          <w:rFonts w:eastAsia="Arial" w:cs="Arial"/>
          <w:color w:val="000000" w:themeColor="text1"/>
          <w:sz w:val="22"/>
          <w:szCs w:val="22"/>
        </w:rPr>
        <w:t xml:space="preserve"> by </w:t>
      </w:r>
      <w:r w:rsidR="1C192DCB" w:rsidRPr="00237D8D">
        <w:rPr>
          <w:rFonts w:eastAsia="Arial" w:cs="Arial"/>
          <w:color w:val="000000" w:themeColor="text1"/>
          <w:sz w:val="22"/>
          <w:szCs w:val="22"/>
        </w:rPr>
        <w:t>FiM are provided in more detail in the table below.</w:t>
      </w:r>
    </w:p>
    <w:p w14:paraId="7F987B1F" w14:textId="77777777" w:rsidR="000D16DA" w:rsidRPr="00237D8D" w:rsidRDefault="000D16DA" w:rsidP="005E557A">
      <w:pPr>
        <w:jc w:val="both"/>
        <w:rPr>
          <w:rFonts w:eastAsia="Arial" w:cs="Arial"/>
          <w:color w:val="000000" w:themeColor="text1"/>
          <w:sz w:val="22"/>
          <w:szCs w:val="22"/>
        </w:rPr>
      </w:pPr>
    </w:p>
    <w:p w14:paraId="15340EEA" w14:textId="392FC014" w:rsidR="000D16DA" w:rsidRPr="00237D8D" w:rsidRDefault="00362E4F" w:rsidP="005E557A">
      <w:pPr>
        <w:jc w:val="both"/>
        <w:rPr>
          <w:rFonts w:eastAsia="Arial" w:cs="Arial"/>
          <w:color w:val="000000" w:themeColor="text1"/>
          <w:sz w:val="22"/>
          <w:szCs w:val="22"/>
        </w:rPr>
      </w:pPr>
      <w:r w:rsidRPr="00237D8D">
        <w:rPr>
          <w:rFonts w:eastAsia="Arial" w:cs="Arial"/>
          <w:color w:val="000000" w:themeColor="text1"/>
          <w:sz w:val="22"/>
          <w:szCs w:val="22"/>
        </w:rPr>
        <w:t>Some residual risks remain for Defra, notably the risk of programme failure</w:t>
      </w:r>
      <w:r w:rsidR="002451E3" w:rsidRPr="00237D8D">
        <w:rPr>
          <w:rFonts w:eastAsia="Arial" w:cs="Arial"/>
          <w:color w:val="000000" w:themeColor="text1"/>
          <w:sz w:val="22"/>
          <w:szCs w:val="22"/>
        </w:rPr>
        <w:t xml:space="preserve">, for example as a result of the financial collapse of </w:t>
      </w:r>
      <w:r w:rsidR="00B203FD" w:rsidRPr="00237D8D">
        <w:rPr>
          <w:rFonts w:eastAsia="Arial" w:cs="Arial"/>
          <w:color w:val="000000" w:themeColor="text1"/>
          <w:sz w:val="22"/>
          <w:szCs w:val="22"/>
        </w:rPr>
        <w:t xml:space="preserve">the </w:t>
      </w:r>
      <w:r w:rsidR="002451E3" w:rsidRPr="00237D8D">
        <w:rPr>
          <w:rFonts w:eastAsia="Arial" w:cs="Arial"/>
          <w:color w:val="000000" w:themeColor="text1"/>
          <w:sz w:val="22"/>
          <w:szCs w:val="22"/>
        </w:rPr>
        <w:t>Fund or closure of</w:t>
      </w:r>
      <w:r w:rsidR="00B203FD" w:rsidRPr="00237D8D">
        <w:rPr>
          <w:rFonts w:eastAsia="Arial" w:cs="Arial"/>
          <w:color w:val="000000" w:themeColor="text1"/>
          <w:sz w:val="22"/>
          <w:szCs w:val="22"/>
        </w:rPr>
        <w:t xml:space="preserve"> the</w:t>
      </w:r>
      <w:r w:rsidR="002451E3" w:rsidRPr="00237D8D">
        <w:rPr>
          <w:rFonts w:eastAsia="Arial" w:cs="Arial"/>
          <w:color w:val="000000" w:themeColor="text1"/>
          <w:sz w:val="22"/>
          <w:szCs w:val="22"/>
        </w:rPr>
        <w:t xml:space="preserve"> Fund Advis</w:t>
      </w:r>
      <w:r w:rsidR="43534108" w:rsidRPr="00237D8D">
        <w:rPr>
          <w:rFonts w:eastAsia="Arial" w:cs="Arial"/>
          <w:color w:val="000000" w:themeColor="text1"/>
          <w:sz w:val="22"/>
          <w:szCs w:val="22"/>
        </w:rPr>
        <w:t>e</w:t>
      </w:r>
      <w:r w:rsidR="002451E3" w:rsidRPr="00237D8D">
        <w:rPr>
          <w:rFonts w:eastAsia="Arial" w:cs="Arial"/>
          <w:color w:val="000000" w:themeColor="text1"/>
          <w:sz w:val="22"/>
          <w:szCs w:val="22"/>
        </w:rPr>
        <w:t>r.</w:t>
      </w:r>
      <w:r w:rsidR="00B203FD" w:rsidRPr="00237D8D">
        <w:rPr>
          <w:rFonts w:eastAsia="Arial" w:cs="Arial"/>
          <w:color w:val="000000" w:themeColor="text1"/>
          <w:sz w:val="22"/>
          <w:szCs w:val="22"/>
        </w:rPr>
        <w:t xml:space="preserve"> Defra works with other Shareholders and Board members to provide governance and support to FiM and to ensure they have sufficient resource and expertise to avoid business failure. To a large extent</w:t>
      </w:r>
      <w:r w:rsidR="319776A5" w:rsidRPr="00237D8D">
        <w:rPr>
          <w:rFonts w:eastAsia="Arial" w:cs="Arial"/>
          <w:color w:val="000000" w:themeColor="text1"/>
          <w:sz w:val="22"/>
          <w:szCs w:val="22"/>
        </w:rPr>
        <w:t>,</w:t>
      </w:r>
      <w:r w:rsidR="00B203FD" w:rsidRPr="00237D8D">
        <w:rPr>
          <w:rFonts w:eastAsia="Arial" w:cs="Arial"/>
          <w:color w:val="000000" w:themeColor="text1"/>
          <w:sz w:val="22"/>
          <w:szCs w:val="22"/>
        </w:rPr>
        <w:t xml:space="preserve"> the impacts projected in the Business Case have already been met, </w:t>
      </w:r>
      <w:r w:rsidR="005446F7" w:rsidRPr="00237D8D">
        <w:rPr>
          <w:rFonts w:eastAsia="Arial" w:cs="Arial"/>
          <w:color w:val="000000" w:themeColor="text1"/>
          <w:sz w:val="22"/>
          <w:szCs w:val="22"/>
        </w:rPr>
        <w:t>so Defra’s risk here is reduced every year,</w:t>
      </w:r>
      <w:r w:rsidR="00B203FD" w:rsidRPr="00237D8D">
        <w:rPr>
          <w:rFonts w:eastAsia="Arial" w:cs="Arial"/>
          <w:color w:val="000000" w:themeColor="text1"/>
          <w:sz w:val="22"/>
          <w:szCs w:val="22"/>
        </w:rPr>
        <w:t xml:space="preserve"> but </w:t>
      </w:r>
      <w:r w:rsidR="005446F7" w:rsidRPr="00237D8D">
        <w:rPr>
          <w:rFonts w:eastAsia="Arial" w:cs="Arial"/>
          <w:color w:val="000000" w:themeColor="text1"/>
          <w:sz w:val="22"/>
          <w:szCs w:val="22"/>
        </w:rPr>
        <w:t xml:space="preserve">some </w:t>
      </w:r>
      <w:r w:rsidR="00B203FD" w:rsidRPr="00237D8D">
        <w:rPr>
          <w:rFonts w:eastAsia="Arial" w:cs="Arial"/>
          <w:color w:val="000000" w:themeColor="text1"/>
          <w:sz w:val="22"/>
          <w:szCs w:val="22"/>
        </w:rPr>
        <w:t xml:space="preserve">future impact could </w:t>
      </w:r>
      <w:r w:rsidR="005446F7" w:rsidRPr="00237D8D">
        <w:rPr>
          <w:rFonts w:eastAsia="Arial" w:cs="Arial"/>
          <w:color w:val="000000" w:themeColor="text1"/>
          <w:sz w:val="22"/>
          <w:szCs w:val="22"/>
        </w:rPr>
        <w:t>still</w:t>
      </w:r>
      <w:r w:rsidR="00B203FD" w:rsidRPr="00237D8D">
        <w:rPr>
          <w:rFonts w:eastAsia="Arial" w:cs="Arial"/>
          <w:color w:val="000000" w:themeColor="text1"/>
          <w:sz w:val="22"/>
          <w:szCs w:val="22"/>
        </w:rPr>
        <w:t xml:space="preserve"> be jeopardised by such an event.</w:t>
      </w:r>
    </w:p>
    <w:p w14:paraId="6369A394" w14:textId="77777777" w:rsidR="00A21B80" w:rsidRPr="00237D8D" w:rsidRDefault="00A21B80" w:rsidP="005E557A">
      <w:pPr>
        <w:jc w:val="both"/>
        <w:rPr>
          <w:rFonts w:eastAsia="Arial" w:cs="Arial"/>
          <w:color w:val="000000" w:themeColor="text1"/>
          <w:sz w:val="22"/>
          <w:szCs w:val="22"/>
        </w:rPr>
      </w:pPr>
    </w:p>
    <w:p w14:paraId="57489744" w14:textId="14E90C08" w:rsidR="00A21B80" w:rsidRPr="00237D8D" w:rsidRDefault="00A21B80" w:rsidP="005E557A">
      <w:pPr>
        <w:jc w:val="both"/>
        <w:rPr>
          <w:rFonts w:eastAsia="Arial" w:cs="Arial"/>
          <w:color w:val="000000" w:themeColor="text1"/>
          <w:sz w:val="22"/>
          <w:szCs w:val="22"/>
        </w:rPr>
      </w:pPr>
      <w:r w:rsidRPr="00237D8D">
        <w:rPr>
          <w:rFonts w:eastAsia="Arial" w:cs="Arial"/>
          <w:color w:val="000000" w:themeColor="text1"/>
          <w:sz w:val="22"/>
          <w:szCs w:val="22"/>
        </w:rPr>
        <w:t xml:space="preserve">Given the critical role of FiM in </w:t>
      </w:r>
      <w:r w:rsidR="005B274B" w:rsidRPr="00237D8D">
        <w:rPr>
          <w:rFonts w:eastAsia="Arial" w:cs="Arial"/>
          <w:color w:val="000000" w:themeColor="text1"/>
          <w:sz w:val="22"/>
          <w:szCs w:val="22"/>
        </w:rPr>
        <w:t>managing most risks, the other</w:t>
      </w:r>
      <w:r w:rsidRPr="00237D8D">
        <w:rPr>
          <w:rFonts w:eastAsia="Arial" w:cs="Arial"/>
          <w:color w:val="000000" w:themeColor="text1"/>
          <w:sz w:val="22"/>
          <w:szCs w:val="22"/>
        </w:rPr>
        <w:t xml:space="preserve"> </w:t>
      </w:r>
      <w:r w:rsidR="00607D01" w:rsidRPr="00237D8D">
        <w:rPr>
          <w:rFonts w:eastAsia="Arial" w:cs="Arial"/>
          <w:color w:val="000000" w:themeColor="text1"/>
          <w:sz w:val="22"/>
          <w:szCs w:val="22"/>
        </w:rPr>
        <w:t>main</w:t>
      </w:r>
      <w:r w:rsidRPr="00237D8D">
        <w:rPr>
          <w:rFonts w:eastAsia="Arial" w:cs="Arial"/>
          <w:color w:val="000000" w:themeColor="text1"/>
          <w:sz w:val="22"/>
          <w:szCs w:val="22"/>
        </w:rPr>
        <w:t xml:space="preserve"> risk for Defra </w:t>
      </w:r>
      <w:r w:rsidR="00607D01" w:rsidRPr="00237D8D">
        <w:rPr>
          <w:rFonts w:eastAsia="Arial" w:cs="Arial"/>
          <w:color w:val="000000" w:themeColor="text1"/>
          <w:sz w:val="22"/>
          <w:szCs w:val="22"/>
        </w:rPr>
        <w:t>is</w:t>
      </w:r>
      <w:r w:rsidRPr="00237D8D">
        <w:rPr>
          <w:rFonts w:eastAsia="Arial" w:cs="Arial"/>
          <w:color w:val="000000" w:themeColor="text1"/>
          <w:sz w:val="22"/>
          <w:szCs w:val="22"/>
        </w:rPr>
        <w:t xml:space="preserve"> around relationship</w:t>
      </w:r>
      <w:r w:rsidR="005B274B" w:rsidRPr="00237D8D">
        <w:rPr>
          <w:rFonts w:eastAsia="Arial" w:cs="Arial"/>
          <w:color w:val="000000" w:themeColor="text1"/>
          <w:sz w:val="22"/>
          <w:szCs w:val="22"/>
        </w:rPr>
        <w:t xml:space="preserve"> management with FiM, ensuring a strong trusting relationship and continuity in </w:t>
      </w:r>
      <w:r w:rsidR="003A5B19" w:rsidRPr="00237D8D">
        <w:rPr>
          <w:rFonts w:eastAsia="Arial" w:cs="Arial"/>
          <w:color w:val="000000" w:themeColor="text1"/>
          <w:sz w:val="22"/>
          <w:szCs w:val="22"/>
        </w:rPr>
        <w:t>staff engaging with FiM on a regular basis. To mitigate this risk</w:t>
      </w:r>
      <w:r w:rsidR="00E87B07" w:rsidRPr="00237D8D">
        <w:rPr>
          <w:rFonts w:eastAsia="Arial" w:cs="Arial"/>
          <w:color w:val="000000" w:themeColor="text1"/>
          <w:sz w:val="22"/>
          <w:szCs w:val="22"/>
        </w:rPr>
        <w:t xml:space="preserve"> the programme manager </w:t>
      </w:r>
      <w:r w:rsidR="38810108" w:rsidRPr="00237D8D">
        <w:rPr>
          <w:rFonts w:eastAsia="Arial" w:cs="Arial"/>
          <w:color w:val="000000" w:themeColor="text1"/>
          <w:sz w:val="22"/>
          <w:szCs w:val="22"/>
        </w:rPr>
        <w:t xml:space="preserve">aims </w:t>
      </w:r>
      <w:r w:rsidR="009117BF" w:rsidRPr="00237D8D">
        <w:rPr>
          <w:rFonts w:eastAsia="Arial" w:cs="Arial"/>
          <w:color w:val="000000" w:themeColor="text1"/>
          <w:sz w:val="22"/>
          <w:szCs w:val="22"/>
        </w:rPr>
        <w:t xml:space="preserve">to meet in person with FiM and the EBF Board at least once per year, as well </w:t>
      </w:r>
      <w:r w:rsidR="00601B6D" w:rsidRPr="00237D8D">
        <w:rPr>
          <w:rFonts w:eastAsia="Arial" w:cs="Arial"/>
          <w:color w:val="000000" w:themeColor="text1"/>
          <w:sz w:val="22"/>
          <w:szCs w:val="22"/>
        </w:rPr>
        <w:t>as regular engagement by email and in virtual meetings. Care is taken during handover</w:t>
      </w:r>
      <w:r w:rsidR="005634E8" w:rsidRPr="00237D8D">
        <w:rPr>
          <w:rFonts w:eastAsia="Arial" w:cs="Arial"/>
          <w:color w:val="000000" w:themeColor="text1"/>
          <w:sz w:val="22"/>
          <w:szCs w:val="22"/>
        </w:rPr>
        <w:t xml:space="preserve"> of responsibilities</w:t>
      </w:r>
      <w:r w:rsidR="00601B6D" w:rsidRPr="00237D8D">
        <w:rPr>
          <w:rFonts w:eastAsia="Arial" w:cs="Arial"/>
          <w:color w:val="000000" w:themeColor="text1"/>
          <w:sz w:val="22"/>
          <w:szCs w:val="22"/>
        </w:rPr>
        <w:t xml:space="preserve"> to new </w:t>
      </w:r>
      <w:r w:rsidR="005634E8" w:rsidRPr="00237D8D">
        <w:rPr>
          <w:rFonts w:eastAsia="Arial" w:cs="Arial"/>
          <w:color w:val="000000" w:themeColor="text1"/>
          <w:sz w:val="22"/>
          <w:szCs w:val="22"/>
        </w:rPr>
        <w:t>team members to ensure FiM are kept up to date and introductions made.</w:t>
      </w:r>
      <w:r w:rsidR="002C5589" w:rsidRPr="00237D8D">
        <w:rPr>
          <w:rFonts w:eastAsia="Arial" w:cs="Arial"/>
          <w:color w:val="000000" w:themeColor="text1"/>
          <w:sz w:val="22"/>
          <w:szCs w:val="22"/>
        </w:rPr>
        <w:t xml:space="preserve"> Both these Defra-held risks are therefore </w:t>
      </w:r>
      <w:r w:rsidR="00A63E10" w:rsidRPr="00237D8D">
        <w:rPr>
          <w:rFonts w:eastAsia="Arial" w:cs="Arial"/>
          <w:color w:val="000000" w:themeColor="text1"/>
          <w:sz w:val="22"/>
          <w:szCs w:val="22"/>
        </w:rPr>
        <w:t>unlikely to occur in the near future</w:t>
      </w:r>
      <w:r w:rsidR="002C5589" w:rsidRPr="00237D8D">
        <w:rPr>
          <w:rFonts w:eastAsia="Arial" w:cs="Arial"/>
          <w:color w:val="000000" w:themeColor="text1"/>
          <w:sz w:val="22"/>
          <w:szCs w:val="22"/>
        </w:rPr>
        <w:t>.</w:t>
      </w:r>
      <w:r w:rsidR="00874AA2" w:rsidRPr="00237D8D">
        <w:rPr>
          <w:rFonts w:eastAsia="Arial" w:cs="Arial"/>
          <w:color w:val="000000" w:themeColor="text1"/>
          <w:sz w:val="22"/>
          <w:szCs w:val="22"/>
        </w:rPr>
        <w:t xml:space="preserve"> A risk register is maintained</w:t>
      </w:r>
      <w:r w:rsidR="008C1177" w:rsidRPr="00237D8D">
        <w:rPr>
          <w:rFonts w:eastAsia="Arial" w:cs="Arial"/>
          <w:color w:val="000000" w:themeColor="text1"/>
          <w:sz w:val="22"/>
          <w:szCs w:val="22"/>
        </w:rPr>
        <w:t xml:space="preserve"> by Defra covering risks managed both by Defra and FiM.</w:t>
      </w:r>
    </w:p>
    <w:p w14:paraId="48379C97" w14:textId="77777777" w:rsidR="00FB439D" w:rsidRPr="00237D8D" w:rsidRDefault="00FB439D" w:rsidP="005E557A">
      <w:pPr>
        <w:jc w:val="both"/>
        <w:rPr>
          <w:rFonts w:eastAsia="Arial" w:cs="Arial"/>
          <w:color w:val="000000" w:themeColor="text1"/>
          <w:sz w:val="22"/>
          <w:szCs w:val="22"/>
        </w:rPr>
      </w:pPr>
    </w:p>
    <w:p w14:paraId="303493FA" w14:textId="1BD6F0E8" w:rsidR="00FB439D" w:rsidRPr="00237D8D" w:rsidRDefault="58EDEF59" w:rsidP="005E557A">
      <w:pPr>
        <w:jc w:val="both"/>
        <w:rPr>
          <w:rFonts w:eastAsia="Arial" w:cs="Arial"/>
          <w:color w:val="000000" w:themeColor="text1"/>
          <w:sz w:val="22"/>
          <w:szCs w:val="22"/>
        </w:rPr>
      </w:pPr>
      <w:r w:rsidRPr="00237D8D">
        <w:rPr>
          <w:rFonts w:eastAsia="Arial" w:cs="Arial"/>
          <w:color w:val="000000" w:themeColor="text1"/>
          <w:sz w:val="22"/>
          <w:szCs w:val="22"/>
        </w:rPr>
        <w:t>No risks required intervention from Defra in 202</w:t>
      </w:r>
      <w:r w:rsidR="75E85C60" w:rsidRPr="00237D8D">
        <w:rPr>
          <w:rFonts w:eastAsia="Arial" w:cs="Arial"/>
          <w:color w:val="000000" w:themeColor="text1"/>
          <w:sz w:val="22"/>
          <w:szCs w:val="22"/>
        </w:rPr>
        <w:t>3</w:t>
      </w:r>
      <w:r w:rsidRPr="00237D8D">
        <w:rPr>
          <w:rFonts w:eastAsia="Arial" w:cs="Arial"/>
          <w:color w:val="000000" w:themeColor="text1"/>
          <w:sz w:val="22"/>
          <w:szCs w:val="22"/>
        </w:rPr>
        <w:t xml:space="preserve">. </w:t>
      </w:r>
      <w:r w:rsidR="009E36F0" w:rsidRPr="00237D8D">
        <w:rPr>
          <w:rFonts w:eastAsia="Arial" w:cs="Arial"/>
          <w:sz w:val="22"/>
          <w:szCs w:val="22"/>
        </w:rPr>
        <w:t xml:space="preserve">Following a revision of what to consider in setting the Risk Rating for the programme since 2022, it is therefore assessed at ‘Medium’ for 2023, as the programme is continuing to show </w:t>
      </w:r>
      <w:r w:rsidR="00C358BB" w:rsidRPr="00237D8D">
        <w:rPr>
          <w:rFonts w:eastAsia="Arial" w:cs="Arial"/>
          <w:sz w:val="22"/>
          <w:szCs w:val="22"/>
        </w:rPr>
        <w:t>strong</w:t>
      </w:r>
      <w:r w:rsidR="009E36F0" w:rsidRPr="00237D8D">
        <w:rPr>
          <w:rFonts w:eastAsia="Arial" w:cs="Arial"/>
          <w:sz w:val="22"/>
          <w:szCs w:val="22"/>
        </w:rPr>
        <w:t xml:space="preserve"> results for climate and nature impacts, following the successful raising and investment of private and public capital for the portfolio overall. However, the Fund is still early in its impact journey, with much still to be achieved and risks to the success of individual </w:t>
      </w:r>
      <w:r w:rsidR="00C358BB" w:rsidRPr="00237D8D">
        <w:rPr>
          <w:rFonts w:eastAsia="Arial" w:cs="Arial"/>
          <w:sz w:val="22"/>
          <w:szCs w:val="22"/>
        </w:rPr>
        <w:t>loans</w:t>
      </w:r>
      <w:r w:rsidR="009E36F0" w:rsidRPr="00237D8D">
        <w:rPr>
          <w:rFonts w:eastAsia="Arial" w:cs="Arial"/>
          <w:sz w:val="22"/>
          <w:szCs w:val="22"/>
        </w:rPr>
        <w:t>. This rating is also influenced by the high confidence we have in FiM</w:t>
      </w:r>
      <w:r w:rsidR="00BE177E" w:rsidRPr="00237D8D">
        <w:rPr>
          <w:rFonts w:eastAsia="Arial" w:cs="Arial"/>
          <w:sz w:val="22"/>
          <w:szCs w:val="22"/>
        </w:rPr>
        <w:t xml:space="preserve">, who are themselves independently </w:t>
      </w:r>
      <w:hyperlink r:id="rId21" w:history="1">
        <w:r w:rsidR="00237D8D" w:rsidRPr="00237D8D">
          <w:rPr>
            <w:rStyle w:val="Hyperlink"/>
            <w:rFonts w:eastAsia="Arial" w:cs="Arial"/>
            <w:sz w:val="22"/>
            <w:szCs w:val="22"/>
          </w:rPr>
          <w:t>BlueMark</w:t>
        </w:r>
      </w:hyperlink>
      <w:r w:rsidR="00237D8D" w:rsidRPr="00237D8D">
        <w:rPr>
          <w:rFonts w:eastAsia="Arial" w:cs="Arial"/>
          <w:sz w:val="22"/>
          <w:szCs w:val="22"/>
        </w:rPr>
        <w:t xml:space="preserve"> verified as best-in-class Impact Management</w:t>
      </w:r>
      <w:r w:rsidR="009E36F0" w:rsidRPr="00237D8D">
        <w:rPr>
          <w:rFonts w:eastAsia="Arial" w:cs="Arial"/>
          <w:sz w:val="22"/>
          <w:szCs w:val="22"/>
        </w:rPr>
        <w:t xml:space="preserve">, </w:t>
      </w:r>
      <w:r w:rsidR="00BE177E" w:rsidRPr="00237D8D">
        <w:rPr>
          <w:rFonts w:eastAsia="Arial" w:cs="Arial"/>
          <w:sz w:val="22"/>
          <w:szCs w:val="22"/>
        </w:rPr>
        <w:t xml:space="preserve">and </w:t>
      </w:r>
      <w:r w:rsidR="00A90F3E">
        <w:rPr>
          <w:rFonts w:eastAsia="Arial" w:cs="Arial"/>
          <w:sz w:val="22"/>
          <w:szCs w:val="22"/>
        </w:rPr>
        <w:t>by</w:t>
      </w:r>
      <w:r w:rsidR="009E36F0" w:rsidRPr="00237D8D">
        <w:rPr>
          <w:rFonts w:eastAsia="Arial" w:cs="Arial"/>
          <w:sz w:val="22"/>
          <w:szCs w:val="22"/>
        </w:rPr>
        <w:t xml:space="preserve"> whom </w:t>
      </w:r>
      <w:r w:rsidR="00A24FA8">
        <w:rPr>
          <w:rFonts w:eastAsia="Arial" w:cs="Arial"/>
          <w:sz w:val="22"/>
          <w:szCs w:val="22"/>
        </w:rPr>
        <w:t>F</w:t>
      </w:r>
      <w:r w:rsidR="009E36F0" w:rsidRPr="00237D8D">
        <w:rPr>
          <w:rFonts w:eastAsia="Arial" w:cs="Arial"/>
          <w:sz w:val="22"/>
          <w:szCs w:val="22"/>
        </w:rPr>
        <w:t xml:space="preserve">und (and risk) management is </w:t>
      </w:r>
      <w:r w:rsidR="00A90F3E">
        <w:rPr>
          <w:rFonts w:eastAsia="Arial" w:cs="Arial"/>
          <w:sz w:val="22"/>
          <w:szCs w:val="22"/>
        </w:rPr>
        <w:t>managed</w:t>
      </w:r>
      <w:r w:rsidR="06749530" w:rsidRPr="00237D8D">
        <w:rPr>
          <w:rFonts w:eastAsia="Arial" w:cs="Arial"/>
          <w:color w:val="000000" w:themeColor="text1"/>
          <w:sz w:val="22"/>
          <w:szCs w:val="22"/>
        </w:rPr>
        <w:t>.</w:t>
      </w:r>
    </w:p>
    <w:p w14:paraId="597BFB3B" w14:textId="0884A4B2" w:rsidR="19A372B6" w:rsidRPr="00A54B18" w:rsidRDefault="19A372B6" w:rsidP="005E557A">
      <w:pPr>
        <w:rPr>
          <w:rFonts w:eastAsia="Arial" w:cs="Arial"/>
          <w:sz w:val="22"/>
          <w:szCs w:val="22"/>
        </w:rPr>
      </w:pPr>
    </w:p>
    <w:tbl>
      <w:tblPr>
        <w:tblStyle w:val="TableGrid"/>
        <w:tblW w:w="10916" w:type="dxa"/>
        <w:tblInd w:w="-1003" w:type="dxa"/>
        <w:tblLayout w:type="fixed"/>
        <w:tblLook w:val="06A0" w:firstRow="1" w:lastRow="0" w:firstColumn="1" w:lastColumn="0" w:noHBand="1" w:noVBand="1"/>
      </w:tblPr>
      <w:tblGrid>
        <w:gridCol w:w="1986"/>
        <w:gridCol w:w="1417"/>
        <w:gridCol w:w="1276"/>
        <w:gridCol w:w="1417"/>
        <w:gridCol w:w="4820"/>
      </w:tblGrid>
      <w:tr w:rsidR="00544F9E" w:rsidRPr="00A54B18" w14:paraId="2ECD29F7" w14:textId="77777777" w:rsidTr="3E625C7A">
        <w:trPr>
          <w:trHeight w:val="225"/>
        </w:trPr>
        <w:tc>
          <w:tcPr>
            <w:tcW w:w="1986" w:type="dxa"/>
            <w:tcBorders>
              <w:top w:val="single" w:sz="8" w:space="0" w:color="auto"/>
              <w:left w:val="single" w:sz="8" w:space="0" w:color="auto"/>
              <w:bottom w:val="single" w:sz="8" w:space="0" w:color="auto"/>
              <w:right w:val="single" w:sz="8" w:space="0" w:color="auto"/>
            </w:tcBorders>
          </w:tcPr>
          <w:p w14:paraId="4636FA56" w14:textId="413EBC81" w:rsidR="19A372B6" w:rsidRPr="00A54B18" w:rsidRDefault="61D52080" w:rsidP="005E557A">
            <w:pPr>
              <w:rPr>
                <w:rFonts w:eastAsia="Arial" w:cs="Arial"/>
                <w:b/>
                <w:bCs/>
                <w:sz w:val="22"/>
                <w:szCs w:val="22"/>
              </w:rPr>
            </w:pPr>
            <w:r w:rsidRPr="00A54B18">
              <w:rPr>
                <w:rFonts w:eastAsia="Arial" w:cs="Arial"/>
                <w:b/>
                <w:bCs/>
                <w:sz w:val="22"/>
                <w:szCs w:val="22"/>
              </w:rPr>
              <w:lastRenderedPageBreak/>
              <w:t xml:space="preserve">Description of risk  </w:t>
            </w:r>
          </w:p>
        </w:tc>
        <w:tc>
          <w:tcPr>
            <w:tcW w:w="1417" w:type="dxa"/>
            <w:tcBorders>
              <w:top w:val="single" w:sz="8" w:space="0" w:color="auto"/>
              <w:left w:val="single" w:sz="8" w:space="0" w:color="auto"/>
              <w:bottom w:val="single" w:sz="8" w:space="0" w:color="auto"/>
              <w:right w:val="single" w:sz="8" w:space="0" w:color="auto"/>
            </w:tcBorders>
          </w:tcPr>
          <w:p w14:paraId="40C2CEF1" w14:textId="0CAD506F" w:rsidR="19A372B6" w:rsidRPr="00A54B18" w:rsidRDefault="61D52080" w:rsidP="005E557A">
            <w:pPr>
              <w:rPr>
                <w:rFonts w:eastAsia="Arial" w:cs="Arial"/>
                <w:b/>
                <w:bCs/>
                <w:sz w:val="22"/>
                <w:szCs w:val="22"/>
              </w:rPr>
            </w:pPr>
            <w:r w:rsidRPr="00A54B18">
              <w:rPr>
                <w:rFonts w:eastAsia="Arial" w:cs="Arial"/>
                <w:b/>
                <w:bCs/>
                <w:sz w:val="22"/>
                <w:szCs w:val="22"/>
              </w:rPr>
              <w:t>Type</w:t>
            </w:r>
          </w:p>
        </w:tc>
        <w:tc>
          <w:tcPr>
            <w:tcW w:w="1276" w:type="dxa"/>
            <w:tcBorders>
              <w:top w:val="single" w:sz="8" w:space="0" w:color="auto"/>
              <w:left w:val="single" w:sz="8" w:space="0" w:color="auto"/>
              <w:bottom w:val="single" w:sz="8" w:space="0" w:color="auto"/>
              <w:right w:val="single" w:sz="8" w:space="0" w:color="auto"/>
            </w:tcBorders>
          </w:tcPr>
          <w:p w14:paraId="36443544" w14:textId="2ADC95D3" w:rsidR="19A372B6" w:rsidRPr="00A54B18" w:rsidRDefault="61D52080" w:rsidP="005E557A">
            <w:pPr>
              <w:rPr>
                <w:rFonts w:eastAsia="Arial" w:cs="Arial"/>
                <w:b/>
                <w:bCs/>
                <w:sz w:val="22"/>
                <w:szCs w:val="22"/>
              </w:rPr>
            </w:pPr>
            <w:r w:rsidRPr="00A54B18">
              <w:rPr>
                <w:rFonts w:eastAsia="Arial" w:cs="Arial"/>
                <w:b/>
                <w:bCs/>
                <w:sz w:val="22"/>
                <w:szCs w:val="22"/>
              </w:rPr>
              <w:t>Risk rating</w:t>
            </w:r>
          </w:p>
        </w:tc>
        <w:tc>
          <w:tcPr>
            <w:tcW w:w="1417" w:type="dxa"/>
            <w:tcBorders>
              <w:top w:val="single" w:sz="8" w:space="0" w:color="auto"/>
              <w:left w:val="single" w:sz="8" w:space="0" w:color="auto"/>
              <w:bottom w:val="single" w:sz="8" w:space="0" w:color="auto"/>
              <w:right w:val="single" w:sz="8" w:space="0" w:color="auto"/>
            </w:tcBorders>
          </w:tcPr>
          <w:p w14:paraId="6D8B535E" w14:textId="6B43B399" w:rsidR="19A372B6" w:rsidRPr="00A54B18" w:rsidRDefault="61D52080" w:rsidP="005E557A">
            <w:pPr>
              <w:rPr>
                <w:rFonts w:eastAsia="Arial" w:cs="Arial"/>
                <w:b/>
                <w:bCs/>
                <w:sz w:val="22"/>
                <w:szCs w:val="22"/>
              </w:rPr>
            </w:pPr>
            <w:r w:rsidRPr="00A54B18">
              <w:rPr>
                <w:rFonts w:eastAsia="Arial" w:cs="Arial"/>
                <w:b/>
                <w:bCs/>
                <w:sz w:val="22"/>
                <w:szCs w:val="22"/>
              </w:rPr>
              <w:t>Likelihood</w:t>
            </w:r>
          </w:p>
        </w:tc>
        <w:tc>
          <w:tcPr>
            <w:tcW w:w="4820" w:type="dxa"/>
            <w:tcBorders>
              <w:top w:val="single" w:sz="8" w:space="0" w:color="auto"/>
              <w:left w:val="single" w:sz="8" w:space="0" w:color="auto"/>
              <w:bottom w:val="single" w:sz="8" w:space="0" w:color="auto"/>
              <w:right w:val="single" w:sz="8" w:space="0" w:color="auto"/>
            </w:tcBorders>
          </w:tcPr>
          <w:p w14:paraId="70DA3EAC" w14:textId="69B09436" w:rsidR="19A372B6" w:rsidRPr="00A54B18" w:rsidRDefault="61D52080" w:rsidP="005E557A">
            <w:pPr>
              <w:rPr>
                <w:rFonts w:eastAsia="Arial" w:cs="Arial"/>
                <w:b/>
                <w:bCs/>
                <w:sz w:val="22"/>
                <w:szCs w:val="22"/>
              </w:rPr>
            </w:pPr>
            <w:r w:rsidRPr="00A54B18">
              <w:rPr>
                <w:rFonts w:eastAsia="Arial" w:cs="Arial"/>
                <w:b/>
                <w:bCs/>
                <w:sz w:val="22"/>
                <w:szCs w:val="22"/>
              </w:rPr>
              <w:t>Mitigation activities</w:t>
            </w:r>
          </w:p>
        </w:tc>
      </w:tr>
      <w:tr w:rsidR="00F45458" w:rsidRPr="00A54B18" w14:paraId="6F3593DE" w14:textId="77777777" w:rsidTr="3E625C7A">
        <w:trPr>
          <w:trHeight w:val="2139"/>
        </w:trPr>
        <w:tc>
          <w:tcPr>
            <w:tcW w:w="1986" w:type="dxa"/>
            <w:tcBorders>
              <w:top w:val="single" w:sz="8" w:space="0" w:color="auto"/>
              <w:left w:val="single" w:sz="8" w:space="0" w:color="auto"/>
              <w:bottom w:val="single" w:sz="8" w:space="0" w:color="auto"/>
              <w:right w:val="single" w:sz="8" w:space="0" w:color="auto"/>
            </w:tcBorders>
          </w:tcPr>
          <w:p w14:paraId="1C91BC14" w14:textId="03C0D906" w:rsidR="0052119B" w:rsidRDefault="004D0193" w:rsidP="005E557A">
            <w:pPr>
              <w:rPr>
                <w:rFonts w:eastAsia="Arial" w:cs="Arial"/>
                <w:sz w:val="22"/>
                <w:szCs w:val="22"/>
              </w:rPr>
            </w:pPr>
            <w:r>
              <w:rPr>
                <w:rFonts w:eastAsia="Arial" w:cs="Arial"/>
                <w:sz w:val="22"/>
                <w:szCs w:val="22"/>
              </w:rPr>
              <w:t>Political</w:t>
            </w:r>
            <w:r w:rsidR="00F3592F">
              <w:rPr>
                <w:rFonts w:eastAsia="Arial" w:cs="Arial"/>
                <w:sz w:val="22"/>
                <w:szCs w:val="22"/>
              </w:rPr>
              <w:t xml:space="preserve"> and economic</w:t>
            </w:r>
            <w:r>
              <w:rPr>
                <w:rFonts w:eastAsia="Arial" w:cs="Arial"/>
                <w:sz w:val="22"/>
                <w:szCs w:val="22"/>
              </w:rPr>
              <w:t xml:space="preserve"> risk</w:t>
            </w:r>
            <w:r w:rsidR="00F3592F">
              <w:rPr>
                <w:rFonts w:eastAsia="Arial" w:cs="Arial"/>
                <w:sz w:val="22"/>
                <w:szCs w:val="22"/>
              </w:rPr>
              <w:t>s in target countries.</w:t>
            </w:r>
          </w:p>
          <w:p w14:paraId="6C5FA6AE" w14:textId="77777777" w:rsidR="0052119B" w:rsidRDefault="0052119B" w:rsidP="005E557A">
            <w:pPr>
              <w:rPr>
                <w:rFonts w:eastAsia="Arial" w:cs="Arial"/>
                <w:sz w:val="22"/>
                <w:szCs w:val="22"/>
              </w:rPr>
            </w:pPr>
          </w:p>
          <w:p w14:paraId="284EE6BE" w14:textId="515FED15" w:rsidR="19A372B6" w:rsidRPr="00A54B18" w:rsidRDefault="00FD2E33" w:rsidP="005E557A">
            <w:pPr>
              <w:rPr>
                <w:rFonts w:eastAsia="Arial" w:cs="Arial"/>
                <w:sz w:val="22"/>
                <w:szCs w:val="22"/>
              </w:rPr>
            </w:pPr>
            <w:r>
              <w:rPr>
                <w:rFonts w:eastAsia="Arial" w:cs="Arial"/>
                <w:sz w:val="22"/>
                <w:szCs w:val="22"/>
              </w:rPr>
              <w:t xml:space="preserve">For example, </w:t>
            </w:r>
            <w:r w:rsidR="004D0193" w:rsidRPr="4AB21520">
              <w:rPr>
                <w:rFonts w:eastAsia="Arial" w:cs="Arial"/>
                <w:sz w:val="22"/>
                <w:szCs w:val="22"/>
              </w:rPr>
              <w:t xml:space="preserve">Nicaragua </w:t>
            </w:r>
            <w:r>
              <w:rPr>
                <w:rFonts w:eastAsia="Arial" w:cs="Arial"/>
                <w:sz w:val="22"/>
                <w:szCs w:val="22"/>
              </w:rPr>
              <w:t xml:space="preserve">and </w:t>
            </w:r>
            <w:r w:rsidRPr="004C1AB5">
              <w:rPr>
                <w:rFonts w:eastAsia="Arial" w:cs="Arial"/>
                <w:sz w:val="22"/>
                <w:szCs w:val="22"/>
              </w:rPr>
              <w:t>El Salvador</w:t>
            </w:r>
            <w:r>
              <w:rPr>
                <w:rFonts w:eastAsia="Arial" w:cs="Arial"/>
                <w:sz w:val="22"/>
                <w:szCs w:val="22"/>
              </w:rPr>
              <w:t xml:space="preserve"> </w:t>
            </w:r>
            <w:r w:rsidR="006C6EB9">
              <w:rPr>
                <w:rFonts w:eastAsia="Arial" w:cs="Arial"/>
                <w:sz w:val="22"/>
                <w:szCs w:val="22"/>
              </w:rPr>
              <w:t xml:space="preserve">are currently vulnerable to economic risks, with political instability </w:t>
            </w:r>
            <w:r w:rsidR="004E4C49">
              <w:rPr>
                <w:rFonts w:eastAsia="Arial" w:cs="Arial"/>
                <w:sz w:val="22"/>
                <w:szCs w:val="22"/>
              </w:rPr>
              <w:t>a possible side effect.</w:t>
            </w:r>
          </w:p>
        </w:tc>
        <w:tc>
          <w:tcPr>
            <w:tcW w:w="1417" w:type="dxa"/>
            <w:tcBorders>
              <w:top w:val="single" w:sz="8" w:space="0" w:color="auto"/>
              <w:left w:val="single" w:sz="8" w:space="0" w:color="auto"/>
              <w:bottom w:val="single" w:sz="8" w:space="0" w:color="auto"/>
              <w:right w:val="single" w:sz="8" w:space="0" w:color="auto"/>
            </w:tcBorders>
          </w:tcPr>
          <w:p w14:paraId="62006FA8" w14:textId="3D542537" w:rsidR="19A372B6" w:rsidRPr="00A54B18" w:rsidRDefault="61D52080" w:rsidP="005E557A">
            <w:pPr>
              <w:rPr>
                <w:rFonts w:eastAsia="Arial" w:cs="Arial"/>
                <w:sz w:val="22"/>
                <w:szCs w:val="22"/>
              </w:rPr>
            </w:pPr>
            <w:r w:rsidRPr="00A54B18">
              <w:rPr>
                <w:rFonts w:eastAsia="Arial" w:cs="Arial"/>
                <w:sz w:val="22"/>
                <w:szCs w:val="22"/>
              </w:rPr>
              <w:t xml:space="preserve">Political and </w:t>
            </w:r>
            <w:r w:rsidR="001748A3" w:rsidRPr="00A54B18">
              <w:rPr>
                <w:rFonts w:eastAsia="Arial" w:cs="Arial"/>
                <w:sz w:val="22"/>
                <w:szCs w:val="22"/>
              </w:rPr>
              <w:t xml:space="preserve">economic </w:t>
            </w:r>
            <w:r w:rsidRPr="00A54B18">
              <w:rPr>
                <w:rFonts w:eastAsia="Arial" w:cs="Arial"/>
                <w:sz w:val="22"/>
                <w:szCs w:val="22"/>
              </w:rPr>
              <w:t xml:space="preserve">stability   </w:t>
            </w:r>
          </w:p>
          <w:p w14:paraId="18C0123F" w14:textId="38608C19" w:rsidR="19A372B6" w:rsidRPr="00A54B18" w:rsidRDefault="61D52080" w:rsidP="005E557A">
            <w:pPr>
              <w:rPr>
                <w:rFonts w:eastAsia="Arial" w:cs="Arial"/>
              </w:rPr>
            </w:pPr>
            <w:r w:rsidRPr="00A54B18">
              <w:rPr>
                <w:rFonts w:eastAsia="Arial" w:cs="Arial"/>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16F66C12" w14:textId="51C79281" w:rsidR="19A372B6" w:rsidRPr="00A54B18" w:rsidRDefault="004D0193" w:rsidP="005E557A">
            <w:pPr>
              <w:rPr>
                <w:rFonts w:eastAsia="Arial" w:cs="Arial"/>
                <w:sz w:val="22"/>
                <w:szCs w:val="22"/>
              </w:rPr>
            </w:pPr>
            <w:r>
              <w:rPr>
                <w:rFonts w:eastAsia="Arial" w:cs="Arial"/>
                <w:sz w:val="22"/>
                <w:szCs w:val="22"/>
              </w:rPr>
              <w:t>Low</w:t>
            </w:r>
          </w:p>
        </w:tc>
        <w:tc>
          <w:tcPr>
            <w:tcW w:w="1417"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4B055E7C" w14:textId="310D617C" w:rsidR="19A372B6" w:rsidRPr="00A54B18" w:rsidRDefault="00E818D2" w:rsidP="005E557A">
            <w:pPr>
              <w:rPr>
                <w:rFonts w:eastAsia="Arial" w:cs="Arial"/>
                <w:sz w:val="22"/>
                <w:szCs w:val="22"/>
              </w:rPr>
            </w:pPr>
            <w:r>
              <w:rPr>
                <w:rFonts w:eastAsia="Arial" w:cs="Arial"/>
                <w:sz w:val="22"/>
                <w:szCs w:val="22"/>
              </w:rPr>
              <w:t>Moderate</w:t>
            </w:r>
            <w:r w:rsidRPr="00A54B18">
              <w:rPr>
                <w:rFonts w:eastAsia="Arial" w:cs="Arial"/>
                <w:sz w:val="22"/>
                <w:szCs w:val="22"/>
              </w:rPr>
              <w:t xml:space="preserve"> </w:t>
            </w:r>
          </w:p>
        </w:tc>
        <w:tc>
          <w:tcPr>
            <w:tcW w:w="4820" w:type="dxa"/>
            <w:tcBorders>
              <w:top w:val="single" w:sz="8" w:space="0" w:color="auto"/>
              <w:left w:val="single" w:sz="8" w:space="0" w:color="auto"/>
              <w:bottom w:val="single" w:sz="8" w:space="0" w:color="auto"/>
              <w:right w:val="single" w:sz="8" w:space="0" w:color="auto"/>
            </w:tcBorders>
          </w:tcPr>
          <w:p w14:paraId="17FA1C31" w14:textId="2CEF6A33" w:rsidR="19A372B6" w:rsidRPr="00A54B18" w:rsidRDefault="61D52080" w:rsidP="00674C5F">
            <w:pPr>
              <w:pStyle w:val="ListParagraph"/>
              <w:numPr>
                <w:ilvl w:val="0"/>
                <w:numId w:val="6"/>
              </w:numPr>
              <w:spacing w:before="60" w:after="0"/>
              <w:ind w:left="227" w:hanging="227"/>
              <w:contextualSpacing w:val="0"/>
              <w:rPr>
                <w:rFonts w:eastAsia="Arial" w:cs="Arial"/>
                <w:sz w:val="22"/>
                <w:szCs w:val="22"/>
              </w:rPr>
            </w:pPr>
            <w:r w:rsidRPr="4D555F77">
              <w:rPr>
                <w:rFonts w:eastAsia="Arial" w:cs="Arial"/>
                <w:sz w:val="22"/>
                <w:szCs w:val="22"/>
              </w:rPr>
              <w:t>Regular monitoring of political and economic situation</w:t>
            </w:r>
            <w:r w:rsidR="004D0193">
              <w:rPr>
                <w:rFonts w:eastAsia="Arial" w:cs="Arial"/>
                <w:sz w:val="22"/>
                <w:szCs w:val="22"/>
              </w:rPr>
              <w:t xml:space="preserve">, with decision taken </w:t>
            </w:r>
            <w:r w:rsidR="004D0193" w:rsidRPr="4AB21520">
              <w:rPr>
                <w:rFonts w:eastAsia="Arial" w:cs="Arial"/>
                <w:sz w:val="22"/>
                <w:szCs w:val="22"/>
              </w:rPr>
              <w:t>in 2021</w:t>
            </w:r>
            <w:r w:rsidR="004D0193">
              <w:rPr>
                <w:rFonts w:eastAsia="Arial" w:cs="Arial"/>
                <w:sz w:val="22"/>
                <w:szCs w:val="22"/>
              </w:rPr>
              <w:t xml:space="preserve"> to make n</w:t>
            </w:r>
            <w:r w:rsidR="004D0193" w:rsidRPr="4AB21520">
              <w:rPr>
                <w:rFonts w:eastAsia="Arial" w:cs="Arial"/>
                <w:sz w:val="22"/>
                <w:szCs w:val="22"/>
              </w:rPr>
              <w:t>o new investment in Nicaragua</w:t>
            </w:r>
            <w:r w:rsidR="004D0193">
              <w:rPr>
                <w:rFonts w:eastAsia="Arial" w:cs="Arial"/>
                <w:sz w:val="22"/>
                <w:szCs w:val="22"/>
              </w:rPr>
              <w:t>.</w:t>
            </w:r>
          </w:p>
          <w:p w14:paraId="46E451C1" w14:textId="77C9E085" w:rsidR="00915B7F" w:rsidRPr="00A54B18" w:rsidRDefault="61D52080" w:rsidP="00674C5F">
            <w:pPr>
              <w:pStyle w:val="ListParagraph"/>
              <w:numPr>
                <w:ilvl w:val="0"/>
                <w:numId w:val="6"/>
              </w:numPr>
              <w:spacing w:before="60" w:after="0"/>
              <w:ind w:left="227" w:hanging="227"/>
              <w:contextualSpacing w:val="0"/>
              <w:rPr>
                <w:rFonts w:eastAsia="Arial" w:cs="Arial"/>
                <w:sz w:val="22"/>
                <w:szCs w:val="22"/>
              </w:rPr>
            </w:pPr>
            <w:r w:rsidRPr="00A54B18">
              <w:rPr>
                <w:rFonts w:eastAsia="Arial" w:cs="Arial"/>
                <w:sz w:val="22"/>
                <w:szCs w:val="22"/>
              </w:rPr>
              <w:t>Continued monitoring of loan repayments (so far loan repayments are as expected)</w:t>
            </w:r>
            <w:r w:rsidR="004D0193">
              <w:rPr>
                <w:rFonts w:eastAsia="Arial" w:cs="Arial"/>
                <w:sz w:val="22"/>
                <w:szCs w:val="22"/>
              </w:rPr>
              <w:t>.</w:t>
            </w:r>
          </w:p>
          <w:p w14:paraId="16E0912F" w14:textId="2F08A8BF" w:rsidR="19A372B6" w:rsidRPr="009C38C2" w:rsidRDefault="009C38C2" w:rsidP="61FA43B5">
            <w:pPr>
              <w:pStyle w:val="ListParagraph"/>
              <w:numPr>
                <w:ilvl w:val="0"/>
                <w:numId w:val="6"/>
              </w:numPr>
              <w:spacing w:before="60" w:after="0"/>
              <w:ind w:left="227" w:hanging="227"/>
              <w:rPr>
                <w:rFonts w:eastAsia="Arial" w:cs="Arial"/>
                <w:sz w:val="22"/>
                <w:szCs w:val="22"/>
              </w:rPr>
            </w:pPr>
            <w:r w:rsidRPr="61FA43B5">
              <w:rPr>
                <w:rFonts w:eastAsia="Arial" w:cs="Arial"/>
                <w:sz w:val="22"/>
                <w:szCs w:val="22"/>
              </w:rPr>
              <w:t xml:space="preserve">A ‘Watch’ system is employed to monitor and assess risk. </w:t>
            </w:r>
            <w:r w:rsidR="004D0193" w:rsidRPr="61FA43B5">
              <w:rPr>
                <w:rFonts w:eastAsia="Arial" w:cs="Arial"/>
                <w:sz w:val="22"/>
                <w:szCs w:val="22"/>
              </w:rPr>
              <w:t xml:space="preserve">No Nicaraguan PI is classified as </w:t>
            </w:r>
            <w:r w:rsidRPr="61FA43B5">
              <w:rPr>
                <w:rFonts w:eastAsia="Arial" w:cs="Arial"/>
                <w:sz w:val="22"/>
                <w:szCs w:val="22"/>
              </w:rPr>
              <w:t xml:space="preserve">on </w:t>
            </w:r>
            <w:r w:rsidR="004D0193" w:rsidRPr="61FA43B5">
              <w:rPr>
                <w:rFonts w:eastAsia="Arial" w:cs="Arial"/>
                <w:sz w:val="22"/>
                <w:szCs w:val="22"/>
              </w:rPr>
              <w:t xml:space="preserve">Watch as their financial positions are </w:t>
            </w:r>
            <w:r w:rsidR="1A3BDBE3" w:rsidRPr="7E530910">
              <w:rPr>
                <w:rFonts w:eastAsia="Arial" w:cs="Arial"/>
                <w:sz w:val="22"/>
                <w:szCs w:val="22"/>
              </w:rPr>
              <w:t>deemed</w:t>
            </w:r>
            <w:r w:rsidR="004D0193" w:rsidRPr="7E530910">
              <w:rPr>
                <w:rFonts w:eastAsia="Arial" w:cs="Arial"/>
                <w:sz w:val="22"/>
                <w:szCs w:val="22"/>
              </w:rPr>
              <w:t xml:space="preserve"> </w:t>
            </w:r>
            <w:r w:rsidR="033FCD60" w:rsidRPr="61FA43B5">
              <w:rPr>
                <w:rFonts w:eastAsia="Arial" w:cs="Arial"/>
                <w:sz w:val="22"/>
                <w:szCs w:val="22"/>
              </w:rPr>
              <w:t>well equipped</w:t>
            </w:r>
            <w:r w:rsidR="004D0193" w:rsidRPr="61FA43B5">
              <w:rPr>
                <w:rFonts w:eastAsia="Arial" w:cs="Arial"/>
                <w:sz w:val="22"/>
                <w:szCs w:val="22"/>
              </w:rPr>
              <w:t xml:space="preserve"> to weather the socio-political environment.</w:t>
            </w:r>
            <w:r w:rsidRPr="61FA43B5">
              <w:rPr>
                <w:rFonts w:eastAsia="Arial" w:cs="Arial"/>
                <w:sz w:val="22"/>
                <w:szCs w:val="22"/>
              </w:rPr>
              <w:t xml:space="preserve"> El Salvador is on Watch.</w:t>
            </w:r>
          </w:p>
        </w:tc>
      </w:tr>
      <w:tr w:rsidR="00F45458" w:rsidRPr="00A54B18" w14:paraId="138128D9" w14:textId="77777777" w:rsidTr="3E625C7A">
        <w:trPr>
          <w:trHeight w:val="625"/>
        </w:trPr>
        <w:tc>
          <w:tcPr>
            <w:tcW w:w="1986" w:type="dxa"/>
            <w:tcBorders>
              <w:top w:val="single" w:sz="8" w:space="0" w:color="auto"/>
              <w:left w:val="single" w:sz="8" w:space="0" w:color="auto"/>
              <w:bottom w:val="single" w:sz="8" w:space="0" w:color="auto"/>
              <w:right w:val="single" w:sz="8" w:space="0" w:color="auto"/>
            </w:tcBorders>
          </w:tcPr>
          <w:p w14:paraId="01CD46E8" w14:textId="58F62850" w:rsidR="001748A3" w:rsidRPr="00A54B18" w:rsidRDefault="3F4AA501" w:rsidP="005E557A">
            <w:pPr>
              <w:rPr>
                <w:rFonts w:eastAsia="Arial" w:cs="Arial"/>
                <w:sz w:val="22"/>
                <w:szCs w:val="22"/>
              </w:rPr>
            </w:pPr>
            <w:r w:rsidRPr="00A54B18">
              <w:rPr>
                <w:rFonts w:eastAsia="Arial" w:cs="Arial"/>
                <w:sz w:val="22"/>
                <w:szCs w:val="22"/>
              </w:rPr>
              <w:t>Difficulties</w:t>
            </w:r>
            <w:r w:rsidR="762986A5" w:rsidRPr="00A54B18">
              <w:rPr>
                <w:rFonts w:eastAsia="Arial" w:cs="Arial"/>
                <w:sz w:val="22"/>
                <w:szCs w:val="22"/>
              </w:rPr>
              <w:t xml:space="preserve"> associated with measuring impacts</w:t>
            </w:r>
          </w:p>
        </w:tc>
        <w:tc>
          <w:tcPr>
            <w:tcW w:w="1417" w:type="dxa"/>
            <w:tcBorders>
              <w:top w:val="single" w:sz="8" w:space="0" w:color="auto"/>
              <w:left w:val="single" w:sz="8" w:space="0" w:color="auto"/>
              <w:bottom w:val="single" w:sz="8" w:space="0" w:color="auto"/>
              <w:right w:val="single" w:sz="8" w:space="0" w:color="auto"/>
            </w:tcBorders>
          </w:tcPr>
          <w:p w14:paraId="3B25D9D8" w14:textId="4282F71D" w:rsidR="001748A3" w:rsidRPr="00A54B18" w:rsidRDefault="001748A3" w:rsidP="005E557A">
            <w:pPr>
              <w:rPr>
                <w:rFonts w:eastAsia="Arial" w:cs="Arial"/>
                <w:sz w:val="22"/>
                <w:szCs w:val="22"/>
              </w:rPr>
            </w:pPr>
            <w:r w:rsidRPr="00A54B18">
              <w:rPr>
                <w:rFonts w:eastAsia="Arial" w:cs="Arial"/>
                <w:sz w:val="22"/>
                <w:szCs w:val="22"/>
              </w:rPr>
              <w:t>Monitoring and reporting</w:t>
            </w:r>
          </w:p>
        </w:tc>
        <w:tc>
          <w:tcPr>
            <w:tcW w:w="1276"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62309B7" w14:textId="196D4B52" w:rsidR="001748A3" w:rsidRPr="00A54B18" w:rsidRDefault="004C1AB5" w:rsidP="005E557A">
            <w:pPr>
              <w:rPr>
                <w:rFonts w:eastAsia="Arial" w:cs="Arial"/>
                <w:sz w:val="22"/>
                <w:szCs w:val="22"/>
              </w:rPr>
            </w:pPr>
            <w:r>
              <w:rPr>
                <w:rFonts w:eastAsia="Arial" w:cs="Arial"/>
                <w:sz w:val="22"/>
                <w:szCs w:val="22"/>
              </w:rPr>
              <w:t>Low</w:t>
            </w:r>
          </w:p>
        </w:tc>
        <w:tc>
          <w:tcPr>
            <w:tcW w:w="1417"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9387E94" w14:textId="50028B3F" w:rsidR="001748A3" w:rsidRPr="00A54B18" w:rsidRDefault="004C1AB5" w:rsidP="005E557A">
            <w:pPr>
              <w:rPr>
                <w:rFonts w:eastAsia="Arial" w:cs="Arial"/>
                <w:sz w:val="22"/>
                <w:szCs w:val="22"/>
              </w:rPr>
            </w:pPr>
            <w:r>
              <w:rPr>
                <w:rFonts w:eastAsia="Arial" w:cs="Arial"/>
                <w:sz w:val="22"/>
                <w:szCs w:val="22"/>
              </w:rPr>
              <w:t>Low</w:t>
            </w:r>
          </w:p>
        </w:tc>
        <w:tc>
          <w:tcPr>
            <w:tcW w:w="4820" w:type="dxa"/>
            <w:tcBorders>
              <w:top w:val="single" w:sz="8" w:space="0" w:color="auto"/>
              <w:left w:val="single" w:sz="8" w:space="0" w:color="auto"/>
              <w:bottom w:val="single" w:sz="8" w:space="0" w:color="auto"/>
              <w:right w:val="single" w:sz="8" w:space="0" w:color="auto"/>
            </w:tcBorders>
          </w:tcPr>
          <w:p w14:paraId="6C2C5588" w14:textId="0423FFAC" w:rsidR="001748A3" w:rsidRPr="00A54B18" w:rsidRDefault="070C5634" w:rsidP="00674C5F">
            <w:pPr>
              <w:pStyle w:val="ListParagraph"/>
              <w:numPr>
                <w:ilvl w:val="0"/>
                <w:numId w:val="9"/>
              </w:numPr>
              <w:spacing w:before="60" w:after="0"/>
              <w:ind w:left="227" w:hanging="227"/>
              <w:contextualSpacing w:val="0"/>
              <w:rPr>
                <w:sz w:val="22"/>
                <w:szCs w:val="22"/>
              </w:rPr>
            </w:pPr>
            <w:r w:rsidRPr="00A54B18">
              <w:rPr>
                <w:sz w:val="22"/>
                <w:szCs w:val="22"/>
              </w:rPr>
              <w:t xml:space="preserve">Continue working with EBF to secure increasingly robust data to underpin results </w:t>
            </w:r>
            <w:r w:rsidR="00E1623B" w:rsidRPr="00A54B18">
              <w:rPr>
                <w:sz w:val="22"/>
                <w:szCs w:val="22"/>
              </w:rPr>
              <w:t>assessment.</w:t>
            </w:r>
          </w:p>
          <w:p w14:paraId="075CF073" w14:textId="0B1460D5" w:rsidR="00915B7F" w:rsidRPr="00A54B18" w:rsidRDefault="00915B7F" w:rsidP="00674C5F">
            <w:pPr>
              <w:pStyle w:val="ListParagraph"/>
              <w:numPr>
                <w:ilvl w:val="0"/>
                <w:numId w:val="9"/>
              </w:numPr>
              <w:spacing w:before="60" w:after="0"/>
              <w:ind w:left="227" w:hanging="227"/>
              <w:contextualSpacing w:val="0"/>
              <w:rPr>
                <w:sz w:val="22"/>
                <w:szCs w:val="22"/>
              </w:rPr>
            </w:pPr>
            <w:r w:rsidRPr="00A54B18">
              <w:rPr>
                <w:sz w:val="22"/>
                <w:szCs w:val="22"/>
              </w:rPr>
              <w:t xml:space="preserve">An independent </w:t>
            </w:r>
            <w:r w:rsidR="001A7816" w:rsidRPr="00A54B18">
              <w:rPr>
                <w:sz w:val="22"/>
                <w:szCs w:val="22"/>
              </w:rPr>
              <w:t xml:space="preserve">review of the fund </w:t>
            </w:r>
            <w:r w:rsidR="004C1AB5">
              <w:rPr>
                <w:sz w:val="22"/>
                <w:szCs w:val="22"/>
              </w:rPr>
              <w:t>was carried out in</w:t>
            </w:r>
            <w:r w:rsidR="001A7816" w:rsidRPr="00A54B18">
              <w:rPr>
                <w:sz w:val="22"/>
                <w:szCs w:val="22"/>
              </w:rPr>
              <w:t xml:space="preserve"> 2022, which assess</w:t>
            </w:r>
            <w:r w:rsidR="004C1AB5">
              <w:rPr>
                <w:sz w:val="22"/>
                <w:szCs w:val="22"/>
              </w:rPr>
              <w:t>ed</w:t>
            </w:r>
            <w:r w:rsidR="001A7816" w:rsidRPr="00A54B18">
              <w:rPr>
                <w:sz w:val="22"/>
                <w:szCs w:val="22"/>
              </w:rPr>
              <w:t xml:space="preserve"> its impact and the accuracy of its current monitoring</w:t>
            </w:r>
            <w:r w:rsidR="004C1AB5">
              <w:rPr>
                <w:sz w:val="22"/>
                <w:szCs w:val="22"/>
              </w:rPr>
              <w:t xml:space="preserve"> very positively. This increases confidence in the accuracy of impact reporting and has resulted in a lower risk and likelihood rating for 2022</w:t>
            </w:r>
            <w:r w:rsidR="001A7816" w:rsidRPr="00A54B18">
              <w:rPr>
                <w:sz w:val="22"/>
                <w:szCs w:val="22"/>
              </w:rPr>
              <w:t>.</w:t>
            </w:r>
          </w:p>
        </w:tc>
      </w:tr>
      <w:tr w:rsidR="00F45458" w:rsidRPr="00A54B18" w14:paraId="0FF8F984" w14:textId="77777777" w:rsidTr="3E625C7A">
        <w:trPr>
          <w:trHeight w:val="225"/>
        </w:trPr>
        <w:tc>
          <w:tcPr>
            <w:tcW w:w="1986" w:type="dxa"/>
            <w:tcBorders>
              <w:top w:val="single" w:sz="8" w:space="0" w:color="auto"/>
              <w:left w:val="single" w:sz="8" w:space="0" w:color="auto"/>
              <w:bottom w:val="single" w:sz="8" w:space="0" w:color="auto"/>
              <w:right w:val="single" w:sz="8" w:space="0" w:color="auto"/>
            </w:tcBorders>
          </w:tcPr>
          <w:p w14:paraId="5D08C1BB" w14:textId="1CD82689" w:rsidR="001748A3" w:rsidRPr="00A54B18" w:rsidRDefault="001748A3" w:rsidP="005E557A">
            <w:pPr>
              <w:rPr>
                <w:rFonts w:eastAsia="Arial" w:cs="Arial"/>
                <w:sz w:val="22"/>
                <w:szCs w:val="22"/>
              </w:rPr>
            </w:pPr>
            <w:r w:rsidRPr="00A54B18">
              <w:rPr>
                <w:rFonts w:eastAsia="Arial" w:cs="Arial"/>
                <w:sz w:val="22"/>
                <w:szCs w:val="22"/>
              </w:rPr>
              <w:t>Lack of</w:t>
            </w:r>
            <w:r w:rsidR="6EBCCF3C" w:rsidRPr="00A54B18">
              <w:rPr>
                <w:rFonts w:eastAsia="Arial" w:cs="Arial"/>
                <w:sz w:val="22"/>
                <w:szCs w:val="22"/>
              </w:rPr>
              <w:t xml:space="preserve"> recorded</w:t>
            </w:r>
            <w:r w:rsidRPr="00A54B18">
              <w:rPr>
                <w:rFonts w:eastAsia="Arial" w:cs="Arial"/>
                <w:sz w:val="22"/>
                <w:szCs w:val="22"/>
              </w:rPr>
              <w:t xml:space="preserve"> impact specifically on biodiversity</w:t>
            </w:r>
          </w:p>
        </w:tc>
        <w:tc>
          <w:tcPr>
            <w:tcW w:w="1417" w:type="dxa"/>
            <w:tcBorders>
              <w:top w:val="single" w:sz="8" w:space="0" w:color="auto"/>
              <w:left w:val="single" w:sz="8" w:space="0" w:color="auto"/>
              <w:bottom w:val="single" w:sz="8" w:space="0" w:color="auto"/>
              <w:right w:val="single" w:sz="8" w:space="0" w:color="auto"/>
            </w:tcBorders>
          </w:tcPr>
          <w:p w14:paraId="33FD05EA" w14:textId="69F075A8" w:rsidR="001748A3" w:rsidRPr="00A54B18" w:rsidRDefault="001748A3" w:rsidP="005E557A">
            <w:pPr>
              <w:rPr>
                <w:rFonts w:eastAsia="Arial" w:cs="Arial"/>
                <w:sz w:val="22"/>
                <w:szCs w:val="22"/>
              </w:rPr>
            </w:pPr>
            <w:r w:rsidRPr="00A54B18">
              <w:rPr>
                <w:rFonts w:eastAsia="Arial" w:cs="Arial"/>
                <w:sz w:val="22"/>
                <w:szCs w:val="22"/>
              </w:rPr>
              <w:t>Monitoring and reporting</w:t>
            </w:r>
          </w:p>
        </w:tc>
        <w:tc>
          <w:tcPr>
            <w:tcW w:w="1276"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0CD8B9D4" w14:textId="5695A47A" w:rsidR="001748A3" w:rsidRPr="00A54B18" w:rsidRDefault="001748A3" w:rsidP="005E557A">
            <w:pPr>
              <w:rPr>
                <w:rFonts w:eastAsia="Arial" w:cs="Arial"/>
                <w:sz w:val="22"/>
                <w:szCs w:val="22"/>
              </w:rPr>
            </w:pPr>
            <w:r w:rsidRPr="00A54B18">
              <w:rPr>
                <w:rFonts w:eastAsia="Arial" w:cs="Arial"/>
                <w:sz w:val="22"/>
                <w:szCs w:val="22"/>
              </w:rPr>
              <w:t>Moderate</w:t>
            </w:r>
          </w:p>
        </w:tc>
        <w:tc>
          <w:tcPr>
            <w:tcW w:w="1417"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715DA8FE" w14:textId="17B66528" w:rsidR="001748A3" w:rsidRPr="00A54B18" w:rsidRDefault="001748A3" w:rsidP="005E557A">
            <w:pPr>
              <w:rPr>
                <w:rFonts w:eastAsia="Arial" w:cs="Arial"/>
                <w:sz w:val="22"/>
                <w:szCs w:val="22"/>
              </w:rPr>
            </w:pPr>
            <w:r w:rsidRPr="00A54B18">
              <w:rPr>
                <w:rFonts w:eastAsia="Arial" w:cs="Arial"/>
                <w:sz w:val="22"/>
                <w:szCs w:val="22"/>
              </w:rPr>
              <w:t>Moderate</w:t>
            </w:r>
          </w:p>
        </w:tc>
        <w:tc>
          <w:tcPr>
            <w:tcW w:w="4820" w:type="dxa"/>
            <w:tcBorders>
              <w:top w:val="single" w:sz="8" w:space="0" w:color="auto"/>
              <w:left w:val="single" w:sz="8" w:space="0" w:color="auto"/>
              <w:bottom w:val="single" w:sz="8" w:space="0" w:color="auto"/>
              <w:right w:val="single" w:sz="8" w:space="0" w:color="auto"/>
            </w:tcBorders>
          </w:tcPr>
          <w:p w14:paraId="054B2129" w14:textId="296C28EC" w:rsidR="001748A3" w:rsidRDefault="001748A3" w:rsidP="34316472">
            <w:pPr>
              <w:pStyle w:val="ListParagraph"/>
              <w:numPr>
                <w:ilvl w:val="0"/>
                <w:numId w:val="9"/>
              </w:numPr>
              <w:spacing w:before="60" w:after="0"/>
              <w:ind w:left="227" w:hanging="227"/>
              <w:rPr>
                <w:rFonts w:eastAsia="Arial" w:cs="Arial"/>
                <w:sz w:val="22"/>
                <w:szCs w:val="22"/>
              </w:rPr>
            </w:pPr>
            <w:r w:rsidRPr="34316472">
              <w:rPr>
                <w:rFonts w:eastAsia="Arial" w:cs="Arial"/>
                <w:sz w:val="22"/>
                <w:szCs w:val="22"/>
              </w:rPr>
              <w:t>Work with EBF to expand Outcome monitoring to cover biodiversity; currently measured indirectly by land area in sustainable management and prevented deforestation</w:t>
            </w:r>
            <w:r w:rsidR="00E02491" w:rsidRPr="34316472">
              <w:rPr>
                <w:rFonts w:eastAsia="Arial" w:cs="Arial"/>
                <w:sz w:val="22"/>
                <w:szCs w:val="22"/>
              </w:rPr>
              <w:t>.</w:t>
            </w:r>
          </w:p>
          <w:p w14:paraId="00988DE3" w14:textId="1FE4B865" w:rsidR="00E02491" w:rsidRDefault="00B42EF2" w:rsidP="00674C5F">
            <w:pPr>
              <w:pStyle w:val="ListParagraph"/>
              <w:numPr>
                <w:ilvl w:val="0"/>
                <w:numId w:val="9"/>
              </w:numPr>
              <w:spacing w:before="60" w:after="0"/>
              <w:ind w:left="227" w:hanging="227"/>
              <w:rPr>
                <w:rFonts w:eastAsia="Arial" w:cs="Arial"/>
                <w:sz w:val="22"/>
                <w:szCs w:val="22"/>
              </w:rPr>
            </w:pPr>
            <w:r>
              <w:rPr>
                <w:rFonts w:eastAsia="Arial" w:cs="Arial"/>
                <w:sz w:val="22"/>
                <w:szCs w:val="22"/>
              </w:rPr>
              <w:t>EBF’s D</w:t>
            </w:r>
            <w:r w:rsidR="7906B1B8" w:rsidRPr="58D74F02">
              <w:rPr>
                <w:rFonts w:eastAsia="Arial" w:cs="Arial"/>
                <w:sz w:val="22"/>
                <w:szCs w:val="22"/>
              </w:rPr>
              <w:t>F sponsored a pilot of eco</w:t>
            </w:r>
            <w:r w:rsidR="00A24FA8">
              <w:rPr>
                <w:rFonts w:eastAsia="Arial" w:cs="Arial"/>
                <w:sz w:val="22"/>
                <w:szCs w:val="22"/>
              </w:rPr>
              <w:t>-</w:t>
            </w:r>
            <w:r w:rsidR="7906B1B8" w:rsidRPr="58D74F02">
              <w:rPr>
                <w:rFonts w:eastAsia="Arial" w:cs="Arial"/>
                <w:sz w:val="22"/>
                <w:szCs w:val="22"/>
              </w:rPr>
              <w:t xml:space="preserve">acoustic monitoring in 2022 and </w:t>
            </w:r>
            <w:r w:rsidR="6D36D6C6" w:rsidRPr="58D74F02">
              <w:rPr>
                <w:rFonts w:eastAsia="Arial" w:cs="Arial"/>
                <w:sz w:val="22"/>
                <w:szCs w:val="22"/>
              </w:rPr>
              <w:t>can</w:t>
            </w:r>
            <w:r w:rsidR="7906B1B8" w:rsidRPr="58D74F02">
              <w:rPr>
                <w:rFonts w:eastAsia="Arial" w:cs="Arial"/>
                <w:sz w:val="22"/>
                <w:szCs w:val="22"/>
              </w:rPr>
              <w:t xml:space="preserve"> fund further research and pilots into biodiversity monitoring through the DF. The lessons can be applied across other parts of the portfolio for a better sense of impact.</w:t>
            </w:r>
          </w:p>
          <w:p w14:paraId="31291435" w14:textId="732890D9" w:rsidR="00B42EF2" w:rsidRPr="00A54B18" w:rsidRDefault="005D62FE" w:rsidP="00674C5F">
            <w:pPr>
              <w:pStyle w:val="ListParagraph"/>
              <w:numPr>
                <w:ilvl w:val="0"/>
                <w:numId w:val="9"/>
              </w:numPr>
              <w:spacing w:before="60" w:after="0"/>
              <w:ind w:left="227" w:hanging="227"/>
              <w:rPr>
                <w:rFonts w:eastAsia="Arial" w:cs="Arial"/>
                <w:sz w:val="22"/>
                <w:szCs w:val="22"/>
              </w:rPr>
            </w:pPr>
            <w:r>
              <w:rPr>
                <w:rFonts w:eastAsia="Arial" w:cs="Arial"/>
                <w:sz w:val="22"/>
                <w:szCs w:val="22"/>
              </w:rPr>
              <w:t>In early 2024 t</w:t>
            </w:r>
            <w:r w:rsidR="00B42EF2">
              <w:rPr>
                <w:rFonts w:eastAsia="Arial" w:cs="Arial"/>
                <w:sz w:val="22"/>
                <w:szCs w:val="22"/>
              </w:rPr>
              <w:t xml:space="preserve">he DF started a project to </w:t>
            </w:r>
            <w:r w:rsidR="00680D25">
              <w:rPr>
                <w:rFonts w:eastAsia="Arial" w:cs="Arial"/>
                <w:sz w:val="22"/>
                <w:szCs w:val="22"/>
              </w:rPr>
              <w:t>develop a new biodiversity indicator for the Fund.</w:t>
            </w:r>
          </w:p>
        </w:tc>
      </w:tr>
      <w:tr w:rsidR="00F45458" w:rsidRPr="00A54B18" w14:paraId="217AD012" w14:textId="77777777" w:rsidTr="3E625C7A">
        <w:trPr>
          <w:trHeight w:val="225"/>
        </w:trPr>
        <w:tc>
          <w:tcPr>
            <w:tcW w:w="1986" w:type="dxa"/>
            <w:tcBorders>
              <w:top w:val="single" w:sz="8" w:space="0" w:color="auto"/>
              <w:left w:val="single" w:sz="8" w:space="0" w:color="auto"/>
              <w:bottom w:val="single" w:sz="8" w:space="0" w:color="auto"/>
              <w:right w:val="single" w:sz="8" w:space="0" w:color="auto"/>
            </w:tcBorders>
          </w:tcPr>
          <w:p w14:paraId="1FB9E57B" w14:textId="55BFA8ED" w:rsidR="008C4E9E" w:rsidRPr="00A54B18" w:rsidRDefault="008C4E9E" w:rsidP="008C4E9E">
            <w:pPr>
              <w:rPr>
                <w:rFonts w:eastAsia="Arial" w:cs="Arial"/>
                <w:sz w:val="22"/>
                <w:szCs w:val="22"/>
              </w:rPr>
            </w:pPr>
            <w:r>
              <w:rPr>
                <w:rFonts w:eastAsia="Arial" w:cs="Arial"/>
                <w:sz w:val="22"/>
                <w:szCs w:val="22"/>
              </w:rPr>
              <w:t>Gender Equality and Social Inclusion (GESI)</w:t>
            </w:r>
            <w:r w:rsidR="00CA6751">
              <w:rPr>
                <w:rFonts w:eastAsia="Arial" w:cs="Arial"/>
                <w:sz w:val="22"/>
                <w:szCs w:val="22"/>
              </w:rPr>
              <w:t xml:space="preserve"> risk</w:t>
            </w:r>
            <w:r w:rsidR="00756CEF">
              <w:rPr>
                <w:rFonts w:eastAsia="Arial" w:cs="Arial"/>
                <w:sz w:val="22"/>
                <w:szCs w:val="22"/>
              </w:rPr>
              <w:t xml:space="preserve"> in PIs and end-borrowers</w:t>
            </w:r>
            <w:r w:rsidR="00B818C2" w:rsidRPr="00B818C2">
              <w:rPr>
                <w:rFonts w:eastAsia="Arial" w:cs="Arial"/>
                <w:sz w:val="22"/>
                <w:szCs w:val="22"/>
              </w:rPr>
              <w:t xml:space="preserve"> that funding may perpetuate inequality and lack of opportunity, particularly in countries where gender equity is not well established or may be culturally challenging.</w:t>
            </w:r>
          </w:p>
        </w:tc>
        <w:tc>
          <w:tcPr>
            <w:tcW w:w="1417" w:type="dxa"/>
            <w:tcBorders>
              <w:top w:val="single" w:sz="8" w:space="0" w:color="auto"/>
              <w:left w:val="single" w:sz="8" w:space="0" w:color="auto"/>
              <w:bottom w:val="single" w:sz="8" w:space="0" w:color="auto"/>
              <w:right w:val="single" w:sz="8" w:space="0" w:color="auto"/>
            </w:tcBorders>
          </w:tcPr>
          <w:p w14:paraId="39A56EF5" w14:textId="794D1D52" w:rsidR="008C4E9E" w:rsidRPr="00A54B18" w:rsidRDefault="00756CEF" w:rsidP="008C4E9E">
            <w:pPr>
              <w:rPr>
                <w:rFonts w:eastAsia="Arial" w:cs="Arial"/>
                <w:sz w:val="22"/>
                <w:szCs w:val="22"/>
              </w:rPr>
            </w:pPr>
            <w:r>
              <w:rPr>
                <w:rFonts w:eastAsia="Arial" w:cs="Arial"/>
                <w:sz w:val="22"/>
                <w:szCs w:val="22"/>
              </w:rPr>
              <w:t>Reputation</w:t>
            </w:r>
          </w:p>
        </w:tc>
        <w:tc>
          <w:tcPr>
            <w:tcW w:w="1276"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1A9E8D97" w14:textId="07C4F05C" w:rsidR="008C4E9E" w:rsidRPr="00A54B18" w:rsidRDefault="00990C1D" w:rsidP="008C4E9E">
            <w:pPr>
              <w:rPr>
                <w:rFonts w:eastAsia="Arial" w:cs="Arial"/>
                <w:sz w:val="22"/>
                <w:szCs w:val="22"/>
              </w:rPr>
            </w:pPr>
            <w:r>
              <w:rPr>
                <w:rFonts w:eastAsia="Arial" w:cs="Arial"/>
                <w:sz w:val="22"/>
                <w:szCs w:val="22"/>
              </w:rPr>
              <w:t>Moderate</w:t>
            </w:r>
          </w:p>
        </w:tc>
        <w:tc>
          <w:tcPr>
            <w:tcW w:w="1417"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4FAA9280" w14:textId="2BE1D1B7" w:rsidR="008C4E9E" w:rsidRPr="00A54B18" w:rsidRDefault="00990C1D" w:rsidP="008C4E9E">
            <w:pPr>
              <w:rPr>
                <w:rFonts w:eastAsia="Arial" w:cs="Arial"/>
                <w:sz w:val="22"/>
                <w:szCs w:val="22"/>
              </w:rPr>
            </w:pPr>
            <w:r>
              <w:rPr>
                <w:rFonts w:eastAsia="Arial" w:cs="Arial"/>
                <w:sz w:val="22"/>
                <w:szCs w:val="22"/>
              </w:rPr>
              <w:t>Moderate</w:t>
            </w:r>
          </w:p>
        </w:tc>
        <w:tc>
          <w:tcPr>
            <w:tcW w:w="4820" w:type="dxa"/>
            <w:tcBorders>
              <w:top w:val="single" w:sz="8" w:space="0" w:color="auto"/>
              <w:left w:val="single" w:sz="8" w:space="0" w:color="auto"/>
              <w:bottom w:val="single" w:sz="8" w:space="0" w:color="auto"/>
              <w:right w:val="single" w:sz="8" w:space="0" w:color="auto"/>
            </w:tcBorders>
          </w:tcPr>
          <w:p w14:paraId="2317DBBB" w14:textId="130FC2A5" w:rsidR="00940A13" w:rsidRPr="00940A13" w:rsidRDefault="00940A13" w:rsidP="00674C5F">
            <w:pPr>
              <w:pStyle w:val="ListParagraph"/>
              <w:numPr>
                <w:ilvl w:val="0"/>
                <w:numId w:val="9"/>
              </w:numPr>
              <w:spacing w:before="60" w:after="0"/>
              <w:ind w:left="227" w:hanging="227"/>
              <w:contextualSpacing w:val="0"/>
              <w:rPr>
                <w:rFonts w:eastAsia="Arial" w:cs="Arial"/>
                <w:sz w:val="22"/>
                <w:szCs w:val="22"/>
              </w:rPr>
            </w:pPr>
            <w:r>
              <w:rPr>
                <w:rFonts w:eastAsia="Arial" w:cs="Arial"/>
                <w:sz w:val="22"/>
                <w:szCs w:val="22"/>
              </w:rPr>
              <w:t xml:space="preserve">The Fund has a </w:t>
            </w:r>
            <w:r w:rsidR="0001674D">
              <w:rPr>
                <w:rFonts w:eastAsia="Arial" w:cs="Arial"/>
                <w:sz w:val="22"/>
                <w:szCs w:val="22"/>
              </w:rPr>
              <w:t xml:space="preserve">Board-approved </w:t>
            </w:r>
            <w:r>
              <w:rPr>
                <w:rFonts w:eastAsia="Arial" w:cs="Arial"/>
                <w:sz w:val="22"/>
                <w:szCs w:val="22"/>
              </w:rPr>
              <w:t xml:space="preserve">Gender </w:t>
            </w:r>
            <w:r w:rsidR="0001674D">
              <w:rPr>
                <w:rFonts w:eastAsia="Arial" w:cs="Arial"/>
                <w:sz w:val="22"/>
                <w:szCs w:val="22"/>
              </w:rPr>
              <w:t xml:space="preserve">Strategy which guides its engagement with PIs </w:t>
            </w:r>
            <w:r w:rsidR="007D45E5">
              <w:rPr>
                <w:rFonts w:eastAsia="Arial" w:cs="Arial"/>
                <w:sz w:val="22"/>
                <w:szCs w:val="22"/>
              </w:rPr>
              <w:t>to embed gender equity into its lending and TA.</w:t>
            </w:r>
          </w:p>
          <w:p w14:paraId="565DDF7A" w14:textId="77777777" w:rsidR="008C4E9E" w:rsidRDefault="00756CEF" w:rsidP="00674C5F">
            <w:pPr>
              <w:pStyle w:val="ListParagraph"/>
              <w:numPr>
                <w:ilvl w:val="0"/>
                <w:numId w:val="9"/>
              </w:numPr>
              <w:spacing w:before="60" w:after="0"/>
              <w:ind w:left="227" w:hanging="227"/>
              <w:contextualSpacing w:val="0"/>
              <w:rPr>
                <w:rFonts w:eastAsia="Arial" w:cs="Arial"/>
                <w:sz w:val="22"/>
                <w:szCs w:val="22"/>
              </w:rPr>
            </w:pPr>
            <w:r>
              <w:rPr>
                <w:rFonts w:eastAsia="Arial" w:cs="Arial"/>
                <w:sz w:val="22"/>
                <w:szCs w:val="22"/>
              </w:rPr>
              <w:t>Further detail on the Fund’s Gender Strategy is inclu</w:t>
            </w:r>
            <w:r w:rsidR="00990C1D">
              <w:rPr>
                <w:rFonts w:eastAsia="Arial" w:cs="Arial"/>
                <w:sz w:val="22"/>
                <w:szCs w:val="22"/>
              </w:rPr>
              <w:t>ded in Section E under ‘Equity’.</w:t>
            </w:r>
          </w:p>
          <w:p w14:paraId="5DC31EA0" w14:textId="00EFB1A8" w:rsidR="00CA6751" w:rsidRPr="00235F12" w:rsidRDefault="00CA6751" w:rsidP="00674C5F">
            <w:pPr>
              <w:pStyle w:val="ListParagraph"/>
              <w:numPr>
                <w:ilvl w:val="0"/>
                <w:numId w:val="9"/>
              </w:numPr>
              <w:spacing w:before="60" w:after="0"/>
              <w:ind w:left="227" w:hanging="227"/>
              <w:contextualSpacing w:val="0"/>
              <w:rPr>
                <w:rFonts w:eastAsia="Arial" w:cs="Arial"/>
                <w:sz w:val="22"/>
                <w:szCs w:val="22"/>
              </w:rPr>
            </w:pPr>
            <w:r>
              <w:rPr>
                <w:rFonts w:eastAsia="Arial" w:cs="Arial"/>
                <w:sz w:val="22"/>
                <w:szCs w:val="22"/>
              </w:rPr>
              <w:t>The Fund’s use of a Green List to make finance available to smaller businesses</w:t>
            </w:r>
            <w:r w:rsidR="00A52F16">
              <w:rPr>
                <w:rFonts w:eastAsia="Arial" w:cs="Arial"/>
                <w:sz w:val="22"/>
                <w:szCs w:val="22"/>
              </w:rPr>
              <w:t xml:space="preserve"> and its dispersal of funding through local Partner Institutions with better access into communities reduces the </w:t>
            </w:r>
            <w:r w:rsidR="00142BB6">
              <w:rPr>
                <w:rFonts w:eastAsia="Arial" w:cs="Arial"/>
                <w:sz w:val="22"/>
                <w:szCs w:val="22"/>
              </w:rPr>
              <w:t>risk of perpetuating poverty, and goes some way to addressing problems of access to finance for small-scale producers and processors in the supply chain.</w:t>
            </w:r>
          </w:p>
        </w:tc>
      </w:tr>
      <w:tr w:rsidR="00F45458" w:rsidRPr="00A54B18" w14:paraId="33EF70F7" w14:textId="77777777" w:rsidTr="0023454C">
        <w:trPr>
          <w:trHeight w:val="225"/>
        </w:trPr>
        <w:tc>
          <w:tcPr>
            <w:tcW w:w="1986" w:type="dxa"/>
            <w:tcBorders>
              <w:top w:val="single" w:sz="8" w:space="0" w:color="auto"/>
              <w:left w:val="single" w:sz="8" w:space="0" w:color="auto"/>
              <w:bottom w:val="single" w:sz="8" w:space="0" w:color="auto"/>
              <w:right w:val="single" w:sz="8" w:space="0" w:color="auto"/>
            </w:tcBorders>
          </w:tcPr>
          <w:p w14:paraId="5794F8DF" w14:textId="3295C6F8" w:rsidR="002B0CAF" w:rsidRDefault="00756CEF" w:rsidP="008C4E9E">
            <w:pPr>
              <w:rPr>
                <w:rFonts w:eastAsia="Arial" w:cs="Arial"/>
                <w:sz w:val="22"/>
                <w:szCs w:val="22"/>
              </w:rPr>
            </w:pPr>
            <w:r>
              <w:rPr>
                <w:rFonts w:eastAsia="Arial" w:cs="Arial"/>
                <w:sz w:val="22"/>
                <w:szCs w:val="22"/>
              </w:rPr>
              <w:lastRenderedPageBreak/>
              <w:t>Risk of safe-guarding issues</w:t>
            </w:r>
          </w:p>
        </w:tc>
        <w:tc>
          <w:tcPr>
            <w:tcW w:w="1417" w:type="dxa"/>
            <w:tcBorders>
              <w:top w:val="single" w:sz="8" w:space="0" w:color="auto"/>
              <w:left w:val="single" w:sz="8" w:space="0" w:color="auto"/>
              <w:bottom w:val="single" w:sz="8" w:space="0" w:color="auto"/>
              <w:right w:val="single" w:sz="8" w:space="0" w:color="auto"/>
            </w:tcBorders>
          </w:tcPr>
          <w:p w14:paraId="091C5942" w14:textId="0CB4755F" w:rsidR="002B0CAF" w:rsidRDefault="00756CEF" w:rsidP="008C4E9E">
            <w:pPr>
              <w:rPr>
                <w:rFonts w:eastAsia="Arial" w:cs="Arial"/>
                <w:sz w:val="22"/>
                <w:szCs w:val="22"/>
              </w:rPr>
            </w:pPr>
            <w:r>
              <w:rPr>
                <w:rFonts w:eastAsia="Arial" w:cs="Arial"/>
                <w:sz w:val="22"/>
                <w:szCs w:val="22"/>
              </w:rPr>
              <w:t>Safe-guarding</w:t>
            </w:r>
          </w:p>
        </w:tc>
        <w:tc>
          <w:tcPr>
            <w:tcW w:w="1276"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1F98EF14" w14:textId="3E362958" w:rsidR="002B0CAF" w:rsidRDefault="00990C1D" w:rsidP="008C4E9E">
            <w:pPr>
              <w:rPr>
                <w:rFonts w:eastAsia="Arial" w:cs="Arial"/>
                <w:sz w:val="22"/>
                <w:szCs w:val="22"/>
              </w:rPr>
            </w:pPr>
            <w:r>
              <w:rPr>
                <w:rFonts w:eastAsia="Arial" w:cs="Arial"/>
                <w:sz w:val="22"/>
                <w:szCs w:val="22"/>
              </w:rPr>
              <w:t>Moderate</w:t>
            </w:r>
          </w:p>
        </w:tc>
        <w:tc>
          <w:tcPr>
            <w:tcW w:w="1417"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49188B49" w14:textId="05CE88E1" w:rsidR="002B0CAF" w:rsidRDefault="0023454C" w:rsidP="008C4E9E">
            <w:pPr>
              <w:rPr>
                <w:rFonts w:eastAsia="Arial" w:cs="Arial"/>
                <w:sz w:val="22"/>
                <w:szCs w:val="22"/>
              </w:rPr>
            </w:pPr>
            <w:r>
              <w:rPr>
                <w:rFonts w:eastAsia="Arial" w:cs="Arial"/>
                <w:sz w:val="22"/>
                <w:szCs w:val="22"/>
              </w:rPr>
              <w:t>Low</w:t>
            </w:r>
          </w:p>
        </w:tc>
        <w:tc>
          <w:tcPr>
            <w:tcW w:w="4820" w:type="dxa"/>
            <w:tcBorders>
              <w:top w:val="single" w:sz="8" w:space="0" w:color="auto"/>
              <w:left w:val="single" w:sz="8" w:space="0" w:color="auto"/>
              <w:bottom w:val="single" w:sz="8" w:space="0" w:color="auto"/>
              <w:right w:val="single" w:sz="8" w:space="0" w:color="auto"/>
            </w:tcBorders>
          </w:tcPr>
          <w:p w14:paraId="58C8795F" w14:textId="4BD1A248" w:rsidR="00756CEF" w:rsidRPr="005B6F1D" w:rsidRDefault="00C1071F" w:rsidP="005B6F1D">
            <w:pPr>
              <w:pStyle w:val="ListParagraph"/>
              <w:numPr>
                <w:ilvl w:val="0"/>
                <w:numId w:val="9"/>
              </w:numPr>
              <w:spacing w:before="60" w:after="0"/>
              <w:ind w:left="227" w:hanging="227"/>
              <w:rPr>
                <w:rFonts w:eastAsiaTheme="majorEastAsia" w:cs="Arial"/>
                <w:sz w:val="22"/>
                <w:szCs w:val="22"/>
              </w:rPr>
            </w:pPr>
            <w:r>
              <w:rPr>
                <w:rFonts w:eastAsiaTheme="majorEastAsia" w:cs="Arial"/>
                <w:sz w:val="22"/>
                <w:szCs w:val="22"/>
              </w:rPr>
              <w:t>Safeguarding is managed by FiM, who have</w:t>
            </w:r>
            <w:r w:rsidR="58DA66C5" w:rsidRPr="09596D20">
              <w:rPr>
                <w:rFonts w:eastAsiaTheme="majorEastAsia" w:cs="Arial"/>
                <w:sz w:val="22"/>
                <w:szCs w:val="22"/>
              </w:rPr>
              <w:t xml:space="preserve"> a safeguarding policy for all Advis</w:t>
            </w:r>
            <w:r w:rsidR="60857097" w:rsidRPr="09596D20">
              <w:rPr>
                <w:rFonts w:eastAsiaTheme="majorEastAsia" w:cs="Arial"/>
                <w:sz w:val="22"/>
                <w:szCs w:val="22"/>
              </w:rPr>
              <w:t>e</w:t>
            </w:r>
            <w:r w:rsidR="00756CEF" w:rsidRPr="09596D20">
              <w:rPr>
                <w:rFonts w:eastAsiaTheme="majorEastAsia" w:cs="Arial"/>
                <w:sz w:val="22"/>
                <w:szCs w:val="22"/>
              </w:rPr>
              <w:t>r staff working with children or adults at risk and addresses child safeguarding, adult safeguarding, and protection from sexual exploitation and abuse. It covers the actions the Fund takes to safeguard children and adults at risk and the actions it takes in response to any reported violations of this policy.</w:t>
            </w:r>
            <w:r w:rsidR="005B6F1D" w:rsidRPr="005B6F1D">
              <w:rPr>
                <w:sz w:val="22"/>
                <w:szCs w:val="22"/>
              </w:rPr>
              <w:t xml:space="preserve"> </w:t>
            </w:r>
            <w:r w:rsidR="005B6F1D" w:rsidRPr="005B6F1D">
              <w:rPr>
                <w:rFonts w:eastAsiaTheme="majorEastAsia" w:cs="Arial"/>
                <w:sz w:val="22"/>
                <w:szCs w:val="22"/>
              </w:rPr>
              <w:t>Defra’s programme team has no involvement in any areas where there might be safeguarding risks.</w:t>
            </w:r>
          </w:p>
          <w:p w14:paraId="4DA45220" w14:textId="1DE51206" w:rsidR="002B0CAF" w:rsidRDefault="00756CEF" w:rsidP="00674C5F">
            <w:pPr>
              <w:pStyle w:val="ListParagraph"/>
              <w:numPr>
                <w:ilvl w:val="0"/>
                <w:numId w:val="9"/>
              </w:numPr>
              <w:spacing w:before="60" w:after="0"/>
              <w:ind w:left="227" w:hanging="227"/>
              <w:contextualSpacing w:val="0"/>
              <w:rPr>
                <w:rFonts w:eastAsia="Arial" w:cs="Arial"/>
                <w:sz w:val="22"/>
                <w:szCs w:val="22"/>
              </w:rPr>
            </w:pPr>
            <w:r w:rsidRPr="00235F12">
              <w:rPr>
                <w:rFonts w:eastAsiaTheme="majorEastAsia" w:cs="Arial"/>
                <w:sz w:val="22"/>
                <w:szCs w:val="22"/>
              </w:rPr>
              <w:t>These include making relevant staff aware of their responsibilities, identifying risks when designing activities, implementing safeguarding procedures in recruitment, management and deployment of staff, and ensuring relevant staff receive training on safeguarding.</w:t>
            </w:r>
          </w:p>
        </w:tc>
      </w:tr>
      <w:tr w:rsidR="00C21E6D" w:rsidRPr="00A54B18" w14:paraId="780DCB1B" w14:textId="77777777" w:rsidTr="00E92CAB">
        <w:trPr>
          <w:trHeight w:val="225"/>
        </w:trPr>
        <w:tc>
          <w:tcPr>
            <w:tcW w:w="1986" w:type="dxa"/>
            <w:tcBorders>
              <w:top w:val="single" w:sz="8" w:space="0" w:color="auto"/>
              <w:left w:val="single" w:sz="8" w:space="0" w:color="auto"/>
              <w:bottom w:val="single" w:sz="8" w:space="0" w:color="auto"/>
              <w:right w:val="single" w:sz="8" w:space="0" w:color="auto"/>
            </w:tcBorders>
          </w:tcPr>
          <w:p w14:paraId="38D3A0EB" w14:textId="4756E05B" w:rsidR="00C21E6D" w:rsidRDefault="00C21E6D" w:rsidP="00C21E6D">
            <w:pPr>
              <w:rPr>
                <w:rFonts w:eastAsia="Arial" w:cs="Arial"/>
                <w:sz w:val="22"/>
                <w:szCs w:val="22"/>
              </w:rPr>
            </w:pPr>
            <w:r>
              <w:rPr>
                <w:rFonts w:eastAsia="Arial" w:cs="Arial"/>
                <w:sz w:val="22"/>
                <w:szCs w:val="22"/>
              </w:rPr>
              <w:t>Risk of Fraud</w:t>
            </w:r>
          </w:p>
        </w:tc>
        <w:tc>
          <w:tcPr>
            <w:tcW w:w="1417" w:type="dxa"/>
            <w:tcBorders>
              <w:top w:val="single" w:sz="8" w:space="0" w:color="auto"/>
              <w:left w:val="single" w:sz="8" w:space="0" w:color="auto"/>
              <w:bottom w:val="single" w:sz="8" w:space="0" w:color="auto"/>
              <w:right w:val="single" w:sz="8" w:space="0" w:color="auto"/>
            </w:tcBorders>
          </w:tcPr>
          <w:p w14:paraId="29D11D95" w14:textId="46B024B4" w:rsidR="00C21E6D" w:rsidRDefault="00C21E6D" w:rsidP="00C21E6D">
            <w:pPr>
              <w:rPr>
                <w:rFonts w:eastAsia="Arial" w:cs="Arial"/>
                <w:sz w:val="22"/>
                <w:szCs w:val="22"/>
              </w:rPr>
            </w:pPr>
            <w:r>
              <w:rPr>
                <w:rFonts w:eastAsia="Arial" w:cs="Arial"/>
                <w:sz w:val="22"/>
                <w:szCs w:val="22"/>
              </w:rPr>
              <w:t>Fraud</w:t>
            </w:r>
          </w:p>
        </w:tc>
        <w:tc>
          <w:tcPr>
            <w:tcW w:w="1276"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5668982C" w14:textId="5ECA4B10" w:rsidR="00C21E6D" w:rsidRDefault="00E92CAB" w:rsidP="00C21E6D">
            <w:pPr>
              <w:rPr>
                <w:rFonts w:eastAsia="Arial" w:cs="Arial"/>
                <w:sz w:val="22"/>
                <w:szCs w:val="22"/>
              </w:rPr>
            </w:pPr>
            <w:r>
              <w:rPr>
                <w:rFonts w:eastAsia="Arial" w:cs="Arial"/>
                <w:sz w:val="22"/>
                <w:szCs w:val="22"/>
              </w:rPr>
              <w:t>Low</w:t>
            </w:r>
          </w:p>
        </w:tc>
        <w:tc>
          <w:tcPr>
            <w:tcW w:w="1417"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05A2AEEC" w14:textId="159E6864" w:rsidR="00C21E6D" w:rsidRDefault="00E92CAB" w:rsidP="00C21E6D">
            <w:pPr>
              <w:rPr>
                <w:rFonts w:eastAsia="Arial" w:cs="Arial"/>
                <w:sz w:val="22"/>
                <w:szCs w:val="22"/>
              </w:rPr>
            </w:pPr>
            <w:r>
              <w:rPr>
                <w:rFonts w:eastAsia="Arial" w:cs="Arial"/>
                <w:sz w:val="22"/>
                <w:szCs w:val="22"/>
              </w:rPr>
              <w:t>Low</w:t>
            </w:r>
          </w:p>
        </w:tc>
        <w:tc>
          <w:tcPr>
            <w:tcW w:w="4820" w:type="dxa"/>
            <w:tcBorders>
              <w:top w:val="single" w:sz="8" w:space="0" w:color="auto"/>
              <w:left w:val="single" w:sz="8" w:space="0" w:color="auto"/>
              <w:bottom w:val="single" w:sz="8" w:space="0" w:color="auto"/>
              <w:right w:val="single" w:sz="8" w:space="0" w:color="auto"/>
            </w:tcBorders>
          </w:tcPr>
          <w:p w14:paraId="4D1D4C88" w14:textId="617C5282" w:rsidR="00C21E6D" w:rsidRDefault="00C21E6D" w:rsidP="00C21E6D">
            <w:pPr>
              <w:pStyle w:val="ListParagraph"/>
              <w:numPr>
                <w:ilvl w:val="0"/>
                <w:numId w:val="9"/>
              </w:numPr>
              <w:spacing w:before="60" w:after="0"/>
              <w:ind w:left="227" w:hanging="227"/>
              <w:rPr>
                <w:rFonts w:eastAsiaTheme="majorEastAsia" w:cs="Arial"/>
                <w:sz w:val="22"/>
                <w:szCs w:val="22"/>
              </w:rPr>
            </w:pPr>
            <w:r>
              <w:rPr>
                <w:sz w:val="22"/>
                <w:szCs w:val="22"/>
              </w:rPr>
              <w:t xml:space="preserve">Fraud risks are managed by </w:t>
            </w:r>
            <w:r w:rsidR="00E92CAB">
              <w:rPr>
                <w:sz w:val="22"/>
                <w:szCs w:val="22"/>
              </w:rPr>
              <w:t>FiM</w:t>
            </w:r>
            <w:r>
              <w:rPr>
                <w:sz w:val="22"/>
                <w:szCs w:val="22"/>
              </w:rPr>
              <w:t>, who have robust internal investment controls, and carry out extensive due diligence on their investors and investees.</w:t>
            </w:r>
          </w:p>
        </w:tc>
      </w:tr>
      <w:tr w:rsidR="00C21E6D" w:rsidRPr="00A54B18" w14:paraId="3561AE14" w14:textId="77777777" w:rsidTr="3E625C7A">
        <w:trPr>
          <w:trHeight w:val="225"/>
        </w:trPr>
        <w:tc>
          <w:tcPr>
            <w:tcW w:w="1986" w:type="dxa"/>
            <w:tcBorders>
              <w:top w:val="single" w:sz="8" w:space="0" w:color="auto"/>
              <w:left w:val="single" w:sz="8" w:space="0" w:color="auto"/>
              <w:bottom w:val="single" w:sz="8" w:space="0" w:color="auto"/>
              <w:right w:val="single" w:sz="8" w:space="0" w:color="auto"/>
            </w:tcBorders>
          </w:tcPr>
          <w:p w14:paraId="2ABBAABE" w14:textId="4F8530D8" w:rsidR="00C21E6D" w:rsidRDefault="00C21E6D" w:rsidP="00C21E6D">
            <w:pPr>
              <w:rPr>
                <w:rFonts w:eastAsia="Arial" w:cs="Arial"/>
                <w:sz w:val="22"/>
                <w:szCs w:val="22"/>
              </w:rPr>
            </w:pPr>
            <w:r>
              <w:rPr>
                <w:rFonts w:eastAsia="Arial" w:cs="Arial"/>
                <w:sz w:val="22"/>
                <w:szCs w:val="22"/>
              </w:rPr>
              <w:t>Concentration of investments in countries or sectors, making the portfolio vulnerable to local political or economic changes, or to global commodity markets.</w:t>
            </w:r>
          </w:p>
        </w:tc>
        <w:tc>
          <w:tcPr>
            <w:tcW w:w="1417" w:type="dxa"/>
            <w:tcBorders>
              <w:top w:val="single" w:sz="8" w:space="0" w:color="auto"/>
              <w:left w:val="single" w:sz="8" w:space="0" w:color="auto"/>
              <w:bottom w:val="single" w:sz="8" w:space="0" w:color="auto"/>
              <w:right w:val="single" w:sz="8" w:space="0" w:color="auto"/>
            </w:tcBorders>
          </w:tcPr>
          <w:p w14:paraId="7C91F324" w14:textId="262AAFD0" w:rsidR="00C21E6D" w:rsidRPr="00A54B18" w:rsidRDefault="00C21E6D" w:rsidP="00C21E6D">
            <w:pPr>
              <w:rPr>
                <w:rFonts w:eastAsia="Arial" w:cs="Arial"/>
                <w:sz w:val="22"/>
                <w:szCs w:val="22"/>
              </w:rPr>
            </w:pPr>
            <w:r>
              <w:rPr>
                <w:rFonts w:eastAsia="Arial" w:cs="Arial"/>
                <w:sz w:val="22"/>
                <w:szCs w:val="22"/>
              </w:rPr>
              <w:t>Investment risk</w:t>
            </w:r>
          </w:p>
        </w:tc>
        <w:tc>
          <w:tcPr>
            <w:tcW w:w="1276"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0629AE28" w14:textId="7B14ABCE" w:rsidR="00C21E6D" w:rsidRPr="00A54B18" w:rsidRDefault="00C21E6D" w:rsidP="00C21E6D">
            <w:pPr>
              <w:rPr>
                <w:rFonts w:eastAsia="Arial" w:cs="Arial"/>
                <w:sz w:val="22"/>
                <w:szCs w:val="22"/>
              </w:rPr>
            </w:pPr>
            <w:r>
              <w:rPr>
                <w:rFonts w:eastAsia="Arial" w:cs="Arial"/>
                <w:sz w:val="22"/>
                <w:szCs w:val="22"/>
              </w:rPr>
              <w:t>Low</w:t>
            </w:r>
          </w:p>
        </w:tc>
        <w:tc>
          <w:tcPr>
            <w:tcW w:w="1417"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080AF499" w14:textId="14425EFC" w:rsidR="00C21E6D" w:rsidRPr="00A54B18" w:rsidRDefault="00C21E6D" w:rsidP="00C21E6D">
            <w:pPr>
              <w:rPr>
                <w:rFonts w:eastAsia="Arial" w:cs="Arial"/>
                <w:sz w:val="22"/>
                <w:szCs w:val="22"/>
              </w:rPr>
            </w:pPr>
            <w:r>
              <w:rPr>
                <w:rFonts w:eastAsia="Arial" w:cs="Arial"/>
                <w:sz w:val="22"/>
                <w:szCs w:val="22"/>
              </w:rPr>
              <w:t>Low</w:t>
            </w:r>
          </w:p>
        </w:tc>
        <w:tc>
          <w:tcPr>
            <w:tcW w:w="4820" w:type="dxa"/>
            <w:tcBorders>
              <w:top w:val="single" w:sz="8" w:space="0" w:color="auto"/>
              <w:left w:val="single" w:sz="8" w:space="0" w:color="auto"/>
              <w:bottom w:val="single" w:sz="8" w:space="0" w:color="auto"/>
              <w:right w:val="single" w:sz="8" w:space="0" w:color="auto"/>
            </w:tcBorders>
          </w:tcPr>
          <w:p w14:paraId="6BEE726B" w14:textId="7C1FE8B4" w:rsidR="00C21E6D" w:rsidRDefault="00C21E6D" w:rsidP="00C21E6D">
            <w:pPr>
              <w:pStyle w:val="ListParagraph"/>
              <w:numPr>
                <w:ilvl w:val="0"/>
                <w:numId w:val="9"/>
              </w:numPr>
              <w:spacing w:before="60" w:after="0"/>
              <w:ind w:left="227" w:hanging="227"/>
              <w:rPr>
                <w:rFonts w:eastAsia="Arial" w:cs="Arial"/>
                <w:sz w:val="22"/>
                <w:szCs w:val="22"/>
              </w:rPr>
            </w:pPr>
            <w:r w:rsidRPr="07FC4C9B">
              <w:rPr>
                <w:rFonts w:eastAsia="Arial" w:cs="Arial"/>
                <w:sz w:val="22"/>
                <w:szCs w:val="22"/>
              </w:rPr>
              <w:t>Investments are more concentrated in Ecuador (17%) and Colombia (15%); the Fund has a country limit of 20% in place to prevent aggregate exposure and regularly reviews this risk.</w:t>
            </w:r>
          </w:p>
          <w:p w14:paraId="275650AC" w14:textId="43D541AD" w:rsidR="00C21E6D" w:rsidRPr="00A54B18" w:rsidRDefault="00C21E6D" w:rsidP="00C21E6D">
            <w:pPr>
              <w:pStyle w:val="ListParagraph"/>
              <w:numPr>
                <w:ilvl w:val="0"/>
                <w:numId w:val="9"/>
              </w:numPr>
              <w:spacing w:before="60" w:after="0"/>
              <w:ind w:left="227" w:hanging="227"/>
              <w:rPr>
                <w:rFonts w:eastAsia="Arial" w:cs="Arial"/>
                <w:sz w:val="22"/>
                <w:szCs w:val="22"/>
              </w:rPr>
            </w:pPr>
            <w:r w:rsidRPr="004D56E0">
              <w:rPr>
                <w:rFonts w:eastAsia="Arial" w:cs="Arial"/>
                <w:sz w:val="22"/>
                <w:szCs w:val="22"/>
              </w:rPr>
              <w:t>Sugarcane is the biggest investment sector for EBF sub-loans at 18% followed by farmed shrimp (15%) and coffee (15%).</w:t>
            </w:r>
          </w:p>
        </w:tc>
      </w:tr>
      <w:tr w:rsidR="00C21E6D" w:rsidRPr="00A54B18" w14:paraId="1788D51C" w14:textId="77777777" w:rsidTr="3E625C7A">
        <w:trPr>
          <w:trHeight w:val="225"/>
        </w:trPr>
        <w:tc>
          <w:tcPr>
            <w:tcW w:w="1986" w:type="dxa"/>
            <w:tcBorders>
              <w:top w:val="single" w:sz="8" w:space="0" w:color="auto"/>
              <w:left w:val="single" w:sz="8" w:space="0" w:color="auto"/>
              <w:bottom w:val="single" w:sz="8" w:space="0" w:color="auto"/>
              <w:right w:val="single" w:sz="8" w:space="0" w:color="auto"/>
            </w:tcBorders>
          </w:tcPr>
          <w:p w14:paraId="68367D9B" w14:textId="77777777" w:rsidR="00C21E6D" w:rsidRDefault="00C21E6D" w:rsidP="00C21E6D">
            <w:pPr>
              <w:rPr>
                <w:rFonts w:eastAsia="Arial" w:cs="Arial"/>
                <w:sz w:val="22"/>
                <w:szCs w:val="22"/>
              </w:rPr>
            </w:pPr>
            <w:r>
              <w:rPr>
                <w:rFonts w:eastAsia="Arial" w:cs="Arial"/>
                <w:sz w:val="22"/>
                <w:szCs w:val="22"/>
              </w:rPr>
              <w:t>Ri</w:t>
            </w:r>
            <w:r w:rsidRPr="00A54B18">
              <w:rPr>
                <w:rFonts w:eastAsia="Arial" w:cs="Arial"/>
                <w:sz w:val="22"/>
                <w:szCs w:val="22"/>
              </w:rPr>
              <w:t>sk of PIs defaulting on loans, particularly in less regulated environments</w:t>
            </w:r>
            <w:r>
              <w:rPr>
                <w:rFonts w:eastAsia="Arial" w:cs="Arial"/>
                <w:sz w:val="22"/>
                <w:szCs w:val="22"/>
              </w:rPr>
              <w:t>.</w:t>
            </w:r>
          </w:p>
          <w:p w14:paraId="24C64EFE" w14:textId="77777777" w:rsidR="00C21E6D" w:rsidRDefault="00C21E6D" w:rsidP="00C21E6D">
            <w:pPr>
              <w:rPr>
                <w:rFonts w:eastAsia="Arial" w:cs="Arial"/>
                <w:sz w:val="22"/>
                <w:szCs w:val="22"/>
              </w:rPr>
            </w:pPr>
          </w:p>
          <w:p w14:paraId="5D8902A3" w14:textId="6A538897" w:rsidR="00C21E6D" w:rsidRPr="00A54B18" w:rsidRDefault="00C21E6D" w:rsidP="00C21E6D">
            <w:pPr>
              <w:rPr>
                <w:rFonts w:eastAsia="Arial" w:cs="Arial"/>
                <w:sz w:val="22"/>
                <w:szCs w:val="22"/>
              </w:rPr>
            </w:pPr>
            <w:r w:rsidRPr="00806EB0">
              <w:rPr>
                <w:rFonts w:eastAsia="Arial" w:cs="Arial"/>
                <w:sz w:val="22"/>
                <w:szCs w:val="22"/>
              </w:rPr>
              <w:t xml:space="preserve">As a Junior Shareholder, Defra </w:t>
            </w:r>
            <w:r>
              <w:rPr>
                <w:rFonts w:eastAsia="Arial" w:cs="Arial"/>
                <w:sz w:val="22"/>
                <w:szCs w:val="22"/>
              </w:rPr>
              <w:t>is</w:t>
            </w:r>
            <w:r w:rsidRPr="00806EB0">
              <w:rPr>
                <w:rFonts w:eastAsia="Arial" w:cs="Arial"/>
                <w:sz w:val="22"/>
                <w:szCs w:val="22"/>
              </w:rPr>
              <w:t xml:space="preserve"> among those investors first in line to have the value of </w:t>
            </w:r>
            <w:r>
              <w:rPr>
                <w:rFonts w:eastAsia="Arial" w:cs="Arial"/>
                <w:sz w:val="22"/>
                <w:szCs w:val="22"/>
              </w:rPr>
              <w:t xml:space="preserve">its </w:t>
            </w:r>
            <w:r w:rsidRPr="00806EB0">
              <w:rPr>
                <w:rFonts w:eastAsia="Arial" w:cs="Arial"/>
                <w:sz w:val="22"/>
                <w:szCs w:val="22"/>
              </w:rPr>
              <w:t>shares reduced if the Fund suffers losses.</w:t>
            </w:r>
          </w:p>
        </w:tc>
        <w:tc>
          <w:tcPr>
            <w:tcW w:w="1417" w:type="dxa"/>
            <w:tcBorders>
              <w:top w:val="single" w:sz="8" w:space="0" w:color="auto"/>
              <w:left w:val="single" w:sz="8" w:space="0" w:color="auto"/>
              <w:bottom w:val="single" w:sz="8" w:space="0" w:color="auto"/>
              <w:right w:val="single" w:sz="8" w:space="0" w:color="auto"/>
            </w:tcBorders>
          </w:tcPr>
          <w:p w14:paraId="6C36FE34" w14:textId="656E6211" w:rsidR="00C21E6D" w:rsidRPr="00A54B18" w:rsidRDefault="00C21E6D" w:rsidP="00C21E6D">
            <w:pPr>
              <w:rPr>
                <w:rFonts w:eastAsia="Arial" w:cs="Arial"/>
                <w:sz w:val="22"/>
                <w:szCs w:val="22"/>
              </w:rPr>
            </w:pPr>
            <w:r w:rsidRPr="00A54B18">
              <w:rPr>
                <w:rFonts w:eastAsia="Arial" w:cs="Arial"/>
                <w:sz w:val="22"/>
                <w:szCs w:val="22"/>
              </w:rPr>
              <w:t>Investment risk</w:t>
            </w:r>
          </w:p>
        </w:tc>
        <w:tc>
          <w:tcPr>
            <w:tcW w:w="1276"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14C30CAD" w14:textId="4B8255C7" w:rsidR="00C21E6D" w:rsidRPr="00A54B18" w:rsidRDefault="00C21E6D" w:rsidP="00C21E6D">
            <w:pPr>
              <w:rPr>
                <w:rFonts w:eastAsia="Arial" w:cs="Arial"/>
                <w:sz w:val="22"/>
                <w:szCs w:val="22"/>
              </w:rPr>
            </w:pPr>
            <w:r w:rsidRPr="00A54B18">
              <w:rPr>
                <w:rFonts w:eastAsia="Arial" w:cs="Arial"/>
                <w:sz w:val="22"/>
                <w:szCs w:val="22"/>
              </w:rPr>
              <w:t>Moderate</w:t>
            </w:r>
            <w:r>
              <w:rPr>
                <w:rFonts w:eastAsia="Arial" w:cs="Arial"/>
                <w:sz w:val="22"/>
                <w:szCs w:val="22"/>
              </w:rPr>
              <w:t>-high</w:t>
            </w:r>
          </w:p>
        </w:tc>
        <w:tc>
          <w:tcPr>
            <w:tcW w:w="1417" w:type="dxa"/>
            <w:tcBorders>
              <w:top w:val="single" w:sz="8" w:space="0" w:color="auto"/>
              <w:left w:val="single" w:sz="8" w:space="0" w:color="auto"/>
              <w:bottom w:val="single" w:sz="8" w:space="0" w:color="auto"/>
              <w:right w:val="single" w:sz="8" w:space="0" w:color="auto"/>
            </w:tcBorders>
            <w:shd w:val="clear" w:color="auto" w:fill="F4B083" w:themeFill="accent2" w:themeFillTint="99"/>
          </w:tcPr>
          <w:p w14:paraId="19C9FF06" w14:textId="6EB2EFE4" w:rsidR="00C21E6D" w:rsidRPr="00A54B18" w:rsidRDefault="00C21E6D" w:rsidP="00C21E6D">
            <w:pPr>
              <w:rPr>
                <w:rFonts w:eastAsia="Arial" w:cs="Arial"/>
                <w:sz w:val="22"/>
                <w:szCs w:val="22"/>
              </w:rPr>
            </w:pPr>
            <w:r>
              <w:rPr>
                <w:rFonts w:eastAsia="Arial" w:cs="Arial"/>
                <w:sz w:val="22"/>
                <w:szCs w:val="22"/>
              </w:rPr>
              <w:t>High</w:t>
            </w:r>
          </w:p>
        </w:tc>
        <w:tc>
          <w:tcPr>
            <w:tcW w:w="4820" w:type="dxa"/>
            <w:tcBorders>
              <w:top w:val="single" w:sz="8" w:space="0" w:color="auto"/>
              <w:left w:val="single" w:sz="8" w:space="0" w:color="auto"/>
              <w:bottom w:val="single" w:sz="8" w:space="0" w:color="auto"/>
              <w:right w:val="single" w:sz="8" w:space="0" w:color="auto"/>
            </w:tcBorders>
          </w:tcPr>
          <w:p w14:paraId="5D9966DD" w14:textId="7434917E" w:rsidR="00C21E6D" w:rsidRPr="00A54B18" w:rsidRDefault="00C21E6D" w:rsidP="00C21E6D">
            <w:pPr>
              <w:pStyle w:val="ListParagraph"/>
              <w:numPr>
                <w:ilvl w:val="0"/>
                <w:numId w:val="9"/>
              </w:numPr>
              <w:spacing w:before="60" w:after="0"/>
              <w:ind w:left="227" w:hanging="227"/>
              <w:contextualSpacing w:val="0"/>
              <w:rPr>
                <w:rFonts w:eastAsia="Arial" w:cs="Arial"/>
                <w:sz w:val="22"/>
                <w:szCs w:val="22"/>
              </w:rPr>
            </w:pPr>
            <w:r w:rsidRPr="00A54B18">
              <w:rPr>
                <w:rFonts w:eastAsia="Arial" w:cs="Arial"/>
                <w:sz w:val="22"/>
                <w:szCs w:val="22"/>
              </w:rPr>
              <w:t>Maintaining a diversified portfolio and carrying out thorough and regular due diligence on PIs</w:t>
            </w:r>
            <w:r>
              <w:rPr>
                <w:rFonts w:eastAsia="Arial" w:cs="Arial"/>
                <w:sz w:val="22"/>
                <w:szCs w:val="22"/>
              </w:rPr>
              <w:t>. Limiting loan size to any one PI.</w:t>
            </w:r>
          </w:p>
          <w:p w14:paraId="59FF3C41" w14:textId="4BD605B2" w:rsidR="00C21E6D" w:rsidRDefault="00C21E6D" w:rsidP="00C21E6D">
            <w:pPr>
              <w:pStyle w:val="ListParagraph"/>
              <w:numPr>
                <w:ilvl w:val="0"/>
                <w:numId w:val="9"/>
              </w:numPr>
              <w:spacing w:before="60" w:after="0"/>
              <w:ind w:left="227" w:hanging="227"/>
              <w:contextualSpacing w:val="0"/>
              <w:rPr>
                <w:rFonts w:eastAsia="Arial" w:cs="Arial"/>
                <w:sz w:val="22"/>
                <w:szCs w:val="22"/>
              </w:rPr>
            </w:pPr>
            <w:r w:rsidRPr="00A54B18">
              <w:rPr>
                <w:rFonts w:eastAsia="Arial" w:cs="Arial"/>
                <w:sz w:val="22"/>
                <w:szCs w:val="22"/>
              </w:rPr>
              <w:t>Taking account of the regulatory environment in target countries in investment decisions</w:t>
            </w:r>
            <w:r>
              <w:rPr>
                <w:rFonts w:eastAsia="Arial" w:cs="Arial"/>
                <w:sz w:val="22"/>
                <w:szCs w:val="22"/>
              </w:rPr>
              <w:t>.</w:t>
            </w:r>
          </w:p>
          <w:p w14:paraId="52208408" w14:textId="07A42DC8" w:rsidR="00C21E6D" w:rsidRDefault="00C21E6D" w:rsidP="00C21E6D">
            <w:pPr>
              <w:pStyle w:val="ListParagraph"/>
              <w:numPr>
                <w:ilvl w:val="0"/>
                <w:numId w:val="9"/>
              </w:numPr>
              <w:spacing w:before="60" w:after="0"/>
              <w:ind w:left="227" w:hanging="227"/>
              <w:contextualSpacing w:val="0"/>
              <w:rPr>
                <w:rFonts w:eastAsia="Arial" w:cs="Arial"/>
                <w:sz w:val="22"/>
                <w:szCs w:val="22"/>
              </w:rPr>
            </w:pPr>
            <w:r>
              <w:rPr>
                <w:rFonts w:eastAsia="Arial" w:cs="Arial"/>
                <w:sz w:val="22"/>
                <w:szCs w:val="22"/>
              </w:rPr>
              <w:t>Following investment EBF monitors the financial health of PIs closely, using employees with strong local financial knowledge.</w:t>
            </w:r>
          </w:p>
          <w:p w14:paraId="59F142ED" w14:textId="77777777" w:rsidR="00C21E6D" w:rsidRDefault="00C21E6D" w:rsidP="00C21E6D">
            <w:pPr>
              <w:pStyle w:val="ListParagraph"/>
              <w:numPr>
                <w:ilvl w:val="0"/>
                <w:numId w:val="9"/>
              </w:numPr>
              <w:spacing w:before="60" w:after="0"/>
              <w:ind w:left="227" w:hanging="227"/>
              <w:contextualSpacing w:val="0"/>
              <w:rPr>
                <w:rFonts w:eastAsia="Arial" w:cs="Arial"/>
                <w:sz w:val="22"/>
                <w:szCs w:val="22"/>
              </w:rPr>
            </w:pPr>
            <w:r>
              <w:rPr>
                <w:rFonts w:eastAsia="Arial" w:cs="Arial"/>
                <w:sz w:val="22"/>
                <w:szCs w:val="22"/>
              </w:rPr>
              <w:t>In the event of default, EBF can take steps to reduce exposure and to work with other investors to reclaim assets.</w:t>
            </w:r>
          </w:p>
          <w:p w14:paraId="7549492A" w14:textId="6C43B0DA" w:rsidR="00C21E6D" w:rsidRPr="00A54B18" w:rsidRDefault="00C21E6D" w:rsidP="00C21E6D">
            <w:pPr>
              <w:pStyle w:val="ListParagraph"/>
              <w:numPr>
                <w:ilvl w:val="0"/>
                <w:numId w:val="9"/>
              </w:numPr>
              <w:spacing w:before="60" w:after="0"/>
              <w:ind w:left="227" w:hanging="227"/>
              <w:contextualSpacing w:val="0"/>
              <w:rPr>
                <w:rFonts w:eastAsia="Arial" w:cs="Arial"/>
                <w:sz w:val="22"/>
                <w:szCs w:val="22"/>
              </w:rPr>
            </w:pPr>
            <w:r w:rsidRPr="00806EB0">
              <w:rPr>
                <w:rFonts w:eastAsia="Arial" w:cs="Arial"/>
                <w:sz w:val="22"/>
                <w:szCs w:val="22"/>
              </w:rPr>
              <w:t>Defra's investment is specifically aimed at being a first loss investment to provide encouragement and security to private investors, so losses of this kind in what is known to be a risky investing environment were anticipated in the original BC and VfM calculations.</w:t>
            </w:r>
          </w:p>
        </w:tc>
      </w:tr>
    </w:tbl>
    <w:p w14:paraId="3D199882" w14:textId="77777777" w:rsidR="008613AB" w:rsidRDefault="008613AB" w:rsidP="008613AB">
      <w:pPr>
        <w:spacing w:after="160"/>
        <w:jc w:val="both"/>
        <w:rPr>
          <w:rFonts w:eastAsia="Arial" w:cs="Arial"/>
          <w:color w:val="000000" w:themeColor="text1"/>
          <w:sz w:val="22"/>
          <w:szCs w:val="22"/>
        </w:rPr>
      </w:pPr>
    </w:p>
    <w:p w14:paraId="059550DD" w14:textId="3A60B140" w:rsidR="00BA5AEF" w:rsidRDefault="6B9F734A" w:rsidP="008613AB">
      <w:pPr>
        <w:spacing w:after="160"/>
        <w:jc w:val="both"/>
        <w:rPr>
          <w:rFonts w:eastAsia="Arial" w:cs="Arial"/>
          <w:color w:val="000000" w:themeColor="text1"/>
          <w:sz w:val="22"/>
          <w:szCs w:val="22"/>
        </w:rPr>
      </w:pPr>
      <w:r w:rsidRPr="07FC4C9B">
        <w:rPr>
          <w:rFonts w:eastAsia="Arial" w:cs="Arial"/>
          <w:color w:val="000000" w:themeColor="text1"/>
          <w:sz w:val="22"/>
          <w:szCs w:val="22"/>
        </w:rPr>
        <w:lastRenderedPageBreak/>
        <w:t xml:space="preserve">On 8 August 2022, EBF partner institution “UNIFIN Financiera, S.A.B. de C.V.”, a Mexican non-bank </w:t>
      </w:r>
      <w:r w:rsidR="3F031E50" w:rsidRPr="07FC4C9B">
        <w:rPr>
          <w:rFonts w:eastAsia="Arial" w:cs="Arial"/>
          <w:color w:val="000000" w:themeColor="text1"/>
          <w:sz w:val="22"/>
          <w:szCs w:val="22"/>
        </w:rPr>
        <w:t>FI</w:t>
      </w:r>
      <w:r w:rsidRPr="07FC4C9B">
        <w:rPr>
          <w:rFonts w:eastAsia="Arial" w:cs="Arial"/>
          <w:color w:val="000000" w:themeColor="text1"/>
          <w:sz w:val="22"/>
          <w:szCs w:val="22"/>
        </w:rPr>
        <w:t xml:space="preserve">, unilaterally announced its decision to make no further interest or principal payment on its senior unsecured debt during a period necessary to negotiate restructuring agreements with such creditors. Unifin’s default has materially increased the </w:t>
      </w:r>
      <w:r w:rsidR="508B32C4" w:rsidRPr="07FC4C9B">
        <w:rPr>
          <w:rFonts w:eastAsia="Arial" w:cs="Arial"/>
          <w:color w:val="000000" w:themeColor="text1"/>
          <w:sz w:val="22"/>
          <w:szCs w:val="22"/>
        </w:rPr>
        <w:t>s</w:t>
      </w:r>
      <w:r w:rsidRPr="07FC4C9B">
        <w:rPr>
          <w:rFonts w:eastAsia="Arial" w:cs="Arial"/>
          <w:color w:val="000000" w:themeColor="text1"/>
          <w:sz w:val="22"/>
          <w:szCs w:val="22"/>
        </w:rPr>
        <w:t>ub-</w:t>
      </w:r>
      <w:r w:rsidR="508B32C4" w:rsidRPr="07FC4C9B">
        <w:rPr>
          <w:rFonts w:eastAsia="Arial" w:cs="Arial"/>
          <w:color w:val="000000" w:themeColor="text1"/>
          <w:sz w:val="22"/>
          <w:szCs w:val="22"/>
        </w:rPr>
        <w:t>f</w:t>
      </w:r>
      <w:r w:rsidRPr="07FC4C9B">
        <w:rPr>
          <w:rFonts w:eastAsia="Arial" w:cs="Arial"/>
          <w:color w:val="000000" w:themeColor="text1"/>
          <w:sz w:val="22"/>
          <w:szCs w:val="22"/>
        </w:rPr>
        <w:t xml:space="preserve">und’s impairments, </w:t>
      </w:r>
      <w:r w:rsidR="697BB51A" w:rsidRPr="07FC4C9B">
        <w:rPr>
          <w:rFonts w:eastAsia="Arial" w:cs="Arial"/>
          <w:color w:val="000000" w:themeColor="text1"/>
          <w:sz w:val="22"/>
          <w:szCs w:val="22"/>
        </w:rPr>
        <w:t>but</w:t>
      </w:r>
      <w:r w:rsidRPr="07FC4C9B">
        <w:rPr>
          <w:rFonts w:eastAsia="Arial" w:cs="Arial"/>
          <w:color w:val="000000" w:themeColor="text1"/>
          <w:sz w:val="22"/>
          <w:szCs w:val="22"/>
        </w:rPr>
        <w:t xml:space="preserve"> the </w:t>
      </w:r>
      <w:r w:rsidR="697BB51A" w:rsidRPr="07FC4C9B">
        <w:rPr>
          <w:rFonts w:eastAsia="Arial" w:cs="Arial"/>
          <w:color w:val="000000" w:themeColor="text1"/>
          <w:sz w:val="22"/>
          <w:szCs w:val="22"/>
        </w:rPr>
        <w:t>s</w:t>
      </w:r>
      <w:r w:rsidRPr="07FC4C9B">
        <w:rPr>
          <w:rFonts w:eastAsia="Arial" w:cs="Arial"/>
          <w:color w:val="000000" w:themeColor="text1"/>
          <w:sz w:val="22"/>
          <w:szCs w:val="22"/>
        </w:rPr>
        <w:t>ub-</w:t>
      </w:r>
      <w:r w:rsidR="697BB51A" w:rsidRPr="07FC4C9B">
        <w:rPr>
          <w:rFonts w:eastAsia="Arial" w:cs="Arial"/>
          <w:color w:val="000000" w:themeColor="text1"/>
          <w:sz w:val="22"/>
          <w:szCs w:val="22"/>
        </w:rPr>
        <w:t>f</w:t>
      </w:r>
      <w:r w:rsidRPr="07FC4C9B">
        <w:rPr>
          <w:rFonts w:eastAsia="Arial" w:cs="Arial"/>
          <w:color w:val="000000" w:themeColor="text1"/>
          <w:sz w:val="22"/>
          <w:szCs w:val="22"/>
        </w:rPr>
        <w:t xml:space="preserve">und </w:t>
      </w:r>
      <w:r w:rsidR="697BB51A" w:rsidRPr="07FC4C9B">
        <w:rPr>
          <w:rFonts w:eastAsia="Arial" w:cs="Arial"/>
          <w:color w:val="000000" w:themeColor="text1"/>
          <w:sz w:val="22"/>
          <w:szCs w:val="22"/>
        </w:rPr>
        <w:t>has continued to be compliant</w:t>
      </w:r>
      <w:r w:rsidRPr="07FC4C9B">
        <w:rPr>
          <w:rFonts w:eastAsia="Arial" w:cs="Arial"/>
          <w:color w:val="000000" w:themeColor="text1"/>
          <w:sz w:val="22"/>
          <w:szCs w:val="22"/>
        </w:rPr>
        <w:t xml:space="preserve"> with all investor protection levels</w:t>
      </w:r>
      <w:r w:rsidR="3405B1A2" w:rsidRPr="07FC4C9B">
        <w:rPr>
          <w:rFonts w:eastAsia="Arial" w:cs="Arial"/>
          <w:color w:val="000000" w:themeColor="text1"/>
          <w:sz w:val="22"/>
          <w:szCs w:val="22"/>
        </w:rPr>
        <w:t>.</w:t>
      </w:r>
      <w:r w:rsidRPr="07FC4C9B">
        <w:rPr>
          <w:rFonts w:eastAsia="Arial" w:cs="Arial"/>
          <w:color w:val="000000" w:themeColor="text1"/>
          <w:sz w:val="22"/>
          <w:szCs w:val="22"/>
        </w:rPr>
        <w:t xml:space="preserve"> </w:t>
      </w:r>
      <w:r w:rsidR="6F481309" w:rsidRPr="07FC4C9B">
        <w:rPr>
          <w:rFonts w:eastAsia="Arial" w:cs="Arial"/>
          <w:sz w:val="22"/>
          <w:szCs w:val="22"/>
        </w:rPr>
        <w:t>Two other banks in Mexico and one in Panama are also on Watch.</w:t>
      </w:r>
      <w:r w:rsidR="6F481309" w:rsidRPr="07FC4C9B">
        <w:rPr>
          <w:rFonts w:eastAsia="Arial" w:cs="Arial"/>
          <w:color w:val="000000" w:themeColor="text1"/>
          <w:sz w:val="22"/>
          <w:szCs w:val="22"/>
        </w:rPr>
        <w:t xml:space="preserve"> </w:t>
      </w:r>
    </w:p>
    <w:p w14:paraId="2E3C9FD0" w14:textId="5FEF69C2" w:rsidR="008613AB" w:rsidRDefault="5C2F549B" w:rsidP="008613AB">
      <w:pPr>
        <w:spacing w:after="160"/>
        <w:jc w:val="both"/>
        <w:rPr>
          <w:rFonts w:eastAsia="Arial" w:cs="Arial"/>
          <w:color w:val="000000" w:themeColor="text1"/>
          <w:sz w:val="22"/>
          <w:szCs w:val="22"/>
        </w:rPr>
      </w:pPr>
      <w:r w:rsidRPr="5A258D6C">
        <w:rPr>
          <w:rFonts w:eastAsia="Arial" w:cs="Arial"/>
          <w:color w:val="000000" w:themeColor="text1"/>
          <w:sz w:val="22"/>
          <w:szCs w:val="22"/>
        </w:rPr>
        <w:t>The Fund Advis</w:t>
      </w:r>
      <w:r w:rsidR="31481BF5" w:rsidRPr="5A258D6C">
        <w:rPr>
          <w:rFonts w:eastAsia="Arial" w:cs="Arial"/>
          <w:color w:val="000000" w:themeColor="text1"/>
          <w:sz w:val="22"/>
          <w:szCs w:val="22"/>
        </w:rPr>
        <w:t>e</w:t>
      </w:r>
      <w:r w:rsidRPr="5A258D6C">
        <w:rPr>
          <w:rFonts w:eastAsia="Arial" w:cs="Arial"/>
          <w:color w:val="000000" w:themeColor="text1"/>
          <w:sz w:val="22"/>
          <w:szCs w:val="22"/>
        </w:rPr>
        <w:t>rs have assured Defra that EBF’</w:t>
      </w:r>
      <w:r w:rsidR="6B9F734A" w:rsidRPr="5A258D6C">
        <w:rPr>
          <w:rFonts w:eastAsia="Arial" w:cs="Arial"/>
          <w:color w:val="000000" w:themeColor="text1"/>
          <w:sz w:val="22"/>
          <w:szCs w:val="22"/>
        </w:rPr>
        <w:t xml:space="preserve">s portfolio remains resilient, built on investments in leading </w:t>
      </w:r>
      <w:r w:rsidR="3F031E50" w:rsidRPr="5A258D6C">
        <w:rPr>
          <w:rFonts w:eastAsia="Arial" w:cs="Arial"/>
          <w:color w:val="000000" w:themeColor="text1"/>
          <w:sz w:val="22"/>
          <w:szCs w:val="22"/>
        </w:rPr>
        <w:t>FIs</w:t>
      </w:r>
      <w:r w:rsidR="6B9F734A" w:rsidRPr="5A258D6C">
        <w:rPr>
          <w:rFonts w:eastAsia="Arial" w:cs="Arial"/>
          <w:color w:val="000000" w:themeColor="text1"/>
          <w:sz w:val="22"/>
          <w:szCs w:val="22"/>
        </w:rPr>
        <w:t xml:space="preserve"> in the region with strong fundamentals. The </w:t>
      </w:r>
      <w:r w:rsidR="49ABA41C" w:rsidRPr="5A258D6C">
        <w:rPr>
          <w:rFonts w:eastAsia="Arial" w:cs="Arial"/>
          <w:color w:val="000000" w:themeColor="text1"/>
          <w:sz w:val="22"/>
          <w:szCs w:val="22"/>
        </w:rPr>
        <w:t>s</w:t>
      </w:r>
      <w:r w:rsidR="6B9F734A" w:rsidRPr="5A258D6C">
        <w:rPr>
          <w:rFonts w:eastAsia="Arial" w:cs="Arial"/>
          <w:color w:val="000000" w:themeColor="text1"/>
          <w:sz w:val="22"/>
          <w:szCs w:val="22"/>
        </w:rPr>
        <w:t>ub-</w:t>
      </w:r>
      <w:r w:rsidR="49ABA41C" w:rsidRPr="5A258D6C">
        <w:rPr>
          <w:rFonts w:eastAsia="Arial" w:cs="Arial"/>
          <w:color w:val="000000" w:themeColor="text1"/>
          <w:sz w:val="22"/>
          <w:szCs w:val="22"/>
        </w:rPr>
        <w:t>f</w:t>
      </w:r>
      <w:r w:rsidR="6B9F734A" w:rsidRPr="5A258D6C">
        <w:rPr>
          <w:rFonts w:eastAsia="Arial" w:cs="Arial"/>
          <w:color w:val="000000" w:themeColor="text1"/>
          <w:sz w:val="22"/>
          <w:szCs w:val="22"/>
        </w:rPr>
        <w:t>und maintained its ability to pay all its contractual obligations in 202</w:t>
      </w:r>
      <w:r w:rsidR="00013E1F" w:rsidRPr="5A258D6C">
        <w:rPr>
          <w:rFonts w:eastAsia="Arial" w:cs="Arial"/>
          <w:color w:val="000000" w:themeColor="text1"/>
          <w:sz w:val="22"/>
          <w:szCs w:val="22"/>
        </w:rPr>
        <w:t>3</w:t>
      </w:r>
      <w:r w:rsidR="6B9F734A" w:rsidRPr="5A258D6C">
        <w:rPr>
          <w:rFonts w:eastAsia="Arial" w:cs="Arial"/>
          <w:color w:val="000000" w:themeColor="text1"/>
          <w:sz w:val="22"/>
          <w:szCs w:val="22"/>
        </w:rPr>
        <w:t xml:space="preserve">, including interest on Notes and dividends to Shareholders. The </w:t>
      </w:r>
      <w:r w:rsidR="00751DEE" w:rsidRPr="5A258D6C">
        <w:rPr>
          <w:rFonts w:eastAsia="Arial" w:cs="Arial"/>
          <w:color w:val="000000" w:themeColor="text1"/>
          <w:sz w:val="22"/>
          <w:szCs w:val="22"/>
        </w:rPr>
        <w:t>Fund Advisor</w:t>
      </w:r>
      <w:r w:rsidR="6B9F734A" w:rsidRPr="5A258D6C">
        <w:rPr>
          <w:rFonts w:eastAsia="Arial" w:cs="Arial"/>
          <w:color w:val="000000" w:themeColor="text1"/>
          <w:sz w:val="22"/>
          <w:szCs w:val="22"/>
        </w:rPr>
        <w:t xml:space="preserve"> continues to monitor closely the ongoing restructuring process. </w:t>
      </w:r>
    </w:p>
    <w:p w14:paraId="66CBA974" w14:textId="3F7147A9" w:rsidR="008613AB" w:rsidRDefault="6B9F734A" w:rsidP="008613AB">
      <w:pPr>
        <w:rPr>
          <w:rFonts w:eastAsia="Arial" w:cs="Arial"/>
          <w:sz w:val="20"/>
          <w:szCs w:val="20"/>
        </w:rPr>
      </w:pPr>
      <w:r w:rsidRPr="07FC4C9B">
        <w:rPr>
          <w:rFonts w:eastAsia="Arial" w:cs="Arial"/>
          <w:color w:val="000000" w:themeColor="text1"/>
          <w:sz w:val="22"/>
          <w:szCs w:val="22"/>
        </w:rPr>
        <w:t>The remainder of the EBF LAC portfolio continue</w:t>
      </w:r>
      <w:r w:rsidR="1AB3B966" w:rsidRPr="07FC4C9B">
        <w:rPr>
          <w:rFonts w:eastAsia="Arial" w:cs="Arial"/>
          <w:color w:val="000000" w:themeColor="text1"/>
          <w:sz w:val="22"/>
          <w:szCs w:val="22"/>
        </w:rPr>
        <w:t>s</w:t>
      </w:r>
      <w:r w:rsidRPr="07FC4C9B">
        <w:rPr>
          <w:rFonts w:eastAsia="Arial" w:cs="Arial"/>
          <w:color w:val="000000" w:themeColor="text1"/>
          <w:sz w:val="22"/>
          <w:szCs w:val="22"/>
        </w:rPr>
        <w:t xml:space="preserve"> to perform with all payments up to date and no moratoria granted. </w:t>
      </w:r>
    </w:p>
    <w:p w14:paraId="5B7F0AF0" w14:textId="2025C438" w:rsidR="0096193C" w:rsidRPr="00A54B18" w:rsidRDefault="0096193C" w:rsidP="005E557A">
      <w:pPr>
        <w:rPr>
          <w:rFonts w:eastAsia="Arial" w:cs="Arial"/>
          <w:sz w:val="20"/>
          <w:szCs w:val="20"/>
        </w:rPr>
      </w:pPr>
    </w:p>
    <w:p w14:paraId="63E56392" w14:textId="77777777" w:rsidR="009551D0" w:rsidRPr="00A54B18" w:rsidRDefault="009551D0" w:rsidP="005E557A">
      <w:pPr>
        <w:rPr>
          <w:rFonts w:eastAsia="Arial" w:cs="Arial"/>
          <w:sz w:val="20"/>
          <w:szCs w:val="20"/>
        </w:rPr>
      </w:pPr>
    </w:p>
    <w:p w14:paraId="5381FC2A" w14:textId="25303B77" w:rsidR="006F3AE7" w:rsidRPr="00A54B18" w:rsidRDefault="7232A90E" w:rsidP="005E557A">
      <w:pPr>
        <w:pBdr>
          <w:top w:val="single" w:sz="4" w:space="1" w:color="auto"/>
          <w:left w:val="single" w:sz="4" w:space="4" w:color="auto"/>
          <w:bottom w:val="single" w:sz="4" w:space="1" w:color="auto"/>
          <w:right w:val="single" w:sz="4" w:space="4" w:color="auto"/>
        </w:pBdr>
        <w:shd w:val="clear" w:color="auto" w:fill="D9E2F3" w:themeFill="accent1" w:themeFillTint="33"/>
        <w:rPr>
          <w:rFonts w:eastAsia="Arial" w:cs="Arial"/>
          <w:sz w:val="20"/>
          <w:szCs w:val="20"/>
        </w:rPr>
      </w:pPr>
      <w:r w:rsidRPr="00A54B18">
        <w:rPr>
          <w:rFonts w:eastAsia="Arial" w:cs="Arial"/>
          <w:b/>
          <w:bCs/>
          <w:sz w:val="28"/>
          <w:szCs w:val="28"/>
        </w:rPr>
        <w:t xml:space="preserve">E: PROGRAMME MANAGEMENT: </w:t>
      </w:r>
      <w:bookmarkStart w:id="0" w:name="_Hlk21353049"/>
      <w:r w:rsidRPr="00A54B18">
        <w:rPr>
          <w:rFonts w:eastAsia="Arial" w:cs="Arial"/>
          <w:b/>
          <w:bCs/>
          <w:sz w:val="28"/>
          <w:szCs w:val="28"/>
        </w:rPr>
        <w:t>DELIVERY, COMMERCIAL &amp; FINANCIAL PERFORMANCE</w:t>
      </w:r>
      <w:bookmarkEnd w:id="0"/>
    </w:p>
    <w:p w14:paraId="163B64DF" w14:textId="394EBC15" w:rsidR="005247F2" w:rsidRDefault="11B86B22" w:rsidP="07FC4C9B">
      <w:pPr>
        <w:spacing w:before="240" w:after="120" w:line="276" w:lineRule="auto"/>
        <w:jc w:val="both"/>
        <w:rPr>
          <w:rFonts w:eastAsia="Arial" w:cs="Arial"/>
          <w:sz w:val="22"/>
          <w:szCs w:val="22"/>
        </w:rPr>
      </w:pPr>
      <w:r w:rsidRPr="07FC4C9B">
        <w:rPr>
          <w:rFonts w:eastAsia="Arial" w:cs="Arial"/>
          <w:sz w:val="22"/>
          <w:szCs w:val="22"/>
        </w:rPr>
        <w:t>No field visit to LAC was carried out in 2023</w:t>
      </w:r>
      <w:r w:rsidR="24FA8969" w:rsidRPr="07FC4C9B">
        <w:rPr>
          <w:rFonts w:eastAsia="Arial" w:cs="Arial"/>
          <w:sz w:val="22"/>
          <w:szCs w:val="22"/>
        </w:rPr>
        <w:t xml:space="preserve">. </w:t>
      </w:r>
      <w:r w:rsidR="20644DF4" w:rsidRPr="07FC4C9B">
        <w:rPr>
          <w:rFonts w:eastAsia="Arial" w:cs="Arial"/>
          <w:sz w:val="22"/>
          <w:szCs w:val="22"/>
        </w:rPr>
        <w:t>However, a visit to Kenya included</w:t>
      </w:r>
      <w:r w:rsidR="077B3F42" w:rsidRPr="07FC4C9B">
        <w:rPr>
          <w:rFonts w:eastAsia="Arial" w:cs="Arial"/>
          <w:sz w:val="22"/>
          <w:szCs w:val="22"/>
        </w:rPr>
        <w:t xml:space="preserve"> a trip with the Finance in Motion</w:t>
      </w:r>
      <w:r w:rsidR="077B3F42" w:rsidRPr="07FC4C9B">
        <w:rPr>
          <w:rFonts w:eastAsia="Arial" w:cs="Arial"/>
          <w:color w:val="000000" w:themeColor="text1"/>
          <w:sz w:val="22"/>
          <w:szCs w:val="22"/>
        </w:rPr>
        <w:t xml:space="preserve"> fund management team to two Kenyan banks with whom EBF is partnering, and the beneficiary businesses in the tea and coffee sectors.</w:t>
      </w:r>
      <w:r w:rsidR="077B3F42" w:rsidRPr="07FC4C9B">
        <w:rPr>
          <w:rFonts w:eastAsia="Arial" w:cs="Arial"/>
          <w:sz w:val="22"/>
          <w:szCs w:val="22"/>
        </w:rPr>
        <w:t xml:space="preserve"> </w:t>
      </w:r>
      <w:r w:rsidR="24FA8969" w:rsidRPr="07FC4C9B">
        <w:rPr>
          <w:rFonts w:eastAsia="Arial" w:cs="Arial"/>
          <w:sz w:val="22"/>
          <w:szCs w:val="22"/>
        </w:rPr>
        <w:t xml:space="preserve">The visit showed how EBF’s model from LAC is now being applied </w:t>
      </w:r>
      <w:r w:rsidR="2E216C2A" w:rsidRPr="07FC4C9B">
        <w:rPr>
          <w:rFonts w:eastAsia="Arial" w:cs="Arial"/>
          <w:sz w:val="22"/>
          <w:szCs w:val="22"/>
        </w:rPr>
        <w:t>in sub-Saharan Africa, and gave a good insight into how the Fund engages with PIs and the types of change</w:t>
      </w:r>
      <w:r w:rsidR="4E1894BE" w:rsidRPr="07FC4C9B">
        <w:rPr>
          <w:rFonts w:eastAsia="Arial" w:cs="Arial"/>
          <w:sz w:val="22"/>
          <w:szCs w:val="22"/>
        </w:rPr>
        <w:t xml:space="preserve"> driven by this investment model.</w:t>
      </w:r>
      <w:r w:rsidR="4AA3B8DF" w:rsidRPr="07FC4C9B">
        <w:rPr>
          <w:rFonts w:eastAsia="Arial" w:cs="Arial"/>
          <w:sz w:val="22"/>
          <w:szCs w:val="22"/>
        </w:rPr>
        <w:t xml:space="preserve"> Overall the Fund </w:t>
      </w:r>
      <w:r w:rsidR="25A2FB47" w:rsidRPr="07FC4C9B">
        <w:rPr>
          <w:rFonts w:eastAsia="Arial" w:cs="Arial"/>
          <w:sz w:val="22"/>
          <w:szCs w:val="22"/>
        </w:rPr>
        <w:t>gave</w:t>
      </w:r>
      <w:r w:rsidR="4AA3B8DF" w:rsidRPr="07FC4C9B">
        <w:rPr>
          <w:rFonts w:eastAsia="Arial" w:cs="Arial"/>
          <w:sz w:val="22"/>
          <w:szCs w:val="22"/>
        </w:rPr>
        <w:t xml:space="preserve"> a strong impression</w:t>
      </w:r>
      <w:r w:rsidR="140593BF" w:rsidRPr="07FC4C9B">
        <w:rPr>
          <w:rFonts w:eastAsia="Arial" w:cs="Arial"/>
          <w:sz w:val="22"/>
          <w:szCs w:val="22"/>
        </w:rPr>
        <w:t xml:space="preserve"> of </w:t>
      </w:r>
      <w:r w:rsidR="25A2FB47" w:rsidRPr="07FC4C9B">
        <w:rPr>
          <w:rFonts w:eastAsia="Arial" w:cs="Arial"/>
          <w:sz w:val="22"/>
          <w:szCs w:val="22"/>
        </w:rPr>
        <w:t>contributing to</w:t>
      </w:r>
      <w:r w:rsidR="140593BF" w:rsidRPr="07FC4C9B">
        <w:rPr>
          <w:rFonts w:eastAsia="Arial" w:cs="Arial"/>
          <w:sz w:val="22"/>
          <w:szCs w:val="22"/>
        </w:rPr>
        <w:t xml:space="preserve"> transformational change</w:t>
      </w:r>
      <w:r w:rsidR="25A2FB47" w:rsidRPr="07FC4C9B">
        <w:rPr>
          <w:rFonts w:eastAsia="Arial" w:cs="Arial"/>
          <w:sz w:val="22"/>
          <w:szCs w:val="22"/>
        </w:rPr>
        <w:t>.</w:t>
      </w:r>
    </w:p>
    <w:p w14:paraId="2704DD44" w14:textId="5969BDCE" w:rsidR="003236BD" w:rsidRPr="00854E51" w:rsidRDefault="003236BD" w:rsidP="07FC4C9B">
      <w:pPr>
        <w:spacing w:before="240" w:after="120" w:line="276" w:lineRule="auto"/>
        <w:jc w:val="both"/>
        <w:rPr>
          <w:rFonts w:eastAsia="Arial" w:cs="Arial"/>
          <w:sz w:val="22"/>
          <w:szCs w:val="22"/>
        </w:rPr>
      </w:pPr>
      <w:r>
        <w:rPr>
          <w:rFonts w:cs="Arial"/>
          <w:sz w:val="22"/>
          <w:szCs w:val="22"/>
        </w:rPr>
        <w:t xml:space="preserve">As a source of finance for adaptation and mitigation in more vulnerable countries, </w:t>
      </w:r>
      <w:r w:rsidR="001A5DE8">
        <w:rPr>
          <w:rFonts w:cs="Arial"/>
          <w:sz w:val="22"/>
          <w:szCs w:val="22"/>
        </w:rPr>
        <w:t xml:space="preserve">indicators on carbon sequestration and sustainable land management demonstrate that </w:t>
      </w:r>
      <w:r>
        <w:rPr>
          <w:rFonts w:cs="Arial"/>
          <w:sz w:val="22"/>
          <w:szCs w:val="22"/>
        </w:rPr>
        <w:t>this programme is aligned with the Paris Agreement to pursue efforts to limit warming to 1.5</w:t>
      </w:r>
      <w:r w:rsidRPr="00F749A8">
        <w:rPr>
          <w:rFonts w:cs="Arial"/>
          <w:sz w:val="22"/>
          <w:szCs w:val="22"/>
          <w:shd w:val="clear" w:color="auto" w:fill="F5F7F6"/>
        </w:rPr>
        <w:t>°C</w:t>
      </w:r>
      <w:r w:rsidRPr="00F749A8">
        <w:rPr>
          <w:rFonts w:cs="Arial"/>
          <w:sz w:val="22"/>
          <w:szCs w:val="22"/>
        </w:rPr>
        <w:t xml:space="preserve"> </w:t>
      </w:r>
      <w:r>
        <w:rPr>
          <w:rFonts w:cs="Arial"/>
          <w:sz w:val="22"/>
          <w:szCs w:val="22"/>
        </w:rPr>
        <w:t>by the end of this century.</w:t>
      </w:r>
    </w:p>
    <w:p w14:paraId="43D43BED" w14:textId="77777777" w:rsidR="006B4CA6" w:rsidRDefault="006B4CA6" w:rsidP="005E557A">
      <w:pPr>
        <w:jc w:val="both"/>
        <w:rPr>
          <w:rFonts w:eastAsia="Arial" w:cs="Arial"/>
          <w:b/>
          <w:bCs/>
          <w:sz w:val="22"/>
          <w:szCs w:val="22"/>
        </w:rPr>
      </w:pPr>
    </w:p>
    <w:p w14:paraId="1381573A" w14:textId="77777777" w:rsidR="007C7C1C" w:rsidRDefault="007C7C1C" w:rsidP="007C7C1C">
      <w:pPr>
        <w:rPr>
          <w:rFonts w:cs="Arial"/>
          <w:b/>
          <w:bCs/>
          <w:sz w:val="22"/>
          <w:szCs w:val="22"/>
        </w:rPr>
      </w:pPr>
      <w:r w:rsidRPr="69AE3331">
        <w:rPr>
          <w:rFonts w:cs="Arial"/>
          <w:b/>
          <w:bCs/>
          <w:sz w:val="22"/>
          <w:szCs w:val="22"/>
        </w:rPr>
        <w:t>E2. Assess the VfM of this output compared to the proposition in the Business Case, based on performance over the past year</w:t>
      </w:r>
    </w:p>
    <w:p w14:paraId="6C9787DF" w14:textId="2A19EB30" w:rsidR="00F20A87" w:rsidRPr="00A54B18" w:rsidRDefault="00F20A87" w:rsidP="07FC4C9B">
      <w:pPr>
        <w:jc w:val="both"/>
        <w:rPr>
          <w:rFonts w:eastAsia="Arial" w:cs="Arial"/>
          <w:b/>
          <w:bCs/>
          <w:sz w:val="22"/>
          <w:szCs w:val="22"/>
        </w:rPr>
      </w:pPr>
    </w:p>
    <w:p w14:paraId="44DEC08B" w14:textId="2F411933" w:rsidR="00F20A87" w:rsidRPr="00A54B18" w:rsidRDefault="2EE66EDC" w:rsidP="07FC4C9B">
      <w:pPr>
        <w:spacing w:after="160" w:line="257" w:lineRule="auto"/>
        <w:jc w:val="both"/>
      </w:pPr>
      <w:r w:rsidRPr="07FC4C9B">
        <w:rPr>
          <w:rFonts w:eastAsia="Arial" w:cs="Arial"/>
          <w:sz w:val="22"/>
          <w:szCs w:val="22"/>
        </w:rPr>
        <w:t>A value for money (VfM) assessment identifies whether the costs of the programme are proportional to the benefits achieved in terms of reaching the programme’s desired outcomes and objectives derived from the business case. The assessment uses the FCDO’s recommended structure which consists of the 5Es approach. These are economy, efficiency, effectiveness, equity and cost-effectiveness and are described below.</w:t>
      </w:r>
    </w:p>
    <w:p w14:paraId="39565B84" w14:textId="6D12622F" w:rsidR="00F20A87" w:rsidRPr="00A54B18" w:rsidRDefault="2EE66EDC" w:rsidP="00674C5F">
      <w:pPr>
        <w:pStyle w:val="ListParagraph"/>
        <w:numPr>
          <w:ilvl w:val="0"/>
          <w:numId w:val="2"/>
        </w:numPr>
        <w:spacing w:after="0" w:line="257" w:lineRule="auto"/>
        <w:ind w:left="360"/>
        <w:jc w:val="both"/>
        <w:rPr>
          <w:rFonts w:eastAsia="Arial" w:cs="Arial"/>
          <w:sz w:val="22"/>
          <w:szCs w:val="22"/>
        </w:rPr>
      </w:pPr>
      <w:r w:rsidRPr="07FC4C9B">
        <w:rPr>
          <w:rFonts w:eastAsia="Arial" w:cs="Arial"/>
          <w:b/>
          <w:bCs/>
          <w:i/>
          <w:iCs/>
          <w:sz w:val="22"/>
          <w:szCs w:val="22"/>
        </w:rPr>
        <w:t xml:space="preserve">Economy - </w:t>
      </w:r>
      <w:r w:rsidRPr="07FC4C9B">
        <w:rPr>
          <w:rFonts w:eastAsia="Arial" w:cs="Arial"/>
          <w:sz w:val="22"/>
          <w:szCs w:val="22"/>
        </w:rPr>
        <w:t>Are we (or our agents) buying inputs of the appropriate quality at the right price?</w:t>
      </w:r>
    </w:p>
    <w:p w14:paraId="7E80EBA7" w14:textId="2B588FF8" w:rsidR="00F20A87" w:rsidRPr="00A54B18" w:rsidRDefault="2EE66EDC" w:rsidP="00674C5F">
      <w:pPr>
        <w:pStyle w:val="ListParagraph"/>
        <w:numPr>
          <w:ilvl w:val="0"/>
          <w:numId w:val="2"/>
        </w:numPr>
        <w:spacing w:after="0" w:line="257" w:lineRule="auto"/>
        <w:ind w:left="360"/>
        <w:jc w:val="both"/>
        <w:rPr>
          <w:rFonts w:eastAsia="Arial" w:cs="Arial"/>
          <w:sz w:val="22"/>
          <w:szCs w:val="22"/>
        </w:rPr>
      </w:pPr>
      <w:r w:rsidRPr="07FC4C9B">
        <w:rPr>
          <w:rFonts w:eastAsia="Arial" w:cs="Arial"/>
          <w:b/>
          <w:bCs/>
          <w:i/>
          <w:iCs/>
          <w:sz w:val="22"/>
          <w:szCs w:val="22"/>
        </w:rPr>
        <w:t>Efficiency -</w:t>
      </w:r>
      <w:r w:rsidRPr="07FC4C9B">
        <w:rPr>
          <w:rFonts w:eastAsia="Arial" w:cs="Arial"/>
          <w:sz w:val="22"/>
          <w:szCs w:val="22"/>
        </w:rPr>
        <w:t xml:space="preserve"> How well are we (or our agents) converting inputs into outputs? (‘Spending well’) </w:t>
      </w:r>
    </w:p>
    <w:p w14:paraId="468B2BF7" w14:textId="032A3A95" w:rsidR="00F20A87" w:rsidRPr="00A54B18" w:rsidRDefault="2EE66EDC" w:rsidP="00674C5F">
      <w:pPr>
        <w:pStyle w:val="ListParagraph"/>
        <w:numPr>
          <w:ilvl w:val="0"/>
          <w:numId w:val="2"/>
        </w:numPr>
        <w:spacing w:after="0" w:line="257" w:lineRule="auto"/>
        <w:ind w:left="360"/>
        <w:jc w:val="both"/>
        <w:rPr>
          <w:rFonts w:eastAsia="Arial" w:cs="Arial"/>
          <w:sz w:val="22"/>
          <w:szCs w:val="22"/>
        </w:rPr>
      </w:pPr>
      <w:r w:rsidRPr="07FC4C9B">
        <w:rPr>
          <w:rFonts w:eastAsia="Arial" w:cs="Arial"/>
          <w:b/>
          <w:bCs/>
          <w:i/>
          <w:iCs/>
          <w:sz w:val="22"/>
          <w:szCs w:val="22"/>
        </w:rPr>
        <w:t>Effectiveness -</w:t>
      </w:r>
      <w:r w:rsidRPr="07FC4C9B">
        <w:rPr>
          <w:rFonts w:eastAsia="Arial" w:cs="Arial"/>
          <w:sz w:val="22"/>
          <w:szCs w:val="22"/>
        </w:rPr>
        <w:t xml:space="preserve"> How well are the outputs produced by an intervention having the intended effect? (‘Spending wisely’) </w:t>
      </w:r>
    </w:p>
    <w:p w14:paraId="3095DF68" w14:textId="719E4F83" w:rsidR="00F20A87" w:rsidRPr="00A54B18" w:rsidRDefault="2EE66EDC" w:rsidP="00674C5F">
      <w:pPr>
        <w:pStyle w:val="ListParagraph"/>
        <w:numPr>
          <w:ilvl w:val="0"/>
          <w:numId w:val="2"/>
        </w:numPr>
        <w:spacing w:after="0" w:line="257" w:lineRule="auto"/>
        <w:ind w:left="360"/>
        <w:jc w:val="both"/>
        <w:rPr>
          <w:rFonts w:eastAsia="Arial" w:cs="Arial"/>
          <w:sz w:val="22"/>
          <w:szCs w:val="22"/>
        </w:rPr>
      </w:pPr>
      <w:r w:rsidRPr="07FC4C9B">
        <w:rPr>
          <w:rFonts w:eastAsia="Arial" w:cs="Arial"/>
          <w:b/>
          <w:bCs/>
          <w:i/>
          <w:iCs/>
          <w:sz w:val="22"/>
          <w:szCs w:val="22"/>
        </w:rPr>
        <w:t>Equity -</w:t>
      </w:r>
      <w:r w:rsidRPr="07FC4C9B">
        <w:rPr>
          <w:rFonts w:eastAsia="Arial" w:cs="Arial"/>
          <w:sz w:val="22"/>
          <w:szCs w:val="22"/>
        </w:rPr>
        <w:t xml:space="preserve"> How fairly are the benefits distributed? To what extent will we reach marginalised groups? (“spending fairly”) </w:t>
      </w:r>
    </w:p>
    <w:p w14:paraId="7D0600C3" w14:textId="6BDA89FC" w:rsidR="00F20A87" w:rsidRPr="00A54B18" w:rsidRDefault="2EE66EDC" w:rsidP="00674C5F">
      <w:pPr>
        <w:pStyle w:val="ListParagraph"/>
        <w:numPr>
          <w:ilvl w:val="0"/>
          <w:numId w:val="2"/>
        </w:numPr>
        <w:spacing w:after="0" w:line="257" w:lineRule="auto"/>
        <w:ind w:left="360"/>
        <w:jc w:val="both"/>
        <w:rPr>
          <w:rFonts w:eastAsia="Arial" w:cs="Arial"/>
          <w:sz w:val="22"/>
          <w:szCs w:val="22"/>
        </w:rPr>
      </w:pPr>
      <w:r w:rsidRPr="07FC4C9B">
        <w:rPr>
          <w:rFonts w:eastAsia="Arial" w:cs="Arial"/>
          <w:b/>
          <w:bCs/>
          <w:i/>
          <w:iCs/>
          <w:sz w:val="22"/>
          <w:szCs w:val="22"/>
        </w:rPr>
        <w:t>Cost-effectiveness -</w:t>
      </w:r>
      <w:r w:rsidRPr="07FC4C9B">
        <w:rPr>
          <w:rFonts w:eastAsia="Arial" w:cs="Arial"/>
          <w:sz w:val="22"/>
          <w:szCs w:val="22"/>
        </w:rPr>
        <w:t xml:space="preserve"> What is the intervention’s ultimate impact on the long-term transformational change, relative to the inputs that our agents or we invest in it?</w:t>
      </w:r>
    </w:p>
    <w:p w14:paraId="3404F461" w14:textId="7E6F53E9" w:rsidR="00F20A87" w:rsidRPr="00313B6E" w:rsidRDefault="00F20A87" w:rsidP="00313B6E">
      <w:pPr>
        <w:spacing w:line="257" w:lineRule="auto"/>
        <w:jc w:val="both"/>
        <w:rPr>
          <w:rFonts w:eastAsia="Arial" w:cs="Arial"/>
          <w:sz w:val="22"/>
          <w:szCs w:val="22"/>
        </w:rPr>
      </w:pPr>
    </w:p>
    <w:p w14:paraId="7C17976D" w14:textId="36E96810" w:rsidR="00F20A87" w:rsidRPr="00A54B18" w:rsidRDefault="2EE66EDC" w:rsidP="14FCFADC">
      <w:pPr>
        <w:spacing w:after="160" w:line="257" w:lineRule="auto"/>
        <w:jc w:val="both"/>
        <w:rPr>
          <w:rFonts w:eastAsia="Arial" w:cs="Arial"/>
          <w:b/>
          <w:bCs/>
          <w:sz w:val="22"/>
          <w:szCs w:val="22"/>
        </w:rPr>
      </w:pPr>
      <w:r w:rsidRPr="14FCFADC">
        <w:rPr>
          <w:rFonts w:eastAsia="Arial" w:cs="Arial"/>
          <w:b/>
          <w:bCs/>
          <w:sz w:val="22"/>
          <w:szCs w:val="22"/>
        </w:rPr>
        <w:t>Economy</w:t>
      </w:r>
    </w:p>
    <w:p w14:paraId="7829FB0C" w14:textId="10C28CCA" w:rsidR="00CF29AE" w:rsidRDefault="2EE66EDC" w:rsidP="07FC4C9B">
      <w:pPr>
        <w:spacing w:after="160" w:line="257" w:lineRule="auto"/>
        <w:jc w:val="both"/>
        <w:rPr>
          <w:rFonts w:eastAsia="Arial" w:cs="Arial"/>
          <w:sz w:val="22"/>
          <w:szCs w:val="22"/>
        </w:rPr>
      </w:pPr>
      <w:r w:rsidRPr="07FC4C9B">
        <w:rPr>
          <w:rFonts w:eastAsia="Arial" w:cs="Arial"/>
          <w:sz w:val="22"/>
          <w:szCs w:val="22"/>
        </w:rPr>
        <w:t xml:space="preserve">As set out in the business case, the desired impacts of the EBF are to reduce poverty across land use sectors in Latin America and sustainably manage mosaic forest landscapes with improved biodiversity and environmental conditions. To support the programme, Defra has </w:t>
      </w:r>
      <w:r w:rsidRPr="07FC4C9B">
        <w:rPr>
          <w:rFonts w:eastAsia="Arial" w:cs="Arial"/>
          <w:sz w:val="22"/>
          <w:szCs w:val="22"/>
        </w:rPr>
        <w:lastRenderedPageBreak/>
        <w:t>invested £32.63</w:t>
      </w:r>
      <w:r w:rsidR="009D3932">
        <w:rPr>
          <w:rFonts w:eastAsia="Arial" w:cs="Arial"/>
          <w:sz w:val="22"/>
          <w:szCs w:val="22"/>
        </w:rPr>
        <w:t xml:space="preserve"> million </w:t>
      </w:r>
      <w:r w:rsidRPr="07FC4C9B">
        <w:rPr>
          <w:rFonts w:eastAsia="Arial" w:cs="Arial"/>
          <w:sz w:val="22"/>
          <w:szCs w:val="22"/>
        </w:rPr>
        <w:t xml:space="preserve">in total into junior shares. This investment has gone towards granting finance for TA to support SLM and viable business models and underpinning and enabling investment fund operations. </w:t>
      </w:r>
    </w:p>
    <w:p w14:paraId="55ABDE70" w14:textId="613A87B5" w:rsidR="00F20A87" w:rsidRPr="00A54B18" w:rsidRDefault="2EE66EDC" w:rsidP="07FC4C9B">
      <w:pPr>
        <w:spacing w:after="160" w:line="257" w:lineRule="auto"/>
        <w:jc w:val="both"/>
      </w:pPr>
      <w:r w:rsidRPr="07FC4C9B">
        <w:rPr>
          <w:rFonts w:eastAsia="Arial" w:cs="Arial"/>
          <w:sz w:val="22"/>
          <w:szCs w:val="22"/>
        </w:rPr>
        <w:t>Whilst we cannot place a value on individual inputs</w:t>
      </w:r>
      <w:r w:rsidR="00CF29AE">
        <w:rPr>
          <w:rFonts w:eastAsia="Arial" w:cs="Arial"/>
          <w:sz w:val="22"/>
          <w:szCs w:val="22"/>
        </w:rPr>
        <w:t xml:space="preserve"> across the whole programme</w:t>
      </w:r>
      <w:r w:rsidRPr="07FC4C9B">
        <w:rPr>
          <w:rFonts w:eastAsia="Arial" w:cs="Arial"/>
          <w:sz w:val="22"/>
          <w:szCs w:val="22"/>
        </w:rPr>
        <w:t xml:space="preserve">, </w:t>
      </w:r>
      <w:r w:rsidR="00CF29AE">
        <w:rPr>
          <w:rFonts w:eastAsia="Arial" w:cs="Arial"/>
          <w:sz w:val="22"/>
          <w:szCs w:val="22"/>
        </w:rPr>
        <w:t>the costs per TA project and event supported by EBF</w:t>
      </w:r>
      <w:r w:rsidR="00447BDD">
        <w:rPr>
          <w:rFonts w:eastAsia="Arial" w:cs="Arial"/>
          <w:sz w:val="22"/>
          <w:szCs w:val="22"/>
        </w:rPr>
        <w:t xml:space="preserve"> are set out in Table 1. The cost per TA project is similar to last year, while the cost per event supported has fallen significantly, </w:t>
      </w:r>
      <w:r w:rsidR="00820CD8">
        <w:rPr>
          <w:rFonts w:eastAsia="Arial" w:cs="Arial"/>
          <w:sz w:val="22"/>
          <w:szCs w:val="22"/>
        </w:rPr>
        <w:t xml:space="preserve">indicating </w:t>
      </w:r>
      <w:r w:rsidR="00DE3D44">
        <w:rPr>
          <w:rFonts w:eastAsia="Arial" w:cs="Arial"/>
          <w:sz w:val="22"/>
          <w:szCs w:val="22"/>
        </w:rPr>
        <w:t xml:space="preserve">that the programme may be delivering those events at a better price than previously. </w:t>
      </w:r>
      <w:r w:rsidRPr="07FC4C9B">
        <w:rPr>
          <w:rFonts w:eastAsia="Arial" w:cs="Arial"/>
          <w:sz w:val="22"/>
          <w:szCs w:val="22"/>
        </w:rPr>
        <w:t xml:space="preserve"> </w:t>
      </w:r>
    </w:p>
    <w:p w14:paraId="2D75C76F" w14:textId="77777777" w:rsidR="0046235A" w:rsidRPr="0046235A" w:rsidRDefault="0046235A" w:rsidP="0046235A">
      <w:pPr>
        <w:pStyle w:val="Caption"/>
        <w:keepNext/>
        <w:rPr>
          <w:sz w:val="22"/>
          <w:szCs w:val="22"/>
        </w:rPr>
      </w:pPr>
      <w:r w:rsidRPr="0046235A">
        <w:rPr>
          <w:sz w:val="22"/>
          <w:szCs w:val="22"/>
        </w:rPr>
        <w:t xml:space="preserve">Table </w:t>
      </w:r>
      <w:r w:rsidRPr="0046235A">
        <w:rPr>
          <w:sz w:val="22"/>
          <w:szCs w:val="22"/>
        </w:rPr>
        <w:fldChar w:fldCharType="begin"/>
      </w:r>
      <w:r w:rsidRPr="0046235A">
        <w:rPr>
          <w:sz w:val="22"/>
          <w:szCs w:val="22"/>
        </w:rPr>
        <w:instrText xml:space="preserve"> SEQ Table \* ARABIC </w:instrText>
      </w:r>
      <w:r w:rsidRPr="0046235A">
        <w:rPr>
          <w:sz w:val="22"/>
          <w:szCs w:val="22"/>
        </w:rPr>
        <w:fldChar w:fldCharType="separate"/>
      </w:r>
      <w:r w:rsidRPr="0046235A">
        <w:rPr>
          <w:noProof/>
          <w:sz w:val="22"/>
          <w:szCs w:val="22"/>
        </w:rPr>
        <w:t>1</w:t>
      </w:r>
      <w:r w:rsidRPr="0046235A">
        <w:rPr>
          <w:sz w:val="22"/>
          <w:szCs w:val="22"/>
        </w:rPr>
        <w:fldChar w:fldCharType="end"/>
      </w:r>
      <w:r w:rsidRPr="0046235A">
        <w:rPr>
          <w:sz w:val="22"/>
          <w:szCs w:val="22"/>
        </w:rPr>
        <w:t xml:space="preserve"> - VfM Metrics</w:t>
      </w:r>
    </w:p>
    <w:tbl>
      <w:tblPr>
        <w:tblStyle w:val="TableGrid"/>
        <w:tblW w:w="0" w:type="auto"/>
        <w:tblLayout w:type="fixed"/>
        <w:tblLook w:val="04A0" w:firstRow="1" w:lastRow="0" w:firstColumn="1" w:lastColumn="0" w:noHBand="0" w:noVBand="1"/>
      </w:tblPr>
      <w:tblGrid>
        <w:gridCol w:w="4500"/>
        <w:gridCol w:w="2250"/>
        <w:gridCol w:w="2250"/>
      </w:tblGrid>
      <w:tr w:rsidR="0046235A" w14:paraId="4B539BE6" w14:textId="77777777">
        <w:trPr>
          <w:trHeight w:val="420"/>
        </w:trPr>
        <w:tc>
          <w:tcPr>
            <w:tcW w:w="4500" w:type="dxa"/>
            <w:tcBorders>
              <w:top w:val="single" w:sz="8" w:space="0" w:color="auto"/>
              <w:left w:val="single" w:sz="8" w:space="0" w:color="auto"/>
              <w:bottom w:val="single" w:sz="8" w:space="0" w:color="auto"/>
              <w:right w:val="single" w:sz="8" w:space="0" w:color="auto"/>
            </w:tcBorders>
            <w:shd w:val="clear" w:color="auto" w:fill="C1E4F5"/>
            <w:tcMar>
              <w:left w:w="108" w:type="dxa"/>
              <w:right w:w="108" w:type="dxa"/>
            </w:tcMar>
          </w:tcPr>
          <w:p w14:paraId="1A70AE37" w14:textId="77777777" w:rsidR="0046235A" w:rsidRPr="00FA1855" w:rsidRDefault="0046235A">
            <w:pPr>
              <w:jc w:val="both"/>
              <w:rPr>
                <w:b/>
                <w:bCs/>
              </w:rPr>
            </w:pPr>
            <w:r w:rsidRPr="00FA1855">
              <w:rPr>
                <w:rFonts w:eastAsia="Arial" w:cs="Arial"/>
                <w:b/>
                <w:bCs/>
                <w:i/>
                <w:iCs/>
                <w:color w:val="000000" w:themeColor="text1"/>
                <w:sz w:val="22"/>
                <w:szCs w:val="22"/>
              </w:rPr>
              <w:t>VfM Metric</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FD832FE" w14:textId="68607A65" w:rsidR="0046235A" w:rsidRPr="00FA1855" w:rsidRDefault="0046235A">
            <w:pPr>
              <w:rPr>
                <w:b/>
                <w:bCs/>
              </w:rPr>
            </w:pPr>
            <w:r w:rsidRPr="00FA1855">
              <w:rPr>
                <w:rFonts w:eastAsia="Arial" w:cs="Arial"/>
                <w:b/>
                <w:bCs/>
                <w:i/>
                <w:iCs/>
                <w:sz w:val="22"/>
                <w:szCs w:val="22"/>
              </w:rPr>
              <w:t>Result 2022</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4293142" w14:textId="77777777" w:rsidR="0046235A" w:rsidRPr="00FA1855" w:rsidRDefault="0046235A">
            <w:pPr>
              <w:rPr>
                <w:b/>
                <w:bCs/>
              </w:rPr>
            </w:pPr>
            <w:r w:rsidRPr="00FA1855">
              <w:rPr>
                <w:rFonts w:eastAsia="Arial" w:cs="Arial"/>
                <w:b/>
                <w:bCs/>
                <w:i/>
                <w:iCs/>
                <w:sz w:val="22"/>
                <w:szCs w:val="22"/>
              </w:rPr>
              <w:t>Result 2023</w:t>
            </w:r>
          </w:p>
        </w:tc>
      </w:tr>
      <w:tr w:rsidR="0046235A" w14:paraId="7E428A74" w14:textId="77777777">
        <w:trPr>
          <w:trHeight w:val="300"/>
        </w:trPr>
        <w:tc>
          <w:tcPr>
            <w:tcW w:w="4500" w:type="dxa"/>
            <w:tcBorders>
              <w:top w:val="single" w:sz="8" w:space="0" w:color="auto"/>
              <w:left w:val="single" w:sz="8" w:space="0" w:color="auto"/>
              <w:bottom w:val="single" w:sz="8" w:space="0" w:color="auto"/>
              <w:right w:val="single" w:sz="8" w:space="0" w:color="auto"/>
            </w:tcBorders>
            <w:shd w:val="clear" w:color="auto" w:fill="C1E4F5"/>
            <w:tcMar>
              <w:left w:w="108" w:type="dxa"/>
              <w:right w:w="108" w:type="dxa"/>
            </w:tcMar>
          </w:tcPr>
          <w:p w14:paraId="6190A81C" w14:textId="77777777" w:rsidR="0046235A" w:rsidRDefault="0046235A">
            <w:pPr>
              <w:jc w:val="both"/>
            </w:pPr>
            <w:r w:rsidRPr="07FC4C9B">
              <w:rPr>
                <w:rFonts w:eastAsia="Arial" w:cs="Arial"/>
                <w:color w:val="000000" w:themeColor="text1"/>
                <w:sz w:val="22"/>
                <w:szCs w:val="22"/>
              </w:rPr>
              <w:t>Cost per TA project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058E270C" w14:textId="77777777" w:rsidR="0046235A" w:rsidRDefault="0046235A">
            <w:pPr>
              <w:jc w:val="both"/>
            </w:pPr>
            <w:r w:rsidRPr="07FC4C9B">
              <w:rPr>
                <w:rFonts w:eastAsia="Arial" w:cs="Arial"/>
                <w:sz w:val="22"/>
                <w:szCs w:val="22"/>
              </w:rPr>
              <w:t>55,400</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97CA7EA" w14:textId="77777777" w:rsidR="0046235A" w:rsidRDefault="0046235A">
            <w:pPr>
              <w:jc w:val="both"/>
              <w:rPr>
                <w:rFonts w:eastAsia="Arial" w:cs="Arial"/>
                <w:sz w:val="22"/>
                <w:szCs w:val="22"/>
              </w:rPr>
            </w:pPr>
            <w:r w:rsidRPr="07FC4C9B">
              <w:rPr>
                <w:rFonts w:eastAsia="Arial" w:cs="Arial"/>
                <w:sz w:val="22"/>
                <w:szCs w:val="22"/>
              </w:rPr>
              <w:t>54,313</w:t>
            </w:r>
          </w:p>
        </w:tc>
      </w:tr>
      <w:tr w:rsidR="0046235A" w14:paraId="6BA7E78D" w14:textId="77777777">
        <w:trPr>
          <w:trHeight w:val="300"/>
        </w:trPr>
        <w:tc>
          <w:tcPr>
            <w:tcW w:w="4500" w:type="dxa"/>
            <w:tcBorders>
              <w:top w:val="single" w:sz="8" w:space="0" w:color="auto"/>
              <w:left w:val="single" w:sz="8" w:space="0" w:color="auto"/>
              <w:bottom w:val="single" w:sz="8" w:space="0" w:color="auto"/>
              <w:right w:val="single" w:sz="8" w:space="0" w:color="auto"/>
            </w:tcBorders>
            <w:shd w:val="clear" w:color="auto" w:fill="C1E4F5"/>
            <w:tcMar>
              <w:left w:w="108" w:type="dxa"/>
              <w:right w:w="108" w:type="dxa"/>
            </w:tcMar>
          </w:tcPr>
          <w:p w14:paraId="59C68B29" w14:textId="77777777" w:rsidR="0046235A" w:rsidRDefault="0046235A">
            <w:pPr>
              <w:jc w:val="both"/>
            </w:pPr>
            <w:r w:rsidRPr="07FC4C9B">
              <w:rPr>
                <w:rFonts w:eastAsia="Arial" w:cs="Arial"/>
                <w:color w:val="000000" w:themeColor="text1"/>
                <w:sz w:val="22"/>
                <w:szCs w:val="22"/>
              </w:rPr>
              <w:t>Cost per event supported by EBF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0D58A06" w14:textId="5844733E" w:rsidR="0046235A" w:rsidRDefault="0046235A">
            <w:pPr>
              <w:jc w:val="both"/>
            </w:pPr>
            <w:r w:rsidRPr="07FC4C9B">
              <w:rPr>
                <w:rFonts w:eastAsia="Arial" w:cs="Arial"/>
                <w:sz w:val="22"/>
                <w:szCs w:val="22"/>
              </w:rPr>
              <w:t>4</w:t>
            </w:r>
            <w:r w:rsidR="00FE386E">
              <w:rPr>
                <w:rFonts w:eastAsia="Arial" w:cs="Arial"/>
                <w:sz w:val="22"/>
                <w:szCs w:val="22"/>
              </w:rPr>
              <w:t>,</w:t>
            </w:r>
            <w:r w:rsidRPr="07FC4C9B">
              <w:rPr>
                <w:rFonts w:eastAsia="Arial" w:cs="Arial"/>
                <w:sz w:val="22"/>
                <w:szCs w:val="22"/>
              </w:rPr>
              <w:t>284</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0B1CD1C3" w14:textId="77777777" w:rsidR="0046235A" w:rsidRDefault="0046235A">
            <w:pPr>
              <w:jc w:val="both"/>
              <w:rPr>
                <w:rFonts w:eastAsia="Arial" w:cs="Arial"/>
                <w:sz w:val="22"/>
                <w:szCs w:val="22"/>
              </w:rPr>
            </w:pPr>
            <w:r>
              <w:rPr>
                <w:rFonts w:eastAsia="Arial" w:cs="Arial"/>
                <w:sz w:val="22"/>
                <w:szCs w:val="22"/>
              </w:rPr>
              <w:t>3,076</w:t>
            </w:r>
          </w:p>
        </w:tc>
      </w:tr>
    </w:tbl>
    <w:p w14:paraId="3F41C96D" w14:textId="77777777" w:rsidR="00E66C8C" w:rsidRDefault="00E66C8C" w:rsidP="00E66C8C">
      <w:pPr>
        <w:rPr>
          <w:rFonts w:eastAsia="Arial" w:cs="Arial"/>
          <w:sz w:val="22"/>
          <w:szCs w:val="22"/>
        </w:rPr>
      </w:pPr>
    </w:p>
    <w:p w14:paraId="13541E1A" w14:textId="0700A836" w:rsidR="00E66C8C" w:rsidRPr="00E66C8C" w:rsidRDefault="00E66C8C" w:rsidP="00E66C8C">
      <w:pPr>
        <w:rPr>
          <w:rFonts w:cs="Arial"/>
          <w:sz w:val="22"/>
          <w:szCs w:val="22"/>
        </w:rPr>
      </w:pPr>
      <w:r w:rsidRPr="00E66C8C">
        <w:rPr>
          <w:rFonts w:cs="Arial"/>
          <w:sz w:val="22"/>
          <w:szCs w:val="22"/>
        </w:rPr>
        <w:t>Defra has received the audited financial statement from EBF 1 January to 31 December 2023. The auditor’s report confirms that EBF’s financial statements give a true and fair view of the financial position of the Fund and of each of its sub-funds as of 31 December 2023, and of their financial performance and their cashflows for the year then ended in accordance with International Financial Reporting Standards (IFRS) as adopted by the European Union.</w:t>
      </w:r>
    </w:p>
    <w:p w14:paraId="5A43A394" w14:textId="77777777" w:rsidR="00E66C8C" w:rsidRPr="00E66C8C" w:rsidRDefault="00E66C8C" w:rsidP="00E66C8C">
      <w:pPr>
        <w:rPr>
          <w:rFonts w:cs="Arial"/>
          <w:sz w:val="22"/>
          <w:szCs w:val="22"/>
        </w:rPr>
      </w:pPr>
    </w:p>
    <w:p w14:paraId="177957F8" w14:textId="6C13CB43" w:rsidR="006543F4" w:rsidRPr="00E66C8C" w:rsidRDefault="00E66C8C" w:rsidP="00233137">
      <w:pPr>
        <w:spacing w:after="200"/>
        <w:jc w:val="both"/>
        <w:rPr>
          <w:rFonts w:eastAsia="Arial" w:cs="Arial"/>
          <w:sz w:val="22"/>
          <w:szCs w:val="22"/>
        </w:rPr>
      </w:pPr>
      <w:r w:rsidRPr="00E66C8C">
        <w:rPr>
          <w:rFonts w:eastAsia="Arial" w:cs="Arial"/>
          <w:sz w:val="22"/>
          <w:szCs w:val="22"/>
        </w:rPr>
        <w:t>In addition to tracking how much money is disbursed</w:t>
      </w:r>
      <w:r w:rsidR="003F561C">
        <w:rPr>
          <w:rFonts w:eastAsia="Arial" w:cs="Arial"/>
          <w:sz w:val="22"/>
          <w:szCs w:val="22"/>
        </w:rPr>
        <w:t xml:space="preserve"> ($118.5 million </w:t>
      </w:r>
      <w:r w:rsidR="00C51628">
        <w:rPr>
          <w:rFonts w:eastAsia="Arial" w:cs="Arial"/>
          <w:sz w:val="22"/>
          <w:szCs w:val="22"/>
        </w:rPr>
        <w:t xml:space="preserve">from EBF </w:t>
      </w:r>
      <w:r w:rsidR="003F561C">
        <w:rPr>
          <w:rFonts w:eastAsia="Arial" w:cs="Arial"/>
          <w:sz w:val="22"/>
          <w:szCs w:val="22"/>
        </w:rPr>
        <w:t>to PIs</w:t>
      </w:r>
      <w:r w:rsidR="00C51628">
        <w:rPr>
          <w:rFonts w:eastAsia="Arial" w:cs="Arial"/>
          <w:sz w:val="22"/>
          <w:szCs w:val="22"/>
        </w:rPr>
        <w:t xml:space="preserve">, </w:t>
      </w:r>
      <w:r w:rsidR="00FF6020">
        <w:rPr>
          <w:rFonts w:eastAsia="Arial" w:cs="Arial"/>
          <w:sz w:val="22"/>
          <w:szCs w:val="22"/>
        </w:rPr>
        <w:t>and $402 million in sub-loans to end-borrowers)</w:t>
      </w:r>
      <w:r w:rsidRPr="00E66C8C">
        <w:rPr>
          <w:rFonts w:eastAsia="Arial" w:cs="Arial"/>
          <w:sz w:val="22"/>
          <w:szCs w:val="22"/>
        </w:rPr>
        <w:t xml:space="preserve">, the total amount spent on direct operating expenses, service fees and performance fees are monitored closely year-on-year. </w:t>
      </w:r>
      <w:r w:rsidR="009F5F6B">
        <w:rPr>
          <w:rStyle w:val="normaltextrun"/>
          <w:rFonts w:eastAsia="Arial" w:cs="Arial"/>
          <w:sz w:val="22"/>
          <w:szCs w:val="22"/>
        </w:rPr>
        <w:t>Total Fund</w:t>
      </w:r>
      <w:r w:rsidRPr="00E66C8C">
        <w:rPr>
          <w:rStyle w:val="normaltextrun"/>
          <w:rFonts w:eastAsia="Arial" w:cs="Arial"/>
          <w:sz w:val="22"/>
          <w:szCs w:val="22"/>
        </w:rPr>
        <w:t xml:space="preserve"> costs for 2023 represented 1.87% of total assets, an increase of 0.27</w:t>
      </w:r>
      <w:r w:rsidR="00F5471F">
        <w:rPr>
          <w:rStyle w:val="normaltextrun"/>
          <w:rFonts w:eastAsia="Arial" w:cs="Arial"/>
          <w:sz w:val="22"/>
          <w:szCs w:val="22"/>
        </w:rPr>
        <w:t>%</w:t>
      </w:r>
      <w:r w:rsidRPr="00E66C8C">
        <w:rPr>
          <w:rStyle w:val="normaltextrun"/>
          <w:rFonts w:eastAsia="Arial" w:cs="Arial"/>
          <w:sz w:val="22"/>
          <w:szCs w:val="22"/>
        </w:rPr>
        <w:t xml:space="preserve"> compared to 2022. Operating costs include the Fund’s service fees, the cost of which has been covered directly from returns on investments of the Fund, as well as performance fees and direct operating expenses.</w:t>
      </w:r>
    </w:p>
    <w:p w14:paraId="1D83BCAA" w14:textId="788FEC1B" w:rsidR="00F20A87" w:rsidRPr="00A54B18" w:rsidRDefault="2EE66EDC" w:rsidP="07FC4C9B">
      <w:pPr>
        <w:spacing w:after="160" w:line="257" w:lineRule="auto"/>
        <w:jc w:val="both"/>
      </w:pPr>
      <w:r w:rsidRPr="07FC4C9B">
        <w:rPr>
          <w:rFonts w:eastAsia="Arial" w:cs="Arial"/>
          <w:b/>
          <w:bCs/>
          <w:sz w:val="22"/>
          <w:szCs w:val="22"/>
        </w:rPr>
        <w:t>Efficiency</w:t>
      </w:r>
    </w:p>
    <w:p w14:paraId="1612755C" w14:textId="42C9F501" w:rsidR="00AC0025" w:rsidRPr="00A54B18" w:rsidRDefault="006125FB" w:rsidP="07FC4C9B">
      <w:pPr>
        <w:spacing w:after="160" w:line="257" w:lineRule="auto"/>
        <w:jc w:val="both"/>
      </w:pPr>
      <w:r>
        <w:rPr>
          <w:rFonts w:eastAsia="Arial" w:cs="Arial"/>
          <w:color w:val="000000" w:themeColor="text1"/>
          <w:sz w:val="22"/>
          <w:szCs w:val="22"/>
        </w:rPr>
        <w:t xml:space="preserve">Reporting against output indicators for 2023 demonstrates </w:t>
      </w:r>
      <w:r w:rsidR="005E39A3">
        <w:rPr>
          <w:rFonts w:eastAsia="Arial" w:cs="Arial"/>
          <w:color w:val="000000" w:themeColor="text1"/>
          <w:sz w:val="22"/>
          <w:szCs w:val="22"/>
        </w:rPr>
        <w:t>solid</w:t>
      </w:r>
      <w:r w:rsidR="00E76929">
        <w:rPr>
          <w:rFonts w:eastAsia="Arial" w:cs="Arial"/>
          <w:color w:val="000000" w:themeColor="text1"/>
          <w:sz w:val="22"/>
          <w:szCs w:val="22"/>
        </w:rPr>
        <w:t xml:space="preserve"> conversion of inputs into outputs, with 100% of indicators meeting or exceeding their targets for 2023</w:t>
      </w:r>
      <w:r w:rsidR="004F1872">
        <w:rPr>
          <w:rFonts w:eastAsia="Arial" w:cs="Arial"/>
          <w:color w:val="000000" w:themeColor="text1"/>
          <w:sz w:val="22"/>
          <w:szCs w:val="22"/>
        </w:rPr>
        <w:t xml:space="preserve"> (Table </w:t>
      </w:r>
      <w:r w:rsidR="005F73B9">
        <w:rPr>
          <w:rFonts w:eastAsia="Arial" w:cs="Arial"/>
          <w:color w:val="000000" w:themeColor="text1"/>
          <w:sz w:val="22"/>
          <w:szCs w:val="22"/>
        </w:rPr>
        <w:t>3</w:t>
      </w:r>
      <w:r w:rsidR="004F1872">
        <w:rPr>
          <w:rFonts w:eastAsia="Arial" w:cs="Arial"/>
          <w:color w:val="000000" w:themeColor="text1"/>
          <w:sz w:val="22"/>
          <w:szCs w:val="22"/>
        </w:rPr>
        <w:t>)</w:t>
      </w:r>
      <w:r w:rsidR="00770386">
        <w:rPr>
          <w:rFonts w:eastAsia="Arial" w:cs="Arial"/>
          <w:color w:val="000000" w:themeColor="text1"/>
          <w:sz w:val="22"/>
          <w:szCs w:val="22"/>
        </w:rPr>
        <w:t xml:space="preserve"> and f</w:t>
      </w:r>
      <w:r w:rsidR="00770386" w:rsidRPr="0C17AC5C">
        <w:rPr>
          <w:rFonts w:eastAsia="Arial" w:cs="Arial"/>
          <w:sz w:val="22"/>
          <w:szCs w:val="22"/>
        </w:rPr>
        <w:t xml:space="preserve">ive </w:t>
      </w:r>
      <w:r w:rsidR="0026195A">
        <w:rPr>
          <w:rFonts w:eastAsia="Arial" w:cs="Arial"/>
          <w:sz w:val="22"/>
          <w:szCs w:val="22"/>
        </w:rPr>
        <w:t>(</w:t>
      </w:r>
      <w:r w:rsidR="00770386" w:rsidRPr="0C17AC5C">
        <w:rPr>
          <w:rFonts w:eastAsia="Arial" w:cs="Arial"/>
          <w:sz w:val="22"/>
          <w:szCs w:val="22"/>
        </w:rPr>
        <w:t>56%) exceed</w:t>
      </w:r>
      <w:r w:rsidR="0026195A">
        <w:rPr>
          <w:rFonts w:eastAsia="Arial" w:cs="Arial"/>
          <w:sz w:val="22"/>
          <w:szCs w:val="22"/>
        </w:rPr>
        <w:t xml:space="preserve">ing </w:t>
      </w:r>
      <w:r w:rsidR="00770386" w:rsidRPr="0C17AC5C">
        <w:rPr>
          <w:rFonts w:eastAsia="Arial" w:cs="Arial"/>
          <w:sz w:val="22"/>
          <w:szCs w:val="22"/>
        </w:rPr>
        <w:t xml:space="preserve">their target. </w:t>
      </w:r>
      <w:r w:rsidR="007A4321">
        <w:rPr>
          <w:rFonts w:eastAsia="Arial" w:cs="Arial"/>
          <w:color w:val="000000" w:themeColor="text1"/>
          <w:sz w:val="22"/>
          <w:szCs w:val="22"/>
        </w:rPr>
        <w:t xml:space="preserve">All three indicators monitored through Output 1 have notably exceeded their </w:t>
      </w:r>
      <w:r w:rsidR="002512D1">
        <w:rPr>
          <w:rFonts w:eastAsia="Arial" w:cs="Arial"/>
          <w:color w:val="000000" w:themeColor="text1"/>
          <w:sz w:val="22"/>
          <w:szCs w:val="22"/>
        </w:rPr>
        <w:t xml:space="preserve">targets by </w:t>
      </w:r>
      <w:r w:rsidR="00903FD9">
        <w:rPr>
          <w:rFonts w:eastAsia="Arial" w:cs="Arial"/>
          <w:color w:val="000000" w:themeColor="text1"/>
          <w:sz w:val="22"/>
          <w:szCs w:val="22"/>
        </w:rPr>
        <w:t xml:space="preserve">between </w:t>
      </w:r>
      <w:r w:rsidR="002512D1">
        <w:rPr>
          <w:rFonts w:eastAsia="Arial" w:cs="Arial"/>
          <w:color w:val="000000" w:themeColor="text1"/>
          <w:sz w:val="22"/>
          <w:szCs w:val="22"/>
        </w:rPr>
        <w:t>8-20%</w:t>
      </w:r>
      <w:r w:rsidR="00903FD9">
        <w:rPr>
          <w:rFonts w:eastAsia="Arial" w:cs="Arial"/>
          <w:color w:val="000000" w:themeColor="text1"/>
          <w:sz w:val="22"/>
          <w:szCs w:val="22"/>
        </w:rPr>
        <w:t>.</w:t>
      </w:r>
      <w:r w:rsidR="002512D1">
        <w:rPr>
          <w:rFonts w:eastAsia="Arial" w:cs="Arial"/>
          <w:color w:val="000000" w:themeColor="text1"/>
          <w:sz w:val="22"/>
          <w:szCs w:val="22"/>
        </w:rPr>
        <w:t xml:space="preserve"> </w:t>
      </w:r>
      <w:r w:rsidR="00903FD9">
        <w:rPr>
          <w:rFonts w:eastAsia="Arial" w:cs="Arial"/>
          <w:color w:val="000000" w:themeColor="text1"/>
          <w:sz w:val="22"/>
          <w:szCs w:val="22"/>
        </w:rPr>
        <w:t>However, w</w:t>
      </w:r>
      <w:r w:rsidR="00AC0025">
        <w:rPr>
          <w:rFonts w:eastAsia="Arial" w:cs="Arial"/>
          <w:color w:val="000000" w:themeColor="text1"/>
          <w:sz w:val="22"/>
          <w:szCs w:val="22"/>
        </w:rPr>
        <w:t>hil</w:t>
      </w:r>
      <w:r w:rsidR="00903FD9">
        <w:rPr>
          <w:rFonts w:eastAsia="Arial" w:cs="Arial"/>
          <w:color w:val="000000" w:themeColor="text1"/>
          <w:sz w:val="22"/>
          <w:szCs w:val="22"/>
        </w:rPr>
        <w:t>st</w:t>
      </w:r>
      <w:r w:rsidR="00AC0025">
        <w:rPr>
          <w:rFonts w:eastAsia="Arial" w:cs="Arial"/>
          <w:color w:val="000000" w:themeColor="text1"/>
          <w:sz w:val="22"/>
          <w:szCs w:val="22"/>
        </w:rPr>
        <w:t xml:space="preserve"> Output</w:t>
      </w:r>
      <w:r w:rsidR="00E8333C">
        <w:rPr>
          <w:rFonts w:eastAsia="Arial" w:cs="Arial"/>
          <w:color w:val="000000" w:themeColor="text1"/>
          <w:sz w:val="22"/>
          <w:szCs w:val="22"/>
        </w:rPr>
        <w:t xml:space="preserve"> indicators 3.1 (number of TA projects) and 3.3 (number of events) have met their targets for 2023, </w:t>
      </w:r>
      <w:r w:rsidR="00755E04">
        <w:rPr>
          <w:rFonts w:eastAsia="Arial" w:cs="Arial"/>
          <w:color w:val="000000" w:themeColor="text1"/>
          <w:sz w:val="22"/>
          <w:szCs w:val="22"/>
        </w:rPr>
        <w:t xml:space="preserve">they have not grown as rapidly </w:t>
      </w:r>
      <w:r w:rsidR="00BA1511">
        <w:rPr>
          <w:rFonts w:eastAsia="Arial" w:cs="Arial"/>
          <w:color w:val="000000" w:themeColor="text1"/>
          <w:sz w:val="22"/>
          <w:szCs w:val="22"/>
        </w:rPr>
        <w:t>relative to the previous year</w:t>
      </w:r>
      <w:r w:rsidR="00431ECC">
        <w:rPr>
          <w:rFonts w:eastAsia="Arial" w:cs="Arial"/>
          <w:color w:val="000000" w:themeColor="text1"/>
          <w:sz w:val="22"/>
          <w:szCs w:val="22"/>
        </w:rPr>
        <w:t xml:space="preserve">. </w:t>
      </w:r>
      <w:r w:rsidR="00BA1511">
        <w:rPr>
          <w:rFonts w:eastAsia="Arial" w:cs="Arial"/>
          <w:color w:val="000000" w:themeColor="text1"/>
          <w:sz w:val="22"/>
          <w:szCs w:val="22"/>
        </w:rPr>
        <w:t>This</w:t>
      </w:r>
      <w:r w:rsidR="0083082C">
        <w:rPr>
          <w:rFonts w:eastAsia="Arial" w:cs="Arial"/>
          <w:color w:val="000000" w:themeColor="text1"/>
          <w:sz w:val="22"/>
          <w:szCs w:val="22"/>
        </w:rPr>
        <w:t xml:space="preserve"> </w:t>
      </w:r>
      <w:r w:rsidR="00BC1245">
        <w:rPr>
          <w:rFonts w:eastAsia="Arial" w:cs="Arial"/>
          <w:color w:val="000000" w:themeColor="text1"/>
          <w:sz w:val="22"/>
          <w:szCs w:val="22"/>
        </w:rPr>
        <w:t xml:space="preserve">aligns with </w:t>
      </w:r>
      <w:r w:rsidR="0088372C">
        <w:rPr>
          <w:rFonts w:eastAsia="Arial" w:cs="Arial"/>
          <w:color w:val="000000" w:themeColor="text1"/>
          <w:sz w:val="22"/>
          <w:szCs w:val="22"/>
        </w:rPr>
        <w:t xml:space="preserve">a lack of growth in the Fund in 2023, due to </w:t>
      </w:r>
      <w:r w:rsidR="001401E8">
        <w:rPr>
          <w:rFonts w:eastAsia="Arial" w:cs="Arial"/>
          <w:color w:val="000000" w:themeColor="text1"/>
          <w:sz w:val="22"/>
          <w:szCs w:val="22"/>
        </w:rPr>
        <w:t>a small percentage of</w:t>
      </w:r>
      <w:r w:rsidR="0088372C">
        <w:rPr>
          <w:rFonts w:eastAsia="Arial" w:cs="Arial"/>
          <w:color w:val="000000" w:themeColor="text1"/>
          <w:sz w:val="22"/>
          <w:szCs w:val="22"/>
        </w:rPr>
        <w:t xml:space="preserve"> write-offs of investments and </w:t>
      </w:r>
      <w:r w:rsidR="001401E8">
        <w:rPr>
          <w:rFonts w:eastAsia="Arial" w:cs="Arial"/>
          <w:color w:val="000000" w:themeColor="text1"/>
          <w:sz w:val="22"/>
          <w:szCs w:val="22"/>
        </w:rPr>
        <w:t>a lack of Junio</w:t>
      </w:r>
      <w:r w:rsidR="004C166F">
        <w:rPr>
          <w:rFonts w:eastAsia="Arial" w:cs="Arial"/>
          <w:color w:val="000000" w:themeColor="text1"/>
          <w:sz w:val="22"/>
          <w:szCs w:val="22"/>
        </w:rPr>
        <w:t>r</w:t>
      </w:r>
      <w:r w:rsidR="001401E8">
        <w:rPr>
          <w:rFonts w:eastAsia="Arial" w:cs="Arial"/>
          <w:color w:val="000000" w:themeColor="text1"/>
          <w:sz w:val="22"/>
          <w:szCs w:val="22"/>
        </w:rPr>
        <w:t xml:space="preserve"> investment to support additional private </w:t>
      </w:r>
      <w:r w:rsidR="004C166F">
        <w:rPr>
          <w:rFonts w:eastAsia="Arial" w:cs="Arial"/>
          <w:color w:val="000000" w:themeColor="text1"/>
          <w:sz w:val="22"/>
          <w:szCs w:val="22"/>
        </w:rPr>
        <w:t xml:space="preserve">finance, and could be restored by further public investment </w:t>
      </w:r>
      <w:r w:rsidR="00D8054D">
        <w:rPr>
          <w:rFonts w:eastAsia="Arial" w:cs="Arial"/>
          <w:color w:val="000000" w:themeColor="text1"/>
          <w:sz w:val="22"/>
          <w:szCs w:val="22"/>
        </w:rPr>
        <w:t>from</w:t>
      </w:r>
      <w:r w:rsidR="004C166F">
        <w:rPr>
          <w:rFonts w:eastAsia="Arial" w:cs="Arial"/>
          <w:color w:val="000000" w:themeColor="text1"/>
          <w:sz w:val="22"/>
          <w:szCs w:val="22"/>
        </w:rPr>
        <w:t xml:space="preserve"> Defra or other </w:t>
      </w:r>
      <w:r w:rsidR="00D8054D">
        <w:rPr>
          <w:rFonts w:eastAsia="Arial" w:cs="Arial"/>
          <w:color w:val="000000" w:themeColor="text1"/>
          <w:sz w:val="22"/>
          <w:szCs w:val="22"/>
        </w:rPr>
        <w:t>public partners</w:t>
      </w:r>
      <w:r w:rsidR="00EB43E8">
        <w:rPr>
          <w:rFonts w:eastAsia="Arial" w:cs="Arial"/>
          <w:color w:val="000000" w:themeColor="text1"/>
          <w:sz w:val="22"/>
          <w:szCs w:val="22"/>
        </w:rPr>
        <w:t xml:space="preserve">. </w:t>
      </w:r>
      <w:r w:rsidR="005873E1">
        <w:rPr>
          <w:rFonts w:eastAsia="Arial" w:cs="Arial"/>
          <w:color w:val="000000" w:themeColor="text1"/>
          <w:sz w:val="22"/>
          <w:szCs w:val="22"/>
        </w:rPr>
        <w:t>It is important to note</w:t>
      </w:r>
      <w:r w:rsidR="00D51518">
        <w:rPr>
          <w:rFonts w:eastAsia="Arial" w:cs="Arial"/>
          <w:color w:val="000000" w:themeColor="text1"/>
          <w:sz w:val="22"/>
          <w:szCs w:val="22"/>
        </w:rPr>
        <w:t>,</w:t>
      </w:r>
      <w:r w:rsidR="005873E1">
        <w:rPr>
          <w:rFonts w:eastAsia="Arial" w:cs="Arial"/>
          <w:color w:val="000000" w:themeColor="text1"/>
          <w:sz w:val="22"/>
          <w:szCs w:val="22"/>
        </w:rPr>
        <w:t xml:space="preserve"> however, that while the overall size of the Fund has slightly reduced since 2022, many loans have been repaid and then reinvested, allowing EBF to make eight new investments this year. Consequently, in 2023, $118.5 million was disbursed to PIs despite the portfolio size shrinking overall; the total amount disbursed by the Fund in LAC between inception and 2023 was $1,137.5 million</w:t>
      </w:r>
      <w:r w:rsidR="00A01362">
        <w:rPr>
          <w:rFonts w:eastAsia="Arial" w:cs="Arial"/>
          <w:color w:val="000000" w:themeColor="text1"/>
          <w:sz w:val="22"/>
          <w:szCs w:val="22"/>
        </w:rPr>
        <w:t>, compared to a Fund size of $644</w:t>
      </w:r>
      <w:r w:rsidR="00060A72">
        <w:rPr>
          <w:rFonts w:eastAsia="Arial" w:cs="Arial"/>
          <w:color w:val="000000" w:themeColor="text1"/>
          <w:sz w:val="22"/>
          <w:szCs w:val="22"/>
        </w:rPr>
        <w:t xml:space="preserve">.4 million, so efficiency is still </w:t>
      </w:r>
      <w:r w:rsidR="00D51518">
        <w:rPr>
          <w:rFonts w:eastAsia="Arial" w:cs="Arial"/>
          <w:color w:val="000000" w:themeColor="text1"/>
          <w:sz w:val="22"/>
          <w:szCs w:val="22"/>
        </w:rPr>
        <w:t>very good relative to Defra’s investment</w:t>
      </w:r>
      <w:r w:rsidR="00A01362">
        <w:rPr>
          <w:rFonts w:eastAsia="Arial" w:cs="Arial"/>
          <w:color w:val="000000" w:themeColor="text1"/>
          <w:sz w:val="22"/>
          <w:szCs w:val="22"/>
        </w:rPr>
        <w:t>.</w:t>
      </w:r>
    </w:p>
    <w:p w14:paraId="6D6A98D0" w14:textId="34A812FC" w:rsidR="00CD2FC8" w:rsidRPr="00975C38" w:rsidRDefault="2EE66EDC" w:rsidP="000F3EA8">
      <w:pPr>
        <w:spacing w:after="160" w:line="257" w:lineRule="auto"/>
        <w:jc w:val="both"/>
      </w:pPr>
      <w:r w:rsidRPr="07FC4C9B">
        <w:rPr>
          <w:rFonts w:eastAsia="Arial" w:cs="Arial"/>
          <w:color w:val="000000" w:themeColor="text1"/>
          <w:sz w:val="22"/>
          <w:szCs w:val="22"/>
        </w:rPr>
        <w:t xml:space="preserve">The ratio of private finance mobilised as a result of every £ of ICF support </w:t>
      </w:r>
      <w:r w:rsidR="000C21FC">
        <w:rPr>
          <w:rFonts w:eastAsia="Arial" w:cs="Arial"/>
          <w:color w:val="000000" w:themeColor="text1"/>
          <w:sz w:val="22"/>
          <w:szCs w:val="22"/>
        </w:rPr>
        <w:t xml:space="preserve">also </w:t>
      </w:r>
      <w:r w:rsidRPr="07FC4C9B">
        <w:rPr>
          <w:rFonts w:eastAsia="Arial" w:cs="Arial"/>
          <w:color w:val="000000" w:themeColor="text1"/>
          <w:sz w:val="22"/>
          <w:szCs w:val="22"/>
        </w:rPr>
        <w:t>indicates efficient use of inputs to maximise outputs</w:t>
      </w:r>
      <w:r w:rsidR="008E7D7B">
        <w:rPr>
          <w:rFonts w:eastAsia="Arial" w:cs="Arial"/>
          <w:color w:val="000000" w:themeColor="text1"/>
          <w:sz w:val="22"/>
          <w:szCs w:val="22"/>
        </w:rPr>
        <w:t>, and increased in 2023</w:t>
      </w:r>
      <w:r w:rsidRPr="07FC4C9B">
        <w:rPr>
          <w:rFonts w:eastAsia="Arial" w:cs="Arial"/>
          <w:color w:val="000000" w:themeColor="text1"/>
          <w:sz w:val="22"/>
          <w:szCs w:val="22"/>
        </w:rPr>
        <w:t>. By leveraging additional private finance</w:t>
      </w:r>
      <w:r w:rsidR="00282E42">
        <w:rPr>
          <w:rFonts w:eastAsia="Arial" w:cs="Arial"/>
          <w:color w:val="000000" w:themeColor="text1"/>
          <w:sz w:val="22"/>
          <w:szCs w:val="22"/>
        </w:rPr>
        <w:t xml:space="preserve"> without </w:t>
      </w:r>
      <w:r w:rsidR="00FD1E0E">
        <w:rPr>
          <w:rFonts w:eastAsia="Arial" w:cs="Arial"/>
          <w:color w:val="000000" w:themeColor="text1"/>
          <w:sz w:val="22"/>
          <w:szCs w:val="22"/>
        </w:rPr>
        <w:t xml:space="preserve">an </w:t>
      </w:r>
      <w:r w:rsidR="00282E42">
        <w:rPr>
          <w:rFonts w:eastAsia="Arial" w:cs="Arial"/>
          <w:color w:val="000000" w:themeColor="text1"/>
          <w:sz w:val="22"/>
          <w:szCs w:val="22"/>
        </w:rPr>
        <w:t xml:space="preserve">increase </w:t>
      </w:r>
      <w:r w:rsidR="00FD1E0E">
        <w:rPr>
          <w:rFonts w:eastAsia="Arial" w:cs="Arial"/>
          <w:color w:val="000000" w:themeColor="text1"/>
          <w:sz w:val="22"/>
          <w:szCs w:val="22"/>
        </w:rPr>
        <w:t xml:space="preserve">in </w:t>
      </w:r>
      <w:r w:rsidR="00282E42">
        <w:rPr>
          <w:rFonts w:eastAsia="Arial" w:cs="Arial"/>
          <w:color w:val="000000" w:themeColor="text1"/>
          <w:sz w:val="22"/>
          <w:szCs w:val="22"/>
        </w:rPr>
        <w:t>Defra’s inputs</w:t>
      </w:r>
      <w:r w:rsidRPr="07FC4C9B">
        <w:rPr>
          <w:rFonts w:eastAsia="Arial" w:cs="Arial"/>
          <w:color w:val="000000" w:themeColor="text1"/>
          <w:sz w:val="22"/>
          <w:szCs w:val="22"/>
        </w:rPr>
        <w:t xml:space="preserve">, it shows more businesses are willing to invest in the programme, </w:t>
      </w:r>
      <w:r w:rsidR="00DC7DE2">
        <w:rPr>
          <w:rFonts w:eastAsia="Arial" w:cs="Arial"/>
          <w:color w:val="000000" w:themeColor="text1"/>
          <w:sz w:val="22"/>
          <w:szCs w:val="22"/>
        </w:rPr>
        <w:t>with the greater funding enabling potentially greater programme outputs</w:t>
      </w:r>
      <w:r w:rsidR="00571977">
        <w:rPr>
          <w:rFonts w:eastAsia="Arial" w:cs="Arial"/>
          <w:color w:val="000000" w:themeColor="text1"/>
          <w:sz w:val="22"/>
          <w:szCs w:val="22"/>
        </w:rPr>
        <w:t>.</w:t>
      </w:r>
      <w:r w:rsidRPr="07FC4C9B">
        <w:rPr>
          <w:rFonts w:eastAsia="Arial" w:cs="Arial"/>
          <w:color w:val="000000" w:themeColor="text1"/>
          <w:sz w:val="22"/>
          <w:szCs w:val="22"/>
        </w:rPr>
        <w:t xml:space="preserve">  </w:t>
      </w:r>
    </w:p>
    <w:p w14:paraId="795A667E" w14:textId="43640CDD" w:rsidR="00F20A87" w:rsidRPr="00A54B18" w:rsidRDefault="2EE66EDC" w:rsidP="07FC4C9B">
      <w:pPr>
        <w:spacing w:after="160" w:line="257" w:lineRule="auto"/>
        <w:jc w:val="both"/>
      </w:pPr>
      <w:r w:rsidRPr="07FC4C9B">
        <w:rPr>
          <w:rFonts w:eastAsia="Arial" w:cs="Arial"/>
          <w:sz w:val="22"/>
          <w:szCs w:val="22"/>
        </w:rPr>
        <w:t>As of the end of 2023, 42 partner FIs have received financing from the EBF.</w:t>
      </w:r>
      <w:r w:rsidR="00430325">
        <w:rPr>
          <w:rFonts w:eastAsia="Arial" w:cs="Arial"/>
          <w:sz w:val="22"/>
          <w:szCs w:val="22"/>
        </w:rPr>
        <w:t xml:space="preserve"> </w:t>
      </w:r>
      <w:r w:rsidRPr="07FC4C9B">
        <w:rPr>
          <w:rFonts w:eastAsia="Arial" w:cs="Arial"/>
          <w:sz w:val="22"/>
          <w:szCs w:val="22"/>
        </w:rPr>
        <w:t>To date, EBF has supported 64 events, and 418,000 individuals have been reached through events and other training activities co- or fully sponsored by the DF to promote sustainability in the region.</w:t>
      </w:r>
    </w:p>
    <w:p w14:paraId="12AB8669" w14:textId="28DD6980" w:rsidR="00F20A87" w:rsidRPr="00AF532D" w:rsidRDefault="2EE66EDC" w:rsidP="0C17AC5C">
      <w:pPr>
        <w:spacing w:after="160" w:line="257" w:lineRule="auto"/>
        <w:jc w:val="both"/>
        <w:rPr>
          <w:rFonts w:eastAsia="Arial" w:cs="Arial"/>
          <w:b/>
          <w:bCs/>
          <w:sz w:val="22"/>
          <w:szCs w:val="22"/>
        </w:rPr>
      </w:pPr>
      <w:r w:rsidRPr="07FC4C9B">
        <w:rPr>
          <w:rFonts w:eastAsia="Arial" w:cs="Arial"/>
          <w:b/>
          <w:bCs/>
          <w:sz w:val="22"/>
          <w:szCs w:val="22"/>
        </w:rPr>
        <w:t>Effectiveness</w:t>
      </w:r>
    </w:p>
    <w:tbl>
      <w:tblPr>
        <w:tblStyle w:val="TableGrid"/>
        <w:tblpPr w:leftFromText="180" w:rightFromText="180" w:vertAnchor="text" w:horzAnchor="margin" w:tblpY="296"/>
        <w:tblW w:w="910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24"/>
        <w:gridCol w:w="1370"/>
        <w:gridCol w:w="1370"/>
        <w:gridCol w:w="1370"/>
        <w:gridCol w:w="1370"/>
      </w:tblGrid>
      <w:tr w:rsidR="00C708C3" w:rsidRPr="00D10F90" w14:paraId="5FAE0330" w14:textId="77777777" w:rsidTr="00C708C3">
        <w:trPr>
          <w:trHeight w:val="315"/>
        </w:trPr>
        <w:tc>
          <w:tcPr>
            <w:tcW w:w="3624" w:type="dxa"/>
            <w:shd w:val="clear" w:color="auto" w:fill="BDD6EE" w:themeFill="accent5" w:themeFillTint="66"/>
            <w:tcMar>
              <w:left w:w="105" w:type="dxa"/>
              <w:right w:w="105" w:type="dxa"/>
            </w:tcMar>
            <w:vAlign w:val="center"/>
          </w:tcPr>
          <w:p w14:paraId="4C202C88" w14:textId="77777777" w:rsidR="00C708C3" w:rsidRPr="00D10F90" w:rsidRDefault="00C708C3" w:rsidP="00C708C3">
            <w:pPr>
              <w:spacing w:line="259" w:lineRule="auto"/>
              <w:jc w:val="center"/>
              <w:rPr>
                <w:rFonts w:eastAsia="Aptos" w:cs="Arial"/>
                <w:b/>
                <w:sz w:val="20"/>
                <w:szCs w:val="20"/>
              </w:rPr>
            </w:pPr>
          </w:p>
        </w:tc>
        <w:tc>
          <w:tcPr>
            <w:tcW w:w="1370" w:type="dxa"/>
            <w:shd w:val="clear" w:color="auto" w:fill="BDD6EE" w:themeFill="accent5" w:themeFillTint="66"/>
            <w:tcMar>
              <w:left w:w="105" w:type="dxa"/>
              <w:right w:w="105" w:type="dxa"/>
            </w:tcMar>
            <w:vAlign w:val="center"/>
          </w:tcPr>
          <w:p w14:paraId="09593813" w14:textId="77777777" w:rsidR="00C708C3" w:rsidRPr="00D10F90" w:rsidRDefault="00C708C3" w:rsidP="00C708C3">
            <w:pPr>
              <w:spacing w:line="259" w:lineRule="auto"/>
              <w:jc w:val="center"/>
              <w:rPr>
                <w:rFonts w:eastAsia="Aptos" w:cs="Arial"/>
                <w:b/>
                <w:sz w:val="20"/>
                <w:szCs w:val="20"/>
              </w:rPr>
            </w:pPr>
            <w:r w:rsidRPr="00D10F90">
              <w:rPr>
                <w:rFonts w:eastAsia="Aptos" w:cs="Arial"/>
                <w:b/>
                <w:sz w:val="20"/>
                <w:szCs w:val="20"/>
              </w:rPr>
              <w:t>Output Indicators</w:t>
            </w:r>
          </w:p>
        </w:tc>
        <w:tc>
          <w:tcPr>
            <w:tcW w:w="1370" w:type="dxa"/>
            <w:shd w:val="clear" w:color="auto" w:fill="BDD6EE" w:themeFill="accent5" w:themeFillTint="66"/>
            <w:tcMar>
              <w:left w:w="105" w:type="dxa"/>
              <w:right w:w="105" w:type="dxa"/>
            </w:tcMar>
            <w:vAlign w:val="center"/>
          </w:tcPr>
          <w:p w14:paraId="3EC8DC23" w14:textId="77777777" w:rsidR="00C708C3" w:rsidRPr="00D10F90" w:rsidRDefault="00C708C3" w:rsidP="00C708C3">
            <w:pPr>
              <w:spacing w:line="259" w:lineRule="auto"/>
              <w:jc w:val="center"/>
              <w:rPr>
                <w:rFonts w:eastAsia="Aptos" w:cs="Arial"/>
                <w:b/>
                <w:sz w:val="20"/>
                <w:szCs w:val="20"/>
              </w:rPr>
            </w:pPr>
            <w:r w:rsidRPr="00D10F90">
              <w:rPr>
                <w:rFonts w:eastAsia="Aptos" w:cs="Arial"/>
                <w:b/>
                <w:sz w:val="20"/>
                <w:szCs w:val="20"/>
              </w:rPr>
              <w:t>Outcome</w:t>
            </w:r>
            <w:r>
              <w:rPr>
                <w:rFonts w:eastAsia="Aptos" w:cs="Arial"/>
                <w:b/>
                <w:sz w:val="20"/>
                <w:szCs w:val="20"/>
              </w:rPr>
              <w:t xml:space="preserve"> indicators</w:t>
            </w:r>
          </w:p>
        </w:tc>
        <w:tc>
          <w:tcPr>
            <w:tcW w:w="1370" w:type="dxa"/>
            <w:shd w:val="clear" w:color="auto" w:fill="BDD6EE" w:themeFill="accent5" w:themeFillTint="66"/>
          </w:tcPr>
          <w:p w14:paraId="3AB1FD23" w14:textId="77777777" w:rsidR="00C708C3" w:rsidRPr="00D10F90" w:rsidRDefault="00C708C3" w:rsidP="00C708C3">
            <w:pPr>
              <w:spacing w:line="259" w:lineRule="auto"/>
              <w:jc w:val="center"/>
              <w:rPr>
                <w:rFonts w:eastAsia="Aptos" w:cs="Arial"/>
                <w:b/>
                <w:sz w:val="20"/>
                <w:szCs w:val="20"/>
              </w:rPr>
            </w:pPr>
            <w:r>
              <w:rPr>
                <w:rFonts w:eastAsia="Aptos" w:cs="Arial"/>
                <w:b/>
                <w:sz w:val="20"/>
                <w:szCs w:val="20"/>
              </w:rPr>
              <w:t>Impact indicators</w:t>
            </w:r>
          </w:p>
        </w:tc>
        <w:tc>
          <w:tcPr>
            <w:tcW w:w="1370" w:type="dxa"/>
            <w:shd w:val="clear" w:color="auto" w:fill="BDD6EE" w:themeFill="accent5" w:themeFillTint="66"/>
            <w:tcMar>
              <w:left w:w="105" w:type="dxa"/>
              <w:right w:w="105" w:type="dxa"/>
            </w:tcMar>
            <w:vAlign w:val="center"/>
          </w:tcPr>
          <w:p w14:paraId="5948FA0F" w14:textId="77777777" w:rsidR="00C708C3" w:rsidRPr="004F1872" w:rsidRDefault="00C708C3" w:rsidP="00C708C3">
            <w:pPr>
              <w:spacing w:line="259" w:lineRule="auto"/>
              <w:jc w:val="center"/>
              <w:rPr>
                <w:rFonts w:eastAsia="Aptos" w:cs="Arial"/>
                <w:b/>
                <w:sz w:val="20"/>
                <w:szCs w:val="20"/>
              </w:rPr>
            </w:pPr>
            <w:r w:rsidRPr="004F1872">
              <w:rPr>
                <w:rFonts w:eastAsia="Aptos" w:cs="Arial"/>
                <w:b/>
                <w:sz w:val="20"/>
                <w:szCs w:val="20"/>
              </w:rPr>
              <w:t>Total</w:t>
            </w:r>
          </w:p>
        </w:tc>
      </w:tr>
      <w:tr w:rsidR="00C708C3" w:rsidRPr="00D10F90" w14:paraId="674893D1" w14:textId="77777777" w:rsidTr="00C708C3">
        <w:trPr>
          <w:trHeight w:val="78"/>
        </w:trPr>
        <w:tc>
          <w:tcPr>
            <w:tcW w:w="3624" w:type="dxa"/>
            <w:tcMar>
              <w:left w:w="105" w:type="dxa"/>
              <w:right w:w="105" w:type="dxa"/>
            </w:tcMar>
            <w:vAlign w:val="center"/>
          </w:tcPr>
          <w:p w14:paraId="31BD3E4D" w14:textId="77777777" w:rsidR="00C708C3" w:rsidRPr="00D10F90" w:rsidRDefault="00C708C3" w:rsidP="00C708C3">
            <w:pPr>
              <w:spacing w:line="259" w:lineRule="auto"/>
              <w:jc w:val="center"/>
              <w:rPr>
                <w:rFonts w:eastAsia="Aptos" w:cs="Arial"/>
                <w:sz w:val="20"/>
                <w:szCs w:val="20"/>
              </w:rPr>
            </w:pPr>
            <w:r w:rsidRPr="00D10F90">
              <w:rPr>
                <w:rFonts w:eastAsia="Aptos" w:cs="Arial"/>
                <w:sz w:val="20"/>
                <w:szCs w:val="20"/>
              </w:rPr>
              <w:t>Number of indicators</w:t>
            </w:r>
            <w:r>
              <w:rPr>
                <w:rFonts w:eastAsia="Aptos" w:cs="Arial"/>
                <w:sz w:val="20"/>
                <w:szCs w:val="20"/>
              </w:rPr>
              <w:t xml:space="preserve"> </w:t>
            </w:r>
            <w:r w:rsidRPr="009C5F1D">
              <w:rPr>
                <w:rFonts w:eastAsia="Aptos" w:cs="Arial"/>
                <w:color w:val="00B050"/>
                <w:sz w:val="20"/>
                <w:szCs w:val="20"/>
              </w:rPr>
              <w:t xml:space="preserve">met or </w:t>
            </w:r>
            <w:r w:rsidRPr="00D10F90">
              <w:rPr>
                <w:rFonts w:eastAsia="Aptos" w:cs="Arial"/>
                <w:color w:val="00B050"/>
                <w:sz w:val="20"/>
                <w:szCs w:val="20"/>
              </w:rPr>
              <w:t>exceeded</w:t>
            </w:r>
          </w:p>
        </w:tc>
        <w:tc>
          <w:tcPr>
            <w:tcW w:w="1370" w:type="dxa"/>
            <w:tcMar>
              <w:left w:w="105" w:type="dxa"/>
              <w:right w:w="105" w:type="dxa"/>
            </w:tcMar>
            <w:vAlign w:val="center"/>
          </w:tcPr>
          <w:p w14:paraId="440BDF19" w14:textId="77777777" w:rsidR="00C708C3" w:rsidRPr="00D10F90" w:rsidRDefault="00C708C3" w:rsidP="00C708C3">
            <w:pPr>
              <w:spacing w:line="259" w:lineRule="auto"/>
              <w:jc w:val="center"/>
              <w:rPr>
                <w:rFonts w:eastAsia="Aptos" w:cs="Arial"/>
                <w:sz w:val="20"/>
                <w:szCs w:val="20"/>
              </w:rPr>
            </w:pPr>
            <w:r>
              <w:rPr>
                <w:rFonts w:eastAsia="Aptos" w:cs="Arial"/>
                <w:sz w:val="20"/>
                <w:szCs w:val="20"/>
              </w:rPr>
              <w:t>9</w:t>
            </w:r>
          </w:p>
        </w:tc>
        <w:tc>
          <w:tcPr>
            <w:tcW w:w="1370" w:type="dxa"/>
            <w:tcMar>
              <w:left w:w="105" w:type="dxa"/>
              <w:right w:w="105" w:type="dxa"/>
            </w:tcMar>
            <w:vAlign w:val="center"/>
          </w:tcPr>
          <w:p w14:paraId="167A94BB" w14:textId="77777777" w:rsidR="00C708C3" w:rsidRPr="00D10F90" w:rsidRDefault="00C708C3" w:rsidP="00C708C3">
            <w:pPr>
              <w:spacing w:line="259" w:lineRule="auto"/>
              <w:jc w:val="center"/>
              <w:rPr>
                <w:rFonts w:eastAsia="Aptos" w:cs="Arial"/>
                <w:sz w:val="20"/>
                <w:szCs w:val="20"/>
              </w:rPr>
            </w:pPr>
            <w:r>
              <w:rPr>
                <w:rFonts w:eastAsia="Aptos" w:cs="Arial"/>
                <w:sz w:val="20"/>
                <w:szCs w:val="20"/>
              </w:rPr>
              <w:t>7</w:t>
            </w:r>
          </w:p>
        </w:tc>
        <w:tc>
          <w:tcPr>
            <w:tcW w:w="1370" w:type="dxa"/>
          </w:tcPr>
          <w:p w14:paraId="77A88AD2" w14:textId="77777777" w:rsidR="00C708C3" w:rsidRDefault="00C708C3" w:rsidP="00C708C3">
            <w:pPr>
              <w:spacing w:line="259" w:lineRule="auto"/>
              <w:jc w:val="center"/>
              <w:rPr>
                <w:rFonts w:eastAsia="Aptos" w:cs="Arial"/>
                <w:sz w:val="20"/>
                <w:szCs w:val="20"/>
              </w:rPr>
            </w:pPr>
            <w:r>
              <w:rPr>
                <w:rFonts w:eastAsia="Aptos" w:cs="Arial"/>
                <w:sz w:val="20"/>
                <w:szCs w:val="20"/>
              </w:rPr>
              <w:t>2</w:t>
            </w:r>
          </w:p>
        </w:tc>
        <w:tc>
          <w:tcPr>
            <w:tcW w:w="1370" w:type="dxa"/>
            <w:tcMar>
              <w:left w:w="105" w:type="dxa"/>
              <w:right w:w="105" w:type="dxa"/>
            </w:tcMar>
            <w:vAlign w:val="center"/>
          </w:tcPr>
          <w:p w14:paraId="17E27FAB" w14:textId="77777777" w:rsidR="00C708C3" w:rsidRPr="004F1872" w:rsidRDefault="00C708C3" w:rsidP="00C708C3">
            <w:pPr>
              <w:spacing w:line="259" w:lineRule="auto"/>
              <w:jc w:val="center"/>
              <w:rPr>
                <w:rFonts w:eastAsia="Aptos" w:cs="Arial"/>
                <w:b/>
                <w:sz w:val="20"/>
                <w:szCs w:val="20"/>
              </w:rPr>
            </w:pPr>
            <w:r w:rsidRPr="004F1872">
              <w:rPr>
                <w:rFonts w:eastAsia="Aptos" w:cs="Arial"/>
                <w:b/>
                <w:sz w:val="20"/>
                <w:szCs w:val="20"/>
              </w:rPr>
              <w:t>18</w:t>
            </w:r>
          </w:p>
        </w:tc>
      </w:tr>
      <w:tr w:rsidR="00C708C3" w:rsidRPr="00D10F90" w14:paraId="2D5CA96D" w14:textId="77777777" w:rsidTr="00C708C3">
        <w:trPr>
          <w:trHeight w:val="78"/>
        </w:trPr>
        <w:tc>
          <w:tcPr>
            <w:tcW w:w="3624" w:type="dxa"/>
            <w:tcMar>
              <w:left w:w="105" w:type="dxa"/>
              <w:right w:w="105" w:type="dxa"/>
            </w:tcMar>
            <w:vAlign w:val="center"/>
          </w:tcPr>
          <w:p w14:paraId="665BAAD1" w14:textId="77777777" w:rsidR="00C708C3" w:rsidRPr="00D10F90" w:rsidRDefault="00C708C3" w:rsidP="00C708C3">
            <w:pPr>
              <w:spacing w:line="259" w:lineRule="auto"/>
              <w:jc w:val="center"/>
              <w:rPr>
                <w:rFonts w:eastAsia="Aptos" w:cs="Arial"/>
                <w:sz w:val="20"/>
                <w:szCs w:val="20"/>
              </w:rPr>
            </w:pPr>
            <w:r w:rsidRPr="00D10F90">
              <w:rPr>
                <w:rFonts w:eastAsia="Aptos" w:cs="Arial"/>
                <w:sz w:val="20"/>
                <w:szCs w:val="20"/>
              </w:rPr>
              <w:t xml:space="preserve">Number of indicators </w:t>
            </w:r>
            <w:r w:rsidRPr="00D10F90">
              <w:rPr>
                <w:rFonts w:eastAsia="Aptos" w:cs="Arial"/>
                <w:color w:val="C00000"/>
                <w:sz w:val="20"/>
                <w:szCs w:val="20"/>
              </w:rPr>
              <w:t>not delivered</w:t>
            </w:r>
          </w:p>
        </w:tc>
        <w:tc>
          <w:tcPr>
            <w:tcW w:w="1370" w:type="dxa"/>
            <w:tcMar>
              <w:left w:w="105" w:type="dxa"/>
              <w:right w:w="105" w:type="dxa"/>
            </w:tcMar>
            <w:vAlign w:val="center"/>
          </w:tcPr>
          <w:p w14:paraId="65B4F15C" w14:textId="77777777" w:rsidR="00C708C3" w:rsidRPr="00D10F90" w:rsidRDefault="00C708C3" w:rsidP="00C708C3">
            <w:pPr>
              <w:spacing w:line="259" w:lineRule="auto"/>
              <w:jc w:val="center"/>
              <w:rPr>
                <w:rFonts w:eastAsia="Aptos" w:cs="Arial"/>
                <w:sz w:val="20"/>
                <w:szCs w:val="20"/>
              </w:rPr>
            </w:pPr>
            <w:r>
              <w:rPr>
                <w:rFonts w:eastAsia="Aptos" w:cs="Arial"/>
                <w:sz w:val="20"/>
                <w:szCs w:val="20"/>
              </w:rPr>
              <w:t>0</w:t>
            </w:r>
          </w:p>
        </w:tc>
        <w:tc>
          <w:tcPr>
            <w:tcW w:w="1370" w:type="dxa"/>
            <w:tcMar>
              <w:left w:w="105" w:type="dxa"/>
              <w:right w:w="105" w:type="dxa"/>
            </w:tcMar>
            <w:vAlign w:val="center"/>
          </w:tcPr>
          <w:p w14:paraId="699C43AA" w14:textId="77777777" w:rsidR="00C708C3" w:rsidRPr="00D10F90" w:rsidRDefault="00C708C3" w:rsidP="00C708C3">
            <w:pPr>
              <w:spacing w:line="259" w:lineRule="auto"/>
              <w:jc w:val="center"/>
              <w:rPr>
                <w:rFonts w:eastAsia="Aptos" w:cs="Arial"/>
                <w:sz w:val="20"/>
                <w:szCs w:val="20"/>
              </w:rPr>
            </w:pPr>
            <w:r>
              <w:rPr>
                <w:rFonts w:eastAsia="Aptos" w:cs="Arial"/>
                <w:sz w:val="20"/>
                <w:szCs w:val="20"/>
              </w:rPr>
              <w:t>0</w:t>
            </w:r>
          </w:p>
        </w:tc>
        <w:tc>
          <w:tcPr>
            <w:tcW w:w="1370" w:type="dxa"/>
          </w:tcPr>
          <w:p w14:paraId="2ADCCA85" w14:textId="77777777" w:rsidR="00C708C3" w:rsidRDefault="00C708C3" w:rsidP="00C708C3">
            <w:pPr>
              <w:spacing w:line="259" w:lineRule="auto"/>
              <w:jc w:val="center"/>
              <w:rPr>
                <w:rFonts w:eastAsia="Aptos" w:cs="Arial"/>
                <w:sz w:val="20"/>
                <w:szCs w:val="20"/>
              </w:rPr>
            </w:pPr>
            <w:r>
              <w:rPr>
                <w:rFonts w:eastAsia="Aptos" w:cs="Arial"/>
                <w:sz w:val="20"/>
                <w:szCs w:val="20"/>
              </w:rPr>
              <w:t>1</w:t>
            </w:r>
          </w:p>
        </w:tc>
        <w:tc>
          <w:tcPr>
            <w:tcW w:w="1370" w:type="dxa"/>
            <w:tcMar>
              <w:left w:w="105" w:type="dxa"/>
              <w:right w:w="105" w:type="dxa"/>
            </w:tcMar>
            <w:vAlign w:val="center"/>
          </w:tcPr>
          <w:p w14:paraId="73520A29" w14:textId="77777777" w:rsidR="00C708C3" w:rsidRPr="004F1872" w:rsidRDefault="00C708C3" w:rsidP="00C708C3">
            <w:pPr>
              <w:spacing w:line="259" w:lineRule="auto"/>
              <w:jc w:val="center"/>
              <w:rPr>
                <w:rFonts w:eastAsia="Aptos" w:cs="Arial"/>
                <w:b/>
                <w:sz w:val="20"/>
                <w:szCs w:val="20"/>
              </w:rPr>
            </w:pPr>
            <w:r w:rsidRPr="004F1872">
              <w:rPr>
                <w:rFonts w:eastAsia="Aptos" w:cs="Arial"/>
                <w:b/>
                <w:sz w:val="20"/>
                <w:szCs w:val="20"/>
              </w:rPr>
              <w:t>1</w:t>
            </w:r>
          </w:p>
        </w:tc>
      </w:tr>
      <w:tr w:rsidR="00C708C3" w:rsidRPr="00D10F90" w14:paraId="3BF0CF6E" w14:textId="77777777" w:rsidTr="00C708C3">
        <w:trPr>
          <w:trHeight w:val="78"/>
        </w:trPr>
        <w:tc>
          <w:tcPr>
            <w:tcW w:w="3624" w:type="dxa"/>
            <w:tcMar>
              <w:left w:w="105" w:type="dxa"/>
              <w:right w:w="105" w:type="dxa"/>
            </w:tcMar>
            <w:vAlign w:val="center"/>
          </w:tcPr>
          <w:p w14:paraId="56DC8F0A" w14:textId="77777777" w:rsidR="00C708C3" w:rsidRPr="00D10F90" w:rsidRDefault="00C708C3" w:rsidP="00C708C3">
            <w:pPr>
              <w:spacing w:line="259" w:lineRule="auto"/>
              <w:jc w:val="center"/>
              <w:rPr>
                <w:rFonts w:eastAsia="Aptos" w:cs="Arial"/>
                <w:b/>
                <w:sz w:val="20"/>
                <w:szCs w:val="20"/>
              </w:rPr>
            </w:pPr>
            <w:r w:rsidRPr="00D10F90">
              <w:rPr>
                <w:rFonts w:eastAsia="Aptos" w:cs="Arial"/>
                <w:b/>
                <w:sz w:val="20"/>
                <w:szCs w:val="20"/>
              </w:rPr>
              <w:t>Total</w:t>
            </w:r>
          </w:p>
        </w:tc>
        <w:tc>
          <w:tcPr>
            <w:tcW w:w="1370" w:type="dxa"/>
            <w:tcMar>
              <w:left w:w="105" w:type="dxa"/>
              <w:right w:w="105" w:type="dxa"/>
            </w:tcMar>
            <w:vAlign w:val="center"/>
          </w:tcPr>
          <w:p w14:paraId="666867AB" w14:textId="77777777" w:rsidR="00C708C3" w:rsidRPr="00A16956" w:rsidRDefault="00C708C3" w:rsidP="00C708C3">
            <w:pPr>
              <w:spacing w:line="259" w:lineRule="auto"/>
              <w:jc w:val="center"/>
              <w:rPr>
                <w:rFonts w:eastAsia="Aptos" w:cs="Arial"/>
                <w:b/>
                <w:sz w:val="20"/>
                <w:szCs w:val="20"/>
              </w:rPr>
            </w:pPr>
            <w:r w:rsidRPr="00A16956">
              <w:rPr>
                <w:rFonts w:eastAsia="Aptos" w:cs="Arial"/>
                <w:b/>
                <w:sz w:val="20"/>
                <w:szCs w:val="20"/>
              </w:rPr>
              <w:t>9</w:t>
            </w:r>
          </w:p>
        </w:tc>
        <w:tc>
          <w:tcPr>
            <w:tcW w:w="1370" w:type="dxa"/>
            <w:tcMar>
              <w:left w:w="105" w:type="dxa"/>
              <w:right w:w="105" w:type="dxa"/>
            </w:tcMar>
            <w:vAlign w:val="center"/>
          </w:tcPr>
          <w:p w14:paraId="4E5E00AF" w14:textId="77777777" w:rsidR="00C708C3" w:rsidRPr="00A16956" w:rsidRDefault="00C708C3" w:rsidP="00C708C3">
            <w:pPr>
              <w:spacing w:line="259" w:lineRule="auto"/>
              <w:jc w:val="center"/>
              <w:rPr>
                <w:rFonts w:eastAsia="Aptos" w:cs="Arial"/>
                <w:b/>
                <w:sz w:val="20"/>
                <w:szCs w:val="20"/>
              </w:rPr>
            </w:pPr>
            <w:r w:rsidRPr="00A16956">
              <w:rPr>
                <w:rFonts w:eastAsia="Aptos" w:cs="Arial"/>
                <w:b/>
                <w:sz w:val="20"/>
                <w:szCs w:val="20"/>
              </w:rPr>
              <w:t>7</w:t>
            </w:r>
          </w:p>
        </w:tc>
        <w:tc>
          <w:tcPr>
            <w:tcW w:w="1370" w:type="dxa"/>
          </w:tcPr>
          <w:p w14:paraId="074D1331" w14:textId="77777777" w:rsidR="00C708C3" w:rsidRPr="00A16956" w:rsidRDefault="00C708C3" w:rsidP="00C708C3">
            <w:pPr>
              <w:spacing w:line="259" w:lineRule="auto"/>
              <w:jc w:val="center"/>
              <w:rPr>
                <w:rFonts w:eastAsia="Aptos" w:cs="Arial"/>
                <w:b/>
                <w:sz w:val="20"/>
                <w:szCs w:val="20"/>
              </w:rPr>
            </w:pPr>
            <w:r w:rsidRPr="00A16956">
              <w:rPr>
                <w:rFonts w:eastAsia="Aptos" w:cs="Arial"/>
                <w:b/>
                <w:sz w:val="20"/>
                <w:szCs w:val="20"/>
              </w:rPr>
              <w:t>3</w:t>
            </w:r>
          </w:p>
        </w:tc>
        <w:tc>
          <w:tcPr>
            <w:tcW w:w="1370" w:type="dxa"/>
            <w:tcMar>
              <w:left w:w="105" w:type="dxa"/>
              <w:right w:w="105" w:type="dxa"/>
            </w:tcMar>
            <w:vAlign w:val="center"/>
          </w:tcPr>
          <w:p w14:paraId="32E5FB92" w14:textId="77777777" w:rsidR="00C708C3" w:rsidRPr="004F1872" w:rsidRDefault="00C708C3" w:rsidP="00C708C3">
            <w:pPr>
              <w:spacing w:line="259" w:lineRule="auto"/>
              <w:jc w:val="center"/>
              <w:rPr>
                <w:rFonts w:eastAsia="Aptos" w:cs="Arial"/>
                <w:b/>
                <w:sz w:val="20"/>
                <w:szCs w:val="20"/>
              </w:rPr>
            </w:pPr>
            <w:r w:rsidRPr="004F1872">
              <w:rPr>
                <w:rFonts w:eastAsia="Aptos" w:cs="Arial"/>
                <w:b/>
                <w:sz w:val="20"/>
                <w:szCs w:val="20"/>
              </w:rPr>
              <w:t>19</w:t>
            </w:r>
          </w:p>
        </w:tc>
      </w:tr>
    </w:tbl>
    <w:p w14:paraId="0208D697" w14:textId="223A51ED" w:rsidR="00C708C3" w:rsidRPr="005F73B9" w:rsidRDefault="00C708C3" w:rsidP="0C17AC5C">
      <w:pPr>
        <w:spacing w:after="160" w:line="257" w:lineRule="auto"/>
        <w:jc w:val="both"/>
        <w:rPr>
          <w:rFonts w:eastAsia="Arial" w:cs="Arial"/>
          <w:i/>
          <w:iCs/>
          <w:color w:val="44546A" w:themeColor="text2"/>
          <w:sz w:val="22"/>
          <w:szCs w:val="22"/>
        </w:rPr>
      </w:pPr>
      <w:r w:rsidRPr="005F73B9">
        <w:rPr>
          <w:i/>
          <w:iCs/>
          <w:color w:val="44546A" w:themeColor="text2"/>
          <w:sz w:val="22"/>
          <w:szCs w:val="22"/>
        </w:rPr>
        <w:t>Table 3 - Summary table of programme performance against 2023 indicator targets</w:t>
      </w:r>
      <w:r w:rsidRPr="005F73B9">
        <w:rPr>
          <w:rStyle w:val="FootnoteReference"/>
          <w:rFonts w:eastAsia="Arial" w:cs="Arial"/>
          <w:i/>
          <w:iCs/>
          <w:color w:val="44546A" w:themeColor="text2"/>
          <w:sz w:val="22"/>
          <w:szCs w:val="22"/>
        </w:rPr>
        <w:footnoteReference w:id="3"/>
      </w:r>
    </w:p>
    <w:p w14:paraId="7F906BD8" w14:textId="77777777" w:rsidR="002B67E8" w:rsidRDefault="002B67E8" w:rsidP="002B67E8">
      <w:pPr>
        <w:spacing w:after="160" w:line="257" w:lineRule="auto"/>
        <w:jc w:val="both"/>
        <w:rPr>
          <w:rFonts w:eastAsia="Arial" w:cs="Arial"/>
          <w:sz w:val="22"/>
          <w:szCs w:val="22"/>
        </w:rPr>
      </w:pPr>
    </w:p>
    <w:p w14:paraId="0BFEB51A" w14:textId="074B1BC2" w:rsidR="002B67E8" w:rsidRPr="00A54B18" w:rsidRDefault="002B67E8" w:rsidP="002B67E8">
      <w:pPr>
        <w:spacing w:after="160" w:line="257" w:lineRule="auto"/>
        <w:jc w:val="both"/>
        <w:rPr>
          <w:rFonts w:eastAsia="Arial" w:cs="Arial"/>
          <w:sz w:val="22"/>
          <w:szCs w:val="22"/>
        </w:rPr>
      </w:pPr>
      <w:r>
        <w:rPr>
          <w:rFonts w:eastAsia="Arial" w:cs="Arial"/>
          <w:sz w:val="22"/>
          <w:szCs w:val="22"/>
        </w:rPr>
        <w:t xml:space="preserve">As set out in </w:t>
      </w:r>
      <w:r w:rsidRPr="0C17AC5C">
        <w:rPr>
          <w:rFonts w:eastAsia="Arial" w:cs="Arial"/>
          <w:sz w:val="22"/>
          <w:szCs w:val="22"/>
        </w:rPr>
        <w:t xml:space="preserve">Table </w:t>
      </w:r>
      <w:r>
        <w:rPr>
          <w:rFonts w:eastAsia="Arial" w:cs="Arial"/>
          <w:sz w:val="22"/>
          <w:szCs w:val="22"/>
        </w:rPr>
        <w:t>3</w:t>
      </w:r>
      <w:r w:rsidRPr="0C17AC5C">
        <w:rPr>
          <w:rFonts w:eastAsia="Arial" w:cs="Arial"/>
          <w:sz w:val="22"/>
          <w:szCs w:val="22"/>
        </w:rPr>
        <w:t xml:space="preserve"> </w:t>
      </w:r>
      <w:r>
        <w:rPr>
          <w:rFonts w:eastAsia="Arial" w:cs="Arial"/>
          <w:sz w:val="22"/>
          <w:szCs w:val="22"/>
        </w:rPr>
        <w:t xml:space="preserve">above, </w:t>
      </w:r>
      <w:r w:rsidRPr="0C17AC5C">
        <w:rPr>
          <w:rFonts w:eastAsia="Arial" w:cs="Arial"/>
          <w:sz w:val="22"/>
          <w:szCs w:val="22"/>
        </w:rPr>
        <w:t xml:space="preserve">all </w:t>
      </w:r>
      <w:r>
        <w:rPr>
          <w:rFonts w:eastAsia="Arial" w:cs="Arial"/>
          <w:sz w:val="22"/>
          <w:szCs w:val="22"/>
        </w:rPr>
        <w:t>outcome</w:t>
      </w:r>
      <w:r w:rsidRPr="0C17AC5C">
        <w:rPr>
          <w:rFonts w:eastAsia="Arial" w:cs="Arial"/>
          <w:sz w:val="22"/>
          <w:szCs w:val="22"/>
        </w:rPr>
        <w:t xml:space="preserve"> indicators have met or exceeded their 2023 milestones, indicating that the programme continues to make good progress across</w:t>
      </w:r>
      <w:r>
        <w:rPr>
          <w:rFonts w:eastAsia="Arial" w:cs="Arial"/>
          <w:sz w:val="22"/>
          <w:szCs w:val="22"/>
        </w:rPr>
        <w:t xml:space="preserve"> both outcome areas</w:t>
      </w:r>
      <w:r w:rsidRPr="0C17AC5C">
        <w:rPr>
          <w:rFonts w:eastAsia="Arial" w:cs="Arial"/>
          <w:sz w:val="22"/>
          <w:szCs w:val="22"/>
        </w:rPr>
        <w:t xml:space="preserve">. </w:t>
      </w:r>
    </w:p>
    <w:p w14:paraId="00D23BE5" w14:textId="5B82A838" w:rsidR="00087A75" w:rsidRDefault="004815BA" w:rsidP="0C17AC5C">
      <w:pPr>
        <w:spacing w:after="160" w:line="257" w:lineRule="auto"/>
        <w:jc w:val="both"/>
        <w:rPr>
          <w:rFonts w:eastAsia="Arial" w:cs="Arial"/>
          <w:sz w:val="22"/>
          <w:szCs w:val="22"/>
        </w:rPr>
      </w:pPr>
      <w:r>
        <w:rPr>
          <w:rFonts w:eastAsia="Arial" w:cs="Arial"/>
          <w:sz w:val="22"/>
          <w:szCs w:val="22"/>
        </w:rPr>
        <w:t xml:space="preserve">Progress against the outcome indicators </w:t>
      </w:r>
      <w:r w:rsidR="00741D84">
        <w:rPr>
          <w:rFonts w:eastAsia="Arial" w:cs="Arial"/>
          <w:sz w:val="22"/>
          <w:szCs w:val="22"/>
        </w:rPr>
        <w:t xml:space="preserve">since 2017 </w:t>
      </w:r>
      <w:r>
        <w:rPr>
          <w:rFonts w:eastAsia="Arial" w:cs="Arial"/>
          <w:sz w:val="22"/>
          <w:szCs w:val="22"/>
        </w:rPr>
        <w:t>is visualised in graph format in Section B.</w:t>
      </w:r>
      <w:r w:rsidR="00417952" w:rsidRPr="00417952">
        <w:rPr>
          <w:rFonts w:eastAsia="Arial" w:cs="Arial"/>
          <w:sz w:val="22"/>
          <w:szCs w:val="22"/>
        </w:rPr>
        <w:t xml:space="preserve"> </w:t>
      </w:r>
      <w:r w:rsidR="2EE66EDC" w:rsidRPr="0C17AC5C">
        <w:rPr>
          <w:rFonts w:eastAsia="Arial" w:cs="Arial"/>
          <w:sz w:val="22"/>
          <w:szCs w:val="22"/>
        </w:rPr>
        <w:t>Between 2022 and 2023, the outcome with the largest increase is the amount of water saved, which has increased by 11.4</w:t>
      </w:r>
      <w:r w:rsidR="3D8D4A2D" w:rsidRPr="0C17AC5C">
        <w:rPr>
          <w:rFonts w:eastAsia="Arial" w:cs="Arial"/>
          <w:sz w:val="22"/>
          <w:szCs w:val="22"/>
        </w:rPr>
        <w:t>m</w:t>
      </w:r>
      <w:r w:rsidR="3D8D4A2D" w:rsidRPr="005F73B9">
        <w:rPr>
          <w:rFonts w:eastAsia="Arial" w:cs="Arial"/>
          <w:sz w:val="22"/>
          <w:szCs w:val="22"/>
          <w:vertAlign w:val="superscript"/>
        </w:rPr>
        <w:t>3</w:t>
      </w:r>
      <w:r w:rsidR="2EE66EDC" w:rsidRPr="0C17AC5C">
        <w:rPr>
          <w:rFonts w:eastAsia="Arial" w:cs="Arial"/>
          <w:sz w:val="22"/>
          <w:szCs w:val="22"/>
        </w:rPr>
        <w:t>, an increase of 219%. This is largely due a new methodology</w:t>
      </w:r>
      <w:r w:rsidR="00E66385">
        <w:rPr>
          <w:rFonts w:eastAsia="Arial" w:cs="Arial"/>
          <w:sz w:val="22"/>
          <w:szCs w:val="22"/>
        </w:rPr>
        <w:t xml:space="preserve"> which</w:t>
      </w:r>
      <w:r w:rsidR="00087A75">
        <w:rPr>
          <w:rFonts w:eastAsia="Arial" w:cs="Arial"/>
          <w:sz w:val="22"/>
          <w:szCs w:val="22"/>
        </w:rPr>
        <w:t xml:space="preserve"> </w:t>
      </w:r>
      <w:r w:rsidR="00087A75" w:rsidRPr="00087A75">
        <w:rPr>
          <w:rFonts w:eastAsia="Arial" w:cs="Arial"/>
          <w:sz w:val="22"/>
          <w:szCs w:val="22"/>
        </w:rPr>
        <w:t>measure</w:t>
      </w:r>
      <w:r w:rsidR="00087A75">
        <w:rPr>
          <w:rFonts w:eastAsia="Arial" w:cs="Arial"/>
          <w:sz w:val="22"/>
          <w:szCs w:val="22"/>
        </w:rPr>
        <w:t>s</w:t>
      </w:r>
      <w:r w:rsidR="00087A75" w:rsidRPr="00087A75">
        <w:rPr>
          <w:rFonts w:eastAsia="Arial" w:cs="Arial"/>
          <w:sz w:val="22"/>
          <w:szCs w:val="22"/>
        </w:rPr>
        <w:t xml:space="preserve"> water savings across a greater number of crops, </w:t>
      </w:r>
      <w:r w:rsidR="00087A75">
        <w:rPr>
          <w:rFonts w:eastAsia="Arial" w:cs="Arial"/>
          <w:sz w:val="22"/>
          <w:szCs w:val="22"/>
        </w:rPr>
        <w:t xml:space="preserve">which is more </w:t>
      </w:r>
      <w:r w:rsidR="00087A75" w:rsidRPr="00087A75">
        <w:rPr>
          <w:rFonts w:eastAsia="Arial" w:cs="Arial"/>
          <w:sz w:val="22"/>
          <w:szCs w:val="22"/>
        </w:rPr>
        <w:t>represent</w:t>
      </w:r>
      <w:r w:rsidR="00087A75">
        <w:rPr>
          <w:rFonts w:eastAsia="Arial" w:cs="Arial"/>
          <w:sz w:val="22"/>
          <w:szCs w:val="22"/>
        </w:rPr>
        <w:t>ative</w:t>
      </w:r>
      <w:r w:rsidR="00087A75" w:rsidRPr="00087A75">
        <w:rPr>
          <w:rFonts w:eastAsia="Arial" w:cs="Arial"/>
          <w:sz w:val="22"/>
          <w:szCs w:val="22"/>
        </w:rPr>
        <w:t xml:space="preserve"> of the </w:t>
      </w:r>
      <w:r w:rsidR="007E36FD">
        <w:rPr>
          <w:rFonts w:eastAsia="Arial" w:cs="Arial"/>
          <w:sz w:val="22"/>
          <w:szCs w:val="22"/>
        </w:rPr>
        <w:t xml:space="preserve">fund’s </w:t>
      </w:r>
      <w:r w:rsidR="00087A75" w:rsidRPr="00087A75">
        <w:rPr>
          <w:rFonts w:eastAsia="Arial" w:cs="Arial"/>
          <w:sz w:val="22"/>
          <w:szCs w:val="22"/>
        </w:rPr>
        <w:t>portfolio</w:t>
      </w:r>
      <w:r w:rsidR="00087A75">
        <w:rPr>
          <w:rFonts w:eastAsia="Arial" w:cs="Arial"/>
          <w:sz w:val="22"/>
          <w:szCs w:val="22"/>
        </w:rPr>
        <w:t xml:space="preserve">. </w:t>
      </w:r>
    </w:p>
    <w:p w14:paraId="131867C5" w14:textId="3E7C6594" w:rsidR="00413712" w:rsidRDefault="2EE66EDC" w:rsidP="0C17AC5C">
      <w:pPr>
        <w:spacing w:after="160" w:line="257" w:lineRule="auto"/>
        <w:jc w:val="both"/>
        <w:rPr>
          <w:rFonts w:eastAsia="Arial" w:cs="Arial"/>
          <w:sz w:val="22"/>
          <w:szCs w:val="22"/>
        </w:rPr>
      </w:pPr>
      <w:r w:rsidRPr="0C17AC5C">
        <w:rPr>
          <w:rFonts w:eastAsia="Arial" w:cs="Arial"/>
          <w:sz w:val="22"/>
          <w:szCs w:val="22"/>
        </w:rPr>
        <w:t>Furthermore, land sustainably managed through the portfolio increased by 79,000 hectares, an increase of 8% and the amount of net CO</w:t>
      </w:r>
      <w:r w:rsidRPr="0C17AC5C">
        <w:rPr>
          <w:rFonts w:eastAsia="Arial" w:cs="Arial"/>
          <w:sz w:val="22"/>
          <w:szCs w:val="22"/>
          <w:vertAlign w:val="subscript"/>
        </w:rPr>
        <w:t>2</w:t>
      </w:r>
      <w:r w:rsidRPr="0C17AC5C">
        <w:rPr>
          <w:rFonts w:eastAsia="Arial" w:cs="Arial"/>
          <w:sz w:val="22"/>
          <w:szCs w:val="22"/>
        </w:rPr>
        <w:t xml:space="preserve"> stored has increased by 60,000</w:t>
      </w:r>
      <w:r w:rsidR="62AF270C" w:rsidRPr="0C17AC5C">
        <w:rPr>
          <w:rFonts w:eastAsia="Arial" w:cs="Arial"/>
          <w:sz w:val="22"/>
          <w:szCs w:val="22"/>
        </w:rPr>
        <w:t xml:space="preserve"> tonnes</w:t>
      </w:r>
      <w:r w:rsidRPr="0C17AC5C">
        <w:rPr>
          <w:rFonts w:eastAsia="Arial" w:cs="Arial"/>
          <w:sz w:val="22"/>
          <w:szCs w:val="22"/>
        </w:rPr>
        <w:t xml:space="preserve"> (a 2% increase). The number of jobs supported by sub-borrowers has also increased, with an extra 61,000 people being supported (an increase of 9%). </w:t>
      </w:r>
    </w:p>
    <w:p w14:paraId="45D3CC1C" w14:textId="66778EFF" w:rsidR="00F20A87" w:rsidRDefault="2EE66EDC" w:rsidP="0C17AC5C">
      <w:pPr>
        <w:spacing w:after="160" w:line="257" w:lineRule="auto"/>
        <w:jc w:val="both"/>
        <w:rPr>
          <w:rFonts w:eastAsia="Arial" w:cs="Arial"/>
          <w:sz w:val="22"/>
          <w:szCs w:val="22"/>
        </w:rPr>
      </w:pPr>
      <w:r w:rsidRPr="0C17AC5C">
        <w:rPr>
          <w:rFonts w:eastAsia="Arial" w:cs="Arial"/>
          <w:sz w:val="22"/>
          <w:szCs w:val="22"/>
        </w:rPr>
        <w:t xml:space="preserve">Overall, this shows progress across a range of outcomes between 2022 and 2023, suggesting that the programme is on track to </w:t>
      </w:r>
      <w:r w:rsidR="00CC7364">
        <w:rPr>
          <w:rFonts w:eastAsia="Arial" w:cs="Arial"/>
          <w:sz w:val="22"/>
          <w:szCs w:val="22"/>
        </w:rPr>
        <w:t>exceed</w:t>
      </w:r>
      <w:r w:rsidRPr="0C17AC5C">
        <w:rPr>
          <w:rFonts w:eastAsia="Arial" w:cs="Arial"/>
          <w:sz w:val="22"/>
          <w:szCs w:val="22"/>
        </w:rPr>
        <w:t xml:space="preserve"> its overall aims by the end of the programme.  </w:t>
      </w:r>
    </w:p>
    <w:p w14:paraId="34188394" w14:textId="50EAB9D9" w:rsidR="00F20A87" w:rsidRPr="00A54B18" w:rsidRDefault="2EE66EDC" w:rsidP="07FC4C9B">
      <w:pPr>
        <w:jc w:val="both"/>
        <w:rPr>
          <w:rFonts w:eastAsia="Arial" w:cs="Arial"/>
          <w:b/>
          <w:bCs/>
          <w:sz w:val="22"/>
          <w:szCs w:val="22"/>
        </w:rPr>
      </w:pPr>
      <w:r w:rsidRPr="07FC4C9B">
        <w:rPr>
          <w:rFonts w:eastAsia="Arial" w:cs="Arial"/>
          <w:b/>
          <w:bCs/>
          <w:sz w:val="22"/>
          <w:szCs w:val="22"/>
        </w:rPr>
        <w:t>Equity</w:t>
      </w:r>
    </w:p>
    <w:p w14:paraId="015FAD7D" w14:textId="6CA14DD5" w:rsidR="00F20A87" w:rsidRPr="00A54B18" w:rsidRDefault="00F20A87" w:rsidP="07FC4C9B">
      <w:pPr>
        <w:jc w:val="both"/>
        <w:rPr>
          <w:rFonts w:eastAsia="Arial" w:cs="Arial"/>
          <w:b/>
          <w:bCs/>
          <w:sz w:val="22"/>
          <w:szCs w:val="22"/>
        </w:rPr>
      </w:pPr>
    </w:p>
    <w:p w14:paraId="42E63187" w14:textId="649FAB83" w:rsidR="00F20A87" w:rsidRPr="00A54B18" w:rsidRDefault="2EE66EDC" w:rsidP="07FC4C9B">
      <w:pPr>
        <w:jc w:val="both"/>
        <w:rPr>
          <w:rFonts w:eastAsia="Arial" w:cs="Arial"/>
          <w:color w:val="000000" w:themeColor="text1"/>
          <w:sz w:val="22"/>
          <w:szCs w:val="22"/>
        </w:rPr>
      </w:pPr>
      <w:r w:rsidRPr="07FC4C9B">
        <w:rPr>
          <w:rFonts w:eastAsia="Arial" w:cs="Arial"/>
          <w:color w:val="000000" w:themeColor="text1"/>
          <w:sz w:val="22"/>
          <w:szCs w:val="22"/>
        </w:rPr>
        <w:t>In order to track the progress with respect to how well EBF is doing in terms of equity, the following VfM metrics will be used in this and future ARs:</w:t>
      </w:r>
    </w:p>
    <w:p w14:paraId="304350C7" w14:textId="08DA37E9" w:rsidR="00F20A87" w:rsidRPr="00A54B18" w:rsidRDefault="2EE66EDC" w:rsidP="00674C5F">
      <w:pPr>
        <w:pStyle w:val="ListParagraph"/>
        <w:numPr>
          <w:ilvl w:val="0"/>
          <w:numId w:val="1"/>
        </w:numPr>
        <w:spacing w:after="0"/>
        <w:jc w:val="both"/>
        <w:rPr>
          <w:rFonts w:eastAsia="Arial" w:cs="Arial"/>
          <w:color w:val="000000" w:themeColor="text1"/>
          <w:sz w:val="22"/>
          <w:szCs w:val="22"/>
        </w:rPr>
      </w:pPr>
      <w:r w:rsidRPr="07FC4C9B">
        <w:rPr>
          <w:rFonts w:eastAsia="Arial" w:cs="Arial"/>
          <w:color w:val="000000" w:themeColor="text1"/>
          <w:sz w:val="22"/>
          <w:szCs w:val="22"/>
        </w:rPr>
        <w:t>Gender ratio in core EBF team</w:t>
      </w:r>
    </w:p>
    <w:p w14:paraId="594291BD" w14:textId="6AE2A037" w:rsidR="00F20A87" w:rsidRPr="00A54B18" w:rsidRDefault="2EE66EDC" w:rsidP="00674C5F">
      <w:pPr>
        <w:pStyle w:val="ListParagraph"/>
        <w:numPr>
          <w:ilvl w:val="0"/>
          <w:numId w:val="1"/>
        </w:numPr>
        <w:spacing w:after="0"/>
        <w:jc w:val="both"/>
        <w:rPr>
          <w:rFonts w:eastAsia="Arial" w:cs="Arial"/>
          <w:color w:val="000000" w:themeColor="text1"/>
          <w:sz w:val="22"/>
          <w:szCs w:val="22"/>
        </w:rPr>
      </w:pPr>
      <w:r w:rsidRPr="07FC4C9B">
        <w:rPr>
          <w:rFonts w:eastAsia="Arial" w:cs="Arial"/>
          <w:color w:val="000000" w:themeColor="text1"/>
          <w:sz w:val="22"/>
          <w:szCs w:val="22"/>
        </w:rPr>
        <w:t>Gender ratio employed in PIs</w:t>
      </w:r>
    </w:p>
    <w:p w14:paraId="35974E79" w14:textId="7A5AC0E3" w:rsidR="00F20A87" w:rsidRPr="00A54B18" w:rsidRDefault="2EE66EDC" w:rsidP="07FC4C9B">
      <w:pPr>
        <w:spacing w:after="160" w:line="257" w:lineRule="auto"/>
        <w:jc w:val="both"/>
      </w:pPr>
      <w:r w:rsidRPr="07FC4C9B">
        <w:rPr>
          <w:rFonts w:eastAsia="Arial" w:cs="Arial"/>
          <w:color w:val="000000" w:themeColor="text1"/>
          <w:sz w:val="22"/>
          <w:szCs w:val="22"/>
        </w:rPr>
        <w:t xml:space="preserve">The results for the VfM metrics for this AR are shown below in Table </w:t>
      </w:r>
      <w:r w:rsidR="00FE386E">
        <w:rPr>
          <w:rFonts w:eastAsia="Arial" w:cs="Arial"/>
          <w:color w:val="000000" w:themeColor="text1"/>
          <w:sz w:val="22"/>
          <w:szCs w:val="22"/>
        </w:rPr>
        <w:t>4</w:t>
      </w:r>
      <w:r w:rsidRPr="07FC4C9B">
        <w:rPr>
          <w:rFonts w:eastAsia="Arial" w:cs="Arial"/>
          <w:color w:val="000000" w:themeColor="text1"/>
          <w:sz w:val="22"/>
          <w:szCs w:val="22"/>
        </w:rPr>
        <w:t>:</w:t>
      </w:r>
    </w:p>
    <w:p w14:paraId="5FC18E61" w14:textId="0CACFF37" w:rsidR="00F20A87" w:rsidRPr="00FE386E" w:rsidRDefault="2EE66EDC" w:rsidP="07FC4C9B">
      <w:pPr>
        <w:spacing w:after="200" w:line="257" w:lineRule="auto"/>
        <w:jc w:val="both"/>
        <w:rPr>
          <w:i/>
          <w:iCs/>
        </w:rPr>
      </w:pPr>
      <w:r w:rsidRPr="00FE386E">
        <w:rPr>
          <w:rFonts w:eastAsia="Arial" w:cs="Arial"/>
          <w:i/>
          <w:iCs/>
          <w:color w:val="445369"/>
          <w:sz w:val="22"/>
          <w:szCs w:val="22"/>
        </w:rPr>
        <w:t xml:space="preserve">Table </w:t>
      </w:r>
      <w:r w:rsidR="00FE386E" w:rsidRPr="00FE386E">
        <w:rPr>
          <w:rFonts w:eastAsia="Arial" w:cs="Arial"/>
          <w:i/>
          <w:iCs/>
          <w:color w:val="445369"/>
          <w:sz w:val="22"/>
          <w:szCs w:val="22"/>
        </w:rPr>
        <w:t>4</w:t>
      </w:r>
      <w:r w:rsidRPr="00FE386E">
        <w:rPr>
          <w:rFonts w:eastAsia="Arial" w:cs="Arial"/>
          <w:i/>
          <w:iCs/>
          <w:color w:val="445369"/>
          <w:sz w:val="22"/>
          <w:szCs w:val="22"/>
        </w:rPr>
        <w:t xml:space="preserve"> - VfM Equity Metrics Results</w:t>
      </w:r>
    </w:p>
    <w:tbl>
      <w:tblPr>
        <w:tblStyle w:val="TableGrid"/>
        <w:tblW w:w="0" w:type="auto"/>
        <w:tblLayout w:type="fixed"/>
        <w:tblLook w:val="04A0" w:firstRow="1" w:lastRow="0" w:firstColumn="1" w:lastColumn="0" w:noHBand="0" w:noVBand="1"/>
      </w:tblPr>
      <w:tblGrid>
        <w:gridCol w:w="4500"/>
        <w:gridCol w:w="4500"/>
      </w:tblGrid>
      <w:tr w:rsidR="07FC4C9B" w14:paraId="50005BD0" w14:textId="77777777" w:rsidTr="07FC4C9B">
        <w:trPr>
          <w:trHeight w:val="300"/>
        </w:trPr>
        <w:tc>
          <w:tcPr>
            <w:tcW w:w="4500" w:type="dxa"/>
            <w:tcBorders>
              <w:top w:val="single" w:sz="8" w:space="0" w:color="auto"/>
              <w:left w:val="single" w:sz="8" w:space="0" w:color="auto"/>
              <w:bottom w:val="single" w:sz="8" w:space="0" w:color="auto"/>
              <w:right w:val="single" w:sz="8" w:space="0" w:color="auto"/>
            </w:tcBorders>
            <w:shd w:val="clear" w:color="auto" w:fill="C1E4F5"/>
            <w:tcMar>
              <w:left w:w="108" w:type="dxa"/>
              <w:right w:w="108" w:type="dxa"/>
            </w:tcMar>
          </w:tcPr>
          <w:p w14:paraId="4D3286CB" w14:textId="0E20FF37" w:rsidR="07FC4C9B" w:rsidRDefault="07FC4C9B" w:rsidP="07FC4C9B">
            <w:pPr>
              <w:jc w:val="both"/>
            </w:pPr>
            <w:r w:rsidRPr="07FC4C9B">
              <w:rPr>
                <w:rFonts w:eastAsia="Arial" w:cs="Arial"/>
                <w:i/>
                <w:iCs/>
                <w:color w:val="000000" w:themeColor="text1"/>
                <w:sz w:val="22"/>
                <w:szCs w:val="22"/>
              </w:rPr>
              <w:t>VfM Metric</w:t>
            </w:r>
          </w:p>
        </w:tc>
        <w:tc>
          <w:tcPr>
            <w:tcW w:w="4500" w:type="dxa"/>
            <w:tcBorders>
              <w:top w:val="single" w:sz="8" w:space="0" w:color="auto"/>
              <w:left w:val="single" w:sz="8" w:space="0" w:color="auto"/>
              <w:bottom w:val="single" w:sz="8" w:space="0" w:color="auto"/>
              <w:right w:val="single" w:sz="8" w:space="0" w:color="auto"/>
            </w:tcBorders>
            <w:tcMar>
              <w:left w:w="108" w:type="dxa"/>
              <w:right w:w="108" w:type="dxa"/>
            </w:tcMar>
          </w:tcPr>
          <w:p w14:paraId="406060C3" w14:textId="66C1EB82" w:rsidR="07FC4C9B" w:rsidRDefault="07FC4C9B" w:rsidP="07FC4C9B">
            <w:pPr>
              <w:jc w:val="both"/>
            </w:pPr>
            <w:r w:rsidRPr="07FC4C9B">
              <w:rPr>
                <w:rFonts w:eastAsia="Arial" w:cs="Arial"/>
                <w:i/>
                <w:iCs/>
                <w:sz w:val="22"/>
                <w:szCs w:val="22"/>
              </w:rPr>
              <w:t xml:space="preserve">Result </w:t>
            </w:r>
          </w:p>
        </w:tc>
      </w:tr>
      <w:tr w:rsidR="07FC4C9B" w14:paraId="740F94F7" w14:textId="77777777" w:rsidTr="07FC4C9B">
        <w:trPr>
          <w:trHeight w:val="480"/>
        </w:trPr>
        <w:tc>
          <w:tcPr>
            <w:tcW w:w="4500" w:type="dxa"/>
            <w:tcBorders>
              <w:top w:val="single" w:sz="8" w:space="0" w:color="auto"/>
              <w:left w:val="single" w:sz="8" w:space="0" w:color="auto"/>
              <w:bottom w:val="single" w:sz="8" w:space="0" w:color="auto"/>
              <w:right w:val="single" w:sz="8" w:space="0" w:color="auto"/>
            </w:tcBorders>
            <w:shd w:val="clear" w:color="auto" w:fill="C1E4F5"/>
            <w:tcMar>
              <w:left w:w="108" w:type="dxa"/>
              <w:right w:w="108" w:type="dxa"/>
            </w:tcMar>
          </w:tcPr>
          <w:p w14:paraId="3D7A2913" w14:textId="4D388ABC" w:rsidR="07FC4C9B" w:rsidRDefault="07FC4C9B" w:rsidP="07FC4C9B">
            <w:pPr>
              <w:jc w:val="both"/>
            </w:pPr>
            <w:r w:rsidRPr="07FC4C9B">
              <w:rPr>
                <w:rFonts w:eastAsia="Arial" w:cs="Arial"/>
                <w:color w:val="000000" w:themeColor="text1"/>
                <w:sz w:val="22"/>
                <w:szCs w:val="22"/>
              </w:rPr>
              <w:t>Percentage of women in core EBF team</w:t>
            </w:r>
          </w:p>
        </w:tc>
        <w:tc>
          <w:tcPr>
            <w:tcW w:w="4500" w:type="dxa"/>
            <w:tcBorders>
              <w:top w:val="single" w:sz="8" w:space="0" w:color="auto"/>
              <w:left w:val="single" w:sz="8" w:space="0" w:color="auto"/>
              <w:bottom w:val="single" w:sz="8" w:space="0" w:color="auto"/>
              <w:right w:val="single" w:sz="8" w:space="0" w:color="auto"/>
            </w:tcBorders>
            <w:tcMar>
              <w:left w:w="108" w:type="dxa"/>
              <w:right w:w="108" w:type="dxa"/>
            </w:tcMar>
          </w:tcPr>
          <w:p w14:paraId="02886626" w14:textId="544E83EE" w:rsidR="07FC4C9B" w:rsidRDefault="00B759C3" w:rsidP="07FC4C9B">
            <w:pPr>
              <w:rPr>
                <w:rFonts w:eastAsia="Arial" w:cs="Arial"/>
                <w:sz w:val="22"/>
                <w:szCs w:val="22"/>
              </w:rPr>
            </w:pPr>
            <w:r>
              <w:rPr>
                <w:rFonts w:eastAsia="Arial" w:cs="Arial"/>
                <w:sz w:val="22"/>
                <w:szCs w:val="22"/>
              </w:rPr>
              <w:t>52</w:t>
            </w:r>
            <w:r w:rsidR="07FC4C9B" w:rsidRPr="07FC4C9B">
              <w:rPr>
                <w:rFonts w:eastAsia="Arial" w:cs="Arial"/>
                <w:sz w:val="22"/>
                <w:szCs w:val="22"/>
              </w:rPr>
              <w:t>%</w:t>
            </w:r>
            <w:r w:rsidR="00435CF9">
              <w:rPr>
                <w:rFonts w:eastAsia="Arial" w:cs="Arial"/>
                <w:sz w:val="22"/>
                <w:szCs w:val="22"/>
              </w:rPr>
              <w:t>*</w:t>
            </w:r>
          </w:p>
        </w:tc>
      </w:tr>
      <w:tr w:rsidR="07FC4C9B" w14:paraId="255EDB03" w14:textId="77777777" w:rsidTr="07FC4C9B">
        <w:trPr>
          <w:trHeight w:val="480"/>
        </w:trPr>
        <w:tc>
          <w:tcPr>
            <w:tcW w:w="4500" w:type="dxa"/>
            <w:tcBorders>
              <w:top w:val="single" w:sz="8" w:space="0" w:color="auto"/>
              <w:left w:val="single" w:sz="8" w:space="0" w:color="auto"/>
              <w:bottom w:val="single" w:sz="8" w:space="0" w:color="auto"/>
              <w:right w:val="single" w:sz="8" w:space="0" w:color="auto"/>
            </w:tcBorders>
            <w:shd w:val="clear" w:color="auto" w:fill="C1E4F5"/>
            <w:tcMar>
              <w:left w:w="108" w:type="dxa"/>
              <w:right w:w="108" w:type="dxa"/>
            </w:tcMar>
          </w:tcPr>
          <w:p w14:paraId="7FC01B2B" w14:textId="5017B01B" w:rsidR="07FC4C9B" w:rsidRDefault="07FC4C9B" w:rsidP="07FC4C9B">
            <w:pPr>
              <w:jc w:val="both"/>
            </w:pPr>
            <w:r w:rsidRPr="07FC4C9B">
              <w:rPr>
                <w:rFonts w:eastAsia="Arial" w:cs="Arial"/>
                <w:color w:val="000000" w:themeColor="text1"/>
                <w:sz w:val="22"/>
                <w:szCs w:val="22"/>
              </w:rPr>
              <w:t>Percentage of women employed by PIs</w:t>
            </w:r>
          </w:p>
        </w:tc>
        <w:tc>
          <w:tcPr>
            <w:tcW w:w="4500" w:type="dxa"/>
            <w:tcBorders>
              <w:top w:val="single" w:sz="8" w:space="0" w:color="auto"/>
              <w:left w:val="single" w:sz="8" w:space="0" w:color="auto"/>
              <w:bottom w:val="single" w:sz="8" w:space="0" w:color="auto"/>
              <w:right w:val="single" w:sz="8" w:space="0" w:color="auto"/>
            </w:tcBorders>
            <w:tcMar>
              <w:left w:w="108" w:type="dxa"/>
              <w:right w:w="108" w:type="dxa"/>
            </w:tcMar>
          </w:tcPr>
          <w:p w14:paraId="4D1E6BF8" w14:textId="4C75BF38" w:rsidR="07FC4C9B" w:rsidRDefault="07FC4C9B" w:rsidP="07FC4C9B">
            <w:r w:rsidRPr="07FC4C9B">
              <w:rPr>
                <w:rFonts w:eastAsia="Arial" w:cs="Arial"/>
                <w:b/>
                <w:bCs/>
                <w:sz w:val="22"/>
                <w:szCs w:val="22"/>
              </w:rPr>
              <w:t>Overall:</w:t>
            </w:r>
            <w:r w:rsidRPr="07FC4C9B">
              <w:rPr>
                <w:rFonts w:eastAsia="Arial" w:cs="Arial"/>
                <w:sz w:val="22"/>
                <w:szCs w:val="22"/>
              </w:rPr>
              <w:t xml:space="preserve"> 55% </w:t>
            </w:r>
            <w:r w:rsidRPr="07FC4C9B">
              <w:rPr>
                <w:rFonts w:eastAsia="Arial" w:cs="Arial"/>
                <w:color w:val="747474"/>
                <w:sz w:val="22"/>
                <w:szCs w:val="22"/>
              </w:rPr>
              <w:t>(56% 2022)</w:t>
            </w:r>
          </w:p>
          <w:p w14:paraId="3459A8AF" w14:textId="6596432A" w:rsidR="07FC4C9B" w:rsidRDefault="07FC4C9B" w:rsidP="07FC4C9B">
            <w:r w:rsidRPr="07FC4C9B">
              <w:rPr>
                <w:rFonts w:eastAsia="Arial" w:cs="Arial"/>
                <w:b/>
                <w:bCs/>
                <w:sz w:val="22"/>
                <w:szCs w:val="22"/>
              </w:rPr>
              <w:t>Management</w:t>
            </w:r>
            <w:r w:rsidRPr="07FC4C9B">
              <w:rPr>
                <w:rFonts w:eastAsia="Arial" w:cs="Arial"/>
                <w:sz w:val="22"/>
                <w:szCs w:val="22"/>
              </w:rPr>
              <w:t xml:space="preserve">: 36% </w:t>
            </w:r>
            <w:r w:rsidRPr="07FC4C9B">
              <w:rPr>
                <w:rFonts w:eastAsia="Arial" w:cs="Arial"/>
                <w:color w:val="747474"/>
                <w:sz w:val="22"/>
                <w:szCs w:val="22"/>
              </w:rPr>
              <w:t>(39% 2022)</w:t>
            </w:r>
          </w:p>
          <w:p w14:paraId="4435D09D" w14:textId="692025BE" w:rsidR="07FC4C9B" w:rsidRDefault="07FC4C9B" w:rsidP="07FC4C9B">
            <w:r w:rsidRPr="07FC4C9B">
              <w:rPr>
                <w:rFonts w:eastAsia="Arial" w:cs="Arial"/>
                <w:b/>
                <w:bCs/>
                <w:sz w:val="22"/>
                <w:szCs w:val="22"/>
              </w:rPr>
              <w:t>Board:</w:t>
            </w:r>
            <w:r w:rsidRPr="07FC4C9B">
              <w:rPr>
                <w:rFonts w:eastAsia="Arial" w:cs="Arial"/>
                <w:sz w:val="22"/>
                <w:szCs w:val="22"/>
              </w:rPr>
              <w:t xml:space="preserve"> 19% </w:t>
            </w:r>
            <w:r w:rsidRPr="07FC4C9B">
              <w:rPr>
                <w:rFonts w:eastAsia="Arial" w:cs="Arial"/>
                <w:color w:val="747474"/>
                <w:sz w:val="22"/>
                <w:szCs w:val="22"/>
              </w:rPr>
              <w:t>(18% 2022)</w:t>
            </w:r>
          </w:p>
        </w:tc>
      </w:tr>
    </w:tbl>
    <w:p w14:paraId="768D7694" w14:textId="0E3F9426" w:rsidR="00F20A87" w:rsidRPr="00A54B18" w:rsidRDefault="2EE66EDC" w:rsidP="07FC4C9B">
      <w:pPr>
        <w:spacing w:after="160" w:line="257" w:lineRule="auto"/>
        <w:jc w:val="both"/>
      </w:pPr>
      <w:r w:rsidRPr="07FC4C9B">
        <w:rPr>
          <w:rFonts w:eastAsia="Arial" w:cs="Arial"/>
          <w:sz w:val="22"/>
          <w:szCs w:val="22"/>
        </w:rPr>
        <w:t xml:space="preserve"> </w:t>
      </w:r>
      <w:r w:rsidR="00435CF9">
        <w:rPr>
          <w:rFonts w:eastAsia="Arial" w:cs="Arial"/>
          <w:sz w:val="22"/>
          <w:szCs w:val="22"/>
        </w:rPr>
        <w:t>*Overall Finance in Motion figure.</w:t>
      </w:r>
    </w:p>
    <w:p w14:paraId="02063095" w14:textId="49D9DC9D" w:rsidR="00F20A87" w:rsidRPr="00A54B18" w:rsidRDefault="2EE66EDC" w:rsidP="248FB09F">
      <w:pPr>
        <w:spacing w:after="160" w:line="257" w:lineRule="auto"/>
        <w:jc w:val="both"/>
        <w:rPr>
          <w:rFonts w:eastAsia="Arial" w:cs="Arial"/>
          <w:sz w:val="22"/>
          <w:szCs w:val="22"/>
        </w:rPr>
      </w:pPr>
      <w:r w:rsidRPr="248FB09F">
        <w:rPr>
          <w:rFonts w:eastAsia="Arial" w:cs="Arial"/>
          <w:sz w:val="22"/>
          <w:szCs w:val="22"/>
        </w:rPr>
        <w:t xml:space="preserve">The table shows that the percentage of women </w:t>
      </w:r>
      <w:r w:rsidR="00B25C4A">
        <w:rPr>
          <w:rFonts w:eastAsia="Arial" w:cs="Arial"/>
          <w:sz w:val="22"/>
          <w:szCs w:val="22"/>
        </w:rPr>
        <w:t xml:space="preserve">employed by </w:t>
      </w:r>
      <w:r w:rsidR="00112B0B">
        <w:rPr>
          <w:rFonts w:eastAsia="Arial" w:cs="Arial"/>
          <w:sz w:val="22"/>
          <w:szCs w:val="22"/>
        </w:rPr>
        <w:t>partner institutions (</w:t>
      </w:r>
      <w:r w:rsidR="00B25C4A">
        <w:rPr>
          <w:rFonts w:eastAsia="Arial" w:cs="Arial"/>
          <w:sz w:val="22"/>
          <w:szCs w:val="22"/>
        </w:rPr>
        <w:t>PIs</w:t>
      </w:r>
      <w:r w:rsidR="00112B0B">
        <w:rPr>
          <w:rFonts w:eastAsia="Arial" w:cs="Arial"/>
          <w:sz w:val="22"/>
          <w:szCs w:val="22"/>
        </w:rPr>
        <w:t>)</w:t>
      </w:r>
      <w:r w:rsidR="00B25C4A">
        <w:rPr>
          <w:rFonts w:eastAsia="Arial" w:cs="Arial"/>
          <w:sz w:val="22"/>
          <w:szCs w:val="22"/>
        </w:rPr>
        <w:t xml:space="preserve"> </w:t>
      </w:r>
      <w:r w:rsidRPr="248FB09F">
        <w:rPr>
          <w:rFonts w:eastAsia="Arial" w:cs="Arial"/>
          <w:sz w:val="22"/>
          <w:szCs w:val="22"/>
        </w:rPr>
        <w:t>overall has slightly decreased from 2022, however is still over 50% of the total number of people employed by PIs. Whilst the number of women in management roles has slightly decreased, the number of women working at board level has increased by 1</w:t>
      </w:r>
      <w:r w:rsidR="00DC2AD0">
        <w:rPr>
          <w:rFonts w:eastAsia="Arial" w:cs="Arial"/>
          <w:sz w:val="22"/>
          <w:szCs w:val="22"/>
        </w:rPr>
        <w:t xml:space="preserve"> percentage point</w:t>
      </w:r>
      <w:r w:rsidRPr="248FB09F">
        <w:rPr>
          <w:rFonts w:eastAsia="Arial" w:cs="Arial"/>
          <w:sz w:val="22"/>
          <w:szCs w:val="22"/>
        </w:rPr>
        <w:t xml:space="preserve">, promoting women working at a more senior level. The recommended targets, as set out by the 2X initiative, suggest that 46% of women should be overall employed by PIs, 43% work in management roles and 30% work in board positions. Whilst the programme exceeds </w:t>
      </w:r>
      <w:r w:rsidR="0025EE54" w:rsidRPr="248FB09F">
        <w:rPr>
          <w:rFonts w:eastAsia="Arial" w:cs="Arial"/>
          <w:sz w:val="22"/>
          <w:szCs w:val="22"/>
        </w:rPr>
        <w:t xml:space="preserve">the </w:t>
      </w:r>
      <w:r w:rsidRPr="248FB09F">
        <w:rPr>
          <w:rFonts w:eastAsia="Arial" w:cs="Arial"/>
          <w:sz w:val="22"/>
          <w:szCs w:val="22"/>
        </w:rPr>
        <w:t xml:space="preserve">overall target, there are still significant improvements to be made in increasing the percentages at management and board level. </w:t>
      </w:r>
    </w:p>
    <w:p w14:paraId="1B526CF0" w14:textId="694A1048" w:rsidR="00F20A87" w:rsidRPr="00A54B18" w:rsidRDefault="2EE66EDC" w:rsidP="07FC4C9B">
      <w:pPr>
        <w:spacing w:after="160" w:line="257" w:lineRule="auto"/>
        <w:jc w:val="both"/>
      </w:pPr>
      <w:r w:rsidRPr="07FC4C9B">
        <w:rPr>
          <w:rFonts w:eastAsia="Arial" w:cs="Arial"/>
          <w:sz w:val="22"/>
          <w:szCs w:val="22"/>
        </w:rPr>
        <w:t xml:space="preserve">This year, the delivery partner has provided information regarding the gender ratio of those benefitting from sub-borrowers. Out of the total number of jobs supported by sub-borrowers </w:t>
      </w:r>
      <w:r w:rsidRPr="07FC4C9B">
        <w:rPr>
          <w:rFonts w:eastAsia="Arial" w:cs="Arial"/>
          <w:sz w:val="22"/>
          <w:szCs w:val="22"/>
        </w:rPr>
        <w:lastRenderedPageBreak/>
        <w:t xml:space="preserve">as a result of EBF support (Outcome 1.7), 167,000 people supported are women, equating to 23% of the overall number. Again, this suggests that improvements should be made across the programme to encourage </w:t>
      </w:r>
      <w:r w:rsidR="00F44A63">
        <w:rPr>
          <w:rFonts w:eastAsia="Arial" w:cs="Arial"/>
          <w:sz w:val="22"/>
          <w:szCs w:val="22"/>
        </w:rPr>
        <w:t xml:space="preserve">support for </w:t>
      </w:r>
      <w:r w:rsidRPr="07FC4C9B">
        <w:rPr>
          <w:rFonts w:eastAsia="Arial" w:cs="Arial"/>
          <w:sz w:val="22"/>
          <w:szCs w:val="22"/>
        </w:rPr>
        <w:t xml:space="preserve">more women working in this sector.  </w:t>
      </w:r>
    </w:p>
    <w:p w14:paraId="0423DD83" w14:textId="77777777" w:rsidR="009579EF" w:rsidRDefault="2EE66EDC" w:rsidP="07FC4C9B">
      <w:pPr>
        <w:spacing w:after="160" w:line="257" w:lineRule="auto"/>
        <w:jc w:val="both"/>
        <w:rPr>
          <w:rFonts w:eastAsia="Arial" w:cs="Arial"/>
          <w:sz w:val="22"/>
          <w:szCs w:val="22"/>
        </w:rPr>
      </w:pPr>
      <w:r w:rsidRPr="2361D42A">
        <w:rPr>
          <w:rFonts w:eastAsia="Arial" w:cs="Arial"/>
          <w:sz w:val="22"/>
          <w:szCs w:val="22"/>
        </w:rPr>
        <w:t xml:space="preserve">Looking specifically at individual projects that the fund provides investment to, Azucarera Valdez has placed a strong focus on gender diversity to help solve critical issues to ultimately create a blueprint to amplify and extend the adoption of sustainable practices across the entirety of the sugar value chain. </w:t>
      </w:r>
    </w:p>
    <w:p w14:paraId="412495B1" w14:textId="45CA7CD5" w:rsidR="00F20A87" w:rsidRPr="00A54B18" w:rsidRDefault="2EE66EDC" w:rsidP="07FC4C9B">
      <w:pPr>
        <w:spacing w:after="160" w:line="257" w:lineRule="auto"/>
        <w:jc w:val="both"/>
      </w:pPr>
      <w:r w:rsidRPr="07FC4C9B">
        <w:rPr>
          <w:rFonts w:eastAsia="Arial" w:cs="Arial"/>
          <w:i/>
          <w:iCs/>
          <w:sz w:val="22"/>
          <w:szCs w:val="22"/>
        </w:rPr>
        <w:t>Smallholders and Indigenous Communities</w:t>
      </w:r>
    </w:p>
    <w:p w14:paraId="2D14EA08" w14:textId="078BBEFD" w:rsidR="00F20A87" w:rsidRPr="00A54B18" w:rsidRDefault="2EE66EDC" w:rsidP="07FC4C9B">
      <w:pPr>
        <w:spacing w:after="160" w:line="257" w:lineRule="auto"/>
        <w:jc w:val="both"/>
      </w:pPr>
      <w:r w:rsidRPr="07FC4C9B">
        <w:rPr>
          <w:rFonts w:eastAsia="Arial" w:cs="Arial"/>
          <w:sz w:val="22"/>
          <w:szCs w:val="22"/>
        </w:rPr>
        <w:t xml:space="preserve">In terms of the programme’s impact on smallholders and indigenous communities, there is evidence of a positive impact across some projects, however, there is no metric to determine the true extent of the overall impact and is therefore difficult to assess. </w:t>
      </w:r>
    </w:p>
    <w:p w14:paraId="3573A21D" w14:textId="7F8D25DA" w:rsidR="00F20A87" w:rsidRPr="00A54B18" w:rsidRDefault="2EE66EDC" w:rsidP="07FC4C9B">
      <w:pPr>
        <w:spacing w:after="160" w:line="257" w:lineRule="auto"/>
        <w:jc w:val="both"/>
      </w:pPr>
      <w:r w:rsidRPr="07FC4C9B">
        <w:rPr>
          <w:rFonts w:eastAsia="Arial" w:cs="Arial"/>
          <w:sz w:val="22"/>
          <w:szCs w:val="22"/>
        </w:rPr>
        <w:t>The sustainable subordinated bond, created by Banco de Bogota, has successfully directed the entire proceeds of the bond towards sustainable investments in agriculture and related sectors. Given that over 30% of the Colombian population rely on smallholder farming for their livelihoods</w:t>
      </w:r>
      <w:r w:rsidR="008755C4">
        <w:rPr>
          <w:rStyle w:val="FootnoteReference"/>
          <w:rFonts w:eastAsia="Arial" w:cs="Arial"/>
          <w:sz w:val="22"/>
          <w:szCs w:val="22"/>
        </w:rPr>
        <w:footnoteReference w:id="4"/>
      </w:r>
      <w:r w:rsidRPr="07FC4C9B">
        <w:rPr>
          <w:rFonts w:eastAsia="Arial" w:cs="Arial"/>
          <w:sz w:val="22"/>
          <w:szCs w:val="22"/>
        </w:rPr>
        <w:t>, it is likely that a sizeable proportion of this investment has gone to smallholder farms, helping to financially protect them and ensure they can continue to operate. Banco de Bogota operates across 913 municipalities, meaning that they can be relatively accessible for smaller communities.</w:t>
      </w:r>
    </w:p>
    <w:p w14:paraId="08AD3844" w14:textId="3A1B56DA" w:rsidR="00F20A87" w:rsidRPr="00A54B18" w:rsidRDefault="2EE66EDC" w:rsidP="07FC4C9B">
      <w:pPr>
        <w:spacing w:after="160" w:line="257" w:lineRule="auto"/>
        <w:jc w:val="both"/>
      </w:pPr>
      <w:r w:rsidRPr="07FC4C9B">
        <w:rPr>
          <w:rFonts w:eastAsia="Arial" w:cs="Arial"/>
          <w:b/>
          <w:bCs/>
          <w:sz w:val="22"/>
          <w:szCs w:val="22"/>
        </w:rPr>
        <w:t>Cost-Effectiveness</w:t>
      </w:r>
    </w:p>
    <w:p w14:paraId="37496F05" w14:textId="2E5D5482" w:rsidR="001736AD" w:rsidRPr="001736AD" w:rsidRDefault="001736AD" w:rsidP="001736AD">
      <w:pPr>
        <w:spacing w:after="160" w:line="257" w:lineRule="auto"/>
        <w:jc w:val="both"/>
        <w:rPr>
          <w:rFonts w:eastAsia="Arial" w:cs="Arial"/>
          <w:sz w:val="22"/>
          <w:szCs w:val="22"/>
        </w:rPr>
      </w:pPr>
      <w:r w:rsidRPr="001736AD">
        <w:rPr>
          <w:rFonts w:eastAsia="Arial" w:cs="Arial"/>
          <w:sz w:val="22"/>
          <w:szCs w:val="22"/>
        </w:rPr>
        <w:t xml:space="preserve">Looking at the desired impacts the programme aims to achieve over the long term, they include increasing capital and mainstreaming of SLM and sustainable supply chains; ensuring local economies benefit from SLM through promoting fair jobs and livelihoods; reducing net GHG emissions and improving biodiversity and environment conditions in mosaic land use. </w:t>
      </w:r>
    </w:p>
    <w:p w14:paraId="4475FB0A" w14:textId="589F0D3A" w:rsidR="00A21446" w:rsidRPr="001736AD" w:rsidRDefault="001736AD" w:rsidP="00A21446">
      <w:pPr>
        <w:spacing w:after="160" w:line="257" w:lineRule="auto"/>
        <w:jc w:val="both"/>
        <w:rPr>
          <w:rFonts w:eastAsia="Arial" w:cs="Arial"/>
          <w:sz w:val="22"/>
          <w:szCs w:val="22"/>
        </w:rPr>
      </w:pPr>
      <w:r w:rsidRPr="001736AD">
        <w:rPr>
          <w:rFonts w:eastAsia="Arial" w:cs="Arial"/>
          <w:sz w:val="22"/>
          <w:szCs w:val="22"/>
        </w:rPr>
        <w:t>As discussed in the effectiveness section, the number of jobs supported by sub-borrowers as a result of EBF support has increased to 721,000, showing that the aim of promoting fair jobs is positively progressing. Similarly, outcome indicator 1.2 shows that 3,704,000 tonnes of net CO2 emissions have been stored, reducing overall GHG emissions</w:t>
      </w:r>
      <w:r w:rsidR="00C978B4">
        <w:rPr>
          <w:rFonts w:eastAsia="Arial" w:cs="Arial"/>
          <w:sz w:val="22"/>
          <w:szCs w:val="22"/>
        </w:rPr>
        <w:t>.</w:t>
      </w:r>
      <w:r w:rsidR="001B06C3">
        <w:rPr>
          <w:rFonts w:eastAsia="Arial" w:cs="Arial"/>
          <w:sz w:val="22"/>
          <w:szCs w:val="22"/>
        </w:rPr>
        <w:t xml:space="preserve"> </w:t>
      </w:r>
      <w:r w:rsidR="000F7A78">
        <w:rPr>
          <w:sz w:val="22"/>
          <w:szCs w:val="18"/>
        </w:rPr>
        <w:t>While a full cost-benefit analysis has not been conducted, these have high inherent economic valuations which demonstrate cost effectiveness.</w:t>
      </w:r>
      <w:r w:rsidR="009E044A">
        <w:rPr>
          <w:sz w:val="22"/>
          <w:szCs w:val="18"/>
        </w:rPr>
        <w:t xml:space="preserve"> For example</w:t>
      </w:r>
      <w:r w:rsidR="00BF7A13">
        <w:rPr>
          <w:sz w:val="22"/>
          <w:szCs w:val="18"/>
        </w:rPr>
        <w:t>,</w:t>
      </w:r>
      <w:r w:rsidR="003C3D44">
        <w:rPr>
          <w:sz w:val="22"/>
          <w:szCs w:val="18"/>
        </w:rPr>
        <w:t xml:space="preserve"> t</w:t>
      </w:r>
      <w:r w:rsidR="00A55165">
        <w:rPr>
          <w:sz w:val="22"/>
          <w:szCs w:val="18"/>
        </w:rPr>
        <w:t>he UK government valuation in appraisal for 1</w:t>
      </w:r>
      <w:r w:rsidR="00A55165" w:rsidRPr="001736AD">
        <w:rPr>
          <w:rFonts w:eastAsia="Arial" w:cs="Arial"/>
          <w:sz w:val="22"/>
          <w:szCs w:val="22"/>
        </w:rPr>
        <w:t xml:space="preserve"> tonne of </w:t>
      </w:r>
      <w:r w:rsidR="00A55165">
        <w:rPr>
          <w:sz w:val="22"/>
          <w:szCs w:val="18"/>
        </w:rPr>
        <w:t>CO2e</w:t>
      </w:r>
      <w:r w:rsidR="00A55165" w:rsidRPr="001736AD">
        <w:rPr>
          <w:rFonts w:eastAsia="Arial" w:cs="Arial"/>
          <w:sz w:val="22"/>
          <w:szCs w:val="22"/>
        </w:rPr>
        <w:t xml:space="preserve"> is </w:t>
      </w:r>
      <w:r w:rsidR="00A55165">
        <w:rPr>
          <w:sz w:val="22"/>
          <w:szCs w:val="18"/>
        </w:rPr>
        <w:t>estimated to be £256 in 2024</w:t>
      </w:r>
      <w:r w:rsidR="0062261E">
        <w:rPr>
          <w:rFonts w:eastAsia="Arial" w:cs="Arial"/>
          <w:sz w:val="22"/>
          <w:szCs w:val="22"/>
        </w:rPr>
        <w:t xml:space="preserve">, </w:t>
      </w:r>
      <w:r w:rsidR="006B6FCB">
        <w:rPr>
          <w:rFonts w:eastAsia="Arial" w:cs="Arial"/>
          <w:sz w:val="22"/>
          <w:szCs w:val="22"/>
        </w:rPr>
        <w:t xml:space="preserve">giving an approximate carbon </w:t>
      </w:r>
      <w:r w:rsidR="00AD7F72">
        <w:rPr>
          <w:rFonts w:eastAsia="Arial" w:cs="Arial"/>
          <w:sz w:val="22"/>
          <w:szCs w:val="22"/>
        </w:rPr>
        <w:t xml:space="preserve">emission </w:t>
      </w:r>
      <w:r w:rsidR="006B6FCB">
        <w:rPr>
          <w:rFonts w:eastAsia="Arial" w:cs="Arial"/>
          <w:sz w:val="22"/>
          <w:szCs w:val="22"/>
        </w:rPr>
        <w:t xml:space="preserve">value </w:t>
      </w:r>
      <w:r w:rsidR="008F1B11">
        <w:rPr>
          <w:rFonts w:eastAsia="Arial" w:cs="Arial"/>
          <w:sz w:val="22"/>
          <w:szCs w:val="22"/>
        </w:rPr>
        <w:t>for</w:t>
      </w:r>
      <w:r w:rsidR="006B6FCB">
        <w:rPr>
          <w:rFonts w:eastAsia="Arial" w:cs="Arial"/>
          <w:sz w:val="22"/>
          <w:szCs w:val="22"/>
        </w:rPr>
        <w:t xml:space="preserve"> the Fund as a whole of £948 million</w:t>
      </w:r>
      <w:r w:rsidR="005E6412">
        <w:rPr>
          <w:rFonts w:eastAsia="Arial" w:cs="Arial"/>
          <w:sz w:val="22"/>
          <w:szCs w:val="22"/>
        </w:rPr>
        <w:t>.</w:t>
      </w:r>
      <w:r w:rsidR="00C92FE8">
        <w:rPr>
          <w:rFonts w:eastAsia="Arial" w:cs="Arial"/>
          <w:sz w:val="22"/>
          <w:szCs w:val="22"/>
        </w:rPr>
        <w:t xml:space="preserve"> </w:t>
      </w:r>
      <w:r w:rsidR="0056796C">
        <w:rPr>
          <w:rFonts w:eastAsia="Arial" w:cs="Arial"/>
          <w:sz w:val="22"/>
          <w:szCs w:val="22"/>
        </w:rPr>
        <w:t>While this is just an indicative value</w:t>
      </w:r>
      <w:r w:rsidR="009E37D4">
        <w:rPr>
          <w:rFonts w:eastAsia="Arial" w:cs="Arial"/>
          <w:sz w:val="22"/>
          <w:szCs w:val="22"/>
        </w:rPr>
        <w:t xml:space="preserve"> for one benefit,</w:t>
      </w:r>
      <w:r w:rsidR="0056796C">
        <w:rPr>
          <w:rFonts w:eastAsia="Arial" w:cs="Arial"/>
          <w:sz w:val="22"/>
          <w:szCs w:val="22"/>
        </w:rPr>
        <w:t xml:space="preserve"> </w:t>
      </w:r>
      <w:r w:rsidR="00745A42">
        <w:rPr>
          <w:rFonts w:eastAsia="Arial" w:cs="Arial"/>
          <w:sz w:val="22"/>
          <w:szCs w:val="22"/>
        </w:rPr>
        <w:t xml:space="preserve">and does not account for risks such as additionality and leakage, it </w:t>
      </w:r>
      <w:r w:rsidR="00C828DC">
        <w:rPr>
          <w:rFonts w:eastAsia="Arial" w:cs="Arial"/>
          <w:sz w:val="22"/>
          <w:szCs w:val="22"/>
        </w:rPr>
        <w:t>suggests that</w:t>
      </w:r>
      <w:r w:rsidR="00E41AF2">
        <w:rPr>
          <w:rFonts w:eastAsia="Arial" w:cs="Arial"/>
          <w:sz w:val="22"/>
          <w:szCs w:val="22"/>
        </w:rPr>
        <w:t xml:space="preserve"> De</w:t>
      </w:r>
      <w:r w:rsidR="00A21446">
        <w:rPr>
          <w:rFonts w:eastAsia="Arial" w:cs="Arial"/>
          <w:sz w:val="22"/>
          <w:szCs w:val="22"/>
        </w:rPr>
        <w:t>fra</w:t>
      </w:r>
      <w:r w:rsidR="00E41AF2">
        <w:rPr>
          <w:rFonts w:eastAsia="Arial" w:cs="Arial"/>
          <w:sz w:val="22"/>
          <w:szCs w:val="22"/>
        </w:rPr>
        <w:t>’s</w:t>
      </w:r>
      <w:r w:rsidR="00A21446">
        <w:rPr>
          <w:rFonts w:eastAsia="Arial" w:cs="Arial"/>
          <w:sz w:val="22"/>
          <w:szCs w:val="22"/>
        </w:rPr>
        <w:t xml:space="preserve"> investment of £3</w:t>
      </w:r>
      <w:r w:rsidR="005F5572">
        <w:rPr>
          <w:rFonts w:eastAsia="Arial" w:cs="Arial"/>
          <w:sz w:val="22"/>
          <w:szCs w:val="22"/>
        </w:rPr>
        <w:t>2.6</w:t>
      </w:r>
      <w:r w:rsidR="009D3932">
        <w:rPr>
          <w:rFonts w:eastAsia="Arial" w:cs="Arial"/>
          <w:sz w:val="22"/>
          <w:szCs w:val="22"/>
        </w:rPr>
        <w:t xml:space="preserve"> million </w:t>
      </w:r>
      <w:r w:rsidR="00A21446">
        <w:rPr>
          <w:rFonts w:eastAsia="Arial" w:cs="Arial"/>
          <w:sz w:val="22"/>
          <w:szCs w:val="22"/>
        </w:rPr>
        <w:t>in EBF</w:t>
      </w:r>
      <w:r w:rsidR="00642D05">
        <w:rPr>
          <w:rFonts w:eastAsia="Arial" w:cs="Arial"/>
          <w:sz w:val="22"/>
          <w:szCs w:val="22"/>
        </w:rPr>
        <w:t xml:space="preserve"> may have </w:t>
      </w:r>
      <w:r w:rsidR="008F1B11">
        <w:rPr>
          <w:rFonts w:eastAsia="Arial" w:cs="Arial"/>
          <w:sz w:val="22"/>
          <w:szCs w:val="22"/>
        </w:rPr>
        <w:t xml:space="preserve">directly </w:t>
      </w:r>
      <w:r w:rsidR="00642D05">
        <w:rPr>
          <w:rFonts w:eastAsia="Arial" w:cs="Arial"/>
          <w:sz w:val="22"/>
          <w:szCs w:val="22"/>
        </w:rPr>
        <w:t xml:space="preserve">created carbon benefits </w:t>
      </w:r>
      <w:r w:rsidR="00BA0751">
        <w:rPr>
          <w:rFonts w:eastAsia="Arial" w:cs="Arial"/>
          <w:sz w:val="22"/>
          <w:szCs w:val="22"/>
        </w:rPr>
        <w:t xml:space="preserve">alone worth </w:t>
      </w:r>
      <w:r w:rsidR="00642D05">
        <w:rPr>
          <w:rFonts w:eastAsia="Arial" w:cs="Arial"/>
          <w:sz w:val="22"/>
          <w:szCs w:val="22"/>
        </w:rPr>
        <w:t>almost double that amount</w:t>
      </w:r>
      <w:r w:rsidR="00614701">
        <w:rPr>
          <w:rFonts w:eastAsia="Arial" w:cs="Arial"/>
          <w:sz w:val="22"/>
          <w:szCs w:val="22"/>
        </w:rPr>
        <w:t>, not including</w:t>
      </w:r>
      <w:r w:rsidR="00050B3F">
        <w:rPr>
          <w:rFonts w:eastAsia="Arial" w:cs="Arial"/>
          <w:sz w:val="22"/>
          <w:szCs w:val="22"/>
        </w:rPr>
        <w:t xml:space="preserve"> the impact of finance leveraged off Defra’s investment.</w:t>
      </w:r>
    </w:p>
    <w:p w14:paraId="58D29F13" w14:textId="52F45FEA" w:rsidR="00C92FE8" w:rsidRDefault="00C735C0" w:rsidP="001736AD">
      <w:pPr>
        <w:spacing w:after="160" w:line="257" w:lineRule="auto"/>
        <w:jc w:val="both"/>
        <w:rPr>
          <w:rFonts w:eastAsia="Arial" w:cs="Arial"/>
          <w:sz w:val="22"/>
          <w:szCs w:val="22"/>
        </w:rPr>
      </w:pPr>
      <w:r>
        <w:rPr>
          <w:rFonts w:eastAsia="Arial" w:cs="Arial"/>
          <w:sz w:val="22"/>
          <w:szCs w:val="22"/>
        </w:rPr>
        <w:t>I</w:t>
      </w:r>
      <w:r w:rsidR="001736AD" w:rsidRPr="001736AD">
        <w:rPr>
          <w:rFonts w:eastAsia="Arial" w:cs="Arial"/>
          <w:sz w:val="22"/>
          <w:szCs w:val="22"/>
        </w:rPr>
        <w:t xml:space="preserve">t has </w:t>
      </w:r>
      <w:r>
        <w:rPr>
          <w:rFonts w:eastAsia="Arial" w:cs="Arial"/>
          <w:sz w:val="22"/>
          <w:szCs w:val="22"/>
        </w:rPr>
        <w:t xml:space="preserve">also separately </w:t>
      </w:r>
      <w:r w:rsidR="001736AD" w:rsidRPr="001736AD">
        <w:rPr>
          <w:rFonts w:eastAsia="Arial" w:cs="Arial"/>
          <w:sz w:val="22"/>
          <w:szCs w:val="22"/>
        </w:rPr>
        <w:t xml:space="preserve">been estimated </w:t>
      </w:r>
      <w:r>
        <w:rPr>
          <w:rFonts w:eastAsia="Arial" w:cs="Arial"/>
          <w:sz w:val="22"/>
          <w:szCs w:val="22"/>
        </w:rPr>
        <w:t>by FiM</w:t>
      </w:r>
      <w:r w:rsidR="007557CB">
        <w:rPr>
          <w:rFonts w:eastAsia="Arial" w:cs="Arial"/>
          <w:sz w:val="22"/>
          <w:szCs w:val="22"/>
        </w:rPr>
        <w:t xml:space="preserve"> that the Fund </w:t>
      </w:r>
      <w:r w:rsidR="00C4521F">
        <w:rPr>
          <w:rFonts w:eastAsia="Arial" w:cs="Arial"/>
          <w:sz w:val="22"/>
          <w:szCs w:val="22"/>
        </w:rPr>
        <w:t xml:space="preserve">overall </w:t>
      </w:r>
      <w:r w:rsidR="007557CB">
        <w:rPr>
          <w:rFonts w:eastAsia="Arial" w:cs="Arial"/>
          <w:sz w:val="22"/>
          <w:szCs w:val="22"/>
        </w:rPr>
        <w:t xml:space="preserve">has </w:t>
      </w:r>
      <w:r w:rsidR="00C4521F">
        <w:rPr>
          <w:rFonts w:eastAsia="Arial" w:cs="Arial"/>
          <w:sz w:val="22"/>
          <w:szCs w:val="22"/>
        </w:rPr>
        <w:t>provided $720</w:t>
      </w:r>
      <w:r w:rsidR="00756831">
        <w:rPr>
          <w:rFonts w:eastAsia="Arial" w:cs="Arial"/>
          <w:sz w:val="22"/>
          <w:szCs w:val="22"/>
        </w:rPr>
        <w:t xml:space="preserve"> million</w:t>
      </w:r>
      <w:r w:rsidR="00C4521F">
        <w:rPr>
          <w:rFonts w:eastAsia="Arial" w:cs="Arial"/>
          <w:sz w:val="22"/>
          <w:szCs w:val="22"/>
        </w:rPr>
        <w:t xml:space="preserve"> worth of </w:t>
      </w:r>
      <w:r w:rsidR="00C4521F" w:rsidRPr="001736AD">
        <w:rPr>
          <w:rFonts w:eastAsia="Arial" w:cs="Arial"/>
          <w:sz w:val="22"/>
          <w:szCs w:val="22"/>
        </w:rPr>
        <w:t xml:space="preserve">worth of ecosystem services </w:t>
      </w:r>
      <w:r w:rsidR="00C4521F">
        <w:rPr>
          <w:rFonts w:eastAsia="Arial" w:cs="Arial"/>
          <w:sz w:val="22"/>
          <w:szCs w:val="22"/>
        </w:rPr>
        <w:t>in the form of ‘hectares protected from deforestation’</w:t>
      </w:r>
      <w:r w:rsidR="00FF7569">
        <w:rPr>
          <w:rFonts w:eastAsia="Arial" w:cs="Arial"/>
          <w:sz w:val="22"/>
          <w:szCs w:val="22"/>
        </w:rPr>
        <w:t>,</w:t>
      </w:r>
      <w:r>
        <w:rPr>
          <w:rFonts w:eastAsia="Arial" w:cs="Arial"/>
          <w:sz w:val="22"/>
          <w:szCs w:val="22"/>
        </w:rPr>
        <w:t xml:space="preserve"> </w:t>
      </w:r>
      <w:r w:rsidR="006C21D9">
        <w:rPr>
          <w:rFonts w:eastAsia="Arial" w:cs="Arial"/>
          <w:sz w:val="22"/>
          <w:szCs w:val="22"/>
        </w:rPr>
        <w:t>suggesting that Defra’s investment has also created</w:t>
      </w:r>
      <w:r w:rsidR="001940CE">
        <w:rPr>
          <w:rFonts w:eastAsia="Arial" w:cs="Arial"/>
          <w:sz w:val="22"/>
          <w:szCs w:val="22"/>
        </w:rPr>
        <w:t xml:space="preserve"> ecosystem services worth more than the investment itself</w:t>
      </w:r>
      <w:r w:rsidR="001736AD" w:rsidRPr="001736AD">
        <w:rPr>
          <w:rFonts w:eastAsia="Arial" w:cs="Arial"/>
          <w:sz w:val="22"/>
          <w:szCs w:val="22"/>
        </w:rPr>
        <w:t>.</w:t>
      </w:r>
    </w:p>
    <w:p w14:paraId="181108DD" w14:textId="5CD87C16" w:rsidR="00F20A87" w:rsidRPr="00A54B18" w:rsidRDefault="001736AD" w:rsidP="001736AD">
      <w:pPr>
        <w:spacing w:after="160" w:line="257" w:lineRule="auto"/>
        <w:jc w:val="both"/>
        <w:rPr>
          <w:rFonts w:eastAsia="Arial" w:cs="Arial"/>
          <w:sz w:val="22"/>
          <w:szCs w:val="22"/>
        </w:rPr>
      </w:pPr>
      <w:r w:rsidRPr="001736AD">
        <w:rPr>
          <w:rFonts w:eastAsia="Arial" w:cs="Arial"/>
          <w:sz w:val="22"/>
          <w:szCs w:val="22"/>
        </w:rPr>
        <w:t xml:space="preserve">The impact indicators currently suggest that transformational change is likely to occur. Impact indicator 4, which looks at the extent to which ICF intervention is likely to lead to Transformational Change (KPI 15) has a score of </w:t>
      </w:r>
      <w:r w:rsidR="003E002F">
        <w:rPr>
          <w:rFonts w:eastAsia="Arial" w:cs="Arial"/>
          <w:sz w:val="22"/>
          <w:szCs w:val="22"/>
        </w:rPr>
        <w:t>4</w:t>
      </w:r>
      <w:r w:rsidRPr="001736AD">
        <w:rPr>
          <w:rFonts w:eastAsia="Arial" w:cs="Arial"/>
          <w:sz w:val="22"/>
          <w:szCs w:val="22"/>
        </w:rPr>
        <w:t>, showing there is partial evidence to suggest transformational change is likely to occur.</w:t>
      </w:r>
      <w:r w:rsidR="008F115A">
        <w:rPr>
          <w:rFonts w:eastAsia="Arial" w:cs="Arial"/>
          <w:sz w:val="22"/>
          <w:szCs w:val="22"/>
        </w:rPr>
        <w:t xml:space="preserve"> </w:t>
      </w:r>
      <w:r w:rsidRPr="001736AD">
        <w:rPr>
          <w:rFonts w:eastAsia="Arial" w:cs="Arial"/>
          <w:sz w:val="22"/>
          <w:szCs w:val="22"/>
        </w:rPr>
        <w:t>Furthermore, impact indicator 3 shows that 28 FIs within Latin America are using the lessons learned approach from EBF, showing continued development across FIs arising from the programme.</w:t>
      </w:r>
    </w:p>
    <w:p w14:paraId="426C71D0" w14:textId="367A6D52" w:rsidR="00F20A87" w:rsidRPr="00A54B18" w:rsidRDefault="00176383" w:rsidP="07FC4C9B">
      <w:pPr>
        <w:spacing w:after="160" w:line="257" w:lineRule="auto"/>
        <w:jc w:val="both"/>
      </w:pPr>
      <w:r>
        <w:rPr>
          <w:rFonts w:eastAsia="Arial" w:cs="Arial"/>
          <w:b/>
          <w:bCs/>
          <w:sz w:val="22"/>
          <w:szCs w:val="22"/>
        </w:rPr>
        <w:t>Value for money summary</w:t>
      </w:r>
    </w:p>
    <w:p w14:paraId="1893A518" w14:textId="77777777" w:rsidR="00315E55" w:rsidRDefault="009D4538" w:rsidP="07FC4C9B">
      <w:pPr>
        <w:spacing w:after="160" w:line="257" w:lineRule="auto"/>
        <w:jc w:val="both"/>
        <w:rPr>
          <w:rFonts w:eastAsia="Arial" w:cs="Arial"/>
          <w:sz w:val="22"/>
          <w:szCs w:val="22"/>
        </w:rPr>
      </w:pPr>
      <w:r w:rsidRPr="009D4538">
        <w:rPr>
          <w:rFonts w:eastAsia="Arial" w:cs="Arial"/>
          <w:sz w:val="22"/>
          <w:szCs w:val="22"/>
        </w:rPr>
        <w:lastRenderedPageBreak/>
        <w:t xml:space="preserve">Overall, the assessment </w:t>
      </w:r>
      <w:r w:rsidR="00315E55" w:rsidRPr="00315E55">
        <w:rPr>
          <w:rFonts w:eastAsia="Arial" w:cs="Arial"/>
          <w:sz w:val="22"/>
          <w:szCs w:val="22"/>
        </w:rPr>
        <w:t xml:space="preserve">there is no evidence that the economic arguments for funding </w:t>
      </w:r>
      <w:r w:rsidR="00315E55">
        <w:rPr>
          <w:rFonts w:eastAsia="Arial" w:cs="Arial"/>
          <w:sz w:val="22"/>
          <w:szCs w:val="22"/>
        </w:rPr>
        <w:t xml:space="preserve">EBF </w:t>
      </w:r>
      <w:r w:rsidR="00315E55" w:rsidRPr="00315E55">
        <w:rPr>
          <w:rFonts w:eastAsia="Arial" w:cs="Arial"/>
          <w:sz w:val="22"/>
          <w:szCs w:val="22"/>
        </w:rPr>
        <w:t xml:space="preserve">have changed significantly since Business Case approval, with current results indicating that Defra’s funding of </w:t>
      </w:r>
      <w:r w:rsidR="00315E55">
        <w:rPr>
          <w:rFonts w:eastAsia="Arial" w:cs="Arial"/>
          <w:sz w:val="22"/>
          <w:szCs w:val="22"/>
        </w:rPr>
        <w:t xml:space="preserve">EBF </w:t>
      </w:r>
      <w:r w:rsidR="00315E55" w:rsidRPr="00315E55">
        <w:rPr>
          <w:rFonts w:eastAsia="Arial" w:cs="Arial"/>
          <w:sz w:val="22"/>
          <w:szCs w:val="22"/>
        </w:rPr>
        <w:t>represents value for money.</w:t>
      </w:r>
    </w:p>
    <w:p w14:paraId="429B1D9F" w14:textId="77777777" w:rsidR="00315E55" w:rsidRDefault="009D4538" w:rsidP="07FC4C9B">
      <w:pPr>
        <w:spacing w:after="160" w:line="257" w:lineRule="auto"/>
        <w:jc w:val="both"/>
        <w:rPr>
          <w:rFonts w:eastAsia="Arial" w:cs="Arial"/>
          <w:sz w:val="22"/>
          <w:szCs w:val="22"/>
        </w:rPr>
      </w:pPr>
      <w:r w:rsidRPr="009D4538">
        <w:rPr>
          <w:rFonts w:eastAsia="Arial" w:cs="Arial"/>
          <w:sz w:val="22"/>
          <w:szCs w:val="22"/>
        </w:rPr>
        <w:t xml:space="preserve">Every output indicator is either meeting or exceeding its target, which is helping to progress the outcome indicators. In addition, the ratio of private finance leverage continues to increase, showing growing confidence amongst private investors. The impact indicators highlight that partial evidence towards transformational change is being demonstrated, which is evidenced through the level of funding to businesses and the increasing number of FIs using the lessons learned approach. </w:t>
      </w:r>
    </w:p>
    <w:p w14:paraId="112B9C6C" w14:textId="73313A6B" w:rsidR="00F20A87" w:rsidRPr="00A54B18" w:rsidRDefault="2EE66EDC" w:rsidP="07FC4C9B">
      <w:pPr>
        <w:spacing w:after="160" w:line="257" w:lineRule="auto"/>
        <w:jc w:val="both"/>
      </w:pPr>
      <w:r w:rsidRPr="07FC4C9B">
        <w:rPr>
          <w:rFonts w:eastAsia="Arial" w:cs="Arial"/>
          <w:sz w:val="22"/>
          <w:szCs w:val="22"/>
        </w:rPr>
        <w:t xml:space="preserve">However, whilst there have been small increases in the number of women working at board level at PIs, improvements need to be made at increasing the overall number of women working at a senior level as the results fall below that of the 2X initiative target. </w:t>
      </w:r>
    </w:p>
    <w:p w14:paraId="6DBC0BEC" w14:textId="1119EC52" w:rsidR="24BFDD0D" w:rsidRPr="00A54B18" w:rsidRDefault="3D379609" w:rsidP="005E557A">
      <w:pPr>
        <w:pStyle w:val="Normal1"/>
        <w:jc w:val="both"/>
        <w:rPr>
          <w:sz w:val="22"/>
          <w:szCs w:val="22"/>
        </w:rPr>
      </w:pPr>
      <w:r w:rsidRPr="00A54B18">
        <w:rPr>
          <w:b/>
          <w:bCs/>
          <w:sz w:val="22"/>
          <w:szCs w:val="22"/>
        </w:rPr>
        <w:t>Reporting and monitoring:</w:t>
      </w:r>
    </w:p>
    <w:p w14:paraId="168A203A" w14:textId="1B133DE0" w:rsidR="19A372B6" w:rsidRPr="00A54B18" w:rsidRDefault="19A372B6" w:rsidP="005E557A">
      <w:pPr>
        <w:jc w:val="both"/>
        <w:rPr>
          <w:rFonts w:eastAsia="Arial" w:cs="Arial"/>
          <w:color w:val="000000" w:themeColor="text1"/>
          <w:sz w:val="22"/>
          <w:szCs w:val="22"/>
        </w:rPr>
      </w:pPr>
    </w:p>
    <w:p w14:paraId="09295120" w14:textId="4D435078" w:rsidR="24BFDD0D" w:rsidRPr="006B4633" w:rsidRDefault="2135113D" w:rsidP="005E557A">
      <w:pPr>
        <w:pStyle w:val="Normal1"/>
        <w:jc w:val="both"/>
        <w:rPr>
          <w:sz w:val="22"/>
          <w:szCs w:val="22"/>
        </w:rPr>
      </w:pPr>
      <w:r w:rsidRPr="4BD2A488">
        <w:rPr>
          <w:sz w:val="22"/>
          <w:szCs w:val="22"/>
        </w:rPr>
        <w:t>Throughout 202</w:t>
      </w:r>
      <w:r w:rsidR="32C4B128" w:rsidRPr="4BD2A488">
        <w:rPr>
          <w:sz w:val="22"/>
          <w:szCs w:val="22"/>
        </w:rPr>
        <w:t>3</w:t>
      </w:r>
      <w:r w:rsidR="7BE2A583" w:rsidRPr="4BD2A488">
        <w:rPr>
          <w:sz w:val="22"/>
          <w:szCs w:val="22"/>
        </w:rPr>
        <w:t>,</w:t>
      </w:r>
      <w:r w:rsidRPr="4BD2A488">
        <w:rPr>
          <w:sz w:val="22"/>
          <w:szCs w:val="22"/>
        </w:rPr>
        <w:t xml:space="preserve"> reporting timeliness and quality of reporting has been consistently good. Quarterly reports are sent to shareholders within </w:t>
      </w:r>
      <w:r w:rsidR="59624B62" w:rsidRPr="4BD2A488">
        <w:rPr>
          <w:sz w:val="22"/>
          <w:szCs w:val="22"/>
        </w:rPr>
        <w:t>three</w:t>
      </w:r>
      <w:r w:rsidRPr="4BD2A488">
        <w:rPr>
          <w:sz w:val="22"/>
          <w:szCs w:val="22"/>
        </w:rPr>
        <w:t xml:space="preserve"> months of the quarter finishing, and the audited annual statement was provided within </w:t>
      </w:r>
      <w:r w:rsidR="59624B62" w:rsidRPr="4BD2A488">
        <w:rPr>
          <w:sz w:val="22"/>
          <w:szCs w:val="22"/>
        </w:rPr>
        <w:t>four</w:t>
      </w:r>
      <w:r w:rsidRPr="4BD2A488">
        <w:rPr>
          <w:sz w:val="22"/>
          <w:szCs w:val="22"/>
        </w:rPr>
        <w:t xml:space="preserve"> months of the end of the year. The </w:t>
      </w:r>
      <w:r w:rsidR="23EC965E" w:rsidRPr="4BD2A488">
        <w:rPr>
          <w:sz w:val="22"/>
          <w:szCs w:val="22"/>
        </w:rPr>
        <w:t>F</w:t>
      </w:r>
      <w:r w:rsidRPr="4BD2A488">
        <w:rPr>
          <w:sz w:val="22"/>
          <w:szCs w:val="22"/>
        </w:rPr>
        <w:t>und also produce</w:t>
      </w:r>
      <w:r w:rsidR="04A08D8F" w:rsidRPr="4BD2A488">
        <w:rPr>
          <w:sz w:val="22"/>
          <w:szCs w:val="22"/>
        </w:rPr>
        <w:t>d</w:t>
      </w:r>
      <w:r w:rsidRPr="4BD2A488">
        <w:rPr>
          <w:sz w:val="22"/>
          <w:szCs w:val="22"/>
        </w:rPr>
        <w:t xml:space="preserve"> an annual impact report. Defra is an observer on the Board of Directors and DF Committee. Meetings of the board take place every quarter</w:t>
      </w:r>
      <w:r w:rsidR="04A08D8F" w:rsidRPr="4BD2A488">
        <w:rPr>
          <w:sz w:val="22"/>
          <w:szCs w:val="22"/>
        </w:rPr>
        <w:t xml:space="preserve">, as do </w:t>
      </w:r>
      <w:r w:rsidRPr="4BD2A488">
        <w:rPr>
          <w:sz w:val="22"/>
          <w:szCs w:val="22"/>
        </w:rPr>
        <w:t>DF Committee meetings</w:t>
      </w:r>
      <w:r w:rsidR="78B3D672" w:rsidRPr="4BD2A488">
        <w:rPr>
          <w:color w:val="auto"/>
          <w:sz w:val="22"/>
          <w:szCs w:val="22"/>
        </w:rPr>
        <w:t>.</w:t>
      </w:r>
      <w:r w:rsidRPr="4BD2A488">
        <w:rPr>
          <w:sz w:val="22"/>
          <w:szCs w:val="22"/>
        </w:rPr>
        <w:t xml:space="preserve"> </w:t>
      </w:r>
    </w:p>
    <w:p w14:paraId="00909789" w14:textId="7956E221" w:rsidR="19A372B6" w:rsidRPr="006B4633" w:rsidRDefault="19A372B6" w:rsidP="005E557A">
      <w:pPr>
        <w:jc w:val="both"/>
        <w:rPr>
          <w:rFonts w:eastAsia="Arial" w:cs="Arial"/>
          <w:color w:val="000000" w:themeColor="text1"/>
        </w:rPr>
      </w:pPr>
    </w:p>
    <w:p w14:paraId="4B82DE91" w14:textId="5A1CD469" w:rsidR="24BFDD0D" w:rsidRPr="00A54B18" w:rsidRDefault="2135113D" w:rsidP="005E557A">
      <w:pPr>
        <w:jc w:val="both"/>
        <w:rPr>
          <w:rFonts w:eastAsia="Arial" w:cs="Arial"/>
          <w:color w:val="000000" w:themeColor="text1"/>
          <w:sz w:val="22"/>
          <w:szCs w:val="22"/>
        </w:rPr>
      </w:pPr>
      <w:r w:rsidRPr="07FC4C9B">
        <w:rPr>
          <w:rFonts w:eastAsia="Arial" w:cs="Arial"/>
          <w:color w:val="000000" w:themeColor="text1"/>
          <w:sz w:val="22"/>
          <w:szCs w:val="22"/>
        </w:rPr>
        <w:t>The EBF’s continuous monitoring approach consists of the following activities:</w:t>
      </w:r>
    </w:p>
    <w:p w14:paraId="506E4F54" w14:textId="0A3F1754" w:rsidR="19A372B6" w:rsidRPr="00A54B18" w:rsidRDefault="19A372B6" w:rsidP="005E557A">
      <w:pPr>
        <w:jc w:val="both"/>
        <w:rPr>
          <w:rFonts w:eastAsia="Arial" w:cs="Arial"/>
          <w:color w:val="000000" w:themeColor="text1"/>
        </w:rPr>
      </w:pPr>
    </w:p>
    <w:p w14:paraId="5BF3B05B" w14:textId="51DED3F5" w:rsidR="24BFDD0D" w:rsidRPr="00A54B18" w:rsidRDefault="3D379609" w:rsidP="00674C5F">
      <w:pPr>
        <w:pStyle w:val="ListParagraph"/>
        <w:numPr>
          <w:ilvl w:val="0"/>
          <w:numId w:val="4"/>
        </w:numPr>
        <w:contextualSpacing w:val="0"/>
        <w:jc w:val="both"/>
        <w:rPr>
          <w:rFonts w:eastAsia="Arial" w:cs="Arial"/>
          <w:color w:val="000000" w:themeColor="text1"/>
          <w:sz w:val="22"/>
          <w:szCs w:val="22"/>
        </w:rPr>
      </w:pPr>
      <w:r w:rsidRPr="00A54B18">
        <w:rPr>
          <w:rFonts w:eastAsia="Arial" w:cs="Arial"/>
          <w:color w:val="000000" w:themeColor="text1"/>
          <w:sz w:val="22"/>
          <w:szCs w:val="22"/>
        </w:rPr>
        <w:t xml:space="preserve">Credit monitoring / monitoring of financial performance of investees </w:t>
      </w:r>
    </w:p>
    <w:p w14:paraId="41AE4ED7" w14:textId="6501967F" w:rsidR="24BFDD0D" w:rsidRPr="006B4633" w:rsidRDefault="3D379609" w:rsidP="005E557A">
      <w:pPr>
        <w:jc w:val="both"/>
        <w:rPr>
          <w:rFonts w:eastAsia="Arial" w:cs="Arial"/>
          <w:color w:val="000000" w:themeColor="text1"/>
          <w:sz w:val="22"/>
          <w:szCs w:val="22"/>
        </w:rPr>
      </w:pPr>
      <w:r w:rsidRPr="74EDC94A">
        <w:rPr>
          <w:rFonts w:eastAsia="Arial" w:cs="Arial"/>
          <w:color w:val="000000" w:themeColor="text1"/>
          <w:sz w:val="22"/>
          <w:szCs w:val="22"/>
        </w:rPr>
        <w:t>In 202</w:t>
      </w:r>
      <w:r w:rsidR="00B16AE1" w:rsidRPr="74EDC94A">
        <w:rPr>
          <w:rFonts w:eastAsia="Arial" w:cs="Arial"/>
          <w:color w:val="000000" w:themeColor="text1"/>
          <w:sz w:val="22"/>
          <w:szCs w:val="22"/>
        </w:rPr>
        <w:t>3</w:t>
      </w:r>
      <w:r w:rsidRPr="74EDC94A">
        <w:rPr>
          <w:rFonts w:eastAsia="Arial" w:cs="Arial"/>
          <w:color w:val="000000" w:themeColor="text1"/>
          <w:sz w:val="22"/>
          <w:szCs w:val="22"/>
        </w:rPr>
        <w:t>, the Fund Advis</w:t>
      </w:r>
      <w:r w:rsidR="7BF25C10" w:rsidRPr="74EDC94A">
        <w:rPr>
          <w:rFonts w:eastAsia="Arial" w:cs="Arial"/>
          <w:color w:val="000000" w:themeColor="text1"/>
          <w:sz w:val="22"/>
          <w:szCs w:val="22"/>
        </w:rPr>
        <w:t>e</w:t>
      </w:r>
      <w:r w:rsidRPr="74EDC94A">
        <w:rPr>
          <w:rFonts w:eastAsia="Arial" w:cs="Arial"/>
          <w:color w:val="000000" w:themeColor="text1"/>
          <w:sz w:val="22"/>
          <w:szCs w:val="22"/>
        </w:rPr>
        <w:t>r followed its traditional credit monitoring approach consisting of quarterly risk reviews that are presented to the Rating Committee. The reviews were conducted for each PI and include a general review of performance in the recent quarter, spotting of trends, covenant monitoring and adjustment of ratings if necessary.</w:t>
      </w:r>
    </w:p>
    <w:p w14:paraId="7AB9F59D" w14:textId="78AA0853" w:rsidR="19A372B6" w:rsidRPr="006B4633" w:rsidRDefault="19A372B6" w:rsidP="005E557A">
      <w:pPr>
        <w:jc w:val="both"/>
        <w:rPr>
          <w:rFonts w:eastAsia="Arial" w:cs="Arial"/>
          <w:color w:val="000000" w:themeColor="text1"/>
        </w:rPr>
      </w:pPr>
    </w:p>
    <w:p w14:paraId="01342FD1" w14:textId="48C90A3D" w:rsidR="24BFDD0D" w:rsidRPr="006B4633" w:rsidRDefault="3D379609" w:rsidP="00674C5F">
      <w:pPr>
        <w:pStyle w:val="ListParagraph"/>
        <w:numPr>
          <w:ilvl w:val="0"/>
          <w:numId w:val="4"/>
        </w:numPr>
        <w:contextualSpacing w:val="0"/>
        <w:jc w:val="both"/>
        <w:rPr>
          <w:rFonts w:eastAsia="Arial" w:cs="Arial"/>
          <w:color w:val="000000" w:themeColor="text1"/>
          <w:sz w:val="22"/>
          <w:szCs w:val="22"/>
        </w:rPr>
      </w:pPr>
      <w:r w:rsidRPr="006B4633">
        <w:rPr>
          <w:rFonts w:eastAsia="Arial" w:cs="Arial"/>
          <w:color w:val="000000" w:themeColor="text1"/>
          <w:sz w:val="22"/>
          <w:szCs w:val="22"/>
        </w:rPr>
        <w:t xml:space="preserve">Monitoring of the use of proceeds (sub-loan monitoring) </w:t>
      </w:r>
    </w:p>
    <w:p w14:paraId="0C1BDF49" w14:textId="71569C0B" w:rsidR="24BFDD0D" w:rsidRPr="006B4633" w:rsidRDefault="3D379609" w:rsidP="005E557A">
      <w:pPr>
        <w:jc w:val="both"/>
        <w:rPr>
          <w:rFonts w:eastAsia="Arial" w:cs="Arial"/>
          <w:color w:val="000000" w:themeColor="text1"/>
          <w:sz w:val="22"/>
          <w:szCs w:val="22"/>
        </w:rPr>
      </w:pPr>
      <w:r w:rsidRPr="74EDC94A">
        <w:rPr>
          <w:rFonts w:eastAsia="Arial" w:cs="Arial"/>
          <w:color w:val="000000" w:themeColor="text1"/>
          <w:sz w:val="22"/>
          <w:szCs w:val="22"/>
        </w:rPr>
        <w:t>PIs are required to report to the Fund Advis</w:t>
      </w:r>
      <w:r w:rsidR="2EA24C71" w:rsidRPr="74EDC94A">
        <w:rPr>
          <w:rFonts w:eastAsia="Arial" w:cs="Arial"/>
          <w:color w:val="000000" w:themeColor="text1"/>
          <w:sz w:val="22"/>
          <w:szCs w:val="22"/>
        </w:rPr>
        <w:t>e</w:t>
      </w:r>
      <w:r w:rsidRPr="74EDC94A">
        <w:rPr>
          <w:rFonts w:eastAsia="Arial" w:cs="Arial"/>
          <w:color w:val="000000" w:themeColor="text1"/>
          <w:sz w:val="22"/>
          <w:szCs w:val="22"/>
        </w:rPr>
        <w:t xml:space="preserve">r on the use of </w:t>
      </w:r>
      <w:r w:rsidR="00081B6B" w:rsidRPr="74EDC94A">
        <w:rPr>
          <w:rFonts w:eastAsia="Arial" w:cs="Arial"/>
          <w:color w:val="000000" w:themeColor="text1"/>
          <w:sz w:val="22"/>
          <w:szCs w:val="22"/>
        </w:rPr>
        <w:t>f</w:t>
      </w:r>
      <w:r w:rsidRPr="74EDC94A">
        <w:rPr>
          <w:rFonts w:eastAsia="Arial" w:cs="Arial"/>
          <w:color w:val="000000" w:themeColor="text1"/>
          <w:sz w:val="22"/>
          <w:szCs w:val="22"/>
        </w:rPr>
        <w:t xml:space="preserve">unds on a </w:t>
      </w:r>
      <w:r w:rsidR="00751DEE" w:rsidRPr="74EDC94A">
        <w:rPr>
          <w:rFonts w:eastAsia="Arial" w:cs="Arial"/>
          <w:color w:val="000000" w:themeColor="text1"/>
          <w:sz w:val="22"/>
          <w:szCs w:val="22"/>
        </w:rPr>
        <w:t>bi</w:t>
      </w:r>
      <w:r w:rsidRPr="74EDC94A">
        <w:rPr>
          <w:rFonts w:eastAsia="Arial" w:cs="Arial"/>
          <w:color w:val="000000" w:themeColor="text1"/>
          <w:sz w:val="22"/>
          <w:szCs w:val="22"/>
        </w:rPr>
        <w:t>-annual basis. The Fund Advis</w:t>
      </w:r>
      <w:r w:rsidR="3DA3ADD8" w:rsidRPr="74EDC94A">
        <w:rPr>
          <w:rFonts w:eastAsia="Arial" w:cs="Arial"/>
          <w:color w:val="000000" w:themeColor="text1"/>
          <w:sz w:val="22"/>
          <w:szCs w:val="22"/>
        </w:rPr>
        <w:t>e</w:t>
      </w:r>
      <w:r w:rsidRPr="74EDC94A">
        <w:rPr>
          <w:rFonts w:eastAsia="Arial" w:cs="Arial"/>
          <w:color w:val="000000" w:themeColor="text1"/>
          <w:sz w:val="22"/>
          <w:szCs w:val="22"/>
        </w:rPr>
        <w:t xml:space="preserve">r </w:t>
      </w:r>
      <w:r w:rsidR="00910CCB" w:rsidRPr="74EDC94A">
        <w:rPr>
          <w:rFonts w:eastAsia="Arial" w:cs="Arial"/>
          <w:color w:val="000000" w:themeColor="text1"/>
          <w:sz w:val="22"/>
          <w:szCs w:val="22"/>
        </w:rPr>
        <w:t>checks</w:t>
      </w:r>
      <w:r w:rsidRPr="74EDC94A">
        <w:rPr>
          <w:rFonts w:eastAsia="Arial" w:cs="Arial"/>
          <w:color w:val="000000" w:themeColor="text1"/>
          <w:sz w:val="22"/>
          <w:szCs w:val="22"/>
        </w:rPr>
        <w:t xml:space="preserve"> that its resources are used in the eligible sectors following the respective criteria and whether the </w:t>
      </w:r>
      <w:r w:rsidR="00910CCB" w:rsidRPr="74EDC94A">
        <w:rPr>
          <w:rFonts w:eastAsia="Arial" w:cs="Arial"/>
          <w:color w:val="000000" w:themeColor="text1"/>
          <w:sz w:val="22"/>
          <w:szCs w:val="22"/>
        </w:rPr>
        <w:t xml:space="preserve">PIs </w:t>
      </w:r>
      <w:r w:rsidRPr="74EDC94A">
        <w:rPr>
          <w:rFonts w:eastAsia="Arial" w:cs="Arial"/>
          <w:color w:val="000000" w:themeColor="text1"/>
          <w:sz w:val="22"/>
          <w:szCs w:val="22"/>
        </w:rPr>
        <w:t xml:space="preserve">abide by the minimum required on-lending rate. </w:t>
      </w:r>
      <w:r w:rsidR="00910CCB" w:rsidRPr="74EDC94A">
        <w:rPr>
          <w:rFonts w:eastAsia="Arial" w:cs="Arial"/>
          <w:color w:val="000000" w:themeColor="text1"/>
          <w:sz w:val="22"/>
          <w:szCs w:val="22"/>
        </w:rPr>
        <w:t xml:space="preserve">PIs </w:t>
      </w:r>
      <w:r w:rsidRPr="74EDC94A">
        <w:rPr>
          <w:rFonts w:eastAsia="Arial" w:cs="Arial"/>
          <w:color w:val="000000" w:themeColor="text1"/>
          <w:sz w:val="22"/>
          <w:szCs w:val="22"/>
        </w:rPr>
        <w:t>report loan-by-loan on a specified set of information (such as loan amounts, target sector, financed activities, loan type, and sustainability standard and farm or business size) on an anonymous basis (no obligation to report names of sub-borrowers).</w:t>
      </w:r>
    </w:p>
    <w:p w14:paraId="3AA294C1" w14:textId="02E9B6AF" w:rsidR="24BFDD0D" w:rsidRPr="006B4633" w:rsidRDefault="24BFDD0D" w:rsidP="005E557A">
      <w:pPr>
        <w:jc w:val="both"/>
        <w:rPr>
          <w:rFonts w:eastAsia="Arial" w:cs="Arial"/>
          <w:color w:val="000000" w:themeColor="text1"/>
          <w:sz w:val="22"/>
          <w:szCs w:val="22"/>
        </w:rPr>
      </w:pPr>
    </w:p>
    <w:p w14:paraId="743BD0D3" w14:textId="57B88342" w:rsidR="24BFDD0D" w:rsidRPr="006B4633" w:rsidRDefault="3D379609" w:rsidP="00674C5F">
      <w:pPr>
        <w:pStyle w:val="ListParagraph"/>
        <w:numPr>
          <w:ilvl w:val="0"/>
          <w:numId w:val="4"/>
        </w:numPr>
        <w:contextualSpacing w:val="0"/>
        <w:jc w:val="both"/>
        <w:rPr>
          <w:rFonts w:eastAsia="Arial" w:cs="Arial"/>
          <w:color w:val="000000" w:themeColor="text1"/>
          <w:sz w:val="22"/>
          <w:szCs w:val="22"/>
        </w:rPr>
      </w:pPr>
      <w:r w:rsidRPr="006B4633">
        <w:rPr>
          <w:rFonts w:eastAsia="Arial" w:cs="Arial"/>
          <w:color w:val="000000" w:themeColor="text1"/>
          <w:sz w:val="22"/>
          <w:szCs w:val="22"/>
        </w:rPr>
        <w:t xml:space="preserve">Monitoring through relationship management (visits, meetings) </w:t>
      </w:r>
    </w:p>
    <w:p w14:paraId="4DAC1688" w14:textId="47549451" w:rsidR="00105347" w:rsidRPr="007F174A" w:rsidRDefault="2135113D" w:rsidP="007F174A">
      <w:pPr>
        <w:jc w:val="both"/>
        <w:rPr>
          <w:rFonts w:eastAsia="Arial" w:cs="Arial"/>
          <w:color w:val="000000" w:themeColor="text1"/>
          <w:sz w:val="22"/>
          <w:szCs w:val="22"/>
        </w:rPr>
      </w:pPr>
      <w:r w:rsidRPr="07FC4C9B">
        <w:rPr>
          <w:rFonts w:eastAsia="Arial" w:cs="Arial"/>
          <w:color w:val="000000" w:themeColor="text1"/>
          <w:sz w:val="22"/>
          <w:szCs w:val="22"/>
        </w:rPr>
        <w:t xml:space="preserve">As part of ensuring that its Funds are used according to its eligibility criteria, the Fund carries out regular visits to its </w:t>
      </w:r>
      <w:r w:rsidR="04A08D8F" w:rsidRPr="07FC4C9B">
        <w:rPr>
          <w:rFonts w:eastAsia="Arial" w:cs="Arial"/>
          <w:color w:val="000000" w:themeColor="text1"/>
          <w:sz w:val="22"/>
          <w:szCs w:val="22"/>
        </w:rPr>
        <w:t xml:space="preserve">PIs and </w:t>
      </w:r>
      <w:r w:rsidRPr="07FC4C9B">
        <w:rPr>
          <w:rFonts w:eastAsia="Arial" w:cs="Arial"/>
          <w:color w:val="000000" w:themeColor="text1"/>
          <w:sz w:val="22"/>
          <w:szCs w:val="22"/>
        </w:rPr>
        <w:t>sub-borrowers.</w:t>
      </w:r>
    </w:p>
    <w:sectPr w:rsidR="00105347" w:rsidRPr="007F174A" w:rsidSect="007A43F7">
      <w:pgSz w:w="11906" w:h="16838" w:code="9"/>
      <w:pgMar w:top="709" w:right="1440" w:bottom="709"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36041" w14:textId="77777777" w:rsidR="00416D64" w:rsidRDefault="00416D64" w:rsidP="006E5785">
      <w:r>
        <w:separator/>
      </w:r>
    </w:p>
  </w:endnote>
  <w:endnote w:type="continuationSeparator" w:id="0">
    <w:p w14:paraId="69F51BC2" w14:textId="77777777" w:rsidR="00416D64" w:rsidRDefault="00416D64" w:rsidP="006E5785">
      <w:r>
        <w:continuationSeparator/>
      </w:r>
    </w:p>
  </w:endnote>
  <w:endnote w:type="continuationNotice" w:id="1">
    <w:p w14:paraId="02EFC839" w14:textId="77777777" w:rsidR="00416D64" w:rsidRDefault="00416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323339"/>
      <w:docPartObj>
        <w:docPartGallery w:val="Page Numbers (Bottom of Page)"/>
        <w:docPartUnique/>
      </w:docPartObj>
    </w:sdtPr>
    <w:sdtEndPr>
      <w:rPr>
        <w:noProof/>
      </w:rPr>
    </w:sdtEndPr>
    <w:sdtContent>
      <w:p w14:paraId="6C5B066D" w14:textId="4D383F3E" w:rsidR="00744E7D" w:rsidRDefault="00744E7D">
        <w:pPr>
          <w:pStyle w:val="Footer"/>
          <w:jc w:val="right"/>
        </w:pPr>
        <w:r w:rsidRPr="00744E7D">
          <w:rPr>
            <w:sz w:val="20"/>
            <w:szCs w:val="20"/>
          </w:rPr>
          <w:fldChar w:fldCharType="begin"/>
        </w:r>
        <w:r w:rsidRPr="00744E7D">
          <w:rPr>
            <w:sz w:val="20"/>
            <w:szCs w:val="20"/>
          </w:rPr>
          <w:instrText xml:space="preserve"> PAGE   \* MERGEFORMAT </w:instrText>
        </w:r>
        <w:r w:rsidRPr="00744E7D">
          <w:rPr>
            <w:sz w:val="20"/>
            <w:szCs w:val="20"/>
          </w:rPr>
          <w:fldChar w:fldCharType="separate"/>
        </w:r>
        <w:r w:rsidRPr="00744E7D">
          <w:rPr>
            <w:noProof/>
            <w:sz w:val="20"/>
            <w:szCs w:val="20"/>
          </w:rPr>
          <w:t>2</w:t>
        </w:r>
        <w:r w:rsidRPr="00744E7D">
          <w:rPr>
            <w:noProof/>
            <w:sz w:val="20"/>
            <w:szCs w:val="20"/>
          </w:rPr>
          <w:fldChar w:fldCharType="end"/>
        </w:r>
      </w:p>
    </w:sdtContent>
  </w:sdt>
  <w:p w14:paraId="581FBA79" w14:textId="77777777" w:rsidR="00744E7D" w:rsidRDefault="00744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DA211" w14:textId="77777777" w:rsidR="00416D64" w:rsidRDefault="00416D64" w:rsidP="006E5785">
      <w:r>
        <w:separator/>
      </w:r>
    </w:p>
  </w:footnote>
  <w:footnote w:type="continuationSeparator" w:id="0">
    <w:p w14:paraId="637D2466" w14:textId="77777777" w:rsidR="00416D64" w:rsidRDefault="00416D64" w:rsidP="006E5785">
      <w:r>
        <w:continuationSeparator/>
      </w:r>
    </w:p>
  </w:footnote>
  <w:footnote w:type="continuationNotice" w:id="1">
    <w:p w14:paraId="009EA5F8" w14:textId="77777777" w:rsidR="00416D64" w:rsidRDefault="00416D64"/>
  </w:footnote>
  <w:footnote w:id="2">
    <w:p w14:paraId="04E277D0" w14:textId="4A2E2177" w:rsidR="00727626" w:rsidRDefault="00727626">
      <w:pPr>
        <w:pStyle w:val="FootnoteText"/>
      </w:pPr>
      <w:r w:rsidRPr="00CF04C9">
        <w:rPr>
          <w:rStyle w:val="FootnoteReference"/>
          <w:color w:val="FF0000"/>
        </w:rPr>
        <w:footnoteRef/>
      </w:r>
      <w:r>
        <w:t xml:space="preserve"> </w:t>
      </w:r>
      <w:r w:rsidR="00B370C5">
        <w:t>Reflecting a new</w:t>
      </w:r>
      <w:r w:rsidR="00F30C24">
        <w:t>,</w:t>
      </w:r>
      <w:r w:rsidR="00B370C5">
        <w:t xml:space="preserve"> more challenging set of milestones, as </w:t>
      </w:r>
      <w:r w:rsidR="00907EE1">
        <w:t>described</w:t>
      </w:r>
      <w:r w:rsidR="00B370C5">
        <w:t xml:space="preserve"> in the ‘Summary supporting narrative’</w:t>
      </w:r>
      <w:r w:rsidR="00CF04C9">
        <w:t>.</w:t>
      </w:r>
    </w:p>
  </w:footnote>
  <w:footnote w:id="3">
    <w:p w14:paraId="00E8C742" w14:textId="77777777" w:rsidR="00C708C3" w:rsidRDefault="00C708C3" w:rsidP="00C708C3">
      <w:pPr>
        <w:spacing w:after="120"/>
        <w:jc w:val="both"/>
      </w:pPr>
      <w:r>
        <w:rPr>
          <w:rStyle w:val="FootnoteReference"/>
        </w:rPr>
        <w:footnoteRef/>
      </w:r>
      <w:r>
        <w:t xml:space="preserve"> </w:t>
      </w:r>
      <w:r w:rsidRPr="00A27181">
        <w:rPr>
          <w:i/>
          <w:iCs/>
        </w:rPr>
        <w:t>N</w:t>
      </w:r>
      <w:r w:rsidRPr="428F1934">
        <w:rPr>
          <w:rFonts w:eastAsia="Arial" w:cs="Arial"/>
          <w:i/>
          <w:iCs/>
          <w:color w:val="000000" w:themeColor="text1"/>
          <w:sz w:val="20"/>
          <w:szCs w:val="20"/>
        </w:rPr>
        <w:t xml:space="preserve">ote the </w:t>
      </w:r>
      <w:r>
        <w:rPr>
          <w:rFonts w:eastAsia="Arial" w:cs="Arial"/>
          <w:i/>
          <w:iCs/>
          <w:color w:val="000000" w:themeColor="text1"/>
          <w:sz w:val="20"/>
          <w:szCs w:val="20"/>
        </w:rPr>
        <w:t>indicators assessed</w:t>
      </w:r>
      <w:r w:rsidRPr="428F1934">
        <w:rPr>
          <w:rFonts w:eastAsia="Arial" w:cs="Arial"/>
          <w:i/>
          <w:iCs/>
          <w:color w:val="000000" w:themeColor="text1"/>
          <w:sz w:val="20"/>
          <w:szCs w:val="20"/>
        </w:rPr>
        <w:t xml:space="preserve"> in this table are </w:t>
      </w:r>
      <w:r>
        <w:rPr>
          <w:rFonts w:eastAsia="Arial" w:cs="Arial"/>
          <w:i/>
          <w:iCs/>
          <w:color w:val="000000" w:themeColor="text1"/>
          <w:sz w:val="20"/>
          <w:szCs w:val="20"/>
        </w:rPr>
        <w:t xml:space="preserve">those </w:t>
      </w:r>
      <w:r w:rsidRPr="428F1934">
        <w:rPr>
          <w:rFonts w:eastAsia="Arial" w:cs="Arial"/>
          <w:i/>
          <w:iCs/>
          <w:color w:val="000000" w:themeColor="text1"/>
          <w:sz w:val="20"/>
          <w:szCs w:val="20"/>
        </w:rPr>
        <w:t>that have both a planned target and achieved figure in the log frame; other indicators that do not contain both pieces of information are excluded from</w:t>
      </w:r>
      <w:r>
        <w:rPr>
          <w:rFonts w:eastAsia="Arial" w:cs="Arial"/>
          <w:i/>
          <w:iCs/>
          <w:color w:val="000000" w:themeColor="text1"/>
          <w:sz w:val="20"/>
          <w:szCs w:val="20"/>
        </w:rPr>
        <w:t xml:space="preserve"> the table</w:t>
      </w:r>
      <w:r w:rsidRPr="428F1934">
        <w:rPr>
          <w:rFonts w:eastAsia="Arial" w:cs="Arial"/>
          <w:i/>
          <w:iCs/>
          <w:color w:val="000000" w:themeColor="text1"/>
          <w:sz w:val="20"/>
          <w:szCs w:val="20"/>
        </w:rPr>
        <w:t>.</w:t>
      </w:r>
    </w:p>
  </w:footnote>
  <w:footnote w:id="4">
    <w:p w14:paraId="64F205EB" w14:textId="440D2C22" w:rsidR="008755C4" w:rsidRDefault="008755C4">
      <w:pPr>
        <w:pStyle w:val="FootnoteText"/>
      </w:pPr>
      <w:r>
        <w:rPr>
          <w:rStyle w:val="FootnoteReference"/>
        </w:rPr>
        <w:footnoteRef/>
      </w:r>
      <w:r>
        <w:t xml:space="preserve"> </w:t>
      </w:r>
      <w:r w:rsidR="00B01B0C" w:rsidRPr="00B01B0C">
        <w:t>Food and Agriculture Organization of the United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92EF" w14:textId="5B953D0D" w:rsidR="006E5785" w:rsidRDefault="006E5785">
    <w:pPr>
      <w:pStyle w:val="Header"/>
    </w:pPr>
    <w:r>
      <w:rPr>
        <w:noProof/>
        <w:color w:val="2B579A"/>
        <w:shd w:val="clear" w:color="auto" w:fill="E6E6E6"/>
      </w:rPr>
      <mc:AlternateContent>
        <mc:Choice Requires="wps">
          <w:drawing>
            <wp:anchor distT="0" distB="0" distL="114300" distR="114300" simplePos="0" relativeHeight="251658240" behindDoc="0" locked="0" layoutInCell="0" allowOverlap="1" wp14:anchorId="075411E3" wp14:editId="2B8A39F1">
              <wp:simplePos x="0" y="0"/>
              <wp:positionH relativeFrom="page">
                <wp:posOffset>0</wp:posOffset>
              </wp:positionH>
              <wp:positionV relativeFrom="page">
                <wp:posOffset>190500</wp:posOffset>
              </wp:positionV>
              <wp:extent cx="7560310" cy="273050"/>
              <wp:effectExtent l="0" t="0" r="0" b="12700"/>
              <wp:wrapNone/>
              <wp:docPr id="1" name="Text Box 1"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2ABAE4" w14:textId="5DE5ECEF" w:rsidR="006E5785" w:rsidRPr="006E5785" w:rsidRDefault="006E5785" w:rsidP="006E5785">
                          <w:pPr>
                            <w:rPr>
                              <w:rFonts w:ascii="Calibri" w:hAnsi="Calibri" w:cs="Calibri"/>
                              <w:color w:val="000000"/>
                              <w:sz w:val="20"/>
                            </w:rPr>
                          </w:pPr>
                          <w:r w:rsidRPr="006E578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75411E3" id="_x0000_t202" coordsize="21600,21600" o:spt="202" path="m,l,21600r21600,l21600,xe">
              <v:stroke joinstyle="miter"/>
              <v:path gradientshapeok="t" o:connecttype="rect"/>
            </v:shapetype>
            <v:shape id="Text Box 1" o:spid="_x0000_s1026" type="#_x0000_t202" alt="{&quot;HashCode&quot;:-1291824593,&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72ABAE4" w14:textId="5DE5ECEF" w:rsidR="006E5785" w:rsidRPr="006E5785" w:rsidRDefault="006E5785" w:rsidP="006E5785">
                    <w:pPr>
                      <w:rPr>
                        <w:rFonts w:ascii="Calibri" w:hAnsi="Calibri" w:cs="Calibri"/>
                        <w:color w:val="000000"/>
                        <w:sz w:val="20"/>
                      </w:rPr>
                    </w:pPr>
                    <w:r w:rsidRPr="006E5785">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E2595"/>
    <w:multiLevelType w:val="hybridMultilevel"/>
    <w:tmpl w:val="263AE61E"/>
    <w:lvl w:ilvl="0" w:tplc="A5402178">
      <w:start w:val="1"/>
      <w:numFmt w:val="decimal"/>
      <w:lvlText w:val="%1."/>
      <w:lvlJc w:val="left"/>
      <w:pPr>
        <w:ind w:left="720" w:hanging="360"/>
      </w:pPr>
    </w:lvl>
    <w:lvl w:ilvl="1" w:tplc="3984E634">
      <w:start w:val="1"/>
      <w:numFmt w:val="lowerLetter"/>
      <w:lvlText w:val="%2."/>
      <w:lvlJc w:val="left"/>
      <w:pPr>
        <w:ind w:left="1440" w:hanging="360"/>
      </w:pPr>
    </w:lvl>
    <w:lvl w:ilvl="2" w:tplc="087CDC74">
      <w:start w:val="1"/>
      <w:numFmt w:val="lowerRoman"/>
      <w:lvlText w:val="%3."/>
      <w:lvlJc w:val="right"/>
      <w:pPr>
        <w:ind w:left="2160" w:hanging="180"/>
      </w:pPr>
    </w:lvl>
    <w:lvl w:ilvl="3" w:tplc="D90C1A0A">
      <w:start w:val="1"/>
      <w:numFmt w:val="decimal"/>
      <w:lvlText w:val="%4."/>
      <w:lvlJc w:val="left"/>
      <w:pPr>
        <w:ind w:left="2880" w:hanging="360"/>
      </w:pPr>
    </w:lvl>
    <w:lvl w:ilvl="4" w:tplc="52D06248">
      <w:start w:val="1"/>
      <w:numFmt w:val="lowerLetter"/>
      <w:lvlText w:val="%5."/>
      <w:lvlJc w:val="left"/>
      <w:pPr>
        <w:ind w:left="3600" w:hanging="360"/>
      </w:pPr>
    </w:lvl>
    <w:lvl w:ilvl="5" w:tplc="D37CC02E">
      <w:start w:val="1"/>
      <w:numFmt w:val="lowerRoman"/>
      <w:lvlText w:val="%6."/>
      <w:lvlJc w:val="right"/>
      <w:pPr>
        <w:ind w:left="4320" w:hanging="180"/>
      </w:pPr>
    </w:lvl>
    <w:lvl w:ilvl="6" w:tplc="363C2D30">
      <w:start w:val="1"/>
      <w:numFmt w:val="decimal"/>
      <w:lvlText w:val="%7."/>
      <w:lvlJc w:val="left"/>
      <w:pPr>
        <w:ind w:left="5040" w:hanging="360"/>
      </w:pPr>
    </w:lvl>
    <w:lvl w:ilvl="7" w:tplc="0A5820CC">
      <w:start w:val="1"/>
      <w:numFmt w:val="lowerLetter"/>
      <w:lvlText w:val="%8."/>
      <w:lvlJc w:val="left"/>
      <w:pPr>
        <w:ind w:left="5760" w:hanging="360"/>
      </w:pPr>
    </w:lvl>
    <w:lvl w:ilvl="8" w:tplc="81700D48">
      <w:start w:val="1"/>
      <w:numFmt w:val="lowerRoman"/>
      <w:lvlText w:val="%9."/>
      <w:lvlJc w:val="right"/>
      <w:pPr>
        <w:ind w:left="6480" w:hanging="180"/>
      </w:pPr>
    </w:lvl>
  </w:abstractNum>
  <w:abstractNum w:abstractNumId="1" w15:restartNumberingAfterBreak="0">
    <w:nsid w:val="2E983345"/>
    <w:multiLevelType w:val="hybridMultilevel"/>
    <w:tmpl w:val="219241A8"/>
    <w:lvl w:ilvl="0" w:tplc="AA20FA8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3402B"/>
    <w:multiLevelType w:val="hybridMultilevel"/>
    <w:tmpl w:val="5A10A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8185F"/>
    <w:multiLevelType w:val="hybridMultilevel"/>
    <w:tmpl w:val="DBA4D7EA"/>
    <w:lvl w:ilvl="0" w:tplc="42BA4ADA">
      <w:start w:val="1"/>
      <w:numFmt w:val="bullet"/>
      <w:lvlText w:val=""/>
      <w:lvlJc w:val="left"/>
      <w:pPr>
        <w:ind w:left="360" w:hanging="360"/>
      </w:pPr>
      <w:rPr>
        <w:rFonts w:ascii="Symbol" w:hAnsi="Symbol" w:hint="default"/>
        <w:color w:val="auto"/>
      </w:rPr>
    </w:lvl>
    <w:lvl w:ilvl="1" w:tplc="DAAEE230">
      <w:start w:val="1"/>
      <w:numFmt w:val="bullet"/>
      <w:lvlText w:val="o"/>
      <w:lvlJc w:val="left"/>
      <w:pPr>
        <w:ind w:left="785" w:hanging="360"/>
      </w:pPr>
      <w:rPr>
        <w:rFonts w:ascii="Courier New" w:hAnsi="Courier New" w:hint="default"/>
        <w:color w:val="auto"/>
      </w:rPr>
    </w:lvl>
    <w:lvl w:ilvl="2" w:tplc="C20CF42C">
      <w:start w:val="1"/>
      <w:numFmt w:val="bullet"/>
      <w:lvlText w:val=""/>
      <w:lvlJc w:val="left"/>
      <w:pPr>
        <w:ind w:left="1800" w:hanging="360"/>
      </w:pPr>
      <w:rPr>
        <w:rFonts w:ascii="Wingdings" w:hAnsi="Wingdings" w:hint="default"/>
      </w:rPr>
    </w:lvl>
    <w:lvl w:ilvl="3" w:tplc="F8940E7A">
      <w:start w:val="1"/>
      <w:numFmt w:val="bullet"/>
      <w:lvlText w:val=""/>
      <w:lvlJc w:val="left"/>
      <w:pPr>
        <w:ind w:left="2520" w:hanging="360"/>
      </w:pPr>
      <w:rPr>
        <w:rFonts w:ascii="Symbol" w:hAnsi="Symbol" w:hint="default"/>
      </w:rPr>
    </w:lvl>
    <w:lvl w:ilvl="4" w:tplc="C89ED15E">
      <w:start w:val="1"/>
      <w:numFmt w:val="bullet"/>
      <w:lvlText w:val="o"/>
      <w:lvlJc w:val="left"/>
      <w:pPr>
        <w:ind w:left="3240" w:hanging="360"/>
      </w:pPr>
      <w:rPr>
        <w:rFonts w:ascii="Courier New" w:hAnsi="Courier New" w:hint="default"/>
      </w:rPr>
    </w:lvl>
    <w:lvl w:ilvl="5" w:tplc="B916F362">
      <w:start w:val="1"/>
      <w:numFmt w:val="bullet"/>
      <w:lvlText w:val=""/>
      <w:lvlJc w:val="left"/>
      <w:pPr>
        <w:ind w:left="3960" w:hanging="360"/>
      </w:pPr>
      <w:rPr>
        <w:rFonts w:ascii="Wingdings" w:hAnsi="Wingdings" w:hint="default"/>
      </w:rPr>
    </w:lvl>
    <w:lvl w:ilvl="6" w:tplc="A33EF62C">
      <w:start w:val="1"/>
      <w:numFmt w:val="bullet"/>
      <w:lvlText w:val=""/>
      <w:lvlJc w:val="left"/>
      <w:pPr>
        <w:ind w:left="4680" w:hanging="360"/>
      </w:pPr>
      <w:rPr>
        <w:rFonts w:ascii="Symbol" w:hAnsi="Symbol" w:hint="default"/>
      </w:rPr>
    </w:lvl>
    <w:lvl w:ilvl="7" w:tplc="868AF2DA">
      <w:start w:val="1"/>
      <w:numFmt w:val="bullet"/>
      <w:lvlText w:val="o"/>
      <w:lvlJc w:val="left"/>
      <w:pPr>
        <w:ind w:left="5400" w:hanging="360"/>
      </w:pPr>
      <w:rPr>
        <w:rFonts w:ascii="Courier New" w:hAnsi="Courier New" w:hint="default"/>
      </w:rPr>
    </w:lvl>
    <w:lvl w:ilvl="8" w:tplc="3DB017AE">
      <w:start w:val="1"/>
      <w:numFmt w:val="bullet"/>
      <w:lvlText w:val=""/>
      <w:lvlJc w:val="left"/>
      <w:pPr>
        <w:ind w:left="6120" w:hanging="360"/>
      </w:pPr>
      <w:rPr>
        <w:rFonts w:ascii="Wingdings" w:hAnsi="Wingdings" w:hint="default"/>
      </w:rPr>
    </w:lvl>
  </w:abstractNum>
  <w:abstractNum w:abstractNumId="4" w15:restartNumberingAfterBreak="0">
    <w:nsid w:val="362B46DC"/>
    <w:multiLevelType w:val="hybridMultilevel"/>
    <w:tmpl w:val="038EDED2"/>
    <w:lvl w:ilvl="0" w:tplc="AA20FA8C">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D011AE"/>
    <w:multiLevelType w:val="hybridMultilevel"/>
    <w:tmpl w:val="FD66B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BCF7C1"/>
    <w:multiLevelType w:val="hybridMultilevel"/>
    <w:tmpl w:val="4FF00542"/>
    <w:lvl w:ilvl="0" w:tplc="0D74689E">
      <w:start w:val="1"/>
      <w:numFmt w:val="bullet"/>
      <w:lvlText w:val="·"/>
      <w:lvlJc w:val="left"/>
      <w:pPr>
        <w:ind w:left="720" w:hanging="360"/>
      </w:pPr>
      <w:rPr>
        <w:rFonts w:ascii="Symbol" w:hAnsi="Symbol" w:hint="default"/>
      </w:rPr>
    </w:lvl>
    <w:lvl w:ilvl="1" w:tplc="E1C832FE">
      <w:start w:val="1"/>
      <w:numFmt w:val="bullet"/>
      <w:lvlText w:val="o"/>
      <w:lvlJc w:val="left"/>
      <w:pPr>
        <w:ind w:left="1440" w:hanging="360"/>
      </w:pPr>
      <w:rPr>
        <w:rFonts w:ascii="Courier New" w:hAnsi="Courier New" w:hint="default"/>
      </w:rPr>
    </w:lvl>
    <w:lvl w:ilvl="2" w:tplc="AE8E026E">
      <w:start w:val="1"/>
      <w:numFmt w:val="bullet"/>
      <w:lvlText w:val=""/>
      <w:lvlJc w:val="left"/>
      <w:pPr>
        <w:ind w:left="2160" w:hanging="360"/>
      </w:pPr>
      <w:rPr>
        <w:rFonts w:ascii="Wingdings" w:hAnsi="Wingdings" w:hint="default"/>
      </w:rPr>
    </w:lvl>
    <w:lvl w:ilvl="3" w:tplc="8A58D4C4">
      <w:start w:val="1"/>
      <w:numFmt w:val="bullet"/>
      <w:lvlText w:val=""/>
      <w:lvlJc w:val="left"/>
      <w:pPr>
        <w:ind w:left="2880" w:hanging="360"/>
      </w:pPr>
      <w:rPr>
        <w:rFonts w:ascii="Symbol" w:hAnsi="Symbol" w:hint="default"/>
      </w:rPr>
    </w:lvl>
    <w:lvl w:ilvl="4" w:tplc="06FC3878">
      <w:start w:val="1"/>
      <w:numFmt w:val="bullet"/>
      <w:lvlText w:val="o"/>
      <w:lvlJc w:val="left"/>
      <w:pPr>
        <w:ind w:left="3600" w:hanging="360"/>
      </w:pPr>
      <w:rPr>
        <w:rFonts w:ascii="Courier New" w:hAnsi="Courier New" w:hint="default"/>
      </w:rPr>
    </w:lvl>
    <w:lvl w:ilvl="5" w:tplc="DEF01698">
      <w:start w:val="1"/>
      <w:numFmt w:val="bullet"/>
      <w:lvlText w:val=""/>
      <w:lvlJc w:val="left"/>
      <w:pPr>
        <w:ind w:left="4320" w:hanging="360"/>
      </w:pPr>
      <w:rPr>
        <w:rFonts w:ascii="Wingdings" w:hAnsi="Wingdings" w:hint="default"/>
      </w:rPr>
    </w:lvl>
    <w:lvl w:ilvl="6" w:tplc="2C541A04">
      <w:start w:val="1"/>
      <w:numFmt w:val="bullet"/>
      <w:lvlText w:val=""/>
      <w:lvlJc w:val="left"/>
      <w:pPr>
        <w:ind w:left="5040" w:hanging="360"/>
      </w:pPr>
      <w:rPr>
        <w:rFonts w:ascii="Symbol" w:hAnsi="Symbol" w:hint="default"/>
      </w:rPr>
    </w:lvl>
    <w:lvl w:ilvl="7" w:tplc="4A3C3462">
      <w:start w:val="1"/>
      <w:numFmt w:val="bullet"/>
      <w:lvlText w:val="o"/>
      <w:lvlJc w:val="left"/>
      <w:pPr>
        <w:ind w:left="5760" w:hanging="360"/>
      </w:pPr>
      <w:rPr>
        <w:rFonts w:ascii="Courier New" w:hAnsi="Courier New" w:hint="default"/>
      </w:rPr>
    </w:lvl>
    <w:lvl w:ilvl="8" w:tplc="F7703678">
      <w:start w:val="1"/>
      <w:numFmt w:val="bullet"/>
      <w:lvlText w:val=""/>
      <w:lvlJc w:val="left"/>
      <w:pPr>
        <w:ind w:left="6480" w:hanging="360"/>
      </w:pPr>
      <w:rPr>
        <w:rFonts w:ascii="Wingdings" w:hAnsi="Wingdings" w:hint="default"/>
      </w:rPr>
    </w:lvl>
  </w:abstractNum>
  <w:abstractNum w:abstractNumId="7" w15:restartNumberingAfterBreak="0">
    <w:nsid w:val="502793A1"/>
    <w:multiLevelType w:val="hybridMultilevel"/>
    <w:tmpl w:val="B65C8BF2"/>
    <w:lvl w:ilvl="0" w:tplc="4B9E4218">
      <w:start w:val="1"/>
      <w:numFmt w:val="decimal"/>
      <w:lvlText w:val="%1."/>
      <w:lvlJc w:val="left"/>
      <w:pPr>
        <w:ind w:left="720" w:hanging="360"/>
      </w:pPr>
    </w:lvl>
    <w:lvl w:ilvl="1" w:tplc="11FA0D18">
      <w:start w:val="1"/>
      <w:numFmt w:val="lowerLetter"/>
      <w:lvlText w:val="%2."/>
      <w:lvlJc w:val="left"/>
      <w:pPr>
        <w:ind w:left="1440" w:hanging="360"/>
      </w:pPr>
    </w:lvl>
    <w:lvl w:ilvl="2" w:tplc="D3E2087E">
      <w:start w:val="1"/>
      <w:numFmt w:val="lowerRoman"/>
      <w:lvlText w:val="%3."/>
      <w:lvlJc w:val="right"/>
      <w:pPr>
        <w:ind w:left="2160" w:hanging="180"/>
      </w:pPr>
    </w:lvl>
    <w:lvl w:ilvl="3" w:tplc="064E2D1A">
      <w:start w:val="1"/>
      <w:numFmt w:val="decimal"/>
      <w:lvlText w:val="%4."/>
      <w:lvlJc w:val="left"/>
      <w:pPr>
        <w:ind w:left="2880" w:hanging="360"/>
      </w:pPr>
    </w:lvl>
    <w:lvl w:ilvl="4" w:tplc="B2FAAC8C">
      <w:start w:val="1"/>
      <w:numFmt w:val="lowerLetter"/>
      <w:lvlText w:val="%5."/>
      <w:lvlJc w:val="left"/>
      <w:pPr>
        <w:ind w:left="3600" w:hanging="360"/>
      </w:pPr>
    </w:lvl>
    <w:lvl w:ilvl="5" w:tplc="145EC06C">
      <w:start w:val="1"/>
      <w:numFmt w:val="lowerRoman"/>
      <w:lvlText w:val="%6."/>
      <w:lvlJc w:val="right"/>
      <w:pPr>
        <w:ind w:left="4320" w:hanging="180"/>
      </w:pPr>
    </w:lvl>
    <w:lvl w:ilvl="6" w:tplc="7C08CF2E">
      <w:start w:val="1"/>
      <w:numFmt w:val="decimal"/>
      <w:lvlText w:val="%7."/>
      <w:lvlJc w:val="left"/>
      <w:pPr>
        <w:ind w:left="5040" w:hanging="360"/>
      </w:pPr>
    </w:lvl>
    <w:lvl w:ilvl="7" w:tplc="8E32BB88">
      <w:start w:val="1"/>
      <w:numFmt w:val="lowerLetter"/>
      <w:lvlText w:val="%8."/>
      <w:lvlJc w:val="left"/>
      <w:pPr>
        <w:ind w:left="5760" w:hanging="360"/>
      </w:pPr>
    </w:lvl>
    <w:lvl w:ilvl="8" w:tplc="FA88B7F6">
      <w:start w:val="1"/>
      <w:numFmt w:val="lowerRoman"/>
      <w:lvlText w:val="%9."/>
      <w:lvlJc w:val="right"/>
      <w:pPr>
        <w:ind w:left="6480" w:hanging="180"/>
      </w:pPr>
    </w:lvl>
  </w:abstractNum>
  <w:abstractNum w:abstractNumId="8" w15:restartNumberingAfterBreak="0">
    <w:nsid w:val="53E2F708"/>
    <w:multiLevelType w:val="hybridMultilevel"/>
    <w:tmpl w:val="59E0637A"/>
    <w:lvl w:ilvl="0" w:tplc="B682334E">
      <w:start w:val="1"/>
      <w:numFmt w:val="decimal"/>
      <w:lvlText w:val="%1."/>
      <w:lvlJc w:val="left"/>
      <w:pPr>
        <w:ind w:left="720" w:hanging="360"/>
      </w:pPr>
    </w:lvl>
    <w:lvl w:ilvl="1" w:tplc="A4CE2040">
      <w:start w:val="1"/>
      <w:numFmt w:val="lowerLetter"/>
      <w:lvlText w:val="%2."/>
      <w:lvlJc w:val="left"/>
      <w:pPr>
        <w:ind w:left="1440" w:hanging="360"/>
      </w:pPr>
    </w:lvl>
    <w:lvl w:ilvl="2" w:tplc="7AC6A03A">
      <w:start w:val="1"/>
      <w:numFmt w:val="lowerRoman"/>
      <w:lvlText w:val="%3."/>
      <w:lvlJc w:val="right"/>
      <w:pPr>
        <w:ind w:left="2160" w:hanging="180"/>
      </w:pPr>
    </w:lvl>
    <w:lvl w:ilvl="3" w:tplc="5742EEC6">
      <w:start w:val="1"/>
      <w:numFmt w:val="decimal"/>
      <w:lvlText w:val="%4."/>
      <w:lvlJc w:val="left"/>
      <w:pPr>
        <w:ind w:left="2880" w:hanging="360"/>
      </w:pPr>
    </w:lvl>
    <w:lvl w:ilvl="4" w:tplc="A5A8BEDA">
      <w:start w:val="1"/>
      <w:numFmt w:val="lowerLetter"/>
      <w:lvlText w:val="%5."/>
      <w:lvlJc w:val="left"/>
      <w:pPr>
        <w:ind w:left="3600" w:hanging="360"/>
      </w:pPr>
    </w:lvl>
    <w:lvl w:ilvl="5" w:tplc="4EBAA09C">
      <w:start w:val="1"/>
      <w:numFmt w:val="lowerRoman"/>
      <w:lvlText w:val="%6."/>
      <w:lvlJc w:val="right"/>
      <w:pPr>
        <w:ind w:left="4320" w:hanging="180"/>
      </w:pPr>
    </w:lvl>
    <w:lvl w:ilvl="6" w:tplc="0AC6B446">
      <w:start w:val="1"/>
      <w:numFmt w:val="decimal"/>
      <w:lvlText w:val="%7."/>
      <w:lvlJc w:val="left"/>
      <w:pPr>
        <w:ind w:left="5040" w:hanging="360"/>
      </w:pPr>
    </w:lvl>
    <w:lvl w:ilvl="7" w:tplc="8AAC6B6C">
      <w:start w:val="1"/>
      <w:numFmt w:val="lowerLetter"/>
      <w:lvlText w:val="%8."/>
      <w:lvlJc w:val="left"/>
      <w:pPr>
        <w:ind w:left="5760" w:hanging="360"/>
      </w:pPr>
    </w:lvl>
    <w:lvl w:ilvl="8" w:tplc="80F8203E">
      <w:start w:val="1"/>
      <w:numFmt w:val="lowerRoman"/>
      <w:lvlText w:val="%9."/>
      <w:lvlJc w:val="right"/>
      <w:pPr>
        <w:ind w:left="6480" w:hanging="180"/>
      </w:pPr>
    </w:lvl>
  </w:abstractNum>
  <w:abstractNum w:abstractNumId="9" w15:restartNumberingAfterBreak="0">
    <w:nsid w:val="59601290"/>
    <w:multiLevelType w:val="hybridMultilevel"/>
    <w:tmpl w:val="A0FE96E2"/>
    <w:lvl w:ilvl="0" w:tplc="AA20FA8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E9DC3F"/>
    <w:multiLevelType w:val="hybridMultilevel"/>
    <w:tmpl w:val="74D0ACBC"/>
    <w:lvl w:ilvl="0" w:tplc="54081472">
      <w:start w:val="1"/>
      <w:numFmt w:val="bullet"/>
      <w:lvlText w:val="·"/>
      <w:lvlJc w:val="left"/>
      <w:pPr>
        <w:ind w:left="360" w:hanging="360"/>
      </w:pPr>
      <w:rPr>
        <w:rFonts w:ascii="Symbol" w:hAnsi="Symbol" w:hint="default"/>
      </w:rPr>
    </w:lvl>
    <w:lvl w:ilvl="1" w:tplc="A5B236B0">
      <w:start w:val="1"/>
      <w:numFmt w:val="bullet"/>
      <w:lvlText w:val="o"/>
      <w:lvlJc w:val="left"/>
      <w:pPr>
        <w:ind w:left="1080" w:hanging="360"/>
      </w:pPr>
      <w:rPr>
        <w:rFonts w:ascii="Courier New" w:hAnsi="Courier New" w:hint="default"/>
      </w:rPr>
    </w:lvl>
    <w:lvl w:ilvl="2" w:tplc="79FC4D84">
      <w:start w:val="1"/>
      <w:numFmt w:val="bullet"/>
      <w:lvlText w:val=""/>
      <w:lvlJc w:val="left"/>
      <w:pPr>
        <w:ind w:left="1800" w:hanging="360"/>
      </w:pPr>
      <w:rPr>
        <w:rFonts w:ascii="Wingdings" w:hAnsi="Wingdings" w:hint="default"/>
      </w:rPr>
    </w:lvl>
    <w:lvl w:ilvl="3" w:tplc="45204068">
      <w:start w:val="1"/>
      <w:numFmt w:val="bullet"/>
      <w:lvlText w:val=""/>
      <w:lvlJc w:val="left"/>
      <w:pPr>
        <w:ind w:left="2520" w:hanging="360"/>
      </w:pPr>
      <w:rPr>
        <w:rFonts w:ascii="Symbol" w:hAnsi="Symbol" w:hint="default"/>
      </w:rPr>
    </w:lvl>
    <w:lvl w:ilvl="4" w:tplc="4C409142">
      <w:start w:val="1"/>
      <w:numFmt w:val="bullet"/>
      <w:lvlText w:val="o"/>
      <w:lvlJc w:val="left"/>
      <w:pPr>
        <w:ind w:left="3240" w:hanging="360"/>
      </w:pPr>
      <w:rPr>
        <w:rFonts w:ascii="Courier New" w:hAnsi="Courier New" w:hint="default"/>
      </w:rPr>
    </w:lvl>
    <w:lvl w:ilvl="5" w:tplc="1C9840B8">
      <w:start w:val="1"/>
      <w:numFmt w:val="bullet"/>
      <w:lvlText w:val=""/>
      <w:lvlJc w:val="left"/>
      <w:pPr>
        <w:ind w:left="3960" w:hanging="360"/>
      </w:pPr>
      <w:rPr>
        <w:rFonts w:ascii="Wingdings" w:hAnsi="Wingdings" w:hint="default"/>
      </w:rPr>
    </w:lvl>
    <w:lvl w:ilvl="6" w:tplc="531CA93C">
      <w:start w:val="1"/>
      <w:numFmt w:val="bullet"/>
      <w:lvlText w:val=""/>
      <w:lvlJc w:val="left"/>
      <w:pPr>
        <w:ind w:left="4680" w:hanging="360"/>
      </w:pPr>
      <w:rPr>
        <w:rFonts w:ascii="Symbol" w:hAnsi="Symbol" w:hint="default"/>
      </w:rPr>
    </w:lvl>
    <w:lvl w:ilvl="7" w:tplc="0E4AAEE6">
      <w:start w:val="1"/>
      <w:numFmt w:val="bullet"/>
      <w:lvlText w:val="o"/>
      <w:lvlJc w:val="left"/>
      <w:pPr>
        <w:ind w:left="5400" w:hanging="360"/>
      </w:pPr>
      <w:rPr>
        <w:rFonts w:ascii="Courier New" w:hAnsi="Courier New" w:hint="default"/>
      </w:rPr>
    </w:lvl>
    <w:lvl w:ilvl="8" w:tplc="4196ADBE">
      <w:start w:val="1"/>
      <w:numFmt w:val="bullet"/>
      <w:lvlText w:val=""/>
      <w:lvlJc w:val="left"/>
      <w:pPr>
        <w:ind w:left="6120" w:hanging="360"/>
      </w:pPr>
      <w:rPr>
        <w:rFonts w:ascii="Wingdings" w:hAnsi="Wingdings" w:hint="default"/>
      </w:rPr>
    </w:lvl>
  </w:abstractNum>
  <w:abstractNum w:abstractNumId="11" w15:restartNumberingAfterBreak="0">
    <w:nsid w:val="5CAE4DD6"/>
    <w:multiLevelType w:val="hybridMultilevel"/>
    <w:tmpl w:val="D9BECB5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12" w15:restartNumberingAfterBreak="0">
    <w:nsid w:val="6B2E8A4C"/>
    <w:multiLevelType w:val="hybridMultilevel"/>
    <w:tmpl w:val="8BE093F2"/>
    <w:lvl w:ilvl="0" w:tplc="319A39FC">
      <w:start w:val="1"/>
      <w:numFmt w:val="decimal"/>
      <w:lvlText w:val="%1."/>
      <w:lvlJc w:val="left"/>
      <w:pPr>
        <w:ind w:left="360" w:hanging="360"/>
      </w:pPr>
    </w:lvl>
    <w:lvl w:ilvl="1" w:tplc="F662C7E2">
      <w:start w:val="1"/>
      <w:numFmt w:val="lowerLetter"/>
      <w:lvlText w:val="%2."/>
      <w:lvlJc w:val="left"/>
      <w:pPr>
        <w:ind w:left="1080" w:hanging="360"/>
      </w:pPr>
    </w:lvl>
    <w:lvl w:ilvl="2" w:tplc="AFC8FFF8">
      <w:start w:val="1"/>
      <w:numFmt w:val="lowerRoman"/>
      <w:lvlText w:val="%3."/>
      <w:lvlJc w:val="right"/>
      <w:pPr>
        <w:ind w:left="1800" w:hanging="180"/>
      </w:pPr>
    </w:lvl>
    <w:lvl w:ilvl="3" w:tplc="66BE0200">
      <w:start w:val="1"/>
      <w:numFmt w:val="decimal"/>
      <w:lvlText w:val="%4."/>
      <w:lvlJc w:val="left"/>
      <w:pPr>
        <w:ind w:left="2520" w:hanging="360"/>
      </w:pPr>
    </w:lvl>
    <w:lvl w:ilvl="4" w:tplc="FE046FB4">
      <w:start w:val="1"/>
      <w:numFmt w:val="lowerLetter"/>
      <w:lvlText w:val="%5."/>
      <w:lvlJc w:val="left"/>
      <w:pPr>
        <w:ind w:left="3240" w:hanging="360"/>
      </w:pPr>
    </w:lvl>
    <w:lvl w:ilvl="5" w:tplc="A5F2E5CE">
      <w:start w:val="1"/>
      <w:numFmt w:val="lowerRoman"/>
      <w:lvlText w:val="%6."/>
      <w:lvlJc w:val="right"/>
      <w:pPr>
        <w:ind w:left="3960" w:hanging="180"/>
      </w:pPr>
    </w:lvl>
    <w:lvl w:ilvl="6" w:tplc="BB9AA256">
      <w:start w:val="1"/>
      <w:numFmt w:val="decimal"/>
      <w:lvlText w:val="%7."/>
      <w:lvlJc w:val="left"/>
      <w:pPr>
        <w:ind w:left="4680" w:hanging="360"/>
      </w:pPr>
    </w:lvl>
    <w:lvl w:ilvl="7" w:tplc="424A9B38">
      <w:start w:val="1"/>
      <w:numFmt w:val="lowerLetter"/>
      <w:lvlText w:val="%8."/>
      <w:lvlJc w:val="left"/>
      <w:pPr>
        <w:ind w:left="5400" w:hanging="360"/>
      </w:pPr>
    </w:lvl>
    <w:lvl w:ilvl="8" w:tplc="1C184AC0">
      <w:start w:val="1"/>
      <w:numFmt w:val="lowerRoman"/>
      <w:lvlText w:val="%9."/>
      <w:lvlJc w:val="right"/>
      <w:pPr>
        <w:ind w:left="6120" w:hanging="180"/>
      </w:pPr>
    </w:lvl>
  </w:abstractNum>
  <w:abstractNum w:abstractNumId="13" w15:restartNumberingAfterBreak="0">
    <w:nsid w:val="790C16E0"/>
    <w:multiLevelType w:val="hybridMultilevel"/>
    <w:tmpl w:val="05C00DFE"/>
    <w:lvl w:ilvl="0" w:tplc="067E4DD6">
      <w:start w:val="1"/>
      <w:numFmt w:val="bullet"/>
      <w:lvlText w:val=""/>
      <w:lvlJc w:val="left"/>
      <w:pPr>
        <w:ind w:left="720" w:hanging="360"/>
      </w:pPr>
      <w:rPr>
        <w:rFonts w:ascii="Symbol" w:hAnsi="Symbol" w:hint="default"/>
        <w:sz w:val="22"/>
        <w:szCs w:val="22"/>
      </w:rPr>
    </w:lvl>
    <w:lvl w:ilvl="1" w:tplc="93E41C7C">
      <w:start w:val="1"/>
      <w:numFmt w:val="bullet"/>
      <w:lvlText w:val="o"/>
      <w:lvlJc w:val="left"/>
      <w:pPr>
        <w:ind w:left="1440" w:hanging="360"/>
      </w:pPr>
      <w:rPr>
        <w:rFonts w:ascii="Courier New" w:hAnsi="Courier New" w:hint="default"/>
        <w:color w:val="auto"/>
      </w:rPr>
    </w:lvl>
    <w:lvl w:ilvl="2" w:tplc="92C65432">
      <w:start w:val="1"/>
      <w:numFmt w:val="bullet"/>
      <w:lvlText w:val=""/>
      <w:lvlJc w:val="left"/>
      <w:pPr>
        <w:ind w:left="2160" w:hanging="360"/>
      </w:pPr>
      <w:rPr>
        <w:rFonts w:ascii="Wingdings" w:hAnsi="Wingdings" w:hint="default"/>
      </w:rPr>
    </w:lvl>
    <w:lvl w:ilvl="3" w:tplc="993C015A">
      <w:start w:val="1"/>
      <w:numFmt w:val="bullet"/>
      <w:lvlText w:val=""/>
      <w:lvlJc w:val="left"/>
      <w:pPr>
        <w:ind w:left="2880" w:hanging="360"/>
      </w:pPr>
      <w:rPr>
        <w:rFonts w:ascii="Symbol" w:hAnsi="Symbol" w:hint="default"/>
      </w:rPr>
    </w:lvl>
    <w:lvl w:ilvl="4" w:tplc="55EA6122">
      <w:start w:val="1"/>
      <w:numFmt w:val="bullet"/>
      <w:lvlText w:val="o"/>
      <w:lvlJc w:val="left"/>
      <w:pPr>
        <w:ind w:left="3600" w:hanging="360"/>
      </w:pPr>
      <w:rPr>
        <w:rFonts w:ascii="Courier New" w:hAnsi="Courier New" w:hint="default"/>
      </w:rPr>
    </w:lvl>
    <w:lvl w:ilvl="5" w:tplc="D0446F3E">
      <w:start w:val="1"/>
      <w:numFmt w:val="bullet"/>
      <w:lvlText w:val=""/>
      <w:lvlJc w:val="left"/>
      <w:pPr>
        <w:ind w:left="4320" w:hanging="360"/>
      </w:pPr>
      <w:rPr>
        <w:rFonts w:ascii="Wingdings" w:hAnsi="Wingdings" w:hint="default"/>
      </w:rPr>
    </w:lvl>
    <w:lvl w:ilvl="6" w:tplc="0F06C0CC">
      <w:start w:val="1"/>
      <w:numFmt w:val="bullet"/>
      <w:lvlText w:val=""/>
      <w:lvlJc w:val="left"/>
      <w:pPr>
        <w:ind w:left="5040" w:hanging="360"/>
      </w:pPr>
      <w:rPr>
        <w:rFonts w:ascii="Symbol" w:hAnsi="Symbol" w:hint="default"/>
      </w:rPr>
    </w:lvl>
    <w:lvl w:ilvl="7" w:tplc="CBD65246">
      <w:start w:val="1"/>
      <w:numFmt w:val="bullet"/>
      <w:lvlText w:val="o"/>
      <w:lvlJc w:val="left"/>
      <w:pPr>
        <w:ind w:left="5760" w:hanging="360"/>
      </w:pPr>
      <w:rPr>
        <w:rFonts w:ascii="Courier New" w:hAnsi="Courier New" w:hint="default"/>
      </w:rPr>
    </w:lvl>
    <w:lvl w:ilvl="8" w:tplc="A9AE0560">
      <w:start w:val="1"/>
      <w:numFmt w:val="bullet"/>
      <w:lvlText w:val=""/>
      <w:lvlJc w:val="left"/>
      <w:pPr>
        <w:ind w:left="6480" w:hanging="360"/>
      </w:pPr>
      <w:rPr>
        <w:rFonts w:ascii="Wingdings" w:hAnsi="Wingdings" w:hint="default"/>
      </w:rPr>
    </w:lvl>
  </w:abstractNum>
  <w:abstractNum w:abstractNumId="14" w15:restartNumberingAfterBreak="0">
    <w:nsid w:val="7F925DFC"/>
    <w:multiLevelType w:val="hybridMultilevel"/>
    <w:tmpl w:val="F282F3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0640746">
    <w:abstractNumId w:val="0"/>
  </w:num>
  <w:num w:numId="2" w16cid:durableId="1746998334">
    <w:abstractNumId w:val="6"/>
  </w:num>
  <w:num w:numId="3" w16cid:durableId="440341417">
    <w:abstractNumId w:val="12"/>
  </w:num>
  <w:num w:numId="4" w16cid:durableId="1727412291">
    <w:abstractNumId w:val="7"/>
  </w:num>
  <w:num w:numId="5" w16cid:durableId="1652755568">
    <w:abstractNumId w:val="8"/>
  </w:num>
  <w:num w:numId="6" w16cid:durableId="772751086">
    <w:abstractNumId w:val="10"/>
  </w:num>
  <w:num w:numId="7" w16cid:durableId="1352344316">
    <w:abstractNumId w:val="4"/>
  </w:num>
  <w:num w:numId="8" w16cid:durableId="82654184">
    <w:abstractNumId w:val="1"/>
  </w:num>
  <w:num w:numId="9" w16cid:durableId="592129806">
    <w:abstractNumId w:val="9"/>
  </w:num>
  <w:num w:numId="10" w16cid:durableId="1866020524">
    <w:abstractNumId w:val="11"/>
  </w:num>
  <w:num w:numId="11" w16cid:durableId="425460016">
    <w:abstractNumId w:val="2"/>
  </w:num>
  <w:num w:numId="12" w16cid:durableId="216280206">
    <w:abstractNumId w:val="14"/>
  </w:num>
  <w:num w:numId="13" w16cid:durableId="1571649208">
    <w:abstractNumId w:val="3"/>
  </w:num>
  <w:num w:numId="14" w16cid:durableId="1483236605">
    <w:abstractNumId w:val="5"/>
  </w:num>
  <w:num w:numId="15" w16cid:durableId="73138549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CF"/>
    <w:rsid w:val="000008E3"/>
    <w:rsid w:val="00000EB6"/>
    <w:rsid w:val="00001253"/>
    <w:rsid w:val="0000135A"/>
    <w:rsid w:val="00001D1E"/>
    <w:rsid w:val="000021A3"/>
    <w:rsid w:val="00002405"/>
    <w:rsid w:val="000025CA"/>
    <w:rsid w:val="00002651"/>
    <w:rsid w:val="000027A5"/>
    <w:rsid w:val="00002C36"/>
    <w:rsid w:val="0000388D"/>
    <w:rsid w:val="00003A8E"/>
    <w:rsid w:val="00004D64"/>
    <w:rsid w:val="000051E8"/>
    <w:rsid w:val="00005788"/>
    <w:rsid w:val="00005F04"/>
    <w:rsid w:val="000068E6"/>
    <w:rsid w:val="00006BDA"/>
    <w:rsid w:val="00011567"/>
    <w:rsid w:val="000117F9"/>
    <w:rsid w:val="00011899"/>
    <w:rsid w:val="00012EB1"/>
    <w:rsid w:val="00013C7A"/>
    <w:rsid w:val="00013E1F"/>
    <w:rsid w:val="000140AA"/>
    <w:rsid w:val="000153E8"/>
    <w:rsid w:val="00015437"/>
    <w:rsid w:val="000155A7"/>
    <w:rsid w:val="00015A91"/>
    <w:rsid w:val="00015E93"/>
    <w:rsid w:val="00016137"/>
    <w:rsid w:val="000163EC"/>
    <w:rsid w:val="00016533"/>
    <w:rsid w:val="0001674D"/>
    <w:rsid w:val="00016BFE"/>
    <w:rsid w:val="00017A90"/>
    <w:rsid w:val="00017B49"/>
    <w:rsid w:val="00020BCE"/>
    <w:rsid w:val="00020CF8"/>
    <w:rsid w:val="0002130C"/>
    <w:rsid w:val="00021BAD"/>
    <w:rsid w:val="00021D7F"/>
    <w:rsid w:val="000229C0"/>
    <w:rsid w:val="00022BD6"/>
    <w:rsid w:val="00023375"/>
    <w:rsid w:val="00023BE0"/>
    <w:rsid w:val="0002405E"/>
    <w:rsid w:val="00024BE3"/>
    <w:rsid w:val="000251C7"/>
    <w:rsid w:val="0002544C"/>
    <w:rsid w:val="000256B0"/>
    <w:rsid w:val="000256F1"/>
    <w:rsid w:val="00026CB1"/>
    <w:rsid w:val="00027280"/>
    <w:rsid w:val="000278F2"/>
    <w:rsid w:val="0002795A"/>
    <w:rsid w:val="00033728"/>
    <w:rsid w:val="00033798"/>
    <w:rsid w:val="00033BA7"/>
    <w:rsid w:val="00035280"/>
    <w:rsid w:val="00037C95"/>
    <w:rsid w:val="000406E0"/>
    <w:rsid w:val="00040942"/>
    <w:rsid w:val="00041684"/>
    <w:rsid w:val="000422D1"/>
    <w:rsid w:val="000435B9"/>
    <w:rsid w:val="00043EAD"/>
    <w:rsid w:val="00044160"/>
    <w:rsid w:val="00044363"/>
    <w:rsid w:val="000451F8"/>
    <w:rsid w:val="0004527C"/>
    <w:rsid w:val="00045846"/>
    <w:rsid w:val="0004594B"/>
    <w:rsid w:val="00046384"/>
    <w:rsid w:val="00046943"/>
    <w:rsid w:val="00047587"/>
    <w:rsid w:val="00047B82"/>
    <w:rsid w:val="000505EC"/>
    <w:rsid w:val="00050B3F"/>
    <w:rsid w:val="000516CE"/>
    <w:rsid w:val="000534BC"/>
    <w:rsid w:val="00054E4A"/>
    <w:rsid w:val="00054ED1"/>
    <w:rsid w:val="00054F98"/>
    <w:rsid w:val="00055261"/>
    <w:rsid w:val="00056201"/>
    <w:rsid w:val="00056AE2"/>
    <w:rsid w:val="00057538"/>
    <w:rsid w:val="00057EDC"/>
    <w:rsid w:val="00060794"/>
    <w:rsid w:val="000607C1"/>
    <w:rsid w:val="00060A72"/>
    <w:rsid w:val="00060CFE"/>
    <w:rsid w:val="00061126"/>
    <w:rsid w:val="000614A6"/>
    <w:rsid w:val="00063071"/>
    <w:rsid w:val="00065063"/>
    <w:rsid w:val="00065459"/>
    <w:rsid w:val="00066214"/>
    <w:rsid w:val="000677DE"/>
    <w:rsid w:val="00067B34"/>
    <w:rsid w:val="000709BD"/>
    <w:rsid w:val="0007125A"/>
    <w:rsid w:val="00071CF7"/>
    <w:rsid w:val="00071FA1"/>
    <w:rsid w:val="0007204F"/>
    <w:rsid w:val="000728DA"/>
    <w:rsid w:val="00072A1C"/>
    <w:rsid w:val="00073D25"/>
    <w:rsid w:val="00074051"/>
    <w:rsid w:val="000741A8"/>
    <w:rsid w:val="000745C7"/>
    <w:rsid w:val="00074D26"/>
    <w:rsid w:val="0007589D"/>
    <w:rsid w:val="00075E1E"/>
    <w:rsid w:val="00076598"/>
    <w:rsid w:val="0007731D"/>
    <w:rsid w:val="00077693"/>
    <w:rsid w:val="000776F5"/>
    <w:rsid w:val="00077E65"/>
    <w:rsid w:val="00077F7A"/>
    <w:rsid w:val="0008079B"/>
    <w:rsid w:val="00080E26"/>
    <w:rsid w:val="000818BC"/>
    <w:rsid w:val="00081AE5"/>
    <w:rsid w:val="00081B6B"/>
    <w:rsid w:val="000840AC"/>
    <w:rsid w:val="000841F9"/>
    <w:rsid w:val="000848A5"/>
    <w:rsid w:val="00086036"/>
    <w:rsid w:val="00086111"/>
    <w:rsid w:val="00086783"/>
    <w:rsid w:val="0008687C"/>
    <w:rsid w:val="0008788E"/>
    <w:rsid w:val="00087A75"/>
    <w:rsid w:val="000902CC"/>
    <w:rsid w:val="00090495"/>
    <w:rsid w:val="000913E7"/>
    <w:rsid w:val="000937F9"/>
    <w:rsid w:val="00093D06"/>
    <w:rsid w:val="000941B4"/>
    <w:rsid w:val="00095346"/>
    <w:rsid w:val="00096D33"/>
    <w:rsid w:val="00097B03"/>
    <w:rsid w:val="00097FE2"/>
    <w:rsid w:val="000A01D2"/>
    <w:rsid w:val="000A105C"/>
    <w:rsid w:val="000A14D2"/>
    <w:rsid w:val="000A1D76"/>
    <w:rsid w:val="000A1D87"/>
    <w:rsid w:val="000A23A9"/>
    <w:rsid w:val="000A3108"/>
    <w:rsid w:val="000A420F"/>
    <w:rsid w:val="000A466F"/>
    <w:rsid w:val="000A497B"/>
    <w:rsid w:val="000A54FA"/>
    <w:rsid w:val="000A608B"/>
    <w:rsid w:val="000A686B"/>
    <w:rsid w:val="000A6A0F"/>
    <w:rsid w:val="000A76D3"/>
    <w:rsid w:val="000B0661"/>
    <w:rsid w:val="000B0869"/>
    <w:rsid w:val="000B40E8"/>
    <w:rsid w:val="000B496A"/>
    <w:rsid w:val="000B4BE9"/>
    <w:rsid w:val="000B51FE"/>
    <w:rsid w:val="000B6163"/>
    <w:rsid w:val="000B61A8"/>
    <w:rsid w:val="000B6275"/>
    <w:rsid w:val="000B6767"/>
    <w:rsid w:val="000B69CB"/>
    <w:rsid w:val="000B6E32"/>
    <w:rsid w:val="000B74B3"/>
    <w:rsid w:val="000B7E0C"/>
    <w:rsid w:val="000B7F91"/>
    <w:rsid w:val="000C1153"/>
    <w:rsid w:val="000C1E5E"/>
    <w:rsid w:val="000C21FC"/>
    <w:rsid w:val="000C2B73"/>
    <w:rsid w:val="000C2ED6"/>
    <w:rsid w:val="000C2EFF"/>
    <w:rsid w:val="000C2F97"/>
    <w:rsid w:val="000C30BC"/>
    <w:rsid w:val="000C3D01"/>
    <w:rsid w:val="000C4148"/>
    <w:rsid w:val="000C4668"/>
    <w:rsid w:val="000C4FD0"/>
    <w:rsid w:val="000C520D"/>
    <w:rsid w:val="000C66C9"/>
    <w:rsid w:val="000C7CBA"/>
    <w:rsid w:val="000D0504"/>
    <w:rsid w:val="000D16DA"/>
    <w:rsid w:val="000D1C98"/>
    <w:rsid w:val="000D2A58"/>
    <w:rsid w:val="000D4C1A"/>
    <w:rsid w:val="000D5691"/>
    <w:rsid w:val="000D5C7A"/>
    <w:rsid w:val="000D6FE0"/>
    <w:rsid w:val="000D7342"/>
    <w:rsid w:val="000D7B31"/>
    <w:rsid w:val="000E008F"/>
    <w:rsid w:val="000E090F"/>
    <w:rsid w:val="000E0C21"/>
    <w:rsid w:val="000E1A5D"/>
    <w:rsid w:val="000E1B03"/>
    <w:rsid w:val="000E1E90"/>
    <w:rsid w:val="000E2B01"/>
    <w:rsid w:val="000E3389"/>
    <w:rsid w:val="000E3783"/>
    <w:rsid w:val="000E378D"/>
    <w:rsid w:val="000E4575"/>
    <w:rsid w:val="000E46E8"/>
    <w:rsid w:val="000E4ADE"/>
    <w:rsid w:val="000E4BBB"/>
    <w:rsid w:val="000E4E96"/>
    <w:rsid w:val="000E50A6"/>
    <w:rsid w:val="000E529F"/>
    <w:rsid w:val="000E57BC"/>
    <w:rsid w:val="000E71DC"/>
    <w:rsid w:val="000E759D"/>
    <w:rsid w:val="000E7CEF"/>
    <w:rsid w:val="000F0A7E"/>
    <w:rsid w:val="000F1488"/>
    <w:rsid w:val="000F156A"/>
    <w:rsid w:val="000F21D7"/>
    <w:rsid w:val="000F23FD"/>
    <w:rsid w:val="000F27F5"/>
    <w:rsid w:val="000F27FF"/>
    <w:rsid w:val="000F38DA"/>
    <w:rsid w:val="000F3EA8"/>
    <w:rsid w:val="000F455D"/>
    <w:rsid w:val="000F4F03"/>
    <w:rsid w:val="000F5ADB"/>
    <w:rsid w:val="000F69F0"/>
    <w:rsid w:val="000F721C"/>
    <w:rsid w:val="000F732F"/>
    <w:rsid w:val="000F745F"/>
    <w:rsid w:val="000F7A78"/>
    <w:rsid w:val="0010054E"/>
    <w:rsid w:val="00100AA6"/>
    <w:rsid w:val="00100B2A"/>
    <w:rsid w:val="00100F16"/>
    <w:rsid w:val="0010115C"/>
    <w:rsid w:val="0010132D"/>
    <w:rsid w:val="00101714"/>
    <w:rsid w:val="00101DD6"/>
    <w:rsid w:val="001021DB"/>
    <w:rsid w:val="001022D7"/>
    <w:rsid w:val="00102F1B"/>
    <w:rsid w:val="00103AC6"/>
    <w:rsid w:val="00104516"/>
    <w:rsid w:val="00104D7E"/>
    <w:rsid w:val="00105347"/>
    <w:rsid w:val="00105736"/>
    <w:rsid w:val="001057EA"/>
    <w:rsid w:val="0010590C"/>
    <w:rsid w:val="00107D4B"/>
    <w:rsid w:val="00107F89"/>
    <w:rsid w:val="00110066"/>
    <w:rsid w:val="00110E1C"/>
    <w:rsid w:val="00110EBC"/>
    <w:rsid w:val="00110FA9"/>
    <w:rsid w:val="00111637"/>
    <w:rsid w:val="00111D5E"/>
    <w:rsid w:val="00111FD1"/>
    <w:rsid w:val="00112B0B"/>
    <w:rsid w:val="0011300C"/>
    <w:rsid w:val="00114095"/>
    <w:rsid w:val="0011413A"/>
    <w:rsid w:val="00114F3C"/>
    <w:rsid w:val="001155B1"/>
    <w:rsid w:val="00116064"/>
    <w:rsid w:val="0011631A"/>
    <w:rsid w:val="00116C1F"/>
    <w:rsid w:val="00116CFD"/>
    <w:rsid w:val="001173B3"/>
    <w:rsid w:val="0011784F"/>
    <w:rsid w:val="00120130"/>
    <w:rsid w:val="0012013E"/>
    <w:rsid w:val="001206FC"/>
    <w:rsid w:val="00121EBE"/>
    <w:rsid w:val="001223E6"/>
    <w:rsid w:val="0012307F"/>
    <w:rsid w:val="00123C0A"/>
    <w:rsid w:val="0012455C"/>
    <w:rsid w:val="00124891"/>
    <w:rsid w:val="001259B0"/>
    <w:rsid w:val="00126021"/>
    <w:rsid w:val="001260D3"/>
    <w:rsid w:val="00126A6C"/>
    <w:rsid w:val="00127B32"/>
    <w:rsid w:val="00127BF8"/>
    <w:rsid w:val="00130433"/>
    <w:rsid w:val="001305C0"/>
    <w:rsid w:val="00130885"/>
    <w:rsid w:val="00130FB1"/>
    <w:rsid w:val="00130FBE"/>
    <w:rsid w:val="001313CC"/>
    <w:rsid w:val="00131D11"/>
    <w:rsid w:val="0013372E"/>
    <w:rsid w:val="00134124"/>
    <w:rsid w:val="0013535D"/>
    <w:rsid w:val="00136A6C"/>
    <w:rsid w:val="0013719E"/>
    <w:rsid w:val="00137CAF"/>
    <w:rsid w:val="001401E8"/>
    <w:rsid w:val="001418EC"/>
    <w:rsid w:val="00141BF7"/>
    <w:rsid w:val="00141CD4"/>
    <w:rsid w:val="0014274E"/>
    <w:rsid w:val="00142BB6"/>
    <w:rsid w:val="00142DFA"/>
    <w:rsid w:val="001431AE"/>
    <w:rsid w:val="001431ED"/>
    <w:rsid w:val="00143313"/>
    <w:rsid w:val="0014580C"/>
    <w:rsid w:val="0014599A"/>
    <w:rsid w:val="00146222"/>
    <w:rsid w:val="0014673F"/>
    <w:rsid w:val="00146D02"/>
    <w:rsid w:val="00147259"/>
    <w:rsid w:val="00147A64"/>
    <w:rsid w:val="00150501"/>
    <w:rsid w:val="001506C9"/>
    <w:rsid w:val="0015075B"/>
    <w:rsid w:val="00150804"/>
    <w:rsid w:val="00150A8D"/>
    <w:rsid w:val="00150ED5"/>
    <w:rsid w:val="00151C7A"/>
    <w:rsid w:val="001527FD"/>
    <w:rsid w:val="00153442"/>
    <w:rsid w:val="00154A00"/>
    <w:rsid w:val="00155535"/>
    <w:rsid w:val="001556A2"/>
    <w:rsid w:val="00155EE8"/>
    <w:rsid w:val="00156694"/>
    <w:rsid w:val="00156B7A"/>
    <w:rsid w:val="00157436"/>
    <w:rsid w:val="00157B16"/>
    <w:rsid w:val="00160392"/>
    <w:rsid w:val="00160C9B"/>
    <w:rsid w:val="00162605"/>
    <w:rsid w:val="0016261B"/>
    <w:rsid w:val="00162901"/>
    <w:rsid w:val="00163D17"/>
    <w:rsid w:val="00163FE6"/>
    <w:rsid w:val="0016430F"/>
    <w:rsid w:val="00164505"/>
    <w:rsid w:val="001647AC"/>
    <w:rsid w:val="00164953"/>
    <w:rsid w:val="001649E4"/>
    <w:rsid w:val="00164A59"/>
    <w:rsid w:val="00165151"/>
    <w:rsid w:val="00165796"/>
    <w:rsid w:val="00165D9E"/>
    <w:rsid w:val="00166536"/>
    <w:rsid w:val="0016685E"/>
    <w:rsid w:val="001670B6"/>
    <w:rsid w:val="0016734B"/>
    <w:rsid w:val="00167475"/>
    <w:rsid w:val="001677B6"/>
    <w:rsid w:val="00167CE7"/>
    <w:rsid w:val="0017091D"/>
    <w:rsid w:val="00171726"/>
    <w:rsid w:val="001736AD"/>
    <w:rsid w:val="00173BA0"/>
    <w:rsid w:val="001744DC"/>
    <w:rsid w:val="001748A3"/>
    <w:rsid w:val="00174F5B"/>
    <w:rsid w:val="00175C5E"/>
    <w:rsid w:val="00175D53"/>
    <w:rsid w:val="00176383"/>
    <w:rsid w:val="00176607"/>
    <w:rsid w:val="00176C5A"/>
    <w:rsid w:val="00177798"/>
    <w:rsid w:val="001779B6"/>
    <w:rsid w:val="001807DC"/>
    <w:rsid w:val="001808E7"/>
    <w:rsid w:val="00180E19"/>
    <w:rsid w:val="00180E1F"/>
    <w:rsid w:val="0018150D"/>
    <w:rsid w:val="00181DAB"/>
    <w:rsid w:val="001823C5"/>
    <w:rsid w:val="001824EC"/>
    <w:rsid w:val="00183C89"/>
    <w:rsid w:val="001842CC"/>
    <w:rsid w:val="00184367"/>
    <w:rsid w:val="001846E6"/>
    <w:rsid w:val="00184874"/>
    <w:rsid w:val="001849FA"/>
    <w:rsid w:val="00186B2E"/>
    <w:rsid w:val="00186DB1"/>
    <w:rsid w:val="00191815"/>
    <w:rsid w:val="00191CE8"/>
    <w:rsid w:val="00191D0E"/>
    <w:rsid w:val="00192158"/>
    <w:rsid w:val="001940CE"/>
    <w:rsid w:val="00194483"/>
    <w:rsid w:val="001949D3"/>
    <w:rsid w:val="00194E21"/>
    <w:rsid w:val="001952F2"/>
    <w:rsid w:val="0019648A"/>
    <w:rsid w:val="001964CD"/>
    <w:rsid w:val="00197173"/>
    <w:rsid w:val="001A0A32"/>
    <w:rsid w:val="001A12B3"/>
    <w:rsid w:val="001A147D"/>
    <w:rsid w:val="001A1986"/>
    <w:rsid w:val="001A1B60"/>
    <w:rsid w:val="001A1E77"/>
    <w:rsid w:val="001A2537"/>
    <w:rsid w:val="001A25E9"/>
    <w:rsid w:val="001A2B3C"/>
    <w:rsid w:val="001A3456"/>
    <w:rsid w:val="001A35D1"/>
    <w:rsid w:val="001A3B48"/>
    <w:rsid w:val="001A4DC1"/>
    <w:rsid w:val="001A56A0"/>
    <w:rsid w:val="001A5DE8"/>
    <w:rsid w:val="001A7456"/>
    <w:rsid w:val="001A7816"/>
    <w:rsid w:val="001B033B"/>
    <w:rsid w:val="001B06C3"/>
    <w:rsid w:val="001B0D19"/>
    <w:rsid w:val="001B1090"/>
    <w:rsid w:val="001B2518"/>
    <w:rsid w:val="001B25C3"/>
    <w:rsid w:val="001B35CE"/>
    <w:rsid w:val="001B3D4C"/>
    <w:rsid w:val="001B4636"/>
    <w:rsid w:val="001B48C5"/>
    <w:rsid w:val="001B5799"/>
    <w:rsid w:val="001B6434"/>
    <w:rsid w:val="001B649F"/>
    <w:rsid w:val="001B6B61"/>
    <w:rsid w:val="001B6DB5"/>
    <w:rsid w:val="001B72CE"/>
    <w:rsid w:val="001B7B31"/>
    <w:rsid w:val="001BEC8C"/>
    <w:rsid w:val="001C0494"/>
    <w:rsid w:val="001C0A9A"/>
    <w:rsid w:val="001C0BE9"/>
    <w:rsid w:val="001C0CF5"/>
    <w:rsid w:val="001C1F4E"/>
    <w:rsid w:val="001C203D"/>
    <w:rsid w:val="001C2996"/>
    <w:rsid w:val="001C3C3E"/>
    <w:rsid w:val="001C414C"/>
    <w:rsid w:val="001C4628"/>
    <w:rsid w:val="001C58A1"/>
    <w:rsid w:val="001C5AA6"/>
    <w:rsid w:val="001C5C1B"/>
    <w:rsid w:val="001C6075"/>
    <w:rsid w:val="001C635C"/>
    <w:rsid w:val="001C6B72"/>
    <w:rsid w:val="001C6D47"/>
    <w:rsid w:val="001C7492"/>
    <w:rsid w:val="001C7E22"/>
    <w:rsid w:val="001D0575"/>
    <w:rsid w:val="001D0747"/>
    <w:rsid w:val="001D0772"/>
    <w:rsid w:val="001D163E"/>
    <w:rsid w:val="001D1A9A"/>
    <w:rsid w:val="001D1C8B"/>
    <w:rsid w:val="001D252E"/>
    <w:rsid w:val="001D3361"/>
    <w:rsid w:val="001D3D21"/>
    <w:rsid w:val="001D5325"/>
    <w:rsid w:val="001D566D"/>
    <w:rsid w:val="001D5D30"/>
    <w:rsid w:val="001D5F14"/>
    <w:rsid w:val="001D6242"/>
    <w:rsid w:val="001D6C76"/>
    <w:rsid w:val="001D6EAC"/>
    <w:rsid w:val="001D6F65"/>
    <w:rsid w:val="001D71A3"/>
    <w:rsid w:val="001D733B"/>
    <w:rsid w:val="001D7676"/>
    <w:rsid w:val="001D7E0B"/>
    <w:rsid w:val="001E0775"/>
    <w:rsid w:val="001E186D"/>
    <w:rsid w:val="001E1B4A"/>
    <w:rsid w:val="001E2293"/>
    <w:rsid w:val="001E3861"/>
    <w:rsid w:val="001E402B"/>
    <w:rsid w:val="001E48A0"/>
    <w:rsid w:val="001E4BA5"/>
    <w:rsid w:val="001E5451"/>
    <w:rsid w:val="001E62EF"/>
    <w:rsid w:val="001E6506"/>
    <w:rsid w:val="001E6E51"/>
    <w:rsid w:val="001E75EE"/>
    <w:rsid w:val="001E7A33"/>
    <w:rsid w:val="001E7AB9"/>
    <w:rsid w:val="001F0267"/>
    <w:rsid w:val="001F0EAE"/>
    <w:rsid w:val="001F1102"/>
    <w:rsid w:val="001F1714"/>
    <w:rsid w:val="001F1BDF"/>
    <w:rsid w:val="001F1D82"/>
    <w:rsid w:val="001F1DDF"/>
    <w:rsid w:val="001F29C1"/>
    <w:rsid w:val="001F30F8"/>
    <w:rsid w:val="001F3BEC"/>
    <w:rsid w:val="001F3EE1"/>
    <w:rsid w:val="001F42D5"/>
    <w:rsid w:val="001F47E7"/>
    <w:rsid w:val="001F4E7E"/>
    <w:rsid w:val="001F4F42"/>
    <w:rsid w:val="001F50C9"/>
    <w:rsid w:val="001F5179"/>
    <w:rsid w:val="001F64D1"/>
    <w:rsid w:val="001F69E3"/>
    <w:rsid w:val="0020059D"/>
    <w:rsid w:val="00200804"/>
    <w:rsid w:val="0020083B"/>
    <w:rsid w:val="002009A6"/>
    <w:rsid w:val="00200BAB"/>
    <w:rsid w:val="00200F86"/>
    <w:rsid w:val="00201A2F"/>
    <w:rsid w:val="00203F38"/>
    <w:rsid w:val="00203FB2"/>
    <w:rsid w:val="00204032"/>
    <w:rsid w:val="00204196"/>
    <w:rsid w:val="00204CF3"/>
    <w:rsid w:val="00205291"/>
    <w:rsid w:val="00205E8F"/>
    <w:rsid w:val="00206D74"/>
    <w:rsid w:val="00206ED4"/>
    <w:rsid w:val="002078F2"/>
    <w:rsid w:val="00207B0C"/>
    <w:rsid w:val="00207CD9"/>
    <w:rsid w:val="00210FE2"/>
    <w:rsid w:val="002129B8"/>
    <w:rsid w:val="00212EC3"/>
    <w:rsid w:val="002145DC"/>
    <w:rsid w:val="0021593A"/>
    <w:rsid w:val="00215EAA"/>
    <w:rsid w:val="00215F0A"/>
    <w:rsid w:val="002168FD"/>
    <w:rsid w:val="00216904"/>
    <w:rsid w:val="00216AED"/>
    <w:rsid w:val="00216BD2"/>
    <w:rsid w:val="0021700D"/>
    <w:rsid w:val="002174CE"/>
    <w:rsid w:val="00220318"/>
    <w:rsid w:val="00220395"/>
    <w:rsid w:val="002207FF"/>
    <w:rsid w:val="002208DB"/>
    <w:rsid w:val="00221453"/>
    <w:rsid w:val="00222566"/>
    <w:rsid w:val="00223031"/>
    <w:rsid w:val="00223690"/>
    <w:rsid w:val="00223AAF"/>
    <w:rsid w:val="00224312"/>
    <w:rsid w:val="0022449C"/>
    <w:rsid w:val="00224EB3"/>
    <w:rsid w:val="00226409"/>
    <w:rsid w:val="00226667"/>
    <w:rsid w:val="0022666D"/>
    <w:rsid w:val="00227210"/>
    <w:rsid w:val="002279C4"/>
    <w:rsid w:val="00227A2D"/>
    <w:rsid w:val="002316F1"/>
    <w:rsid w:val="00231A95"/>
    <w:rsid w:val="00233137"/>
    <w:rsid w:val="0023454C"/>
    <w:rsid w:val="00235286"/>
    <w:rsid w:val="002356B8"/>
    <w:rsid w:val="00235F12"/>
    <w:rsid w:val="002362B6"/>
    <w:rsid w:val="00236374"/>
    <w:rsid w:val="00236589"/>
    <w:rsid w:val="00236649"/>
    <w:rsid w:val="00237D8D"/>
    <w:rsid w:val="00241386"/>
    <w:rsid w:val="00241E80"/>
    <w:rsid w:val="002424CD"/>
    <w:rsid w:val="00242808"/>
    <w:rsid w:val="0024356E"/>
    <w:rsid w:val="002435F7"/>
    <w:rsid w:val="002438A7"/>
    <w:rsid w:val="00243B0E"/>
    <w:rsid w:val="00243BB9"/>
    <w:rsid w:val="002451E3"/>
    <w:rsid w:val="002451EF"/>
    <w:rsid w:val="00245369"/>
    <w:rsid w:val="002455E2"/>
    <w:rsid w:val="00247794"/>
    <w:rsid w:val="0025028B"/>
    <w:rsid w:val="002504E7"/>
    <w:rsid w:val="00250F94"/>
    <w:rsid w:val="002512D1"/>
    <w:rsid w:val="0025197F"/>
    <w:rsid w:val="00252D29"/>
    <w:rsid w:val="00253A41"/>
    <w:rsid w:val="00253CFC"/>
    <w:rsid w:val="00254622"/>
    <w:rsid w:val="00254668"/>
    <w:rsid w:val="002567CB"/>
    <w:rsid w:val="00256BD6"/>
    <w:rsid w:val="00257368"/>
    <w:rsid w:val="0025EE54"/>
    <w:rsid w:val="00260DFA"/>
    <w:rsid w:val="002617D7"/>
    <w:rsid w:val="0026195A"/>
    <w:rsid w:val="00262465"/>
    <w:rsid w:val="00262CC0"/>
    <w:rsid w:val="0026308A"/>
    <w:rsid w:val="00263242"/>
    <w:rsid w:val="002635EC"/>
    <w:rsid w:val="002636FD"/>
    <w:rsid w:val="00263923"/>
    <w:rsid w:val="002643E2"/>
    <w:rsid w:val="00265E63"/>
    <w:rsid w:val="00266B6C"/>
    <w:rsid w:val="002671D9"/>
    <w:rsid w:val="0026747B"/>
    <w:rsid w:val="00267637"/>
    <w:rsid w:val="00270178"/>
    <w:rsid w:val="002705A0"/>
    <w:rsid w:val="0027116F"/>
    <w:rsid w:val="00271276"/>
    <w:rsid w:val="002712CB"/>
    <w:rsid w:val="00271DCB"/>
    <w:rsid w:val="002724FD"/>
    <w:rsid w:val="002741A8"/>
    <w:rsid w:val="00274381"/>
    <w:rsid w:val="00274C48"/>
    <w:rsid w:val="002759E1"/>
    <w:rsid w:val="002803AA"/>
    <w:rsid w:val="002805D3"/>
    <w:rsid w:val="00280662"/>
    <w:rsid w:val="00280754"/>
    <w:rsid w:val="00280C82"/>
    <w:rsid w:val="002816BC"/>
    <w:rsid w:val="00281A13"/>
    <w:rsid w:val="00282B57"/>
    <w:rsid w:val="00282DFE"/>
    <w:rsid w:val="00282E42"/>
    <w:rsid w:val="002831EF"/>
    <w:rsid w:val="00284A90"/>
    <w:rsid w:val="00284A95"/>
    <w:rsid w:val="00285FFE"/>
    <w:rsid w:val="00286041"/>
    <w:rsid w:val="0028778B"/>
    <w:rsid w:val="00287963"/>
    <w:rsid w:val="0028B639"/>
    <w:rsid w:val="00290461"/>
    <w:rsid w:val="00290E90"/>
    <w:rsid w:val="00291D7D"/>
    <w:rsid w:val="002923BF"/>
    <w:rsid w:val="0029250F"/>
    <w:rsid w:val="00292AFF"/>
    <w:rsid w:val="00293272"/>
    <w:rsid w:val="00293990"/>
    <w:rsid w:val="002943A9"/>
    <w:rsid w:val="002943E7"/>
    <w:rsid w:val="002947EE"/>
    <w:rsid w:val="002947F9"/>
    <w:rsid w:val="00294BCF"/>
    <w:rsid w:val="002968E7"/>
    <w:rsid w:val="0029754C"/>
    <w:rsid w:val="0029755B"/>
    <w:rsid w:val="002978B1"/>
    <w:rsid w:val="00297901"/>
    <w:rsid w:val="002A10E7"/>
    <w:rsid w:val="002A1673"/>
    <w:rsid w:val="002A1A10"/>
    <w:rsid w:val="002A1FC0"/>
    <w:rsid w:val="002A2D71"/>
    <w:rsid w:val="002A342F"/>
    <w:rsid w:val="002A403D"/>
    <w:rsid w:val="002A44D5"/>
    <w:rsid w:val="002A4ED6"/>
    <w:rsid w:val="002A503E"/>
    <w:rsid w:val="002A5533"/>
    <w:rsid w:val="002A5C3B"/>
    <w:rsid w:val="002A71C0"/>
    <w:rsid w:val="002A7C7E"/>
    <w:rsid w:val="002B0977"/>
    <w:rsid w:val="002B0A23"/>
    <w:rsid w:val="002B0B61"/>
    <w:rsid w:val="002B0C76"/>
    <w:rsid w:val="002B0CAF"/>
    <w:rsid w:val="002B17BE"/>
    <w:rsid w:val="002B1AAE"/>
    <w:rsid w:val="002B311A"/>
    <w:rsid w:val="002B31C8"/>
    <w:rsid w:val="002B378C"/>
    <w:rsid w:val="002B3CD6"/>
    <w:rsid w:val="002B58EB"/>
    <w:rsid w:val="002B5A06"/>
    <w:rsid w:val="002B5F9D"/>
    <w:rsid w:val="002B67E8"/>
    <w:rsid w:val="002B693B"/>
    <w:rsid w:val="002B69DB"/>
    <w:rsid w:val="002B6AAC"/>
    <w:rsid w:val="002B7AD4"/>
    <w:rsid w:val="002C01B2"/>
    <w:rsid w:val="002C0633"/>
    <w:rsid w:val="002C0706"/>
    <w:rsid w:val="002C08F8"/>
    <w:rsid w:val="002C0A16"/>
    <w:rsid w:val="002C0FA6"/>
    <w:rsid w:val="002C11A3"/>
    <w:rsid w:val="002C122C"/>
    <w:rsid w:val="002C1489"/>
    <w:rsid w:val="002C1698"/>
    <w:rsid w:val="002C174D"/>
    <w:rsid w:val="002C1ED2"/>
    <w:rsid w:val="002C381D"/>
    <w:rsid w:val="002C40E5"/>
    <w:rsid w:val="002C4AE0"/>
    <w:rsid w:val="002C5589"/>
    <w:rsid w:val="002C61B0"/>
    <w:rsid w:val="002C6EC5"/>
    <w:rsid w:val="002C7DF7"/>
    <w:rsid w:val="002D01AB"/>
    <w:rsid w:val="002D02D1"/>
    <w:rsid w:val="002D0917"/>
    <w:rsid w:val="002D0B58"/>
    <w:rsid w:val="002D10EB"/>
    <w:rsid w:val="002D1A5F"/>
    <w:rsid w:val="002D1D0A"/>
    <w:rsid w:val="002D290C"/>
    <w:rsid w:val="002D2A25"/>
    <w:rsid w:val="002D37D2"/>
    <w:rsid w:val="002D3B51"/>
    <w:rsid w:val="002D3C12"/>
    <w:rsid w:val="002D437D"/>
    <w:rsid w:val="002D465C"/>
    <w:rsid w:val="002D4D22"/>
    <w:rsid w:val="002D503D"/>
    <w:rsid w:val="002D53B7"/>
    <w:rsid w:val="002D5C64"/>
    <w:rsid w:val="002D7770"/>
    <w:rsid w:val="002D78F5"/>
    <w:rsid w:val="002E0512"/>
    <w:rsid w:val="002E25F0"/>
    <w:rsid w:val="002E2E1A"/>
    <w:rsid w:val="002E2F82"/>
    <w:rsid w:val="002E2F92"/>
    <w:rsid w:val="002E2FFB"/>
    <w:rsid w:val="002E370A"/>
    <w:rsid w:val="002E3BDF"/>
    <w:rsid w:val="002E3D7A"/>
    <w:rsid w:val="002E4795"/>
    <w:rsid w:val="002E49BA"/>
    <w:rsid w:val="002E4EB2"/>
    <w:rsid w:val="002E561E"/>
    <w:rsid w:val="002E5CBD"/>
    <w:rsid w:val="002E60BE"/>
    <w:rsid w:val="002E79F9"/>
    <w:rsid w:val="002E7D7B"/>
    <w:rsid w:val="002F01D7"/>
    <w:rsid w:val="002F035F"/>
    <w:rsid w:val="002F3CB1"/>
    <w:rsid w:val="002F3FC3"/>
    <w:rsid w:val="002F4C6F"/>
    <w:rsid w:val="002F565C"/>
    <w:rsid w:val="002F5AA1"/>
    <w:rsid w:val="002F6050"/>
    <w:rsid w:val="002F60A2"/>
    <w:rsid w:val="002F62DC"/>
    <w:rsid w:val="002F6A27"/>
    <w:rsid w:val="002F70EF"/>
    <w:rsid w:val="0030108D"/>
    <w:rsid w:val="0030139A"/>
    <w:rsid w:val="003013FE"/>
    <w:rsid w:val="00301789"/>
    <w:rsid w:val="00301BE3"/>
    <w:rsid w:val="00302CE5"/>
    <w:rsid w:val="0030320B"/>
    <w:rsid w:val="0030378D"/>
    <w:rsid w:val="00304D2D"/>
    <w:rsid w:val="00304F52"/>
    <w:rsid w:val="003052F1"/>
    <w:rsid w:val="0030573E"/>
    <w:rsid w:val="00305F45"/>
    <w:rsid w:val="00306047"/>
    <w:rsid w:val="00306613"/>
    <w:rsid w:val="00306C7A"/>
    <w:rsid w:val="00310562"/>
    <w:rsid w:val="003116E6"/>
    <w:rsid w:val="003117E6"/>
    <w:rsid w:val="00311F77"/>
    <w:rsid w:val="0031365F"/>
    <w:rsid w:val="00313B6E"/>
    <w:rsid w:val="003147F5"/>
    <w:rsid w:val="00314E4E"/>
    <w:rsid w:val="00314F6F"/>
    <w:rsid w:val="0031516B"/>
    <w:rsid w:val="003154B2"/>
    <w:rsid w:val="00315E55"/>
    <w:rsid w:val="003162BB"/>
    <w:rsid w:val="003167C7"/>
    <w:rsid w:val="0031687A"/>
    <w:rsid w:val="00316AFE"/>
    <w:rsid w:val="00317DF7"/>
    <w:rsid w:val="00321D5C"/>
    <w:rsid w:val="0032205F"/>
    <w:rsid w:val="00322089"/>
    <w:rsid w:val="00322292"/>
    <w:rsid w:val="00322C6B"/>
    <w:rsid w:val="003236BD"/>
    <w:rsid w:val="00323E34"/>
    <w:rsid w:val="00324FE7"/>
    <w:rsid w:val="003251FF"/>
    <w:rsid w:val="003252C5"/>
    <w:rsid w:val="00326594"/>
    <w:rsid w:val="00326C22"/>
    <w:rsid w:val="003278BC"/>
    <w:rsid w:val="00327D28"/>
    <w:rsid w:val="00330015"/>
    <w:rsid w:val="0033006C"/>
    <w:rsid w:val="0033066A"/>
    <w:rsid w:val="00331176"/>
    <w:rsid w:val="00331A16"/>
    <w:rsid w:val="00331EF5"/>
    <w:rsid w:val="0033284E"/>
    <w:rsid w:val="00333245"/>
    <w:rsid w:val="003334BA"/>
    <w:rsid w:val="003343C1"/>
    <w:rsid w:val="0033484B"/>
    <w:rsid w:val="00334896"/>
    <w:rsid w:val="00334EE1"/>
    <w:rsid w:val="003351B6"/>
    <w:rsid w:val="00335ADC"/>
    <w:rsid w:val="00336EE3"/>
    <w:rsid w:val="00337D3B"/>
    <w:rsid w:val="003409C9"/>
    <w:rsid w:val="00340FE5"/>
    <w:rsid w:val="00341801"/>
    <w:rsid w:val="0034197B"/>
    <w:rsid w:val="00341CE4"/>
    <w:rsid w:val="003424AA"/>
    <w:rsid w:val="00342D3A"/>
    <w:rsid w:val="0034313D"/>
    <w:rsid w:val="00343142"/>
    <w:rsid w:val="0034371B"/>
    <w:rsid w:val="00343C9E"/>
    <w:rsid w:val="003442EA"/>
    <w:rsid w:val="00344597"/>
    <w:rsid w:val="003450F0"/>
    <w:rsid w:val="00345A39"/>
    <w:rsid w:val="00346D0A"/>
    <w:rsid w:val="00346DEC"/>
    <w:rsid w:val="00347802"/>
    <w:rsid w:val="00347AB9"/>
    <w:rsid w:val="00347CD1"/>
    <w:rsid w:val="003507A1"/>
    <w:rsid w:val="003509BF"/>
    <w:rsid w:val="00351494"/>
    <w:rsid w:val="00352C45"/>
    <w:rsid w:val="00353987"/>
    <w:rsid w:val="0035486D"/>
    <w:rsid w:val="00354A1B"/>
    <w:rsid w:val="00354DBC"/>
    <w:rsid w:val="00354F92"/>
    <w:rsid w:val="00356307"/>
    <w:rsid w:val="0035753B"/>
    <w:rsid w:val="0036071F"/>
    <w:rsid w:val="00360D03"/>
    <w:rsid w:val="00361247"/>
    <w:rsid w:val="00362E4F"/>
    <w:rsid w:val="00363234"/>
    <w:rsid w:val="0036344D"/>
    <w:rsid w:val="003640D1"/>
    <w:rsid w:val="003641B8"/>
    <w:rsid w:val="0036451D"/>
    <w:rsid w:val="0036453E"/>
    <w:rsid w:val="0036501A"/>
    <w:rsid w:val="0036565B"/>
    <w:rsid w:val="003656B2"/>
    <w:rsid w:val="00366220"/>
    <w:rsid w:val="003665BB"/>
    <w:rsid w:val="003665BE"/>
    <w:rsid w:val="003674A0"/>
    <w:rsid w:val="003674DB"/>
    <w:rsid w:val="003676EC"/>
    <w:rsid w:val="003677C4"/>
    <w:rsid w:val="00367F11"/>
    <w:rsid w:val="003719FD"/>
    <w:rsid w:val="00371C67"/>
    <w:rsid w:val="00371E79"/>
    <w:rsid w:val="00373189"/>
    <w:rsid w:val="00374FB4"/>
    <w:rsid w:val="00375AC3"/>
    <w:rsid w:val="003766F1"/>
    <w:rsid w:val="0037720F"/>
    <w:rsid w:val="00380CBA"/>
    <w:rsid w:val="00380FFA"/>
    <w:rsid w:val="003816E2"/>
    <w:rsid w:val="0038365C"/>
    <w:rsid w:val="00383A58"/>
    <w:rsid w:val="00383AEC"/>
    <w:rsid w:val="00383F9E"/>
    <w:rsid w:val="0038435C"/>
    <w:rsid w:val="00385BE5"/>
    <w:rsid w:val="00385DE2"/>
    <w:rsid w:val="0038633A"/>
    <w:rsid w:val="0038641C"/>
    <w:rsid w:val="003869DE"/>
    <w:rsid w:val="0038799C"/>
    <w:rsid w:val="00387B68"/>
    <w:rsid w:val="003900EA"/>
    <w:rsid w:val="00390D97"/>
    <w:rsid w:val="00391444"/>
    <w:rsid w:val="00391EE0"/>
    <w:rsid w:val="00392386"/>
    <w:rsid w:val="00392592"/>
    <w:rsid w:val="00393A1B"/>
    <w:rsid w:val="00395D26"/>
    <w:rsid w:val="003961E7"/>
    <w:rsid w:val="00396523"/>
    <w:rsid w:val="00396887"/>
    <w:rsid w:val="00396DF7"/>
    <w:rsid w:val="003972BD"/>
    <w:rsid w:val="003975CB"/>
    <w:rsid w:val="00397A06"/>
    <w:rsid w:val="00397DAB"/>
    <w:rsid w:val="00397EA7"/>
    <w:rsid w:val="003A02D0"/>
    <w:rsid w:val="003A14C0"/>
    <w:rsid w:val="003A1686"/>
    <w:rsid w:val="003A1C14"/>
    <w:rsid w:val="003A29DC"/>
    <w:rsid w:val="003A2C4C"/>
    <w:rsid w:val="003A3F2C"/>
    <w:rsid w:val="003A466C"/>
    <w:rsid w:val="003A495F"/>
    <w:rsid w:val="003A58CE"/>
    <w:rsid w:val="003A5B19"/>
    <w:rsid w:val="003A6018"/>
    <w:rsid w:val="003A6211"/>
    <w:rsid w:val="003A6401"/>
    <w:rsid w:val="003A67E6"/>
    <w:rsid w:val="003A68DF"/>
    <w:rsid w:val="003A6D6F"/>
    <w:rsid w:val="003A6D71"/>
    <w:rsid w:val="003A6F13"/>
    <w:rsid w:val="003B01FE"/>
    <w:rsid w:val="003B1958"/>
    <w:rsid w:val="003B1D5C"/>
    <w:rsid w:val="003B291F"/>
    <w:rsid w:val="003B2A8D"/>
    <w:rsid w:val="003B2AD8"/>
    <w:rsid w:val="003B30DF"/>
    <w:rsid w:val="003B35B3"/>
    <w:rsid w:val="003B3932"/>
    <w:rsid w:val="003B3BB6"/>
    <w:rsid w:val="003B3E7E"/>
    <w:rsid w:val="003B3F1B"/>
    <w:rsid w:val="003B419C"/>
    <w:rsid w:val="003B50C6"/>
    <w:rsid w:val="003B6081"/>
    <w:rsid w:val="003B627D"/>
    <w:rsid w:val="003B6392"/>
    <w:rsid w:val="003B74CB"/>
    <w:rsid w:val="003B773C"/>
    <w:rsid w:val="003B795D"/>
    <w:rsid w:val="003B7CDD"/>
    <w:rsid w:val="003C122C"/>
    <w:rsid w:val="003C1B10"/>
    <w:rsid w:val="003C1FC6"/>
    <w:rsid w:val="003C2815"/>
    <w:rsid w:val="003C287E"/>
    <w:rsid w:val="003C2BBC"/>
    <w:rsid w:val="003C308A"/>
    <w:rsid w:val="003C32ED"/>
    <w:rsid w:val="003C3D1C"/>
    <w:rsid w:val="003C3D44"/>
    <w:rsid w:val="003C4082"/>
    <w:rsid w:val="003C5A8B"/>
    <w:rsid w:val="003C5FB9"/>
    <w:rsid w:val="003C736B"/>
    <w:rsid w:val="003C74A3"/>
    <w:rsid w:val="003C7BD0"/>
    <w:rsid w:val="003D001E"/>
    <w:rsid w:val="003D05C8"/>
    <w:rsid w:val="003D0E9E"/>
    <w:rsid w:val="003D1BDB"/>
    <w:rsid w:val="003D2A79"/>
    <w:rsid w:val="003D3363"/>
    <w:rsid w:val="003D38F2"/>
    <w:rsid w:val="003D3D17"/>
    <w:rsid w:val="003D4418"/>
    <w:rsid w:val="003D47D9"/>
    <w:rsid w:val="003D4FA2"/>
    <w:rsid w:val="003D521A"/>
    <w:rsid w:val="003D5304"/>
    <w:rsid w:val="003D6869"/>
    <w:rsid w:val="003D77FF"/>
    <w:rsid w:val="003E002F"/>
    <w:rsid w:val="003E0335"/>
    <w:rsid w:val="003E045A"/>
    <w:rsid w:val="003E19BA"/>
    <w:rsid w:val="003E1B6C"/>
    <w:rsid w:val="003E1BB1"/>
    <w:rsid w:val="003E1DB3"/>
    <w:rsid w:val="003E21A1"/>
    <w:rsid w:val="003E2758"/>
    <w:rsid w:val="003E2CE0"/>
    <w:rsid w:val="003E33BF"/>
    <w:rsid w:val="003E3D4C"/>
    <w:rsid w:val="003E4487"/>
    <w:rsid w:val="003E4976"/>
    <w:rsid w:val="003E5251"/>
    <w:rsid w:val="003E5A3F"/>
    <w:rsid w:val="003E5AB4"/>
    <w:rsid w:val="003E66F1"/>
    <w:rsid w:val="003F017B"/>
    <w:rsid w:val="003F017F"/>
    <w:rsid w:val="003F0483"/>
    <w:rsid w:val="003F28F8"/>
    <w:rsid w:val="003F33A6"/>
    <w:rsid w:val="003F3919"/>
    <w:rsid w:val="003F46FB"/>
    <w:rsid w:val="003F4B10"/>
    <w:rsid w:val="003F4B60"/>
    <w:rsid w:val="003F5204"/>
    <w:rsid w:val="003F561C"/>
    <w:rsid w:val="003F5BB0"/>
    <w:rsid w:val="003F6D72"/>
    <w:rsid w:val="003F70AF"/>
    <w:rsid w:val="004001B0"/>
    <w:rsid w:val="00400261"/>
    <w:rsid w:val="00400927"/>
    <w:rsid w:val="00400BF1"/>
    <w:rsid w:val="00401256"/>
    <w:rsid w:val="004019E5"/>
    <w:rsid w:val="00401B67"/>
    <w:rsid w:val="00402336"/>
    <w:rsid w:val="00403F64"/>
    <w:rsid w:val="00403FDC"/>
    <w:rsid w:val="0040456E"/>
    <w:rsid w:val="004048E4"/>
    <w:rsid w:val="00406141"/>
    <w:rsid w:val="00406A27"/>
    <w:rsid w:val="00406A90"/>
    <w:rsid w:val="00407037"/>
    <w:rsid w:val="00407C38"/>
    <w:rsid w:val="00407ECB"/>
    <w:rsid w:val="00411650"/>
    <w:rsid w:val="00411D76"/>
    <w:rsid w:val="00411D79"/>
    <w:rsid w:val="004121BA"/>
    <w:rsid w:val="00412A24"/>
    <w:rsid w:val="00412B1F"/>
    <w:rsid w:val="00413712"/>
    <w:rsid w:val="00413804"/>
    <w:rsid w:val="00413DC7"/>
    <w:rsid w:val="004141B6"/>
    <w:rsid w:val="00415F1C"/>
    <w:rsid w:val="00416378"/>
    <w:rsid w:val="00416D64"/>
    <w:rsid w:val="00416FBC"/>
    <w:rsid w:val="0041710A"/>
    <w:rsid w:val="00417952"/>
    <w:rsid w:val="00420503"/>
    <w:rsid w:val="004207F3"/>
    <w:rsid w:val="0042098C"/>
    <w:rsid w:val="00420B61"/>
    <w:rsid w:val="004211EE"/>
    <w:rsid w:val="004211F8"/>
    <w:rsid w:val="00421D56"/>
    <w:rsid w:val="004225FE"/>
    <w:rsid w:val="004235B6"/>
    <w:rsid w:val="00423B26"/>
    <w:rsid w:val="00423DB5"/>
    <w:rsid w:val="00424682"/>
    <w:rsid w:val="00425393"/>
    <w:rsid w:val="00425818"/>
    <w:rsid w:val="004260F2"/>
    <w:rsid w:val="0042646A"/>
    <w:rsid w:val="00426C8D"/>
    <w:rsid w:val="0042737C"/>
    <w:rsid w:val="0042775A"/>
    <w:rsid w:val="00430325"/>
    <w:rsid w:val="0043073D"/>
    <w:rsid w:val="00430AAC"/>
    <w:rsid w:val="00430BC7"/>
    <w:rsid w:val="00430BFD"/>
    <w:rsid w:val="004316A1"/>
    <w:rsid w:val="004317D4"/>
    <w:rsid w:val="00431959"/>
    <w:rsid w:val="00431ECC"/>
    <w:rsid w:val="00432300"/>
    <w:rsid w:val="00433100"/>
    <w:rsid w:val="00434ABC"/>
    <w:rsid w:val="00435278"/>
    <w:rsid w:val="0043577D"/>
    <w:rsid w:val="00435CF9"/>
    <w:rsid w:val="00435EFC"/>
    <w:rsid w:val="0043676E"/>
    <w:rsid w:val="00436A6F"/>
    <w:rsid w:val="004378B4"/>
    <w:rsid w:val="00437C92"/>
    <w:rsid w:val="00437D4F"/>
    <w:rsid w:val="00441E6C"/>
    <w:rsid w:val="0044219A"/>
    <w:rsid w:val="00442BD1"/>
    <w:rsid w:val="00443D09"/>
    <w:rsid w:val="004443D4"/>
    <w:rsid w:val="00444C93"/>
    <w:rsid w:val="00444D68"/>
    <w:rsid w:val="00445A47"/>
    <w:rsid w:val="00445AED"/>
    <w:rsid w:val="004460E9"/>
    <w:rsid w:val="00446129"/>
    <w:rsid w:val="004464E1"/>
    <w:rsid w:val="00446902"/>
    <w:rsid w:val="00446C40"/>
    <w:rsid w:val="00447BDD"/>
    <w:rsid w:val="00450B55"/>
    <w:rsid w:val="004516A7"/>
    <w:rsid w:val="0045186D"/>
    <w:rsid w:val="00451CC8"/>
    <w:rsid w:val="00451FF4"/>
    <w:rsid w:val="00452B7F"/>
    <w:rsid w:val="00452BB6"/>
    <w:rsid w:val="00453474"/>
    <w:rsid w:val="00454C05"/>
    <w:rsid w:val="00454E3B"/>
    <w:rsid w:val="00454F53"/>
    <w:rsid w:val="004550A9"/>
    <w:rsid w:val="004556EE"/>
    <w:rsid w:val="00456D6A"/>
    <w:rsid w:val="0045717E"/>
    <w:rsid w:val="00457C36"/>
    <w:rsid w:val="0046032F"/>
    <w:rsid w:val="00460CC0"/>
    <w:rsid w:val="00461A38"/>
    <w:rsid w:val="0046235A"/>
    <w:rsid w:val="004629E1"/>
    <w:rsid w:val="00462DC7"/>
    <w:rsid w:val="00462F17"/>
    <w:rsid w:val="004633B9"/>
    <w:rsid w:val="00463607"/>
    <w:rsid w:val="00463B3B"/>
    <w:rsid w:val="00464917"/>
    <w:rsid w:val="0046591D"/>
    <w:rsid w:val="00465995"/>
    <w:rsid w:val="00465CE2"/>
    <w:rsid w:val="00465DDF"/>
    <w:rsid w:val="00465EBD"/>
    <w:rsid w:val="00466ACC"/>
    <w:rsid w:val="00467A2B"/>
    <w:rsid w:val="00470238"/>
    <w:rsid w:val="00470E5F"/>
    <w:rsid w:val="00470F4E"/>
    <w:rsid w:val="004712B3"/>
    <w:rsid w:val="00471679"/>
    <w:rsid w:val="00471A4D"/>
    <w:rsid w:val="00471FAE"/>
    <w:rsid w:val="00472619"/>
    <w:rsid w:val="0047271D"/>
    <w:rsid w:val="00473666"/>
    <w:rsid w:val="00473F1D"/>
    <w:rsid w:val="004747AD"/>
    <w:rsid w:val="00474E82"/>
    <w:rsid w:val="00474F8B"/>
    <w:rsid w:val="00475589"/>
    <w:rsid w:val="00475D1B"/>
    <w:rsid w:val="00477B63"/>
    <w:rsid w:val="00477C68"/>
    <w:rsid w:val="00480525"/>
    <w:rsid w:val="004807B5"/>
    <w:rsid w:val="004815BA"/>
    <w:rsid w:val="004816C6"/>
    <w:rsid w:val="004825CA"/>
    <w:rsid w:val="004843C6"/>
    <w:rsid w:val="004843EB"/>
    <w:rsid w:val="0048478E"/>
    <w:rsid w:val="004852A1"/>
    <w:rsid w:val="00485397"/>
    <w:rsid w:val="00485746"/>
    <w:rsid w:val="004860C2"/>
    <w:rsid w:val="00486B5F"/>
    <w:rsid w:val="00486E8D"/>
    <w:rsid w:val="004871FE"/>
    <w:rsid w:val="00487641"/>
    <w:rsid w:val="00490570"/>
    <w:rsid w:val="00490610"/>
    <w:rsid w:val="00490626"/>
    <w:rsid w:val="00490C18"/>
    <w:rsid w:val="00490CD2"/>
    <w:rsid w:val="00492223"/>
    <w:rsid w:val="004926D7"/>
    <w:rsid w:val="00492F36"/>
    <w:rsid w:val="0049348A"/>
    <w:rsid w:val="004941DD"/>
    <w:rsid w:val="004942F0"/>
    <w:rsid w:val="0049438B"/>
    <w:rsid w:val="00494D2B"/>
    <w:rsid w:val="004956E6"/>
    <w:rsid w:val="00495B00"/>
    <w:rsid w:val="00495F9A"/>
    <w:rsid w:val="00496B45"/>
    <w:rsid w:val="0049736E"/>
    <w:rsid w:val="004A11DC"/>
    <w:rsid w:val="004A1880"/>
    <w:rsid w:val="004A1946"/>
    <w:rsid w:val="004A1EBB"/>
    <w:rsid w:val="004A4C2C"/>
    <w:rsid w:val="004A53E9"/>
    <w:rsid w:val="004A697D"/>
    <w:rsid w:val="004A788A"/>
    <w:rsid w:val="004A78D7"/>
    <w:rsid w:val="004B16AA"/>
    <w:rsid w:val="004B17D0"/>
    <w:rsid w:val="004B29B0"/>
    <w:rsid w:val="004B29BA"/>
    <w:rsid w:val="004B36F2"/>
    <w:rsid w:val="004B3AF3"/>
    <w:rsid w:val="004B3B56"/>
    <w:rsid w:val="004B4C22"/>
    <w:rsid w:val="004B503C"/>
    <w:rsid w:val="004B598E"/>
    <w:rsid w:val="004B692C"/>
    <w:rsid w:val="004B7247"/>
    <w:rsid w:val="004B7A8E"/>
    <w:rsid w:val="004B7AA8"/>
    <w:rsid w:val="004B7C2F"/>
    <w:rsid w:val="004B7D45"/>
    <w:rsid w:val="004C004C"/>
    <w:rsid w:val="004C0806"/>
    <w:rsid w:val="004C081C"/>
    <w:rsid w:val="004C087E"/>
    <w:rsid w:val="004C0889"/>
    <w:rsid w:val="004C0BE7"/>
    <w:rsid w:val="004C0CC3"/>
    <w:rsid w:val="004C1492"/>
    <w:rsid w:val="004C154B"/>
    <w:rsid w:val="004C166F"/>
    <w:rsid w:val="004C1AB5"/>
    <w:rsid w:val="004C1B6F"/>
    <w:rsid w:val="004C27B5"/>
    <w:rsid w:val="004C3A99"/>
    <w:rsid w:val="004C3B74"/>
    <w:rsid w:val="004C4705"/>
    <w:rsid w:val="004C4A94"/>
    <w:rsid w:val="004C546A"/>
    <w:rsid w:val="004C55DA"/>
    <w:rsid w:val="004C6630"/>
    <w:rsid w:val="004C74D3"/>
    <w:rsid w:val="004C77FE"/>
    <w:rsid w:val="004C7DF5"/>
    <w:rsid w:val="004D0145"/>
    <w:rsid w:val="004D0193"/>
    <w:rsid w:val="004D145F"/>
    <w:rsid w:val="004D1A06"/>
    <w:rsid w:val="004D1A16"/>
    <w:rsid w:val="004D1ECE"/>
    <w:rsid w:val="004D3D05"/>
    <w:rsid w:val="004D4067"/>
    <w:rsid w:val="004D45DD"/>
    <w:rsid w:val="004D4937"/>
    <w:rsid w:val="004D5669"/>
    <w:rsid w:val="004D56E0"/>
    <w:rsid w:val="004D5A06"/>
    <w:rsid w:val="004D5A54"/>
    <w:rsid w:val="004D5C48"/>
    <w:rsid w:val="004D6243"/>
    <w:rsid w:val="004D69EA"/>
    <w:rsid w:val="004D7157"/>
    <w:rsid w:val="004D788B"/>
    <w:rsid w:val="004E0E2C"/>
    <w:rsid w:val="004E129A"/>
    <w:rsid w:val="004E130C"/>
    <w:rsid w:val="004E1C0E"/>
    <w:rsid w:val="004E2ECD"/>
    <w:rsid w:val="004E3CAE"/>
    <w:rsid w:val="004E4C49"/>
    <w:rsid w:val="004E5709"/>
    <w:rsid w:val="004E5B82"/>
    <w:rsid w:val="004E5D18"/>
    <w:rsid w:val="004E611E"/>
    <w:rsid w:val="004E6126"/>
    <w:rsid w:val="004E6F4F"/>
    <w:rsid w:val="004E7169"/>
    <w:rsid w:val="004E71BC"/>
    <w:rsid w:val="004E774E"/>
    <w:rsid w:val="004EBEAA"/>
    <w:rsid w:val="004F1198"/>
    <w:rsid w:val="004F1746"/>
    <w:rsid w:val="004F1872"/>
    <w:rsid w:val="004F238C"/>
    <w:rsid w:val="004F3561"/>
    <w:rsid w:val="004F4E61"/>
    <w:rsid w:val="004F51B1"/>
    <w:rsid w:val="004F51F3"/>
    <w:rsid w:val="004F67B7"/>
    <w:rsid w:val="004F6CC6"/>
    <w:rsid w:val="004F6FE4"/>
    <w:rsid w:val="004F73DF"/>
    <w:rsid w:val="00500AD6"/>
    <w:rsid w:val="00500F3E"/>
    <w:rsid w:val="005013D3"/>
    <w:rsid w:val="005017BA"/>
    <w:rsid w:val="00501C4B"/>
    <w:rsid w:val="00501D1F"/>
    <w:rsid w:val="0050226E"/>
    <w:rsid w:val="005024CF"/>
    <w:rsid w:val="005033CC"/>
    <w:rsid w:val="00503A77"/>
    <w:rsid w:val="00503B22"/>
    <w:rsid w:val="00503C55"/>
    <w:rsid w:val="00503ED0"/>
    <w:rsid w:val="005042B0"/>
    <w:rsid w:val="0050603C"/>
    <w:rsid w:val="005066FD"/>
    <w:rsid w:val="005072AF"/>
    <w:rsid w:val="0050762B"/>
    <w:rsid w:val="00507980"/>
    <w:rsid w:val="0051082A"/>
    <w:rsid w:val="00511865"/>
    <w:rsid w:val="0051269C"/>
    <w:rsid w:val="005129A2"/>
    <w:rsid w:val="005140AF"/>
    <w:rsid w:val="005142D6"/>
    <w:rsid w:val="00514BCC"/>
    <w:rsid w:val="00514E0C"/>
    <w:rsid w:val="005153F6"/>
    <w:rsid w:val="005162FD"/>
    <w:rsid w:val="0051631F"/>
    <w:rsid w:val="00516BB9"/>
    <w:rsid w:val="0052054B"/>
    <w:rsid w:val="00520735"/>
    <w:rsid w:val="0052119B"/>
    <w:rsid w:val="005214FC"/>
    <w:rsid w:val="00521A91"/>
    <w:rsid w:val="00521E75"/>
    <w:rsid w:val="00522518"/>
    <w:rsid w:val="005228D5"/>
    <w:rsid w:val="00524196"/>
    <w:rsid w:val="005242A6"/>
    <w:rsid w:val="00524554"/>
    <w:rsid w:val="005247F2"/>
    <w:rsid w:val="00524E67"/>
    <w:rsid w:val="005256FE"/>
    <w:rsid w:val="00525EF1"/>
    <w:rsid w:val="005275C8"/>
    <w:rsid w:val="00530C0E"/>
    <w:rsid w:val="00531683"/>
    <w:rsid w:val="00531935"/>
    <w:rsid w:val="0053274E"/>
    <w:rsid w:val="00532915"/>
    <w:rsid w:val="00532D5F"/>
    <w:rsid w:val="005333B7"/>
    <w:rsid w:val="00533E5D"/>
    <w:rsid w:val="00535168"/>
    <w:rsid w:val="00535ADC"/>
    <w:rsid w:val="00535BA4"/>
    <w:rsid w:val="00535C82"/>
    <w:rsid w:val="00536BE0"/>
    <w:rsid w:val="0053717F"/>
    <w:rsid w:val="00537558"/>
    <w:rsid w:val="00537ECE"/>
    <w:rsid w:val="005407EE"/>
    <w:rsid w:val="00540884"/>
    <w:rsid w:val="0054265A"/>
    <w:rsid w:val="00542872"/>
    <w:rsid w:val="0054292F"/>
    <w:rsid w:val="00543DE9"/>
    <w:rsid w:val="00543FA6"/>
    <w:rsid w:val="005446F7"/>
    <w:rsid w:val="00544A34"/>
    <w:rsid w:val="00544F9E"/>
    <w:rsid w:val="00545207"/>
    <w:rsid w:val="005454C9"/>
    <w:rsid w:val="00545F5D"/>
    <w:rsid w:val="005461D8"/>
    <w:rsid w:val="00546704"/>
    <w:rsid w:val="005474CB"/>
    <w:rsid w:val="00547A99"/>
    <w:rsid w:val="005504B0"/>
    <w:rsid w:val="005505D6"/>
    <w:rsid w:val="005507BF"/>
    <w:rsid w:val="0055092C"/>
    <w:rsid w:val="00551C21"/>
    <w:rsid w:val="00551C84"/>
    <w:rsid w:val="00551E1C"/>
    <w:rsid w:val="00552365"/>
    <w:rsid w:val="00552BB2"/>
    <w:rsid w:val="00553010"/>
    <w:rsid w:val="00553520"/>
    <w:rsid w:val="00553674"/>
    <w:rsid w:val="00554844"/>
    <w:rsid w:val="00554EC5"/>
    <w:rsid w:val="00554F13"/>
    <w:rsid w:val="00555AA6"/>
    <w:rsid w:val="00556025"/>
    <w:rsid w:val="00556F2C"/>
    <w:rsid w:val="00560A59"/>
    <w:rsid w:val="00561116"/>
    <w:rsid w:val="005616AD"/>
    <w:rsid w:val="00561EE8"/>
    <w:rsid w:val="00562AF4"/>
    <w:rsid w:val="00563447"/>
    <w:rsid w:val="005634E8"/>
    <w:rsid w:val="0056351C"/>
    <w:rsid w:val="005643FF"/>
    <w:rsid w:val="0056448F"/>
    <w:rsid w:val="00564F86"/>
    <w:rsid w:val="005656A4"/>
    <w:rsid w:val="00565B12"/>
    <w:rsid w:val="00565EED"/>
    <w:rsid w:val="00565F53"/>
    <w:rsid w:val="00566D76"/>
    <w:rsid w:val="0056796C"/>
    <w:rsid w:val="00567AEB"/>
    <w:rsid w:val="00567E1A"/>
    <w:rsid w:val="00567ECF"/>
    <w:rsid w:val="00570694"/>
    <w:rsid w:val="00571977"/>
    <w:rsid w:val="00571DB5"/>
    <w:rsid w:val="00571DC0"/>
    <w:rsid w:val="00571DC3"/>
    <w:rsid w:val="005721D4"/>
    <w:rsid w:val="0057223F"/>
    <w:rsid w:val="0057291E"/>
    <w:rsid w:val="00572C76"/>
    <w:rsid w:val="0057389B"/>
    <w:rsid w:val="00573F34"/>
    <w:rsid w:val="005740AE"/>
    <w:rsid w:val="0057435D"/>
    <w:rsid w:val="005748A7"/>
    <w:rsid w:val="005748E3"/>
    <w:rsid w:val="00574DAA"/>
    <w:rsid w:val="00575236"/>
    <w:rsid w:val="00575364"/>
    <w:rsid w:val="00575BC6"/>
    <w:rsid w:val="005765EE"/>
    <w:rsid w:val="00576DC9"/>
    <w:rsid w:val="0057724B"/>
    <w:rsid w:val="005774F9"/>
    <w:rsid w:val="00577536"/>
    <w:rsid w:val="005779FA"/>
    <w:rsid w:val="0058029F"/>
    <w:rsid w:val="00580A25"/>
    <w:rsid w:val="0058137B"/>
    <w:rsid w:val="005816E7"/>
    <w:rsid w:val="005820AF"/>
    <w:rsid w:val="0058243C"/>
    <w:rsid w:val="00582AE7"/>
    <w:rsid w:val="005849A5"/>
    <w:rsid w:val="0058558A"/>
    <w:rsid w:val="00585A51"/>
    <w:rsid w:val="00585D73"/>
    <w:rsid w:val="00585E4A"/>
    <w:rsid w:val="00585ED6"/>
    <w:rsid w:val="00586AD0"/>
    <w:rsid w:val="00586B93"/>
    <w:rsid w:val="005873E1"/>
    <w:rsid w:val="005876DF"/>
    <w:rsid w:val="005901A7"/>
    <w:rsid w:val="00590798"/>
    <w:rsid w:val="005910AB"/>
    <w:rsid w:val="00592B43"/>
    <w:rsid w:val="00592C13"/>
    <w:rsid w:val="00592E20"/>
    <w:rsid w:val="005930C6"/>
    <w:rsid w:val="00594B5F"/>
    <w:rsid w:val="00595228"/>
    <w:rsid w:val="005959A0"/>
    <w:rsid w:val="005970E2"/>
    <w:rsid w:val="0059730F"/>
    <w:rsid w:val="00597735"/>
    <w:rsid w:val="005977D9"/>
    <w:rsid w:val="0059786D"/>
    <w:rsid w:val="005A037A"/>
    <w:rsid w:val="005A094E"/>
    <w:rsid w:val="005A0CBC"/>
    <w:rsid w:val="005A0E8C"/>
    <w:rsid w:val="005A1197"/>
    <w:rsid w:val="005A1F1F"/>
    <w:rsid w:val="005A2003"/>
    <w:rsid w:val="005A2ECF"/>
    <w:rsid w:val="005A40AA"/>
    <w:rsid w:val="005A4797"/>
    <w:rsid w:val="005A4A34"/>
    <w:rsid w:val="005A4B84"/>
    <w:rsid w:val="005A6FF3"/>
    <w:rsid w:val="005B1446"/>
    <w:rsid w:val="005B1499"/>
    <w:rsid w:val="005B22BB"/>
    <w:rsid w:val="005B274B"/>
    <w:rsid w:val="005B2A69"/>
    <w:rsid w:val="005B2CD3"/>
    <w:rsid w:val="005B2FD2"/>
    <w:rsid w:val="005B4B72"/>
    <w:rsid w:val="005B4F6A"/>
    <w:rsid w:val="005B52A6"/>
    <w:rsid w:val="005B542B"/>
    <w:rsid w:val="005B5BC5"/>
    <w:rsid w:val="005B5FF0"/>
    <w:rsid w:val="005B6650"/>
    <w:rsid w:val="005B6CB9"/>
    <w:rsid w:val="005B6F1D"/>
    <w:rsid w:val="005B70D1"/>
    <w:rsid w:val="005B764A"/>
    <w:rsid w:val="005B7D93"/>
    <w:rsid w:val="005C0E88"/>
    <w:rsid w:val="005C125B"/>
    <w:rsid w:val="005C17E6"/>
    <w:rsid w:val="005C227B"/>
    <w:rsid w:val="005C2F78"/>
    <w:rsid w:val="005C308E"/>
    <w:rsid w:val="005C377A"/>
    <w:rsid w:val="005C4991"/>
    <w:rsid w:val="005C514A"/>
    <w:rsid w:val="005C5781"/>
    <w:rsid w:val="005C5AA6"/>
    <w:rsid w:val="005C5F04"/>
    <w:rsid w:val="005C6BF4"/>
    <w:rsid w:val="005C7F4A"/>
    <w:rsid w:val="005D05E5"/>
    <w:rsid w:val="005D0D59"/>
    <w:rsid w:val="005D0D5E"/>
    <w:rsid w:val="005D1051"/>
    <w:rsid w:val="005D22B6"/>
    <w:rsid w:val="005D2AC6"/>
    <w:rsid w:val="005D2D6E"/>
    <w:rsid w:val="005D3422"/>
    <w:rsid w:val="005D3601"/>
    <w:rsid w:val="005D4397"/>
    <w:rsid w:val="005D48DC"/>
    <w:rsid w:val="005D49C6"/>
    <w:rsid w:val="005D599B"/>
    <w:rsid w:val="005D5F1F"/>
    <w:rsid w:val="005D60DC"/>
    <w:rsid w:val="005D62FE"/>
    <w:rsid w:val="005D6F19"/>
    <w:rsid w:val="005D7300"/>
    <w:rsid w:val="005D7D44"/>
    <w:rsid w:val="005E16BE"/>
    <w:rsid w:val="005E1FEC"/>
    <w:rsid w:val="005E22DE"/>
    <w:rsid w:val="005E24F8"/>
    <w:rsid w:val="005E2970"/>
    <w:rsid w:val="005E2AAB"/>
    <w:rsid w:val="005E2C68"/>
    <w:rsid w:val="005E2D29"/>
    <w:rsid w:val="005E36E2"/>
    <w:rsid w:val="005E39A3"/>
    <w:rsid w:val="005E557A"/>
    <w:rsid w:val="005E5878"/>
    <w:rsid w:val="005E5FC5"/>
    <w:rsid w:val="005E6334"/>
    <w:rsid w:val="005E6412"/>
    <w:rsid w:val="005E679B"/>
    <w:rsid w:val="005E7100"/>
    <w:rsid w:val="005E7A9D"/>
    <w:rsid w:val="005EE5AE"/>
    <w:rsid w:val="005F120D"/>
    <w:rsid w:val="005F2026"/>
    <w:rsid w:val="005F2D21"/>
    <w:rsid w:val="005F3B70"/>
    <w:rsid w:val="005F3E56"/>
    <w:rsid w:val="005F483B"/>
    <w:rsid w:val="005F5572"/>
    <w:rsid w:val="005F55AE"/>
    <w:rsid w:val="005F6318"/>
    <w:rsid w:val="005F6AAD"/>
    <w:rsid w:val="005F7397"/>
    <w:rsid w:val="005F73B9"/>
    <w:rsid w:val="005F7964"/>
    <w:rsid w:val="00600FE3"/>
    <w:rsid w:val="00601629"/>
    <w:rsid w:val="00601AAF"/>
    <w:rsid w:val="00601AD5"/>
    <w:rsid w:val="00601B6D"/>
    <w:rsid w:val="00602065"/>
    <w:rsid w:val="006023F4"/>
    <w:rsid w:val="00602440"/>
    <w:rsid w:val="00602500"/>
    <w:rsid w:val="0060290B"/>
    <w:rsid w:val="0060379D"/>
    <w:rsid w:val="00603ECB"/>
    <w:rsid w:val="00604047"/>
    <w:rsid w:val="006042A9"/>
    <w:rsid w:val="00605371"/>
    <w:rsid w:val="006058BB"/>
    <w:rsid w:val="00605E79"/>
    <w:rsid w:val="0060601F"/>
    <w:rsid w:val="006076DB"/>
    <w:rsid w:val="00607776"/>
    <w:rsid w:val="00607B66"/>
    <w:rsid w:val="00607D01"/>
    <w:rsid w:val="0061001C"/>
    <w:rsid w:val="00610AAC"/>
    <w:rsid w:val="00611E86"/>
    <w:rsid w:val="006124BF"/>
    <w:rsid w:val="006125FB"/>
    <w:rsid w:val="006125FD"/>
    <w:rsid w:val="0061278E"/>
    <w:rsid w:val="00612F0D"/>
    <w:rsid w:val="00613020"/>
    <w:rsid w:val="00613381"/>
    <w:rsid w:val="00614701"/>
    <w:rsid w:val="00614C34"/>
    <w:rsid w:val="0061697F"/>
    <w:rsid w:val="00617C76"/>
    <w:rsid w:val="006201F5"/>
    <w:rsid w:val="00620251"/>
    <w:rsid w:val="00620332"/>
    <w:rsid w:val="00620D3A"/>
    <w:rsid w:val="006212D3"/>
    <w:rsid w:val="006212E8"/>
    <w:rsid w:val="006217FC"/>
    <w:rsid w:val="006218B8"/>
    <w:rsid w:val="0062223D"/>
    <w:rsid w:val="006223C8"/>
    <w:rsid w:val="006224C1"/>
    <w:rsid w:val="006224C5"/>
    <w:rsid w:val="0062261E"/>
    <w:rsid w:val="00623755"/>
    <w:rsid w:val="00624101"/>
    <w:rsid w:val="00624B68"/>
    <w:rsid w:val="006272E0"/>
    <w:rsid w:val="00627BAE"/>
    <w:rsid w:val="00627CBE"/>
    <w:rsid w:val="00627F10"/>
    <w:rsid w:val="00630641"/>
    <w:rsid w:val="006310C0"/>
    <w:rsid w:val="0063138A"/>
    <w:rsid w:val="0063261D"/>
    <w:rsid w:val="00633A6F"/>
    <w:rsid w:val="00633EBE"/>
    <w:rsid w:val="0063401E"/>
    <w:rsid w:val="00634426"/>
    <w:rsid w:val="006352EC"/>
    <w:rsid w:val="00635A40"/>
    <w:rsid w:val="00635F75"/>
    <w:rsid w:val="0063624F"/>
    <w:rsid w:val="006368CB"/>
    <w:rsid w:val="006374D7"/>
    <w:rsid w:val="00637FBC"/>
    <w:rsid w:val="006404A6"/>
    <w:rsid w:val="0064110B"/>
    <w:rsid w:val="006418AC"/>
    <w:rsid w:val="00641CC6"/>
    <w:rsid w:val="00641EB5"/>
    <w:rsid w:val="00642530"/>
    <w:rsid w:val="00642783"/>
    <w:rsid w:val="00642D05"/>
    <w:rsid w:val="006436AB"/>
    <w:rsid w:val="00643EA5"/>
    <w:rsid w:val="00644579"/>
    <w:rsid w:val="00644962"/>
    <w:rsid w:val="00644DB1"/>
    <w:rsid w:val="00645869"/>
    <w:rsid w:val="00645A69"/>
    <w:rsid w:val="00645D4A"/>
    <w:rsid w:val="0064657E"/>
    <w:rsid w:val="00646FC0"/>
    <w:rsid w:val="00647025"/>
    <w:rsid w:val="00650C89"/>
    <w:rsid w:val="0065147D"/>
    <w:rsid w:val="006523E2"/>
    <w:rsid w:val="00652B2A"/>
    <w:rsid w:val="0065332B"/>
    <w:rsid w:val="006536CC"/>
    <w:rsid w:val="006543F4"/>
    <w:rsid w:val="006555A4"/>
    <w:rsid w:val="00655A62"/>
    <w:rsid w:val="00656106"/>
    <w:rsid w:val="00656356"/>
    <w:rsid w:val="006564DD"/>
    <w:rsid w:val="0065666E"/>
    <w:rsid w:val="00656D4C"/>
    <w:rsid w:val="00657183"/>
    <w:rsid w:val="00657D75"/>
    <w:rsid w:val="006602E0"/>
    <w:rsid w:val="00660CC2"/>
    <w:rsid w:val="00660D07"/>
    <w:rsid w:val="00660D9E"/>
    <w:rsid w:val="00661A27"/>
    <w:rsid w:val="00662256"/>
    <w:rsid w:val="006640C6"/>
    <w:rsid w:val="006641CA"/>
    <w:rsid w:val="0066495D"/>
    <w:rsid w:val="006649CB"/>
    <w:rsid w:val="006655F2"/>
    <w:rsid w:val="00665B14"/>
    <w:rsid w:val="00665C73"/>
    <w:rsid w:val="0066653F"/>
    <w:rsid w:val="00666A86"/>
    <w:rsid w:val="0066763C"/>
    <w:rsid w:val="00667860"/>
    <w:rsid w:val="00670746"/>
    <w:rsid w:val="006707EB"/>
    <w:rsid w:val="00670C36"/>
    <w:rsid w:val="00671A60"/>
    <w:rsid w:val="00671E2D"/>
    <w:rsid w:val="00672008"/>
    <w:rsid w:val="00672E8A"/>
    <w:rsid w:val="00673E79"/>
    <w:rsid w:val="00674192"/>
    <w:rsid w:val="0067430E"/>
    <w:rsid w:val="00674C5F"/>
    <w:rsid w:val="00675654"/>
    <w:rsid w:val="006757A6"/>
    <w:rsid w:val="00675FD6"/>
    <w:rsid w:val="0067647F"/>
    <w:rsid w:val="00676482"/>
    <w:rsid w:val="00676B0C"/>
    <w:rsid w:val="006776CA"/>
    <w:rsid w:val="00677E2D"/>
    <w:rsid w:val="00680B23"/>
    <w:rsid w:val="00680D25"/>
    <w:rsid w:val="00682095"/>
    <w:rsid w:val="00682681"/>
    <w:rsid w:val="00682B49"/>
    <w:rsid w:val="006839BA"/>
    <w:rsid w:val="006841BC"/>
    <w:rsid w:val="006843DE"/>
    <w:rsid w:val="00684A27"/>
    <w:rsid w:val="00687178"/>
    <w:rsid w:val="00690169"/>
    <w:rsid w:val="00690353"/>
    <w:rsid w:val="00690C91"/>
    <w:rsid w:val="006912AE"/>
    <w:rsid w:val="00691844"/>
    <w:rsid w:val="00692265"/>
    <w:rsid w:val="006938C8"/>
    <w:rsid w:val="00693966"/>
    <w:rsid w:val="00693B53"/>
    <w:rsid w:val="00693E72"/>
    <w:rsid w:val="00694EA8"/>
    <w:rsid w:val="00695907"/>
    <w:rsid w:val="00695F82"/>
    <w:rsid w:val="00696067"/>
    <w:rsid w:val="0069691B"/>
    <w:rsid w:val="00697059"/>
    <w:rsid w:val="006971A5"/>
    <w:rsid w:val="00697971"/>
    <w:rsid w:val="006979B0"/>
    <w:rsid w:val="00697BAA"/>
    <w:rsid w:val="00697FB2"/>
    <w:rsid w:val="006A0EDB"/>
    <w:rsid w:val="006A3230"/>
    <w:rsid w:val="006A419B"/>
    <w:rsid w:val="006A44BA"/>
    <w:rsid w:val="006A47C8"/>
    <w:rsid w:val="006A480B"/>
    <w:rsid w:val="006A4B96"/>
    <w:rsid w:val="006A50E6"/>
    <w:rsid w:val="006A54D7"/>
    <w:rsid w:val="006A5B35"/>
    <w:rsid w:val="006A6540"/>
    <w:rsid w:val="006A6717"/>
    <w:rsid w:val="006A7045"/>
    <w:rsid w:val="006A7428"/>
    <w:rsid w:val="006B0BA6"/>
    <w:rsid w:val="006B139A"/>
    <w:rsid w:val="006B1796"/>
    <w:rsid w:val="006B2173"/>
    <w:rsid w:val="006B222E"/>
    <w:rsid w:val="006B27D5"/>
    <w:rsid w:val="006B297B"/>
    <w:rsid w:val="006B2BB3"/>
    <w:rsid w:val="006B2D7F"/>
    <w:rsid w:val="006B333F"/>
    <w:rsid w:val="006B36B2"/>
    <w:rsid w:val="006B39A8"/>
    <w:rsid w:val="006B4633"/>
    <w:rsid w:val="006B4667"/>
    <w:rsid w:val="006B4BA0"/>
    <w:rsid w:val="006B4CA6"/>
    <w:rsid w:val="006B5E37"/>
    <w:rsid w:val="006B64D0"/>
    <w:rsid w:val="006B65E1"/>
    <w:rsid w:val="006B69CF"/>
    <w:rsid w:val="006B6FCB"/>
    <w:rsid w:val="006B77FD"/>
    <w:rsid w:val="006C0241"/>
    <w:rsid w:val="006C0613"/>
    <w:rsid w:val="006C0E5F"/>
    <w:rsid w:val="006C1697"/>
    <w:rsid w:val="006C1A9B"/>
    <w:rsid w:val="006C1DAF"/>
    <w:rsid w:val="006C21D9"/>
    <w:rsid w:val="006C2201"/>
    <w:rsid w:val="006C22A6"/>
    <w:rsid w:val="006C407A"/>
    <w:rsid w:val="006C415F"/>
    <w:rsid w:val="006C4209"/>
    <w:rsid w:val="006C53F3"/>
    <w:rsid w:val="006C5413"/>
    <w:rsid w:val="006C5471"/>
    <w:rsid w:val="006C58AE"/>
    <w:rsid w:val="006C5BBF"/>
    <w:rsid w:val="006C5E13"/>
    <w:rsid w:val="006C69AF"/>
    <w:rsid w:val="006C6EB9"/>
    <w:rsid w:val="006D0320"/>
    <w:rsid w:val="006D1335"/>
    <w:rsid w:val="006D2A5C"/>
    <w:rsid w:val="006D2C35"/>
    <w:rsid w:val="006D2ECA"/>
    <w:rsid w:val="006D3104"/>
    <w:rsid w:val="006D39D0"/>
    <w:rsid w:val="006D3E92"/>
    <w:rsid w:val="006D5394"/>
    <w:rsid w:val="006D5D0A"/>
    <w:rsid w:val="006D6295"/>
    <w:rsid w:val="006D731D"/>
    <w:rsid w:val="006D7A65"/>
    <w:rsid w:val="006E1E60"/>
    <w:rsid w:val="006E2986"/>
    <w:rsid w:val="006E2D35"/>
    <w:rsid w:val="006E2E21"/>
    <w:rsid w:val="006E2FDE"/>
    <w:rsid w:val="006E3C61"/>
    <w:rsid w:val="006E3FA6"/>
    <w:rsid w:val="006E54CC"/>
    <w:rsid w:val="006E56A1"/>
    <w:rsid w:val="006E5785"/>
    <w:rsid w:val="006E5E49"/>
    <w:rsid w:val="006E6197"/>
    <w:rsid w:val="006E626A"/>
    <w:rsid w:val="006E6436"/>
    <w:rsid w:val="006E6499"/>
    <w:rsid w:val="006E6A61"/>
    <w:rsid w:val="006F0142"/>
    <w:rsid w:val="006F0E9F"/>
    <w:rsid w:val="006F1314"/>
    <w:rsid w:val="006F1FCB"/>
    <w:rsid w:val="006F2403"/>
    <w:rsid w:val="006F29F2"/>
    <w:rsid w:val="006F2B70"/>
    <w:rsid w:val="006F2CEC"/>
    <w:rsid w:val="006F398A"/>
    <w:rsid w:val="006F3AE7"/>
    <w:rsid w:val="006F3EDF"/>
    <w:rsid w:val="006F3FF7"/>
    <w:rsid w:val="006F433C"/>
    <w:rsid w:val="006F43E8"/>
    <w:rsid w:val="006F4762"/>
    <w:rsid w:val="006F5001"/>
    <w:rsid w:val="006F5A1F"/>
    <w:rsid w:val="006F646C"/>
    <w:rsid w:val="006F6B48"/>
    <w:rsid w:val="006F6D8A"/>
    <w:rsid w:val="006F72E0"/>
    <w:rsid w:val="00700820"/>
    <w:rsid w:val="0070095E"/>
    <w:rsid w:val="00701513"/>
    <w:rsid w:val="007023B0"/>
    <w:rsid w:val="00702790"/>
    <w:rsid w:val="0070403C"/>
    <w:rsid w:val="007042C0"/>
    <w:rsid w:val="007046E3"/>
    <w:rsid w:val="00704BD3"/>
    <w:rsid w:val="00705039"/>
    <w:rsid w:val="00706BCF"/>
    <w:rsid w:val="00707B63"/>
    <w:rsid w:val="007100AA"/>
    <w:rsid w:val="00710231"/>
    <w:rsid w:val="00710CB1"/>
    <w:rsid w:val="007112A8"/>
    <w:rsid w:val="00711A88"/>
    <w:rsid w:val="00711C59"/>
    <w:rsid w:val="007126AA"/>
    <w:rsid w:val="007131A5"/>
    <w:rsid w:val="00713E66"/>
    <w:rsid w:val="00714131"/>
    <w:rsid w:val="00714483"/>
    <w:rsid w:val="00714663"/>
    <w:rsid w:val="007154B2"/>
    <w:rsid w:val="007157CF"/>
    <w:rsid w:val="00715C4C"/>
    <w:rsid w:val="00715CA7"/>
    <w:rsid w:val="00715D04"/>
    <w:rsid w:val="00715FD6"/>
    <w:rsid w:val="007161A6"/>
    <w:rsid w:val="007165FD"/>
    <w:rsid w:val="0071705B"/>
    <w:rsid w:val="0071706B"/>
    <w:rsid w:val="00717680"/>
    <w:rsid w:val="007176E9"/>
    <w:rsid w:val="007205FB"/>
    <w:rsid w:val="00720634"/>
    <w:rsid w:val="00720DB5"/>
    <w:rsid w:val="00720E70"/>
    <w:rsid w:val="00722432"/>
    <w:rsid w:val="0072252B"/>
    <w:rsid w:val="00722758"/>
    <w:rsid w:val="00722955"/>
    <w:rsid w:val="00722BB0"/>
    <w:rsid w:val="00722F84"/>
    <w:rsid w:val="00723117"/>
    <w:rsid w:val="00723363"/>
    <w:rsid w:val="00723496"/>
    <w:rsid w:val="00723FFB"/>
    <w:rsid w:val="00724794"/>
    <w:rsid w:val="0072692D"/>
    <w:rsid w:val="00726F79"/>
    <w:rsid w:val="00727626"/>
    <w:rsid w:val="00727704"/>
    <w:rsid w:val="0073078D"/>
    <w:rsid w:val="00730844"/>
    <w:rsid w:val="007311C8"/>
    <w:rsid w:val="00731755"/>
    <w:rsid w:val="00731FBB"/>
    <w:rsid w:val="00733448"/>
    <w:rsid w:val="00733C07"/>
    <w:rsid w:val="00734DAE"/>
    <w:rsid w:val="007357A7"/>
    <w:rsid w:val="00736CC9"/>
    <w:rsid w:val="00740D7D"/>
    <w:rsid w:val="0074106C"/>
    <w:rsid w:val="00741694"/>
    <w:rsid w:val="007418B6"/>
    <w:rsid w:val="00741D84"/>
    <w:rsid w:val="00742149"/>
    <w:rsid w:val="0074335B"/>
    <w:rsid w:val="00743C99"/>
    <w:rsid w:val="00743D00"/>
    <w:rsid w:val="00744E7D"/>
    <w:rsid w:val="00745A42"/>
    <w:rsid w:val="00745B0B"/>
    <w:rsid w:val="0074697B"/>
    <w:rsid w:val="00746D11"/>
    <w:rsid w:val="00746DB3"/>
    <w:rsid w:val="00746E0D"/>
    <w:rsid w:val="00746E6A"/>
    <w:rsid w:val="007507EB"/>
    <w:rsid w:val="00750F76"/>
    <w:rsid w:val="00751439"/>
    <w:rsid w:val="00751DEE"/>
    <w:rsid w:val="007522C9"/>
    <w:rsid w:val="00753B6D"/>
    <w:rsid w:val="007540DA"/>
    <w:rsid w:val="0075433C"/>
    <w:rsid w:val="007549BF"/>
    <w:rsid w:val="007557CB"/>
    <w:rsid w:val="00755DDA"/>
    <w:rsid w:val="00755E04"/>
    <w:rsid w:val="00755F1A"/>
    <w:rsid w:val="00755FB2"/>
    <w:rsid w:val="00756831"/>
    <w:rsid w:val="00756CEF"/>
    <w:rsid w:val="00757614"/>
    <w:rsid w:val="007579F0"/>
    <w:rsid w:val="00757D6D"/>
    <w:rsid w:val="00760565"/>
    <w:rsid w:val="00761F4A"/>
    <w:rsid w:val="00762B1D"/>
    <w:rsid w:val="0076316D"/>
    <w:rsid w:val="00763930"/>
    <w:rsid w:val="00763A98"/>
    <w:rsid w:val="00764022"/>
    <w:rsid w:val="00765F09"/>
    <w:rsid w:val="00766352"/>
    <w:rsid w:val="00766B37"/>
    <w:rsid w:val="00770386"/>
    <w:rsid w:val="00770C29"/>
    <w:rsid w:val="00770E92"/>
    <w:rsid w:val="00771CE3"/>
    <w:rsid w:val="0077292B"/>
    <w:rsid w:val="0077394A"/>
    <w:rsid w:val="007759FE"/>
    <w:rsid w:val="00776C36"/>
    <w:rsid w:val="00776F25"/>
    <w:rsid w:val="00780677"/>
    <w:rsid w:val="007811C5"/>
    <w:rsid w:val="007818C0"/>
    <w:rsid w:val="007819C0"/>
    <w:rsid w:val="00781C7C"/>
    <w:rsid w:val="00781E5B"/>
    <w:rsid w:val="00782452"/>
    <w:rsid w:val="00783354"/>
    <w:rsid w:val="007838C7"/>
    <w:rsid w:val="0078409D"/>
    <w:rsid w:val="00784140"/>
    <w:rsid w:val="00784362"/>
    <w:rsid w:val="00784889"/>
    <w:rsid w:val="00784DB9"/>
    <w:rsid w:val="00785A16"/>
    <w:rsid w:val="00787F2B"/>
    <w:rsid w:val="007914A5"/>
    <w:rsid w:val="00791611"/>
    <w:rsid w:val="00791631"/>
    <w:rsid w:val="007918AF"/>
    <w:rsid w:val="007924CA"/>
    <w:rsid w:val="00792CE3"/>
    <w:rsid w:val="00792CE6"/>
    <w:rsid w:val="007933C2"/>
    <w:rsid w:val="00793AC4"/>
    <w:rsid w:val="00794E29"/>
    <w:rsid w:val="007954D4"/>
    <w:rsid w:val="0079596B"/>
    <w:rsid w:val="00795A67"/>
    <w:rsid w:val="00795AAB"/>
    <w:rsid w:val="00796D7A"/>
    <w:rsid w:val="00797042"/>
    <w:rsid w:val="007A01B5"/>
    <w:rsid w:val="007A02C8"/>
    <w:rsid w:val="007A09AE"/>
    <w:rsid w:val="007A0CCD"/>
    <w:rsid w:val="007A0F97"/>
    <w:rsid w:val="007A121D"/>
    <w:rsid w:val="007A147A"/>
    <w:rsid w:val="007A1572"/>
    <w:rsid w:val="007A1896"/>
    <w:rsid w:val="007A1B16"/>
    <w:rsid w:val="007A2D9C"/>
    <w:rsid w:val="007A370A"/>
    <w:rsid w:val="007A3EAD"/>
    <w:rsid w:val="007A3F4B"/>
    <w:rsid w:val="007A4321"/>
    <w:rsid w:val="007A43F7"/>
    <w:rsid w:val="007A53AB"/>
    <w:rsid w:val="007A5E58"/>
    <w:rsid w:val="007A5F73"/>
    <w:rsid w:val="007A657C"/>
    <w:rsid w:val="007A73DB"/>
    <w:rsid w:val="007A7E46"/>
    <w:rsid w:val="007B0614"/>
    <w:rsid w:val="007B07AF"/>
    <w:rsid w:val="007B0CA8"/>
    <w:rsid w:val="007B3A02"/>
    <w:rsid w:val="007B47A9"/>
    <w:rsid w:val="007B4DFC"/>
    <w:rsid w:val="007B5D4C"/>
    <w:rsid w:val="007B5EE5"/>
    <w:rsid w:val="007B6173"/>
    <w:rsid w:val="007B774B"/>
    <w:rsid w:val="007C1CAD"/>
    <w:rsid w:val="007C28D1"/>
    <w:rsid w:val="007C2F69"/>
    <w:rsid w:val="007C317A"/>
    <w:rsid w:val="007C3507"/>
    <w:rsid w:val="007C3ABB"/>
    <w:rsid w:val="007C3CF8"/>
    <w:rsid w:val="007C3FC2"/>
    <w:rsid w:val="007C537D"/>
    <w:rsid w:val="007C5440"/>
    <w:rsid w:val="007C575A"/>
    <w:rsid w:val="007C58EC"/>
    <w:rsid w:val="007C6F64"/>
    <w:rsid w:val="007C6FAA"/>
    <w:rsid w:val="007C70B1"/>
    <w:rsid w:val="007C7C1C"/>
    <w:rsid w:val="007D0240"/>
    <w:rsid w:val="007D0BB2"/>
    <w:rsid w:val="007D1B60"/>
    <w:rsid w:val="007D26E4"/>
    <w:rsid w:val="007D2805"/>
    <w:rsid w:val="007D3D6D"/>
    <w:rsid w:val="007D43E8"/>
    <w:rsid w:val="007D45E5"/>
    <w:rsid w:val="007D47DE"/>
    <w:rsid w:val="007D49E8"/>
    <w:rsid w:val="007D654B"/>
    <w:rsid w:val="007D7C2E"/>
    <w:rsid w:val="007D7F92"/>
    <w:rsid w:val="007E058B"/>
    <w:rsid w:val="007E33DB"/>
    <w:rsid w:val="007E36FD"/>
    <w:rsid w:val="007E5B29"/>
    <w:rsid w:val="007E5FAD"/>
    <w:rsid w:val="007E633F"/>
    <w:rsid w:val="007E678A"/>
    <w:rsid w:val="007E6984"/>
    <w:rsid w:val="007E6CD1"/>
    <w:rsid w:val="007E6F09"/>
    <w:rsid w:val="007F0773"/>
    <w:rsid w:val="007F0D97"/>
    <w:rsid w:val="007F12DD"/>
    <w:rsid w:val="007F174A"/>
    <w:rsid w:val="007F17DF"/>
    <w:rsid w:val="007F268A"/>
    <w:rsid w:val="007F2AE9"/>
    <w:rsid w:val="007F2D7C"/>
    <w:rsid w:val="007F3DDF"/>
    <w:rsid w:val="007F41FA"/>
    <w:rsid w:val="007F432F"/>
    <w:rsid w:val="007F4EF3"/>
    <w:rsid w:val="007F5DC2"/>
    <w:rsid w:val="007F605C"/>
    <w:rsid w:val="007F6719"/>
    <w:rsid w:val="007F6A7D"/>
    <w:rsid w:val="007F7179"/>
    <w:rsid w:val="007F757E"/>
    <w:rsid w:val="007F777A"/>
    <w:rsid w:val="007F7A3C"/>
    <w:rsid w:val="0080055B"/>
    <w:rsid w:val="00800E91"/>
    <w:rsid w:val="008013C0"/>
    <w:rsid w:val="00801681"/>
    <w:rsid w:val="00801CA0"/>
    <w:rsid w:val="0080256E"/>
    <w:rsid w:val="00802B48"/>
    <w:rsid w:val="00802E03"/>
    <w:rsid w:val="00803814"/>
    <w:rsid w:val="00803973"/>
    <w:rsid w:val="00804830"/>
    <w:rsid w:val="008049DA"/>
    <w:rsid w:val="00804FDF"/>
    <w:rsid w:val="008068F2"/>
    <w:rsid w:val="00806EB0"/>
    <w:rsid w:val="00806F32"/>
    <w:rsid w:val="0081039B"/>
    <w:rsid w:val="008106DC"/>
    <w:rsid w:val="00810998"/>
    <w:rsid w:val="00810D05"/>
    <w:rsid w:val="00810F94"/>
    <w:rsid w:val="0081125E"/>
    <w:rsid w:val="00811529"/>
    <w:rsid w:val="00811D8B"/>
    <w:rsid w:val="0081258A"/>
    <w:rsid w:val="00812868"/>
    <w:rsid w:val="008150E8"/>
    <w:rsid w:val="00815762"/>
    <w:rsid w:val="00815F6F"/>
    <w:rsid w:val="00816841"/>
    <w:rsid w:val="00816A6D"/>
    <w:rsid w:val="00816F25"/>
    <w:rsid w:val="008170A7"/>
    <w:rsid w:val="00820ADB"/>
    <w:rsid w:val="00820CD8"/>
    <w:rsid w:val="00820DDB"/>
    <w:rsid w:val="008210BE"/>
    <w:rsid w:val="008221F5"/>
    <w:rsid w:val="008222FC"/>
    <w:rsid w:val="00822B64"/>
    <w:rsid w:val="008235E6"/>
    <w:rsid w:val="00823E35"/>
    <w:rsid w:val="00824140"/>
    <w:rsid w:val="008252BC"/>
    <w:rsid w:val="0082656A"/>
    <w:rsid w:val="00826603"/>
    <w:rsid w:val="00827E61"/>
    <w:rsid w:val="0083082C"/>
    <w:rsid w:val="00830D4B"/>
    <w:rsid w:val="008312A1"/>
    <w:rsid w:val="00834DE7"/>
    <w:rsid w:val="0083617D"/>
    <w:rsid w:val="008364E4"/>
    <w:rsid w:val="00836AE2"/>
    <w:rsid w:val="00837E8A"/>
    <w:rsid w:val="008416DB"/>
    <w:rsid w:val="008423F4"/>
    <w:rsid w:val="00843C92"/>
    <w:rsid w:val="00844951"/>
    <w:rsid w:val="0084514F"/>
    <w:rsid w:val="008456D4"/>
    <w:rsid w:val="0084581E"/>
    <w:rsid w:val="00845DDD"/>
    <w:rsid w:val="008474A2"/>
    <w:rsid w:val="008475BA"/>
    <w:rsid w:val="0085010D"/>
    <w:rsid w:val="00850614"/>
    <w:rsid w:val="008506D0"/>
    <w:rsid w:val="00852D60"/>
    <w:rsid w:val="00853875"/>
    <w:rsid w:val="00853D37"/>
    <w:rsid w:val="00853FCE"/>
    <w:rsid w:val="008541D5"/>
    <w:rsid w:val="00854C29"/>
    <w:rsid w:val="00854C3A"/>
    <w:rsid w:val="00854DBD"/>
    <w:rsid w:val="00854E51"/>
    <w:rsid w:val="00855837"/>
    <w:rsid w:val="008558A3"/>
    <w:rsid w:val="00856AC0"/>
    <w:rsid w:val="008570FA"/>
    <w:rsid w:val="00857D36"/>
    <w:rsid w:val="008601FB"/>
    <w:rsid w:val="00860B09"/>
    <w:rsid w:val="00860FE6"/>
    <w:rsid w:val="0086102E"/>
    <w:rsid w:val="008613AB"/>
    <w:rsid w:val="0086231A"/>
    <w:rsid w:val="008627FF"/>
    <w:rsid w:val="0086289E"/>
    <w:rsid w:val="00862D5A"/>
    <w:rsid w:val="008634B0"/>
    <w:rsid w:val="00863670"/>
    <w:rsid w:val="00864889"/>
    <w:rsid w:val="008648C5"/>
    <w:rsid w:val="00866014"/>
    <w:rsid w:val="00866E19"/>
    <w:rsid w:val="00867E6A"/>
    <w:rsid w:val="008701A2"/>
    <w:rsid w:val="00870FA8"/>
    <w:rsid w:val="0087110F"/>
    <w:rsid w:val="00871283"/>
    <w:rsid w:val="00871570"/>
    <w:rsid w:val="00872151"/>
    <w:rsid w:val="00872285"/>
    <w:rsid w:val="00872B11"/>
    <w:rsid w:val="00873615"/>
    <w:rsid w:val="008739B7"/>
    <w:rsid w:val="008742A0"/>
    <w:rsid w:val="00874AA2"/>
    <w:rsid w:val="008755C4"/>
    <w:rsid w:val="008764DD"/>
    <w:rsid w:val="00876A3E"/>
    <w:rsid w:val="00876BA8"/>
    <w:rsid w:val="00877B77"/>
    <w:rsid w:val="00877D39"/>
    <w:rsid w:val="00877ECE"/>
    <w:rsid w:val="00880521"/>
    <w:rsid w:val="00880C4A"/>
    <w:rsid w:val="00880F24"/>
    <w:rsid w:val="00881537"/>
    <w:rsid w:val="00881623"/>
    <w:rsid w:val="0088189D"/>
    <w:rsid w:val="00881C2D"/>
    <w:rsid w:val="00881F09"/>
    <w:rsid w:val="00882442"/>
    <w:rsid w:val="0088372C"/>
    <w:rsid w:val="0088397F"/>
    <w:rsid w:val="0088481D"/>
    <w:rsid w:val="00885491"/>
    <w:rsid w:val="00885BCB"/>
    <w:rsid w:val="00885CC1"/>
    <w:rsid w:val="00885FB5"/>
    <w:rsid w:val="008862DA"/>
    <w:rsid w:val="00886F1A"/>
    <w:rsid w:val="00886FA9"/>
    <w:rsid w:val="008871F3"/>
    <w:rsid w:val="008873BB"/>
    <w:rsid w:val="008879B4"/>
    <w:rsid w:val="00890128"/>
    <w:rsid w:val="00890D70"/>
    <w:rsid w:val="00890EA9"/>
    <w:rsid w:val="00890EEA"/>
    <w:rsid w:val="0089359D"/>
    <w:rsid w:val="00893787"/>
    <w:rsid w:val="008937FF"/>
    <w:rsid w:val="00893D1C"/>
    <w:rsid w:val="00894840"/>
    <w:rsid w:val="00894DEA"/>
    <w:rsid w:val="008950C9"/>
    <w:rsid w:val="00896101"/>
    <w:rsid w:val="0089644D"/>
    <w:rsid w:val="00897B35"/>
    <w:rsid w:val="008A067D"/>
    <w:rsid w:val="008A06BE"/>
    <w:rsid w:val="008A0F0D"/>
    <w:rsid w:val="008A1B13"/>
    <w:rsid w:val="008A1B94"/>
    <w:rsid w:val="008A32CD"/>
    <w:rsid w:val="008A330B"/>
    <w:rsid w:val="008A40A6"/>
    <w:rsid w:val="008A40C7"/>
    <w:rsid w:val="008A4BBA"/>
    <w:rsid w:val="008A4ED4"/>
    <w:rsid w:val="008A59A0"/>
    <w:rsid w:val="008A69B2"/>
    <w:rsid w:val="008A6D76"/>
    <w:rsid w:val="008A76FF"/>
    <w:rsid w:val="008A7C82"/>
    <w:rsid w:val="008A7E16"/>
    <w:rsid w:val="008B1C02"/>
    <w:rsid w:val="008B20BF"/>
    <w:rsid w:val="008B24B7"/>
    <w:rsid w:val="008B294E"/>
    <w:rsid w:val="008B2A45"/>
    <w:rsid w:val="008B360E"/>
    <w:rsid w:val="008B3880"/>
    <w:rsid w:val="008B539B"/>
    <w:rsid w:val="008B552C"/>
    <w:rsid w:val="008B55E5"/>
    <w:rsid w:val="008B6342"/>
    <w:rsid w:val="008B63E0"/>
    <w:rsid w:val="008B6631"/>
    <w:rsid w:val="008B674E"/>
    <w:rsid w:val="008B7136"/>
    <w:rsid w:val="008C0708"/>
    <w:rsid w:val="008C0D0C"/>
    <w:rsid w:val="008C1112"/>
    <w:rsid w:val="008C1177"/>
    <w:rsid w:val="008C1485"/>
    <w:rsid w:val="008C1A5E"/>
    <w:rsid w:val="008C1EF9"/>
    <w:rsid w:val="008C3524"/>
    <w:rsid w:val="008C3B2A"/>
    <w:rsid w:val="008C3E84"/>
    <w:rsid w:val="008C3FB0"/>
    <w:rsid w:val="008C48C5"/>
    <w:rsid w:val="008C4B53"/>
    <w:rsid w:val="008C4E24"/>
    <w:rsid w:val="008C4E9E"/>
    <w:rsid w:val="008C4FC5"/>
    <w:rsid w:val="008C5508"/>
    <w:rsid w:val="008C5B4D"/>
    <w:rsid w:val="008C705A"/>
    <w:rsid w:val="008C730A"/>
    <w:rsid w:val="008C7C75"/>
    <w:rsid w:val="008D0CBC"/>
    <w:rsid w:val="008D12F2"/>
    <w:rsid w:val="008D1D16"/>
    <w:rsid w:val="008D24C0"/>
    <w:rsid w:val="008D25E5"/>
    <w:rsid w:val="008D2F58"/>
    <w:rsid w:val="008D3032"/>
    <w:rsid w:val="008D3320"/>
    <w:rsid w:val="008D3404"/>
    <w:rsid w:val="008D3A27"/>
    <w:rsid w:val="008D62EB"/>
    <w:rsid w:val="008D6394"/>
    <w:rsid w:val="008D6782"/>
    <w:rsid w:val="008D6BF3"/>
    <w:rsid w:val="008D6F84"/>
    <w:rsid w:val="008D72C1"/>
    <w:rsid w:val="008D72E0"/>
    <w:rsid w:val="008E01DF"/>
    <w:rsid w:val="008E1368"/>
    <w:rsid w:val="008E1984"/>
    <w:rsid w:val="008E23DD"/>
    <w:rsid w:val="008E6511"/>
    <w:rsid w:val="008E6B3D"/>
    <w:rsid w:val="008E707D"/>
    <w:rsid w:val="008E7CF0"/>
    <w:rsid w:val="008E7D7B"/>
    <w:rsid w:val="008F0A53"/>
    <w:rsid w:val="008F0ABB"/>
    <w:rsid w:val="008F115A"/>
    <w:rsid w:val="008F1746"/>
    <w:rsid w:val="008F1B11"/>
    <w:rsid w:val="008F1CD5"/>
    <w:rsid w:val="008F254F"/>
    <w:rsid w:val="008F5471"/>
    <w:rsid w:val="008F68C6"/>
    <w:rsid w:val="008F6F76"/>
    <w:rsid w:val="00900A80"/>
    <w:rsid w:val="009010E8"/>
    <w:rsid w:val="00901879"/>
    <w:rsid w:val="00902062"/>
    <w:rsid w:val="00903507"/>
    <w:rsid w:val="00903740"/>
    <w:rsid w:val="00903FD9"/>
    <w:rsid w:val="00906AD3"/>
    <w:rsid w:val="00906C2D"/>
    <w:rsid w:val="009072B4"/>
    <w:rsid w:val="00907524"/>
    <w:rsid w:val="00907EE1"/>
    <w:rsid w:val="00910CBF"/>
    <w:rsid w:val="00910CCB"/>
    <w:rsid w:val="00910FA5"/>
    <w:rsid w:val="009117BF"/>
    <w:rsid w:val="00913ED2"/>
    <w:rsid w:val="00914C25"/>
    <w:rsid w:val="00914E63"/>
    <w:rsid w:val="009154FC"/>
    <w:rsid w:val="009158C8"/>
    <w:rsid w:val="00915B7F"/>
    <w:rsid w:val="00915D24"/>
    <w:rsid w:val="009168C9"/>
    <w:rsid w:val="00916DF1"/>
    <w:rsid w:val="0092142D"/>
    <w:rsid w:val="00922026"/>
    <w:rsid w:val="00922D45"/>
    <w:rsid w:val="00922D6A"/>
    <w:rsid w:val="00922E7B"/>
    <w:rsid w:val="00923305"/>
    <w:rsid w:val="00923589"/>
    <w:rsid w:val="00923B71"/>
    <w:rsid w:val="00924051"/>
    <w:rsid w:val="0092441B"/>
    <w:rsid w:val="009249AB"/>
    <w:rsid w:val="00924EC1"/>
    <w:rsid w:val="009258C3"/>
    <w:rsid w:val="00925DAC"/>
    <w:rsid w:val="00926295"/>
    <w:rsid w:val="00927483"/>
    <w:rsid w:val="00927EE3"/>
    <w:rsid w:val="00930832"/>
    <w:rsid w:val="00932AB8"/>
    <w:rsid w:val="0093344F"/>
    <w:rsid w:val="009334F2"/>
    <w:rsid w:val="00934138"/>
    <w:rsid w:val="009341C0"/>
    <w:rsid w:val="009344BB"/>
    <w:rsid w:val="00934D14"/>
    <w:rsid w:val="00934F81"/>
    <w:rsid w:val="00935341"/>
    <w:rsid w:val="0093557A"/>
    <w:rsid w:val="00935C0F"/>
    <w:rsid w:val="00937798"/>
    <w:rsid w:val="00937B75"/>
    <w:rsid w:val="00937C3E"/>
    <w:rsid w:val="009406D9"/>
    <w:rsid w:val="0094086C"/>
    <w:rsid w:val="00940A13"/>
    <w:rsid w:val="009418C4"/>
    <w:rsid w:val="009418E2"/>
    <w:rsid w:val="00941CA8"/>
    <w:rsid w:val="00941CF5"/>
    <w:rsid w:val="00942367"/>
    <w:rsid w:val="00943133"/>
    <w:rsid w:val="00943200"/>
    <w:rsid w:val="009435A0"/>
    <w:rsid w:val="00943CF3"/>
    <w:rsid w:val="00943FAE"/>
    <w:rsid w:val="00944024"/>
    <w:rsid w:val="00944D6C"/>
    <w:rsid w:val="00944DE7"/>
    <w:rsid w:val="00944F06"/>
    <w:rsid w:val="00945D2C"/>
    <w:rsid w:val="00945F5F"/>
    <w:rsid w:val="009466EA"/>
    <w:rsid w:val="00946A2F"/>
    <w:rsid w:val="009477BA"/>
    <w:rsid w:val="0095096B"/>
    <w:rsid w:val="009509D7"/>
    <w:rsid w:val="00950BBF"/>
    <w:rsid w:val="00950E24"/>
    <w:rsid w:val="009510E1"/>
    <w:rsid w:val="0095147B"/>
    <w:rsid w:val="00952896"/>
    <w:rsid w:val="00953C2C"/>
    <w:rsid w:val="00953DB5"/>
    <w:rsid w:val="009541E0"/>
    <w:rsid w:val="009551D0"/>
    <w:rsid w:val="009555E6"/>
    <w:rsid w:val="009559DE"/>
    <w:rsid w:val="00956973"/>
    <w:rsid w:val="00956F89"/>
    <w:rsid w:val="009579EF"/>
    <w:rsid w:val="00957FE3"/>
    <w:rsid w:val="0096150F"/>
    <w:rsid w:val="00961875"/>
    <w:rsid w:val="0096188D"/>
    <w:rsid w:val="0096193C"/>
    <w:rsid w:val="00962B4C"/>
    <w:rsid w:val="00963F2D"/>
    <w:rsid w:val="0096492B"/>
    <w:rsid w:val="009660EA"/>
    <w:rsid w:val="00966D7A"/>
    <w:rsid w:val="00967254"/>
    <w:rsid w:val="00967E3B"/>
    <w:rsid w:val="00970515"/>
    <w:rsid w:val="009711B8"/>
    <w:rsid w:val="00971622"/>
    <w:rsid w:val="00971F92"/>
    <w:rsid w:val="009723E0"/>
    <w:rsid w:val="00973790"/>
    <w:rsid w:val="00973C8F"/>
    <w:rsid w:val="00974DD2"/>
    <w:rsid w:val="0097518E"/>
    <w:rsid w:val="00975691"/>
    <w:rsid w:val="009756BA"/>
    <w:rsid w:val="00975BC7"/>
    <w:rsid w:val="00976056"/>
    <w:rsid w:val="00976176"/>
    <w:rsid w:val="00976A2A"/>
    <w:rsid w:val="00977D07"/>
    <w:rsid w:val="00980F0A"/>
    <w:rsid w:val="009815D4"/>
    <w:rsid w:val="00982CCA"/>
    <w:rsid w:val="00982E5A"/>
    <w:rsid w:val="00983586"/>
    <w:rsid w:val="009836DC"/>
    <w:rsid w:val="00983EF3"/>
    <w:rsid w:val="009840DD"/>
    <w:rsid w:val="00984981"/>
    <w:rsid w:val="009849B8"/>
    <w:rsid w:val="00985ABF"/>
    <w:rsid w:val="009867D8"/>
    <w:rsid w:val="0098728A"/>
    <w:rsid w:val="009873F3"/>
    <w:rsid w:val="009906C7"/>
    <w:rsid w:val="00990C1D"/>
    <w:rsid w:val="00991429"/>
    <w:rsid w:val="0099165A"/>
    <w:rsid w:val="009916ED"/>
    <w:rsid w:val="0099224D"/>
    <w:rsid w:val="00992C84"/>
    <w:rsid w:val="00993E73"/>
    <w:rsid w:val="00994EF5"/>
    <w:rsid w:val="0099574D"/>
    <w:rsid w:val="00995CF5"/>
    <w:rsid w:val="00996B55"/>
    <w:rsid w:val="00997B81"/>
    <w:rsid w:val="00997C7E"/>
    <w:rsid w:val="00997FCD"/>
    <w:rsid w:val="009A09A5"/>
    <w:rsid w:val="009A0E21"/>
    <w:rsid w:val="009A14E0"/>
    <w:rsid w:val="009A1758"/>
    <w:rsid w:val="009A270B"/>
    <w:rsid w:val="009A29AE"/>
    <w:rsid w:val="009A2B88"/>
    <w:rsid w:val="009A2D5B"/>
    <w:rsid w:val="009A3C15"/>
    <w:rsid w:val="009A46B6"/>
    <w:rsid w:val="009A5EAD"/>
    <w:rsid w:val="009A79C5"/>
    <w:rsid w:val="009A7B89"/>
    <w:rsid w:val="009A7B9E"/>
    <w:rsid w:val="009A7C79"/>
    <w:rsid w:val="009B0B2C"/>
    <w:rsid w:val="009B21C5"/>
    <w:rsid w:val="009B231D"/>
    <w:rsid w:val="009B2B6D"/>
    <w:rsid w:val="009B30D2"/>
    <w:rsid w:val="009B3643"/>
    <w:rsid w:val="009B3945"/>
    <w:rsid w:val="009B4229"/>
    <w:rsid w:val="009B60CF"/>
    <w:rsid w:val="009B6162"/>
    <w:rsid w:val="009B62A3"/>
    <w:rsid w:val="009B647A"/>
    <w:rsid w:val="009B6D0E"/>
    <w:rsid w:val="009B74BC"/>
    <w:rsid w:val="009C003C"/>
    <w:rsid w:val="009C03AA"/>
    <w:rsid w:val="009C06C4"/>
    <w:rsid w:val="009C0A76"/>
    <w:rsid w:val="009C17ED"/>
    <w:rsid w:val="009C1891"/>
    <w:rsid w:val="009C1DF2"/>
    <w:rsid w:val="009C1EFF"/>
    <w:rsid w:val="009C2399"/>
    <w:rsid w:val="009C38C2"/>
    <w:rsid w:val="009C475B"/>
    <w:rsid w:val="009C610F"/>
    <w:rsid w:val="009C6733"/>
    <w:rsid w:val="009C75DF"/>
    <w:rsid w:val="009D0424"/>
    <w:rsid w:val="009D07A6"/>
    <w:rsid w:val="009D0A40"/>
    <w:rsid w:val="009D15A5"/>
    <w:rsid w:val="009D162D"/>
    <w:rsid w:val="009D1F5B"/>
    <w:rsid w:val="009D2C70"/>
    <w:rsid w:val="009D32F6"/>
    <w:rsid w:val="009D3664"/>
    <w:rsid w:val="009D3932"/>
    <w:rsid w:val="009D3B32"/>
    <w:rsid w:val="009D3C04"/>
    <w:rsid w:val="009D3DDD"/>
    <w:rsid w:val="009D4538"/>
    <w:rsid w:val="009D55FE"/>
    <w:rsid w:val="009D599C"/>
    <w:rsid w:val="009D6ED9"/>
    <w:rsid w:val="009E044A"/>
    <w:rsid w:val="009E11C3"/>
    <w:rsid w:val="009E1645"/>
    <w:rsid w:val="009E19B1"/>
    <w:rsid w:val="009E1C6A"/>
    <w:rsid w:val="009E21E3"/>
    <w:rsid w:val="009E2704"/>
    <w:rsid w:val="009E2B20"/>
    <w:rsid w:val="009E2C1E"/>
    <w:rsid w:val="009E2E98"/>
    <w:rsid w:val="009E2F9D"/>
    <w:rsid w:val="009E36F0"/>
    <w:rsid w:val="009E37D4"/>
    <w:rsid w:val="009E3E4E"/>
    <w:rsid w:val="009E3EF6"/>
    <w:rsid w:val="009E4997"/>
    <w:rsid w:val="009E49AC"/>
    <w:rsid w:val="009E51BC"/>
    <w:rsid w:val="009E526D"/>
    <w:rsid w:val="009E63E8"/>
    <w:rsid w:val="009E70BB"/>
    <w:rsid w:val="009E74A2"/>
    <w:rsid w:val="009E7E20"/>
    <w:rsid w:val="009F02B0"/>
    <w:rsid w:val="009F07D1"/>
    <w:rsid w:val="009F1778"/>
    <w:rsid w:val="009F1ED4"/>
    <w:rsid w:val="009F2105"/>
    <w:rsid w:val="009F237C"/>
    <w:rsid w:val="009F253A"/>
    <w:rsid w:val="009F40D6"/>
    <w:rsid w:val="009F4279"/>
    <w:rsid w:val="009F4E50"/>
    <w:rsid w:val="009F4FF3"/>
    <w:rsid w:val="009F52B1"/>
    <w:rsid w:val="009F53E3"/>
    <w:rsid w:val="009F56D2"/>
    <w:rsid w:val="009F5F6B"/>
    <w:rsid w:val="009F61B9"/>
    <w:rsid w:val="009F6613"/>
    <w:rsid w:val="009F6BCF"/>
    <w:rsid w:val="009F6C88"/>
    <w:rsid w:val="009F7D94"/>
    <w:rsid w:val="009F7EB5"/>
    <w:rsid w:val="00A01362"/>
    <w:rsid w:val="00A013E7"/>
    <w:rsid w:val="00A02414"/>
    <w:rsid w:val="00A02F67"/>
    <w:rsid w:val="00A0386B"/>
    <w:rsid w:val="00A03F54"/>
    <w:rsid w:val="00A0474A"/>
    <w:rsid w:val="00A0481C"/>
    <w:rsid w:val="00A04BD2"/>
    <w:rsid w:val="00A04F0B"/>
    <w:rsid w:val="00A0649C"/>
    <w:rsid w:val="00A066F0"/>
    <w:rsid w:val="00A06FC7"/>
    <w:rsid w:val="00A07526"/>
    <w:rsid w:val="00A076EE"/>
    <w:rsid w:val="00A11343"/>
    <w:rsid w:val="00A115DE"/>
    <w:rsid w:val="00A12915"/>
    <w:rsid w:val="00A12E72"/>
    <w:rsid w:val="00A13C0C"/>
    <w:rsid w:val="00A13ECB"/>
    <w:rsid w:val="00A15170"/>
    <w:rsid w:val="00A16956"/>
    <w:rsid w:val="00A16BE6"/>
    <w:rsid w:val="00A17078"/>
    <w:rsid w:val="00A170CB"/>
    <w:rsid w:val="00A172C2"/>
    <w:rsid w:val="00A17387"/>
    <w:rsid w:val="00A17650"/>
    <w:rsid w:val="00A2013B"/>
    <w:rsid w:val="00A20583"/>
    <w:rsid w:val="00A21390"/>
    <w:rsid w:val="00A21446"/>
    <w:rsid w:val="00A21579"/>
    <w:rsid w:val="00A219B7"/>
    <w:rsid w:val="00A21B80"/>
    <w:rsid w:val="00A2352F"/>
    <w:rsid w:val="00A238CD"/>
    <w:rsid w:val="00A24FA8"/>
    <w:rsid w:val="00A25018"/>
    <w:rsid w:val="00A250D6"/>
    <w:rsid w:val="00A25870"/>
    <w:rsid w:val="00A25C5A"/>
    <w:rsid w:val="00A2601C"/>
    <w:rsid w:val="00A26365"/>
    <w:rsid w:val="00A26E32"/>
    <w:rsid w:val="00A3028C"/>
    <w:rsid w:val="00A30601"/>
    <w:rsid w:val="00A31226"/>
    <w:rsid w:val="00A3149B"/>
    <w:rsid w:val="00A31563"/>
    <w:rsid w:val="00A31580"/>
    <w:rsid w:val="00A31851"/>
    <w:rsid w:val="00A32AF6"/>
    <w:rsid w:val="00A32EC3"/>
    <w:rsid w:val="00A33AD3"/>
    <w:rsid w:val="00A33CDF"/>
    <w:rsid w:val="00A34B4B"/>
    <w:rsid w:val="00A34BA9"/>
    <w:rsid w:val="00A35F84"/>
    <w:rsid w:val="00A36D83"/>
    <w:rsid w:val="00A379D2"/>
    <w:rsid w:val="00A37A35"/>
    <w:rsid w:val="00A37FAD"/>
    <w:rsid w:val="00A40474"/>
    <w:rsid w:val="00A407A0"/>
    <w:rsid w:val="00A414B4"/>
    <w:rsid w:val="00A4222D"/>
    <w:rsid w:val="00A4224C"/>
    <w:rsid w:val="00A426C9"/>
    <w:rsid w:val="00A43722"/>
    <w:rsid w:val="00A44B54"/>
    <w:rsid w:val="00A44E05"/>
    <w:rsid w:val="00A44FBF"/>
    <w:rsid w:val="00A454B8"/>
    <w:rsid w:val="00A45BE0"/>
    <w:rsid w:val="00A45BF4"/>
    <w:rsid w:val="00A46745"/>
    <w:rsid w:val="00A46770"/>
    <w:rsid w:val="00A46849"/>
    <w:rsid w:val="00A469E9"/>
    <w:rsid w:val="00A47582"/>
    <w:rsid w:val="00A506A3"/>
    <w:rsid w:val="00A52DBF"/>
    <w:rsid w:val="00A52F16"/>
    <w:rsid w:val="00A53483"/>
    <w:rsid w:val="00A53823"/>
    <w:rsid w:val="00A53D04"/>
    <w:rsid w:val="00A5422D"/>
    <w:rsid w:val="00A5471E"/>
    <w:rsid w:val="00A54B18"/>
    <w:rsid w:val="00A54E02"/>
    <w:rsid w:val="00A55165"/>
    <w:rsid w:val="00A55A4D"/>
    <w:rsid w:val="00A56256"/>
    <w:rsid w:val="00A56533"/>
    <w:rsid w:val="00A56866"/>
    <w:rsid w:val="00A569A2"/>
    <w:rsid w:val="00A60678"/>
    <w:rsid w:val="00A60875"/>
    <w:rsid w:val="00A60DEF"/>
    <w:rsid w:val="00A61887"/>
    <w:rsid w:val="00A61B6D"/>
    <w:rsid w:val="00A63920"/>
    <w:rsid w:val="00A63E10"/>
    <w:rsid w:val="00A64C1D"/>
    <w:rsid w:val="00A64D81"/>
    <w:rsid w:val="00A65477"/>
    <w:rsid w:val="00A65C91"/>
    <w:rsid w:val="00A66A0E"/>
    <w:rsid w:val="00A66AC2"/>
    <w:rsid w:val="00A66EB5"/>
    <w:rsid w:val="00A67448"/>
    <w:rsid w:val="00A676B5"/>
    <w:rsid w:val="00A678E6"/>
    <w:rsid w:val="00A67C1D"/>
    <w:rsid w:val="00A707BA"/>
    <w:rsid w:val="00A71748"/>
    <w:rsid w:val="00A71920"/>
    <w:rsid w:val="00A71CCC"/>
    <w:rsid w:val="00A72613"/>
    <w:rsid w:val="00A726CB"/>
    <w:rsid w:val="00A73538"/>
    <w:rsid w:val="00A7393C"/>
    <w:rsid w:val="00A73B10"/>
    <w:rsid w:val="00A74953"/>
    <w:rsid w:val="00A75ED0"/>
    <w:rsid w:val="00A76D85"/>
    <w:rsid w:val="00A76E15"/>
    <w:rsid w:val="00A775EB"/>
    <w:rsid w:val="00A7783D"/>
    <w:rsid w:val="00A778C8"/>
    <w:rsid w:val="00A80131"/>
    <w:rsid w:val="00A80C47"/>
    <w:rsid w:val="00A80CA1"/>
    <w:rsid w:val="00A80CB1"/>
    <w:rsid w:val="00A81199"/>
    <w:rsid w:val="00A81B48"/>
    <w:rsid w:val="00A832A0"/>
    <w:rsid w:val="00A83B1A"/>
    <w:rsid w:val="00A84056"/>
    <w:rsid w:val="00A84463"/>
    <w:rsid w:val="00A84E56"/>
    <w:rsid w:val="00A855D7"/>
    <w:rsid w:val="00A86418"/>
    <w:rsid w:val="00A866EF"/>
    <w:rsid w:val="00A8694E"/>
    <w:rsid w:val="00A86DAD"/>
    <w:rsid w:val="00A87266"/>
    <w:rsid w:val="00A873ED"/>
    <w:rsid w:val="00A87748"/>
    <w:rsid w:val="00A878EE"/>
    <w:rsid w:val="00A87B91"/>
    <w:rsid w:val="00A90A68"/>
    <w:rsid w:val="00A90F3E"/>
    <w:rsid w:val="00A92431"/>
    <w:rsid w:val="00A92A78"/>
    <w:rsid w:val="00A92BA1"/>
    <w:rsid w:val="00A9316B"/>
    <w:rsid w:val="00A93B04"/>
    <w:rsid w:val="00A93D0D"/>
    <w:rsid w:val="00A94F0B"/>
    <w:rsid w:val="00A96A07"/>
    <w:rsid w:val="00A97BC1"/>
    <w:rsid w:val="00A97E42"/>
    <w:rsid w:val="00A97E68"/>
    <w:rsid w:val="00A97E93"/>
    <w:rsid w:val="00AA09E4"/>
    <w:rsid w:val="00AA1166"/>
    <w:rsid w:val="00AA2C6E"/>
    <w:rsid w:val="00AA2DA8"/>
    <w:rsid w:val="00AA4909"/>
    <w:rsid w:val="00AA4B0C"/>
    <w:rsid w:val="00AA4DE5"/>
    <w:rsid w:val="00AA5460"/>
    <w:rsid w:val="00AA59F7"/>
    <w:rsid w:val="00AA70BB"/>
    <w:rsid w:val="00AA77F8"/>
    <w:rsid w:val="00AA7B36"/>
    <w:rsid w:val="00AA7DAF"/>
    <w:rsid w:val="00AB0F19"/>
    <w:rsid w:val="00AB1257"/>
    <w:rsid w:val="00AB16F7"/>
    <w:rsid w:val="00AB1D9F"/>
    <w:rsid w:val="00AB256D"/>
    <w:rsid w:val="00AB2E37"/>
    <w:rsid w:val="00AB3BB3"/>
    <w:rsid w:val="00AB5329"/>
    <w:rsid w:val="00AB5761"/>
    <w:rsid w:val="00AB59AD"/>
    <w:rsid w:val="00AB5A14"/>
    <w:rsid w:val="00AC0025"/>
    <w:rsid w:val="00AC0C09"/>
    <w:rsid w:val="00AC1807"/>
    <w:rsid w:val="00AC2F75"/>
    <w:rsid w:val="00AC4674"/>
    <w:rsid w:val="00AC5849"/>
    <w:rsid w:val="00AC59C4"/>
    <w:rsid w:val="00AC5A45"/>
    <w:rsid w:val="00AC650C"/>
    <w:rsid w:val="00AC67C5"/>
    <w:rsid w:val="00AC6F0B"/>
    <w:rsid w:val="00AD0C12"/>
    <w:rsid w:val="00AD1763"/>
    <w:rsid w:val="00AD2237"/>
    <w:rsid w:val="00AD2542"/>
    <w:rsid w:val="00AD2C62"/>
    <w:rsid w:val="00AD373D"/>
    <w:rsid w:val="00AD3BCE"/>
    <w:rsid w:val="00AD4461"/>
    <w:rsid w:val="00AD455A"/>
    <w:rsid w:val="00AD636B"/>
    <w:rsid w:val="00AD7ADE"/>
    <w:rsid w:val="00AD7F72"/>
    <w:rsid w:val="00AE0164"/>
    <w:rsid w:val="00AE044E"/>
    <w:rsid w:val="00AE0F57"/>
    <w:rsid w:val="00AE3682"/>
    <w:rsid w:val="00AE37CA"/>
    <w:rsid w:val="00AE38E5"/>
    <w:rsid w:val="00AE3E1D"/>
    <w:rsid w:val="00AE4D36"/>
    <w:rsid w:val="00AE53D2"/>
    <w:rsid w:val="00AE5868"/>
    <w:rsid w:val="00AE5872"/>
    <w:rsid w:val="00AE5945"/>
    <w:rsid w:val="00AE68C9"/>
    <w:rsid w:val="00AE7076"/>
    <w:rsid w:val="00AE71D9"/>
    <w:rsid w:val="00AE7624"/>
    <w:rsid w:val="00AE7653"/>
    <w:rsid w:val="00AE859C"/>
    <w:rsid w:val="00AF0375"/>
    <w:rsid w:val="00AF079B"/>
    <w:rsid w:val="00AF188E"/>
    <w:rsid w:val="00AF1D04"/>
    <w:rsid w:val="00AF21FA"/>
    <w:rsid w:val="00AF2DB9"/>
    <w:rsid w:val="00AF3DB0"/>
    <w:rsid w:val="00AF479C"/>
    <w:rsid w:val="00AF532D"/>
    <w:rsid w:val="00AF6F81"/>
    <w:rsid w:val="00AF7291"/>
    <w:rsid w:val="00AF761F"/>
    <w:rsid w:val="00AF7913"/>
    <w:rsid w:val="00B0039D"/>
    <w:rsid w:val="00B003E9"/>
    <w:rsid w:val="00B00870"/>
    <w:rsid w:val="00B00FCD"/>
    <w:rsid w:val="00B011C1"/>
    <w:rsid w:val="00B01897"/>
    <w:rsid w:val="00B01965"/>
    <w:rsid w:val="00B01B0C"/>
    <w:rsid w:val="00B0205B"/>
    <w:rsid w:val="00B04634"/>
    <w:rsid w:val="00B04C1E"/>
    <w:rsid w:val="00B063E9"/>
    <w:rsid w:val="00B06D54"/>
    <w:rsid w:val="00B07226"/>
    <w:rsid w:val="00B075A5"/>
    <w:rsid w:val="00B105A1"/>
    <w:rsid w:val="00B1102D"/>
    <w:rsid w:val="00B111BD"/>
    <w:rsid w:val="00B112BB"/>
    <w:rsid w:val="00B117BF"/>
    <w:rsid w:val="00B11BE8"/>
    <w:rsid w:val="00B11E15"/>
    <w:rsid w:val="00B1211C"/>
    <w:rsid w:val="00B12A64"/>
    <w:rsid w:val="00B13875"/>
    <w:rsid w:val="00B140EE"/>
    <w:rsid w:val="00B1457C"/>
    <w:rsid w:val="00B14D64"/>
    <w:rsid w:val="00B14DED"/>
    <w:rsid w:val="00B151D0"/>
    <w:rsid w:val="00B162E9"/>
    <w:rsid w:val="00B16AE1"/>
    <w:rsid w:val="00B16FB6"/>
    <w:rsid w:val="00B17830"/>
    <w:rsid w:val="00B203FD"/>
    <w:rsid w:val="00B21964"/>
    <w:rsid w:val="00B21B90"/>
    <w:rsid w:val="00B223C4"/>
    <w:rsid w:val="00B22511"/>
    <w:rsid w:val="00B225AE"/>
    <w:rsid w:val="00B227AD"/>
    <w:rsid w:val="00B23D5B"/>
    <w:rsid w:val="00B242C5"/>
    <w:rsid w:val="00B24615"/>
    <w:rsid w:val="00B246A3"/>
    <w:rsid w:val="00B25C4A"/>
    <w:rsid w:val="00B26D38"/>
    <w:rsid w:val="00B279C1"/>
    <w:rsid w:val="00B27BBA"/>
    <w:rsid w:val="00B30230"/>
    <w:rsid w:val="00B30650"/>
    <w:rsid w:val="00B308C2"/>
    <w:rsid w:val="00B3101A"/>
    <w:rsid w:val="00B31289"/>
    <w:rsid w:val="00B323AE"/>
    <w:rsid w:val="00B32551"/>
    <w:rsid w:val="00B32845"/>
    <w:rsid w:val="00B328E6"/>
    <w:rsid w:val="00B330A2"/>
    <w:rsid w:val="00B3355C"/>
    <w:rsid w:val="00B33A96"/>
    <w:rsid w:val="00B33EC5"/>
    <w:rsid w:val="00B34FB9"/>
    <w:rsid w:val="00B350EC"/>
    <w:rsid w:val="00B35353"/>
    <w:rsid w:val="00B35B3B"/>
    <w:rsid w:val="00B361B5"/>
    <w:rsid w:val="00B36FE8"/>
    <w:rsid w:val="00B370C5"/>
    <w:rsid w:val="00B37A18"/>
    <w:rsid w:val="00B37DEE"/>
    <w:rsid w:val="00B40468"/>
    <w:rsid w:val="00B404B6"/>
    <w:rsid w:val="00B41371"/>
    <w:rsid w:val="00B4231A"/>
    <w:rsid w:val="00B42558"/>
    <w:rsid w:val="00B42836"/>
    <w:rsid w:val="00B42EF2"/>
    <w:rsid w:val="00B43A56"/>
    <w:rsid w:val="00B4425B"/>
    <w:rsid w:val="00B44986"/>
    <w:rsid w:val="00B44A43"/>
    <w:rsid w:val="00B453F6"/>
    <w:rsid w:val="00B45838"/>
    <w:rsid w:val="00B46411"/>
    <w:rsid w:val="00B469C2"/>
    <w:rsid w:val="00B469D0"/>
    <w:rsid w:val="00B47814"/>
    <w:rsid w:val="00B47A0E"/>
    <w:rsid w:val="00B5039A"/>
    <w:rsid w:val="00B50692"/>
    <w:rsid w:val="00B509FD"/>
    <w:rsid w:val="00B52363"/>
    <w:rsid w:val="00B52D10"/>
    <w:rsid w:val="00B52FB9"/>
    <w:rsid w:val="00B53AF7"/>
    <w:rsid w:val="00B54DEB"/>
    <w:rsid w:val="00B5517F"/>
    <w:rsid w:val="00B556F1"/>
    <w:rsid w:val="00B55934"/>
    <w:rsid w:val="00B55FAC"/>
    <w:rsid w:val="00B56075"/>
    <w:rsid w:val="00B560F5"/>
    <w:rsid w:val="00B56606"/>
    <w:rsid w:val="00B5679B"/>
    <w:rsid w:val="00B56DAC"/>
    <w:rsid w:val="00B579FE"/>
    <w:rsid w:val="00B6136B"/>
    <w:rsid w:val="00B6153B"/>
    <w:rsid w:val="00B616E1"/>
    <w:rsid w:val="00B61D2B"/>
    <w:rsid w:val="00B63B72"/>
    <w:rsid w:val="00B63EC3"/>
    <w:rsid w:val="00B6598F"/>
    <w:rsid w:val="00B67133"/>
    <w:rsid w:val="00B673B0"/>
    <w:rsid w:val="00B70230"/>
    <w:rsid w:val="00B7066E"/>
    <w:rsid w:val="00B70DCF"/>
    <w:rsid w:val="00B7114A"/>
    <w:rsid w:val="00B7228A"/>
    <w:rsid w:val="00B7295D"/>
    <w:rsid w:val="00B72D6D"/>
    <w:rsid w:val="00B74136"/>
    <w:rsid w:val="00B75745"/>
    <w:rsid w:val="00B759C3"/>
    <w:rsid w:val="00B75CBE"/>
    <w:rsid w:val="00B769A5"/>
    <w:rsid w:val="00B776D7"/>
    <w:rsid w:val="00B77733"/>
    <w:rsid w:val="00B80371"/>
    <w:rsid w:val="00B80439"/>
    <w:rsid w:val="00B80599"/>
    <w:rsid w:val="00B809B9"/>
    <w:rsid w:val="00B80AB6"/>
    <w:rsid w:val="00B8158D"/>
    <w:rsid w:val="00B818C2"/>
    <w:rsid w:val="00B81DB0"/>
    <w:rsid w:val="00B821CB"/>
    <w:rsid w:val="00B825A0"/>
    <w:rsid w:val="00B8261A"/>
    <w:rsid w:val="00B8265E"/>
    <w:rsid w:val="00B82B9B"/>
    <w:rsid w:val="00B8373E"/>
    <w:rsid w:val="00B83AC6"/>
    <w:rsid w:val="00B854BB"/>
    <w:rsid w:val="00B859CF"/>
    <w:rsid w:val="00B85FEA"/>
    <w:rsid w:val="00B862F0"/>
    <w:rsid w:val="00B868FD"/>
    <w:rsid w:val="00B86C2E"/>
    <w:rsid w:val="00B86DB6"/>
    <w:rsid w:val="00B87795"/>
    <w:rsid w:val="00B926DE"/>
    <w:rsid w:val="00B928E0"/>
    <w:rsid w:val="00B9306D"/>
    <w:rsid w:val="00B93310"/>
    <w:rsid w:val="00B9463C"/>
    <w:rsid w:val="00B94673"/>
    <w:rsid w:val="00B953F5"/>
    <w:rsid w:val="00B95D18"/>
    <w:rsid w:val="00B96030"/>
    <w:rsid w:val="00B9623A"/>
    <w:rsid w:val="00B97D2F"/>
    <w:rsid w:val="00BA0751"/>
    <w:rsid w:val="00BA0979"/>
    <w:rsid w:val="00BA0B20"/>
    <w:rsid w:val="00BA1016"/>
    <w:rsid w:val="00BA11DC"/>
    <w:rsid w:val="00BA1511"/>
    <w:rsid w:val="00BA1B53"/>
    <w:rsid w:val="00BA2002"/>
    <w:rsid w:val="00BA27A2"/>
    <w:rsid w:val="00BA28B5"/>
    <w:rsid w:val="00BA3E05"/>
    <w:rsid w:val="00BA5016"/>
    <w:rsid w:val="00BA515E"/>
    <w:rsid w:val="00BA516C"/>
    <w:rsid w:val="00BA5985"/>
    <w:rsid w:val="00BA5AEF"/>
    <w:rsid w:val="00BA5F63"/>
    <w:rsid w:val="00BA62F4"/>
    <w:rsid w:val="00BA62F8"/>
    <w:rsid w:val="00BA6D2B"/>
    <w:rsid w:val="00BA7656"/>
    <w:rsid w:val="00BA7C73"/>
    <w:rsid w:val="00BB0263"/>
    <w:rsid w:val="00BB12E5"/>
    <w:rsid w:val="00BB226A"/>
    <w:rsid w:val="00BB2697"/>
    <w:rsid w:val="00BB273D"/>
    <w:rsid w:val="00BB281C"/>
    <w:rsid w:val="00BB2BB6"/>
    <w:rsid w:val="00BB2E63"/>
    <w:rsid w:val="00BB330F"/>
    <w:rsid w:val="00BB3B5E"/>
    <w:rsid w:val="00BB3C8B"/>
    <w:rsid w:val="00BB3EA8"/>
    <w:rsid w:val="00BB46D0"/>
    <w:rsid w:val="00BB49B1"/>
    <w:rsid w:val="00BB52EF"/>
    <w:rsid w:val="00BB58E2"/>
    <w:rsid w:val="00BB6604"/>
    <w:rsid w:val="00BC10FD"/>
    <w:rsid w:val="00BC1245"/>
    <w:rsid w:val="00BC13F1"/>
    <w:rsid w:val="00BC1A0E"/>
    <w:rsid w:val="00BC28F4"/>
    <w:rsid w:val="00BC3D40"/>
    <w:rsid w:val="00BC408C"/>
    <w:rsid w:val="00BC4259"/>
    <w:rsid w:val="00BC4602"/>
    <w:rsid w:val="00BC5025"/>
    <w:rsid w:val="00BC5647"/>
    <w:rsid w:val="00BC71E4"/>
    <w:rsid w:val="00BC7669"/>
    <w:rsid w:val="00BC7B2A"/>
    <w:rsid w:val="00BC7B56"/>
    <w:rsid w:val="00BD07FD"/>
    <w:rsid w:val="00BD1DAD"/>
    <w:rsid w:val="00BD345C"/>
    <w:rsid w:val="00BD5C46"/>
    <w:rsid w:val="00BD61A2"/>
    <w:rsid w:val="00BD66B3"/>
    <w:rsid w:val="00BD719A"/>
    <w:rsid w:val="00BD78AC"/>
    <w:rsid w:val="00BE038B"/>
    <w:rsid w:val="00BE1065"/>
    <w:rsid w:val="00BE10B0"/>
    <w:rsid w:val="00BE177E"/>
    <w:rsid w:val="00BE1988"/>
    <w:rsid w:val="00BE2870"/>
    <w:rsid w:val="00BE297F"/>
    <w:rsid w:val="00BE298F"/>
    <w:rsid w:val="00BE3343"/>
    <w:rsid w:val="00BE3B19"/>
    <w:rsid w:val="00BE4B01"/>
    <w:rsid w:val="00BE4DA5"/>
    <w:rsid w:val="00BE578B"/>
    <w:rsid w:val="00BE5FC4"/>
    <w:rsid w:val="00BE6341"/>
    <w:rsid w:val="00BE6417"/>
    <w:rsid w:val="00BE69E7"/>
    <w:rsid w:val="00BE7126"/>
    <w:rsid w:val="00BE7229"/>
    <w:rsid w:val="00BE750C"/>
    <w:rsid w:val="00BF0911"/>
    <w:rsid w:val="00BF1431"/>
    <w:rsid w:val="00BF1506"/>
    <w:rsid w:val="00BF153C"/>
    <w:rsid w:val="00BF1F9D"/>
    <w:rsid w:val="00BF23D1"/>
    <w:rsid w:val="00BF28DD"/>
    <w:rsid w:val="00BF2B82"/>
    <w:rsid w:val="00BF3702"/>
    <w:rsid w:val="00BF5F44"/>
    <w:rsid w:val="00BF6CCC"/>
    <w:rsid w:val="00BF6E41"/>
    <w:rsid w:val="00BF7982"/>
    <w:rsid w:val="00BF79A2"/>
    <w:rsid w:val="00BF7A13"/>
    <w:rsid w:val="00BF7EBC"/>
    <w:rsid w:val="00C00634"/>
    <w:rsid w:val="00C0071F"/>
    <w:rsid w:val="00C00962"/>
    <w:rsid w:val="00C027F8"/>
    <w:rsid w:val="00C02D8F"/>
    <w:rsid w:val="00C03493"/>
    <w:rsid w:val="00C037C6"/>
    <w:rsid w:val="00C03A48"/>
    <w:rsid w:val="00C03F59"/>
    <w:rsid w:val="00C042CB"/>
    <w:rsid w:val="00C04918"/>
    <w:rsid w:val="00C04A4D"/>
    <w:rsid w:val="00C04B62"/>
    <w:rsid w:val="00C052CC"/>
    <w:rsid w:val="00C05BFB"/>
    <w:rsid w:val="00C06279"/>
    <w:rsid w:val="00C0672D"/>
    <w:rsid w:val="00C06753"/>
    <w:rsid w:val="00C06965"/>
    <w:rsid w:val="00C10077"/>
    <w:rsid w:val="00C101A2"/>
    <w:rsid w:val="00C1071F"/>
    <w:rsid w:val="00C1074C"/>
    <w:rsid w:val="00C109B2"/>
    <w:rsid w:val="00C11946"/>
    <w:rsid w:val="00C11FAB"/>
    <w:rsid w:val="00C12211"/>
    <w:rsid w:val="00C122A3"/>
    <w:rsid w:val="00C126C9"/>
    <w:rsid w:val="00C12B2F"/>
    <w:rsid w:val="00C1477F"/>
    <w:rsid w:val="00C1525D"/>
    <w:rsid w:val="00C15F95"/>
    <w:rsid w:val="00C16C2F"/>
    <w:rsid w:val="00C17076"/>
    <w:rsid w:val="00C177A3"/>
    <w:rsid w:val="00C20BA9"/>
    <w:rsid w:val="00C20FCE"/>
    <w:rsid w:val="00C21086"/>
    <w:rsid w:val="00C211A3"/>
    <w:rsid w:val="00C213E7"/>
    <w:rsid w:val="00C21E6D"/>
    <w:rsid w:val="00C220BB"/>
    <w:rsid w:val="00C22652"/>
    <w:rsid w:val="00C2296E"/>
    <w:rsid w:val="00C22BCC"/>
    <w:rsid w:val="00C22F2D"/>
    <w:rsid w:val="00C23494"/>
    <w:rsid w:val="00C23701"/>
    <w:rsid w:val="00C238F5"/>
    <w:rsid w:val="00C23F99"/>
    <w:rsid w:val="00C2428E"/>
    <w:rsid w:val="00C2466F"/>
    <w:rsid w:val="00C248D4"/>
    <w:rsid w:val="00C24C61"/>
    <w:rsid w:val="00C24E9B"/>
    <w:rsid w:val="00C26130"/>
    <w:rsid w:val="00C2744E"/>
    <w:rsid w:val="00C2758A"/>
    <w:rsid w:val="00C277C0"/>
    <w:rsid w:val="00C27B11"/>
    <w:rsid w:val="00C3101A"/>
    <w:rsid w:val="00C314E5"/>
    <w:rsid w:val="00C3185B"/>
    <w:rsid w:val="00C31D31"/>
    <w:rsid w:val="00C32909"/>
    <w:rsid w:val="00C33033"/>
    <w:rsid w:val="00C3312B"/>
    <w:rsid w:val="00C335E9"/>
    <w:rsid w:val="00C33A0F"/>
    <w:rsid w:val="00C33B02"/>
    <w:rsid w:val="00C34385"/>
    <w:rsid w:val="00C34C80"/>
    <w:rsid w:val="00C34D11"/>
    <w:rsid w:val="00C34FB1"/>
    <w:rsid w:val="00C353FD"/>
    <w:rsid w:val="00C3544C"/>
    <w:rsid w:val="00C3554B"/>
    <w:rsid w:val="00C358BB"/>
    <w:rsid w:val="00C358F7"/>
    <w:rsid w:val="00C35980"/>
    <w:rsid w:val="00C367EA"/>
    <w:rsid w:val="00C36B15"/>
    <w:rsid w:val="00C36EF1"/>
    <w:rsid w:val="00C37245"/>
    <w:rsid w:val="00C3734B"/>
    <w:rsid w:val="00C378F2"/>
    <w:rsid w:val="00C37FC9"/>
    <w:rsid w:val="00C4038E"/>
    <w:rsid w:val="00C40F0D"/>
    <w:rsid w:val="00C40F39"/>
    <w:rsid w:val="00C40F8E"/>
    <w:rsid w:val="00C42447"/>
    <w:rsid w:val="00C427B8"/>
    <w:rsid w:val="00C42D3E"/>
    <w:rsid w:val="00C434EB"/>
    <w:rsid w:val="00C444C4"/>
    <w:rsid w:val="00C4521F"/>
    <w:rsid w:val="00C46053"/>
    <w:rsid w:val="00C46B4A"/>
    <w:rsid w:val="00C46BC9"/>
    <w:rsid w:val="00C46C0A"/>
    <w:rsid w:val="00C46E80"/>
    <w:rsid w:val="00C46F99"/>
    <w:rsid w:val="00C472EE"/>
    <w:rsid w:val="00C4733D"/>
    <w:rsid w:val="00C47356"/>
    <w:rsid w:val="00C4757E"/>
    <w:rsid w:val="00C47C5F"/>
    <w:rsid w:val="00C50E6F"/>
    <w:rsid w:val="00C51628"/>
    <w:rsid w:val="00C52273"/>
    <w:rsid w:val="00C540AB"/>
    <w:rsid w:val="00C55238"/>
    <w:rsid w:val="00C565B3"/>
    <w:rsid w:val="00C56C35"/>
    <w:rsid w:val="00C5782C"/>
    <w:rsid w:val="00C6079A"/>
    <w:rsid w:val="00C60A2E"/>
    <w:rsid w:val="00C60E83"/>
    <w:rsid w:val="00C61179"/>
    <w:rsid w:val="00C62567"/>
    <w:rsid w:val="00C62674"/>
    <w:rsid w:val="00C62FC7"/>
    <w:rsid w:val="00C63E75"/>
    <w:rsid w:val="00C64730"/>
    <w:rsid w:val="00C648F1"/>
    <w:rsid w:val="00C64C6A"/>
    <w:rsid w:val="00C661F9"/>
    <w:rsid w:val="00C66566"/>
    <w:rsid w:val="00C66D19"/>
    <w:rsid w:val="00C67155"/>
    <w:rsid w:val="00C708C3"/>
    <w:rsid w:val="00C70A53"/>
    <w:rsid w:val="00C72643"/>
    <w:rsid w:val="00C72BDE"/>
    <w:rsid w:val="00C731BA"/>
    <w:rsid w:val="00C7344A"/>
    <w:rsid w:val="00C735C0"/>
    <w:rsid w:val="00C73702"/>
    <w:rsid w:val="00C75BBC"/>
    <w:rsid w:val="00C76191"/>
    <w:rsid w:val="00C76563"/>
    <w:rsid w:val="00C767B4"/>
    <w:rsid w:val="00C76853"/>
    <w:rsid w:val="00C771A3"/>
    <w:rsid w:val="00C771E7"/>
    <w:rsid w:val="00C77DB1"/>
    <w:rsid w:val="00C802E9"/>
    <w:rsid w:val="00C80FAC"/>
    <w:rsid w:val="00C81758"/>
    <w:rsid w:val="00C8185D"/>
    <w:rsid w:val="00C81C73"/>
    <w:rsid w:val="00C81F7C"/>
    <w:rsid w:val="00C82002"/>
    <w:rsid w:val="00C8225E"/>
    <w:rsid w:val="00C82346"/>
    <w:rsid w:val="00C828DC"/>
    <w:rsid w:val="00C83079"/>
    <w:rsid w:val="00C83363"/>
    <w:rsid w:val="00C83E9D"/>
    <w:rsid w:val="00C84091"/>
    <w:rsid w:val="00C84299"/>
    <w:rsid w:val="00C84530"/>
    <w:rsid w:val="00C84810"/>
    <w:rsid w:val="00C84AFB"/>
    <w:rsid w:val="00C850E3"/>
    <w:rsid w:val="00C851BA"/>
    <w:rsid w:val="00C8562F"/>
    <w:rsid w:val="00C85B4C"/>
    <w:rsid w:val="00C860DD"/>
    <w:rsid w:val="00C86318"/>
    <w:rsid w:val="00C86562"/>
    <w:rsid w:val="00C86874"/>
    <w:rsid w:val="00C90317"/>
    <w:rsid w:val="00C9055A"/>
    <w:rsid w:val="00C9077B"/>
    <w:rsid w:val="00C92128"/>
    <w:rsid w:val="00C9218D"/>
    <w:rsid w:val="00C92F52"/>
    <w:rsid w:val="00C92FE8"/>
    <w:rsid w:val="00C9370B"/>
    <w:rsid w:val="00C938BB"/>
    <w:rsid w:val="00C93DDA"/>
    <w:rsid w:val="00C9443B"/>
    <w:rsid w:val="00C94C80"/>
    <w:rsid w:val="00C9574D"/>
    <w:rsid w:val="00C971F9"/>
    <w:rsid w:val="00C978B4"/>
    <w:rsid w:val="00C97DA6"/>
    <w:rsid w:val="00CA0BC0"/>
    <w:rsid w:val="00CA0DF0"/>
    <w:rsid w:val="00CA112C"/>
    <w:rsid w:val="00CA2049"/>
    <w:rsid w:val="00CA29D0"/>
    <w:rsid w:val="00CA2F0A"/>
    <w:rsid w:val="00CA36A3"/>
    <w:rsid w:val="00CA40EE"/>
    <w:rsid w:val="00CA532D"/>
    <w:rsid w:val="00CA5CB8"/>
    <w:rsid w:val="00CA5E54"/>
    <w:rsid w:val="00CA606A"/>
    <w:rsid w:val="00CA60CB"/>
    <w:rsid w:val="00CA62C3"/>
    <w:rsid w:val="00CA6751"/>
    <w:rsid w:val="00CA7430"/>
    <w:rsid w:val="00CA7DD1"/>
    <w:rsid w:val="00CB0822"/>
    <w:rsid w:val="00CB1421"/>
    <w:rsid w:val="00CB1B60"/>
    <w:rsid w:val="00CB232F"/>
    <w:rsid w:val="00CB2BDA"/>
    <w:rsid w:val="00CB31F7"/>
    <w:rsid w:val="00CB4A3C"/>
    <w:rsid w:val="00CB501B"/>
    <w:rsid w:val="00CB527B"/>
    <w:rsid w:val="00CB5551"/>
    <w:rsid w:val="00CB556D"/>
    <w:rsid w:val="00CB581B"/>
    <w:rsid w:val="00CB58BE"/>
    <w:rsid w:val="00CB5C23"/>
    <w:rsid w:val="00CB680B"/>
    <w:rsid w:val="00CB6D9D"/>
    <w:rsid w:val="00CB6F07"/>
    <w:rsid w:val="00CB7446"/>
    <w:rsid w:val="00CB76E3"/>
    <w:rsid w:val="00CB7C78"/>
    <w:rsid w:val="00CC0095"/>
    <w:rsid w:val="00CC07EB"/>
    <w:rsid w:val="00CC0A3B"/>
    <w:rsid w:val="00CC0B64"/>
    <w:rsid w:val="00CC0C63"/>
    <w:rsid w:val="00CC0D04"/>
    <w:rsid w:val="00CC0F4F"/>
    <w:rsid w:val="00CC11FD"/>
    <w:rsid w:val="00CC1C19"/>
    <w:rsid w:val="00CC2109"/>
    <w:rsid w:val="00CC23B5"/>
    <w:rsid w:val="00CC2AF0"/>
    <w:rsid w:val="00CC2F1C"/>
    <w:rsid w:val="00CC3169"/>
    <w:rsid w:val="00CC34BD"/>
    <w:rsid w:val="00CC3B9F"/>
    <w:rsid w:val="00CC4063"/>
    <w:rsid w:val="00CC4CD9"/>
    <w:rsid w:val="00CC5204"/>
    <w:rsid w:val="00CC5222"/>
    <w:rsid w:val="00CC5E06"/>
    <w:rsid w:val="00CC6489"/>
    <w:rsid w:val="00CC6B77"/>
    <w:rsid w:val="00CC6BCC"/>
    <w:rsid w:val="00CC6E90"/>
    <w:rsid w:val="00CC706C"/>
    <w:rsid w:val="00CC7364"/>
    <w:rsid w:val="00CC7D6F"/>
    <w:rsid w:val="00CD0063"/>
    <w:rsid w:val="00CD01BE"/>
    <w:rsid w:val="00CD0486"/>
    <w:rsid w:val="00CD0AD1"/>
    <w:rsid w:val="00CD2FC8"/>
    <w:rsid w:val="00CD32DA"/>
    <w:rsid w:val="00CD3C02"/>
    <w:rsid w:val="00CD3D5E"/>
    <w:rsid w:val="00CD40CB"/>
    <w:rsid w:val="00CD4F02"/>
    <w:rsid w:val="00CD53CE"/>
    <w:rsid w:val="00CD602C"/>
    <w:rsid w:val="00CD70EB"/>
    <w:rsid w:val="00CD7552"/>
    <w:rsid w:val="00CD7860"/>
    <w:rsid w:val="00CE00CF"/>
    <w:rsid w:val="00CE0167"/>
    <w:rsid w:val="00CE01AE"/>
    <w:rsid w:val="00CE0769"/>
    <w:rsid w:val="00CE2202"/>
    <w:rsid w:val="00CE286C"/>
    <w:rsid w:val="00CE2937"/>
    <w:rsid w:val="00CE2BFC"/>
    <w:rsid w:val="00CE2C55"/>
    <w:rsid w:val="00CE3076"/>
    <w:rsid w:val="00CE3085"/>
    <w:rsid w:val="00CE3AC6"/>
    <w:rsid w:val="00CE3EFC"/>
    <w:rsid w:val="00CE4C5B"/>
    <w:rsid w:val="00CE514C"/>
    <w:rsid w:val="00CE5E1B"/>
    <w:rsid w:val="00CE66CC"/>
    <w:rsid w:val="00CE67B0"/>
    <w:rsid w:val="00CE7422"/>
    <w:rsid w:val="00CE799C"/>
    <w:rsid w:val="00CF04C9"/>
    <w:rsid w:val="00CF0EEC"/>
    <w:rsid w:val="00CF146F"/>
    <w:rsid w:val="00CF1F00"/>
    <w:rsid w:val="00CF29AE"/>
    <w:rsid w:val="00CF2C6B"/>
    <w:rsid w:val="00CF2E16"/>
    <w:rsid w:val="00CF39DA"/>
    <w:rsid w:val="00CF4245"/>
    <w:rsid w:val="00CF4CA9"/>
    <w:rsid w:val="00CF5292"/>
    <w:rsid w:val="00CF571F"/>
    <w:rsid w:val="00CF57C8"/>
    <w:rsid w:val="00CF5811"/>
    <w:rsid w:val="00CF5AD9"/>
    <w:rsid w:val="00CF6061"/>
    <w:rsid w:val="00CF60E6"/>
    <w:rsid w:val="00CF7458"/>
    <w:rsid w:val="00CF7677"/>
    <w:rsid w:val="00CF7B7E"/>
    <w:rsid w:val="00D00520"/>
    <w:rsid w:val="00D0075F"/>
    <w:rsid w:val="00D0159D"/>
    <w:rsid w:val="00D0174A"/>
    <w:rsid w:val="00D01E4F"/>
    <w:rsid w:val="00D02641"/>
    <w:rsid w:val="00D028E2"/>
    <w:rsid w:val="00D03648"/>
    <w:rsid w:val="00D03AAB"/>
    <w:rsid w:val="00D03FE6"/>
    <w:rsid w:val="00D04F50"/>
    <w:rsid w:val="00D05ADB"/>
    <w:rsid w:val="00D05E92"/>
    <w:rsid w:val="00D06A08"/>
    <w:rsid w:val="00D1043F"/>
    <w:rsid w:val="00D10B46"/>
    <w:rsid w:val="00D1234D"/>
    <w:rsid w:val="00D13608"/>
    <w:rsid w:val="00D14810"/>
    <w:rsid w:val="00D1507D"/>
    <w:rsid w:val="00D1594A"/>
    <w:rsid w:val="00D1658A"/>
    <w:rsid w:val="00D16CC4"/>
    <w:rsid w:val="00D1712A"/>
    <w:rsid w:val="00D171BB"/>
    <w:rsid w:val="00D2068A"/>
    <w:rsid w:val="00D20BFF"/>
    <w:rsid w:val="00D214EC"/>
    <w:rsid w:val="00D215DB"/>
    <w:rsid w:val="00D21C49"/>
    <w:rsid w:val="00D21EA0"/>
    <w:rsid w:val="00D22CD7"/>
    <w:rsid w:val="00D231C4"/>
    <w:rsid w:val="00D236D9"/>
    <w:rsid w:val="00D25521"/>
    <w:rsid w:val="00D25D26"/>
    <w:rsid w:val="00D25E39"/>
    <w:rsid w:val="00D275CD"/>
    <w:rsid w:val="00D27BD7"/>
    <w:rsid w:val="00D305FE"/>
    <w:rsid w:val="00D30688"/>
    <w:rsid w:val="00D31141"/>
    <w:rsid w:val="00D3130A"/>
    <w:rsid w:val="00D313E7"/>
    <w:rsid w:val="00D3160B"/>
    <w:rsid w:val="00D31EA2"/>
    <w:rsid w:val="00D326B7"/>
    <w:rsid w:val="00D3353D"/>
    <w:rsid w:val="00D33AE5"/>
    <w:rsid w:val="00D35C6F"/>
    <w:rsid w:val="00D37310"/>
    <w:rsid w:val="00D37616"/>
    <w:rsid w:val="00D377BC"/>
    <w:rsid w:val="00D4124D"/>
    <w:rsid w:val="00D412C7"/>
    <w:rsid w:val="00D412D9"/>
    <w:rsid w:val="00D4154A"/>
    <w:rsid w:val="00D418ED"/>
    <w:rsid w:val="00D41BB0"/>
    <w:rsid w:val="00D422E0"/>
    <w:rsid w:val="00D4281C"/>
    <w:rsid w:val="00D42DC0"/>
    <w:rsid w:val="00D431D9"/>
    <w:rsid w:val="00D4409C"/>
    <w:rsid w:val="00D44CE3"/>
    <w:rsid w:val="00D46DF0"/>
    <w:rsid w:val="00D4744A"/>
    <w:rsid w:val="00D4748A"/>
    <w:rsid w:val="00D4750D"/>
    <w:rsid w:val="00D478E3"/>
    <w:rsid w:val="00D500F6"/>
    <w:rsid w:val="00D5087E"/>
    <w:rsid w:val="00D51518"/>
    <w:rsid w:val="00D51880"/>
    <w:rsid w:val="00D521A7"/>
    <w:rsid w:val="00D532D7"/>
    <w:rsid w:val="00D5388B"/>
    <w:rsid w:val="00D5390A"/>
    <w:rsid w:val="00D54167"/>
    <w:rsid w:val="00D5452B"/>
    <w:rsid w:val="00D55177"/>
    <w:rsid w:val="00D55472"/>
    <w:rsid w:val="00D56573"/>
    <w:rsid w:val="00D57EAE"/>
    <w:rsid w:val="00D60D15"/>
    <w:rsid w:val="00D614C0"/>
    <w:rsid w:val="00D614FC"/>
    <w:rsid w:val="00D61DDD"/>
    <w:rsid w:val="00D623B0"/>
    <w:rsid w:val="00D62E9B"/>
    <w:rsid w:val="00D6406A"/>
    <w:rsid w:val="00D64329"/>
    <w:rsid w:val="00D64AC5"/>
    <w:rsid w:val="00D64DF3"/>
    <w:rsid w:val="00D6603C"/>
    <w:rsid w:val="00D662AC"/>
    <w:rsid w:val="00D7063C"/>
    <w:rsid w:val="00D7075F"/>
    <w:rsid w:val="00D70A64"/>
    <w:rsid w:val="00D70B07"/>
    <w:rsid w:val="00D70F17"/>
    <w:rsid w:val="00D710AB"/>
    <w:rsid w:val="00D71D67"/>
    <w:rsid w:val="00D73178"/>
    <w:rsid w:val="00D732AF"/>
    <w:rsid w:val="00D732B0"/>
    <w:rsid w:val="00D736BC"/>
    <w:rsid w:val="00D74E20"/>
    <w:rsid w:val="00D75540"/>
    <w:rsid w:val="00D755B6"/>
    <w:rsid w:val="00D76B1B"/>
    <w:rsid w:val="00D76F1C"/>
    <w:rsid w:val="00D77874"/>
    <w:rsid w:val="00D778F3"/>
    <w:rsid w:val="00D77F02"/>
    <w:rsid w:val="00D8054D"/>
    <w:rsid w:val="00D80739"/>
    <w:rsid w:val="00D80842"/>
    <w:rsid w:val="00D814C2"/>
    <w:rsid w:val="00D81CB5"/>
    <w:rsid w:val="00D83CC3"/>
    <w:rsid w:val="00D84229"/>
    <w:rsid w:val="00D84924"/>
    <w:rsid w:val="00D849E3"/>
    <w:rsid w:val="00D85891"/>
    <w:rsid w:val="00D85BD6"/>
    <w:rsid w:val="00D86F3B"/>
    <w:rsid w:val="00D87D7B"/>
    <w:rsid w:val="00D90094"/>
    <w:rsid w:val="00D90CFE"/>
    <w:rsid w:val="00D91C7C"/>
    <w:rsid w:val="00D938BE"/>
    <w:rsid w:val="00D93AF0"/>
    <w:rsid w:val="00D94460"/>
    <w:rsid w:val="00D94F7E"/>
    <w:rsid w:val="00DA0ADD"/>
    <w:rsid w:val="00DA1213"/>
    <w:rsid w:val="00DA1E20"/>
    <w:rsid w:val="00DA1ED6"/>
    <w:rsid w:val="00DA208F"/>
    <w:rsid w:val="00DA37DC"/>
    <w:rsid w:val="00DA46D9"/>
    <w:rsid w:val="00DA6A87"/>
    <w:rsid w:val="00DA7275"/>
    <w:rsid w:val="00DA7751"/>
    <w:rsid w:val="00DB07AC"/>
    <w:rsid w:val="00DB133E"/>
    <w:rsid w:val="00DB143E"/>
    <w:rsid w:val="00DB14BA"/>
    <w:rsid w:val="00DB15F6"/>
    <w:rsid w:val="00DB1AAF"/>
    <w:rsid w:val="00DB1F87"/>
    <w:rsid w:val="00DB2FA6"/>
    <w:rsid w:val="00DB36BB"/>
    <w:rsid w:val="00DB3B76"/>
    <w:rsid w:val="00DB3D41"/>
    <w:rsid w:val="00DB45EA"/>
    <w:rsid w:val="00DB4877"/>
    <w:rsid w:val="00DB7124"/>
    <w:rsid w:val="00DB7E62"/>
    <w:rsid w:val="00DC22A2"/>
    <w:rsid w:val="00DC2AD0"/>
    <w:rsid w:val="00DC495D"/>
    <w:rsid w:val="00DC4E92"/>
    <w:rsid w:val="00DC5317"/>
    <w:rsid w:val="00DC628B"/>
    <w:rsid w:val="00DC67BF"/>
    <w:rsid w:val="00DC7CD2"/>
    <w:rsid w:val="00DC7DE2"/>
    <w:rsid w:val="00DD0493"/>
    <w:rsid w:val="00DD04F6"/>
    <w:rsid w:val="00DD08F8"/>
    <w:rsid w:val="00DD0969"/>
    <w:rsid w:val="00DD099B"/>
    <w:rsid w:val="00DD13AB"/>
    <w:rsid w:val="00DD1C37"/>
    <w:rsid w:val="00DD307F"/>
    <w:rsid w:val="00DD4045"/>
    <w:rsid w:val="00DD434D"/>
    <w:rsid w:val="00DD5330"/>
    <w:rsid w:val="00DD5609"/>
    <w:rsid w:val="00DD627B"/>
    <w:rsid w:val="00DD6F19"/>
    <w:rsid w:val="00DD71BF"/>
    <w:rsid w:val="00DD79E3"/>
    <w:rsid w:val="00DE137C"/>
    <w:rsid w:val="00DE2CF5"/>
    <w:rsid w:val="00DE36BE"/>
    <w:rsid w:val="00DE3AA5"/>
    <w:rsid w:val="00DE3CB5"/>
    <w:rsid w:val="00DE3D44"/>
    <w:rsid w:val="00DE533D"/>
    <w:rsid w:val="00DE53AE"/>
    <w:rsid w:val="00DE571C"/>
    <w:rsid w:val="00DE5D9E"/>
    <w:rsid w:val="00DE6BFA"/>
    <w:rsid w:val="00DE7021"/>
    <w:rsid w:val="00DE7D51"/>
    <w:rsid w:val="00DF0AB1"/>
    <w:rsid w:val="00DF14E7"/>
    <w:rsid w:val="00DF1BF7"/>
    <w:rsid w:val="00DF2855"/>
    <w:rsid w:val="00DF2951"/>
    <w:rsid w:val="00DF3B27"/>
    <w:rsid w:val="00DF4F92"/>
    <w:rsid w:val="00DF5D3C"/>
    <w:rsid w:val="00DF6635"/>
    <w:rsid w:val="00DF66B7"/>
    <w:rsid w:val="00DF66D7"/>
    <w:rsid w:val="00DF7355"/>
    <w:rsid w:val="00E0032A"/>
    <w:rsid w:val="00E0084E"/>
    <w:rsid w:val="00E00A88"/>
    <w:rsid w:val="00E00B63"/>
    <w:rsid w:val="00E00C19"/>
    <w:rsid w:val="00E00CB6"/>
    <w:rsid w:val="00E014A6"/>
    <w:rsid w:val="00E01500"/>
    <w:rsid w:val="00E01E65"/>
    <w:rsid w:val="00E02491"/>
    <w:rsid w:val="00E0252B"/>
    <w:rsid w:val="00E02A67"/>
    <w:rsid w:val="00E02EB6"/>
    <w:rsid w:val="00E0385E"/>
    <w:rsid w:val="00E0424E"/>
    <w:rsid w:val="00E0455A"/>
    <w:rsid w:val="00E04A11"/>
    <w:rsid w:val="00E05095"/>
    <w:rsid w:val="00E05228"/>
    <w:rsid w:val="00E05623"/>
    <w:rsid w:val="00E05997"/>
    <w:rsid w:val="00E05B89"/>
    <w:rsid w:val="00E0628B"/>
    <w:rsid w:val="00E062EC"/>
    <w:rsid w:val="00E06783"/>
    <w:rsid w:val="00E0726E"/>
    <w:rsid w:val="00E07CA6"/>
    <w:rsid w:val="00E07E18"/>
    <w:rsid w:val="00E07E8D"/>
    <w:rsid w:val="00E105FC"/>
    <w:rsid w:val="00E10CD7"/>
    <w:rsid w:val="00E10D9D"/>
    <w:rsid w:val="00E1125B"/>
    <w:rsid w:val="00E112AE"/>
    <w:rsid w:val="00E116DA"/>
    <w:rsid w:val="00E119E1"/>
    <w:rsid w:val="00E11C89"/>
    <w:rsid w:val="00E12E5C"/>
    <w:rsid w:val="00E13738"/>
    <w:rsid w:val="00E13C3E"/>
    <w:rsid w:val="00E14955"/>
    <w:rsid w:val="00E14E22"/>
    <w:rsid w:val="00E15263"/>
    <w:rsid w:val="00E15E1C"/>
    <w:rsid w:val="00E15FA1"/>
    <w:rsid w:val="00E1623B"/>
    <w:rsid w:val="00E1628D"/>
    <w:rsid w:val="00E16414"/>
    <w:rsid w:val="00E17976"/>
    <w:rsid w:val="00E17C41"/>
    <w:rsid w:val="00E17C8F"/>
    <w:rsid w:val="00E17CDB"/>
    <w:rsid w:val="00E17F74"/>
    <w:rsid w:val="00E17FC9"/>
    <w:rsid w:val="00E20295"/>
    <w:rsid w:val="00E209B8"/>
    <w:rsid w:val="00E2143D"/>
    <w:rsid w:val="00E21B3D"/>
    <w:rsid w:val="00E21C1E"/>
    <w:rsid w:val="00E21FD2"/>
    <w:rsid w:val="00E2336E"/>
    <w:rsid w:val="00E233BC"/>
    <w:rsid w:val="00E23853"/>
    <w:rsid w:val="00E23FA6"/>
    <w:rsid w:val="00E24446"/>
    <w:rsid w:val="00E244B2"/>
    <w:rsid w:val="00E247F5"/>
    <w:rsid w:val="00E25506"/>
    <w:rsid w:val="00E258D2"/>
    <w:rsid w:val="00E259D3"/>
    <w:rsid w:val="00E26C90"/>
    <w:rsid w:val="00E30313"/>
    <w:rsid w:val="00E306D2"/>
    <w:rsid w:val="00E30941"/>
    <w:rsid w:val="00E30BFD"/>
    <w:rsid w:val="00E31203"/>
    <w:rsid w:val="00E3147A"/>
    <w:rsid w:val="00E31C60"/>
    <w:rsid w:val="00E3215E"/>
    <w:rsid w:val="00E32BEA"/>
    <w:rsid w:val="00E32CD8"/>
    <w:rsid w:val="00E338CF"/>
    <w:rsid w:val="00E33AD1"/>
    <w:rsid w:val="00E34E0D"/>
    <w:rsid w:val="00E362C0"/>
    <w:rsid w:val="00E363AD"/>
    <w:rsid w:val="00E36D01"/>
    <w:rsid w:val="00E37FD0"/>
    <w:rsid w:val="00E407E0"/>
    <w:rsid w:val="00E40EE3"/>
    <w:rsid w:val="00E41AF2"/>
    <w:rsid w:val="00E41E3C"/>
    <w:rsid w:val="00E41EE7"/>
    <w:rsid w:val="00E41FEB"/>
    <w:rsid w:val="00E42C03"/>
    <w:rsid w:val="00E436B8"/>
    <w:rsid w:val="00E44DF9"/>
    <w:rsid w:val="00E44DFE"/>
    <w:rsid w:val="00E4593D"/>
    <w:rsid w:val="00E45DE1"/>
    <w:rsid w:val="00E477C4"/>
    <w:rsid w:val="00E47FCB"/>
    <w:rsid w:val="00E500C3"/>
    <w:rsid w:val="00E503AB"/>
    <w:rsid w:val="00E50E7D"/>
    <w:rsid w:val="00E5147B"/>
    <w:rsid w:val="00E5190C"/>
    <w:rsid w:val="00E51B25"/>
    <w:rsid w:val="00E54633"/>
    <w:rsid w:val="00E54892"/>
    <w:rsid w:val="00E54FDB"/>
    <w:rsid w:val="00E55096"/>
    <w:rsid w:val="00E55C86"/>
    <w:rsid w:val="00E567F6"/>
    <w:rsid w:val="00E56F67"/>
    <w:rsid w:val="00E57656"/>
    <w:rsid w:val="00E57E1D"/>
    <w:rsid w:val="00E60633"/>
    <w:rsid w:val="00E60B18"/>
    <w:rsid w:val="00E6253E"/>
    <w:rsid w:val="00E628E0"/>
    <w:rsid w:val="00E63376"/>
    <w:rsid w:val="00E63CE4"/>
    <w:rsid w:val="00E65B7B"/>
    <w:rsid w:val="00E66177"/>
    <w:rsid w:val="00E66385"/>
    <w:rsid w:val="00E66C8C"/>
    <w:rsid w:val="00E6722F"/>
    <w:rsid w:val="00E6736B"/>
    <w:rsid w:val="00E673BB"/>
    <w:rsid w:val="00E67495"/>
    <w:rsid w:val="00E67F25"/>
    <w:rsid w:val="00E701E9"/>
    <w:rsid w:val="00E70346"/>
    <w:rsid w:val="00E708DC"/>
    <w:rsid w:val="00E712D0"/>
    <w:rsid w:val="00E71C62"/>
    <w:rsid w:val="00E7210D"/>
    <w:rsid w:val="00E72E06"/>
    <w:rsid w:val="00E7359F"/>
    <w:rsid w:val="00E73606"/>
    <w:rsid w:val="00E7363B"/>
    <w:rsid w:val="00E74A34"/>
    <w:rsid w:val="00E753E4"/>
    <w:rsid w:val="00E75614"/>
    <w:rsid w:val="00E75CDF"/>
    <w:rsid w:val="00E76929"/>
    <w:rsid w:val="00E80BB1"/>
    <w:rsid w:val="00E81578"/>
    <w:rsid w:val="00E818D2"/>
    <w:rsid w:val="00E822D9"/>
    <w:rsid w:val="00E82316"/>
    <w:rsid w:val="00E824D2"/>
    <w:rsid w:val="00E828F9"/>
    <w:rsid w:val="00E82A6E"/>
    <w:rsid w:val="00E82C67"/>
    <w:rsid w:val="00E82EFB"/>
    <w:rsid w:val="00E8333C"/>
    <w:rsid w:val="00E83493"/>
    <w:rsid w:val="00E85BCF"/>
    <w:rsid w:val="00E85E0F"/>
    <w:rsid w:val="00E86ABE"/>
    <w:rsid w:val="00E875C0"/>
    <w:rsid w:val="00E876FD"/>
    <w:rsid w:val="00E87B07"/>
    <w:rsid w:val="00E90A05"/>
    <w:rsid w:val="00E90BA8"/>
    <w:rsid w:val="00E911D3"/>
    <w:rsid w:val="00E91213"/>
    <w:rsid w:val="00E92399"/>
    <w:rsid w:val="00E92CAB"/>
    <w:rsid w:val="00E9462C"/>
    <w:rsid w:val="00E94DBC"/>
    <w:rsid w:val="00E9518A"/>
    <w:rsid w:val="00E95CF3"/>
    <w:rsid w:val="00E96C18"/>
    <w:rsid w:val="00E96D3F"/>
    <w:rsid w:val="00E97247"/>
    <w:rsid w:val="00EA2A05"/>
    <w:rsid w:val="00EA2E37"/>
    <w:rsid w:val="00EA30BC"/>
    <w:rsid w:val="00EA3CA9"/>
    <w:rsid w:val="00EA438F"/>
    <w:rsid w:val="00EA44A7"/>
    <w:rsid w:val="00EA48F4"/>
    <w:rsid w:val="00EA49B8"/>
    <w:rsid w:val="00EA4E63"/>
    <w:rsid w:val="00EA4ED9"/>
    <w:rsid w:val="00EA5C6D"/>
    <w:rsid w:val="00EA5E53"/>
    <w:rsid w:val="00EA5FD0"/>
    <w:rsid w:val="00EA60E6"/>
    <w:rsid w:val="00EA64A8"/>
    <w:rsid w:val="00EA6950"/>
    <w:rsid w:val="00EA721E"/>
    <w:rsid w:val="00EA7384"/>
    <w:rsid w:val="00EA77BE"/>
    <w:rsid w:val="00EB056F"/>
    <w:rsid w:val="00EB17DB"/>
    <w:rsid w:val="00EB1833"/>
    <w:rsid w:val="00EB1C50"/>
    <w:rsid w:val="00EB2240"/>
    <w:rsid w:val="00EB2CA2"/>
    <w:rsid w:val="00EB2E86"/>
    <w:rsid w:val="00EB33A9"/>
    <w:rsid w:val="00EB3A85"/>
    <w:rsid w:val="00EB3CD8"/>
    <w:rsid w:val="00EB3CE4"/>
    <w:rsid w:val="00EB4080"/>
    <w:rsid w:val="00EB43E8"/>
    <w:rsid w:val="00EB592E"/>
    <w:rsid w:val="00EB5B18"/>
    <w:rsid w:val="00EB698B"/>
    <w:rsid w:val="00EB6CC4"/>
    <w:rsid w:val="00EB7D5E"/>
    <w:rsid w:val="00EB7E8D"/>
    <w:rsid w:val="00EC025A"/>
    <w:rsid w:val="00EC0B1F"/>
    <w:rsid w:val="00EC0B3A"/>
    <w:rsid w:val="00EC0C58"/>
    <w:rsid w:val="00EC1599"/>
    <w:rsid w:val="00EC1F20"/>
    <w:rsid w:val="00EC28E1"/>
    <w:rsid w:val="00EC2ED1"/>
    <w:rsid w:val="00EC3141"/>
    <w:rsid w:val="00EC3510"/>
    <w:rsid w:val="00EC38EF"/>
    <w:rsid w:val="00EC3DE9"/>
    <w:rsid w:val="00EC43C4"/>
    <w:rsid w:val="00EC5245"/>
    <w:rsid w:val="00EC594D"/>
    <w:rsid w:val="00EC5C0E"/>
    <w:rsid w:val="00EC5EF2"/>
    <w:rsid w:val="00EC5F77"/>
    <w:rsid w:val="00EC6307"/>
    <w:rsid w:val="00EC76BB"/>
    <w:rsid w:val="00ED03A2"/>
    <w:rsid w:val="00ED074C"/>
    <w:rsid w:val="00ED0965"/>
    <w:rsid w:val="00ED10D2"/>
    <w:rsid w:val="00ED200D"/>
    <w:rsid w:val="00ED2181"/>
    <w:rsid w:val="00ED23C8"/>
    <w:rsid w:val="00ED2857"/>
    <w:rsid w:val="00ED462A"/>
    <w:rsid w:val="00ED4C1C"/>
    <w:rsid w:val="00ED4D24"/>
    <w:rsid w:val="00ED5506"/>
    <w:rsid w:val="00ED5D24"/>
    <w:rsid w:val="00ED754A"/>
    <w:rsid w:val="00ED762B"/>
    <w:rsid w:val="00ED7A55"/>
    <w:rsid w:val="00EE06F2"/>
    <w:rsid w:val="00EE0C6B"/>
    <w:rsid w:val="00EE0F0A"/>
    <w:rsid w:val="00EE0FE4"/>
    <w:rsid w:val="00EE13F0"/>
    <w:rsid w:val="00EE1E12"/>
    <w:rsid w:val="00EE2B01"/>
    <w:rsid w:val="00EE31B5"/>
    <w:rsid w:val="00EE3263"/>
    <w:rsid w:val="00EE44C1"/>
    <w:rsid w:val="00EE5387"/>
    <w:rsid w:val="00EE5591"/>
    <w:rsid w:val="00EE5E9E"/>
    <w:rsid w:val="00EE5F55"/>
    <w:rsid w:val="00EE6512"/>
    <w:rsid w:val="00EE6553"/>
    <w:rsid w:val="00EE69E3"/>
    <w:rsid w:val="00EE6DB8"/>
    <w:rsid w:val="00EE7435"/>
    <w:rsid w:val="00EE7517"/>
    <w:rsid w:val="00EF0818"/>
    <w:rsid w:val="00EF08CB"/>
    <w:rsid w:val="00EF0FBC"/>
    <w:rsid w:val="00EF1411"/>
    <w:rsid w:val="00EF15A6"/>
    <w:rsid w:val="00EF1680"/>
    <w:rsid w:val="00EF1E17"/>
    <w:rsid w:val="00EF22D8"/>
    <w:rsid w:val="00EF2578"/>
    <w:rsid w:val="00EF2ECD"/>
    <w:rsid w:val="00EF364D"/>
    <w:rsid w:val="00EF37E3"/>
    <w:rsid w:val="00EF3E70"/>
    <w:rsid w:val="00EF53DC"/>
    <w:rsid w:val="00EF588B"/>
    <w:rsid w:val="00EF595C"/>
    <w:rsid w:val="00EF6D31"/>
    <w:rsid w:val="00EF7C89"/>
    <w:rsid w:val="00EF7E2B"/>
    <w:rsid w:val="00F000DF"/>
    <w:rsid w:val="00F00D54"/>
    <w:rsid w:val="00F02040"/>
    <w:rsid w:val="00F02365"/>
    <w:rsid w:val="00F0295F"/>
    <w:rsid w:val="00F03830"/>
    <w:rsid w:val="00F038EF"/>
    <w:rsid w:val="00F03E39"/>
    <w:rsid w:val="00F04664"/>
    <w:rsid w:val="00F04C2A"/>
    <w:rsid w:val="00F05662"/>
    <w:rsid w:val="00F05794"/>
    <w:rsid w:val="00F05880"/>
    <w:rsid w:val="00F05A53"/>
    <w:rsid w:val="00F06E18"/>
    <w:rsid w:val="00F0770C"/>
    <w:rsid w:val="00F077BD"/>
    <w:rsid w:val="00F07DC3"/>
    <w:rsid w:val="00F07F07"/>
    <w:rsid w:val="00F10914"/>
    <w:rsid w:val="00F10AC3"/>
    <w:rsid w:val="00F11E23"/>
    <w:rsid w:val="00F12150"/>
    <w:rsid w:val="00F12226"/>
    <w:rsid w:val="00F12BB9"/>
    <w:rsid w:val="00F1319F"/>
    <w:rsid w:val="00F13624"/>
    <w:rsid w:val="00F15986"/>
    <w:rsid w:val="00F15D5B"/>
    <w:rsid w:val="00F16DBC"/>
    <w:rsid w:val="00F200BB"/>
    <w:rsid w:val="00F20775"/>
    <w:rsid w:val="00F20A87"/>
    <w:rsid w:val="00F20AF3"/>
    <w:rsid w:val="00F21E10"/>
    <w:rsid w:val="00F224D6"/>
    <w:rsid w:val="00F2336A"/>
    <w:rsid w:val="00F24CBB"/>
    <w:rsid w:val="00F2593A"/>
    <w:rsid w:val="00F25BC2"/>
    <w:rsid w:val="00F25C48"/>
    <w:rsid w:val="00F25D16"/>
    <w:rsid w:val="00F25D81"/>
    <w:rsid w:val="00F2632F"/>
    <w:rsid w:val="00F264F7"/>
    <w:rsid w:val="00F26871"/>
    <w:rsid w:val="00F26F18"/>
    <w:rsid w:val="00F26F7F"/>
    <w:rsid w:val="00F27012"/>
    <w:rsid w:val="00F27C69"/>
    <w:rsid w:val="00F27EA9"/>
    <w:rsid w:val="00F30861"/>
    <w:rsid w:val="00F30AC4"/>
    <w:rsid w:val="00F30C24"/>
    <w:rsid w:val="00F315B0"/>
    <w:rsid w:val="00F3176C"/>
    <w:rsid w:val="00F32AE1"/>
    <w:rsid w:val="00F3336F"/>
    <w:rsid w:val="00F33DE7"/>
    <w:rsid w:val="00F33F47"/>
    <w:rsid w:val="00F342D9"/>
    <w:rsid w:val="00F346B6"/>
    <w:rsid w:val="00F34877"/>
    <w:rsid w:val="00F34EC8"/>
    <w:rsid w:val="00F3592F"/>
    <w:rsid w:val="00F35E55"/>
    <w:rsid w:val="00F35FFD"/>
    <w:rsid w:val="00F36337"/>
    <w:rsid w:val="00F36708"/>
    <w:rsid w:val="00F37127"/>
    <w:rsid w:val="00F37685"/>
    <w:rsid w:val="00F40860"/>
    <w:rsid w:val="00F40BA1"/>
    <w:rsid w:val="00F4134D"/>
    <w:rsid w:val="00F41BDB"/>
    <w:rsid w:val="00F42075"/>
    <w:rsid w:val="00F42718"/>
    <w:rsid w:val="00F439CB"/>
    <w:rsid w:val="00F43FF9"/>
    <w:rsid w:val="00F4431F"/>
    <w:rsid w:val="00F44A63"/>
    <w:rsid w:val="00F45458"/>
    <w:rsid w:val="00F4566B"/>
    <w:rsid w:val="00F4603F"/>
    <w:rsid w:val="00F4683E"/>
    <w:rsid w:val="00F4688D"/>
    <w:rsid w:val="00F46937"/>
    <w:rsid w:val="00F476F8"/>
    <w:rsid w:val="00F47D45"/>
    <w:rsid w:val="00F47E06"/>
    <w:rsid w:val="00F47E79"/>
    <w:rsid w:val="00F50158"/>
    <w:rsid w:val="00F50ECB"/>
    <w:rsid w:val="00F510FF"/>
    <w:rsid w:val="00F51C49"/>
    <w:rsid w:val="00F51D9C"/>
    <w:rsid w:val="00F51DB9"/>
    <w:rsid w:val="00F51E2A"/>
    <w:rsid w:val="00F529E9"/>
    <w:rsid w:val="00F52CA9"/>
    <w:rsid w:val="00F52DCF"/>
    <w:rsid w:val="00F53236"/>
    <w:rsid w:val="00F53352"/>
    <w:rsid w:val="00F53E94"/>
    <w:rsid w:val="00F5425C"/>
    <w:rsid w:val="00F5471F"/>
    <w:rsid w:val="00F55A9F"/>
    <w:rsid w:val="00F55AA3"/>
    <w:rsid w:val="00F55FB1"/>
    <w:rsid w:val="00F56089"/>
    <w:rsid w:val="00F5619F"/>
    <w:rsid w:val="00F562A7"/>
    <w:rsid w:val="00F562D7"/>
    <w:rsid w:val="00F56A47"/>
    <w:rsid w:val="00F56C03"/>
    <w:rsid w:val="00F5788E"/>
    <w:rsid w:val="00F57B9B"/>
    <w:rsid w:val="00F605C2"/>
    <w:rsid w:val="00F60CA4"/>
    <w:rsid w:val="00F612A9"/>
    <w:rsid w:val="00F61740"/>
    <w:rsid w:val="00F6233A"/>
    <w:rsid w:val="00F6391E"/>
    <w:rsid w:val="00F639B8"/>
    <w:rsid w:val="00F64B64"/>
    <w:rsid w:val="00F654B8"/>
    <w:rsid w:val="00F663F4"/>
    <w:rsid w:val="00F66624"/>
    <w:rsid w:val="00F6681C"/>
    <w:rsid w:val="00F66B25"/>
    <w:rsid w:val="00F66B70"/>
    <w:rsid w:val="00F6796E"/>
    <w:rsid w:val="00F7080A"/>
    <w:rsid w:val="00F71786"/>
    <w:rsid w:val="00F72198"/>
    <w:rsid w:val="00F72258"/>
    <w:rsid w:val="00F723A4"/>
    <w:rsid w:val="00F7283F"/>
    <w:rsid w:val="00F74B9D"/>
    <w:rsid w:val="00F74D25"/>
    <w:rsid w:val="00F74DD7"/>
    <w:rsid w:val="00F7522A"/>
    <w:rsid w:val="00F76241"/>
    <w:rsid w:val="00F773DD"/>
    <w:rsid w:val="00F7748E"/>
    <w:rsid w:val="00F77B62"/>
    <w:rsid w:val="00F800B2"/>
    <w:rsid w:val="00F80321"/>
    <w:rsid w:val="00F808DA"/>
    <w:rsid w:val="00F80E77"/>
    <w:rsid w:val="00F823C4"/>
    <w:rsid w:val="00F8293D"/>
    <w:rsid w:val="00F82C63"/>
    <w:rsid w:val="00F839F2"/>
    <w:rsid w:val="00F83CEA"/>
    <w:rsid w:val="00F83D8E"/>
    <w:rsid w:val="00F8488B"/>
    <w:rsid w:val="00F8493F"/>
    <w:rsid w:val="00F84B6D"/>
    <w:rsid w:val="00F84DAD"/>
    <w:rsid w:val="00F86059"/>
    <w:rsid w:val="00F86903"/>
    <w:rsid w:val="00F9139F"/>
    <w:rsid w:val="00F91F34"/>
    <w:rsid w:val="00F925D5"/>
    <w:rsid w:val="00F93110"/>
    <w:rsid w:val="00F94E07"/>
    <w:rsid w:val="00F94EAE"/>
    <w:rsid w:val="00F95588"/>
    <w:rsid w:val="00F95887"/>
    <w:rsid w:val="00F95D4A"/>
    <w:rsid w:val="00F9694E"/>
    <w:rsid w:val="00F96BFA"/>
    <w:rsid w:val="00F97BDE"/>
    <w:rsid w:val="00F97D3E"/>
    <w:rsid w:val="00FA0051"/>
    <w:rsid w:val="00FA0A71"/>
    <w:rsid w:val="00FA0C57"/>
    <w:rsid w:val="00FA0C8B"/>
    <w:rsid w:val="00FA0D8D"/>
    <w:rsid w:val="00FA12E6"/>
    <w:rsid w:val="00FA1379"/>
    <w:rsid w:val="00FA1495"/>
    <w:rsid w:val="00FA1855"/>
    <w:rsid w:val="00FA1B5F"/>
    <w:rsid w:val="00FA2011"/>
    <w:rsid w:val="00FA2076"/>
    <w:rsid w:val="00FA213D"/>
    <w:rsid w:val="00FA2908"/>
    <w:rsid w:val="00FA2C18"/>
    <w:rsid w:val="00FA2FAD"/>
    <w:rsid w:val="00FA3393"/>
    <w:rsid w:val="00FA3428"/>
    <w:rsid w:val="00FA37F0"/>
    <w:rsid w:val="00FA3AEC"/>
    <w:rsid w:val="00FA3EEE"/>
    <w:rsid w:val="00FA4428"/>
    <w:rsid w:val="00FA4480"/>
    <w:rsid w:val="00FA4BD8"/>
    <w:rsid w:val="00FA5081"/>
    <w:rsid w:val="00FA536D"/>
    <w:rsid w:val="00FA5D65"/>
    <w:rsid w:val="00FA6148"/>
    <w:rsid w:val="00FA6737"/>
    <w:rsid w:val="00FA6979"/>
    <w:rsid w:val="00FA6F7F"/>
    <w:rsid w:val="00FB0348"/>
    <w:rsid w:val="00FB0D34"/>
    <w:rsid w:val="00FB1A47"/>
    <w:rsid w:val="00FB2A72"/>
    <w:rsid w:val="00FB3503"/>
    <w:rsid w:val="00FB3C21"/>
    <w:rsid w:val="00FB439D"/>
    <w:rsid w:val="00FB468C"/>
    <w:rsid w:val="00FB520D"/>
    <w:rsid w:val="00FB5984"/>
    <w:rsid w:val="00FB6293"/>
    <w:rsid w:val="00FB6448"/>
    <w:rsid w:val="00FB644F"/>
    <w:rsid w:val="00FB65BA"/>
    <w:rsid w:val="00FB6B05"/>
    <w:rsid w:val="00FB6E17"/>
    <w:rsid w:val="00FB7493"/>
    <w:rsid w:val="00FB74C7"/>
    <w:rsid w:val="00FB7648"/>
    <w:rsid w:val="00FB78EC"/>
    <w:rsid w:val="00FB7B4B"/>
    <w:rsid w:val="00FC02F7"/>
    <w:rsid w:val="00FC0C04"/>
    <w:rsid w:val="00FC0C95"/>
    <w:rsid w:val="00FC0ED1"/>
    <w:rsid w:val="00FC2300"/>
    <w:rsid w:val="00FC2536"/>
    <w:rsid w:val="00FC3CC9"/>
    <w:rsid w:val="00FC49C7"/>
    <w:rsid w:val="00FC7AE0"/>
    <w:rsid w:val="00FC7D5F"/>
    <w:rsid w:val="00FD0076"/>
    <w:rsid w:val="00FD0748"/>
    <w:rsid w:val="00FD0E2B"/>
    <w:rsid w:val="00FD1E0E"/>
    <w:rsid w:val="00FD2038"/>
    <w:rsid w:val="00FD244D"/>
    <w:rsid w:val="00FD2AB2"/>
    <w:rsid w:val="00FD2C8F"/>
    <w:rsid w:val="00FD2E33"/>
    <w:rsid w:val="00FD2F74"/>
    <w:rsid w:val="00FD3522"/>
    <w:rsid w:val="00FD3533"/>
    <w:rsid w:val="00FD38FD"/>
    <w:rsid w:val="00FD3B6E"/>
    <w:rsid w:val="00FD3E5C"/>
    <w:rsid w:val="00FD58FB"/>
    <w:rsid w:val="00FD5B98"/>
    <w:rsid w:val="00FD5F4E"/>
    <w:rsid w:val="00FD61C4"/>
    <w:rsid w:val="00FD6297"/>
    <w:rsid w:val="00FD654F"/>
    <w:rsid w:val="00FD6C5E"/>
    <w:rsid w:val="00FD6CB8"/>
    <w:rsid w:val="00FD7F99"/>
    <w:rsid w:val="00FE1248"/>
    <w:rsid w:val="00FE18CF"/>
    <w:rsid w:val="00FE2818"/>
    <w:rsid w:val="00FE2D69"/>
    <w:rsid w:val="00FE386E"/>
    <w:rsid w:val="00FE4D39"/>
    <w:rsid w:val="00FE4F4A"/>
    <w:rsid w:val="00FE573F"/>
    <w:rsid w:val="00FE5A4D"/>
    <w:rsid w:val="00FE5FEB"/>
    <w:rsid w:val="00FE6A79"/>
    <w:rsid w:val="00FE6B17"/>
    <w:rsid w:val="00FE6BFB"/>
    <w:rsid w:val="00FE6F8D"/>
    <w:rsid w:val="00FE70B2"/>
    <w:rsid w:val="00FE7989"/>
    <w:rsid w:val="00FF0559"/>
    <w:rsid w:val="00FF13BD"/>
    <w:rsid w:val="00FF2509"/>
    <w:rsid w:val="00FF28D1"/>
    <w:rsid w:val="00FF2967"/>
    <w:rsid w:val="00FF3444"/>
    <w:rsid w:val="00FF37B8"/>
    <w:rsid w:val="00FF3EEA"/>
    <w:rsid w:val="00FF4E39"/>
    <w:rsid w:val="00FF6020"/>
    <w:rsid w:val="00FF623A"/>
    <w:rsid w:val="00FF6C68"/>
    <w:rsid w:val="00FF70FF"/>
    <w:rsid w:val="00FF7569"/>
    <w:rsid w:val="00FF7F78"/>
    <w:rsid w:val="011B5A69"/>
    <w:rsid w:val="0138A5DE"/>
    <w:rsid w:val="0178C2ED"/>
    <w:rsid w:val="01918661"/>
    <w:rsid w:val="01AC7287"/>
    <w:rsid w:val="01DF1443"/>
    <w:rsid w:val="01E0C60C"/>
    <w:rsid w:val="0230C859"/>
    <w:rsid w:val="023FA7EF"/>
    <w:rsid w:val="024F1C48"/>
    <w:rsid w:val="025D76A2"/>
    <w:rsid w:val="0263868F"/>
    <w:rsid w:val="027233DB"/>
    <w:rsid w:val="027269B7"/>
    <w:rsid w:val="02740911"/>
    <w:rsid w:val="027AC081"/>
    <w:rsid w:val="027FE51F"/>
    <w:rsid w:val="0297F395"/>
    <w:rsid w:val="02A22B74"/>
    <w:rsid w:val="02BF77B1"/>
    <w:rsid w:val="02E12922"/>
    <w:rsid w:val="02EA455E"/>
    <w:rsid w:val="0317B66A"/>
    <w:rsid w:val="031BFAFB"/>
    <w:rsid w:val="03294961"/>
    <w:rsid w:val="032A1F90"/>
    <w:rsid w:val="032C74EA"/>
    <w:rsid w:val="033FCD60"/>
    <w:rsid w:val="0348EE29"/>
    <w:rsid w:val="034D8DCE"/>
    <w:rsid w:val="03511868"/>
    <w:rsid w:val="03B904A1"/>
    <w:rsid w:val="03BF13E0"/>
    <w:rsid w:val="03C80CDE"/>
    <w:rsid w:val="03F5BAFD"/>
    <w:rsid w:val="04029812"/>
    <w:rsid w:val="04124FA6"/>
    <w:rsid w:val="0423A306"/>
    <w:rsid w:val="0424F452"/>
    <w:rsid w:val="0435D3A3"/>
    <w:rsid w:val="04473D57"/>
    <w:rsid w:val="044FE1C0"/>
    <w:rsid w:val="046979C5"/>
    <w:rsid w:val="0477FA56"/>
    <w:rsid w:val="047CF983"/>
    <w:rsid w:val="0484D9FC"/>
    <w:rsid w:val="049404BD"/>
    <w:rsid w:val="04A08D8F"/>
    <w:rsid w:val="04B68426"/>
    <w:rsid w:val="04D4FCC7"/>
    <w:rsid w:val="04E66337"/>
    <w:rsid w:val="04E685CE"/>
    <w:rsid w:val="04E8E93B"/>
    <w:rsid w:val="04EEF42C"/>
    <w:rsid w:val="051EFF6C"/>
    <w:rsid w:val="052C1AF0"/>
    <w:rsid w:val="054AD6E1"/>
    <w:rsid w:val="0553DC6C"/>
    <w:rsid w:val="05566326"/>
    <w:rsid w:val="056DC2ED"/>
    <w:rsid w:val="05753761"/>
    <w:rsid w:val="0578F025"/>
    <w:rsid w:val="05A2F650"/>
    <w:rsid w:val="05AF9CDB"/>
    <w:rsid w:val="05BB4886"/>
    <w:rsid w:val="0605D327"/>
    <w:rsid w:val="06272872"/>
    <w:rsid w:val="062BE4ED"/>
    <w:rsid w:val="062CD26D"/>
    <w:rsid w:val="06358EE6"/>
    <w:rsid w:val="06496CD6"/>
    <w:rsid w:val="06502E95"/>
    <w:rsid w:val="0653E242"/>
    <w:rsid w:val="06599BCE"/>
    <w:rsid w:val="06749530"/>
    <w:rsid w:val="068AC965"/>
    <w:rsid w:val="069B441E"/>
    <w:rsid w:val="06C7AA3B"/>
    <w:rsid w:val="06ECDC6E"/>
    <w:rsid w:val="06F94A24"/>
    <w:rsid w:val="06FB76B8"/>
    <w:rsid w:val="070C5634"/>
    <w:rsid w:val="073D0670"/>
    <w:rsid w:val="073D85A2"/>
    <w:rsid w:val="074CD6ED"/>
    <w:rsid w:val="07563A01"/>
    <w:rsid w:val="075A72F5"/>
    <w:rsid w:val="07674297"/>
    <w:rsid w:val="077B3F42"/>
    <w:rsid w:val="079BF828"/>
    <w:rsid w:val="07D46EFD"/>
    <w:rsid w:val="07E0C146"/>
    <w:rsid w:val="07FC4C9B"/>
    <w:rsid w:val="08038726"/>
    <w:rsid w:val="080A10A9"/>
    <w:rsid w:val="082068A6"/>
    <w:rsid w:val="082935B2"/>
    <w:rsid w:val="08379D32"/>
    <w:rsid w:val="08593EBF"/>
    <w:rsid w:val="088E442B"/>
    <w:rsid w:val="089E1FDC"/>
    <w:rsid w:val="08C42D98"/>
    <w:rsid w:val="08D975E4"/>
    <w:rsid w:val="091684F3"/>
    <w:rsid w:val="0934523B"/>
    <w:rsid w:val="09596D20"/>
    <w:rsid w:val="096B50AB"/>
    <w:rsid w:val="096B8201"/>
    <w:rsid w:val="0971F31C"/>
    <w:rsid w:val="09781525"/>
    <w:rsid w:val="097F6F4D"/>
    <w:rsid w:val="09AA3986"/>
    <w:rsid w:val="09D012D4"/>
    <w:rsid w:val="09EA46D5"/>
    <w:rsid w:val="09F156E3"/>
    <w:rsid w:val="0A09F3B1"/>
    <w:rsid w:val="0A114612"/>
    <w:rsid w:val="0A1264F2"/>
    <w:rsid w:val="0A91ABFB"/>
    <w:rsid w:val="0A9BDAA2"/>
    <w:rsid w:val="0AD1C15A"/>
    <w:rsid w:val="0AD3E96E"/>
    <w:rsid w:val="0ADD3216"/>
    <w:rsid w:val="0AFC6640"/>
    <w:rsid w:val="0B1279F8"/>
    <w:rsid w:val="0B202E57"/>
    <w:rsid w:val="0B5CDCF2"/>
    <w:rsid w:val="0B7686D1"/>
    <w:rsid w:val="0B7CEEEC"/>
    <w:rsid w:val="0B8FF28C"/>
    <w:rsid w:val="0BA06143"/>
    <w:rsid w:val="0BD57605"/>
    <w:rsid w:val="0BDD5B95"/>
    <w:rsid w:val="0BEDCD70"/>
    <w:rsid w:val="0C05FEB7"/>
    <w:rsid w:val="0C08C672"/>
    <w:rsid w:val="0C09812D"/>
    <w:rsid w:val="0C0F08C8"/>
    <w:rsid w:val="0C17AC5C"/>
    <w:rsid w:val="0C1E1D5A"/>
    <w:rsid w:val="0C209D8C"/>
    <w:rsid w:val="0C2EB4EB"/>
    <w:rsid w:val="0C30AF01"/>
    <w:rsid w:val="0C3DF7C4"/>
    <w:rsid w:val="0C6041ED"/>
    <w:rsid w:val="0C748C62"/>
    <w:rsid w:val="0C7C2E79"/>
    <w:rsid w:val="0C8874F9"/>
    <w:rsid w:val="0C931E3E"/>
    <w:rsid w:val="0C9FAF56"/>
    <w:rsid w:val="0CB968DA"/>
    <w:rsid w:val="0CBADABF"/>
    <w:rsid w:val="0CBAE4AC"/>
    <w:rsid w:val="0CF7A823"/>
    <w:rsid w:val="0CFAB090"/>
    <w:rsid w:val="0CFBDDCF"/>
    <w:rsid w:val="0D0625D6"/>
    <w:rsid w:val="0D284415"/>
    <w:rsid w:val="0D311865"/>
    <w:rsid w:val="0D38E9F9"/>
    <w:rsid w:val="0D494133"/>
    <w:rsid w:val="0D5210A7"/>
    <w:rsid w:val="0D7AF47B"/>
    <w:rsid w:val="0D8A87B7"/>
    <w:rsid w:val="0DC297C6"/>
    <w:rsid w:val="0DCA854C"/>
    <w:rsid w:val="0DCDC256"/>
    <w:rsid w:val="0DD8BD1E"/>
    <w:rsid w:val="0DDA7807"/>
    <w:rsid w:val="0DE63F04"/>
    <w:rsid w:val="0DE9D280"/>
    <w:rsid w:val="0DF5B488"/>
    <w:rsid w:val="0E13DDCE"/>
    <w:rsid w:val="0E1E8F87"/>
    <w:rsid w:val="0E50EDF7"/>
    <w:rsid w:val="0E51D47A"/>
    <w:rsid w:val="0E5D883B"/>
    <w:rsid w:val="0E891172"/>
    <w:rsid w:val="0EB63014"/>
    <w:rsid w:val="0EB65AB9"/>
    <w:rsid w:val="0EBFF40E"/>
    <w:rsid w:val="0EC53E65"/>
    <w:rsid w:val="0EC6BC4F"/>
    <w:rsid w:val="0EDDCAB6"/>
    <w:rsid w:val="0EE7A318"/>
    <w:rsid w:val="0F0FB5A3"/>
    <w:rsid w:val="0F13E0B4"/>
    <w:rsid w:val="0F1FE4AE"/>
    <w:rsid w:val="0F21C53D"/>
    <w:rsid w:val="0F3B376D"/>
    <w:rsid w:val="0F503C11"/>
    <w:rsid w:val="0F65DAF4"/>
    <w:rsid w:val="0F764052"/>
    <w:rsid w:val="0F837848"/>
    <w:rsid w:val="0FA8217E"/>
    <w:rsid w:val="0FB5FFFF"/>
    <w:rsid w:val="0FC4B247"/>
    <w:rsid w:val="0FD2AE46"/>
    <w:rsid w:val="0FEF7A3B"/>
    <w:rsid w:val="101797FF"/>
    <w:rsid w:val="1029AEFB"/>
    <w:rsid w:val="103AE7F2"/>
    <w:rsid w:val="10446832"/>
    <w:rsid w:val="1047EC2C"/>
    <w:rsid w:val="10642AA1"/>
    <w:rsid w:val="1082022B"/>
    <w:rsid w:val="10897D9F"/>
    <w:rsid w:val="1096D7C2"/>
    <w:rsid w:val="10A3B38D"/>
    <w:rsid w:val="10AB2E35"/>
    <w:rsid w:val="10B0FA9B"/>
    <w:rsid w:val="10C994F7"/>
    <w:rsid w:val="10D741D4"/>
    <w:rsid w:val="10D89773"/>
    <w:rsid w:val="10E9296E"/>
    <w:rsid w:val="10F11EE5"/>
    <w:rsid w:val="10F4DE3A"/>
    <w:rsid w:val="11007C79"/>
    <w:rsid w:val="11376709"/>
    <w:rsid w:val="11852F11"/>
    <w:rsid w:val="118A230A"/>
    <w:rsid w:val="11A15BB7"/>
    <w:rsid w:val="11B86B22"/>
    <w:rsid w:val="11F6DD6C"/>
    <w:rsid w:val="120C8285"/>
    <w:rsid w:val="1222F214"/>
    <w:rsid w:val="1266B5B3"/>
    <w:rsid w:val="12680212"/>
    <w:rsid w:val="12715272"/>
    <w:rsid w:val="1276A3E6"/>
    <w:rsid w:val="129389E3"/>
    <w:rsid w:val="1294602F"/>
    <w:rsid w:val="12A4B81F"/>
    <w:rsid w:val="12E7922A"/>
    <w:rsid w:val="1309F2D9"/>
    <w:rsid w:val="131F5F89"/>
    <w:rsid w:val="1320FF72"/>
    <w:rsid w:val="133AAF22"/>
    <w:rsid w:val="134969EC"/>
    <w:rsid w:val="1366F280"/>
    <w:rsid w:val="13DE5CFC"/>
    <w:rsid w:val="13F40576"/>
    <w:rsid w:val="13FD121B"/>
    <w:rsid w:val="140593BF"/>
    <w:rsid w:val="140C616A"/>
    <w:rsid w:val="14156A84"/>
    <w:rsid w:val="1436B2C1"/>
    <w:rsid w:val="1439C6D0"/>
    <w:rsid w:val="146AEBFF"/>
    <w:rsid w:val="14755F29"/>
    <w:rsid w:val="14931D4D"/>
    <w:rsid w:val="14D36C5B"/>
    <w:rsid w:val="14EC9A18"/>
    <w:rsid w:val="14EEC123"/>
    <w:rsid w:val="14FCFADC"/>
    <w:rsid w:val="15264D05"/>
    <w:rsid w:val="152BD4C9"/>
    <w:rsid w:val="155213D7"/>
    <w:rsid w:val="15627A0C"/>
    <w:rsid w:val="15704565"/>
    <w:rsid w:val="157C01FB"/>
    <w:rsid w:val="158DF3E6"/>
    <w:rsid w:val="15975FB5"/>
    <w:rsid w:val="15E909C6"/>
    <w:rsid w:val="15FA1C35"/>
    <w:rsid w:val="15FD9BAD"/>
    <w:rsid w:val="1604E3F3"/>
    <w:rsid w:val="160A1DA6"/>
    <w:rsid w:val="16143623"/>
    <w:rsid w:val="161C0229"/>
    <w:rsid w:val="16381FB0"/>
    <w:rsid w:val="1650C884"/>
    <w:rsid w:val="1656C201"/>
    <w:rsid w:val="1682F9ED"/>
    <w:rsid w:val="16B71240"/>
    <w:rsid w:val="16C7C76A"/>
    <w:rsid w:val="16E8BA55"/>
    <w:rsid w:val="16EB8296"/>
    <w:rsid w:val="16FE5EC0"/>
    <w:rsid w:val="171A6FB9"/>
    <w:rsid w:val="1755714A"/>
    <w:rsid w:val="17636EF5"/>
    <w:rsid w:val="17736388"/>
    <w:rsid w:val="1773F2D3"/>
    <w:rsid w:val="177795E1"/>
    <w:rsid w:val="17834572"/>
    <w:rsid w:val="179DCFE7"/>
    <w:rsid w:val="17A351F5"/>
    <w:rsid w:val="17C916B6"/>
    <w:rsid w:val="17CF300A"/>
    <w:rsid w:val="182FA117"/>
    <w:rsid w:val="1832C7AE"/>
    <w:rsid w:val="184F56CC"/>
    <w:rsid w:val="1854FE42"/>
    <w:rsid w:val="18BA555B"/>
    <w:rsid w:val="18BAB358"/>
    <w:rsid w:val="18C9D15E"/>
    <w:rsid w:val="18D7C380"/>
    <w:rsid w:val="18DB4604"/>
    <w:rsid w:val="18E8D1D6"/>
    <w:rsid w:val="190804DC"/>
    <w:rsid w:val="192BCE2E"/>
    <w:rsid w:val="193E8638"/>
    <w:rsid w:val="196B50FF"/>
    <w:rsid w:val="1973478B"/>
    <w:rsid w:val="198B40F8"/>
    <w:rsid w:val="19A372B6"/>
    <w:rsid w:val="19C271F4"/>
    <w:rsid w:val="19CE4BD8"/>
    <w:rsid w:val="19D9249B"/>
    <w:rsid w:val="19DC042E"/>
    <w:rsid w:val="19E21733"/>
    <w:rsid w:val="19ECD76D"/>
    <w:rsid w:val="19EEB302"/>
    <w:rsid w:val="19F0E8AD"/>
    <w:rsid w:val="1A0ED21F"/>
    <w:rsid w:val="1A11A564"/>
    <w:rsid w:val="1A14DFD3"/>
    <w:rsid w:val="1A2A7089"/>
    <w:rsid w:val="1A305FE5"/>
    <w:rsid w:val="1A3668E0"/>
    <w:rsid w:val="1A3BDBE3"/>
    <w:rsid w:val="1A3C41E7"/>
    <w:rsid w:val="1A46E943"/>
    <w:rsid w:val="1A4E86B3"/>
    <w:rsid w:val="1A57D6AA"/>
    <w:rsid w:val="1A5ED8D9"/>
    <w:rsid w:val="1A7E0A82"/>
    <w:rsid w:val="1A878D2C"/>
    <w:rsid w:val="1A922063"/>
    <w:rsid w:val="1AA90854"/>
    <w:rsid w:val="1AB3B966"/>
    <w:rsid w:val="1AD46E71"/>
    <w:rsid w:val="1ADCA1D3"/>
    <w:rsid w:val="1AF0BABD"/>
    <w:rsid w:val="1B0A4C57"/>
    <w:rsid w:val="1B3B6FD9"/>
    <w:rsid w:val="1B3DD597"/>
    <w:rsid w:val="1B3E442E"/>
    <w:rsid w:val="1B49CA86"/>
    <w:rsid w:val="1B5F281F"/>
    <w:rsid w:val="1B60D66B"/>
    <w:rsid w:val="1B686662"/>
    <w:rsid w:val="1B850BDC"/>
    <w:rsid w:val="1B89496B"/>
    <w:rsid w:val="1B8C16FA"/>
    <w:rsid w:val="1BCC3046"/>
    <w:rsid w:val="1BD1D8E2"/>
    <w:rsid w:val="1BDE8F09"/>
    <w:rsid w:val="1C114AF2"/>
    <w:rsid w:val="1C192DCB"/>
    <w:rsid w:val="1C4AB338"/>
    <w:rsid w:val="1C62B17A"/>
    <w:rsid w:val="1C6A6A94"/>
    <w:rsid w:val="1C82C206"/>
    <w:rsid w:val="1CACBCBD"/>
    <w:rsid w:val="1CE0A72B"/>
    <w:rsid w:val="1D0E6883"/>
    <w:rsid w:val="1D16C3A8"/>
    <w:rsid w:val="1D2653C4"/>
    <w:rsid w:val="1D2EE254"/>
    <w:rsid w:val="1D366388"/>
    <w:rsid w:val="1D42A655"/>
    <w:rsid w:val="1D4D9C95"/>
    <w:rsid w:val="1D7353CF"/>
    <w:rsid w:val="1D79AD9C"/>
    <w:rsid w:val="1DA4C2F4"/>
    <w:rsid w:val="1DC065A8"/>
    <w:rsid w:val="1DD5DC82"/>
    <w:rsid w:val="1E0FC1FA"/>
    <w:rsid w:val="1E192C58"/>
    <w:rsid w:val="1E21E890"/>
    <w:rsid w:val="1E390340"/>
    <w:rsid w:val="1E41ED19"/>
    <w:rsid w:val="1E485544"/>
    <w:rsid w:val="1E554FB0"/>
    <w:rsid w:val="1E5DD449"/>
    <w:rsid w:val="1E70DC1D"/>
    <w:rsid w:val="1E713D78"/>
    <w:rsid w:val="1EA0A83C"/>
    <w:rsid w:val="1ED869D6"/>
    <w:rsid w:val="1EF1250E"/>
    <w:rsid w:val="1F03896C"/>
    <w:rsid w:val="1F2E74F6"/>
    <w:rsid w:val="1F387A53"/>
    <w:rsid w:val="1F4305D5"/>
    <w:rsid w:val="1F4908CE"/>
    <w:rsid w:val="1F594EE3"/>
    <w:rsid w:val="1F6E098E"/>
    <w:rsid w:val="1F761DA0"/>
    <w:rsid w:val="1F7E7EA6"/>
    <w:rsid w:val="1F841F0A"/>
    <w:rsid w:val="1F8F5C4E"/>
    <w:rsid w:val="1F9ECF18"/>
    <w:rsid w:val="1FAE4D84"/>
    <w:rsid w:val="1FC419FC"/>
    <w:rsid w:val="1FD0A30C"/>
    <w:rsid w:val="1FFF470C"/>
    <w:rsid w:val="2003C8A5"/>
    <w:rsid w:val="2007198E"/>
    <w:rsid w:val="2023EA77"/>
    <w:rsid w:val="20359264"/>
    <w:rsid w:val="20438FB1"/>
    <w:rsid w:val="2045069A"/>
    <w:rsid w:val="20644DF4"/>
    <w:rsid w:val="20A1A524"/>
    <w:rsid w:val="20A3BA6E"/>
    <w:rsid w:val="20D0A68D"/>
    <w:rsid w:val="20D44ECF"/>
    <w:rsid w:val="20DE1542"/>
    <w:rsid w:val="20EB82E8"/>
    <w:rsid w:val="20ED7F24"/>
    <w:rsid w:val="20F7CDAB"/>
    <w:rsid w:val="2102F272"/>
    <w:rsid w:val="210DD9AD"/>
    <w:rsid w:val="21280143"/>
    <w:rsid w:val="2135113D"/>
    <w:rsid w:val="213D6706"/>
    <w:rsid w:val="2140B488"/>
    <w:rsid w:val="2156BA00"/>
    <w:rsid w:val="2171A055"/>
    <w:rsid w:val="218F99E3"/>
    <w:rsid w:val="21A3DB3E"/>
    <w:rsid w:val="21ADF64D"/>
    <w:rsid w:val="21B9E5E1"/>
    <w:rsid w:val="21BFF660"/>
    <w:rsid w:val="21C37267"/>
    <w:rsid w:val="21D5641C"/>
    <w:rsid w:val="21DE7896"/>
    <w:rsid w:val="21E3158F"/>
    <w:rsid w:val="21F67455"/>
    <w:rsid w:val="220DF351"/>
    <w:rsid w:val="220F7DD2"/>
    <w:rsid w:val="2248226F"/>
    <w:rsid w:val="22584FE7"/>
    <w:rsid w:val="227556C2"/>
    <w:rsid w:val="227B6E70"/>
    <w:rsid w:val="229A5EC4"/>
    <w:rsid w:val="22F47962"/>
    <w:rsid w:val="22F7043F"/>
    <w:rsid w:val="230895CE"/>
    <w:rsid w:val="230D70B6"/>
    <w:rsid w:val="23151AB2"/>
    <w:rsid w:val="23176C12"/>
    <w:rsid w:val="232CCAF9"/>
    <w:rsid w:val="2330CB80"/>
    <w:rsid w:val="23424D99"/>
    <w:rsid w:val="23589440"/>
    <w:rsid w:val="235EFBD6"/>
    <w:rsid w:val="235FE910"/>
    <w:rsid w:val="2361D42A"/>
    <w:rsid w:val="237F14D3"/>
    <w:rsid w:val="238F0BF7"/>
    <w:rsid w:val="23C032D6"/>
    <w:rsid w:val="23C31667"/>
    <w:rsid w:val="23EB3B29"/>
    <w:rsid w:val="23EC965E"/>
    <w:rsid w:val="2405A5A4"/>
    <w:rsid w:val="2410738B"/>
    <w:rsid w:val="241E2364"/>
    <w:rsid w:val="242D7C1D"/>
    <w:rsid w:val="24485B5C"/>
    <w:rsid w:val="245AB074"/>
    <w:rsid w:val="247F909D"/>
    <w:rsid w:val="248FB09F"/>
    <w:rsid w:val="24A52CBC"/>
    <w:rsid w:val="24A94117"/>
    <w:rsid w:val="24BFDD0D"/>
    <w:rsid w:val="24C8A932"/>
    <w:rsid w:val="24CDA873"/>
    <w:rsid w:val="24F30731"/>
    <w:rsid w:val="24FA8969"/>
    <w:rsid w:val="252DFF92"/>
    <w:rsid w:val="253C7704"/>
    <w:rsid w:val="2549D264"/>
    <w:rsid w:val="256E228A"/>
    <w:rsid w:val="257B56E4"/>
    <w:rsid w:val="257B9DEF"/>
    <w:rsid w:val="25813F97"/>
    <w:rsid w:val="2581962D"/>
    <w:rsid w:val="258344EE"/>
    <w:rsid w:val="258BFA43"/>
    <w:rsid w:val="259F9A13"/>
    <w:rsid w:val="25A2FB47"/>
    <w:rsid w:val="25A4027E"/>
    <w:rsid w:val="25AD8E33"/>
    <w:rsid w:val="25F70251"/>
    <w:rsid w:val="26008332"/>
    <w:rsid w:val="261D0940"/>
    <w:rsid w:val="26454017"/>
    <w:rsid w:val="2651A5CA"/>
    <w:rsid w:val="26554595"/>
    <w:rsid w:val="2666B0D9"/>
    <w:rsid w:val="267FE509"/>
    <w:rsid w:val="26A3C38E"/>
    <w:rsid w:val="26B9D242"/>
    <w:rsid w:val="26EAFC73"/>
    <w:rsid w:val="2716D073"/>
    <w:rsid w:val="2722E452"/>
    <w:rsid w:val="272537A4"/>
    <w:rsid w:val="2763E9A8"/>
    <w:rsid w:val="276523F5"/>
    <w:rsid w:val="2766CD1C"/>
    <w:rsid w:val="277A00CA"/>
    <w:rsid w:val="277E08F3"/>
    <w:rsid w:val="2781B873"/>
    <w:rsid w:val="2789222E"/>
    <w:rsid w:val="27B99C53"/>
    <w:rsid w:val="27C291A8"/>
    <w:rsid w:val="27E8CF5F"/>
    <w:rsid w:val="27FEB1FD"/>
    <w:rsid w:val="280530AD"/>
    <w:rsid w:val="285A386C"/>
    <w:rsid w:val="286034E5"/>
    <w:rsid w:val="286225F2"/>
    <w:rsid w:val="2870739D"/>
    <w:rsid w:val="2871BFE8"/>
    <w:rsid w:val="28868C94"/>
    <w:rsid w:val="28AE9917"/>
    <w:rsid w:val="28B44AAD"/>
    <w:rsid w:val="28B6C530"/>
    <w:rsid w:val="28BCBA46"/>
    <w:rsid w:val="28D8C6A8"/>
    <w:rsid w:val="28DBD129"/>
    <w:rsid w:val="29027270"/>
    <w:rsid w:val="29248770"/>
    <w:rsid w:val="2929A84B"/>
    <w:rsid w:val="292EE6E1"/>
    <w:rsid w:val="294DFD37"/>
    <w:rsid w:val="296EB17B"/>
    <w:rsid w:val="29A28C7F"/>
    <w:rsid w:val="29CCFCB5"/>
    <w:rsid w:val="2A075A28"/>
    <w:rsid w:val="2A0DC0F9"/>
    <w:rsid w:val="2A1D9A31"/>
    <w:rsid w:val="2A24FA85"/>
    <w:rsid w:val="2A565325"/>
    <w:rsid w:val="2A592C54"/>
    <w:rsid w:val="2A8F9BA9"/>
    <w:rsid w:val="2ABE4508"/>
    <w:rsid w:val="2AC657E9"/>
    <w:rsid w:val="2B441CE5"/>
    <w:rsid w:val="2B7D6F1B"/>
    <w:rsid w:val="2B94C3DB"/>
    <w:rsid w:val="2BCEF645"/>
    <w:rsid w:val="2BDB9285"/>
    <w:rsid w:val="2BEA4196"/>
    <w:rsid w:val="2BF4AC59"/>
    <w:rsid w:val="2C05545C"/>
    <w:rsid w:val="2C078031"/>
    <w:rsid w:val="2C20F93C"/>
    <w:rsid w:val="2C38326A"/>
    <w:rsid w:val="2C67F641"/>
    <w:rsid w:val="2C74FE86"/>
    <w:rsid w:val="2C90157D"/>
    <w:rsid w:val="2CB7593A"/>
    <w:rsid w:val="2CC1E0B2"/>
    <w:rsid w:val="2CD18554"/>
    <w:rsid w:val="2CDAB1A0"/>
    <w:rsid w:val="2CDB39A8"/>
    <w:rsid w:val="2CEDF3CA"/>
    <w:rsid w:val="2CFBC6C3"/>
    <w:rsid w:val="2CFBE430"/>
    <w:rsid w:val="2D1EDD43"/>
    <w:rsid w:val="2D3C5CDC"/>
    <w:rsid w:val="2D446514"/>
    <w:rsid w:val="2D63E6EE"/>
    <w:rsid w:val="2D7B83A8"/>
    <w:rsid w:val="2D840018"/>
    <w:rsid w:val="2DC381FB"/>
    <w:rsid w:val="2DDD9D29"/>
    <w:rsid w:val="2DFA9CD6"/>
    <w:rsid w:val="2DFD7E79"/>
    <w:rsid w:val="2E216C2A"/>
    <w:rsid w:val="2E299919"/>
    <w:rsid w:val="2E5C5308"/>
    <w:rsid w:val="2E5D451C"/>
    <w:rsid w:val="2E69F230"/>
    <w:rsid w:val="2E78AC79"/>
    <w:rsid w:val="2E835C50"/>
    <w:rsid w:val="2E932F31"/>
    <w:rsid w:val="2EA24C71"/>
    <w:rsid w:val="2EAE2CFA"/>
    <w:rsid w:val="2EB15BEA"/>
    <w:rsid w:val="2ED78C4D"/>
    <w:rsid w:val="2EDB25D4"/>
    <w:rsid w:val="2EE66EDC"/>
    <w:rsid w:val="2F0E467B"/>
    <w:rsid w:val="2F196544"/>
    <w:rsid w:val="2F2E11B2"/>
    <w:rsid w:val="2F377010"/>
    <w:rsid w:val="2F6E307A"/>
    <w:rsid w:val="2F793FD1"/>
    <w:rsid w:val="2F8F2A73"/>
    <w:rsid w:val="2FAEE699"/>
    <w:rsid w:val="2FF79F39"/>
    <w:rsid w:val="30361899"/>
    <w:rsid w:val="3041A9E9"/>
    <w:rsid w:val="3051A281"/>
    <w:rsid w:val="30706C9C"/>
    <w:rsid w:val="30A15022"/>
    <w:rsid w:val="30B34164"/>
    <w:rsid w:val="30B3DCB8"/>
    <w:rsid w:val="30C8CDA7"/>
    <w:rsid w:val="30D1DB42"/>
    <w:rsid w:val="30D3476F"/>
    <w:rsid w:val="30DCA3C3"/>
    <w:rsid w:val="30E1FA60"/>
    <w:rsid w:val="31089020"/>
    <w:rsid w:val="310960EE"/>
    <w:rsid w:val="310CCFDF"/>
    <w:rsid w:val="31111DC5"/>
    <w:rsid w:val="312B72A8"/>
    <w:rsid w:val="31362DC1"/>
    <w:rsid w:val="31398083"/>
    <w:rsid w:val="31481BF5"/>
    <w:rsid w:val="315C677D"/>
    <w:rsid w:val="3167A96D"/>
    <w:rsid w:val="318F6302"/>
    <w:rsid w:val="318FB1A5"/>
    <w:rsid w:val="319776A5"/>
    <w:rsid w:val="31A841F6"/>
    <w:rsid w:val="31D45C84"/>
    <w:rsid w:val="31D4D5B8"/>
    <w:rsid w:val="31FC2042"/>
    <w:rsid w:val="321A791B"/>
    <w:rsid w:val="321C5DB8"/>
    <w:rsid w:val="3234D79F"/>
    <w:rsid w:val="324A6479"/>
    <w:rsid w:val="324EE91E"/>
    <w:rsid w:val="325F1C97"/>
    <w:rsid w:val="3269E4B0"/>
    <w:rsid w:val="32767312"/>
    <w:rsid w:val="32B14F96"/>
    <w:rsid w:val="32BCE807"/>
    <w:rsid w:val="32C4B128"/>
    <w:rsid w:val="32C4E226"/>
    <w:rsid w:val="32D8E342"/>
    <w:rsid w:val="33065DC9"/>
    <w:rsid w:val="330F7765"/>
    <w:rsid w:val="331925A2"/>
    <w:rsid w:val="33208192"/>
    <w:rsid w:val="332B8206"/>
    <w:rsid w:val="3348A983"/>
    <w:rsid w:val="335DE539"/>
    <w:rsid w:val="3364603E"/>
    <w:rsid w:val="3384E704"/>
    <w:rsid w:val="338D9A0B"/>
    <w:rsid w:val="338E1304"/>
    <w:rsid w:val="33C5B660"/>
    <w:rsid w:val="33CA2392"/>
    <w:rsid w:val="33D2C645"/>
    <w:rsid w:val="33FE2F16"/>
    <w:rsid w:val="3405B1A2"/>
    <w:rsid w:val="341B7488"/>
    <w:rsid w:val="341F28AE"/>
    <w:rsid w:val="34316472"/>
    <w:rsid w:val="34342F8A"/>
    <w:rsid w:val="344893AE"/>
    <w:rsid w:val="34999680"/>
    <w:rsid w:val="349D681A"/>
    <w:rsid w:val="34A3AD2A"/>
    <w:rsid w:val="34B7D286"/>
    <w:rsid w:val="34C667E4"/>
    <w:rsid w:val="34FEBCDD"/>
    <w:rsid w:val="3507EA27"/>
    <w:rsid w:val="35151B0C"/>
    <w:rsid w:val="3540A8FA"/>
    <w:rsid w:val="3542A3F9"/>
    <w:rsid w:val="355219DD"/>
    <w:rsid w:val="355C43C0"/>
    <w:rsid w:val="355CD697"/>
    <w:rsid w:val="356B9409"/>
    <w:rsid w:val="3599AC15"/>
    <w:rsid w:val="35A1ECFD"/>
    <w:rsid w:val="35B826D8"/>
    <w:rsid w:val="35D6F9C5"/>
    <w:rsid w:val="35ECC8A2"/>
    <w:rsid w:val="3607BE2A"/>
    <w:rsid w:val="360E8F6E"/>
    <w:rsid w:val="36173C8F"/>
    <w:rsid w:val="361B12B3"/>
    <w:rsid w:val="3649EC6E"/>
    <w:rsid w:val="364EECC5"/>
    <w:rsid w:val="368EC196"/>
    <w:rsid w:val="3693280B"/>
    <w:rsid w:val="36A611AC"/>
    <w:rsid w:val="36A95515"/>
    <w:rsid w:val="36E49A90"/>
    <w:rsid w:val="36E9C041"/>
    <w:rsid w:val="37199045"/>
    <w:rsid w:val="37237A64"/>
    <w:rsid w:val="372CA291"/>
    <w:rsid w:val="374DF737"/>
    <w:rsid w:val="37569E23"/>
    <w:rsid w:val="3776BDCB"/>
    <w:rsid w:val="3794019B"/>
    <w:rsid w:val="37BE97FC"/>
    <w:rsid w:val="37D05965"/>
    <w:rsid w:val="37E8507D"/>
    <w:rsid w:val="381DBAD0"/>
    <w:rsid w:val="38284579"/>
    <w:rsid w:val="3830A671"/>
    <w:rsid w:val="383DBB68"/>
    <w:rsid w:val="3842C0DD"/>
    <w:rsid w:val="38555728"/>
    <w:rsid w:val="38806CE1"/>
    <w:rsid w:val="38810108"/>
    <w:rsid w:val="3893B3D8"/>
    <w:rsid w:val="389AB638"/>
    <w:rsid w:val="38D1A039"/>
    <w:rsid w:val="38DDCD0F"/>
    <w:rsid w:val="38F31E20"/>
    <w:rsid w:val="3910B59C"/>
    <w:rsid w:val="391EC1A6"/>
    <w:rsid w:val="391ED89C"/>
    <w:rsid w:val="392E4AE4"/>
    <w:rsid w:val="3944F1EE"/>
    <w:rsid w:val="3964660F"/>
    <w:rsid w:val="396A8A39"/>
    <w:rsid w:val="396B4CFE"/>
    <w:rsid w:val="397B8D69"/>
    <w:rsid w:val="397DF606"/>
    <w:rsid w:val="39C7EEEF"/>
    <w:rsid w:val="39D5CC5A"/>
    <w:rsid w:val="39FA8AC3"/>
    <w:rsid w:val="3A147C82"/>
    <w:rsid w:val="3A456862"/>
    <w:rsid w:val="3A5C35C3"/>
    <w:rsid w:val="3A922322"/>
    <w:rsid w:val="3AC250AD"/>
    <w:rsid w:val="3ACC0EA4"/>
    <w:rsid w:val="3ACCA4A5"/>
    <w:rsid w:val="3B0888F2"/>
    <w:rsid w:val="3B14B3F4"/>
    <w:rsid w:val="3B19C596"/>
    <w:rsid w:val="3B1E2F12"/>
    <w:rsid w:val="3B2E325D"/>
    <w:rsid w:val="3B37011C"/>
    <w:rsid w:val="3B3EC4AE"/>
    <w:rsid w:val="3B8C5D92"/>
    <w:rsid w:val="3BBEC969"/>
    <w:rsid w:val="3BD262EC"/>
    <w:rsid w:val="3BE138C3"/>
    <w:rsid w:val="3C44162F"/>
    <w:rsid w:val="3C52C148"/>
    <w:rsid w:val="3C70F8A7"/>
    <w:rsid w:val="3CB10CAB"/>
    <w:rsid w:val="3CCC4440"/>
    <w:rsid w:val="3CCC50E5"/>
    <w:rsid w:val="3CD34C85"/>
    <w:rsid w:val="3CD8F717"/>
    <w:rsid w:val="3D017BAD"/>
    <w:rsid w:val="3D160706"/>
    <w:rsid w:val="3D1CABB1"/>
    <w:rsid w:val="3D21BE46"/>
    <w:rsid w:val="3D2A4881"/>
    <w:rsid w:val="3D31333F"/>
    <w:rsid w:val="3D379609"/>
    <w:rsid w:val="3D7455BC"/>
    <w:rsid w:val="3D76C754"/>
    <w:rsid w:val="3D8D4A2D"/>
    <w:rsid w:val="3D8F2C93"/>
    <w:rsid w:val="3DA3ADD8"/>
    <w:rsid w:val="3DD90EA2"/>
    <w:rsid w:val="3DFD1216"/>
    <w:rsid w:val="3E04304F"/>
    <w:rsid w:val="3E20485B"/>
    <w:rsid w:val="3E245958"/>
    <w:rsid w:val="3E4AC18A"/>
    <w:rsid w:val="3E5E4E40"/>
    <w:rsid w:val="3E625C7A"/>
    <w:rsid w:val="3E6502F7"/>
    <w:rsid w:val="3E682146"/>
    <w:rsid w:val="3E7C62FF"/>
    <w:rsid w:val="3EBB8AD6"/>
    <w:rsid w:val="3EC6CBD8"/>
    <w:rsid w:val="3EE45B3D"/>
    <w:rsid w:val="3EF345C3"/>
    <w:rsid w:val="3F031E50"/>
    <w:rsid w:val="3F326521"/>
    <w:rsid w:val="3F35E8A1"/>
    <w:rsid w:val="3F4AA501"/>
    <w:rsid w:val="3F557E4B"/>
    <w:rsid w:val="3F56AEF7"/>
    <w:rsid w:val="3F67C0F1"/>
    <w:rsid w:val="3F6E4B50"/>
    <w:rsid w:val="3FC03F8C"/>
    <w:rsid w:val="3FD0ACF1"/>
    <w:rsid w:val="3FEA67F7"/>
    <w:rsid w:val="40054B1B"/>
    <w:rsid w:val="40144A91"/>
    <w:rsid w:val="4016C514"/>
    <w:rsid w:val="402C0B9C"/>
    <w:rsid w:val="40354896"/>
    <w:rsid w:val="403F32BC"/>
    <w:rsid w:val="405010BC"/>
    <w:rsid w:val="408050F1"/>
    <w:rsid w:val="408E217B"/>
    <w:rsid w:val="4092D08A"/>
    <w:rsid w:val="40A9AA61"/>
    <w:rsid w:val="40C14333"/>
    <w:rsid w:val="40ED8696"/>
    <w:rsid w:val="41292133"/>
    <w:rsid w:val="4139A563"/>
    <w:rsid w:val="4144AEEA"/>
    <w:rsid w:val="41546DC5"/>
    <w:rsid w:val="4155C311"/>
    <w:rsid w:val="4155FFA6"/>
    <w:rsid w:val="4170B8BB"/>
    <w:rsid w:val="417880A7"/>
    <w:rsid w:val="41820E66"/>
    <w:rsid w:val="41A72D81"/>
    <w:rsid w:val="41AE7119"/>
    <w:rsid w:val="41E5B1CD"/>
    <w:rsid w:val="41F32B98"/>
    <w:rsid w:val="41F65415"/>
    <w:rsid w:val="421B5CCB"/>
    <w:rsid w:val="42771544"/>
    <w:rsid w:val="42892041"/>
    <w:rsid w:val="42983579"/>
    <w:rsid w:val="42B74D59"/>
    <w:rsid w:val="42CB4BAA"/>
    <w:rsid w:val="42EA8B5F"/>
    <w:rsid w:val="42F6B03C"/>
    <w:rsid w:val="43461AC6"/>
    <w:rsid w:val="43534108"/>
    <w:rsid w:val="43658190"/>
    <w:rsid w:val="436A9296"/>
    <w:rsid w:val="436F1A78"/>
    <w:rsid w:val="4377D537"/>
    <w:rsid w:val="437C9FDC"/>
    <w:rsid w:val="43A61015"/>
    <w:rsid w:val="43ACC265"/>
    <w:rsid w:val="44171E7C"/>
    <w:rsid w:val="444DF3AE"/>
    <w:rsid w:val="445353CC"/>
    <w:rsid w:val="4463B674"/>
    <w:rsid w:val="449172ED"/>
    <w:rsid w:val="44AAB858"/>
    <w:rsid w:val="44AC3F1D"/>
    <w:rsid w:val="44B8F8E3"/>
    <w:rsid w:val="44C288E6"/>
    <w:rsid w:val="44DC9CB7"/>
    <w:rsid w:val="44E6D285"/>
    <w:rsid w:val="44E7269A"/>
    <w:rsid w:val="44E7CDC2"/>
    <w:rsid w:val="44F7716C"/>
    <w:rsid w:val="45063D37"/>
    <w:rsid w:val="4548B1E7"/>
    <w:rsid w:val="455FEEE7"/>
    <w:rsid w:val="459EE86A"/>
    <w:rsid w:val="45B5F8A2"/>
    <w:rsid w:val="45B810C7"/>
    <w:rsid w:val="45B86F56"/>
    <w:rsid w:val="45C9CCE6"/>
    <w:rsid w:val="45D51EB5"/>
    <w:rsid w:val="45F32F78"/>
    <w:rsid w:val="45F7E488"/>
    <w:rsid w:val="46081AE0"/>
    <w:rsid w:val="4663887E"/>
    <w:rsid w:val="466730B9"/>
    <w:rsid w:val="46922E94"/>
    <w:rsid w:val="46A0C9C3"/>
    <w:rsid w:val="46CA9E58"/>
    <w:rsid w:val="46EB4709"/>
    <w:rsid w:val="470B5F01"/>
    <w:rsid w:val="472597AE"/>
    <w:rsid w:val="472D3AB6"/>
    <w:rsid w:val="475CBA76"/>
    <w:rsid w:val="4760EDF5"/>
    <w:rsid w:val="47663CF4"/>
    <w:rsid w:val="476E2BE5"/>
    <w:rsid w:val="47712A54"/>
    <w:rsid w:val="4774725A"/>
    <w:rsid w:val="477697AF"/>
    <w:rsid w:val="477902E7"/>
    <w:rsid w:val="4786445B"/>
    <w:rsid w:val="4787F724"/>
    <w:rsid w:val="478EA26C"/>
    <w:rsid w:val="4799C975"/>
    <w:rsid w:val="479B300F"/>
    <w:rsid w:val="47CE3AEA"/>
    <w:rsid w:val="47DB7CE2"/>
    <w:rsid w:val="47F77CBA"/>
    <w:rsid w:val="4801CA7B"/>
    <w:rsid w:val="480BD4CA"/>
    <w:rsid w:val="480DD75F"/>
    <w:rsid w:val="4832B1BF"/>
    <w:rsid w:val="4848F9E6"/>
    <w:rsid w:val="487386ED"/>
    <w:rsid w:val="48839E1D"/>
    <w:rsid w:val="48842414"/>
    <w:rsid w:val="488B806D"/>
    <w:rsid w:val="48CBF2CC"/>
    <w:rsid w:val="48DD2294"/>
    <w:rsid w:val="48DE8807"/>
    <w:rsid w:val="48FC6AA4"/>
    <w:rsid w:val="48FF07B5"/>
    <w:rsid w:val="4905C0D2"/>
    <w:rsid w:val="4929ED4F"/>
    <w:rsid w:val="4943D2FC"/>
    <w:rsid w:val="495F1B11"/>
    <w:rsid w:val="497EEC2C"/>
    <w:rsid w:val="49ABA41C"/>
    <w:rsid w:val="49AC863E"/>
    <w:rsid w:val="4A221B4E"/>
    <w:rsid w:val="4A430369"/>
    <w:rsid w:val="4A4D5DD1"/>
    <w:rsid w:val="4A5C287D"/>
    <w:rsid w:val="4A72598D"/>
    <w:rsid w:val="4A925455"/>
    <w:rsid w:val="4A94C3DA"/>
    <w:rsid w:val="4AA3B8DF"/>
    <w:rsid w:val="4AB21520"/>
    <w:rsid w:val="4AB3EDF9"/>
    <w:rsid w:val="4AC823C8"/>
    <w:rsid w:val="4AD9D5AE"/>
    <w:rsid w:val="4B04D87D"/>
    <w:rsid w:val="4B07CA2E"/>
    <w:rsid w:val="4B207083"/>
    <w:rsid w:val="4B2FF2ED"/>
    <w:rsid w:val="4B309EF2"/>
    <w:rsid w:val="4B327655"/>
    <w:rsid w:val="4B4BF7C6"/>
    <w:rsid w:val="4B59699D"/>
    <w:rsid w:val="4B6B39D8"/>
    <w:rsid w:val="4B6D53FD"/>
    <w:rsid w:val="4B83AB6F"/>
    <w:rsid w:val="4BB24AEC"/>
    <w:rsid w:val="4BC289A4"/>
    <w:rsid w:val="4BD2A488"/>
    <w:rsid w:val="4C094ACD"/>
    <w:rsid w:val="4C4DA01E"/>
    <w:rsid w:val="4C543563"/>
    <w:rsid w:val="4C62154C"/>
    <w:rsid w:val="4C784FE1"/>
    <w:rsid w:val="4C87DE51"/>
    <w:rsid w:val="4CB10A74"/>
    <w:rsid w:val="4CE27FD0"/>
    <w:rsid w:val="4CF9ABF9"/>
    <w:rsid w:val="4D079606"/>
    <w:rsid w:val="4D0EA356"/>
    <w:rsid w:val="4D1207AF"/>
    <w:rsid w:val="4D25FDAB"/>
    <w:rsid w:val="4D344D14"/>
    <w:rsid w:val="4D3F702C"/>
    <w:rsid w:val="4D555F77"/>
    <w:rsid w:val="4D55C1E0"/>
    <w:rsid w:val="4D5EE631"/>
    <w:rsid w:val="4D670321"/>
    <w:rsid w:val="4D71A2C4"/>
    <w:rsid w:val="4DA60135"/>
    <w:rsid w:val="4DCE39D2"/>
    <w:rsid w:val="4DDA81E4"/>
    <w:rsid w:val="4DDD7778"/>
    <w:rsid w:val="4DE8061E"/>
    <w:rsid w:val="4E07EA3A"/>
    <w:rsid w:val="4E158062"/>
    <w:rsid w:val="4E170FC7"/>
    <w:rsid w:val="4E1894BE"/>
    <w:rsid w:val="4E2217D1"/>
    <w:rsid w:val="4E29B7DD"/>
    <w:rsid w:val="4E40BC36"/>
    <w:rsid w:val="4E5F4579"/>
    <w:rsid w:val="4E5F6658"/>
    <w:rsid w:val="4E7C1D66"/>
    <w:rsid w:val="4E8E60BD"/>
    <w:rsid w:val="4ED15A6C"/>
    <w:rsid w:val="4ED1CD2E"/>
    <w:rsid w:val="4ED2F5E0"/>
    <w:rsid w:val="4EEA142A"/>
    <w:rsid w:val="4F014DA3"/>
    <w:rsid w:val="4F3B4DD0"/>
    <w:rsid w:val="4F3FB279"/>
    <w:rsid w:val="4F45CAB0"/>
    <w:rsid w:val="4F4C9D99"/>
    <w:rsid w:val="4F513749"/>
    <w:rsid w:val="4F68B851"/>
    <w:rsid w:val="4F8EE10F"/>
    <w:rsid w:val="4F99C36B"/>
    <w:rsid w:val="4FA02A0D"/>
    <w:rsid w:val="4FD849A0"/>
    <w:rsid w:val="4FDEFE97"/>
    <w:rsid w:val="4FEB5959"/>
    <w:rsid w:val="4FF8CA83"/>
    <w:rsid w:val="50066625"/>
    <w:rsid w:val="501383FD"/>
    <w:rsid w:val="50345190"/>
    <w:rsid w:val="506A542B"/>
    <w:rsid w:val="506E72D4"/>
    <w:rsid w:val="507D0FBA"/>
    <w:rsid w:val="50874A93"/>
    <w:rsid w:val="508B32C4"/>
    <w:rsid w:val="50B7F9F8"/>
    <w:rsid w:val="50D32FD6"/>
    <w:rsid w:val="50E70105"/>
    <w:rsid w:val="51150849"/>
    <w:rsid w:val="5123133A"/>
    <w:rsid w:val="5123A45D"/>
    <w:rsid w:val="512D67FE"/>
    <w:rsid w:val="5140CC87"/>
    <w:rsid w:val="514C7B2C"/>
    <w:rsid w:val="516C7E1D"/>
    <w:rsid w:val="51751F28"/>
    <w:rsid w:val="51966481"/>
    <w:rsid w:val="519EBF50"/>
    <w:rsid w:val="519F88C0"/>
    <w:rsid w:val="51A6AE5A"/>
    <w:rsid w:val="51DCC923"/>
    <w:rsid w:val="520173BA"/>
    <w:rsid w:val="5205F6E5"/>
    <w:rsid w:val="5225C9BC"/>
    <w:rsid w:val="52466347"/>
    <w:rsid w:val="5254C880"/>
    <w:rsid w:val="527DB782"/>
    <w:rsid w:val="52A216FC"/>
    <w:rsid w:val="52AF585C"/>
    <w:rsid w:val="52B34C25"/>
    <w:rsid w:val="52C9CCAF"/>
    <w:rsid w:val="52D3F221"/>
    <w:rsid w:val="52DFC9EE"/>
    <w:rsid w:val="52ED08DA"/>
    <w:rsid w:val="5323C285"/>
    <w:rsid w:val="5328FDBD"/>
    <w:rsid w:val="532DC6E3"/>
    <w:rsid w:val="533E2FDB"/>
    <w:rsid w:val="538332BF"/>
    <w:rsid w:val="5387A227"/>
    <w:rsid w:val="5388A8FA"/>
    <w:rsid w:val="539C2D24"/>
    <w:rsid w:val="53A3D252"/>
    <w:rsid w:val="53FAE529"/>
    <w:rsid w:val="54583E75"/>
    <w:rsid w:val="546C04FE"/>
    <w:rsid w:val="548B3BF9"/>
    <w:rsid w:val="54AD1A75"/>
    <w:rsid w:val="54B809DC"/>
    <w:rsid w:val="54C2EA19"/>
    <w:rsid w:val="54D4207D"/>
    <w:rsid w:val="54F8E763"/>
    <w:rsid w:val="550AF542"/>
    <w:rsid w:val="550CFEC6"/>
    <w:rsid w:val="5529C3C8"/>
    <w:rsid w:val="5535E382"/>
    <w:rsid w:val="554467BB"/>
    <w:rsid w:val="55658DF9"/>
    <w:rsid w:val="55817DA2"/>
    <w:rsid w:val="55A3837A"/>
    <w:rsid w:val="55A62C59"/>
    <w:rsid w:val="55C14D7C"/>
    <w:rsid w:val="55E4DE4F"/>
    <w:rsid w:val="55F6845D"/>
    <w:rsid w:val="560D747E"/>
    <w:rsid w:val="5632E87E"/>
    <w:rsid w:val="5657670D"/>
    <w:rsid w:val="566E2C4B"/>
    <w:rsid w:val="567A524E"/>
    <w:rsid w:val="569DD74B"/>
    <w:rsid w:val="56BF493D"/>
    <w:rsid w:val="56CCD8E2"/>
    <w:rsid w:val="56D281AD"/>
    <w:rsid w:val="56E6E822"/>
    <w:rsid w:val="56F1444E"/>
    <w:rsid w:val="56FC085F"/>
    <w:rsid w:val="571BC798"/>
    <w:rsid w:val="5723C716"/>
    <w:rsid w:val="5724D659"/>
    <w:rsid w:val="572C99E2"/>
    <w:rsid w:val="57682772"/>
    <w:rsid w:val="57883A12"/>
    <w:rsid w:val="57BF9C4D"/>
    <w:rsid w:val="57D5B90F"/>
    <w:rsid w:val="57DE2E44"/>
    <w:rsid w:val="582E15C8"/>
    <w:rsid w:val="5839A7AC"/>
    <w:rsid w:val="583C2FC5"/>
    <w:rsid w:val="5853FE99"/>
    <w:rsid w:val="58597DE6"/>
    <w:rsid w:val="58902B18"/>
    <w:rsid w:val="58A86CBA"/>
    <w:rsid w:val="58B3516F"/>
    <w:rsid w:val="58D69E4A"/>
    <w:rsid w:val="58D74F02"/>
    <w:rsid w:val="58DA66C5"/>
    <w:rsid w:val="58E15841"/>
    <w:rsid w:val="58E59268"/>
    <w:rsid w:val="58EDEF59"/>
    <w:rsid w:val="58FAA309"/>
    <w:rsid w:val="5903CD92"/>
    <w:rsid w:val="59048279"/>
    <w:rsid w:val="590E2944"/>
    <w:rsid w:val="5926DBCE"/>
    <w:rsid w:val="59302193"/>
    <w:rsid w:val="593C58DD"/>
    <w:rsid w:val="594A64B7"/>
    <w:rsid w:val="59624B62"/>
    <w:rsid w:val="59734A2F"/>
    <w:rsid w:val="59857AF9"/>
    <w:rsid w:val="599FD51E"/>
    <w:rsid w:val="59A1B718"/>
    <w:rsid w:val="59AFFD00"/>
    <w:rsid w:val="59B2D27A"/>
    <w:rsid w:val="59E1BE33"/>
    <w:rsid w:val="59FA40C1"/>
    <w:rsid w:val="5A1002D0"/>
    <w:rsid w:val="5A1C54F9"/>
    <w:rsid w:val="5A258D6C"/>
    <w:rsid w:val="5A2F26DA"/>
    <w:rsid w:val="5A3B4976"/>
    <w:rsid w:val="5A3D815F"/>
    <w:rsid w:val="5A9C7C16"/>
    <w:rsid w:val="5AC369BB"/>
    <w:rsid w:val="5AC9885D"/>
    <w:rsid w:val="5AEFDFF8"/>
    <w:rsid w:val="5B095785"/>
    <w:rsid w:val="5B0AA35E"/>
    <w:rsid w:val="5B20CC2F"/>
    <w:rsid w:val="5B2A3C5D"/>
    <w:rsid w:val="5B5E8486"/>
    <w:rsid w:val="5B5EFAD9"/>
    <w:rsid w:val="5B621ECC"/>
    <w:rsid w:val="5B65B8F3"/>
    <w:rsid w:val="5B83A43A"/>
    <w:rsid w:val="5B8A12E5"/>
    <w:rsid w:val="5B8F2DA3"/>
    <w:rsid w:val="5B94E7C4"/>
    <w:rsid w:val="5BABD88D"/>
    <w:rsid w:val="5BBB3C31"/>
    <w:rsid w:val="5BED63B7"/>
    <w:rsid w:val="5BF6878E"/>
    <w:rsid w:val="5C2F549B"/>
    <w:rsid w:val="5C40398E"/>
    <w:rsid w:val="5C43B5D3"/>
    <w:rsid w:val="5C63505A"/>
    <w:rsid w:val="5C730DA2"/>
    <w:rsid w:val="5C8B645E"/>
    <w:rsid w:val="5C946F30"/>
    <w:rsid w:val="5C96C609"/>
    <w:rsid w:val="5C99A5DA"/>
    <w:rsid w:val="5CB1B2AF"/>
    <w:rsid w:val="5CE24E73"/>
    <w:rsid w:val="5CEBE2D8"/>
    <w:rsid w:val="5D0C30BF"/>
    <w:rsid w:val="5D19255E"/>
    <w:rsid w:val="5D1C197E"/>
    <w:rsid w:val="5D40C380"/>
    <w:rsid w:val="5D84016F"/>
    <w:rsid w:val="5D86A9DD"/>
    <w:rsid w:val="5DA1E648"/>
    <w:rsid w:val="5DA9AA80"/>
    <w:rsid w:val="5DAF6B1F"/>
    <w:rsid w:val="5DC38862"/>
    <w:rsid w:val="5DDBDDE0"/>
    <w:rsid w:val="5DDD7116"/>
    <w:rsid w:val="5DDDE8E0"/>
    <w:rsid w:val="5DE1D60C"/>
    <w:rsid w:val="5DF1A8E6"/>
    <w:rsid w:val="5E01E506"/>
    <w:rsid w:val="5E1C524A"/>
    <w:rsid w:val="5E1DD5DA"/>
    <w:rsid w:val="5E1EAD76"/>
    <w:rsid w:val="5E2BA3C3"/>
    <w:rsid w:val="5E33C9E5"/>
    <w:rsid w:val="5E39BEBA"/>
    <w:rsid w:val="5E7190FE"/>
    <w:rsid w:val="5EA916C7"/>
    <w:rsid w:val="5EBB0425"/>
    <w:rsid w:val="5EBD0EB4"/>
    <w:rsid w:val="5ECAB7EF"/>
    <w:rsid w:val="5EEF0677"/>
    <w:rsid w:val="5EFF9180"/>
    <w:rsid w:val="5F201DD3"/>
    <w:rsid w:val="5F4D0448"/>
    <w:rsid w:val="5F684292"/>
    <w:rsid w:val="5F72FE8A"/>
    <w:rsid w:val="5F750A7E"/>
    <w:rsid w:val="5F77AE41"/>
    <w:rsid w:val="5F971BE2"/>
    <w:rsid w:val="5FA0048C"/>
    <w:rsid w:val="602AAC08"/>
    <w:rsid w:val="6034E29B"/>
    <w:rsid w:val="604FB16D"/>
    <w:rsid w:val="605E08E9"/>
    <w:rsid w:val="607231A3"/>
    <w:rsid w:val="60857097"/>
    <w:rsid w:val="608D6FA8"/>
    <w:rsid w:val="60A27DD6"/>
    <w:rsid w:val="60B89229"/>
    <w:rsid w:val="60C31111"/>
    <w:rsid w:val="60F270ED"/>
    <w:rsid w:val="612F4AF4"/>
    <w:rsid w:val="612F7A72"/>
    <w:rsid w:val="61528FDE"/>
    <w:rsid w:val="616A66F8"/>
    <w:rsid w:val="61AFCA77"/>
    <w:rsid w:val="61C37996"/>
    <w:rsid w:val="61C93A43"/>
    <w:rsid w:val="61D52080"/>
    <w:rsid w:val="61D8746B"/>
    <w:rsid w:val="61F75450"/>
    <w:rsid w:val="61FA43B5"/>
    <w:rsid w:val="62333E00"/>
    <w:rsid w:val="624009EB"/>
    <w:rsid w:val="6273A660"/>
    <w:rsid w:val="6280EF46"/>
    <w:rsid w:val="6291142E"/>
    <w:rsid w:val="62AF270C"/>
    <w:rsid w:val="62CEE3D3"/>
    <w:rsid w:val="62DEDEF8"/>
    <w:rsid w:val="632A710E"/>
    <w:rsid w:val="63409BAF"/>
    <w:rsid w:val="63569F26"/>
    <w:rsid w:val="638BBF33"/>
    <w:rsid w:val="63B11B26"/>
    <w:rsid w:val="63B54AE0"/>
    <w:rsid w:val="63BC2DDB"/>
    <w:rsid w:val="63DC51D7"/>
    <w:rsid w:val="63E638E3"/>
    <w:rsid w:val="649E3E25"/>
    <w:rsid w:val="64A0AADB"/>
    <w:rsid w:val="64ACC86A"/>
    <w:rsid w:val="64B7FAA1"/>
    <w:rsid w:val="64BA6B74"/>
    <w:rsid w:val="64C6149E"/>
    <w:rsid w:val="64CBE9D0"/>
    <w:rsid w:val="64DBF822"/>
    <w:rsid w:val="65256AA6"/>
    <w:rsid w:val="652906AB"/>
    <w:rsid w:val="65294FB5"/>
    <w:rsid w:val="656E48B0"/>
    <w:rsid w:val="657AAFDD"/>
    <w:rsid w:val="6589350E"/>
    <w:rsid w:val="65979391"/>
    <w:rsid w:val="659A8E09"/>
    <w:rsid w:val="659E65C8"/>
    <w:rsid w:val="65B16BCC"/>
    <w:rsid w:val="65B1FD3A"/>
    <w:rsid w:val="65B67A95"/>
    <w:rsid w:val="65D24172"/>
    <w:rsid w:val="65D7EF6C"/>
    <w:rsid w:val="66236B47"/>
    <w:rsid w:val="663E617D"/>
    <w:rsid w:val="665C83BE"/>
    <w:rsid w:val="66919A9A"/>
    <w:rsid w:val="66ADB81A"/>
    <w:rsid w:val="66CF7334"/>
    <w:rsid w:val="66D207E7"/>
    <w:rsid w:val="66D598A5"/>
    <w:rsid w:val="66E742BD"/>
    <w:rsid w:val="66F8C3B6"/>
    <w:rsid w:val="67020870"/>
    <w:rsid w:val="6706E386"/>
    <w:rsid w:val="6716F62A"/>
    <w:rsid w:val="6722C47F"/>
    <w:rsid w:val="67267465"/>
    <w:rsid w:val="675E34FE"/>
    <w:rsid w:val="67610946"/>
    <w:rsid w:val="676B675B"/>
    <w:rsid w:val="6789A2EE"/>
    <w:rsid w:val="679E433D"/>
    <w:rsid w:val="67A05987"/>
    <w:rsid w:val="67AB8FC3"/>
    <w:rsid w:val="67B16892"/>
    <w:rsid w:val="67BF80C3"/>
    <w:rsid w:val="67D166EC"/>
    <w:rsid w:val="67F48155"/>
    <w:rsid w:val="67F56333"/>
    <w:rsid w:val="6805BC0B"/>
    <w:rsid w:val="68073029"/>
    <w:rsid w:val="68141163"/>
    <w:rsid w:val="6814F392"/>
    <w:rsid w:val="682FC4F7"/>
    <w:rsid w:val="68316884"/>
    <w:rsid w:val="68354CBB"/>
    <w:rsid w:val="686B4D7B"/>
    <w:rsid w:val="68818E87"/>
    <w:rsid w:val="68A6E505"/>
    <w:rsid w:val="69250E29"/>
    <w:rsid w:val="692F77E5"/>
    <w:rsid w:val="695C1368"/>
    <w:rsid w:val="697BB51A"/>
    <w:rsid w:val="69B212B3"/>
    <w:rsid w:val="69C50CFE"/>
    <w:rsid w:val="69EADB6D"/>
    <w:rsid w:val="6A02CAE5"/>
    <w:rsid w:val="6A2AF60B"/>
    <w:rsid w:val="6A4975E0"/>
    <w:rsid w:val="6A698D28"/>
    <w:rsid w:val="6A6B2375"/>
    <w:rsid w:val="6A77D7CC"/>
    <w:rsid w:val="6A8D8862"/>
    <w:rsid w:val="6AA0563C"/>
    <w:rsid w:val="6AAA3954"/>
    <w:rsid w:val="6AD11FC4"/>
    <w:rsid w:val="6AD7CF1C"/>
    <w:rsid w:val="6AD841EF"/>
    <w:rsid w:val="6AEF9E63"/>
    <w:rsid w:val="6B0BC2E2"/>
    <w:rsid w:val="6B1A2F7F"/>
    <w:rsid w:val="6B49CB7E"/>
    <w:rsid w:val="6B5A5D99"/>
    <w:rsid w:val="6B6A5BDC"/>
    <w:rsid w:val="6B7341F3"/>
    <w:rsid w:val="6B9F734A"/>
    <w:rsid w:val="6BADDD06"/>
    <w:rsid w:val="6BC81E1F"/>
    <w:rsid w:val="6BEBACE8"/>
    <w:rsid w:val="6BF4D313"/>
    <w:rsid w:val="6BFA796E"/>
    <w:rsid w:val="6C14D025"/>
    <w:rsid w:val="6C22D6A4"/>
    <w:rsid w:val="6C44E990"/>
    <w:rsid w:val="6C540CC8"/>
    <w:rsid w:val="6C54B8D5"/>
    <w:rsid w:val="6C7C5583"/>
    <w:rsid w:val="6C9027AD"/>
    <w:rsid w:val="6CC0FD87"/>
    <w:rsid w:val="6CCD267E"/>
    <w:rsid w:val="6CFBD328"/>
    <w:rsid w:val="6D24FB0B"/>
    <w:rsid w:val="6D25F783"/>
    <w:rsid w:val="6D2A8A0F"/>
    <w:rsid w:val="6D36D6C6"/>
    <w:rsid w:val="6D568441"/>
    <w:rsid w:val="6D6F80FE"/>
    <w:rsid w:val="6D79B87D"/>
    <w:rsid w:val="6D7BBB2A"/>
    <w:rsid w:val="6D7E57C9"/>
    <w:rsid w:val="6DD73775"/>
    <w:rsid w:val="6DE4FB4A"/>
    <w:rsid w:val="6DF93C0B"/>
    <w:rsid w:val="6E144DED"/>
    <w:rsid w:val="6E63C01B"/>
    <w:rsid w:val="6E72448E"/>
    <w:rsid w:val="6E8D8D59"/>
    <w:rsid w:val="6E9350FD"/>
    <w:rsid w:val="6E94B2C1"/>
    <w:rsid w:val="6E9BC673"/>
    <w:rsid w:val="6E9C4BF2"/>
    <w:rsid w:val="6EBCCF3C"/>
    <w:rsid w:val="6EE704F0"/>
    <w:rsid w:val="6F00BE7F"/>
    <w:rsid w:val="6F0460F3"/>
    <w:rsid w:val="6F481309"/>
    <w:rsid w:val="6F5691A9"/>
    <w:rsid w:val="6F61514F"/>
    <w:rsid w:val="6F6CCBE3"/>
    <w:rsid w:val="6F718F3E"/>
    <w:rsid w:val="6FABB312"/>
    <w:rsid w:val="6FB208C5"/>
    <w:rsid w:val="6FC52BC3"/>
    <w:rsid w:val="6FCAF2C7"/>
    <w:rsid w:val="6FD6437D"/>
    <w:rsid w:val="6FEBA8B5"/>
    <w:rsid w:val="70255351"/>
    <w:rsid w:val="7044C41F"/>
    <w:rsid w:val="706A8C6C"/>
    <w:rsid w:val="70715F62"/>
    <w:rsid w:val="709F7605"/>
    <w:rsid w:val="70B546E0"/>
    <w:rsid w:val="70D9F6F6"/>
    <w:rsid w:val="70DC0069"/>
    <w:rsid w:val="70DE37D7"/>
    <w:rsid w:val="70E5B7D1"/>
    <w:rsid w:val="7134E833"/>
    <w:rsid w:val="71379432"/>
    <w:rsid w:val="713809D0"/>
    <w:rsid w:val="71393E0B"/>
    <w:rsid w:val="714A7507"/>
    <w:rsid w:val="71627116"/>
    <w:rsid w:val="71703346"/>
    <w:rsid w:val="71822354"/>
    <w:rsid w:val="71849367"/>
    <w:rsid w:val="718F26BE"/>
    <w:rsid w:val="719CAB1B"/>
    <w:rsid w:val="71C295B0"/>
    <w:rsid w:val="71C3C50A"/>
    <w:rsid w:val="71F06AC1"/>
    <w:rsid w:val="71F9C2DF"/>
    <w:rsid w:val="722AC1AE"/>
    <w:rsid w:val="7232A90E"/>
    <w:rsid w:val="724549AD"/>
    <w:rsid w:val="724778B2"/>
    <w:rsid w:val="724FE56F"/>
    <w:rsid w:val="7269C154"/>
    <w:rsid w:val="727F25E7"/>
    <w:rsid w:val="7282E9B1"/>
    <w:rsid w:val="7315272A"/>
    <w:rsid w:val="732E4084"/>
    <w:rsid w:val="7356421C"/>
    <w:rsid w:val="7378C3F2"/>
    <w:rsid w:val="73858357"/>
    <w:rsid w:val="73A5E94C"/>
    <w:rsid w:val="73D59DFD"/>
    <w:rsid w:val="740591B5"/>
    <w:rsid w:val="740C5481"/>
    <w:rsid w:val="7418F438"/>
    <w:rsid w:val="741F66B2"/>
    <w:rsid w:val="7461F864"/>
    <w:rsid w:val="7491E80B"/>
    <w:rsid w:val="74B961B7"/>
    <w:rsid w:val="74EDC94A"/>
    <w:rsid w:val="74F584A5"/>
    <w:rsid w:val="750AAA1B"/>
    <w:rsid w:val="75251687"/>
    <w:rsid w:val="75315ED3"/>
    <w:rsid w:val="75615FD5"/>
    <w:rsid w:val="757F5208"/>
    <w:rsid w:val="75824744"/>
    <w:rsid w:val="758710E7"/>
    <w:rsid w:val="75B7BF40"/>
    <w:rsid w:val="75E85C60"/>
    <w:rsid w:val="75EECFE3"/>
    <w:rsid w:val="762986A5"/>
    <w:rsid w:val="762BD48F"/>
    <w:rsid w:val="764137BB"/>
    <w:rsid w:val="76606FEA"/>
    <w:rsid w:val="76C3DBE4"/>
    <w:rsid w:val="76C6BA6A"/>
    <w:rsid w:val="76D29B45"/>
    <w:rsid w:val="76E58560"/>
    <w:rsid w:val="76F27744"/>
    <w:rsid w:val="76F62A97"/>
    <w:rsid w:val="770EB789"/>
    <w:rsid w:val="770F6774"/>
    <w:rsid w:val="771F4CE9"/>
    <w:rsid w:val="772354F4"/>
    <w:rsid w:val="7748FBCF"/>
    <w:rsid w:val="77707196"/>
    <w:rsid w:val="77898C16"/>
    <w:rsid w:val="77910E89"/>
    <w:rsid w:val="77B3275C"/>
    <w:rsid w:val="77C612C1"/>
    <w:rsid w:val="77D52DC6"/>
    <w:rsid w:val="77DDAA02"/>
    <w:rsid w:val="77E03C2E"/>
    <w:rsid w:val="77E52132"/>
    <w:rsid w:val="77E9B9CB"/>
    <w:rsid w:val="77F29171"/>
    <w:rsid w:val="78035B67"/>
    <w:rsid w:val="7803CC77"/>
    <w:rsid w:val="781934AC"/>
    <w:rsid w:val="78195705"/>
    <w:rsid w:val="784AE626"/>
    <w:rsid w:val="7874C11A"/>
    <w:rsid w:val="78767655"/>
    <w:rsid w:val="787695E5"/>
    <w:rsid w:val="787720AC"/>
    <w:rsid w:val="789C3371"/>
    <w:rsid w:val="78B3D672"/>
    <w:rsid w:val="78D6D8EC"/>
    <w:rsid w:val="78DB6071"/>
    <w:rsid w:val="78DC17B3"/>
    <w:rsid w:val="78F59BBE"/>
    <w:rsid w:val="7906B1B8"/>
    <w:rsid w:val="790DF511"/>
    <w:rsid w:val="79270A2A"/>
    <w:rsid w:val="7942A617"/>
    <w:rsid w:val="79512365"/>
    <w:rsid w:val="795C0BDB"/>
    <w:rsid w:val="7965DE4A"/>
    <w:rsid w:val="796CA06C"/>
    <w:rsid w:val="79DE95F6"/>
    <w:rsid w:val="79F0FFC6"/>
    <w:rsid w:val="79F22295"/>
    <w:rsid w:val="79FA447F"/>
    <w:rsid w:val="7A1B7D30"/>
    <w:rsid w:val="7A295C69"/>
    <w:rsid w:val="7A46584B"/>
    <w:rsid w:val="7A486F07"/>
    <w:rsid w:val="7A491369"/>
    <w:rsid w:val="7A594C70"/>
    <w:rsid w:val="7A6E4FA0"/>
    <w:rsid w:val="7AA59F21"/>
    <w:rsid w:val="7AA9763B"/>
    <w:rsid w:val="7AE75C5B"/>
    <w:rsid w:val="7AF5E683"/>
    <w:rsid w:val="7B08956B"/>
    <w:rsid w:val="7B0E375E"/>
    <w:rsid w:val="7B13E870"/>
    <w:rsid w:val="7B2AFCA7"/>
    <w:rsid w:val="7B2D2137"/>
    <w:rsid w:val="7B47A9FB"/>
    <w:rsid w:val="7B4BF354"/>
    <w:rsid w:val="7B50A4EB"/>
    <w:rsid w:val="7B5B0631"/>
    <w:rsid w:val="7B620B98"/>
    <w:rsid w:val="7B7D563D"/>
    <w:rsid w:val="7BA9D8BD"/>
    <w:rsid w:val="7BBEECC1"/>
    <w:rsid w:val="7BC71770"/>
    <w:rsid w:val="7BD540AA"/>
    <w:rsid w:val="7BE2A583"/>
    <w:rsid w:val="7BE2D897"/>
    <w:rsid w:val="7BEDD71B"/>
    <w:rsid w:val="7BF25C10"/>
    <w:rsid w:val="7C00076C"/>
    <w:rsid w:val="7C0AEB71"/>
    <w:rsid w:val="7C10A39A"/>
    <w:rsid w:val="7C603376"/>
    <w:rsid w:val="7C6542D8"/>
    <w:rsid w:val="7C8D6A83"/>
    <w:rsid w:val="7CD7749C"/>
    <w:rsid w:val="7CDF2FDE"/>
    <w:rsid w:val="7CEBF35A"/>
    <w:rsid w:val="7CFEBF4A"/>
    <w:rsid w:val="7D1CDE43"/>
    <w:rsid w:val="7D2FAEB4"/>
    <w:rsid w:val="7D384450"/>
    <w:rsid w:val="7D560C09"/>
    <w:rsid w:val="7D6B2AE6"/>
    <w:rsid w:val="7D7EA8F8"/>
    <w:rsid w:val="7D98D568"/>
    <w:rsid w:val="7DE00D67"/>
    <w:rsid w:val="7DE58BEB"/>
    <w:rsid w:val="7E0928C9"/>
    <w:rsid w:val="7E15F3B9"/>
    <w:rsid w:val="7E3A5EE1"/>
    <w:rsid w:val="7E530910"/>
    <w:rsid w:val="7E7BA0A2"/>
    <w:rsid w:val="7E92B6E4"/>
    <w:rsid w:val="7EA036EE"/>
    <w:rsid w:val="7EAFE006"/>
    <w:rsid w:val="7EB8627C"/>
    <w:rsid w:val="7EE4D72A"/>
    <w:rsid w:val="7F0066AF"/>
    <w:rsid w:val="7F0C0882"/>
    <w:rsid w:val="7F2D963E"/>
    <w:rsid w:val="7F3ECB6B"/>
    <w:rsid w:val="7F490B68"/>
    <w:rsid w:val="7F544ACB"/>
    <w:rsid w:val="7F6BCEDA"/>
    <w:rsid w:val="7F98BF3E"/>
    <w:rsid w:val="7FC0920D"/>
    <w:rsid w:val="7FCD422B"/>
    <w:rsid w:val="7FD33D69"/>
    <w:rsid w:val="7FE5D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4ADA"/>
  <w15:chartTrackingRefBased/>
  <w15:docId w15:val="{64A36284-2513-4755-BF6F-580906B8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90C"/>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6F3AE7"/>
    <w:pPr>
      <w:spacing w:before="240"/>
      <w:outlineLvl w:val="1"/>
    </w:pPr>
    <w:rPr>
      <w:b/>
      <w:i/>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0C"/>
    <w:rPr>
      <w:rFonts w:ascii="Segoe UI" w:eastAsia="Times New Roman" w:hAnsi="Segoe UI" w:cs="Segoe UI"/>
      <w:sz w:val="18"/>
      <w:szCs w:val="18"/>
    </w:rPr>
  </w:style>
  <w:style w:type="paragraph" w:styleId="ListParagraph">
    <w:name w:val="List Paragraph"/>
    <w:aliases w:val="Recommendatio,Párrafo de lista,Recommendation,OBC Bullet,Dot pt,F5 List Paragraph,List Paragraph1,No Spacing1,List Paragraph Char Char Char,Indicator Text,Colorful List - Accent 11,Numbered Para 1,Bullet 1,Bullet Points,List Paragraph2,L"/>
    <w:basedOn w:val="Normal"/>
    <w:link w:val="ListParagraphChar"/>
    <w:uiPriority w:val="34"/>
    <w:qFormat/>
    <w:rsid w:val="0010590C"/>
    <w:pPr>
      <w:spacing w:after="240"/>
      <w:ind w:left="720"/>
      <w:contextualSpacing/>
    </w:pPr>
    <w:rPr>
      <w:szCs w:val="20"/>
      <w:lang w:eastAsia="en-GB"/>
    </w:rPr>
  </w:style>
  <w:style w:type="character" w:customStyle="1" w:styleId="ListParagraphChar">
    <w:name w:val="List Paragraph Char"/>
    <w:aliases w:val="Recommendatio Char,Párrafo de lista Char,Recommendation Char,OBC Bullet Char,Dot pt Char,F5 List Paragraph Char,List Paragraph1 Char,No Spacing1 Char,List Paragraph Char Char Char Char,Indicator Text Char,Numbered Para 1 Char,L Char"/>
    <w:basedOn w:val="DefaultParagraphFont"/>
    <w:link w:val="ListParagraph"/>
    <w:uiPriority w:val="34"/>
    <w:qFormat/>
    <w:locked/>
    <w:rsid w:val="0010590C"/>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6F3AE7"/>
    <w:rPr>
      <w:rFonts w:ascii="Arial" w:eastAsia="Times New Roman" w:hAnsi="Arial" w:cs="Times New Roman"/>
      <w:b/>
      <w:i/>
      <w:kern w:val="28"/>
      <w:sz w:val="28"/>
      <w:szCs w:val="28"/>
    </w:rPr>
  </w:style>
  <w:style w:type="table" w:styleId="TableGrid">
    <w:name w:val="Table Grid"/>
    <w:basedOn w:val="TableNormal"/>
    <w:rsid w:val="006F3A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AE7"/>
    <w:rPr>
      <w:color w:val="0563C1" w:themeColor="hyperlink"/>
      <w:u w:val="single"/>
    </w:rPr>
  </w:style>
  <w:style w:type="paragraph" w:styleId="Header">
    <w:name w:val="header"/>
    <w:basedOn w:val="Normal"/>
    <w:link w:val="HeaderChar"/>
    <w:uiPriority w:val="99"/>
    <w:unhideWhenUsed/>
    <w:rsid w:val="006E5785"/>
    <w:pPr>
      <w:tabs>
        <w:tab w:val="center" w:pos="4513"/>
        <w:tab w:val="right" w:pos="9026"/>
      </w:tabs>
    </w:pPr>
  </w:style>
  <w:style w:type="character" w:customStyle="1" w:styleId="HeaderChar">
    <w:name w:val="Header Char"/>
    <w:basedOn w:val="DefaultParagraphFont"/>
    <w:link w:val="Header"/>
    <w:uiPriority w:val="99"/>
    <w:rsid w:val="006E5785"/>
    <w:rPr>
      <w:rFonts w:ascii="Arial" w:eastAsia="Times New Roman" w:hAnsi="Arial" w:cs="Times New Roman"/>
      <w:sz w:val="24"/>
      <w:szCs w:val="24"/>
    </w:rPr>
  </w:style>
  <w:style w:type="paragraph" w:styleId="Footer">
    <w:name w:val="footer"/>
    <w:basedOn w:val="Normal"/>
    <w:link w:val="FooterChar"/>
    <w:uiPriority w:val="99"/>
    <w:unhideWhenUsed/>
    <w:rsid w:val="006E5785"/>
    <w:pPr>
      <w:tabs>
        <w:tab w:val="center" w:pos="4513"/>
        <w:tab w:val="right" w:pos="9026"/>
      </w:tabs>
    </w:pPr>
  </w:style>
  <w:style w:type="character" w:customStyle="1" w:styleId="FooterChar">
    <w:name w:val="Footer Char"/>
    <w:basedOn w:val="DefaultParagraphFont"/>
    <w:link w:val="Footer"/>
    <w:uiPriority w:val="99"/>
    <w:rsid w:val="006E5785"/>
    <w:rPr>
      <w:rFonts w:ascii="Arial" w:eastAsia="Times New Roman" w:hAnsi="Arial" w:cs="Times New Roman"/>
      <w:sz w:val="24"/>
      <w:szCs w:val="24"/>
    </w:rPr>
  </w:style>
  <w:style w:type="character" w:styleId="UnresolvedMention">
    <w:name w:val="Unresolved Mention"/>
    <w:basedOn w:val="DefaultParagraphFont"/>
    <w:uiPriority w:val="99"/>
    <w:unhideWhenUsed/>
    <w:rsid w:val="00B308C2"/>
    <w:rPr>
      <w:color w:val="605E5C"/>
      <w:shd w:val="clear" w:color="auto" w:fill="E1DFDD"/>
    </w:rPr>
  </w:style>
  <w:style w:type="character" w:styleId="CommentReference">
    <w:name w:val="annotation reference"/>
    <w:basedOn w:val="DefaultParagraphFont"/>
    <w:uiPriority w:val="99"/>
    <w:unhideWhenUsed/>
    <w:rsid w:val="000F5ADB"/>
    <w:rPr>
      <w:sz w:val="16"/>
      <w:szCs w:val="16"/>
    </w:rPr>
  </w:style>
  <w:style w:type="paragraph" w:styleId="CommentText">
    <w:name w:val="annotation text"/>
    <w:basedOn w:val="Normal"/>
    <w:link w:val="CommentTextChar"/>
    <w:uiPriority w:val="99"/>
    <w:unhideWhenUsed/>
    <w:rsid w:val="000F5ADB"/>
    <w:rPr>
      <w:sz w:val="20"/>
      <w:szCs w:val="20"/>
    </w:rPr>
  </w:style>
  <w:style w:type="character" w:customStyle="1" w:styleId="CommentTextChar">
    <w:name w:val="Comment Text Char"/>
    <w:basedOn w:val="DefaultParagraphFont"/>
    <w:link w:val="CommentText"/>
    <w:uiPriority w:val="99"/>
    <w:rsid w:val="000F5AD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F5ADB"/>
    <w:rPr>
      <w:b/>
      <w:bCs/>
    </w:rPr>
  </w:style>
  <w:style w:type="character" w:customStyle="1" w:styleId="CommentSubjectChar">
    <w:name w:val="Comment Subject Char"/>
    <w:basedOn w:val="CommentTextChar"/>
    <w:link w:val="CommentSubject"/>
    <w:uiPriority w:val="99"/>
    <w:semiHidden/>
    <w:rsid w:val="000F5ADB"/>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C1525D"/>
    <w:rPr>
      <w:color w:val="954F72" w:themeColor="followedHyperlink"/>
      <w:u w:val="single"/>
    </w:rPr>
  </w:style>
  <w:style w:type="character" w:customStyle="1" w:styleId="normaltextrun">
    <w:name w:val="normaltextrun"/>
    <w:basedOn w:val="DefaultParagraphFont"/>
    <w:uiPriority w:val="1"/>
    <w:rsid w:val="50E70105"/>
  </w:style>
  <w:style w:type="paragraph" w:customStyle="1" w:styleId="Normal1">
    <w:name w:val="Normal1"/>
    <w:basedOn w:val="Normal"/>
    <w:uiPriority w:val="1"/>
    <w:rsid w:val="0D311865"/>
    <w:rPr>
      <w:rFonts w:eastAsia="Arial" w:cs="Arial"/>
      <w:color w:val="000000" w:themeColor="text1"/>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op">
    <w:name w:val="eop"/>
    <w:basedOn w:val="DefaultParagraphFont"/>
    <w:rsid w:val="00641CC6"/>
  </w:style>
  <w:style w:type="paragraph" w:customStyle="1" w:styleId="paragraph">
    <w:name w:val="paragraph"/>
    <w:basedOn w:val="Normal"/>
    <w:rsid w:val="001B6434"/>
    <w:pPr>
      <w:spacing w:before="100" w:beforeAutospacing="1" w:after="100" w:afterAutospacing="1"/>
    </w:pPr>
    <w:rPr>
      <w:rFonts w:ascii="Times New Roman" w:hAnsi="Times New Roman"/>
      <w:lang w:eastAsia="en-GB"/>
    </w:rPr>
  </w:style>
  <w:style w:type="character" w:styleId="Mention">
    <w:name w:val="Mention"/>
    <w:basedOn w:val="DefaultParagraphFont"/>
    <w:uiPriority w:val="99"/>
    <w:unhideWhenUsed/>
    <w:rPr>
      <w:color w:val="2B579A"/>
      <w:shd w:val="clear" w:color="auto" w:fill="E6E6E6"/>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E05228"/>
    <w:pPr>
      <w:spacing w:after="0" w:line="240" w:lineRule="auto"/>
    </w:pPr>
    <w:rPr>
      <w:rFonts w:ascii="Arial" w:eastAsia="Times New Roman" w:hAnsi="Arial" w:cs="Times New Roman"/>
      <w:sz w:val="24"/>
      <w:szCs w:val="24"/>
    </w:rPr>
  </w:style>
  <w:style w:type="character" w:customStyle="1" w:styleId="cf01">
    <w:name w:val="cf01"/>
    <w:basedOn w:val="DefaultParagraphFont"/>
    <w:rsid w:val="00742149"/>
    <w:rPr>
      <w:rFonts w:ascii="Segoe UI" w:hAnsi="Segoe UI" w:cs="Segoe UI" w:hint="default"/>
      <w:sz w:val="18"/>
      <w:szCs w:val="18"/>
    </w:rPr>
  </w:style>
  <w:style w:type="paragraph" w:styleId="FootnoteText">
    <w:name w:val="footnote text"/>
    <w:basedOn w:val="Normal"/>
    <w:link w:val="FootnoteTextChar"/>
    <w:uiPriority w:val="99"/>
    <w:semiHidden/>
    <w:unhideWhenUsed/>
    <w:rsid w:val="00CB581B"/>
    <w:rPr>
      <w:sz w:val="20"/>
      <w:szCs w:val="20"/>
    </w:rPr>
  </w:style>
  <w:style w:type="character" w:customStyle="1" w:styleId="FootnoteTextChar">
    <w:name w:val="Footnote Text Char"/>
    <w:basedOn w:val="DefaultParagraphFont"/>
    <w:link w:val="FootnoteText"/>
    <w:uiPriority w:val="99"/>
    <w:semiHidden/>
    <w:rsid w:val="00CB581B"/>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B581B"/>
    <w:rPr>
      <w:vertAlign w:val="superscript"/>
    </w:rPr>
  </w:style>
  <w:style w:type="paragraph" w:customStyle="1" w:styleId="Default">
    <w:name w:val="Default"/>
    <w:rsid w:val="005017BA"/>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CD2FC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249188">
      <w:bodyDiv w:val="1"/>
      <w:marLeft w:val="0"/>
      <w:marRight w:val="0"/>
      <w:marTop w:val="0"/>
      <w:marBottom w:val="0"/>
      <w:divBdr>
        <w:top w:val="none" w:sz="0" w:space="0" w:color="auto"/>
        <w:left w:val="none" w:sz="0" w:space="0" w:color="auto"/>
        <w:bottom w:val="none" w:sz="0" w:space="0" w:color="auto"/>
        <w:right w:val="none" w:sz="0" w:space="0" w:color="auto"/>
      </w:divBdr>
    </w:div>
    <w:div w:id="718170730">
      <w:bodyDiv w:val="1"/>
      <w:marLeft w:val="0"/>
      <w:marRight w:val="0"/>
      <w:marTop w:val="0"/>
      <w:marBottom w:val="0"/>
      <w:divBdr>
        <w:top w:val="none" w:sz="0" w:space="0" w:color="auto"/>
        <w:left w:val="none" w:sz="0" w:space="0" w:color="auto"/>
        <w:bottom w:val="none" w:sz="0" w:space="0" w:color="auto"/>
        <w:right w:val="none" w:sz="0" w:space="0" w:color="auto"/>
      </w:divBdr>
      <w:divsChild>
        <w:div w:id="2363440">
          <w:marLeft w:val="0"/>
          <w:marRight w:val="0"/>
          <w:marTop w:val="0"/>
          <w:marBottom w:val="0"/>
          <w:divBdr>
            <w:top w:val="none" w:sz="0" w:space="0" w:color="auto"/>
            <w:left w:val="none" w:sz="0" w:space="0" w:color="auto"/>
            <w:bottom w:val="none" w:sz="0" w:space="0" w:color="auto"/>
            <w:right w:val="none" w:sz="0" w:space="0" w:color="auto"/>
          </w:divBdr>
          <w:divsChild>
            <w:div w:id="894126675">
              <w:marLeft w:val="0"/>
              <w:marRight w:val="0"/>
              <w:marTop w:val="0"/>
              <w:marBottom w:val="0"/>
              <w:divBdr>
                <w:top w:val="none" w:sz="0" w:space="0" w:color="auto"/>
                <w:left w:val="none" w:sz="0" w:space="0" w:color="auto"/>
                <w:bottom w:val="none" w:sz="0" w:space="0" w:color="auto"/>
                <w:right w:val="none" w:sz="0" w:space="0" w:color="auto"/>
              </w:divBdr>
            </w:div>
          </w:divsChild>
        </w:div>
        <w:div w:id="316610133">
          <w:marLeft w:val="0"/>
          <w:marRight w:val="0"/>
          <w:marTop w:val="0"/>
          <w:marBottom w:val="0"/>
          <w:divBdr>
            <w:top w:val="none" w:sz="0" w:space="0" w:color="auto"/>
            <w:left w:val="none" w:sz="0" w:space="0" w:color="auto"/>
            <w:bottom w:val="none" w:sz="0" w:space="0" w:color="auto"/>
            <w:right w:val="none" w:sz="0" w:space="0" w:color="auto"/>
          </w:divBdr>
          <w:divsChild>
            <w:div w:id="346643940">
              <w:marLeft w:val="0"/>
              <w:marRight w:val="0"/>
              <w:marTop w:val="0"/>
              <w:marBottom w:val="0"/>
              <w:divBdr>
                <w:top w:val="none" w:sz="0" w:space="0" w:color="auto"/>
                <w:left w:val="none" w:sz="0" w:space="0" w:color="auto"/>
                <w:bottom w:val="none" w:sz="0" w:space="0" w:color="auto"/>
                <w:right w:val="none" w:sz="0" w:space="0" w:color="auto"/>
              </w:divBdr>
            </w:div>
          </w:divsChild>
        </w:div>
        <w:div w:id="351231015">
          <w:marLeft w:val="0"/>
          <w:marRight w:val="0"/>
          <w:marTop w:val="0"/>
          <w:marBottom w:val="0"/>
          <w:divBdr>
            <w:top w:val="none" w:sz="0" w:space="0" w:color="auto"/>
            <w:left w:val="none" w:sz="0" w:space="0" w:color="auto"/>
            <w:bottom w:val="none" w:sz="0" w:space="0" w:color="auto"/>
            <w:right w:val="none" w:sz="0" w:space="0" w:color="auto"/>
          </w:divBdr>
          <w:divsChild>
            <w:div w:id="951666503">
              <w:marLeft w:val="0"/>
              <w:marRight w:val="0"/>
              <w:marTop w:val="0"/>
              <w:marBottom w:val="0"/>
              <w:divBdr>
                <w:top w:val="none" w:sz="0" w:space="0" w:color="auto"/>
                <w:left w:val="none" w:sz="0" w:space="0" w:color="auto"/>
                <w:bottom w:val="none" w:sz="0" w:space="0" w:color="auto"/>
                <w:right w:val="none" w:sz="0" w:space="0" w:color="auto"/>
              </w:divBdr>
            </w:div>
          </w:divsChild>
        </w:div>
        <w:div w:id="377358473">
          <w:marLeft w:val="0"/>
          <w:marRight w:val="0"/>
          <w:marTop w:val="0"/>
          <w:marBottom w:val="0"/>
          <w:divBdr>
            <w:top w:val="none" w:sz="0" w:space="0" w:color="auto"/>
            <w:left w:val="none" w:sz="0" w:space="0" w:color="auto"/>
            <w:bottom w:val="none" w:sz="0" w:space="0" w:color="auto"/>
            <w:right w:val="none" w:sz="0" w:space="0" w:color="auto"/>
          </w:divBdr>
          <w:divsChild>
            <w:div w:id="1631134119">
              <w:marLeft w:val="0"/>
              <w:marRight w:val="0"/>
              <w:marTop w:val="0"/>
              <w:marBottom w:val="0"/>
              <w:divBdr>
                <w:top w:val="none" w:sz="0" w:space="0" w:color="auto"/>
                <w:left w:val="none" w:sz="0" w:space="0" w:color="auto"/>
                <w:bottom w:val="none" w:sz="0" w:space="0" w:color="auto"/>
                <w:right w:val="none" w:sz="0" w:space="0" w:color="auto"/>
              </w:divBdr>
            </w:div>
          </w:divsChild>
        </w:div>
        <w:div w:id="530067457">
          <w:marLeft w:val="0"/>
          <w:marRight w:val="0"/>
          <w:marTop w:val="0"/>
          <w:marBottom w:val="0"/>
          <w:divBdr>
            <w:top w:val="none" w:sz="0" w:space="0" w:color="auto"/>
            <w:left w:val="none" w:sz="0" w:space="0" w:color="auto"/>
            <w:bottom w:val="none" w:sz="0" w:space="0" w:color="auto"/>
            <w:right w:val="none" w:sz="0" w:space="0" w:color="auto"/>
          </w:divBdr>
          <w:divsChild>
            <w:div w:id="530071701">
              <w:marLeft w:val="0"/>
              <w:marRight w:val="0"/>
              <w:marTop w:val="0"/>
              <w:marBottom w:val="0"/>
              <w:divBdr>
                <w:top w:val="none" w:sz="0" w:space="0" w:color="auto"/>
                <w:left w:val="none" w:sz="0" w:space="0" w:color="auto"/>
                <w:bottom w:val="none" w:sz="0" w:space="0" w:color="auto"/>
                <w:right w:val="none" w:sz="0" w:space="0" w:color="auto"/>
              </w:divBdr>
            </w:div>
          </w:divsChild>
        </w:div>
        <w:div w:id="573123524">
          <w:marLeft w:val="0"/>
          <w:marRight w:val="0"/>
          <w:marTop w:val="0"/>
          <w:marBottom w:val="0"/>
          <w:divBdr>
            <w:top w:val="none" w:sz="0" w:space="0" w:color="auto"/>
            <w:left w:val="none" w:sz="0" w:space="0" w:color="auto"/>
            <w:bottom w:val="none" w:sz="0" w:space="0" w:color="auto"/>
            <w:right w:val="none" w:sz="0" w:space="0" w:color="auto"/>
          </w:divBdr>
          <w:divsChild>
            <w:div w:id="488400303">
              <w:marLeft w:val="0"/>
              <w:marRight w:val="0"/>
              <w:marTop w:val="0"/>
              <w:marBottom w:val="0"/>
              <w:divBdr>
                <w:top w:val="none" w:sz="0" w:space="0" w:color="auto"/>
                <w:left w:val="none" w:sz="0" w:space="0" w:color="auto"/>
                <w:bottom w:val="none" w:sz="0" w:space="0" w:color="auto"/>
                <w:right w:val="none" w:sz="0" w:space="0" w:color="auto"/>
              </w:divBdr>
            </w:div>
          </w:divsChild>
        </w:div>
        <w:div w:id="616645052">
          <w:marLeft w:val="0"/>
          <w:marRight w:val="0"/>
          <w:marTop w:val="0"/>
          <w:marBottom w:val="0"/>
          <w:divBdr>
            <w:top w:val="none" w:sz="0" w:space="0" w:color="auto"/>
            <w:left w:val="none" w:sz="0" w:space="0" w:color="auto"/>
            <w:bottom w:val="none" w:sz="0" w:space="0" w:color="auto"/>
            <w:right w:val="none" w:sz="0" w:space="0" w:color="auto"/>
          </w:divBdr>
          <w:divsChild>
            <w:div w:id="1523779625">
              <w:marLeft w:val="0"/>
              <w:marRight w:val="0"/>
              <w:marTop w:val="0"/>
              <w:marBottom w:val="0"/>
              <w:divBdr>
                <w:top w:val="none" w:sz="0" w:space="0" w:color="auto"/>
                <w:left w:val="none" w:sz="0" w:space="0" w:color="auto"/>
                <w:bottom w:val="none" w:sz="0" w:space="0" w:color="auto"/>
                <w:right w:val="none" w:sz="0" w:space="0" w:color="auto"/>
              </w:divBdr>
            </w:div>
          </w:divsChild>
        </w:div>
        <w:div w:id="791483946">
          <w:marLeft w:val="0"/>
          <w:marRight w:val="0"/>
          <w:marTop w:val="0"/>
          <w:marBottom w:val="0"/>
          <w:divBdr>
            <w:top w:val="none" w:sz="0" w:space="0" w:color="auto"/>
            <w:left w:val="none" w:sz="0" w:space="0" w:color="auto"/>
            <w:bottom w:val="none" w:sz="0" w:space="0" w:color="auto"/>
            <w:right w:val="none" w:sz="0" w:space="0" w:color="auto"/>
          </w:divBdr>
          <w:divsChild>
            <w:div w:id="487669602">
              <w:marLeft w:val="0"/>
              <w:marRight w:val="0"/>
              <w:marTop w:val="0"/>
              <w:marBottom w:val="0"/>
              <w:divBdr>
                <w:top w:val="none" w:sz="0" w:space="0" w:color="auto"/>
                <w:left w:val="none" w:sz="0" w:space="0" w:color="auto"/>
                <w:bottom w:val="none" w:sz="0" w:space="0" w:color="auto"/>
                <w:right w:val="none" w:sz="0" w:space="0" w:color="auto"/>
              </w:divBdr>
            </w:div>
          </w:divsChild>
        </w:div>
        <w:div w:id="967011546">
          <w:marLeft w:val="0"/>
          <w:marRight w:val="0"/>
          <w:marTop w:val="0"/>
          <w:marBottom w:val="0"/>
          <w:divBdr>
            <w:top w:val="none" w:sz="0" w:space="0" w:color="auto"/>
            <w:left w:val="none" w:sz="0" w:space="0" w:color="auto"/>
            <w:bottom w:val="none" w:sz="0" w:space="0" w:color="auto"/>
            <w:right w:val="none" w:sz="0" w:space="0" w:color="auto"/>
          </w:divBdr>
          <w:divsChild>
            <w:div w:id="634724399">
              <w:marLeft w:val="0"/>
              <w:marRight w:val="0"/>
              <w:marTop w:val="0"/>
              <w:marBottom w:val="0"/>
              <w:divBdr>
                <w:top w:val="none" w:sz="0" w:space="0" w:color="auto"/>
                <w:left w:val="none" w:sz="0" w:space="0" w:color="auto"/>
                <w:bottom w:val="none" w:sz="0" w:space="0" w:color="auto"/>
                <w:right w:val="none" w:sz="0" w:space="0" w:color="auto"/>
              </w:divBdr>
            </w:div>
          </w:divsChild>
        </w:div>
        <w:div w:id="1005939139">
          <w:marLeft w:val="0"/>
          <w:marRight w:val="0"/>
          <w:marTop w:val="0"/>
          <w:marBottom w:val="0"/>
          <w:divBdr>
            <w:top w:val="none" w:sz="0" w:space="0" w:color="auto"/>
            <w:left w:val="none" w:sz="0" w:space="0" w:color="auto"/>
            <w:bottom w:val="none" w:sz="0" w:space="0" w:color="auto"/>
            <w:right w:val="none" w:sz="0" w:space="0" w:color="auto"/>
          </w:divBdr>
          <w:divsChild>
            <w:div w:id="24140688">
              <w:marLeft w:val="0"/>
              <w:marRight w:val="0"/>
              <w:marTop w:val="0"/>
              <w:marBottom w:val="0"/>
              <w:divBdr>
                <w:top w:val="none" w:sz="0" w:space="0" w:color="auto"/>
                <w:left w:val="none" w:sz="0" w:space="0" w:color="auto"/>
                <w:bottom w:val="none" w:sz="0" w:space="0" w:color="auto"/>
                <w:right w:val="none" w:sz="0" w:space="0" w:color="auto"/>
              </w:divBdr>
            </w:div>
          </w:divsChild>
        </w:div>
        <w:div w:id="1029069267">
          <w:marLeft w:val="0"/>
          <w:marRight w:val="0"/>
          <w:marTop w:val="0"/>
          <w:marBottom w:val="0"/>
          <w:divBdr>
            <w:top w:val="none" w:sz="0" w:space="0" w:color="auto"/>
            <w:left w:val="none" w:sz="0" w:space="0" w:color="auto"/>
            <w:bottom w:val="none" w:sz="0" w:space="0" w:color="auto"/>
            <w:right w:val="none" w:sz="0" w:space="0" w:color="auto"/>
          </w:divBdr>
          <w:divsChild>
            <w:div w:id="1854493783">
              <w:marLeft w:val="0"/>
              <w:marRight w:val="0"/>
              <w:marTop w:val="0"/>
              <w:marBottom w:val="0"/>
              <w:divBdr>
                <w:top w:val="none" w:sz="0" w:space="0" w:color="auto"/>
                <w:left w:val="none" w:sz="0" w:space="0" w:color="auto"/>
                <w:bottom w:val="none" w:sz="0" w:space="0" w:color="auto"/>
                <w:right w:val="none" w:sz="0" w:space="0" w:color="auto"/>
              </w:divBdr>
            </w:div>
          </w:divsChild>
        </w:div>
        <w:div w:id="1293630402">
          <w:marLeft w:val="0"/>
          <w:marRight w:val="0"/>
          <w:marTop w:val="0"/>
          <w:marBottom w:val="0"/>
          <w:divBdr>
            <w:top w:val="none" w:sz="0" w:space="0" w:color="auto"/>
            <w:left w:val="none" w:sz="0" w:space="0" w:color="auto"/>
            <w:bottom w:val="none" w:sz="0" w:space="0" w:color="auto"/>
            <w:right w:val="none" w:sz="0" w:space="0" w:color="auto"/>
          </w:divBdr>
          <w:divsChild>
            <w:div w:id="147330465">
              <w:marLeft w:val="0"/>
              <w:marRight w:val="0"/>
              <w:marTop w:val="0"/>
              <w:marBottom w:val="0"/>
              <w:divBdr>
                <w:top w:val="none" w:sz="0" w:space="0" w:color="auto"/>
                <w:left w:val="none" w:sz="0" w:space="0" w:color="auto"/>
                <w:bottom w:val="none" w:sz="0" w:space="0" w:color="auto"/>
                <w:right w:val="none" w:sz="0" w:space="0" w:color="auto"/>
              </w:divBdr>
            </w:div>
          </w:divsChild>
        </w:div>
        <w:div w:id="1353845241">
          <w:marLeft w:val="0"/>
          <w:marRight w:val="0"/>
          <w:marTop w:val="0"/>
          <w:marBottom w:val="0"/>
          <w:divBdr>
            <w:top w:val="none" w:sz="0" w:space="0" w:color="auto"/>
            <w:left w:val="none" w:sz="0" w:space="0" w:color="auto"/>
            <w:bottom w:val="none" w:sz="0" w:space="0" w:color="auto"/>
            <w:right w:val="none" w:sz="0" w:space="0" w:color="auto"/>
          </w:divBdr>
          <w:divsChild>
            <w:div w:id="517082612">
              <w:marLeft w:val="0"/>
              <w:marRight w:val="0"/>
              <w:marTop w:val="0"/>
              <w:marBottom w:val="0"/>
              <w:divBdr>
                <w:top w:val="none" w:sz="0" w:space="0" w:color="auto"/>
                <w:left w:val="none" w:sz="0" w:space="0" w:color="auto"/>
                <w:bottom w:val="none" w:sz="0" w:space="0" w:color="auto"/>
                <w:right w:val="none" w:sz="0" w:space="0" w:color="auto"/>
              </w:divBdr>
            </w:div>
          </w:divsChild>
        </w:div>
        <w:div w:id="1551578288">
          <w:marLeft w:val="0"/>
          <w:marRight w:val="0"/>
          <w:marTop w:val="0"/>
          <w:marBottom w:val="0"/>
          <w:divBdr>
            <w:top w:val="none" w:sz="0" w:space="0" w:color="auto"/>
            <w:left w:val="none" w:sz="0" w:space="0" w:color="auto"/>
            <w:bottom w:val="none" w:sz="0" w:space="0" w:color="auto"/>
            <w:right w:val="none" w:sz="0" w:space="0" w:color="auto"/>
          </w:divBdr>
          <w:divsChild>
            <w:div w:id="2130852790">
              <w:marLeft w:val="0"/>
              <w:marRight w:val="0"/>
              <w:marTop w:val="0"/>
              <w:marBottom w:val="0"/>
              <w:divBdr>
                <w:top w:val="none" w:sz="0" w:space="0" w:color="auto"/>
                <w:left w:val="none" w:sz="0" w:space="0" w:color="auto"/>
                <w:bottom w:val="none" w:sz="0" w:space="0" w:color="auto"/>
                <w:right w:val="none" w:sz="0" w:space="0" w:color="auto"/>
              </w:divBdr>
            </w:div>
          </w:divsChild>
        </w:div>
        <w:div w:id="1962958543">
          <w:marLeft w:val="0"/>
          <w:marRight w:val="0"/>
          <w:marTop w:val="0"/>
          <w:marBottom w:val="0"/>
          <w:divBdr>
            <w:top w:val="none" w:sz="0" w:space="0" w:color="auto"/>
            <w:left w:val="none" w:sz="0" w:space="0" w:color="auto"/>
            <w:bottom w:val="none" w:sz="0" w:space="0" w:color="auto"/>
            <w:right w:val="none" w:sz="0" w:space="0" w:color="auto"/>
          </w:divBdr>
          <w:divsChild>
            <w:div w:id="1503082339">
              <w:marLeft w:val="0"/>
              <w:marRight w:val="0"/>
              <w:marTop w:val="0"/>
              <w:marBottom w:val="0"/>
              <w:divBdr>
                <w:top w:val="none" w:sz="0" w:space="0" w:color="auto"/>
                <w:left w:val="none" w:sz="0" w:space="0" w:color="auto"/>
                <w:bottom w:val="none" w:sz="0" w:space="0" w:color="auto"/>
                <w:right w:val="none" w:sz="0" w:space="0" w:color="auto"/>
              </w:divBdr>
            </w:div>
            <w:div w:id="1739935025">
              <w:marLeft w:val="0"/>
              <w:marRight w:val="0"/>
              <w:marTop w:val="0"/>
              <w:marBottom w:val="0"/>
              <w:divBdr>
                <w:top w:val="none" w:sz="0" w:space="0" w:color="auto"/>
                <w:left w:val="none" w:sz="0" w:space="0" w:color="auto"/>
                <w:bottom w:val="none" w:sz="0" w:space="0" w:color="auto"/>
                <w:right w:val="none" w:sz="0" w:space="0" w:color="auto"/>
              </w:divBdr>
            </w:div>
          </w:divsChild>
        </w:div>
        <w:div w:id="2051034630">
          <w:marLeft w:val="0"/>
          <w:marRight w:val="0"/>
          <w:marTop w:val="0"/>
          <w:marBottom w:val="0"/>
          <w:divBdr>
            <w:top w:val="none" w:sz="0" w:space="0" w:color="auto"/>
            <w:left w:val="none" w:sz="0" w:space="0" w:color="auto"/>
            <w:bottom w:val="none" w:sz="0" w:space="0" w:color="auto"/>
            <w:right w:val="none" w:sz="0" w:space="0" w:color="auto"/>
          </w:divBdr>
          <w:divsChild>
            <w:div w:id="15299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1019">
      <w:bodyDiv w:val="1"/>
      <w:marLeft w:val="0"/>
      <w:marRight w:val="0"/>
      <w:marTop w:val="0"/>
      <w:marBottom w:val="0"/>
      <w:divBdr>
        <w:top w:val="none" w:sz="0" w:space="0" w:color="auto"/>
        <w:left w:val="none" w:sz="0" w:space="0" w:color="auto"/>
        <w:bottom w:val="none" w:sz="0" w:space="0" w:color="auto"/>
        <w:right w:val="none" w:sz="0" w:space="0" w:color="auto"/>
      </w:divBdr>
    </w:div>
    <w:div w:id="1425146945">
      <w:bodyDiv w:val="1"/>
      <w:marLeft w:val="0"/>
      <w:marRight w:val="0"/>
      <w:marTop w:val="0"/>
      <w:marBottom w:val="0"/>
      <w:divBdr>
        <w:top w:val="none" w:sz="0" w:space="0" w:color="auto"/>
        <w:left w:val="none" w:sz="0" w:space="0" w:color="auto"/>
        <w:bottom w:val="none" w:sz="0" w:space="0" w:color="auto"/>
        <w:right w:val="none" w:sz="0" w:space="0" w:color="auto"/>
      </w:divBdr>
    </w:div>
    <w:div w:id="1604873946">
      <w:bodyDiv w:val="1"/>
      <w:marLeft w:val="0"/>
      <w:marRight w:val="0"/>
      <w:marTop w:val="0"/>
      <w:marBottom w:val="0"/>
      <w:divBdr>
        <w:top w:val="none" w:sz="0" w:space="0" w:color="auto"/>
        <w:left w:val="none" w:sz="0" w:space="0" w:color="auto"/>
        <w:bottom w:val="none" w:sz="0" w:space="0" w:color="auto"/>
        <w:right w:val="none" w:sz="0" w:space="0" w:color="auto"/>
      </w:divBdr>
    </w:div>
    <w:div w:id="1700741916">
      <w:bodyDiv w:val="1"/>
      <w:marLeft w:val="0"/>
      <w:marRight w:val="0"/>
      <w:marTop w:val="0"/>
      <w:marBottom w:val="0"/>
      <w:divBdr>
        <w:top w:val="none" w:sz="0" w:space="0" w:color="auto"/>
        <w:left w:val="none" w:sz="0" w:space="0" w:color="auto"/>
        <w:bottom w:val="none" w:sz="0" w:space="0" w:color="auto"/>
        <w:right w:val="none" w:sz="0" w:space="0" w:color="auto"/>
      </w:divBdr>
    </w:div>
    <w:div w:id="1789468215">
      <w:bodyDiv w:val="1"/>
      <w:marLeft w:val="0"/>
      <w:marRight w:val="0"/>
      <w:marTop w:val="0"/>
      <w:marBottom w:val="0"/>
      <w:divBdr>
        <w:top w:val="none" w:sz="0" w:space="0" w:color="auto"/>
        <w:left w:val="none" w:sz="0" w:space="0" w:color="auto"/>
        <w:bottom w:val="none" w:sz="0" w:space="0" w:color="auto"/>
        <w:right w:val="none" w:sz="0" w:space="0" w:color="auto"/>
      </w:divBdr>
    </w:div>
    <w:div w:id="1844469840">
      <w:bodyDiv w:val="1"/>
      <w:marLeft w:val="0"/>
      <w:marRight w:val="0"/>
      <w:marTop w:val="0"/>
      <w:marBottom w:val="0"/>
      <w:divBdr>
        <w:top w:val="none" w:sz="0" w:space="0" w:color="auto"/>
        <w:left w:val="none" w:sz="0" w:space="0" w:color="auto"/>
        <w:bottom w:val="none" w:sz="0" w:space="0" w:color="auto"/>
        <w:right w:val="none" w:sz="0" w:space="0" w:color="auto"/>
      </w:divBdr>
    </w:div>
    <w:div w:id="21027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obusiness.fund/fileadmin/user_upload/impact/Theory_of_Change/EBF_Theory_of_change_2019.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luemark.co/" TargetMode="External"/><Relationship Id="rId7" Type="http://schemas.openxmlformats.org/officeDocument/2006/relationships/styles" Target="styles.xml"/><Relationship Id="rId12" Type="http://schemas.openxmlformats.org/officeDocument/2006/relationships/hyperlink" Target="https://www.impactprinciple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obusiness.fund/fileadmin/user_upload/Publications/english/EBF_Impact_Report_2023_ENG_web_final.pdf" TargetMode="External"/><Relationship Id="rId20" Type="http://schemas.openxmlformats.org/officeDocument/2006/relationships/hyperlink" Target="https://www.2xgloba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mpactfrontiers.org/norms/five-dimensions-of-impa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obusiness.fund/fileadmin/user_upload/impact/the_pathway_to_impact/ecobusiness_Fund_Impact_Framework_Growing_Impact_2019.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11</Value>
      <Value>10</Value>
      <Value>8</Value>
      <Value>7</Value>
    </TaxCatchAll>
    <lcf76f155ced4ddcb4097134ff3c332f xmlns="cd3c523b-aa8f-4804-a23e-31cb3efad401">
      <Terms xmlns="http://schemas.microsoft.com/office/infopath/2007/PartnerControls"/>
    </lcf76f155ced4ddcb4097134ff3c332f>
    <MediaLengthInSeconds xmlns="cd3c523b-aa8f-4804-a23e-31cb3efad401" xsi:nil="true"/>
    <SharedWithUsers xmlns="c2a29bdd-637a-4f4b-b2b1-1338f72c8a40">
      <UserInfo>
        <DisplayName>Haque, Masroora</DisplayName>
        <AccountId>269</AccountId>
        <AccountType/>
      </UserInfo>
      <UserInfo>
        <DisplayName>Hill, David</DisplayName>
        <AccountId>191</AccountId>
        <AccountType/>
      </UserInfo>
      <UserInfo>
        <DisplayName>SharingLinks.abbf56e0-c160-4f03-a2ee-d71ae6bee4ed.Flexible.d75516a3-51b7-4598-b8a2-2ced27b92df3</DisplayName>
        <AccountId>300</AccountId>
        <AccountType/>
      </UserInfo>
      <UserInfo>
        <DisplayName>Kara, Zilan</DisplayName>
        <AccountId>914</AccountId>
        <AccountType/>
      </UserInfo>
      <UserInfo>
        <DisplayName>Donnelly, Emma</DisplayName>
        <AccountId>84</AccountId>
        <AccountType/>
      </UserInfo>
      <UserInfo>
        <DisplayName>Bolhoven, Caroline</DisplayName>
        <AccountId>3164</AccountId>
        <AccountType/>
      </UserInfo>
      <UserInfo>
        <DisplayName>Sales-Dupont, Jake</DisplayName>
        <AccountId>913</AccountId>
        <AccountType/>
      </UserInfo>
      <UserInfo>
        <DisplayName>Robinson, Emily</DisplayName>
        <AccountId>588</AccountId>
        <AccountType/>
      </UserInfo>
      <UserInfo>
        <DisplayName>Norman, William</DisplayName>
        <AccountId>1185</AccountId>
        <AccountType/>
      </UserInfo>
      <UserInfo>
        <DisplayName>Leach, Siriol</DisplayName>
        <AccountId>75</AccountId>
        <AccountType/>
      </UserInfo>
    </SharedWithUsers>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Integrating Nature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International Nature Climate and Development Division INCD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F88C51DAF897B458237A9C1200953D8" ma:contentTypeVersion="30" ma:contentTypeDescription="Create a new document." ma:contentTypeScope="" ma:versionID="50c1c1a1daca5ab00a12f6757066cee5">
  <xsd:schema xmlns:xsd="http://www.w3.org/2001/XMLSchema" xmlns:xs="http://www.w3.org/2001/XMLSchema" xmlns:p="http://schemas.microsoft.com/office/2006/metadata/properties" xmlns:ns1="http://schemas.microsoft.com/sharepoint/v3" xmlns:ns2="662745e8-e224-48e8-a2e3-254862b8c2f5" xmlns:ns3="cd3c523b-aa8f-4804-a23e-31cb3efad401" xmlns:ns4="c2a29bdd-637a-4f4b-b2b1-1338f72c8a40" targetNamespace="http://schemas.microsoft.com/office/2006/metadata/properties" ma:root="true" ma:fieldsID="db5237fb2b8f3858ce47aae7ad360044" ns1:_="" ns2:_="" ns3:_="" ns4:_="">
    <xsd:import namespace="http://schemas.microsoft.com/sharepoint/v3"/>
    <xsd:import namespace="662745e8-e224-48e8-a2e3-254862b8c2f5"/>
    <xsd:import namespace="cd3c523b-aa8f-4804-a23e-31cb3efad401"/>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OCR"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4dc0afb-fb50-45c9-b93d-3cf984feeaef}"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dc0afb-fb50-45c9-b93d-3cf984feeaef}"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International Nature Climate and Development Division INCD" ma:internalName="Team" ma:readOnly="false">
      <xsd:simpleType>
        <xsd:restriction base="dms:Text"/>
      </xsd:simpleType>
    </xsd:element>
    <xsd:element name="Topic" ma:index="20" nillable="true" ma:displayName="Topic" ma:default="Integrating Nature Document Librar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3c523b-aa8f-4804-a23e-31cb3efad401" elementFormDefault="qualified">
    <xsd:import namespace="http://schemas.microsoft.com/office/2006/documentManagement/types"/>
    <xsd:import namespace="http://schemas.microsoft.com/office/infopath/2007/PartnerControls"/>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9C371-736D-473C-88F6-3A7732D0D387}">
  <ds:schemaRefs>
    <ds:schemaRef ds:uri="Microsoft.SharePoint.Taxonomy.ContentTypeSync"/>
  </ds:schemaRefs>
</ds:datastoreItem>
</file>

<file path=customXml/itemProps2.xml><?xml version="1.0" encoding="utf-8"?>
<ds:datastoreItem xmlns:ds="http://schemas.openxmlformats.org/officeDocument/2006/customXml" ds:itemID="{CA9E4CF3-84AA-4B72-84CD-D888B2E21F4E}">
  <ds:schemaRefs>
    <ds:schemaRef ds:uri="http://schemas.microsoft.com/office/2006/metadata/properties"/>
    <ds:schemaRef ds:uri="http://schemas.microsoft.com/office/infopath/2007/PartnerControls"/>
    <ds:schemaRef ds:uri="662745e8-e224-48e8-a2e3-254862b8c2f5"/>
    <ds:schemaRef ds:uri="cd3c523b-aa8f-4804-a23e-31cb3efad401"/>
    <ds:schemaRef ds:uri="c2a29bdd-637a-4f4b-b2b1-1338f72c8a40"/>
    <ds:schemaRef ds:uri="http://schemas.microsoft.com/sharepoint/v3"/>
  </ds:schemaRefs>
</ds:datastoreItem>
</file>

<file path=customXml/itemProps3.xml><?xml version="1.0" encoding="utf-8"?>
<ds:datastoreItem xmlns:ds="http://schemas.openxmlformats.org/officeDocument/2006/customXml" ds:itemID="{D6615853-02D1-41B9-991D-B9E04ACE0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cd3c523b-aa8f-4804-a23e-31cb3efad401"/>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436A1-A674-417F-A714-4D0DA381B915}">
  <ds:schemaRefs>
    <ds:schemaRef ds:uri="http://schemas.openxmlformats.org/officeDocument/2006/bibliography"/>
  </ds:schemaRefs>
</ds:datastoreItem>
</file>

<file path=customXml/itemProps5.xml><?xml version="1.0" encoding="utf-8"?>
<ds:datastoreItem xmlns:ds="http://schemas.openxmlformats.org/officeDocument/2006/customXml" ds:itemID="{D6C31793-AE3E-4B42-9F05-5A619E9D4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9143</Words>
  <Characters>52120</Characters>
  <Application>Microsoft Office Word</Application>
  <DocSecurity>0</DocSecurity>
  <Lines>434</Lines>
  <Paragraphs>122</Paragraphs>
  <ScaleCrop>false</ScaleCrop>
  <Company/>
  <LinksUpToDate>false</LinksUpToDate>
  <CharactersWithSpaces>61141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Template</dc:title>
  <dc:subject>Annual Review Template</dc:subject>
  <dc:creator>William Norman</dc:creator>
  <cp:keywords/>
  <dc:description>from April 2020</dc:description>
  <cp:lastModifiedBy>Norman, William</cp:lastModifiedBy>
  <cp:revision>69</cp:revision>
  <dcterms:created xsi:type="dcterms:W3CDTF">2024-12-16T10:43:00Z</dcterms:created>
  <dcterms:modified xsi:type="dcterms:W3CDTF">2024-12-20T10:34:00Z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c996da-17fa-4fc5-8989-2758fb4cf86b_Enabled">
    <vt:lpwstr>true</vt:lpwstr>
  </property>
  <property fmtid="{D5CDD505-2E9C-101B-9397-08002B2CF9AE}" pid="3" name="MSIP_Label_e4c996da-17fa-4fc5-8989-2758fb4cf86b_SetDate">
    <vt:lpwstr>2020-03-30T16:49:07Z</vt:lpwstr>
  </property>
  <property fmtid="{D5CDD505-2E9C-101B-9397-08002B2CF9AE}" pid="4" name="MSIP_Label_e4c996da-17fa-4fc5-8989-2758fb4cf86b_Method">
    <vt:lpwstr>Privileged</vt:lpwstr>
  </property>
  <property fmtid="{D5CDD505-2E9C-101B-9397-08002B2CF9AE}" pid="5" name="MSIP_Label_e4c996da-17fa-4fc5-8989-2758fb4cf86b_Name">
    <vt:lpwstr>OFFICIAL</vt:lpwstr>
  </property>
  <property fmtid="{D5CDD505-2E9C-101B-9397-08002B2CF9AE}" pid="6" name="MSIP_Label_e4c996da-17fa-4fc5-8989-2758fb4cf86b_SiteId">
    <vt:lpwstr>cdf709af-1a18-4c74-bd93-6d14a64d73b3</vt:lpwstr>
  </property>
  <property fmtid="{D5CDD505-2E9C-101B-9397-08002B2CF9AE}" pid="7" name="MSIP_Label_e4c996da-17fa-4fc5-8989-2758fb4cf86b_ActionId">
    <vt:lpwstr>919708a4-416e-499e-8edc-0000a189eb48</vt:lpwstr>
  </property>
  <property fmtid="{D5CDD505-2E9C-101B-9397-08002B2CF9AE}" pid="8" name="MSIP_Label_e4c996da-17fa-4fc5-8989-2758fb4cf86b_ContentBits">
    <vt:lpwstr>1</vt:lpwstr>
  </property>
  <property fmtid="{D5CDD505-2E9C-101B-9397-08002B2CF9AE}" pid="9" name="Business Document Type">
    <vt:lpwstr>Annual review</vt:lpwstr>
  </property>
  <property fmtid="{D5CDD505-2E9C-101B-9397-08002B2CF9AE}" pid="10" name="InformationType">
    <vt:lpwstr/>
  </property>
  <property fmtid="{D5CDD505-2E9C-101B-9397-08002B2CF9AE}" pid="11" name="Distribution">
    <vt:lpwstr>11;#Internal Defra Group|0867f7b3-e76e-40ca-bb1f-5ba341a49230</vt:lpwstr>
  </property>
  <property fmtid="{D5CDD505-2E9C-101B-9397-08002B2CF9AE}" pid="12" name="MediaServiceImageTags">
    <vt:lpwstr/>
  </property>
  <property fmtid="{D5CDD505-2E9C-101B-9397-08002B2CF9AE}" pid="13" name="SecurityClassification">
    <vt:lpwstr/>
  </property>
  <property fmtid="{D5CDD505-2E9C-101B-9397-08002B2CF9AE}" pid="14" name="HOCopyrightLevel">
    <vt:lpwstr>7;#Crown|69589897-2828-4761-976e-717fd8e631c9</vt:lpwstr>
  </property>
  <property fmtid="{D5CDD505-2E9C-101B-9397-08002B2CF9AE}" pid="15" name="HOGovernmentSecurityClassification">
    <vt:lpwstr>6;#Official|14c80daa-741b-422c-9722-f71693c9ede4</vt:lpwstr>
  </property>
  <property fmtid="{D5CDD505-2E9C-101B-9397-08002B2CF9AE}" pid="16" name="HOSiteType">
    <vt:lpwstr>10;#Team|ff0485df-0575-416f-802f-e999165821b7</vt:lpwstr>
  </property>
  <property fmtid="{D5CDD505-2E9C-101B-9397-08002B2CF9AE}" pid="17" name="OrganisationalUnit">
    <vt:lpwstr>8;#Core Defra|026223dd-2e56-4615-868d-7c5bfd566810</vt:lpwstr>
  </property>
  <property fmtid="{D5CDD505-2E9C-101B-9397-08002B2CF9AE}" pid="18" name="Directorate">
    <vt:lpwstr/>
  </property>
  <property fmtid="{D5CDD505-2E9C-101B-9397-08002B2CF9AE}" pid="19" name="lcf76f155ced4ddcb4097134ff3c332f">
    <vt:lpwstr/>
  </property>
  <property fmtid="{D5CDD505-2E9C-101B-9397-08002B2CF9AE}" pid="20" name="HOFrom">
    <vt:lpwstr/>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vti_imgdate">
    <vt:lpwstr/>
  </property>
  <property fmtid="{D5CDD505-2E9C-101B-9397-08002B2CF9AE}" pid="26" name="xd_Signature">
    <vt:bool>false</vt:bool>
  </property>
  <property fmtid="{D5CDD505-2E9C-101B-9397-08002B2CF9AE}" pid="27" name="HOSubject">
    <vt:lpwstr/>
  </property>
  <property fmtid="{D5CDD505-2E9C-101B-9397-08002B2CF9AE}" pid="28" name="wic_System_Copyright">
    <vt:lpwstr/>
  </property>
  <property fmtid="{D5CDD505-2E9C-101B-9397-08002B2CF9AE}" pid="29" name="HOCC">
    <vt:lpwstr/>
  </property>
  <property fmtid="{D5CDD505-2E9C-101B-9397-08002B2CF9AE}" pid="30" name="TriggerFlowInfo">
    <vt:lpwstr/>
  </property>
  <property fmtid="{D5CDD505-2E9C-101B-9397-08002B2CF9AE}" pid="31" name="HOTo">
    <vt:lpwstr/>
  </property>
  <property fmtid="{D5CDD505-2E9C-101B-9397-08002B2CF9AE}" pid="32" name="ContentTypeId">
    <vt:lpwstr>0x010100A5BF1C78D9F64B679A5EBDE1C6598EBC01007F88C51DAF897B458237A9C1200953D8</vt:lpwstr>
  </property>
</Properties>
</file>