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8F0F" w14:textId="24F31D3B" w:rsidR="003058C8" w:rsidRPr="0076799B" w:rsidRDefault="003058C8" w:rsidP="00F16EA9">
      <w:pPr>
        <w:jc w:val="center"/>
        <w:rPr>
          <w:b/>
          <w:sz w:val="28"/>
        </w:rPr>
      </w:pPr>
      <w:r w:rsidRPr="0076799B">
        <w:rPr>
          <w:b/>
          <w:sz w:val="28"/>
        </w:rPr>
        <w:t xml:space="preserve">UK Blue Carbon Fund </w:t>
      </w:r>
      <w:r w:rsidR="00692B50" w:rsidRPr="0076799B">
        <w:rPr>
          <w:b/>
          <w:sz w:val="28"/>
        </w:rPr>
        <w:t>2019 Annual Review</w:t>
      </w:r>
    </w:p>
    <w:p w14:paraId="629E20D1" w14:textId="77777777" w:rsidR="003058C8" w:rsidRPr="003058C8" w:rsidRDefault="003058C8" w:rsidP="003058C8">
      <w:pPr>
        <w:rPr>
          <w:b/>
          <w:i/>
          <w:sz w:val="28"/>
        </w:rPr>
      </w:pPr>
      <w:r w:rsidRPr="003058C8">
        <w:rPr>
          <w:b/>
          <w:i/>
        </w:rPr>
        <w:t xml:space="preserve">Summary Sheet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7"/>
        <w:gridCol w:w="2126"/>
        <w:gridCol w:w="3633"/>
      </w:tblGrid>
      <w:tr w:rsidR="003058C8" w:rsidRPr="00F17915" w14:paraId="4BCF8A7E" w14:textId="77777777" w:rsidTr="00F40286">
        <w:trPr>
          <w:trHeight w:val="680"/>
        </w:trPr>
        <w:tc>
          <w:tcPr>
            <w:tcW w:w="5000" w:type="pct"/>
            <w:gridSpan w:val="3"/>
            <w:tcBorders>
              <w:top w:val="single" w:sz="4" w:space="0" w:color="000000"/>
              <w:left w:val="single" w:sz="4" w:space="0" w:color="000000"/>
              <w:bottom w:val="dotted" w:sz="4" w:space="0" w:color="000000"/>
              <w:right w:val="single" w:sz="4" w:space="0" w:color="000000"/>
            </w:tcBorders>
          </w:tcPr>
          <w:p w14:paraId="675DE131" w14:textId="77777777" w:rsidR="003058C8" w:rsidRPr="00F17915" w:rsidRDefault="003058C8" w:rsidP="00F40286">
            <w:pPr>
              <w:spacing w:line="276" w:lineRule="auto"/>
              <w:jc w:val="both"/>
              <w:rPr>
                <w:rFonts w:ascii="Calibri" w:hAnsi="Calibri"/>
                <w:b/>
              </w:rPr>
            </w:pPr>
            <w:r w:rsidRPr="00F17915">
              <w:rPr>
                <w:rFonts w:ascii="Calibri" w:hAnsi="Calibri"/>
                <w:b/>
              </w:rPr>
              <w:t xml:space="preserve">Title:  </w:t>
            </w:r>
          </w:p>
          <w:p w14:paraId="17950AE4" w14:textId="77777777" w:rsidR="003058C8" w:rsidRPr="00F17915" w:rsidRDefault="003058C8" w:rsidP="00F40286">
            <w:pPr>
              <w:spacing w:line="276" w:lineRule="auto"/>
              <w:jc w:val="both"/>
              <w:rPr>
                <w:rFonts w:ascii="Calibri" w:hAnsi="Calibri"/>
                <w:i/>
              </w:rPr>
            </w:pPr>
            <w:r w:rsidRPr="00F17915">
              <w:rPr>
                <w:rFonts w:ascii="Calibri" w:hAnsi="Calibri"/>
                <w:i/>
              </w:rPr>
              <w:t>The UK Blue Carbon Fund</w:t>
            </w:r>
          </w:p>
        </w:tc>
      </w:tr>
      <w:tr w:rsidR="003058C8" w:rsidRPr="00F17915" w14:paraId="164C48C7" w14:textId="77777777" w:rsidTr="00F40286">
        <w:trPr>
          <w:trHeight w:val="400"/>
        </w:trPr>
        <w:tc>
          <w:tcPr>
            <w:tcW w:w="2985" w:type="pct"/>
            <w:gridSpan w:val="2"/>
            <w:tcBorders>
              <w:top w:val="dotted" w:sz="4" w:space="0" w:color="000000"/>
              <w:left w:val="single" w:sz="4" w:space="0" w:color="000000"/>
              <w:bottom w:val="dotted" w:sz="4" w:space="0" w:color="000000"/>
              <w:right w:val="dotted" w:sz="4" w:space="0" w:color="000000"/>
            </w:tcBorders>
          </w:tcPr>
          <w:p w14:paraId="7400F06B" w14:textId="77777777" w:rsidR="003058C8" w:rsidRPr="00F17915" w:rsidRDefault="003058C8" w:rsidP="00F40286">
            <w:pPr>
              <w:spacing w:line="276" w:lineRule="auto"/>
              <w:jc w:val="both"/>
              <w:rPr>
                <w:rFonts w:ascii="Calibri" w:hAnsi="Calibri"/>
                <w:b/>
              </w:rPr>
            </w:pPr>
            <w:r w:rsidRPr="00F17915">
              <w:rPr>
                <w:rFonts w:ascii="Calibri" w:hAnsi="Calibri"/>
                <w:b/>
              </w:rPr>
              <w:t>Programme Value:  £12,750,000.00</w:t>
            </w:r>
          </w:p>
        </w:tc>
        <w:tc>
          <w:tcPr>
            <w:tcW w:w="2015" w:type="pct"/>
            <w:tcBorders>
              <w:top w:val="dotted" w:sz="4" w:space="0" w:color="000000"/>
              <w:left w:val="dotted" w:sz="4" w:space="0" w:color="000000"/>
              <w:bottom w:val="dotted" w:sz="4" w:space="0" w:color="000000"/>
              <w:right w:val="single" w:sz="4" w:space="0" w:color="000000"/>
            </w:tcBorders>
          </w:tcPr>
          <w:p w14:paraId="6314213F" w14:textId="713C162E" w:rsidR="003058C8" w:rsidRPr="00F17915" w:rsidRDefault="003058C8" w:rsidP="003B3696">
            <w:pPr>
              <w:spacing w:line="276" w:lineRule="auto"/>
              <w:jc w:val="both"/>
              <w:rPr>
                <w:rFonts w:ascii="Calibri" w:hAnsi="Calibri"/>
                <w:b/>
                <w:i/>
              </w:rPr>
            </w:pPr>
            <w:r w:rsidRPr="00F17915">
              <w:rPr>
                <w:rFonts w:ascii="Calibri" w:hAnsi="Calibri"/>
                <w:b/>
              </w:rPr>
              <w:t xml:space="preserve">Review Date: </w:t>
            </w:r>
            <w:r w:rsidR="003B3696">
              <w:rPr>
                <w:rFonts w:ascii="Calibri" w:hAnsi="Calibri"/>
                <w:b/>
              </w:rPr>
              <w:t>October</w:t>
            </w:r>
            <w:r w:rsidRPr="00F17915">
              <w:rPr>
                <w:rFonts w:ascii="Calibri" w:hAnsi="Calibri"/>
                <w:b/>
              </w:rPr>
              <w:t xml:space="preserve"> 2019</w:t>
            </w:r>
          </w:p>
        </w:tc>
      </w:tr>
      <w:tr w:rsidR="003058C8" w:rsidRPr="00F17915" w14:paraId="7A2FEAA9" w14:textId="77777777" w:rsidTr="00F40286">
        <w:trPr>
          <w:trHeight w:val="300"/>
        </w:trPr>
        <w:tc>
          <w:tcPr>
            <w:tcW w:w="1806" w:type="pct"/>
            <w:tcBorders>
              <w:top w:val="dotted" w:sz="4" w:space="0" w:color="000000"/>
              <w:left w:val="single" w:sz="4" w:space="0" w:color="000000"/>
              <w:bottom w:val="single" w:sz="4" w:space="0" w:color="000000"/>
              <w:right w:val="dotted" w:sz="4" w:space="0" w:color="000000"/>
            </w:tcBorders>
          </w:tcPr>
          <w:p w14:paraId="0790BA6F" w14:textId="77777777" w:rsidR="003058C8" w:rsidRPr="00F17915" w:rsidRDefault="003058C8" w:rsidP="00F40286">
            <w:pPr>
              <w:spacing w:line="276" w:lineRule="auto"/>
              <w:jc w:val="both"/>
              <w:rPr>
                <w:rFonts w:ascii="Calibri" w:hAnsi="Calibri"/>
                <w:b/>
              </w:rPr>
            </w:pPr>
            <w:r w:rsidRPr="00F17915">
              <w:rPr>
                <w:rFonts w:ascii="Calibri" w:hAnsi="Calibri"/>
                <w:b/>
              </w:rPr>
              <w:t xml:space="preserve">Programme Code: </w:t>
            </w:r>
          </w:p>
          <w:p w14:paraId="564CFA62" w14:textId="77777777" w:rsidR="003058C8" w:rsidRPr="00F17915" w:rsidRDefault="003058C8" w:rsidP="00F40286">
            <w:pPr>
              <w:spacing w:line="276" w:lineRule="auto"/>
              <w:jc w:val="both"/>
              <w:rPr>
                <w:rFonts w:ascii="Calibri" w:hAnsi="Calibri"/>
                <w:b/>
              </w:rPr>
            </w:pPr>
            <w:r w:rsidRPr="00F17915">
              <w:rPr>
                <w:rFonts w:ascii="Calibri" w:hAnsi="Calibri"/>
                <w:b/>
              </w:rPr>
              <w:t>PO008</w:t>
            </w:r>
          </w:p>
        </w:tc>
        <w:tc>
          <w:tcPr>
            <w:tcW w:w="1179" w:type="pct"/>
            <w:tcBorders>
              <w:top w:val="dotted" w:sz="4" w:space="0" w:color="000000"/>
              <w:left w:val="dotted" w:sz="4" w:space="0" w:color="000000"/>
              <w:bottom w:val="single" w:sz="4" w:space="0" w:color="000000"/>
              <w:right w:val="dotted" w:sz="4" w:space="0" w:color="000000"/>
            </w:tcBorders>
          </w:tcPr>
          <w:p w14:paraId="622E5512" w14:textId="77777777" w:rsidR="003058C8" w:rsidRPr="00F17915" w:rsidRDefault="003058C8" w:rsidP="00F40286">
            <w:pPr>
              <w:spacing w:line="276" w:lineRule="auto"/>
              <w:jc w:val="both"/>
              <w:rPr>
                <w:rFonts w:ascii="Calibri" w:hAnsi="Calibri"/>
              </w:rPr>
            </w:pPr>
            <w:r w:rsidRPr="00F17915">
              <w:rPr>
                <w:rFonts w:ascii="Calibri" w:hAnsi="Calibri"/>
                <w:b/>
              </w:rPr>
              <w:t>Start Date:</w:t>
            </w:r>
            <w:r w:rsidRPr="00F17915">
              <w:rPr>
                <w:rFonts w:ascii="Calibri" w:hAnsi="Calibri"/>
              </w:rPr>
              <w:t xml:space="preserve"> </w:t>
            </w:r>
          </w:p>
          <w:p w14:paraId="26827AB8" w14:textId="77777777" w:rsidR="003058C8" w:rsidRPr="00F17915" w:rsidRDefault="003058C8" w:rsidP="00F40286">
            <w:pPr>
              <w:spacing w:line="276" w:lineRule="auto"/>
              <w:jc w:val="both"/>
              <w:rPr>
                <w:rFonts w:ascii="Calibri" w:hAnsi="Calibri"/>
                <w:b/>
              </w:rPr>
            </w:pPr>
            <w:r w:rsidRPr="00F17915">
              <w:rPr>
                <w:rFonts w:ascii="Calibri" w:hAnsi="Calibri"/>
              </w:rPr>
              <w:t>December 2018</w:t>
            </w:r>
          </w:p>
        </w:tc>
        <w:tc>
          <w:tcPr>
            <w:tcW w:w="2015" w:type="pct"/>
            <w:tcBorders>
              <w:top w:val="dotted" w:sz="4" w:space="0" w:color="000000"/>
              <w:left w:val="dotted" w:sz="4" w:space="0" w:color="000000"/>
              <w:bottom w:val="single" w:sz="4" w:space="0" w:color="000000"/>
              <w:right w:val="single" w:sz="4" w:space="0" w:color="000000"/>
            </w:tcBorders>
          </w:tcPr>
          <w:p w14:paraId="76AA9CE3" w14:textId="77777777" w:rsidR="003058C8" w:rsidRPr="00F17915" w:rsidRDefault="003058C8" w:rsidP="00F40286">
            <w:pPr>
              <w:spacing w:line="276" w:lineRule="auto"/>
              <w:jc w:val="both"/>
              <w:rPr>
                <w:rFonts w:ascii="Calibri" w:hAnsi="Calibri"/>
              </w:rPr>
            </w:pPr>
            <w:r w:rsidRPr="00F17915">
              <w:rPr>
                <w:rFonts w:ascii="Calibri" w:hAnsi="Calibri"/>
                <w:b/>
              </w:rPr>
              <w:t>End Date:</w:t>
            </w:r>
            <w:r w:rsidRPr="00F17915">
              <w:rPr>
                <w:rFonts w:ascii="Calibri" w:hAnsi="Calibri"/>
              </w:rPr>
              <w:t xml:space="preserve"> </w:t>
            </w:r>
          </w:p>
          <w:p w14:paraId="0A51AB93" w14:textId="11095E9E" w:rsidR="003058C8" w:rsidRPr="00F17915" w:rsidRDefault="003058C8" w:rsidP="00F40286">
            <w:pPr>
              <w:spacing w:line="276" w:lineRule="auto"/>
              <w:jc w:val="both"/>
              <w:rPr>
                <w:rFonts w:ascii="Calibri" w:hAnsi="Calibri"/>
                <w:b/>
              </w:rPr>
            </w:pPr>
            <w:r w:rsidRPr="00F17915">
              <w:rPr>
                <w:rFonts w:ascii="Calibri" w:hAnsi="Calibri"/>
                <w:b/>
              </w:rPr>
              <w:t>December 2024</w:t>
            </w:r>
          </w:p>
        </w:tc>
      </w:tr>
    </w:tbl>
    <w:p w14:paraId="1B4A4172" w14:textId="77777777" w:rsidR="003058C8" w:rsidRPr="00F17915" w:rsidRDefault="003058C8" w:rsidP="003058C8">
      <w:pPr>
        <w:spacing w:line="276" w:lineRule="auto"/>
        <w:jc w:val="both"/>
        <w:rPr>
          <w:rFonts w:ascii="Calibri" w:hAnsi="Calibri"/>
          <w:b/>
        </w:rPr>
      </w:pPr>
    </w:p>
    <w:p w14:paraId="0ABD6332" w14:textId="77777777" w:rsidR="003058C8" w:rsidRPr="00F17915" w:rsidRDefault="003058C8" w:rsidP="003058C8">
      <w:pPr>
        <w:spacing w:line="276" w:lineRule="auto"/>
        <w:jc w:val="both"/>
        <w:rPr>
          <w:rFonts w:ascii="Calibri" w:hAnsi="Calibri"/>
          <w:b/>
        </w:rPr>
      </w:pPr>
      <w:r w:rsidRPr="00F17915">
        <w:rPr>
          <w:rFonts w:ascii="Calibri" w:hAnsi="Calibri"/>
          <w:b/>
        </w:rPr>
        <w:t xml:space="preserve">Summary of Programme Performance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76"/>
        <w:gridCol w:w="1410"/>
        <w:gridCol w:w="1197"/>
        <w:gridCol w:w="1196"/>
        <w:gridCol w:w="1196"/>
        <w:gridCol w:w="1196"/>
        <w:gridCol w:w="1345"/>
      </w:tblGrid>
      <w:tr w:rsidR="003058C8" w:rsidRPr="00F17915" w14:paraId="1853E819" w14:textId="77777777" w:rsidTr="00F40286">
        <w:trPr>
          <w:trHeight w:val="218"/>
        </w:trPr>
        <w:tc>
          <w:tcPr>
            <w:tcW w:w="818" w:type="pct"/>
            <w:tcBorders>
              <w:top w:val="single" w:sz="4" w:space="0" w:color="000000"/>
              <w:left w:val="single" w:sz="4" w:space="0" w:color="000000"/>
              <w:bottom w:val="single" w:sz="4" w:space="0" w:color="000000"/>
              <w:right w:val="single" w:sz="4" w:space="0" w:color="000000"/>
            </w:tcBorders>
          </w:tcPr>
          <w:p w14:paraId="1E933228" w14:textId="77777777" w:rsidR="003058C8" w:rsidRPr="00F17915" w:rsidRDefault="003058C8" w:rsidP="00F40286">
            <w:pPr>
              <w:spacing w:line="276" w:lineRule="auto"/>
              <w:rPr>
                <w:rFonts w:ascii="Calibri" w:hAnsi="Calibri"/>
                <w:b/>
              </w:rPr>
            </w:pPr>
            <w:r w:rsidRPr="00F17915">
              <w:rPr>
                <w:rFonts w:ascii="Calibri" w:hAnsi="Calibri"/>
                <w:b/>
              </w:rPr>
              <w:t>Year</w:t>
            </w:r>
          </w:p>
        </w:tc>
        <w:tc>
          <w:tcPr>
            <w:tcW w:w="782" w:type="pct"/>
            <w:tcBorders>
              <w:top w:val="single" w:sz="4" w:space="0" w:color="000000"/>
              <w:left w:val="single" w:sz="4" w:space="0" w:color="000000"/>
              <w:bottom w:val="single" w:sz="4" w:space="0" w:color="000000"/>
              <w:right w:val="single" w:sz="4" w:space="0" w:color="000000"/>
            </w:tcBorders>
          </w:tcPr>
          <w:p w14:paraId="0FF7FCD4" w14:textId="77777777" w:rsidR="003058C8" w:rsidRPr="00F17915" w:rsidRDefault="003058C8" w:rsidP="00F40286">
            <w:pPr>
              <w:spacing w:line="276" w:lineRule="auto"/>
              <w:jc w:val="center"/>
              <w:rPr>
                <w:rFonts w:ascii="Calibri" w:hAnsi="Calibri"/>
              </w:rPr>
            </w:pPr>
            <w:r w:rsidRPr="00F17915">
              <w:rPr>
                <w:rFonts w:ascii="Calibri" w:hAnsi="Calibri"/>
              </w:rPr>
              <w:t>2018/19</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14:paraId="37AB11C1" w14:textId="77777777" w:rsidR="003058C8" w:rsidRPr="00F17915" w:rsidRDefault="003058C8" w:rsidP="00F40286">
            <w:pPr>
              <w:spacing w:line="276" w:lineRule="auto"/>
              <w:jc w:val="center"/>
              <w:rPr>
                <w:rFonts w:ascii="Calibri" w:hAnsi="Calibri"/>
              </w:rPr>
            </w:pPr>
            <w:r w:rsidRPr="00F17915">
              <w:rPr>
                <w:rFonts w:ascii="Calibri" w:hAnsi="Calibri"/>
              </w:rPr>
              <w:t>2019/20</w:t>
            </w:r>
          </w:p>
        </w:tc>
        <w:tc>
          <w:tcPr>
            <w:tcW w:w="663" w:type="pct"/>
            <w:tcBorders>
              <w:top w:val="single" w:sz="4" w:space="0" w:color="000000"/>
              <w:left w:val="single" w:sz="4" w:space="0" w:color="000000"/>
              <w:bottom w:val="single" w:sz="4" w:space="0" w:color="000000"/>
              <w:right w:val="single" w:sz="4" w:space="0" w:color="000000"/>
            </w:tcBorders>
          </w:tcPr>
          <w:p w14:paraId="38D4F08E" w14:textId="77777777" w:rsidR="003058C8" w:rsidRPr="00F17915" w:rsidRDefault="003058C8" w:rsidP="00F40286">
            <w:pPr>
              <w:spacing w:line="276" w:lineRule="auto"/>
              <w:jc w:val="center"/>
              <w:rPr>
                <w:rFonts w:ascii="Calibri" w:hAnsi="Calibri"/>
                <w:b/>
              </w:rPr>
            </w:pPr>
            <w:r w:rsidRPr="00F17915">
              <w:rPr>
                <w:rFonts w:ascii="Calibri" w:hAnsi="Calibri"/>
                <w:b/>
              </w:rPr>
              <w:t>2020/21</w:t>
            </w:r>
          </w:p>
        </w:tc>
        <w:tc>
          <w:tcPr>
            <w:tcW w:w="663" w:type="pct"/>
            <w:tcBorders>
              <w:top w:val="single" w:sz="4" w:space="0" w:color="000000"/>
              <w:left w:val="single" w:sz="4" w:space="0" w:color="000000"/>
              <w:bottom w:val="single" w:sz="4" w:space="0" w:color="000000"/>
              <w:right w:val="single" w:sz="4" w:space="0" w:color="000000"/>
            </w:tcBorders>
          </w:tcPr>
          <w:p w14:paraId="5C1D5073" w14:textId="77777777" w:rsidR="003058C8" w:rsidRPr="00F17915" w:rsidRDefault="003058C8" w:rsidP="00F40286">
            <w:pPr>
              <w:spacing w:line="276" w:lineRule="auto"/>
              <w:jc w:val="center"/>
              <w:rPr>
                <w:rFonts w:ascii="Calibri" w:hAnsi="Calibri"/>
                <w:b/>
              </w:rPr>
            </w:pPr>
            <w:r w:rsidRPr="00F17915">
              <w:rPr>
                <w:rFonts w:ascii="Calibri" w:hAnsi="Calibri"/>
                <w:b/>
              </w:rPr>
              <w:t>2021/22</w:t>
            </w:r>
          </w:p>
        </w:tc>
        <w:tc>
          <w:tcPr>
            <w:tcW w:w="663" w:type="pct"/>
            <w:tcBorders>
              <w:top w:val="single" w:sz="4" w:space="0" w:color="000000"/>
              <w:left w:val="single" w:sz="4" w:space="0" w:color="000000"/>
              <w:bottom w:val="single" w:sz="4" w:space="0" w:color="000000"/>
              <w:right w:val="single" w:sz="4" w:space="0" w:color="000000"/>
            </w:tcBorders>
          </w:tcPr>
          <w:p w14:paraId="6BA435F3" w14:textId="77777777" w:rsidR="003058C8" w:rsidRPr="00F17915" w:rsidRDefault="003058C8" w:rsidP="00F40286">
            <w:pPr>
              <w:spacing w:line="276" w:lineRule="auto"/>
              <w:jc w:val="center"/>
              <w:rPr>
                <w:rFonts w:ascii="Calibri" w:hAnsi="Calibri"/>
                <w:b/>
              </w:rPr>
            </w:pPr>
            <w:r w:rsidRPr="00F17915">
              <w:rPr>
                <w:rFonts w:ascii="Calibri" w:hAnsi="Calibri"/>
                <w:b/>
              </w:rPr>
              <w:t>2022/23</w:t>
            </w:r>
          </w:p>
        </w:tc>
        <w:tc>
          <w:tcPr>
            <w:tcW w:w="746" w:type="pct"/>
            <w:tcBorders>
              <w:top w:val="single" w:sz="4" w:space="0" w:color="000000"/>
              <w:left w:val="single" w:sz="4" w:space="0" w:color="000000"/>
              <w:bottom w:val="single" w:sz="4" w:space="0" w:color="000000"/>
              <w:right w:val="single" w:sz="4" w:space="0" w:color="000000"/>
            </w:tcBorders>
          </w:tcPr>
          <w:p w14:paraId="15B693E1" w14:textId="77777777" w:rsidR="003058C8" w:rsidRPr="00F17915" w:rsidRDefault="003058C8" w:rsidP="00F40286">
            <w:pPr>
              <w:spacing w:line="276" w:lineRule="auto"/>
              <w:jc w:val="center"/>
              <w:rPr>
                <w:rFonts w:ascii="Calibri" w:hAnsi="Calibri"/>
                <w:b/>
              </w:rPr>
            </w:pPr>
            <w:r w:rsidRPr="00F17915">
              <w:rPr>
                <w:rFonts w:ascii="Calibri" w:hAnsi="Calibri"/>
                <w:b/>
              </w:rPr>
              <w:t>2023/24</w:t>
            </w:r>
          </w:p>
        </w:tc>
      </w:tr>
      <w:tr w:rsidR="003058C8" w:rsidRPr="00F17915" w14:paraId="7C357DFA" w14:textId="77777777" w:rsidTr="00F40286">
        <w:trPr>
          <w:trHeight w:val="229"/>
        </w:trPr>
        <w:tc>
          <w:tcPr>
            <w:tcW w:w="818" w:type="pct"/>
            <w:tcBorders>
              <w:top w:val="single" w:sz="4" w:space="0" w:color="000000"/>
              <w:left w:val="single" w:sz="4" w:space="0" w:color="000000"/>
              <w:bottom w:val="single" w:sz="4" w:space="0" w:color="000000"/>
              <w:right w:val="single" w:sz="4" w:space="0" w:color="000000"/>
            </w:tcBorders>
          </w:tcPr>
          <w:p w14:paraId="65FBB3E3" w14:textId="77777777" w:rsidR="003058C8" w:rsidRPr="00F17915" w:rsidRDefault="003058C8" w:rsidP="00F40286">
            <w:pPr>
              <w:spacing w:line="276" w:lineRule="auto"/>
              <w:rPr>
                <w:rFonts w:ascii="Calibri" w:hAnsi="Calibri"/>
                <w:b/>
              </w:rPr>
            </w:pPr>
            <w:r w:rsidRPr="00F17915">
              <w:rPr>
                <w:rFonts w:ascii="Calibri" w:hAnsi="Calibri"/>
                <w:b/>
              </w:rPr>
              <w:t>Score</w:t>
            </w:r>
          </w:p>
        </w:tc>
        <w:tc>
          <w:tcPr>
            <w:tcW w:w="782" w:type="pct"/>
            <w:tcBorders>
              <w:top w:val="single" w:sz="4" w:space="0" w:color="000000"/>
              <w:left w:val="single" w:sz="4" w:space="0" w:color="000000"/>
              <w:bottom w:val="single" w:sz="4" w:space="0" w:color="000000"/>
              <w:right w:val="single" w:sz="4" w:space="0" w:color="000000"/>
            </w:tcBorders>
          </w:tcPr>
          <w:p w14:paraId="0430FD23" w14:textId="48190F17" w:rsidR="003058C8" w:rsidRPr="009D14E5" w:rsidRDefault="00D97265" w:rsidP="00F40286">
            <w:pPr>
              <w:spacing w:line="276" w:lineRule="auto"/>
              <w:jc w:val="center"/>
              <w:rPr>
                <w:rFonts w:ascii="Calibri" w:hAnsi="Calibri"/>
              </w:rPr>
            </w:pPr>
            <w:r w:rsidRPr="009D14E5">
              <w:rPr>
                <w:rFonts w:ascii="Calibri" w:hAnsi="Calibri"/>
              </w:rPr>
              <w:t>A</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14:paraId="666BC9E1"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502CB659"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5E5C469A"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150D6CB9" w14:textId="77777777" w:rsidR="003058C8" w:rsidRPr="00F17915" w:rsidRDefault="003058C8" w:rsidP="00F40286">
            <w:pPr>
              <w:spacing w:line="276" w:lineRule="auto"/>
              <w:jc w:val="center"/>
              <w:rPr>
                <w:rFonts w:ascii="Calibri" w:hAnsi="Calibri"/>
                <w:b/>
              </w:rPr>
            </w:pPr>
          </w:p>
        </w:tc>
        <w:tc>
          <w:tcPr>
            <w:tcW w:w="746" w:type="pct"/>
            <w:tcBorders>
              <w:top w:val="single" w:sz="4" w:space="0" w:color="000000"/>
              <w:left w:val="single" w:sz="4" w:space="0" w:color="000000"/>
              <w:bottom w:val="single" w:sz="4" w:space="0" w:color="000000"/>
              <w:right w:val="single" w:sz="4" w:space="0" w:color="000000"/>
            </w:tcBorders>
          </w:tcPr>
          <w:p w14:paraId="3F10A277" w14:textId="77777777" w:rsidR="003058C8" w:rsidRPr="00F17915" w:rsidRDefault="003058C8" w:rsidP="00F40286">
            <w:pPr>
              <w:spacing w:line="276" w:lineRule="auto"/>
              <w:jc w:val="center"/>
              <w:rPr>
                <w:rFonts w:ascii="Calibri" w:hAnsi="Calibri"/>
                <w:b/>
              </w:rPr>
            </w:pPr>
          </w:p>
        </w:tc>
      </w:tr>
      <w:tr w:rsidR="003058C8" w:rsidRPr="00F17915" w14:paraId="0AD1BB43" w14:textId="77777777" w:rsidTr="00F40286">
        <w:trPr>
          <w:trHeight w:val="436"/>
        </w:trPr>
        <w:tc>
          <w:tcPr>
            <w:tcW w:w="818" w:type="pct"/>
            <w:tcBorders>
              <w:top w:val="single" w:sz="4" w:space="0" w:color="000000"/>
              <w:left w:val="single" w:sz="4" w:space="0" w:color="000000"/>
              <w:bottom w:val="single" w:sz="4" w:space="0" w:color="000000"/>
              <w:right w:val="single" w:sz="4" w:space="0" w:color="000000"/>
            </w:tcBorders>
          </w:tcPr>
          <w:p w14:paraId="2B2EDC5A" w14:textId="77777777" w:rsidR="003058C8" w:rsidRPr="00F17915" w:rsidRDefault="003058C8" w:rsidP="00F40286">
            <w:pPr>
              <w:spacing w:line="276" w:lineRule="auto"/>
              <w:rPr>
                <w:rFonts w:ascii="Calibri" w:hAnsi="Calibri"/>
                <w:b/>
              </w:rPr>
            </w:pPr>
            <w:r w:rsidRPr="00F17915">
              <w:rPr>
                <w:rFonts w:ascii="Calibri" w:hAnsi="Calibri"/>
                <w:b/>
              </w:rPr>
              <w:t>Risk</w:t>
            </w:r>
          </w:p>
          <w:p w14:paraId="3FC83E57" w14:textId="77777777" w:rsidR="003058C8" w:rsidRPr="00F17915" w:rsidRDefault="003058C8" w:rsidP="00F40286">
            <w:pPr>
              <w:spacing w:line="276" w:lineRule="auto"/>
              <w:rPr>
                <w:rFonts w:ascii="Calibri" w:hAnsi="Calibri"/>
                <w:b/>
              </w:rPr>
            </w:pPr>
            <w:r w:rsidRPr="00F17915">
              <w:rPr>
                <w:rFonts w:ascii="Calibri" w:hAnsi="Calibri"/>
                <w:b/>
              </w:rPr>
              <w:t>Rating</w:t>
            </w:r>
          </w:p>
        </w:tc>
        <w:tc>
          <w:tcPr>
            <w:tcW w:w="782" w:type="pct"/>
            <w:tcBorders>
              <w:top w:val="single" w:sz="4" w:space="0" w:color="000000"/>
              <w:left w:val="single" w:sz="4" w:space="0" w:color="000000"/>
              <w:bottom w:val="single" w:sz="4" w:space="0" w:color="000000"/>
              <w:right w:val="single" w:sz="4" w:space="0" w:color="000000"/>
            </w:tcBorders>
          </w:tcPr>
          <w:p w14:paraId="000C5AB0" w14:textId="0464BB9A" w:rsidR="003058C8" w:rsidRPr="009D14E5" w:rsidRDefault="00D97265" w:rsidP="00F40286">
            <w:pPr>
              <w:spacing w:line="276" w:lineRule="auto"/>
              <w:jc w:val="center"/>
              <w:rPr>
                <w:rFonts w:ascii="Calibri" w:hAnsi="Calibri"/>
              </w:rPr>
            </w:pPr>
            <w:r w:rsidRPr="009D14E5">
              <w:rPr>
                <w:rFonts w:ascii="Calibri" w:hAnsi="Calibri"/>
              </w:rPr>
              <w:t>Moderate</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14:paraId="74FFC58F"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134B04ED"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4008B0AB" w14:textId="77777777" w:rsidR="003058C8" w:rsidRPr="00F17915" w:rsidRDefault="003058C8" w:rsidP="00F40286">
            <w:pPr>
              <w:spacing w:line="276" w:lineRule="auto"/>
              <w:jc w:val="center"/>
              <w:rPr>
                <w:rFonts w:ascii="Calibri" w:hAnsi="Calibri"/>
                <w:b/>
              </w:rPr>
            </w:pPr>
          </w:p>
        </w:tc>
        <w:tc>
          <w:tcPr>
            <w:tcW w:w="663" w:type="pct"/>
            <w:tcBorders>
              <w:top w:val="single" w:sz="4" w:space="0" w:color="000000"/>
              <w:left w:val="single" w:sz="4" w:space="0" w:color="000000"/>
              <w:bottom w:val="single" w:sz="4" w:space="0" w:color="000000"/>
              <w:right w:val="single" w:sz="4" w:space="0" w:color="000000"/>
            </w:tcBorders>
          </w:tcPr>
          <w:p w14:paraId="286E6F48" w14:textId="77777777" w:rsidR="003058C8" w:rsidRPr="00F17915" w:rsidRDefault="003058C8" w:rsidP="00F40286">
            <w:pPr>
              <w:spacing w:line="276" w:lineRule="auto"/>
              <w:jc w:val="center"/>
              <w:rPr>
                <w:rFonts w:ascii="Calibri" w:hAnsi="Calibri"/>
                <w:b/>
              </w:rPr>
            </w:pPr>
          </w:p>
        </w:tc>
        <w:tc>
          <w:tcPr>
            <w:tcW w:w="746" w:type="pct"/>
            <w:tcBorders>
              <w:top w:val="single" w:sz="4" w:space="0" w:color="000000"/>
              <w:left w:val="single" w:sz="4" w:space="0" w:color="000000"/>
              <w:bottom w:val="single" w:sz="4" w:space="0" w:color="000000"/>
              <w:right w:val="single" w:sz="4" w:space="0" w:color="000000"/>
            </w:tcBorders>
          </w:tcPr>
          <w:p w14:paraId="2FAFEADC" w14:textId="77777777" w:rsidR="003058C8" w:rsidRPr="00F17915" w:rsidRDefault="003058C8" w:rsidP="00F40286">
            <w:pPr>
              <w:spacing w:line="276" w:lineRule="auto"/>
              <w:jc w:val="center"/>
              <w:rPr>
                <w:rFonts w:ascii="Calibri" w:hAnsi="Calibri"/>
                <w:b/>
              </w:rPr>
            </w:pPr>
          </w:p>
        </w:tc>
      </w:tr>
    </w:tbl>
    <w:p w14:paraId="2B09BBCE" w14:textId="77777777" w:rsidR="003058C8" w:rsidRPr="00F17915" w:rsidRDefault="003058C8" w:rsidP="003058C8">
      <w:pPr>
        <w:spacing w:line="276" w:lineRule="auto"/>
        <w:jc w:val="both"/>
        <w:rPr>
          <w:rFonts w:ascii="Calibri" w:hAnsi="Calibri"/>
          <w:b/>
        </w:rPr>
      </w:pPr>
    </w:p>
    <w:p w14:paraId="2F7685BC" w14:textId="77777777" w:rsidR="003058C8" w:rsidRDefault="003058C8" w:rsidP="003058C8">
      <w:pPr>
        <w:pStyle w:val="Heading7"/>
        <w:tabs>
          <w:tab w:val="left" w:pos="5625"/>
        </w:tabs>
      </w:pPr>
      <w:r w:rsidRPr="00F17915">
        <w:t>Summary of Progress</w:t>
      </w:r>
      <w:r>
        <w:tab/>
      </w:r>
    </w:p>
    <w:p w14:paraId="70F5441A" w14:textId="1B46BB58" w:rsidR="003058C8" w:rsidRDefault="003058C8" w:rsidP="003058C8">
      <w:r w:rsidRPr="00F17915">
        <w:t xml:space="preserve">The UK Blue Carbon Fund (the Fund) was approved by Defra Ministers in September 2018. Defra and Inter-American Development Bank </w:t>
      </w:r>
      <w:r w:rsidR="00DE757F">
        <w:t>(IDB) officials signed an admin</w:t>
      </w:r>
      <w:r w:rsidR="001E39B6">
        <w:t>istration</w:t>
      </w:r>
      <w:r>
        <w:t xml:space="preserve"> agreement establishing the F</w:t>
      </w:r>
      <w:r w:rsidR="00A67093">
        <w:t>und in December 2018</w:t>
      </w:r>
      <w:r w:rsidR="00135A82">
        <w:t xml:space="preserve">. This first agreement covered the technical cooperation component of the programme, and was superseded by a second administration agreement in March 2019, which included the blended finance element of the project too. </w:t>
      </w:r>
      <w:r w:rsidR="00F2783B">
        <w:t>The programme has not yet reached implement</w:t>
      </w:r>
      <w:r w:rsidR="001E39B6">
        <w:t>ation</w:t>
      </w:r>
      <w:r w:rsidR="00F2783B">
        <w:t xml:space="preserve"> stage</w:t>
      </w:r>
      <w:r w:rsidR="009C408B">
        <w:t xml:space="preserve"> and so this Annual Review is predominantly focused on assessing the </w:t>
      </w:r>
      <w:r w:rsidR="0020318C">
        <w:t xml:space="preserve">management and implementation </w:t>
      </w:r>
      <w:r w:rsidR="009C408B">
        <w:t>process</w:t>
      </w:r>
      <w:r w:rsidR="00115109">
        <w:t xml:space="preserve">. </w:t>
      </w:r>
      <w:r>
        <w:t>A more detailed review will follow in June 20</w:t>
      </w:r>
      <w:r w:rsidR="00375E51">
        <w:t>20</w:t>
      </w:r>
      <w:r>
        <w:t xml:space="preserve">. </w:t>
      </w:r>
    </w:p>
    <w:p w14:paraId="0C428C3D" w14:textId="77777777" w:rsidR="003058C8" w:rsidRPr="0076799B" w:rsidRDefault="003058C8" w:rsidP="003058C8">
      <w:pPr>
        <w:pStyle w:val="Heading1"/>
        <w:numPr>
          <w:ilvl w:val="0"/>
          <w:numId w:val="3"/>
        </w:numPr>
        <w:pBdr>
          <w:top w:val="single" w:sz="4" w:space="0"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b/>
          <w:i/>
          <w:iCs/>
          <w:color w:val="auto"/>
          <w:sz w:val="24"/>
        </w:rPr>
      </w:pPr>
      <w:r w:rsidRPr="0076799B">
        <w:rPr>
          <w:b/>
          <w:color w:val="auto"/>
          <w:sz w:val="24"/>
        </w:rPr>
        <w:t>Introduction and Context</w:t>
      </w:r>
    </w:p>
    <w:p w14:paraId="700ABE20" w14:textId="77777777" w:rsidR="003058C8" w:rsidRPr="005A35B9" w:rsidRDefault="003058C8" w:rsidP="003058C8">
      <w:pPr>
        <w:pStyle w:val="Heading7"/>
      </w:pPr>
      <w:r w:rsidRPr="000514CD">
        <w:t>Outline and Rationale for Intervention</w:t>
      </w:r>
    </w:p>
    <w:p w14:paraId="3AAB8C15" w14:textId="6C1E17D6" w:rsidR="00692085" w:rsidRDefault="003058C8" w:rsidP="003058C8">
      <w:r>
        <w:t>Climate c</w:t>
      </w:r>
      <w:r w:rsidRPr="004C5667">
        <w:t>hange is one of the greatest challenges of our time</w:t>
      </w:r>
      <w:r w:rsidR="00875410">
        <w:t xml:space="preserve">; it </w:t>
      </w:r>
      <w:r w:rsidRPr="004C5667">
        <w:t xml:space="preserve">is a threat to economic and national security </w:t>
      </w:r>
      <w:r w:rsidR="00875410">
        <w:t>across the globe</w:t>
      </w:r>
      <w:r w:rsidRPr="004C5667">
        <w:t xml:space="preserve">. </w:t>
      </w:r>
      <w:r w:rsidR="003E450C" w:rsidRPr="003E450C">
        <w:t xml:space="preserve">The impacts of climate change </w:t>
      </w:r>
      <w:r w:rsidR="00875410">
        <w:t>are</w:t>
      </w:r>
      <w:r w:rsidR="003E450C" w:rsidRPr="003E450C">
        <w:t xml:space="preserve"> felt most severely in </w:t>
      </w:r>
      <w:r w:rsidR="003E450C">
        <w:t xml:space="preserve">the developing world, where 100m </w:t>
      </w:r>
      <w:r w:rsidR="003E450C" w:rsidRPr="003E450C">
        <w:t>people could be pushed into poverty by climate impacts as soon as 2030, according to the World Bank.</w:t>
      </w:r>
    </w:p>
    <w:p w14:paraId="38F9D7B3" w14:textId="2D067766" w:rsidR="003058C8" w:rsidRDefault="003058C8" w:rsidP="0022558B">
      <w:pPr>
        <w:autoSpaceDE w:val="0"/>
        <w:autoSpaceDN w:val="0"/>
        <w:adjustRightInd w:val="0"/>
        <w:spacing w:after="0" w:line="240" w:lineRule="auto"/>
      </w:pPr>
      <w:r w:rsidRPr="00FA6DE3">
        <w:rPr>
          <w:rFonts w:ascii="Calibri" w:hAnsi="Calibri" w:cs="Arial"/>
          <w:szCs w:val="24"/>
        </w:rPr>
        <w:t>Nature-based solutions have the potential to play a critical role in</w:t>
      </w:r>
      <w:r w:rsidR="009C408B">
        <w:rPr>
          <w:rFonts w:ascii="Calibri" w:hAnsi="Calibri" w:cs="Arial"/>
          <w:szCs w:val="24"/>
        </w:rPr>
        <w:t xml:space="preserve"> tackling climate change and supporting </w:t>
      </w:r>
      <w:r w:rsidRPr="00FA6DE3">
        <w:rPr>
          <w:rFonts w:ascii="Calibri" w:hAnsi="Calibri" w:cs="Arial"/>
          <w:szCs w:val="24"/>
        </w:rPr>
        <w:t xml:space="preserve">adaptation and </w:t>
      </w:r>
      <w:r w:rsidR="009C408B">
        <w:rPr>
          <w:rFonts w:ascii="Calibri" w:hAnsi="Calibri" w:cs="Arial"/>
          <w:szCs w:val="24"/>
        </w:rPr>
        <w:t xml:space="preserve">sustainable </w:t>
      </w:r>
      <w:r w:rsidRPr="00FA6DE3">
        <w:rPr>
          <w:rFonts w:ascii="Calibri" w:hAnsi="Calibri" w:cs="Arial"/>
          <w:szCs w:val="24"/>
        </w:rPr>
        <w:t>development</w:t>
      </w:r>
      <w:r>
        <w:t xml:space="preserve">. </w:t>
      </w:r>
      <w:r w:rsidRPr="005A35B9">
        <w:t xml:space="preserve">Mangroves can </w:t>
      </w:r>
      <w:r>
        <w:t xml:space="preserve">help to </w:t>
      </w:r>
      <w:r w:rsidRPr="00007A12">
        <w:t>reduc</w:t>
      </w:r>
      <w:r>
        <w:t>e</w:t>
      </w:r>
      <w:r w:rsidRPr="00007A12">
        <w:t xml:space="preserve"> </w:t>
      </w:r>
      <w:r w:rsidRPr="005A35B9">
        <w:t>emissions</w:t>
      </w:r>
      <w:r w:rsidR="00036619">
        <w:t xml:space="preserve"> (they can store three to four times more carbon on a per area basis than most terrestrial forests)</w:t>
      </w:r>
      <w:r w:rsidRPr="005A35B9">
        <w:t xml:space="preserve">, while also supporting biodiversity and </w:t>
      </w:r>
      <w:r>
        <w:t xml:space="preserve">protecting </w:t>
      </w:r>
      <w:r w:rsidRPr="005A35B9">
        <w:t xml:space="preserve">fisheries </w:t>
      </w:r>
      <w:r w:rsidRPr="00007A12">
        <w:t>habitat</w:t>
      </w:r>
      <w:r>
        <w:t>s. Further</w:t>
      </w:r>
      <w:r w:rsidR="003775D3">
        <w:t>more</w:t>
      </w:r>
      <w:r>
        <w:t>, they can</w:t>
      </w:r>
      <w:r w:rsidRPr="005A35B9">
        <w:t xml:space="preserve"> </w:t>
      </w:r>
      <w:r w:rsidRPr="00036619">
        <w:rPr>
          <w:rFonts w:cstheme="minorHAnsi"/>
        </w:rPr>
        <w:t>contribute to the wellbeing and prosperity of coastal communities</w:t>
      </w:r>
      <w:r w:rsidR="00875410" w:rsidRPr="00036619">
        <w:rPr>
          <w:rFonts w:cstheme="minorHAnsi"/>
        </w:rPr>
        <w:t>,</w:t>
      </w:r>
      <w:r w:rsidRPr="00036619">
        <w:rPr>
          <w:rFonts w:cstheme="minorHAnsi"/>
        </w:rPr>
        <w:t xml:space="preserve"> and reduce the effects of natural disasters. </w:t>
      </w:r>
      <w:r w:rsidR="004053BC">
        <w:rPr>
          <w:rFonts w:cstheme="minorHAnsi"/>
        </w:rPr>
        <w:t xml:space="preserve">According to the UN environment programme’s 2014 report on </w:t>
      </w:r>
      <w:r w:rsidR="009D259F">
        <w:rPr>
          <w:rFonts w:cstheme="minorHAnsi"/>
        </w:rPr>
        <w:t>t</w:t>
      </w:r>
      <w:r w:rsidR="004053BC">
        <w:rPr>
          <w:rFonts w:cstheme="minorHAnsi"/>
        </w:rPr>
        <w:t xml:space="preserve">he importance of mangroves to </w:t>
      </w:r>
      <w:r w:rsidR="004053BC">
        <w:rPr>
          <w:rFonts w:cstheme="minorHAnsi"/>
        </w:rPr>
        <w:lastRenderedPageBreak/>
        <w:t>people</w:t>
      </w:r>
      <w:r w:rsidR="009D259F">
        <w:rPr>
          <w:rFonts w:cstheme="minorHAnsi"/>
        </w:rPr>
        <w:t>,</w:t>
      </w:r>
      <w:r w:rsidR="009D259F">
        <w:rPr>
          <w:rStyle w:val="FootnoteReference"/>
          <w:rFonts w:cstheme="minorHAnsi"/>
        </w:rPr>
        <w:footnoteReference w:id="1"/>
      </w:r>
      <w:r w:rsidR="004053BC">
        <w:rPr>
          <w:rFonts w:cstheme="minorHAnsi"/>
        </w:rPr>
        <w:t xml:space="preserve"> </w:t>
      </w:r>
      <w:r w:rsidR="00EF04CD">
        <w:rPr>
          <w:rFonts w:cstheme="minorHAnsi"/>
        </w:rPr>
        <w:t>these ecosystems</w:t>
      </w:r>
      <w:r w:rsidR="004053BC">
        <w:rPr>
          <w:rFonts w:cstheme="minorHAnsi"/>
        </w:rPr>
        <w:t xml:space="preserve"> are worth between $33-57,000 per hectare per year, to the economies of developing countries. </w:t>
      </w:r>
      <w:r>
        <w:t>Mangroves</w:t>
      </w:r>
      <w:r w:rsidRPr="00845879">
        <w:t xml:space="preserve"> are</w:t>
      </w:r>
      <w:r>
        <w:t>,</w:t>
      </w:r>
      <w:r w:rsidRPr="00845879">
        <w:t xml:space="preserve"> </w:t>
      </w:r>
      <w:r>
        <w:t>however,</w:t>
      </w:r>
      <w:r w:rsidRPr="005A35B9">
        <w:t xml:space="preserve"> one of the most threatened forest ecosystems</w:t>
      </w:r>
      <w:r>
        <w:t xml:space="preserve"> on the planet,</w:t>
      </w:r>
      <w:r w:rsidRPr="00587656">
        <w:t xml:space="preserve"> with more than 35% thought to have been lost; in some regions </w:t>
      </w:r>
      <w:r>
        <w:t>mangroves</w:t>
      </w:r>
      <w:r w:rsidRPr="00587656">
        <w:t xml:space="preserve"> </w:t>
      </w:r>
      <w:r w:rsidR="00036619">
        <w:t>have been</w:t>
      </w:r>
      <w:r w:rsidR="00036619" w:rsidRPr="00587656">
        <w:t xml:space="preserve"> </w:t>
      </w:r>
      <w:r w:rsidRPr="00587656">
        <w:t>cleared faster than tropical rainforests.</w:t>
      </w:r>
    </w:p>
    <w:p w14:paraId="2EB220CA" w14:textId="77777777" w:rsidR="004053BC" w:rsidRDefault="004053BC" w:rsidP="0022558B">
      <w:pPr>
        <w:autoSpaceDE w:val="0"/>
        <w:autoSpaceDN w:val="0"/>
        <w:adjustRightInd w:val="0"/>
        <w:spacing w:after="0" w:line="240" w:lineRule="auto"/>
      </w:pPr>
    </w:p>
    <w:p w14:paraId="71BA2736" w14:textId="6BB8E3EE" w:rsidR="003058C8" w:rsidRDefault="00875410" w:rsidP="003058C8">
      <w:r>
        <w:t xml:space="preserve">The UK Blue Carbon Fund </w:t>
      </w:r>
      <w:r w:rsidR="003775D3">
        <w:t>aims to produce a transformational change in the conservation of mangroves</w:t>
      </w:r>
      <w:r w:rsidR="00036619">
        <w:t xml:space="preserve"> in </w:t>
      </w:r>
      <w:r w:rsidR="00E951F6">
        <w:t xml:space="preserve">target countries in </w:t>
      </w:r>
      <w:r w:rsidR="00036619">
        <w:t>Latin America and the Caribbean</w:t>
      </w:r>
      <w:r w:rsidR="003775D3">
        <w:t xml:space="preserve"> by developing and embedding operational blue carbon markets</w:t>
      </w:r>
      <w:r w:rsidR="002353B8">
        <w:t>.</w:t>
      </w:r>
      <w:r w:rsidR="003775D3">
        <w:t xml:space="preserve"> It will do this by</w:t>
      </w:r>
      <w:r>
        <w:t xml:space="preserve"> mobilising</w:t>
      </w:r>
      <w:r w:rsidR="003058C8">
        <w:t xml:space="preserve"> strategic public and private sector investments in the blue carbon sector</w:t>
      </w:r>
      <w:r>
        <w:t xml:space="preserve">. It will also fund </w:t>
      </w:r>
      <w:r w:rsidR="003058C8">
        <w:t xml:space="preserve">projects in sectors </w:t>
      </w:r>
      <w:r>
        <w:t>(</w:t>
      </w:r>
      <w:r w:rsidR="003058C8">
        <w:t>such as</w:t>
      </w:r>
      <w:r>
        <w:t xml:space="preserve"> the</w:t>
      </w:r>
      <w:r w:rsidR="003058C8">
        <w:t xml:space="preserve"> sustainable aquaculture, coastal zone management and eco-tourism</w:t>
      </w:r>
      <w:r>
        <w:t xml:space="preserve"> sectors)</w:t>
      </w:r>
      <w:r w:rsidR="003058C8">
        <w:t xml:space="preserve"> that target the main drivers of mangrove degradation</w:t>
      </w:r>
      <w:r w:rsidR="005B6AD8">
        <w:t xml:space="preserve">, and which act as </w:t>
      </w:r>
      <w:r w:rsidR="003058C8">
        <w:t>barriers to mangrove conservation. Th</w:t>
      </w:r>
      <w:r w:rsidR="00E951F6">
        <w:t>ese interventions seek to encourage</w:t>
      </w:r>
      <w:r w:rsidR="003058C8">
        <w:t xml:space="preserve"> the sustainable management of mangrove forests and accelerate sustainable development in key </w:t>
      </w:r>
      <w:r w:rsidR="005B6AD8">
        <w:t>mangrove-focused countries in Latin</w:t>
      </w:r>
      <w:r w:rsidR="003058C8">
        <w:t xml:space="preserve"> America</w:t>
      </w:r>
      <w:r w:rsidR="005B6AD8">
        <w:t xml:space="preserve"> and the Caribbean</w:t>
      </w:r>
      <w:r w:rsidR="003058C8">
        <w:t xml:space="preserve">. </w:t>
      </w:r>
    </w:p>
    <w:p w14:paraId="0D7F2E38" w14:textId="2F0D02CB" w:rsidR="003058C8" w:rsidRPr="00007A12" w:rsidRDefault="003058C8" w:rsidP="003058C8">
      <w:r>
        <w:t xml:space="preserve">The </w:t>
      </w:r>
      <w:r w:rsidR="00185845">
        <w:t xml:space="preserve">programme </w:t>
      </w:r>
      <w:r>
        <w:t xml:space="preserve">will focus on developing and implementing incentive-based instruments </w:t>
      </w:r>
      <w:r w:rsidR="006E428F">
        <w:t>through</w:t>
      </w:r>
      <w:r>
        <w:t xml:space="preserve"> the IDB Group, including technical cooperation grants, loans, high-risk investment grants and equity. </w:t>
      </w:r>
    </w:p>
    <w:p w14:paraId="631CC786" w14:textId="77777777" w:rsidR="003058C8" w:rsidRPr="005A35B9" w:rsidRDefault="003058C8" w:rsidP="003058C8">
      <w:pPr>
        <w:pStyle w:val="Heading7"/>
      </w:pPr>
      <w:r w:rsidRPr="005A35B9">
        <w:t>Overview of expected results</w:t>
      </w:r>
    </w:p>
    <w:p w14:paraId="621F4DD3" w14:textId="77777777" w:rsidR="003058C8" w:rsidRPr="000C4A87" w:rsidRDefault="003058C8" w:rsidP="003058C8">
      <w:r>
        <w:t>The UK Blue Carbon Fund seeks to protect and restore mangrove forests in key sites across Latin America and the Caribbean. The programme expects to achieve:</w:t>
      </w:r>
    </w:p>
    <w:p w14:paraId="65F971F0" w14:textId="6831D77C" w:rsidR="003058C8" w:rsidRPr="005A35B9" w:rsidRDefault="003058C8" w:rsidP="009D14E5">
      <w:pPr>
        <w:numPr>
          <w:ilvl w:val="0"/>
          <w:numId w:val="21"/>
        </w:numPr>
        <w:jc w:val="both"/>
      </w:pPr>
      <w:r w:rsidRPr="005A35B9">
        <w:t>2,912,</w:t>
      </w:r>
      <w:r w:rsidRPr="005A35B9" w:rsidDel="00BD15AB">
        <w:t>0</w:t>
      </w:r>
      <w:r w:rsidRPr="005A35B9">
        <w:t>00 tonnes of GHG emissions sequestered or avoided</w:t>
      </w:r>
      <w:r w:rsidR="003E6470">
        <w:t>,</w:t>
      </w:r>
    </w:p>
    <w:p w14:paraId="2D94FFAC" w14:textId="249C71B3" w:rsidR="003058C8" w:rsidRPr="005A35B9" w:rsidRDefault="003058C8" w:rsidP="009D14E5">
      <w:pPr>
        <w:numPr>
          <w:ilvl w:val="0"/>
          <w:numId w:val="21"/>
        </w:numPr>
        <w:jc w:val="both"/>
      </w:pPr>
      <w:r w:rsidRPr="005A35B9">
        <w:t>5570ha of mangroves restored or protected</w:t>
      </w:r>
      <w:r w:rsidR="003E6470">
        <w:t xml:space="preserve"> and</w:t>
      </w:r>
    </w:p>
    <w:p w14:paraId="48212A26" w14:textId="23AA88C5" w:rsidR="003058C8" w:rsidRPr="005A35B9" w:rsidRDefault="003058C8" w:rsidP="009D14E5">
      <w:pPr>
        <w:numPr>
          <w:ilvl w:val="0"/>
          <w:numId w:val="21"/>
        </w:numPr>
        <w:jc w:val="both"/>
      </w:pPr>
      <w:r w:rsidRPr="005A35B9">
        <w:t>£48m of ecosystem services restored or protected</w:t>
      </w:r>
      <w:r w:rsidR="003E6470">
        <w:t>.</w:t>
      </w:r>
      <w:r w:rsidR="00716F67">
        <w:rPr>
          <w:rStyle w:val="FootnoteReference"/>
        </w:rPr>
        <w:footnoteReference w:id="2"/>
      </w:r>
      <w:r w:rsidR="00716F67">
        <w:t xml:space="preserve"> </w:t>
      </w:r>
    </w:p>
    <w:p w14:paraId="24586D74" w14:textId="3B2444DA" w:rsidR="00B4262B" w:rsidRDefault="003058C8" w:rsidP="00B4262B">
      <w:r>
        <w:t xml:space="preserve">In addition, the programme aims to </w:t>
      </w:r>
      <w:r w:rsidRPr="005A35B9">
        <w:t xml:space="preserve">deliver significant livelihoods benefits for </w:t>
      </w:r>
      <w:r w:rsidR="000867E0">
        <w:t xml:space="preserve">programme </w:t>
      </w:r>
      <w:r>
        <w:t xml:space="preserve">recipients. </w:t>
      </w:r>
      <w:r w:rsidR="00F16EA9">
        <w:t>Defra and the IDB will carry out f</w:t>
      </w:r>
      <w:r w:rsidRPr="00587656">
        <w:t xml:space="preserve">urther detailed scoping </w:t>
      </w:r>
      <w:r w:rsidR="00F16EA9">
        <w:t xml:space="preserve">in </w:t>
      </w:r>
      <w:r w:rsidR="00744D84">
        <w:t xml:space="preserve">November </w:t>
      </w:r>
      <w:r w:rsidR="00F16EA9">
        <w:t xml:space="preserve">2019, </w:t>
      </w:r>
      <w:r w:rsidRPr="00587656">
        <w:t xml:space="preserve">to quantify the number of people </w:t>
      </w:r>
      <w:r w:rsidR="000867E0">
        <w:t>projected to</w:t>
      </w:r>
      <w:r>
        <w:t xml:space="preserve"> benefit</w:t>
      </w:r>
      <w:r w:rsidR="000867E0">
        <w:t xml:space="preserve"> across programme activities</w:t>
      </w:r>
      <w:r w:rsidR="009D259F">
        <w:t>, to feed into the logical framework</w:t>
      </w:r>
      <w:r w:rsidRPr="00587656">
        <w:t>.</w:t>
      </w:r>
      <w:r w:rsidR="00F16EA9">
        <w:t xml:space="preserve"> </w:t>
      </w:r>
      <w:r w:rsidR="00744D84">
        <w:t>These indicators will be at the outcome level</w:t>
      </w:r>
      <w:r w:rsidR="009D259F">
        <w:t>.</w:t>
      </w:r>
      <w:r w:rsidR="00744D84">
        <w:t xml:space="preserve"> </w:t>
      </w:r>
      <w:r w:rsidR="009C31D4">
        <w:t xml:space="preserve">All annual reviews will report </w:t>
      </w:r>
      <w:r w:rsidR="00F315E6">
        <w:t>on value for money</w:t>
      </w:r>
      <w:r w:rsidR="009C31D4">
        <w:t>, and</w:t>
      </w:r>
      <w:r w:rsidR="00F315E6">
        <w:t xml:space="preserve"> will consider whether or not any issues</w:t>
      </w:r>
      <w:r w:rsidR="00584596">
        <w:t xml:space="preserve"> </w:t>
      </w:r>
      <w:r w:rsidR="00F315E6">
        <w:t>have affected the delivery of th</w:t>
      </w:r>
      <w:r w:rsidR="00584596">
        <w:t>e project.</w:t>
      </w:r>
    </w:p>
    <w:p w14:paraId="6F6BBCC6" w14:textId="68DB4B01" w:rsidR="00B4262B" w:rsidRPr="00716F67" w:rsidRDefault="00B4262B" w:rsidP="00B4262B">
      <w:pPr>
        <w:pStyle w:val="Heading1"/>
        <w:numPr>
          <w:ilvl w:val="0"/>
          <w:numId w:val="3"/>
        </w:numPr>
        <w:pBdr>
          <w:top w:val="single" w:sz="4" w:space="1"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Style w:val="IntenseEmphasis"/>
          <w:rFonts w:ascii="Calibri" w:eastAsia="Arial" w:hAnsi="Calibri" w:cs="Arial"/>
          <w:b/>
          <w:iCs w:val="0"/>
          <w:color w:val="auto"/>
          <w:sz w:val="24"/>
        </w:rPr>
      </w:pPr>
      <w:r w:rsidRPr="00716F67">
        <w:rPr>
          <w:b/>
          <w:color w:val="auto"/>
          <w:sz w:val="24"/>
        </w:rPr>
        <w:t>Performance and Conclusions</w:t>
      </w:r>
    </w:p>
    <w:p w14:paraId="2B018349" w14:textId="797233F0" w:rsidR="005F55A5" w:rsidRDefault="00B4262B" w:rsidP="003058C8">
      <w:r>
        <w:t xml:space="preserve">The programme has not yet reached implementing stage, </w:t>
      </w:r>
      <w:r w:rsidR="009D259F">
        <w:t>as the two projects that Defra has approved have not yet been cleared by the IDB Board (clearance for project 1 is expected in November, and for project 2, in January). This</w:t>
      </w:r>
      <w:r>
        <w:t xml:space="preserve"> review will therefore assess the Fund’s performance against the</w:t>
      </w:r>
      <w:r w:rsidR="0020318C">
        <w:t xml:space="preserve"> overall management and implementation process, including</w:t>
      </w:r>
      <w:r>
        <w:t xml:space="preserve"> commitments made in the admin</w:t>
      </w:r>
      <w:r w:rsidR="006E428F">
        <w:t>istration</w:t>
      </w:r>
      <w:r>
        <w:t xml:space="preserve"> agreement</w:t>
      </w:r>
      <w:r w:rsidR="00F64B08">
        <w:t xml:space="preserve"> signed in March 2019</w:t>
      </w:r>
      <w:r>
        <w:t xml:space="preserve">. </w:t>
      </w:r>
      <w:r w:rsidR="00E1279E">
        <w:t>Future annual reviews will consider the Fund’s performance against the outputs and outcomes agreed in the logical framework (set out in section 4).</w:t>
      </w:r>
    </w:p>
    <w:p w14:paraId="1890C462" w14:textId="068FF8DA" w:rsidR="005F55A5" w:rsidRDefault="005F55A5" w:rsidP="003058C8">
      <w:r>
        <w:t>The project has been given an overall performance score of A, in its first year. Some of the commitments made in the administrative agreement have been completed (e.g. the issuing of a Promissory Note)</w:t>
      </w:r>
      <w:r w:rsidR="00CF1606">
        <w:t>,</w:t>
      </w:r>
      <w:r>
        <w:t xml:space="preserve"> and the ways of working set out in that agreement (e.g. responding to project </w:t>
      </w:r>
      <w:r>
        <w:lastRenderedPageBreak/>
        <w:t xml:space="preserve">proposals within ten days) are being implemented effectively. Performance against these commitments has therefore been </w:t>
      </w:r>
      <w:r w:rsidR="00CF1606">
        <w:t>assessed</w:t>
      </w:r>
      <w:r>
        <w:t xml:space="preserve"> as A+. In other areas (e.g. </w:t>
      </w:r>
      <w:r w:rsidR="008A174D">
        <w:t>holding the Advisory Board meeting</w:t>
      </w:r>
      <w:r>
        <w:t xml:space="preserve">), Defra and the IDB have, by mutual agreement, decided to </w:t>
      </w:r>
      <w:r w:rsidR="00CF1606">
        <w:t xml:space="preserve">defer carrying out commitments made in the administrative agreement until </w:t>
      </w:r>
      <w:r w:rsidR="009D259F">
        <w:t xml:space="preserve">at least 3 </w:t>
      </w:r>
      <w:r w:rsidR="00CF1606">
        <w:t xml:space="preserve">projects have been approved, </w:t>
      </w:r>
      <w:r w:rsidR="008A174D">
        <w:t xml:space="preserve">and therefore </w:t>
      </w:r>
      <w:r w:rsidR="00CF1606">
        <w:t>the shape of the programme is clearer. As they differ from the administrative agreement, these commitments have been awarded Bs.</w:t>
      </w:r>
    </w:p>
    <w:p w14:paraId="67101918" w14:textId="5F90D6FB" w:rsidR="00ED76D7" w:rsidRPr="00ED76D7" w:rsidRDefault="00ED76D7" w:rsidP="0022558B">
      <w:pPr>
        <w:tabs>
          <w:tab w:val="left" w:pos="7650"/>
        </w:tabs>
        <w:rPr>
          <w:b/>
        </w:rPr>
      </w:pPr>
      <w:r w:rsidRPr="00ED76D7">
        <w:rPr>
          <w:b/>
        </w:rPr>
        <w:t xml:space="preserve">Assessment of performance </w:t>
      </w:r>
      <w:r w:rsidR="00CF1606">
        <w:rPr>
          <w:b/>
        </w:rPr>
        <w:tab/>
      </w:r>
    </w:p>
    <w:tbl>
      <w:tblPr>
        <w:tblStyle w:val="TableGrid"/>
        <w:tblW w:w="0" w:type="auto"/>
        <w:tblLook w:val="04A0" w:firstRow="1" w:lastRow="0" w:firstColumn="1" w:lastColumn="0" w:noHBand="0" w:noVBand="1"/>
      </w:tblPr>
      <w:tblGrid>
        <w:gridCol w:w="988"/>
        <w:gridCol w:w="3260"/>
        <w:gridCol w:w="3969"/>
        <w:gridCol w:w="799"/>
      </w:tblGrid>
      <w:tr w:rsidR="004C19DB" w14:paraId="2CFB555D" w14:textId="77777777" w:rsidTr="004C19DB">
        <w:tc>
          <w:tcPr>
            <w:tcW w:w="988" w:type="dxa"/>
          </w:tcPr>
          <w:p w14:paraId="0286A30A" w14:textId="6363C2C0" w:rsidR="004C19DB" w:rsidRPr="004C19DB" w:rsidRDefault="004C19DB" w:rsidP="003058C8">
            <w:pPr>
              <w:rPr>
                <w:b/>
              </w:rPr>
            </w:pPr>
            <w:r w:rsidRPr="004C19DB">
              <w:rPr>
                <w:b/>
              </w:rPr>
              <w:t>Number</w:t>
            </w:r>
          </w:p>
        </w:tc>
        <w:tc>
          <w:tcPr>
            <w:tcW w:w="3260" w:type="dxa"/>
          </w:tcPr>
          <w:p w14:paraId="0229714E" w14:textId="0533305F" w:rsidR="004C19DB" w:rsidRPr="004C19DB" w:rsidRDefault="004C19DB" w:rsidP="003058C8">
            <w:pPr>
              <w:rPr>
                <w:b/>
              </w:rPr>
            </w:pPr>
            <w:r w:rsidRPr="004C19DB">
              <w:rPr>
                <w:b/>
              </w:rPr>
              <w:t>Commitment</w:t>
            </w:r>
          </w:p>
        </w:tc>
        <w:tc>
          <w:tcPr>
            <w:tcW w:w="3969" w:type="dxa"/>
          </w:tcPr>
          <w:p w14:paraId="176D822E" w14:textId="60628E90" w:rsidR="004C19DB" w:rsidRPr="004C19DB" w:rsidRDefault="004C19DB" w:rsidP="003058C8">
            <w:pPr>
              <w:rPr>
                <w:b/>
              </w:rPr>
            </w:pPr>
            <w:r w:rsidRPr="004C19DB">
              <w:rPr>
                <w:b/>
              </w:rPr>
              <w:t>Performance summary</w:t>
            </w:r>
          </w:p>
        </w:tc>
        <w:tc>
          <w:tcPr>
            <w:tcW w:w="799" w:type="dxa"/>
          </w:tcPr>
          <w:p w14:paraId="0AEC796F" w14:textId="7AB546E4" w:rsidR="004C19DB" w:rsidRPr="004C19DB" w:rsidRDefault="004C19DB" w:rsidP="003058C8">
            <w:pPr>
              <w:rPr>
                <w:b/>
              </w:rPr>
            </w:pPr>
            <w:r w:rsidRPr="004C19DB">
              <w:rPr>
                <w:b/>
              </w:rPr>
              <w:t>Score</w:t>
            </w:r>
          </w:p>
        </w:tc>
      </w:tr>
      <w:tr w:rsidR="004C19DB" w14:paraId="2F84972C" w14:textId="77777777" w:rsidTr="004C19DB">
        <w:tc>
          <w:tcPr>
            <w:tcW w:w="988" w:type="dxa"/>
          </w:tcPr>
          <w:p w14:paraId="41068BEC" w14:textId="400422A6" w:rsidR="004C19DB" w:rsidRDefault="004C19DB" w:rsidP="003058C8">
            <w:r>
              <w:t>1</w:t>
            </w:r>
          </w:p>
        </w:tc>
        <w:tc>
          <w:tcPr>
            <w:tcW w:w="3260" w:type="dxa"/>
          </w:tcPr>
          <w:p w14:paraId="3332BAC5" w14:textId="7BD01493" w:rsidR="004C19DB" w:rsidRDefault="004C19DB" w:rsidP="003058C8">
            <w:r>
              <w:t>Defra to issue a promissory note for the value of £12.75m, upon the signing of the agreement.</w:t>
            </w:r>
          </w:p>
        </w:tc>
        <w:tc>
          <w:tcPr>
            <w:tcW w:w="3969" w:type="dxa"/>
          </w:tcPr>
          <w:p w14:paraId="17F6333F" w14:textId="075F671B" w:rsidR="004C19DB" w:rsidRDefault="00075CFA" w:rsidP="00185845">
            <w:r>
              <w:t>A P</w:t>
            </w:r>
            <w:r w:rsidR="006E428F">
              <w:t xml:space="preserve">romissory </w:t>
            </w:r>
            <w:r>
              <w:t>N</w:t>
            </w:r>
            <w:r w:rsidR="006E428F">
              <w:t>ote</w:t>
            </w:r>
            <w:r w:rsidR="002A1726">
              <w:t xml:space="preserve"> </w:t>
            </w:r>
            <w:r w:rsidR="002854BC">
              <w:t xml:space="preserve">for this value </w:t>
            </w:r>
            <w:r w:rsidR="002A1726">
              <w:t xml:space="preserve">was issued in </w:t>
            </w:r>
            <w:r w:rsidR="00185845">
              <w:t xml:space="preserve">March </w:t>
            </w:r>
            <w:r w:rsidR="002A1726">
              <w:t>2018.</w:t>
            </w:r>
          </w:p>
        </w:tc>
        <w:tc>
          <w:tcPr>
            <w:tcW w:w="799" w:type="dxa"/>
          </w:tcPr>
          <w:p w14:paraId="3C33EFD5" w14:textId="43B443DE" w:rsidR="004C19DB" w:rsidRDefault="004C19DB" w:rsidP="003058C8">
            <w:r>
              <w:t>A</w:t>
            </w:r>
            <w:r w:rsidR="002C09C7">
              <w:t>+</w:t>
            </w:r>
          </w:p>
        </w:tc>
      </w:tr>
      <w:tr w:rsidR="004C19DB" w14:paraId="4B075540" w14:textId="77777777" w:rsidTr="004C19DB">
        <w:tc>
          <w:tcPr>
            <w:tcW w:w="988" w:type="dxa"/>
          </w:tcPr>
          <w:p w14:paraId="0CA82FD4" w14:textId="79B20933" w:rsidR="004C19DB" w:rsidRDefault="004C19DB" w:rsidP="003058C8">
            <w:r>
              <w:t>2</w:t>
            </w:r>
          </w:p>
        </w:tc>
        <w:tc>
          <w:tcPr>
            <w:tcW w:w="3260" w:type="dxa"/>
          </w:tcPr>
          <w:p w14:paraId="2B3F9E60" w14:textId="5E939949" w:rsidR="004C19DB" w:rsidRDefault="004C19DB" w:rsidP="004C19DB">
            <w:r>
              <w:t>Defra to disburse £2,530,000 to the IDB no later than 15</w:t>
            </w:r>
            <w:r w:rsidRPr="004C19DB">
              <w:rPr>
                <w:vertAlign w:val="superscript"/>
              </w:rPr>
              <w:t>th</w:t>
            </w:r>
            <w:r>
              <w:t xml:space="preserve"> April 2019.</w:t>
            </w:r>
            <w:r w:rsidR="0090723D">
              <w:rPr>
                <w:rStyle w:val="FootnoteReference"/>
              </w:rPr>
              <w:footnoteReference w:id="3"/>
            </w:r>
          </w:p>
        </w:tc>
        <w:tc>
          <w:tcPr>
            <w:tcW w:w="3969" w:type="dxa"/>
          </w:tcPr>
          <w:p w14:paraId="5F587F17" w14:textId="304AEE90" w:rsidR="004C19DB" w:rsidRDefault="005F55A5" w:rsidP="003058C8">
            <w:r>
              <w:t xml:space="preserve">Defra disbursed funds in </w:t>
            </w:r>
            <w:r w:rsidR="002A1726">
              <w:t xml:space="preserve">May 2019; the project proposal was submitted in early April. Defra fed back comments, and the IDB submitted an updated proposal. Defra then approved the proposal in early May. All of this was within the timeframes agreed below.  </w:t>
            </w:r>
          </w:p>
        </w:tc>
        <w:tc>
          <w:tcPr>
            <w:tcW w:w="799" w:type="dxa"/>
          </w:tcPr>
          <w:p w14:paraId="42AB91DB" w14:textId="5C4A7087" w:rsidR="004C19DB" w:rsidRDefault="0090723D" w:rsidP="003058C8">
            <w:r>
              <w:t>A</w:t>
            </w:r>
          </w:p>
        </w:tc>
      </w:tr>
      <w:tr w:rsidR="004C19DB" w14:paraId="0F440E59" w14:textId="77777777" w:rsidTr="004C19DB">
        <w:tc>
          <w:tcPr>
            <w:tcW w:w="988" w:type="dxa"/>
          </w:tcPr>
          <w:p w14:paraId="735E5828" w14:textId="6023E276" w:rsidR="004C19DB" w:rsidRDefault="004C19DB" w:rsidP="003058C8">
            <w:r>
              <w:t>3</w:t>
            </w:r>
          </w:p>
        </w:tc>
        <w:tc>
          <w:tcPr>
            <w:tcW w:w="3260" w:type="dxa"/>
          </w:tcPr>
          <w:p w14:paraId="0568E38E" w14:textId="0C3339DF" w:rsidR="004C19DB" w:rsidRDefault="004C19DB" w:rsidP="00AA5A4F">
            <w:r w:rsidRPr="004C19DB">
              <w:t>Defra to respond to project proposals within 10 working days, the IDB to respond to comments within 10 working days, and Defra to provide a final response within a further 10 working days.</w:t>
            </w:r>
          </w:p>
        </w:tc>
        <w:tc>
          <w:tcPr>
            <w:tcW w:w="3969" w:type="dxa"/>
          </w:tcPr>
          <w:p w14:paraId="501910BB" w14:textId="12686B58" w:rsidR="004C19DB" w:rsidRDefault="00E73D1D" w:rsidP="00ED76D7">
            <w:r>
              <w:t xml:space="preserve">These timeframes have been adhered to with both </w:t>
            </w:r>
            <w:r w:rsidR="00ED76D7">
              <w:t>of the projects that have been approved by Defra so far</w:t>
            </w:r>
            <w:r>
              <w:t xml:space="preserve">. The second Defra-approved project was re-submitted, after the IDB received Defra’s initial feedback. </w:t>
            </w:r>
          </w:p>
        </w:tc>
        <w:tc>
          <w:tcPr>
            <w:tcW w:w="799" w:type="dxa"/>
          </w:tcPr>
          <w:p w14:paraId="23EE7D27" w14:textId="340699AD" w:rsidR="004C19DB" w:rsidRDefault="004C19DB" w:rsidP="003058C8">
            <w:r>
              <w:t>A</w:t>
            </w:r>
            <w:r w:rsidR="002C09C7">
              <w:t>+</w:t>
            </w:r>
          </w:p>
        </w:tc>
      </w:tr>
      <w:tr w:rsidR="004C19DB" w14:paraId="2EDDFC0C" w14:textId="77777777" w:rsidTr="004C19DB">
        <w:tc>
          <w:tcPr>
            <w:tcW w:w="988" w:type="dxa"/>
          </w:tcPr>
          <w:p w14:paraId="40E72341" w14:textId="37F84AE3" w:rsidR="004C19DB" w:rsidRDefault="004C19DB" w:rsidP="003058C8">
            <w:r>
              <w:t>4</w:t>
            </w:r>
          </w:p>
        </w:tc>
        <w:tc>
          <w:tcPr>
            <w:tcW w:w="3260" w:type="dxa"/>
          </w:tcPr>
          <w:p w14:paraId="57079181" w14:textId="1E80BF91" w:rsidR="004C19DB" w:rsidRDefault="004C19DB" w:rsidP="004C19DB">
            <w:r>
              <w:t xml:space="preserve">To produce an indicative results framework, </w:t>
            </w:r>
            <w:r w:rsidR="00167711">
              <w:t>including</w:t>
            </w:r>
            <w:r>
              <w:t xml:space="preserve"> a log frame and theory of change for the Fund</w:t>
            </w:r>
            <w:r w:rsidR="00E73D1D">
              <w:t>,</w:t>
            </w:r>
            <w:r>
              <w:t xml:space="preserve"> within 6 months of the agreement being signed. </w:t>
            </w:r>
          </w:p>
          <w:p w14:paraId="7E4053EB" w14:textId="77777777" w:rsidR="004C19DB" w:rsidRDefault="004C19DB" w:rsidP="003058C8"/>
        </w:tc>
        <w:tc>
          <w:tcPr>
            <w:tcW w:w="3969" w:type="dxa"/>
          </w:tcPr>
          <w:p w14:paraId="5E5053F6" w14:textId="4AEAC12C" w:rsidR="004C19DB" w:rsidRDefault="00F8500D" w:rsidP="00F64B08">
            <w:r>
              <w:t xml:space="preserve">A log frame and theory of change were developed during business case formulation. </w:t>
            </w:r>
            <w:r w:rsidR="00E73D1D">
              <w:t xml:space="preserve">The log frame was updated in </w:t>
            </w:r>
            <w:r w:rsidR="00AA5A4F">
              <w:t xml:space="preserve">August </w:t>
            </w:r>
            <w:r>
              <w:t>2019, and a</w:t>
            </w:r>
            <w:r w:rsidR="00F45749">
              <w:t xml:space="preserve"> workshop to update the theory of change is scheduled for November 2019. Both of these products will be updated as necessary, as project proposals are approved.</w:t>
            </w:r>
          </w:p>
        </w:tc>
        <w:tc>
          <w:tcPr>
            <w:tcW w:w="799" w:type="dxa"/>
          </w:tcPr>
          <w:p w14:paraId="04E06060" w14:textId="01F2DF42" w:rsidR="004C19DB" w:rsidRDefault="00262B5F" w:rsidP="00E73D1D">
            <w:r>
              <w:t>A+</w:t>
            </w:r>
          </w:p>
        </w:tc>
      </w:tr>
      <w:tr w:rsidR="004C19DB" w14:paraId="11A89439" w14:textId="77777777" w:rsidTr="004C19DB">
        <w:tc>
          <w:tcPr>
            <w:tcW w:w="988" w:type="dxa"/>
          </w:tcPr>
          <w:p w14:paraId="151B228B" w14:textId="4B5DCAB8" w:rsidR="004C19DB" w:rsidRDefault="004C19DB" w:rsidP="003058C8">
            <w:r>
              <w:t>5</w:t>
            </w:r>
          </w:p>
        </w:tc>
        <w:tc>
          <w:tcPr>
            <w:tcW w:w="3260" w:type="dxa"/>
          </w:tcPr>
          <w:p w14:paraId="4D08DB3A" w14:textId="309E1C68" w:rsidR="004C19DB" w:rsidRDefault="004C19DB" w:rsidP="00185845">
            <w:r>
              <w:t xml:space="preserve">To </w:t>
            </w:r>
            <w:r w:rsidR="00185845">
              <w:t xml:space="preserve">undertake </w:t>
            </w:r>
            <w:r>
              <w:t>an evaluation plan within 1 year of signing the agreement.</w:t>
            </w:r>
          </w:p>
        </w:tc>
        <w:tc>
          <w:tcPr>
            <w:tcW w:w="3969" w:type="dxa"/>
          </w:tcPr>
          <w:p w14:paraId="29243532" w14:textId="038DCF27" w:rsidR="004C19DB" w:rsidRDefault="00F8500D" w:rsidP="00607B87">
            <w:r>
              <w:t>A</w:t>
            </w:r>
            <w:r w:rsidR="002C09C7">
              <w:t xml:space="preserve">n evaluation plan will be </w:t>
            </w:r>
            <w:r w:rsidR="00AA5A4F">
              <w:t xml:space="preserve">completed </w:t>
            </w:r>
            <w:r w:rsidR="008A174D">
              <w:t xml:space="preserve">as soon as possible, </w:t>
            </w:r>
            <w:r w:rsidR="00AA5A4F">
              <w:t xml:space="preserve">ahead of the next annual review (June 2020). </w:t>
            </w:r>
          </w:p>
        </w:tc>
        <w:tc>
          <w:tcPr>
            <w:tcW w:w="799" w:type="dxa"/>
          </w:tcPr>
          <w:p w14:paraId="67CF2AC4" w14:textId="1A492BA7" w:rsidR="004C19DB" w:rsidRDefault="00513962" w:rsidP="003058C8">
            <w:r>
              <w:t>B</w:t>
            </w:r>
          </w:p>
        </w:tc>
      </w:tr>
      <w:tr w:rsidR="004C19DB" w14:paraId="765CDBA8" w14:textId="77777777" w:rsidTr="004C19DB">
        <w:tc>
          <w:tcPr>
            <w:tcW w:w="988" w:type="dxa"/>
          </w:tcPr>
          <w:p w14:paraId="0B4AFB38" w14:textId="6836D008" w:rsidR="004C19DB" w:rsidRDefault="004C19DB" w:rsidP="003058C8">
            <w:r>
              <w:t>6</w:t>
            </w:r>
          </w:p>
        </w:tc>
        <w:tc>
          <w:tcPr>
            <w:tcW w:w="3260" w:type="dxa"/>
          </w:tcPr>
          <w:p w14:paraId="569442C6" w14:textId="45AEC73B" w:rsidR="004C19DB" w:rsidRDefault="004C19DB">
            <w:r>
              <w:t>For the Advisory Board (made up of Defra, the IDB and other relevant stakeholders) to meet every 6 months</w:t>
            </w:r>
            <w:r w:rsidR="001B27E9">
              <w:t>, to review the progress of the Fund, discuss issues of mutual interest, and share information as needed.</w:t>
            </w:r>
          </w:p>
        </w:tc>
        <w:tc>
          <w:tcPr>
            <w:tcW w:w="3969" w:type="dxa"/>
          </w:tcPr>
          <w:p w14:paraId="0A2C4BBF" w14:textId="2ECBC0C3" w:rsidR="004C19DB" w:rsidRDefault="00513962" w:rsidP="0020318C">
            <w:r>
              <w:t>Defra and the IDB have agreed to delay the first Advisory Board meeting until November 2019</w:t>
            </w:r>
            <w:r w:rsidR="00F8500D">
              <w:t>, instead of September 2019</w:t>
            </w:r>
            <w:r>
              <w:t xml:space="preserve">. This is to enable discussions to focus on the project approval </w:t>
            </w:r>
            <w:r w:rsidR="00F64B08">
              <w:t>process,</w:t>
            </w:r>
            <w:r w:rsidR="003775D3">
              <w:t xml:space="preserve"> </w:t>
            </w:r>
            <w:r>
              <w:t>and this annual review proces</w:t>
            </w:r>
            <w:r w:rsidR="0020318C">
              <w:t>s.</w:t>
            </w:r>
          </w:p>
        </w:tc>
        <w:tc>
          <w:tcPr>
            <w:tcW w:w="799" w:type="dxa"/>
          </w:tcPr>
          <w:p w14:paraId="10D27EF3" w14:textId="024F186E" w:rsidR="004C19DB" w:rsidRDefault="00513962" w:rsidP="003058C8">
            <w:r>
              <w:t>B</w:t>
            </w:r>
          </w:p>
        </w:tc>
      </w:tr>
    </w:tbl>
    <w:p w14:paraId="0778FCF6" w14:textId="5E9A9B19" w:rsidR="00A458B5" w:rsidRDefault="00A458B5" w:rsidP="004C19DB"/>
    <w:p w14:paraId="37AC46B6" w14:textId="0F8BD94E" w:rsidR="00A64078" w:rsidRPr="00ED76D7" w:rsidRDefault="006E3857" w:rsidP="00B4262B">
      <w:pPr>
        <w:pStyle w:val="Heading1"/>
        <w:numPr>
          <w:ilvl w:val="0"/>
          <w:numId w:val="3"/>
        </w:numPr>
        <w:pBdr>
          <w:top w:val="single" w:sz="4" w:space="1"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Style w:val="IntenseEmphasis"/>
          <w:rFonts w:ascii="Calibri" w:eastAsia="Arial" w:hAnsi="Calibri" w:cs="Arial"/>
          <w:b/>
          <w:iCs w:val="0"/>
          <w:color w:val="auto"/>
          <w:sz w:val="24"/>
        </w:rPr>
      </w:pPr>
      <w:r w:rsidRPr="00ED76D7">
        <w:rPr>
          <w:b/>
          <w:color w:val="auto"/>
          <w:sz w:val="24"/>
        </w:rPr>
        <w:lastRenderedPageBreak/>
        <w:t xml:space="preserve">Process </w:t>
      </w:r>
    </w:p>
    <w:p w14:paraId="031C3F69" w14:textId="51F6E15A" w:rsidR="006E3857" w:rsidRDefault="006E3857" w:rsidP="00C1407F">
      <w:pPr>
        <w:rPr>
          <w:b/>
        </w:rPr>
      </w:pPr>
      <w:r w:rsidRPr="006E3857">
        <w:rPr>
          <w:b/>
        </w:rPr>
        <w:t>Business case</w:t>
      </w:r>
    </w:p>
    <w:p w14:paraId="167AAE31" w14:textId="59AECAE3" w:rsidR="006E3857" w:rsidRDefault="006E3857" w:rsidP="00C1407F">
      <w:r>
        <w:t xml:space="preserve">Defra and the IDB worked together to produce a business case for the </w:t>
      </w:r>
      <w:r w:rsidR="00181306">
        <w:t>£12.</w:t>
      </w:r>
      <w:r w:rsidR="00023F96">
        <w:t>7</w:t>
      </w:r>
      <w:r w:rsidR="00181306">
        <w:t xml:space="preserve">5m </w:t>
      </w:r>
      <w:r w:rsidR="00023F96">
        <w:t>investment</w:t>
      </w:r>
      <w:r>
        <w:t xml:space="preserve">, which was approved by Defra Ministers in September 2018. </w:t>
      </w:r>
      <w:r w:rsidR="00C85D76">
        <w:t>In this, the project was referred to as ‘</w:t>
      </w:r>
      <w:r w:rsidR="00C85D76" w:rsidRPr="00C85D76">
        <w:t>the Sustainable Management, Conservation and Restoration of Mangrove Habitats</w:t>
      </w:r>
      <w:r w:rsidR="00C85D76">
        <w:t>’, a title which has since changed</w:t>
      </w:r>
      <w:r w:rsidR="006E428F">
        <w:t xml:space="preserve"> to the UK Blue Carbon Fund</w:t>
      </w:r>
      <w:r w:rsidR="00C85D76">
        <w:t xml:space="preserve">. </w:t>
      </w:r>
      <w:r>
        <w:t xml:space="preserve">The </w:t>
      </w:r>
      <w:r w:rsidR="00C85D76">
        <w:t>proposal</w:t>
      </w:r>
      <w:r>
        <w:t xml:space="preserve"> was approved</w:t>
      </w:r>
      <w:r w:rsidR="00FC1F4A">
        <w:t xml:space="preserve"> by the IDB Board </w:t>
      </w:r>
      <w:r w:rsidR="0020318C">
        <w:t>o</w:t>
      </w:r>
      <w:r w:rsidR="00FC1F4A">
        <w:t xml:space="preserve">n </w:t>
      </w:r>
      <w:r w:rsidR="001D3A6C">
        <w:t>March 21, 2019.</w:t>
      </w:r>
    </w:p>
    <w:p w14:paraId="3E4BE090" w14:textId="267C3EF7" w:rsidR="006E3857" w:rsidRDefault="006E3857" w:rsidP="006E3857">
      <w:pPr>
        <w:rPr>
          <w:i/>
        </w:rPr>
      </w:pPr>
      <w:r w:rsidRPr="006E3857">
        <w:rPr>
          <w:i/>
        </w:rPr>
        <w:t>Recommendations and lessons learned</w:t>
      </w:r>
    </w:p>
    <w:p w14:paraId="63435594" w14:textId="1E0D8CAA" w:rsidR="006E3857" w:rsidRDefault="00C85D76" w:rsidP="00C1407F">
      <w:pPr>
        <w:numPr>
          <w:ilvl w:val="0"/>
          <w:numId w:val="10"/>
        </w:numPr>
      </w:pPr>
      <w:r>
        <w:t xml:space="preserve">To explore, with the IDB, </w:t>
      </w:r>
      <w:r w:rsidR="00F66FCC">
        <w:t>the possibility</w:t>
      </w:r>
      <w:r>
        <w:t xml:space="preserve"> </w:t>
      </w:r>
      <w:r w:rsidR="00F66FCC">
        <w:t xml:space="preserve">of </w:t>
      </w:r>
      <w:r w:rsidR="00675D3A">
        <w:t>designing in-evaluations</w:t>
      </w:r>
      <w:r w:rsidR="00A73B58">
        <w:t xml:space="preserve"> and real-time evaluations</w:t>
      </w:r>
      <w:r w:rsidR="0090723D">
        <w:t xml:space="preserve"> </w:t>
      </w:r>
      <w:r w:rsidR="00675D3A">
        <w:t>for</w:t>
      </w:r>
      <w:r w:rsidR="00F66FCC">
        <w:t xml:space="preserve"> future projects</w:t>
      </w:r>
      <w:r w:rsidR="00E8240C">
        <w:t xml:space="preserve">. </w:t>
      </w:r>
      <w:r w:rsidR="00584596">
        <w:t xml:space="preserve">In-evaluations </w:t>
      </w:r>
      <w:r w:rsidR="00F66FCC">
        <w:t>would involve identifying a group of beneficiaries, and a group of people who are not expected to benefit from the project, at the start of the process. These groups would be monitored throughout the project’</w:t>
      </w:r>
      <w:r w:rsidR="00055F71">
        <w:t>s lifetime</w:t>
      </w:r>
      <w:r>
        <w:t>. Findings</w:t>
      </w:r>
      <w:r w:rsidR="00055F71">
        <w:t xml:space="preserve"> would help to demonstrate the project’s impact, compared to what would have happened had the project not been implemented.</w:t>
      </w:r>
      <w:r w:rsidR="00A73B58">
        <w:t xml:space="preserve"> Real-time evaluations would provide immediate feedback on how well processes are working. </w:t>
      </w:r>
      <w:r w:rsidR="00055F71">
        <w:t xml:space="preserve">In future, Defra will discuss, with delivery partners, building </w:t>
      </w:r>
      <w:r w:rsidR="00A73B58">
        <w:t xml:space="preserve">these </w:t>
      </w:r>
      <w:r>
        <w:t xml:space="preserve">evaluations </w:t>
      </w:r>
      <w:r w:rsidR="00055F71">
        <w:t>into business cases.</w:t>
      </w:r>
      <w:r w:rsidR="00744D6D">
        <w:t xml:space="preserve"> </w:t>
      </w:r>
    </w:p>
    <w:p w14:paraId="27C88083" w14:textId="5CA615B9" w:rsidR="006E3857" w:rsidRPr="006E3857" w:rsidRDefault="006E3857" w:rsidP="00C1407F">
      <w:pPr>
        <w:rPr>
          <w:b/>
        </w:rPr>
      </w:pPr>
      <w:r w:rsidRPr="006E3857">
        <w:rPr>
          <w:b/>
        </w:rPr>
        <w:t>Admin</w:t>
      </w:r>
      <w:r w:rsidR="00FB4E9F">
        <w:rPr>
          <w:b/>
        </w:rPr>
        <w:t>istration</w:t>
      </w:r>
      <w:r w:rsidRPr="006E3857">
        <w:rPr>
          <w:b/>
        </w:rPr>
        <w:t xml:space="preserve"> agreement</w:t>
      </w:r>
    </w:p>
    <w:p w14:paraId="0D4FFECA" w14:textId="084123EB" w:rsidR="004F01D6" w:rsidRDefault="004F01D6" w:rsidP="00C1407F">
      <w:r>
        <w:t>In December 2018</w:t>
      </w:r>
      <w:r w:rsidR="00C85D76">
        <w:t>, the two parties prepared and signed an admin</w:t>
      </w:r>
      <w:r w:rsidR="006E428F">
        <w:t>istration</w:t>
      </w:r>
      <w:r w:rsidR="00C85D76">
        <w:t xml:space="preserve"> agreement</w:t>
      </w:r>
      <w:r>
        <w:t xml:space="preserve">, formally establishing the </w:t>
      </w:r>
      <w:r w:rsidR="000A4092">
        <w:t>F</w:t>
      </w:r>
      <w:r>
        <w:t>und</w:t>
      </w:r>
      <w:r w:rsidR="0020318C">
        <w:t>.</w:t>
      </w:r>
      <w:r>
        <w:t xml:space="preserve">. </w:t>
      </w:r>
      <w:r w:rsidR="00375E51">
        <w:t xml:space="preserve">The parties </w:t>
      </w:r>
      <w:r w:rsidR="005B6AD8">
        <w:t xml:space="preserve">first </w:t>
      </w:r>
      <w:r w:rsidR="00375E51">
        <w:t>agreed the technical coopera</w:t>
      </w:r>
      <w:r w:rsidR="005B6AD8">
        <w:t>tion component of the programme (</w:t>
      </w:r>
      <w:r w:rsidR="00375E51">
        <w:t xml:space="preserve">worth </w:t>
      </w:r>
      <w:r>
        <w:t>£7</w:t>
      </w:r>
      <w:r w:rsidR="00181306">
        <w:t>.775m</w:t>
      </w:r>
      <w:r w:rsidR="005B6AD8">
        <w:t>)</w:t>
      </w:r>
      <w:r>
        <w:t xml:space="preserve"> </w:t>
      </w:r>
      <w:r w:rsidR="00375E51">
        <w:t xml:space="preserve">and committed </w:t>
      </w:r>
      <w:r w:rsidR="005B6AD8">
        <w:t xml:space="preserve">funds for this in the agreement. </w:t>
      </w:r>
      <w:r w:rsidR="00375E51">
        <w:t xml:space="preserve">The parties then went on to agree the blended finance element, and committed the full </w:t>
      </w:r>
      <w:r>
        <w:t>£12</w:t>
      </w:r>
      <w:r w:rsidR="00181306">
        <w:t>.75m</w:t>
      </w:r>
      <w:r w:rsidR="00375E51">
        <w:t xml:space="preserve"> through a superseding admin</w:t>
      </w:r>
      <w:r w:rsidR="00FB4E9F">
        <w:t>istration</w:t>
      </w:r>
      <w:r w:rsidR="00375E51">
        <w:t xml:space="preserve"> agreement, in March 2019</w:t>
      </w:r>
      <w:r w:rsidR="005B6AD8">
        <w:t>.</w:t>
      </w:r>
      <w:r w:rsidR="00556066">
        <w:t xml:space="preserve"> This</w:t>
      </w:r>
      <w:r w:rsidR="00101B29">
        <w:t xml:space="preserve"> </w:t>
      </w:r>
      <w:r w:rsidR="00375E51">
        <w:t xml:space="preserve">agreement </w:t>
      </w:r>
      <w:r w:rsidR="00101B29">
        <w:t>referred to the project as ‘the UK Blue Carbon Fund’</w:t>
      </w:r>
      <w:r w:rsidR="0020318C">
        <w:t xml:space="preserve">. </w:t>
      </w:r>
    </w:p>
    <w:p w14:paraId="7A9BD32E" w14:textId="460BB63A" w:rsidR="00164308" w:rsidRPr="004C5667" w:rsidRDefault="006A11A6" w:rsidP="00164308">
      <w:r>
        <w:t>The disbursement schedule was initially set up</w:t>
      </w:r>
      <w:r w:rsidR="0002220F">
        <w:t xml:space="preserve"> so that £2,534,000 would be paid in 2019, to </w:t>
      </w:r>
      <w:r w:rsidR="005934B1">
        <w:t>fund one project in that financial year.</w:t>
      </w:r>
      <w:r>
        <w:t xml:space="preserve"> </w:t>
      </w:r>
      <w:r w:rsidR="00375E51">
        <w:t xml:space="preserve">In </w:t>
      </w:r>
      <w:r w:rsidR="005F6ABD">
        <w:t>March</w:t>
      </w:r>
      <w:r w:rsidR="00375E51">
        <w:t xml:space="preserve"> and again in </w:t>
      </w:r>
      <w:r w:rsidR="00101B29">
        <w:t>September 2019, th</w:t>
      </w:r>
      <w:r w:rsidR="000A4092">
        <w:t>e</w:t>
      </w:r>
      <w:r w:rsidR="00101B29">
        <w:t xml:space="preserve"> agreement was amended via a side letter</w:t>
      </w:r>
      <w:r w:rsidR="00375E51">
        <w:t xml:space="preserve">, to </w:t>
      </w:r>
      <w:r w:rsidR="005B6AD8">
        <w:t>make changes to</w:t>
      </w:r>
      <w:r w:rsidR="00375E51">
        <w:t xml:space="preserve"> </w:t>
      </w:r>
      <w:r>
        <w:t xml:space="preserve">this </w:t>
      </w:r>
      <w:r w:rsidR="00375E51">
        <w:t>schedule</w:t>
      </w:r>
      <w:r w:rsidR="00101B29">
        <w:t xml:space="preserve">. </w:t>
      </w:r>
      <w:r w:rsidR="00375E51">
        <w:t xml:space="preserve">The final amendment </w:t>
      </w:r>
      <w:r w:rsidR="005B6AD8">
        <w:t xml:space="preserve">made it possible for </w:t>
      </w:r>
      <w:r w:rsidR="00FB4E9F">
        <w:t xml:space="preserve">IDB to drawdown funds </w:t>
      </w:r>
      <w:r w:rsidR="005B6AD8">
        <w:t>to f</w:t>
      </w:r>
      <w:r w:rsidR="00FB4E9F">
        <w:t>inance</w:t>
      </w:r>
      <w:r w:rsidR="005B6AD8">
        <w:t xml:space="preserve"> </w:t>
      </w:r>
      <w:r w:rsidR="00FB4E9F">
        <w:t>two</w:t>
      </w:r>
      <w:r w:rsidR="005B6AD8">
        <w:t xml:space="preserve"> projects </w:t>
      </w:r>
      <w:r w:rsidR="00FB4E9F">
        <w:t xml:space="preserve">(rather than the one anticipated) </w:t>
      </w:r>
      <w:r w:rsidR="005B6AD8">
        <w:t xml:space="preserve">in the 2019 financial year. </w:t>
      </w:r>
      <w:r w:rsidR="00164308">
        <w:t>The IDB require funds to be transferred to their account, before they can put project proposals to their Board for approval. To ensure value for money, Defra monitor the disbursement schedule to assess if the IDB are ahead or behind schedule, and will revise the disbursement schedule if necessary.</w:t>
      </w:r>
    </w:p>
    <w:p w14:paraId="2D4B0720" w14:textId="5DC923FD" w:rsidR="007E1622" w:rsidRDefault="007E1622" w:rsidP="00C1407F"/>
    <w:p w14:paraId="1791C449" w14:textId="3010B5E6" w:rsidR="00101B29" w:rsidRDefault="00101B29" w:rsidP="00AD7C47">
      <w:pPr>
        <w:tabs>
          <w:tab w:val="center" w:pos="4513"/>
        </w:tabs>
        <w:rPr>
          <w:b/>
        </w:rPr>
      </w:pPr>
      <w:r w:rsidRPr="00101B29">
        <w:rPr>
          <w:b/>
        </w:rPr>
        <w:t>Project proposals</w:t>
      </w:r>
      <w:r w:rsidR="00AD7C47">
        <w:rPr>
          <w:b/>
        </w:rPr>
        <w:tab/>
      </w:r>
    </w:p>
    <w:p w14:paraId="4D6DE001" w14:textId="0226A63E" w:rsidR="004231F7" w:rsidRDefault="004231F7" w:rsidP="00101B29">
      <w:r>
        <w:t>The IDB submit project proposals to Defra for approval. As set out in the administration agreement, Defra has 10 days to comment on proposals, and the IDB then has 10 days to respond to these comments. If Defra do</w:t>
      </w:r>
      <w:r w:rsidR="00473309">
        <w:t>es</w:t>
      </w:r>
      <w:r>
        <w:t xml:space="preserve"> not respond within 10 days, their approval will be assumed, and the IDB will proceed to allocate funds to the project. </w:t>
      </w:r>
    </w:p>
    <w:p w14:paraId="556E17C2" w14:textId="64A1C0E3" w:rsidR="004231F7" w:rsidRDefault="004231F7" w:rsidP="00101B29">
      <w:r>
        <w:t xml:space="preserve">Once Defra’s approval has been granted, the project is submitted for formal </w:t>
      </w:r>
      <w:r w:rsidR="00473309">
        <w:t>eligibility</w:t>
      </w:r>
      <w:r>
        <w:t xml:space="preserve"> within the IDB Group, </w:t>
      </w:r>
      <w:r w:rsidRPr="004231F7">
        <w:t>following the eligibility process of the IDB Group entity and finan</w:t>
      </w:r>
      <w:r>
        <w:t>cial instrument of the project.</w:t>
      </w:r>
      <w:r w:rsidRPr="004231F7">
        <w:t xml:space="preserve"> </w:t>
      </w:r>
      <w:r w:rsidR="00473309">
        <w:rPr>
          <w:lang w:val="en-US"/>
        </w:rPr>
        <w:t>This eligibility ensures the project is aligned with country priorities. </w:t>
      </w:r>
      <w:r w:rsidRPr="004231F7">
        <w:t xml:space="preserve">Once a project receives </w:t>
      </w:r>
      <w:r w:rsidR="00473309">
        <w:lastRenderedPageBreak/>
        <w:t>eligibility</w:t>
      </w:r>
      <w:r>
        <w:t>,</w:t>
      </w:r>
      <w:r w:rsidRPr="004231F7">
        <w:t xml:space="preserve"> it g</w:t>
      </w:r>
      <w:r>
        <w:t>oes on to</w:t>
      </w:r>
      <w:r w:rsidR="00473309">
        <w:t xml:space="preserve"> enter</w:t>
      </w:r>
      <w:r>
        <w:t xml:space="preserve"> the formal design phase, where</w:t>
      </w:r>
      <w:r w:rsidRPr="004231F7">
        <w:t xml:space="preserve"> it undergoes quality revision by various IDB Group teams representing country, technical, and financial (if r</w:t>
      </w:r>
      <w:r>
        <w:t>equired) views. Once</w:t>
      </w:r>
      <w:r w:rsidRPr="004231F7">
        <w:t xml:space="preserve"> this </w:t>
      </w:r>
      <w:r>
        <w:t>has been</w:t>
      </w:r>
      <w:r w:rsidRPr="004231F7">
        <w:t xml:space="preserve"> completed, </w:t>
      </w:r>
      <w:r>
        <w:t>the</w:t>
      </w:r>
      <w:r w:rsidRPr="004231F7">
        <w:t xml:space="preserve"> project is submitted to the appropriate approval process internally</w:t>
      </w:r>
      <w:r>
        <w:t>, within the IDB.</w:t>
      </w:r>
      <w:r w:rsidRPr="004231F7">
        <w:t xml:space="preserve"> In the</w:t>
      </w:r>
      <w:r>
        <w:t xml:space="preserve"> unlikely</w:t>
      </w:r>
      <w:r w:rsidRPr="004231F7">
        <w:t xml:space="preserve"> </w:t>
      </w:r>
      <w:r>
        <w:t xml:space="preserve">event that Defra approves a project which is not subsequently approved by the IDB, </w:t>
      </w:r>
      <w:r w:rsidRPr="004231F7">
        <w:t xml:space="preserve">the </w:t>
      </w:r>
      <w:r>
        <w:t xml:space="preserve">IDB’s </w:t>
      </w:r>
      <w:r w:rsidRPr="004231F7">
        <w:t xml:space="preserve">project team can either work with the concerned IDB Group party to seek approval, or the project can be </w:t>
      </w:r>
      <w:r>
        <w:t>removed from</w:t>
      </w:r>
      <w:r w:rsidRPr="004231F7">
        <w:t xml:space="preserve"> </w:t>
      </w:r>
      <w:r>
        <w:t xml:space="preserve">the </w:t>
      </w:r>
      <w:r w:rsidRPr="004231F7">
        <w:t>pipeline</w:t>
      </w:r>
      <w:r>
        <w:t>, with Defra being informed of this.</w:t>
      </w:r>
    </w:p>
    <w:p w14:paraId="0719AD40" w14:textId="315120E1" w:rsidR="002A6F40" w:rsidRDefault="002A6F40" w:rsidP="00101B29">
      <w:r>
        <w:t>Defra have so far approved 2 project propos</w:t>
      </w:r>
      <w:r w:rsidR="009E35AC">
        <w:t xml:space="preserve">als. The first was submitted </w:t>
      </w:r>
      <w:r w:rsidR="00F64B08">
        <w:t>by the IDB in April 2019</w:t>
      </w:r>
      <w:r w:rsidR="009E35AC">
        <w:t>Defra submitted feedback</w:t>
      </w:r>
      <w:r w:rsidR="005A17C5">
        <w:t xml:space="preserve"> on the proposal</w:t>
      </w:r>
      <w:r w:rsidR="009E35AC">
        <w:t xml:space="preserve">, and the IDB </w:t>
      </w:r>
      <w:r w:rsidR="00BC25F4">
        <w:t>responded</w:t>
      </w:r>
      <w:r w:rsidR="009E35AC">
        <w:t xml:space="preserve">, within the agreed timeframes. </w:t>
      </w:r>
      <w:r w:rsidR="005A17C5">
        <w:t>T</w:t>
      </w:r>
      <w:r w:rsidR="009E35AC">
        <w:t xml:space="preserve">he project was </w:t>
      </w:r>
      <w:r w:rsidR="005A17C5">
        <w:t xml:space="preserve">subsequently </w:t>
      </w:r>
      <w:r w:rsidR="009E35AC">
        <w:t>approved</w:t>
      </w:r>
      <w:r w:rsidR="00164308">
        <w:t>,</w:t>
      </w:r>
      <w:r w:rsidR="006747D0">
        <w:t xml:space="preserve"> and fund</w:t>
      </w:r>
      <w:r w:rsidR="00164308">
        <w:t xml:space="preserve">ing to enable the project to begin implementation was released. The project </w:t>
      </w:r>
      <w:r w:rsidR="009E35AC">
        <w:t>is now awaiting clearance from the IDB Board. A second proposal was submi</w:t>
      </w:r>
      <w:r w:rsidR="00273BD7">
        <w:t xml:space="preserve">tted in </w:t>
      </w:r>
      <w:r w:rsidR="00F64B08">
        <w:t>May 2019</w:t>
      </w:r>
      <w:r w:rsidR="009E35AC">
        <w:t xml:space="preserve">. </w:t>
      </w:r>
      <w:r w:rsidR="00F64B08">
        <w:t xml:space="preserve">Within </w:t>
      </w:r>
      <w:r w:rsidR="00BC25F4">
        <w:t xml:space="preserve">the </w:t>
      </w:r>
      <w:r w:rsidR="00F64B08">
        <w:t>10 day</w:t>
      </w:r>
      <w:r w:rsidR="00BC25F4">
        <w:t xml:space="preserve"> period</w:t>
      </w:r>
      <w:r w:rsidR="00F64B08">
        <w:t xml:space="preserve"> </w:t>
      </w:r>
      <w:r w:rsidR="009E35AC">
        <w:t xml:space="preserve">Defra </w:t>
      </w:r>
      <w:r w:rsidR="002D5F61">
        <w:t>provided comments on th</w:t>
      </w:r>
      <w:r w:rsidR="00BC25F4">
        <w:t>e proposal</w:t>
      </w:r>
      <w:r w:rsidR="00782959">
        <w:t xml:space="preserve"> which </w:t>
      </w:r>
      <w:r w:rsidR="00B74C88">
        <w:t xml:space="preserve">included </w:t>
      </w:r>
      <w:r w:rsidR="00BC25F4">
        <w:t xml:space="preserve">a request for the </w:t>
      </w:r>
      <w:r w:rsidR="00273BD7">
        <w:t>addi</w:t>
      </w:r>
      <w:r w:rsidR="00BC25F4">
        <w:t xml:space="preserve">tion of </w:t>
      </w:r>
      <w:r w:rsidR="00273BD7">
        <w:t xml:space="preserve">a further </w:t>
      </w:r>
      <w:r w:rsidR="00BC25F4">
        <w:t xml:space="preserve">project </w:t>
      </w:r>
      <w:r w:rsidR="00273BD7">
        <w:t>component</w:t>
      </w:r>
      <w:r w:rsidR="007537E8">
        <w:t xml:space="preserve"> focusing on alternative livelihoods</w:t>
      </w:r>
      <w:r w:rsidR="001D4214">
        <w:t xml:space="preserve">. </w:t>
      </w:r>
      <w:r w:rsidR="00186955">
        <w:t>In July 2019 the</w:t>
      </w:r>
      <w:r w:rsidR="00F64B08">
        <w:t xml:space="preserve"> IDB re-submitted the proposal </w:t>
      </w:r>
      <w:r w:rsidR="00922089">
        <w:t xml:space="preserve">to Defra </w:t>
      </w:r>
      <w:r w:rsidR="00273BD7">
        <w:t>with the addition</w:t>
      </w:r>
      <w:r w:rsidR="00461259">
        <w:t>al</w:t>
      </w:r>
      <w:r w:rsidR="00CA24BE">
        <w:t xml:space="preserve"> component</w:t>
      </w:r>
      <w:r w:rsidR="00BC25F4">
        <w:t xml:space="preserve"> included</w:t>
      </w:r>
      <w:r w:rsidR="00F64B08">
        <w:t xml:space="preserve">, </w:t>
      </w:r>
      <w:r w:rsidR="00922089">
        <w:t xml:space="preserve">triggering a new </w:t>
      </w:r>
      <w:r w:rsidR="00F64B08">
        <w:t xml:space="preserve">10 day period </w:t>
      </w:r>
      <w:r w:rsidR="00922089">
        <w:t>for</w:t>
      </w:r>
      <w:r w:rsidR="00F64B08">
        <w:t xml:space="preserve"> comments. Defra approved the project </w:t>
      </w:r>
      <w:r w:rsidR="00922089">
        <w:t xml:space="preserve">within the required timeframe </w:t>
      </w:r>
      <w:r w:rsidR="00F64B08">
        <w:t xml:space="preserve">and are currently </w:t>
      </w:r>
      <w:r w:rsidR="00922089">
        <w:t>facilitating the drawdown of funds by IDB</w:t>
      </w:r>
      <w:r w:rsidR="00461259">
        <w:t xml:space="preserve">. </w:t>
      </w:r>
      <w:r w:rsidR="007E6CF5">
        <w:t>A</w:t>
      </w:r>
      <w:r w:rsidR="006747D0">
        <w:t xml:space="preserve">pproval by the IDB Board is required before implementation can begin. </w:t>
      </w:r>
    </w:p>
    <w:p w14:paraId="569FC145" w14:textId="2037BED2" w:rsidR="001D3A6C" w:rsidRPr="009D486D" w:rsidRDefault="001D3A6C" w:rsidP="00101B29">
      <w:r>
        <w:t xml:space="preserve">A pipeline of future projects for 2020 is under development in countries such as Ecuador, Costa Rica, </w:t>
      </w:r>
      <w:r w:rsidR="0060314A">
        <w:t xml:space="preserve">Suriname, Haiti </w:t>
      </w:r>
      <w:r>
        <w:t>and Colombia.</w:t>
      </w:r>
    </w:p>
    <w:p w14:paraId="0730AA24" w14:textId="0559A976" w:rsidR="002A6F40" w:rsidRDefault="00101B29" w:rsidP="002A6F40">
      <w:pPr>
        <w:rPr>
          <w:i/>
        </w:rPr>
      </w:pPr>
      <w:r w:rsidRPr="006E3857">
        <w:rPr>
          <w:i/>
        </w:rPr>
        <w:t>Recommendations and lessons learned</w:t>
      </w:r>
    </w:p>
    <w:p w14:paraId="6AD90A8D" w14:textId="386BCB21" w:rsidR="002D00BC" w:rsidRDefault="002D00BC" w:rsidP="00CA24BE">
      <w:pPr>
        <w:numPr>
          <w:ilvl w:val="0"/>
          <w:numId w:val="13"/>
        </w:numPr>
      </w:pPr>
      <w:r>
        <w:t>Project</w:t>
      </w:r>
      <w:r w:rsidR="00461259">
        <w:t xml:space="preserve"> proposals</w:t>
      </w:r>
      <w:r>
        <w:t xml:space="preserve"> should</w:t>
      </w:r>
      <w:r w:rsidR="00461259">
        <w:t xml:space="preserve"> </w:t>
      </w:r>
      <w:r w:rsidR="0022558B">
        <w:t xml:space="preserve">be explicit in setting </w:t>
      </w:r>
      <w:r w:rsidR="00287D6E">
        <w:t>out how they will tackle</w:t>
      </w:r>
      <w:r>
        <w:t xml:space="preserve"> the </w:t>
      </w:r>
      <w:r w:rsidR="00461259">
        <w:t xml:space="preserve">underlying </w:t>
      </w:r>
      <w:r>
        <w:t xml:space="preserve">drivers of mangrove deforestation/degeneration. This will help to ensure that interventions succeed in bringing about transformational change. </w:t>
      </w:r>
    </w:p>
    <w:p w14:paraId="01A67A3A" w14:textId="219AB792" w:rsidR="005F3DA8" w:rsidRDefault="000867E0" w:rsidP="005F3DA8">
      <w:pPr>
        <w:numPr>
          <w:ilvl w:val="0"/>
          <w:numId w:val="13"/>
        </w:numPr>
      </w:pPr>
      <w:r>
        <w:t xml:space="preserve">Clarity of expectations has been key in shaping the level of detail provided by the IDB to Defra on each project. In future project proposals Defra would expect to see </w:t>
      </w:r>
      <w:r w:rsidR="00744D84">
        <w:t>an outline theory of change, a projected budget b</w:t>
      </w:r>
      <w:r w:rsidR="005F3DA8">
        <w:t>reakdown (including admin</w:t>
      </w:r>
      <w:r w:rsidR="00782959">
        <w:t>istration</w:t>
      </w:r>
      <w:r w:rsidR="005F3DA8">
        <w:t xml:space="preserve"> costs), and background information (e.g. about the region’s </w:t>
      </w:r>
      <w:r w:rsidR="007763D7">
        <w:t>population and</w:t>
      </w:r>
      <w:r w:rsidR="005F3DA8">
        <w:t xml:space="preserve"> key industries, the wider drivers of deforestation, and the condition of the ecosystem/s in question).</w:t>
      </w:r>
    </w:p>
    <w:p w14:paraId="4516AF5E" w14:textId="1865042C" w:rsidR="00E932D9" w:rsidRPr="00CB1A65" w:rsidRDefault="00E932D9" w:rsidP="00B4262B">
      <w:pPr>
        <w:pStyle w:val="Heading1"/>
        <w:numPr>
          <w:ilvl w:val="0"/>
          <w:numId w:val="3"/>
        </w:numPr>
        <w:pBdr>
          <w:top w:val="single" w:sz="4" w:space="1"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Fonts w:ascii="Calibri" w:eastAsia="Arial" w:hAnsi="Calibri" w:cs="Arial"/>
          <w:color w:val="auto"/>
          <w:sz w:val="24"/>
        </w:rPr>
      </w:pPr>
      <w:r w:rsidRPr="00CB1A65">
        <w:rPr>
          <w:b/>
          <w:color w:val="auto"/>
          <w:sz w:val="24"/>
        </w:rPr>
        <w:t>Value for Money and Financial Performance</w:t>
      </w:r>
    </w:p>
    <w:p w14:paraId="28EDE97D" w14:textId="77777777" w:rsidR="00E932D9" w:rsidRDefault="00E932D9" w:rsidP="00E932D9">
      <w:pPr>
        <w:pStyle w:val="Heading7"/>
      </w:pPr>
      <w:r w:rsidRPr="000514CD">
        <w:t>Key cost drivers and performance</w:t>
      </w:r>
    </w:p>
    <w:p w14:paraId="6C4CC8EC" w14:textId="4EEA3594" w:rsidR="00FE09B6" w:rsidRPr="009C69FF" w:rsidRDefault="005B5460" w:rsidP="009C69FF">
      <w:r>
        <w:t>Administrative costs</w:t>
      </w:r>
      <w:r w:rsidR="00FE09B6">
        <w:t xml:space="preserve"> are capped</w:t>
      </w:r>
      <w:r>
        <w:t>,</w:t>
      </w:r>
      <w:r w:rsidR="00FE09B6">
        <w:t xml:space="preserve"> at the program</w:t>
      </w:r>
      <w:r w:rsidR="00CB1A65">
        <w:t>me</w:t>
      </w:r>
      <w:r w:rsidR="00FE09B6">
        <w:t xml:space="preserve"> level</w:t>
      </w:r>
      <w:r>
        <w:t>,</w:t>
      </w:r>
      <w:r w:rsidR="00FE09B6">
        <w:t xml:space="preserve"> at 5%. At the project level,</w:t>
      </w:r>
      <w:r w:rsidR="006309F2">
        <w:t xml:space="preserve"> administrative costs are considered on a case-by-case basis</w:t>
      </w:r>
      <w:r w:rsidR="00604288">
        <w:t>, in line with DFID guidance</w:t>
      </w:r>
      <w:r w:rsidR="006309F2">
        <w:t>.</w:t>
      </w:r>
      <w:r w:rsidR="00473309">
        <w:t xml:space="preserve"> </w:t>
      </w:r>
      <w:r w:rsidR="00473309">
        <w:rPr>
          <w:lang w:val="en-US"/>
        </w:rPr>
        <w:t>They are based on the local needs of the executor, the type of executing agency, and the local cost structure (e.g. some countries have higher costs for labor or services, foreign or domestic travel).</w:t>
      </w:r>
      <w:r w:rsidR="00FE09B6">
        <w:t xml:space="preserve"> Defra and</w:t>
      </w:r>
      <w:r w:rsidR="00CB1A65">
        <w:t xml:space="preserve"> the</w:t>
      </w:r>
      <w:r w:rsidR="00FE09B6">
        <w:t xml:space="preserve"> IDB have worked to lower adminis</w:t>
      </w:r>
      <w:r w:rsidR="00944FCE">
        <w:t xml:space="preserve">trative costs </w:t>
      </w:r>
      <w:r w:rsidR="006A11A6">
        <w:t>to ensure best value for money</w:t>
      </w:r>
      <w:r w:rsidR="00944FCE">
        <w:t>;</w:t>
      </w:r>
      <w:r w:rsidR="00FE09B6">
        <w:t xml:space="preserve"> </w:t>
      </w:r>
      <w:r w:rsidR="00944FCE">
        <w:t>t</w:t>
      </w:r>
      <w:r w:rsidR="00DE1355">
        <w:t>he admin</w:t>
      </w:r>
      <w:r w:rsidR="00782959">
        <w:t>istration</w:t>
      </w:r>
      <w:r w:rsidR="00DE1355">
        <w:t xml:space="preserve"> fees for project 1 are set at 10%, while for project 2, they are </w:t>
      </w:r>
      <w:r w:rsidR="00007AF8">
        <w:t xml:space="preserve">at </w:t>
      </w:r>
      <w:r w:rsidR="00DE1355">
        <w:t>13.3%</w:t>
      </w:r>
      <w:r w:rsidR="00473309">
        <w:t xml:space="preserve"> (this disparity reflects the fact the local cost structure in the Caribbean is generally higher than in other countries)</w:t>
      </w:r>
      <w:r w:rsidR="00BB31AF">
        <w:t>.</w:t>
      </w:r>
      <w:r w:rsidR="00BF290F">
        <w:t xml:space="preserve"> </w:t>
      </w:r>
    </w:p>
    <w:p w14:paraId="4A2332C2" w14:textId="77777777" w:rsidR="00E932D9" w:rsidRDefault="00E932D9" w:rsidP="00E932D9">
      <w:pPr>
        <w:pStyle w:val="Heading7"/>
      </w:pPr>
      <w:r w:rsidRPr="000514CD">
        <w:t>VfM performance</w:t>
      </w:r>
    </w:p>
    <w:p w14:paraId="66C64C2D" w14:textId="088507F7" w:rsidR="00FE09B6" w:rsidRPr="008C20EE" w:rsidRDefault="00FE09B6" w:rsidP="009C69FF">
      <w:r w:rsidRPr="008C20EE">
        <w:rPr>
          <w:i/>
        </w:rPr>
        <w:t>Economy</w:t>
      </w:r>
    </w:p>
    <w:p w14:paraId="728F3E28" w14:textId="240A54DB" w:rsidR="00FE09B6" w:rsidRDefault="007A0E6D" w:rsidP="009C69FF">
      <w:pPr>
        <w:rPr>
          <w:rFonts w:cstheme="minorHAnsi"/>
        </w:rPr>
      </w:pPr>
      <w:r>
        <w:lastRenderedPageBreak/>
        <w:t xml:space="preserve">Project-level costs will be minimised through the </w:t>
      </w:r>
      <w:r w:rsidR="00836FC5">
        <w:t xml:space="preserve">IDB’s </w:t>
      </w:r>
      <w:r>
        <w:t>use of in-country expertise and</w:t>
      </w:r>
      <w:r w:rsidR="002F346A">
        <w:t xml:space="preserve"> existing delivery frameworks. Projected b</w:t>
      </w:r>
      <w:r>
        <w:t>udget breakdowns are provided at project conception</w:t>
      </w:r>
      <w:r w:rsidR="002F346A">
        <w:t>,</w:t>
      </w:r>
      <w:r>
        <w:t xml:space="preserve"> to enable Defra to identify and mitigate any areas of potential financial risk. </w:t>
      </w:r>
      <w:r w:rsidR="00B028CA">
        <w:t>Projects will make use of t</w:t>
      </w:r>
      <w:r w:rsidR="009C69FF">
        <w:t>he incentive-based instruments of the IDB Group (e.g. technical cooperation grants, loans, high-risk investment grants and equity)</w:t>
      </w:r>
      <w:r w:rsidR="00B028CA">
        <w:t xml:space="preserve">. In order to maximise value for money, </w:t>
      </w:r>
      <w:r w:rsidR="00443AEE">
        <w:t xml:space="preserve">instruments will be tailored to the individual intervention. </w:t>
      </w:r>
    </w:p>
    <w:p w14:paraId="3E2220EA" w14:textId="77777777" w:rsidR="00FE09B6" w:rsidRDefault="00FE09B6" w:rsidP="009C69FF">
      <w:pPr>
        <w:rPr>
          <w:rFonts w:cstheme="minorHAnsi"/>
          <w:i/>
        </w:rPr>
      </w:pPr>
      <w:r>
        <w:rPr>
          <w:rFonts w:cstheme="minorHAnsi"/>
          <w:i/>
        </w:rPr>
        <w:t>Efficiency</w:t>
      </w:r>
    </w:p>
    <w:p w14:paraId="168C430A" w14:textId="030883BE" w:rsidR="00FE09B6" w:rsidRPr="00FE09B6" w:rsidRDefault="007A0E6D" w:rsidP="009C69FF">
      <w:pPr>
        <w:rPr>
          <w:rFonts w:cstheme="minorHAnsi"/>
        </w:rPr>
      </w:pPr>
      <w:r>
        <w:rPr>
          <w:rFonts w:cstheme="minorHAnsi"/>
        </w:rPr>
        <w:t xml:space="preserve">Efficiency in project design </w:t>
      </w:r>
      <w:r w:rsidR="00160F18">
        <w:rPr>
          <w:rFonts w:cstheme="minorHAnsi"/>
        </w:rPr>
        <w:t>is</w:t>
      </w:r>
      <w:r>
        <w:rPr>
          <w:rFonts w:cstheme="minorHAnsi"/>
        </w:rPr>
        <w:t xml:space="preserve"> being driven through the use of innovative financial and technical instruments, leveraging IDB expertise in the Natural Capital Lab and Sustainable Islands Platform. </w:t>
      </w:r>
      <w:r w:rsidR="00160F18">
        <w:rPr>
          <w:rFonts w:cstheme="minorHAnsi"/>
        </w:rPr>
        <w:t xml:space="preserve">At </w:t>
      </w:r>
      <w:r>
        <w:rPr>
          <w:rFonts w:cstheme="minorHAnsi"/>
        </w:rPr>
        <w:t>this stage in program</w:t>
      </w:r>
      <w:r w:rsidR="00160F18">
        <w:rPr>
          <w:rFonts w:cstheme="minorHAnsi"/>
        </w:rPr>
        <w:t>me</w:t>
      </w:r>
      <w:r>
        <w:rPr>
          <w:rFonts w:cstheme="minorHAnsi"/>
        </w:rPr>
        <w:t xml:space="preserve"> life,</w:t>
      </w:r>
      <w:r w:rsidR="00160F18">
        <w:rPr>
          <w:rFonts w:cstheme="minorHAnsi"/>
        </w:rPr>
        <w:t xml:space="preserve"> however,</w:t>
      </w:r>
      <w:r>
        <w:rPr>
          <w:rFonts w:cstheme="minorHAnsi"/>
        </w:rPr>
        <w:t xml:space="preserve"> it is too early to assess the effectiveness of different paths</w:t>
      </w:r>
      <w:r w:rsidR="00160F18">
        <w:rPr>
          <w:rFonts w:cstheme="minorHAnsi"/>
        </w:rPr>
        <w:t>,</w:t>
      </w:r>
      <w:r>
        <w:rPr>
          <w:rFonts w:cstheme="minorHAnsi"/>
        </w:rPr>
        <w:t xml:space="preserve"> from inputs to outputs</w:t>
      </w:r>
      <w:r w:rsidR="00160F18">
        <w:rPr>
          <w:rFonts w:cstheme="minorHAnsi"/>
        </w:rPr>
        <w:t>,</w:t>
      </w:r>
      <w:r>
        <w:rPr>
          <w:rFonts w:cstheme="minorHAnsi"/>
        </w:rPr>
        <w:t xml:space="preserve"> at the project level.</w:t>
      </w:r>
    </w:p>
    <w:p w14:paraId="70105748" w14:textId="77777777" w:rsidR="00FE09B6" w:rsidRDefault="00FE09B6" w:rsidP="009C69FF">
      <w:pPr>
        <w:rPr>
          <w:rFonts w:cstheme="minorHAnsi"/>
          <w:i/>
        </w:rPr>
      </w:pPr>
      <w:r>
        <w:rPr>
          <w:rFonts w:cstheme="minorHAnsi"/>
          <w:i/>
        </w:rPr>
        <w:t>Effectiveness</w:t>
      </w:r>
    </w:p>
    <w:p w14:paraId="61F22228" w14:textId="13EF13DB" w:rsidR="00FE09B6" w:rsidRPr="00FE09B6" w:rsidRDefault="00FE09B6" w:rsidP="009C69FF">
      <w:pPr>
        <w:rPr>
          <w:rFonts w:cstheme="minorHAnsi"/>
        </w:rPr>
      </w:pPr>
      <w:r>
        <w:rPr>
          <w:rFonts w:cstheme="minorHAnsi"/>
        </w:rPr>
        <w:t xml:space="preserve">At this stage </w:t>
      </w:r>
      <w:r w:rsidR="00B74C88">
        <w:rPr>
          <w:rFonts w:cstheme="minorHAnsi"/>
        </w:rPr>
        <w:t xml:space="preserve">of </w:t>
      </w:r>
      <w:r>
        <w:rPr>
          <w:rFonts w:cstheme="minorHAnsi"/>
        </w:rPr>
        <w:t>program</w:t>
      </w:r>
      <w:r w:rsidR="00160F18">
        <w:rPr>
          <w:rFonts w:cstheme="minorHAnsi"/>
        </w:rPr>
        <w:t>me</w:t>
      </w:r>
      <w:r w:rsidR="00B74C88">
        <w:rPr>
          <w:rFonts w:cstheme="minorHAnsi"/>
        </w:rPr>
        <w:t xml:space="preserve"> implementation</w:t>
      </w:r>
      <w:r>
        <w:rPr>
          <w:rFonts w:cstheme="minorHAnsi"/>
        </w:rPr>
        <w:t>, it is too early to assess the path from outputs to outcomes at the project level.</w:t>
      </w:r>
      <w:r w:rsidR="00160F18">
        <w:rPr>
          <w:rFonts w:cstheme="minorHAnsi"/>
        </w:rPr>
        <w:t xml:space="preserve"> </w:t>
      </w:r>
    </w:p>
    <w:p w14:paraId="6E3AE9A7" w14:textId="77777777" w:rsidR="00FE09B6" w:rsidRDefault="00FE09B6" w:rsidP="009C69FF">
      <w:pPr>
        <w:rPr>
          <w:rFonts w:cstheme="minorHAnsi"/>
          <w:i/>
        </w:rPr>
      </w:pPr>
      <w:r>
        <w:rPr>
          <w:rFonts w:cstheme="minorHAnsi"/>
          <w:i/>
        </w:rPr>
        <w:t>Equity</w:t>
      </w:r>
    </w:p>
    <w:p w14:paraId="330D459A" w14:textId="37AACC22" w:rsidR="00E932D9" w:rsidRPr="00636B4D" w:rsidRDefault="00FE09B6" w:rsidP="008C20EE">
      <w:r>
        <w:rPr>
          <w:rFonts w:cstheme="minorHAnsi"/>
        </w:rPr>
        <w:t>Relevant indicators at the project and program</w:t>
      </w:r>
      <w:r w:rsidR="00160F18">
        <w:rPr>
          <w:rFonts w:cstheme="minorHAnsi"/>
        </w:rPr>
        <w:t>me</w:t>
      </w:r>
      <w:r>
        <w:rPr>
          <w:rFonts w:cstheme="minorHAnsi"/>
        </w:rPr>
        <w:t xml:space="preserve"> level will be disaggregated by gender, to robustly monitor the gender impacts of program</w:t>
      </w:r>
      <w:r w:rsidR="00160F18">
        <w:rPr>
          <w:rFonts w:cstheme="minorHAnsi"/>
        </w:rPr>
        <w:t>me</w:t>
      </w:r>
      <w:r>
        <w:rPr>
          <w:rFonts w:cstheme="minorHAnsi"/>
        </w:rPr>
        <w:t xml:space="preserve"> implementation. Further assessment of equity considerations across the program</w:t>
      </w:r>
      <w:r w:rsidR="00160F18">
        <w:rPr>
          <w:rFonts w:cstheme="minorHAnsi"/>
        </w:rPr>
        <w:t>me</w:t>
      </w:r>
      <w:r>
        <w:rPr>
          <w:rFonts w:cstheme="minorHAnsi"/>
        </w:rPr>
        <w:t xml:space="preserve"> will be undertaken once projects reach implementation.</w:t>
      </w:r>
    </w:p>
    <w:p w14:paraId="1F33ECA8" w14:textId="77777777" w:rsidR="00E932D9" w:rsidRPr="007A0E6D" w:rsidRDefault="00E932D9" w:rsidP="009C69FF">
      <w:pPr>
        <w:spacing w:after="240" w:line="276" w:lineRule="auto"/>
        <w:jc w:val="both"/>
        <w:rPr>
          <w:rFonts w:ascii="Calibri" w:hAnsi="Calibri"/>
          <w:i/>
        </w:rPr>
      </w:pPr>
      <w:r w:rsidRPr="007A0E6D">
        <w:rPr>
          <w:rFonts w:ascii="Calibri" w:hAnsi="Calibri"/>
          <w:i/>
        </w:rPr>
        <w:t>Auditing standards and frequency</w:t>
      </w:r>
    </w:p>
    <w:p w14:paraId="3A854963" w14:textId="4B28BE68" w:rsidR="00181306" w:rsidRDefault="00181306" w:rsidP="00181306">
      <w:pPr>
        <w:spacing w:after="240" w:line="276" w:lineRule="auto"/>
        <w:jc w:val="both"/>
        <w:rPr>
          <w:rFonts w:ascii="Calibri" w:hAnsi="Calibri"/>
        </w:rPr>
      </w:pPr>
      <w:r>
        <w:rPr>
          <w:rFonts w:ascii="Calibri" w:hAnsi="Calibri"/>
        </w:rPr>
        <w:t>The admin</w:t>
      </w:r>
      <w:r w:rsidR="00380290">
        <w:rPr>
          <w:rFonts w:ascii="Calibri" w:hAnsi="Calibri"/>
        </w:rPr>
        <w:t>istration</w:t>
      </w:r>
      <w:r>
        <w:rPr>
          <w:rFonts w:ascii="Calibri" w:hAnsi="Calibri"/>
        </w:rPr>
        <w:t xml:space="preserve"> agreement states that the IDB will audit financial statements and return these to Defra no later than June 30 of every second year of the Fund, and upon the termination of the agreement. The first audited financial statement is due in June 2020. Unaudited financial statements should be shared by the IDB, no later than April 30, each year. </w:t>
      </w:r>
      <w:r w:rsidR="00597763">
        <w:rPr>
          <w:rFonts w:ascii="Calibri" w:hAnsi="Calibri"/>
        </w:rPr>
        <w:t>The first is expected in April 2020.</w:t>
      </w:r>
    </w:p>
    <w:p w14:paraId="2428B4C8" w14:textId="61BF9156" w:rsidR="003058C8" w:rsidRPr="00160F18" w:rsidRDefault="003058C8" w:rsidP="00B4262B">
      <w:pPr>
        <w:pStyle w:val="Heading1"/>
        <w:numPr>
          <w:ilvl w:val="0"/>
          <w:numId w:val="3"/>
        </w:numPr>
        <w:pBdr>
          <w:top w:val="single" w:sz="4" w:space="1"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Style w:val="IntenseEmphasis"/>
          <w:rFonts w:ascii="Calibri" w:eastAsia="Arial" w:hAnsi="Calibri" w:cs="Arial"/>
          <w:b/>
          <w:iCs w:val="0"/>
          <w:color w:val="auto"/>
          <w:sz w:val="24"/>
        </w:rPr>
      </w:pPr>
      <w:r w:rsidRPr="00160F18">
        <w:rPr>
          <w:b/>
          <w:color w:val="auto"/>
          <w:sz w:val="24"/>
        </w:rPr>
        <w:t>Risk</w:t>
      </w:r>
      <w:r w:rsidR="00322EBF" w:rsidRPr="00160F18">
        <w:rPr>
          <w:b/>
          <w:color w:val="auto"/>
          <w:sz w:val="24"/>
        </w:rPr>
        <w:t>s</w:t>
      </w:r>
    </w:p>
    <w:p w14:paraId="48AC2017" w14:textId="77777777" w:rsidR="003058C8" w:rsidRPr="008C20EE" w:rsidRDefault="003058C8" w:rsidP="003058C8">
      <w:pPr>
        <w:spacing w:before="240" w:line="276" w:lineRule="auto"/>
        <w:jc w:val="both"/>
        <w:rPr>
          <w:rFonts w:ascii="Calibri" w:hAnsi="Calibri"/>
          <w:b/>
        </w:rPr>
      </w:pPr>
      <w:r w:rsidRPr="008C20EE">
        <w:rPr>
          <w:rStyle w:val="IntenseEmphasis"/>
          <w:rFonts w:ascii="Calibri" w:hAnsi="Calibri"/>
          <w:b/>
          <w:i w:val="0"/>
          <w:color w:val="auto"/>
        </w:rPr>
        <w:t>Overall risk rating</w:t>
      </w:r>
      <w:r w:rsidRPr="008C20EE">
        <w:rPr>
          <w:rFonts w:ascii="Calibri" w:hAnsi="Calibri"/>
          <w:b/>
        </w:rPr>
        <w:t xml:space="preserve">: </w:t>
      </w:r>
    </w:p>
    <w:p w14:paraId="0E57FE7B" w14:textId="2FDA4CC4" w:rsidR="003058C8" w:rsidRPr="000514CD" w:rsidRDefault="003058C8" w:rsidP="003058C8">
      <w:pPr>
        <w:spacing w:after="240" w:line="276" w:lineRule="auto"/>
        <w:jc w:val="both"/>
        <w:rPr>
          <w:rFonts w:ascii="Calibri" w:hAnsi="Calibri"/>
          <w:b/>
        </w:rPr>
      </w:pPr>
      <w:r w:rsidRPr="00F377B4">
        <w:rPr>
          <w:rFonts w:ascii="Calibri" w:hAnsi="Calibri"/>
        </w:rPr>
        <w:t xml:space="preserve">The programme risk maintains a </w:t>
      </w:r>
      <w:r w:rsidR="00B73D3C">
        <w:rPr>
          <w:rFonts w:ascii="Calibri" w:hAnsi="Calibri"/>
          <w:b/>
        </w:rPr>
        <w:t>moderate</w:t>
      </w:r>
      <w:r w:rsidRPr="00F377B4">
        <w:rPr>
          <w:rFonts w:ascii="Calibri" w:hAnsi="Calibri"/>
        </w:rPr>
        <w:t xml:space="preserve"> rating at the end of its first year</w:t>
      </w:r>
      <w:r>
        <w:rPr>
          <w:rFonts w:ascii="Calibri" w:hAnsi="Calibri"/>
        </w:rPr>
        <w:t>.</w:t>
      </w:r>
    </w:p>
    <w:p w14:paraId="60CA6C47" w14:textId="77777777" w:rsidR="003058C8" w:rsidRDefault="003058C8" w:rsidP="003058C8">
      <w:pPr>
        <w:pStyle w:val="Heading7"/>
      </w:pPr>
      <w:r w:rsidRPr="000514CD">
        <w:t>Overview of programme risk</w:t>
      </w:r>
    </w:p>
    <w:p w14:paraId="0DBA3688" w14:textId="0FE37CC9" w:rsidR="003B436F" w:rsidRDefault="00D852B1" w:rsidP="00734BE4">
      <w:pPr>
        <w:tabs>
          <w:tab w:val="left" w:pos="1395"/>
        </w:tabs>
      </w:pPr>
      <w:r>
        <w:t>Two</w:t>
      </w:r>
      <w:r w:rsidR="0090119F">
        <w:t xml:space="preserve"> overarching</w:t>
      </w:r>
      <w:r>
        <w:t xml:space="preserve"> risks were originally identified, but only one remains at this stage.</w:t>
      </w:r>
      <w:r w:rsidR="00FE1D01">
        <w:t xml:space="preserve"> </w:t>
      </w:r>
      <w:r w:rsidR="0090119F">
        <w:t>These risks are outlined below.</w:t>
      </w:r>
    </w:p>
    <w:tbl>
      <w:tblPr>
        <w:tblStyle w:val="TableGrid"/>
        <w:tblW w:w="0" w:type="auto"/>
        <w:tblLook w:val="04A0" w:firstRow="1" w:lastRow="0" w:firstColumn="1" w:lastColumn="0" w:noHBand="0" w:noVBand="1"/>
      </w:tblPr>
      <w:tblGrid>
        <w:gridCol w:w="2341"/>
        <w:gridCol w:w="2420"/>
        <w:gridCol w:w="2350"/>
        <w:gridCol w:w="1905"/>
      </w:tblGrid>
      <w:tr w:rsidR="0090119F" w14:paraId="3A0EDC44" w14:textId="58237171" w:rsidTr="0090119F">
        <w:tc>
          <w:tcPr>
            <w:tcW w:w="2341" w:type="dxa"/>
          </w:tcPr>
          <w:p w14:paraId="70C434E4" w14:textId="32446832" w:rsidR="0090119F" w:rsidRPr="00DD2398" w:rsidRDefault="0090119F" w:rsidP="0039654A">
            <w:pPr>
              <w:spacing w:line="276" w:lineRule="auto"/>
              <w:jc w:val="both"/>
              <w:rPr>
                <w:rFonts w:ascii="Calibri" w:hAnsi="Calibri"/>
                <w:b/>
              </w:rPr>
            </w:pPr>
            <w:r w:rsidRPr="00DD2398">
              <w:rPr>
                <w:rFonts w:ascii="Calibri" w:hAnsi="Calibri"/>
                <w:b/>
              </w:rPr>
              <w:t>Risk</w:t>
            </w:r>
          </w:p>
        </w:tc>
        <w:tc>
          <w:tcPr>
            <w:tcW w:w="2420" w:type="dxa"/>
          </w:tcPr>
          <w:p w14:paraId="322DFD0C" w14:textId="055E143E" w:rsidR="0090119F" w:rsidRPr="00DD2398" w:rsidRDefault="0090119F" w:rsidP="0039654A">
            <w:pPr>
              <w:spacing w:line="276" w:lineRule="auto"/>
              <w:jc w:val="both"/>
              <w:rPr>
                <w:rFonts w:ascii="Calibri" w:hAnsi="Calibri"/>
                <w:b/>
              </w:rPr>
            </w:pPr>
            <w:r w:rsidRPr="00DD2398">
              <w:rPr>
                <w:rFonts w:ascii="Calibri" w:hAnsi="Calibri"/>
                <w:b/>
              </w:rPr>
              <w:t>Mitigation</w:t>
            </w:r>
          </w:p>
        </w:tc>
        <w:tc>
          <w:tcPr>
            <w:tcW w:w="2350" w:type="dxa"/>
          </w:tcPr>
          <w:p w14:paraId="295196B1" w14:textId="053B4C58" w:rsidR="0090119F" w:rsidRPr="00DD2398" w:rsidRDefault="0090119F" w:rsidP="0039654A">
            <w:pPr>
              <w:spacing w:line="276" w:lineRule="auto"/>
              <w:jc w:val="both"/>
              <w:rPr>
                <w:rFonts w:ascii="Calibri" w:hAnsi="Calibri"/>
                <w:b/>
              </w:rPr>
            </w:pPr>
            <w:r w:rsidRPr="00DD2398">
              <w:rPr>
                <w:rFonts w:ascii="Calibri" w:hAnsi="Calibri"/>
                <w:b/>
              </w:rPr>
              <w:t>Contingency</w:t>
            </w:r>
          </w:p>
        </w:tc>
        <w:tc>
          <w:tcPr>
            <w:tcW w:w="1905" w:type="dxa"/>
          </w:tcPr>
          <w:p w14:paraId="62C3F3DC" w14:textId="456703C8" w:rsidR="0090119F" w:rsidRPr="00DD2398" w:rsidRDefault="0090119F" w:rsidP="0090119F">
            <w:pPr>
              <w:spacing w:line="276" w:lineRule="auto"/>
              <w:jc w:val="both"/>
              <w:rPr>
                <w:rFonts w:ascii="Calibri" w:hAnsi="Calibri"/>
                <w:b/>
              </w:rPr>
            </w:pPr>
            <w:r>
              <w:rPr>
                <w:rFonts w:ascii="Calibri" w:hAnsi="Calibri"/>
                <w:b/>
              </w:rPr>
              <w:t>Open/Closed</w:t>
            </w:r>
          </w:p>
        </w:tc>
      </w:tr>
      <w:tr w:rsidR="0090119F" w14:paraId="12A31DDE" w14:textId="126F29C6" w:rsidTr="0090119F">
        <w:tc>
          <w:tcPr>
            <w:tcW w:w="2341" w:type="dxa"/>
          </w:tcPr>
          <w:p w14:paraId="6724FFFB" w14:textId="3B6617BA" w:rsidR="0090119F" w:rsidRDefault="0090119F" w:rsidP="0039654A">
            <w:pPr>
              <w:spacing w:line="276" w:lineRule="auto"/>
              <w:jc w:val="both"/>
              <w:rPr>
                <w:rFonts w:ascii="Calibri" w:hAnsi="Calibri"/>
              </w:rPr>
            </w:pPr>
            <w:r>
              <w:rPr>
                <w:rFonts w:ascii="Calibri" w:hAnsi="Calibri"/>
              </w:rPr>
              <w:t>New issues arise that make it difficult to deliver in target countries, e.g. a change in a country’s political situation.</w:t>
            </w:r>
          </w:p>
        </w:tc>
        <w:tc>
          <w:tcPr>
            <w:tcW w:w="2420" w:type="dxa"/>
          </w:tcPr>
          <w:p w14:paraId="117D33E0" w14:textId="3C3961C6" w:rsidR="0090119F" w:rsidRDefault="0090119F" w:rsidP="0039654A">
            <w:pPr>
              <w:spacing w:line="276" w:lineRule="auto"/>
              <w:jc w:val="both"/>
              <w:rPr>
                <w:rFonts w:ascii="Calibri" w:hAnsi="Calibri"/>
              </w:rPr>
            </w:pPr>
            <w:r>
              <w:rPr>
                <w:rFonts w:ascii="Calibri" w:hAnsi="Calibri"/>
              </w:rPr>
              <w:t xml:space="preserve">Defra and the IDB agreed a set of eligible criteria, outlined in the administration agreement, which all projects must adhere to. </w:t>
            </w:r>
            <w:r>
              <w:rPr>
                <w:rFonts w:ascii="Calibri" w:hAnsi="Calibri"/>
              </w:rPr>
              <w:lastRenderedPageBreak/>
              <w:t>Defra will work with partners across HMG to understand the risks of working in certain environments, and to identify the best means of mitigating these risks. HMG and the IDB will work closely together to implement actions to address any such risks.</w:t>
            </w:r>
          </w:p>
        </w:tc>
        <w:tc>
          <w:tcPr>
            <w:tcW w:w="2350" w:type="dxa"/>
          </w:tcPr>
          <w:p w14:paraId="0B3BDD3D" w14:textId="7BA82332" w:rsidR="0090119F" w:rsidRDefault="0090119F" w:rsidP="00C30DD3">
            <w:pPr>
              <w:spacing w:line="276" w:lineRule="auto"/>
              <w:jc w:val="both"/>
              <w:rPr>
                <w:rFonts w:ascii="Calibri" w:hAnsi="Calibri"/>
              </w:rPr>
            </w:pPr>
            <w:r>
              <w:rPr>
                <w:rFonts w:ascii="Calibri" w:hAnsi="Calibri"/>
              </w:rPr>
              <w:lastRenderedPageBreak/>
              <w:t>If necessary, Defra and the IDB could agree to reroute funding to other ODA eligible countries.</w:t>
            </w:r>
          </w:p>
        </w:tc>
        <w:tc>
          <w:tcPr>
            <w:tcW w:w="1905" w:type="dxa"/>
          </w:tcPr>
          <w:p w14:paraId="4DA24527" w14:textId="7A1E05A8" w:rsidR="0090119F" w:rsidRDefault="0090119F" w:rsidP="00C30DD3">
            <w:pPr>
              <w:spacing w:line="276" w:lineRule="auto"/>
              <w:jc w:val="both"/>
              <w:rPr>
                <w:rFonts w:ascii="Calibri" w:hAnsi="Calibri"/>
              </w:rPr>
            </w:pPr>
            <w:r>
              <w:rPr>
                <w:rFonts w:ascii="Calibri" w:hAnsi="Calibri"/>
              </w:rPr>
              <w:t>Open</w:t>
            </w:r>
          </w:p>
        </w:tc>
      </w:tr>
      <w:tr w:rsidR="0090119F" w14:paraId="41562C46" w14:textId="77777777" w:rsidTr="0090119F">
        <w:tc>
          <w:tcPr>
            <w:tcW w:w="2341" w:type="dxa"/>
          </w:tcPr>
          <w:p w14:paraId="21860619" w14:textId="3BFD5C4B" w:rsidR="0090119F" w:rsidDel="00D852B1" w:rsidRDefault="0090119F" w:rsidP="00607B87">
            <w:pPr>
              <w:rPr>
                <w:rFonts w:ascii="Calibri" w:hAnsi="Calibri"/>
              </w:rPr>
            </w:pPr>
            <w:r w:rsidRPr="00607B87">
              <w:rPr>
                <w:rFonts w:ascii="Calibri" w:hAnsi="Calibri"/>
                <w:color w:val="000000"/>
                <w:szCs w:val="18"/>
              </w:rPr>
              <w:t>Delays in clearances and agreeing the admin</w:t>
            </w:r>
            <w:r w:rsidR="00BF290F">
              <w:rPr>
                <w:rFonts w:ascii="Calibri" w:hAnsi="Calibri"/>
                <w:color w:val="000000"/>
                <w:szCs w:val="18"/>
              </w:rPr>
              <w:t>istrative</w:t>
            </w:r>
            <w:r w:rsidRPr="00607B87">
              <w:rPr>
                <w:rFonts w:ascii="Calibri" w:hAnsi="Calibri"/>
                <w:color w:val="000000"/>
                <w:szCs w:val="18"/>
              </w:rPr>
              <w:t xml:space="preserve"> agreement results in </w:t>
            </w:r>
            <w:r w:rsidR="00BF290F">
              <w:rPr>
                <w:rFonts w:ascii="Calibri" w:hAnsi="Calibri"/>
                <w:color w:val="000000"/>
                <w:szCs w:val="18"/>
              </w:rPr>
              <w:t xml:space="preserve">Defra </w:t>
            </w:r>
            <w:r w:rsidRPr="00607B87">
              <w:rPr>
                <w:rFonts w:ascii="Calibri" w:hAnsi="Calibri"/>
                <w:color w:val="000000"/>
                <w:szCs w:val="18"/>
              </w:rPr>
              <w:t xml:space="preserve">not being ready to make payment by the end of the </w:t>
            </w:r>
            <w:r w:rsidR="00BF290F" w:rsidRPr="00BF290F">
              <w:rPr>
                <w:rFonts w:ascii="Calibri" w:hAnsi="Calibri"/>
                <w:color w:val="000000"/>
                <w:szCs w:val="18"/>
              </w:rPr>
              <w:t>financial year. This</w:t>
            </w:r>
            <w:r w:rsidRPr="00607B87">
              <w:rPr>
                <w:rFonts w:ascii="Calibri" w:hAnsi="Calibri"/>
                <w:color w:val="000000"/>
                <w:szCs w:val="18"/>
              </w:rPr>
              <w:t xml:space="preserve"> risks losing the money to pay for the remainder of the project. </w:t>
            </w:r>
          </w:p>
        </w:tc>
        <w:tc>
          <w:tcPr>
            <w:tcW w:w="2420" w:type="dxa"/>
          </w:tcPr>
          <w:p w14:paraId="2DA4A2BB" w14:textId="0BAF29A6" w:rsidR="0090119F" w:rsidRDefault="0090119F" w:rsidP="00607B87">
            <w:pPr>
              <w:spacing w:line="276" w:lineRule="auto"/>
              <w:rPr>
                <w:rFonts w:ascii="Calibri" w:hAnsi="Calibri"/>
              </w:rPr>
            </w:pPr>
            <w:r w:rsidRPr="0090119F">
              <w:rPr>
                <w:rFonts w:ascii="Calibri" w:hAnsi="Calibri"/>
              </w:rPr>
              <w:t>Ensure</w:t>
            </w:r>
            <w:r>
              <w:rPr>
                <w:rFonts w:ascii="Calibri" w:hAnsi="Calibri"/>
              </w:rPr>
              <w:t xml:space="preserve"> </w:t>
            </w:r>
            <w:r w:rsidRPr="0090119F">
              <w:rPr>
                <w:rFonts w:ascii="Calibri" w:hAnsi="Calibri"/>
              </w:rPr>
              <w:t>consistent comm</w:t>
            </w:r>
            <w:r>
              <w:rPr>
                <w:rFonts w:ascii="Calibri" w:hAnsi="Calibri"/>
              </w:rPr>
              <w:t>unication with delivery partner, m</w:t>
            </w:r>
            <w:r w:rsidRPr="0090119F">
              <w:rPr>
                <w:rFonts w:ascii="Calibri" w:hAnsi="Calibri"/>
              </w:rPr>
              <w:t>onitor timel</w:t>
            </w:r>
            <w:r>
              <w:rPr>
                <w:rFonts w:ascii="Calibri" w:hAnsi="Calibri"/>
              </w:rPr>
              <w:t>ines closely and b</w:t>
            </w:r>
            <w:r w:rsidRPr="0090119F">
              <w:rPr>
                <w:rFonts w:ascii="Calibri" w:hAnsi="Calibri"/>
              </w:rPr>
              <w:t>egin disc</w:t>
            </w:r>
            <w:r>
              <w:rPr>
                <w:rFonts w:ascii="Calibri" w:hAnsi="Calibri"/>
              </w:rPr>
              <w:t>ussions on the admin</w:t>
            </w:r>
            <w:r w:rsidR="003E5F45">
              <w:rPr>
                <w:rFonts w:ascii="Calibri" w:hAnsi="Calibri"/>
              </w:rPr>
              <w:t>istrative</w:t>
            </w:r>
            <w:r>
              <w:rPr>
                <w:rFonts w:ascii="Calibri" w:hAnsi="Calibri"/>
              </w:rPr>
              <w:t xml:space="preserve"> agreement early on.</w:t>
            </w:r>
          </w:p>
        </w:tc>
        <w:tc>
          <w:tcPr>
            <w:tcW w:w="2350" w:type="dxa"/>
          </w:tcPr>
          <w:p w14:paraId="2003BBDF" w14:textId="0E737E62" w:rsidR="0090119F" w:rsidRDefault="0090119F" w:rsidP="00607B87">
            <w:pPr>
              <w:spacing w:line="276" w:lineRule="auto"/>
              <w:rPr>
                <w:rFonts w:ascii="Calibri" w:hAnsi="Calibri"/>
              </w:rPr>
            </w:pPr>
            <w:r w:rsidRPr="0090119F">
              <w:rPr>
                <w:rFonts w:ascii="Calibri" w:hAnsi="Calibri"/>
              </w:rPr>
              <w:t>Find the £5m from el</w:t>
            </w:r>
            <w:r>
              <w:rPr>
                <w:rFonts w:ascii="Calibri" w:hAnsi="Calibri"/>
              </w:rPr>
              <w:t xml:space="preserve">sewhere in the ODA budget for the </w:t>
            </w:r>
            <w:r w:rsidRPr="0090119F">
              <w:rPr>
                <w:rFonts w:ascii="Calibri" w:hAnsi="Calibri"/>
              </w:rPr>
              <w:t>19/20</w:t>
            </w:r>
            <w:r>
              <w:rPr>
                <w:rFonts w:ascii="Calibri" w:hAnsi="Calibri"/>
              </w:rPr>
              <w:t xml:space="preserve"> financial year.</w:t>
            </w:r>
          </w:p>
        </w:tc>
        <w:tc>
          <w:tcPr>
            <w:tcW w:w="1905" w:type="dxa"/>
          </w:tcPr>
          <w:p w14:paraId="4A4B2EFB" w14:textId="59BB1B95" w:rsidR="0090119F" w:rsidRDefault="0090119F" w:rsidP="00607B87">
            <w:pPr>
              <w:spacing w:line="276" w:lineRule="auto"/>
              <w:rPr>
                <w:rFonts w:ascii="Calibri" w:hAnsi="Calibri"/>
              </w:rPr>
            </w:pPr>
            <w:r>
              <w:rPr>
                <w:rFonts w:ascii="Calibri" w:hAnsi="Calibri"/>
              </w:rPr>
              <w:t>Closed</w:t>
            </w:r>
          </w:p>
        </w:tc>
      </w:tr>
    </w:tbl>
    <w:p w14:paraId="06307D6B" w14:textId="079CA956" w:rsidR="00692085" w:rsidRDefault="00692085" w:rsidP="00DD2398">
      <w:pPr>
        <w:spacing w:line="276" w:lineRule="auto"/>
        <w:jc w:val="both"/>
        <w:rPr>
          <w:rFonts w:ascii="Calibri" w:hAnsi="Calibri"/>
        </w:rPr>
      </w:pPr>
    </w:p>
    <w:p w14:paraId="445F3C2E" w14:textId="36547EF0" w:rsidR="0039654A" w:rsidRPr="00386C8A" w:rsidRDefault="00386C8A" w:rsidP="0039654A">
      <w:pPr>
        <w:spacing w:line="276" w:lineRule="auto"/>
        <w:jc w:val="both"/>
      </w:pPr>
      <w:r w:rsidRPr="00386C8A">
        <w:t>Project-specific risks are flagged by the IDB in project proposals. Risk registers are maintained by both Defra and the ID</w:t>
      </w:r>
      <w:r w:rsidR="00A07151" w:rsidRPr="00A07151">
        <w:t>B</w:t>
      </w:r>
      <w:r w:rsidR="00A07151">
        <w:t>, and are monitored regularly.</w:t>
      </w:r>
      <w:r w:rsidRPr="00386C8A">
        <w:t xml:space="preserve"> As projects are developed, and as new projects are approved, </w:t>
      </w:r>
      <w:r w:rsidR="00A07151">
        <w:t>risk</w:t>
      </w:r>
      <w:r w:rsidRPr="00386C8A">
        <w:t xml:space="preserve"> registers are updated.</w:t>
      </w:r>
    </w:p>
    <w:p w14:paraId="5DF58E09" w14:textId="2655B681" w:rsidR="00A64078" w:rsidRPr="001A60E0" w:rsidRDefault="00A64078" w:rsidP="00B4262B">
      <w:pPr>
        <w:pStyle w:val="Heading1"/>
        <w:numPr>
          <w:ilvl w:val="0"/>
          <w:numId w:val="3"/>
        </w:numPr>
        <w:pBdr>
          <w:top w:val="single" w:sz="4" w:space="1"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Style w:val="IntenseEmphasis"/>
          <w:rFonts w:ascii="Calibri" w:eastAsia="Arial" w:hAnsi="Calibri" w:cs="Arial"/>
          <w:b/>
          <w:iCs w:val="0"/>
          <w:color w:val="auto"/>
          <w:sz w:val="24"/>
        </w:rPr>
      </w:pPr>
      <w:r w:rsidRPr="001A60E0">
        <w:rPr>
          <w:b/>
          <w:color w:val="auto"/>
          <w:sz w:val="24"/>
        </w:rPr>
        <w:t xml:space="preserve">Commercial </w:t>
      </w:r>
      <w:r w:rsidR="00322EBF" w:rsidRPr="001A60E0">
        <w:rPr>
          <w:b/>
          <w:color w:val="auto"/>
          <w:sz w:val="24"/>
        </w:rPr>
        <w:t>C</w:t>
      </w:r>
      <w:r w:rsidRPr="001A60E0">
        <w:rPr>
          <w:b/>
          <w:color w:val="auto"/>
          <w:sz w:val="24"/>
        </w:rPr>
        <w:t>onsiderations</w:t>
      </w:r>
    </w:p>
    <w:p w14:paraId="50A8D774" w14:textId="4FBA02BB" w:rsidR="003058C8" w:rsidRDefault="00A64078" w:rsidP="003058C8">
      <w:pPr>
        <w:rPr>
          <w:b/>
        </w:rPr>
      </w:pPr>
      <w:r>
        <w:rPr>
          <w:b/>
        </w:rPr>
        <w:t>Delivery against planned timeframe</w:t>
      </w:r>
    </w:p>
    <w:p w14:paraId="79D74BA2" w14:textId="72F33B29" w:rsidR="00A64078" w:rsidRPr="005D394E" w:rsidRDefault="00A64078" w:rsidP="00A64078">
      <w:r>
        <w:t xml:space="preserve">There </w:t>
      </w:r>
      <w:r w:rsidR="001D4214">
        <w:t xml:space="preserve">have been </w:t>
      </w:r>
      <w:r w:rsidR="00631963">
        <w:t>some</w:t>
      </w:r>
      <w:r w:rsidR="00ED121F">
        <w:t xml:space="preserve"> </w:t>
      </w:r>
      <w:r w:rsidR="00236A39">
        <w:t>delay</w:t>
      </w:r>
      <w:r w:rsidR="001D4214">
        <w:t>s</w:t>
      </w:r>
      <w:r>
        <w:t xml:space="preserve"> to progress against the delivery plan. These are:  </w:t>
      </w:r>
    </w:p>
    <w:p w14:paraId="537D79C4" w14:textId="04E80670" w:rsidR="00A64078" w:rsidRDefault="001D4214" w:rsidP="00962ABA">
      <w:pPr>
        <w:numPr>
          <w:ilvl w:val="0"/>
          <w:numId w:val="15"/>
        </w:numPr>
      </w:pPr>
      <w:r>
        <w:t xml:space="preserve">Project 1: </w:t>
      </w:r>
      <w:r w:rsidR="00A64078">
        <w:t xml:space="preserve">The first disbursement was made in May 2019, one month later than scheduled. </w:t>
      </w:r>
      <w:r w:rsidR="001B27E9">
        <w:t xml:space="preserve">This was because Defra had comments on the IDB’s initial proposal, which meant that it needed updating. This process </w:t>
      </w:r>
      <w:r w:rsidR="005934B1">
        <w:t xml:space="preserve">resulted in the project not being approved </w:t>
      </w:r>
      <w:r w:rsidR="001B27E9">
        <w:t xml:space="preserve">until early May, with the disbursement made soon after. </w:t>
      </w:r>
    </w:p>
    <w:p w14:paraId="0839E230" w14:textId="15749293" w:rsidR="00E72B13" w:rsidRDefault="001D4214" w:rsidP="00962ABA">
      <w:pPr>
        <w:numPr>
          <w:ilvl w:val="0"/>
          <w:numId w:val="15"/>
        </w:numPr>
      </w:pPr>
      <w:r>
        <w:t xml:space="preserve">Project 1: </w:t>
      </w:r>
      <w:r w:rsidR="00E72B13">
        <w:t xml:space="preserve">The IDB Board’s approval of this project has been delayed, </w:t>
      </w:r>
      <w:r w:rsidR="00E72B13" w:rsidRPr="005F0AC7">
        <w:t>due</w:t>
      </w:r>
      <w:r w:rsidR="001B27E9" w:rsidRPr="005F0AC7">
        <w:t xml:space="preserve"> to</w:t>
      </w:r>
      <w:r w:rsidR="00E72B13" w:rsidRPr="005F0AC7">
        <w:t xml:space="preserve"> </w:t>
      </w:r>
      <w:r w:rsidR="001B27E9" w:rsidRPr="005F0AC7">
        <w:t xml:space="preserve">negotiations with the </w:t>
      </w:r>
      <w:r w:rsidR="00631963" w:rsidRPr="005F0AC7">
        <w:t>executing agency</w:t>
      </w:r>
      <w:r w:rsidR="00E72B13" w:rsidRPr="005F0AC7">
        <w:t>. The IDB Board are now expected to approve</w:t>
      </w:r>
      <w:r w:rsidR="00E72B13">
        <w:t xml:space="preserve"> this project in November 2019.</w:t>
      </w:r>
    </w:p>
    <w:p w14:paraId="164540E5" w14:textId="7ECCDAFB" w:rsidR="00A64078" w:rsidRPr="00A64078" w:rsidRDefault="00A64078" w:rsidP="00962ABA">
      <w:pPr>
        <w:numPr>
          <w:ilvl w:val="0"/>
          <w:numId w:val="15"/>
        </w:numPr>
      </w:pPr>
      <w:r>
        <w:t>T</w:t>
      </w:r>
      <w:r w:rsidRPr="00F377B4">
        <w:t xml:space="preserve">he first Advisory Board meeting has been delayed </w:t>
      </w:r>
      <w:r w:rsidR="00631963">
        <w:t>until November</w:t>
      </w:r>
      <w:r>
        <w:t xml:space="preserve"> 2019</w:t>
      </w:r>
      <w:r w:rsidRPr="00F377B4">
        <w:t>.</w:t>
      </w:r>
      <w:r>
        <w:t xml:space="preserve"> </w:t>
      </w:r>
      <w:r w:rsidRPr="00461BD3">
        <w:t xml:space="preserve">This delay was by mutual agreement, as both parties felt it would allow them to reflect on </w:t>
      </w:r>
      <w:r w:rsidR="00613381">
        <w:t>project approval process.</w:t>
      </w:r>
    </w:p>
    <w:p w14:paraId="4A7398CE" w14:textId="2E07AF5A" w:rsidR="00A64078" w:rsidRDefault="00A64078" w:rsidP="003058C8">
      <w:pPr>
        <w:rPr>
          <w:b/>
        </w:rPr>
      </w:pPr>
      <w:r>
        <w:rPr>
          <w:b/>
        </w:rPr>
        <w:t xml:space="preserve">Performance of partnership </w:t>
      </w:r>
    </w:p>
    <w:p w14:paraId="5CF691C8" w14:textId="314E457E" w:rsidR="00CD2271" w:rsidRPr="00CD2271" w:rsidRDefault="00CD2271" w:rsidP="003058C8">
      <w:r w:rsidRPr="00CD2271">
        <w:lastRenderedPageBreak/>
        <w:t>The partnership between Defra and the IDB has worked well during the programme’s first year; the two parties maintain regular contact, and have good working relationships. Defra have found the IDB to be flexible, adaptable and quick to respond. For example, the IDB were eager to discuss Defra’s comments on the second project proposal, and to incorporate them into the re-submitted version. Both parties agreed that this collaboration strengthened the proposal, which was subsequently approved by Defra.</w:t>
      </w:r>
    </w:p>
    <w:p w14:paraId="7475ED0B" w14:textId="1E1648A2" w:rsidR="007A0E6D" w:rsidRPr="00CD2271" w:rsidRDefault="00CD2271" w:rsidP="00CD2271">
      <w:pPr>
        <w:pStyle w:val="Heading1"/>
        <w:numPr>
          <w:ilvl w:val="0"/>
          <w:numId w:val="3"/>
        </w:numPr>
        <w:pBdr>
          <w:top w:val="single" w:sz="4" w:space="0" w:color="auto"/>
          <w:left w:val="single" w:sz="4" w:space="1" w:color="auto"/>
          <w:bottom w:val="single" w:sz="4" w:space="1" w:color="auto"/>
          <w:right w:val="single" w:sz="4" w:space="1" w:color="auto"/>
          <w:between w:val="nil"/>
        </w:pBdr>
        <w:shd w:val="clear" w:color="auto" w:fill="DEEAF6" w:themeFill="accent1" w:themeFillTint="33"/>
        <w:spacing w:after="240" w:line="276" w:lineRule="auto"/>
        <w:jc w:val="both"/>
        <w:rPr>
          <w:rStyle w:val="IntenseEmphasis"/>
          <w:rFonts w:ascii="Calibri" w:eastAsia="Arial" w:hAnsi="Calibri" w:cs="Arial"/>
          <w:b/>
          <w:i w:val="0"/>
          <w:iCs w:val="0"/>
          <w:color w:val="000000" w:themeColor="text1"/>
          <w:sz w:val="24"/>
          <w:szCs w:val="24"/>
        </w:rPr>
      </w:pPr>
      <w:r w:rsidRPr="00CD2271">
        <w:rPr>
          <w:b/>
          <w:color w:val="000000" w:themeColor="text1"/>
          <w:sz w:val="24"/>
          <w:szCs w:val="24"/>
        </w:rPr>
        <w:t>Monitoring and Evaluation</w:t>
      </w:r>
      <w:r w:rsidR="00287D6E" w:rsidRPr="00CD2271">
        <w:rPr>
          <w:b/>
          <w:color w:val="000000" w:themeColor="text1"/>
          <w:sz w:val="24"/>
          <w:szCs w:val="24"/>
        </w:rPr>
        <w:t xml:space="preserve"> </w:t>
      </w:r>
    </w:p>
    <w:p w14:paraId="11A31D82" w14:textId="70AE950B" w:rsidR="007E6CF5" w:rsidRDefault="00F54644" w:rsidP="007E6CF5">
      <w:pPr>
        <w:rPr>
          <w:b/>
        </w:rPr>
      </w:pPr>
      <w:r w:rsidRPr="008C20EE">
        <w:rPr>
          <w:b/>
        </w:rPr>
        <w:t xml:space="preserve">Programme Design </w:t>
      </w:r>
    </w:p>
    <w:p w14:paraId="7132718A" w14:textId="512D683E" w:rsidR="00597C4E" w:rsidRPr="00B038AE" w:rsidRDefault="007E6CF5" w:rsidP="007E6CF5">
      <w:pPr>
        <w:rPr>
          <w:i/>
        </w:rPr>
      </w:pPr>
      <w:r w:rsidRPr="00B038AE">
        <w:rPr>
          <w:i/>
        </w:rPr>
        <w:t>Theory of change</w:t>
      </w:r>
    </w:p>
    <w:p w14:paraId="271C08F4" w14:textId="1E7C201E" w:rsidR="005823B8" w:rsidRPr="008C20EE" w:rsidRDefault="00F54644" w:rsidP="008C20EE">
      <w:r w:rsidRPr="008C20EE">
        <w:t>A theory of change</w:t>
      </w:r>
      <w:r w:rsidR="005823B8">
        <w:t xml:space="preserve"> (Annex A)</w:t>
      </w:r>
      <w:r w:rsidRPr="008C20EE">
        <w:t xml:space="preserve"> was </w:t>
      </w:r>
      <w:r w:rsidR="00362A18" w:rsidRPr="008C20EE">
        <w:t xml:space="preserve">collaboratively </w:t>
      </w:r>
      <w:r w:rsidRPr="008C20EE">
        <w:t xml:space="preserve">developed during the business case process, and will be refined further to reflect </w:t>
      </w:r>
      <w:r w:rsidR="00631963">
        <w:t xml:space="preserve">projects funded by the end of </w:t>
      </w:r>
      <w:r w:rsidRPr="008C20EE">
        <w:t>2019.</w:t>
      </w:r>
      <w:r w:rsidR="00631963">
        <w:t xml:space="preserve"> The</w:t>
      </w:r>
      <w:r w:rsidR="00362A18" w:rsidRPr="008C20EE">
        <w:t xml:space="preserve"> theory of change will be tested and refined annually throughout program</w:t>
      </w:r>
      <w:r w:rsidR="007E6CF5">
        <w:t>me</w:t>
      </w:r>
      <w:r w:rsidR="00362A18" w:rsidRPr="008C20EE">
        <w:t xml:space="preserve"> lifetime, to ensure that assumptions continue to reflect the context of operation</w:t>
      </w:r>
      <w:r w:rsidR="00CE73D9">
        <w:t>s</w:t>
      </w:r>
      <w:r w:rsidR="00362A18" w:rsidRPr="008C20EE">
        <w:t xml:space="preserve"> on the ground.</w:t>
      </w:r>
    </w:p>
    <w:p w14:paraId="62D9E68C" w14:textId="033C0D7C" w:rsidR="007A0E6D" w:rsidRPr="008C20EE" w:rsidRDefault="007A0E6D" w:rsidP="007A0E6D">
      <w:pPr>
        <w:pStyle w:val="Heading3"/>
        <w:rPr>
          <w:rFonts w:asciiTheme="minorHAnsi" w:hAnsiTheme="minorHAnsi"/>
          <w:b/>
          <w:color w:val="auto"/>
          <w:sz w:val="22"/>
          <w:szCs w:val="22"/>
        </w:rPr>
      </w:pPr>
      <w:r w:rsidRPr="008C20EE">
        <w:rPr>
          <w:rFonts w:asciiTheme="minorHAnsi" w:hAnsiTheme="minorHAnsi"/>
          <w:b/>
          <w:color w:val="auto"/>
          <w:sz w:val="22"/>
          <w:szCs w:val="22"/>
        </w:rPr>
        <w:t>Evidence and evaluation</w:t>
      </w:r>
    </w:p>
    <w:p w14:paraId="252FE7A6" w14:textId="74AD3DED" w:rsidR="007E6CF5" w:rsidRDefault="00F54644" w:rsidP="00631963">
      <w:pPr>
        <w:tabs>
          <w:tab w:val="left" w:pos="5190"/>
        </w:tabs>
        <w:jc w:val="both"/>
      </w:pPr>
      <w:r w:rsidRPr="005823B8">
        <w:t>An initial log</w:t>
      </w:r>
      <w:r w:rsidR="000A2AEB" w:rsidRPr="005823B8">
        <w:t xml:space="preserve"> </w:t>
      </w:r>
      <w:r w:rsidRPr="005823B8">
        <w:t xml:space="preserve">frame </w:t>
      </w:r>
      <w:r w:rsidR="005823B8">
        <w:t xml:space="preserve">(Annex B) </w:t>
      </w:r>
      <w:r w:rsidRPr="005823B8">
        <w:t>for the program</w:t>
      </w:r>
      <w:r w:rsidR="000A2AEB" w:rsidRPr="005823B8">
        <w:t>me</w:t>
      </w:r>
      <w:r w:rsidRPr="005823B8">
        <w:t xml:space="preserve"> was developed during the business case process. </w:t>
      </w:r>
      <w:r w:rsidR="007E6CF5">
        <w:t>The log frame’s outcomes and outputs do not yet have impact weightings</w:t>
      </w:r>
      <w:r w:rsidR="00631963">
        <w:t>,</w:t>
      </w:r>
      <w:r w:rsidR="007E6CF5">
        <w:t xml:space="preserve"> and do not all have baseline data; the log frame will be up</w:t>
      </w:r>
      <w:r w:rsidR="007E6CF5" w:rsidRPr="005823B8">
        <w:t xml:space="preserve">dated </w:t>
      </w:r>
      <w:r w:rsidR="00CE73D9">
        <w:t>in</w:t>
      </w:r>
      <w:r w:rsidR="007E6CF5" w:rsidRPr="005823B8">
        <w:t xml:space="preserve"> early 2020</w:t>
      </w:r>
      <w:r w:rsidR="007E6CF5">
        <w:t>,</w:t>
      </w:r>
      <w:r w:rsidR="007E6CF5" w:rsidRPr="005823B8">
        <w:t xml:space="preserve"> as projects com</w:t>
      </w:r>
      <w:r w:rsidR="007E6CF5">
        <w:t>e into the implementation phase</w:t>
      </w:r>
      <w:r w:rsidR="007E6CF5" w:rsidRPr="005823B8">
        <w:t xml:space="preserve"> and</w:t>
      </w:r>
      <w:r w:rsidR="00631963">
        <w:t xml:space="preserve"> as</w:t>
      </w:r>
      <w:r w:rsidR="007E6CF5" w:rsidRPr="005823B8">
        <w:t xml:space="preserve"> further projects are chosen for funding.</w:t>
      </w:r>
      <w:r w:rsidR="007E6CF5">
        <w:t xml:space="preserve"> The logical framework’s outcomes and outputs are set out below.</w:t>
      </w:r>
    </w:p>
    <w:p w14:paraId="39D689F2" w14:textId="77777777" w:rsidR="007E6CF5" w:rsidRPr="002055B4" w:rsidRDefault="007E6CF5" w:rsidP="007E6CF5">
      <w:pPr>
        <w:pStyle w:val="Heading7"/>
        <w:rPr>
          <w:b w:val="0"/>
          <w:i/>
        </w:rPr>
      </w:pPr>
      <w:r w:rsidRPr="002055B4">
        <w:rPr>
          <w:b w:val="0"/>
          <w:i/>
        </w:rPr>
        <w:t>Outcomes</w:t>
      </w:r>
    </w:p>
    <w:p w14:paraId="7676DD0E" w14:textId="77777777" w:rsidR="007E6CF5" w:rsidRPr="00F377B4" w:rsidRDefault="007E6CF5" w:rsidP="007E6CF5">
      <w:r w:rsidRPr="00FE3B0B">
        <w:rPr>
          <w:b/>
        </w:rPr>
        <w:t>Outcome Indicator 1:</w:t>
      </w:r>
      <w:r w:rsidRPr="00FE3B0B">
        <w:t xml:space="preserve"> </w:t>
      </w:r>
      <w:r>
        <w:t>Environment: ICF-IDB programme is successful in contributing to biodiversity conservation, sustainable use of natural resources and climate change adaptation and mitigation. This creates the incentive for others to act towards these goals.</w:t>
      </w:r>
    </w:p>
    <w:p w14:paraId="490B619D" w14:textId="77777777" w:rsidR="007E6CF5" w:rsidRPr="00921F70" w:rsidRDefault="007E6CF5" w:rsidP="007E6CF5">
      <w:pPr>
        <w:rPr>
          <w:b/>
        </w:rPr>
      </w:pPr>
      <w:r w:rsidRPr="00FE3B0B">
        <w:rPr>
          <w:b/>
        </w:rPr>
        <w:t>Outcome Indicator 2:</w:t>
      </w:r>
      <w:r>
        <w:rPr>
          <w:b/>
        </w:rPr>
        <w:t xml:space="preserve"> </w:t>
      </w:r>
      <w:r w:rsidRPr="0052435A">
        <w:t>Development:</w:t>
      </w:r>
      <w:r w:rsidRPr="00FE3B0B">
        <w:rPr>
          <w:b/>
        </w:rPr>
        <w:t xml:space="preserve"> </w:t>
      </w:r>
      <w:r w:rsidRPr="00921F70">
        <w:t>ICF-IDB program</w:t>
      </w:r>
      <w:r>
        <w:t>me</w:t>
      </w:r>
      <w:r w:rsidRPr="00921F70">
        <w:t xml:space="preserve"> delivers positive outcomes for communities at the lo</w:t>
      </w:r>
      <w:r>
        <w:t>cal and national level, embedding</w:t>
      </w:r>
      <w:r w:rsidRPr="00921F70">
        <w:t xml:space="preserve"> a sustained change in attitudes towards mangrove restoration and/or protection.</w:t>
      </w:r>
    </w:p>
    <w:p w14:paraId="54ACA3DE" w14:textId="77777777" w:rsidR="007E6CF5" w:rsidRDefault="007E6CF5" w:rsidP="007E6CF5">
      <w:r w:rsidRPr="00FE3B0B">
        <w:rPr>
          <w:b/>
        </w:rPr>
        <w:t>Outcome Indicator 3:</w:t>
      </w:r>
      <w:r>
        <w:rPr>
          <w:b/>
        </w:rPr>
        <w:t xml:space="preserve"> </w:t>
      </w:r>
      <w:r w:rsidRPr="0052435A">
        <w:t>Finance: ICF</w:t>
      </w:r>
      <w:r>
        <w:t>-IDB programme is successful in mobilising the financial sector to address issues and drive transformational change in the protection and restoration of mangroves in Latin America and the Caribbean.</w:t>
      </w:r>
    </w:p>
    <w:p w14:paraId="7E1761B3" w14:textId="77777777" w:rsidR="007E6CF5" w:rsidRPr="002055B4" w:rsidRDefault="007E6CF5" w:rsidP="007E6CF5">
      <w:pPr>
        <w:rPr>
          <w:i/>
        </w:rPr>
      </w:pPr>
      <w:r w:rsidRPr="002055B4">
        <w:rPr>
          <w:i/>
        </w:rPr>
        <w:t>Ouputs</w:t>
      </w:r>
    </w:p>
    <w:p w14:paraId="620BF900" w14:textId="77777777" w:rsidR="007E6CF5" w:rsidRDefault="007E6CF5" w:rsidP="007E6CF5">
      <w:r w:rsidRPr="00EC2C75">
        <w:rPr>
          <w:b/>
        </w:rPr>
        <w:t>Output 1:</w:t>
      </w:r>
      <w:r w:rsidRPr="00EC2C75">
        <w:t xml:space="preserve"> Policy Frameworks: Assistance provided to develop and improve local and national frameworks for governance of mangrove forests in partner countries</w:t>
      </w:r>
      <w:r>
        <w:t>.</w:t>
      </w:r>
    </w:p>
    <w:p w14:paraId="005C6147" w14:textId="77777777" w:rsidR="007E6CF5" w:rsidRDefault="007E6CF5" w:rsidP="007E6CF5">
      <w:r w:rsidRPr="00EC2C75">
        <w:rPr>
          <w:b/>
        </w:rPr>
        <w:t xml:space="preserve">Output 2: </w:t>
      </w:r>
      <w:r w:rsidRPr="00EC2C75">
        <w:t>Community Management: Capacity building to enable communities to fully realise the co-benefits of improved outcomes in mangrove protection</w:t>
      </w:r>
      <w:r>
        <w:t>.</w:t>
      </w:r>
    </w:p>
    <w:p w14:paraId="730C7FF6" w14:textId="184B6998" w:rsidR="007E6CF5" w:rsidRDefault="007E6CF5" w:rsidP="007E6CF5">
      <w:r w:rsidRPr="00EC2C75">
        <w:rPr>
          <w:b/>
        </w:rPr>
        <w:t>Output 3:</w:t>
      </w:r>
      <w:r>
        <w:t xml:space="preserve"> </w:t>
      </w:r>
      <w:r w:rsidRPr="00EC2C75">
        <w:t>Alternative Livelihoods: Development of alternative livelihoods an</w:t>
      </w:r>
      <w:r w:rsidR="006608B4">
        <w:t>d</w:t>
      </w:r>
      <w:r w:rsidRPr="00EC2C75">
        <w:t xml:space="preserve"> improved economic outlook for local communities through community-management and training activities</w:t>
      </w:r>
      <w:r>
        <w:t>.</w:t>
      </w:r>
    </w:p>
    <w:p w14:paraId="4195EFCA" w14:textId="77777777" w:rsidR="007E6CF5" w:rsidRDefault="007E6CF5" w:rsidP="007E6CF5">
      <w:r w:rsidRPr="00EC2C75">
        <w:rPr>
          <w:b/>
        </w:rPr>
        <w:lastRenderedPageBreak/>
        <w:t>Output 4:</w:t>
      </w:r>
      <w:r>
        <w:t xml:space="preserve"> </w:t>
      </w:r>
      <w:r w:rsidRPr="00EC2C75">
        <w:t>Innovation Competition: ICF-IDB program supports businesses focused on technological or business-focused innovation in the field of mangrove protection or restoration, with direct benefits for local communities</w:t>
      </w:r>
      <w:r>
        <w:t>.</w:t>
      </w:r>
    </w:p>
    <w:p w14:paraId="301CDE24" w14:textId="77777777" w:rsidR="007E6CF5" w:rsidRPr="002055B4" w:rsidRDefault="007E6CF5" w:rsidP="007E6CF5">
      <w:pPr>
        <w:rPr>
          <w:i/>
        </w:rPr>
      </w:pPr>
      <w:r w:rsidRPr="002055B4">
        <w:rPr>
          <w:i/>
        </w:rPr>
        <w:t>Assumptions</w:t>
      </w:r>
    </w:p>
    <w:p w14:paraId="07CD84CB" w14:textId="3CA80A31" w:rsidR="00780744" w:rsidRPr="00597763" w:rsidRDefault="001D3A6C" w:rsidP="00A67093">
      <w:r w:rsidRPr="00597763">
        <w:t>The assumptions for the indicator framework include:</w:t>
      </w:r>
    </w:p>
    <w:p w14:paraId="2F8487B1" w14:textId="277DB90C" w:rsidR="001D3A6C" w:rsidRPr="00597763" w:rsidRDefault="00597763" w:rsidP="00597763">
      <w:pPr>
        <w:pStyle w:val="ListParagraph"/>
        <w:numPr>
          <w:ilvl w:val="0"/>
          <w:numId w:val="14"/>
        </w:numPr>
      </w:pPr>
      <w:r>
        <w:t>The a</w:t>
      </w:r>
      <w:r w:rsidRPr="00597763">
        <w:t xml:space="preserve">vailability </w:t>
      </w:r>
      <w:r w:rsidR="001D3A6C" w:rsidRPr="00597763">
        <w:t>of primary data on mangrove coverage, reforestation, degradation, health and sufficient data to calculate associated carbon and ecosystem service values.  In cases where data is not available</w:t>
      </w:r>
      <w:r>
        <w:t>,</w:t>
      </w:r>
      <w:r w:rsidR="001D3A6C" w:rsidRPr="00597763">
        <w:t xml:space="preserve"> projects will seek to collect this data or find a proxy.</w:t>
      </w:r>
    </w:p>
    <w:p w14:paraId="169C8B9D" w14:textId="716AFDD7" w:rsidR="001D3A6C" w:rsidRPr="00597763" w:rsidRDefault="00597763" w:rsidP="00597763">
      <w:pPr>
        <w:pStyle w:val="ListParagraph"/>
        <w:numPr>
          <w:ilvl w:val="0"/>
          <w:numId w:val="14"/>
        </w:numPr>
      </w:pPr>
      <w:r>
        <w:t>The a</w:t>
      </w:r>
      <w:r w:rsidRPr="00597763">
        <w:t xml:space="preserve">vailability </w:t>
      </w:r>
      <w:r w:rsidR="001D3A6C" w:rsidRPr="00597763">
        <w:t>of data on co-benefits</w:t>
      </w:r>
      <w:r>
        <w:t>,</w:t>
      </w:r>
      <w:r w:rsidR="001D3A6C" w:rsidRPr="00597763">
        <w:t xml:space="preserve"> such as </w:t>
      </w:r>
      <w:r w:rsidR="00115F57" w:rsidRPr="00597763">
        <w:t>livelihoods</w:t>
      </w:r>
      <w:r w:rsidR="001D3A6C" w:rsidRPr="00597763">
        <w:t>, biodiversity</w:t>
      </w:r>
      <w:r>
        <w:t xml:space="preserve"> and</w:t>
      </w:r>
      <w:r w:rsidR="001D3A6C" w:rsidRPr="00597763">
        <w:t xml:space="preserve"> resilience.</w:t>
      </w:r>
    </w:p>
    <w:p w14:paraId="75BDB1DD" w14:textId="3674D50B" w:rsidR="00115F57" w:rsidRPr="00597763" w:rsidRDefault="00115F57" w:rsidP="00597763">
      <w:pPr>
        <w:pStyle w:val="ListParagraph"/>
        <w:numPr>
          <w:ilvl w:val="0"/>
          <w:numId w:val="14"/>
        </w:numPr>
      </w:pPr>
      <w:r w:rsidRPr="00597763">
        <w:t xml:space="preserve">Sufficient institutional and human capacity to support programming. </w:t>
      </w:r>
    </w:p>
    <w:p w14:paraId="0F9D2028" w14:textId="309922CF" w:rsidR="00115F57" w:rsidRPr="00597763" w:rsidRDefault="00597763" w:rsidP="00597763">
      <w:pPr>
        <w:pStyle w:val="ListParagraph"/>
        <w:numPr>
          <w:ilvl w:val="0"/>
          <w:numId w:val="14"/>
        </w:numPr>
      </w:pPr>
      <w:r>
        <w:t>That p</w:t>
      </w:r>
      <w:r w:rsidRPr="00597763">
        <w:t xml:space="preserve">olicy </w:t>
      </w:r>
      <w:r w:rsidR="00115F57" w:rsidRPr="00597763">
        <w:t>makers, private sector and other stakeholders will be receptive to science-based and economic-based argumentation on the benefits of mangrove conservation</w:t>
      </w:r>
    </w:p>
    <w:p w14:paraId="7070D2F8" w14:textId="7DD922DB" w:rsidR="001D3A6C" w:rsidRPr="00597763" w:rsidRDefault="00597763" w:rsidP="00597763">
      <w:pPr>
        <w:pStyle w:val="ListParagraph"/>
        <w:numPr>
          <w:ilvl w:val="0"/>
          <w:numId w:val="14"/>
        </w:numPr>
      </w:pPr>
      <w:r>
        <w:t>That s</w:t>
      </w:r>
      <w:r w:rsidRPr="00597763">
        <w:t xml:space="preserve">uccessful </w:t>
      </w:r>
      <w:r w:rsidR="001D3A6C" w:rsidRPr="00597763">
        <w:t>program</w:t>
      </w:r>
      <w:r>
        <w:t>me</w:t>
      </w:r>
      <w:r w:rsidR="001D3A6C" w:rsidRPr="00597763">
        <w:t>s will have a demonstration effect</w:t>
      </w:r>
      <w:r>
        <w:t>,</w:t>
      </w:r>
      <w:r w:rsidR="001D3A6C" w:rsidRPr="00597763">
        <w:t xml:space="preserve"> and be scaled by public or private sectors.</w:t>
      </w:r>
    </w:p>
    <w:p w14:paraId="1BE06977" w14:textId="77777777" w:rsidR="00780744" w:rsidRPr="00B038AE" w:rsidRDefault="00780744" w:rsidP="00780744">
      <w:pPr>
        <w:rPr>
          <w:i/>
        </w:rPr>
      </w:pPr>
      <w:r w:rsidRPr="00B038AE">
        <w:rPr>
          <w:i/>
        </w:rPr>
        <w:t xml:space="preserve">Evaluation plan </w:t>
      </w:r>
    </w:p>
    <w:p w14:paraId="0B3AC949" w14:textId="3D8B2021" w:rsidR="00780744" w:rsidRPr="00F6062C" w:rsidRDefault="00780744" w:rsidP="00780744">
      <w:r>
        <w:t>Defra will carry out a second annual review in June 2020, when the IDB perform their first review of the project. Defra’s review will compare the available data to the outputs and outcomes outlined above. Defra and IDB officials will prepare a formal evaluation plan ahead of the first full review in June next year.</w:t>
      </w:r>
    </w:p>
    <w:p w14:paraId="0F8F62FF" w14:textId="77777777" w:rsidR="00B038AE" w:rsidRPr="008C20EE" w:rsidRDefault="00B038AE" w:rsidP="00B038AE">
      <w:pPr>
        <w:pStyle w:val="Heading3"/>
        <w:rPr>
          <w:rFonts w:asciiTheme="minorHAnsi" w:hAnsiTheme="minorHAnsi"/>
          <w:b/>
          <w:color w:val="auto"/>
          <w:sz w:val="22"/>
          <w:szCs w:val="22"/>
        </w:rPr>
      </w:pPr>
      <w:r w:rsidRPr="008C20EE">
        <w:rPr>
          <w:rFonts w:asciiTheme="minorHAnsi" w:hAnsiTheme="minorHAnsi"/>
          <w:b/>
          <w:color w:val="auto"/>
          <w:sz w:val="22"/>
          <w:szCs w:val="22"/>
        </w:rPr>
        <w:t>Disaggregation of Data (gender, age etc.)</w:t>
      </w:r>
    </w:p>
    <w:p w14:paraId="0AD58684" w14:textId="77777777" w:rsidR="00B038AE" w:rsidRPr="005823B8" w:rsidRDefault="00B038AE" w:rsidP="00B038AE">
      <w:pPr>
        <w:tabs>
          <w:tab w:val="left" w:pos="5190"/>
        </w:tabs>
        <w:jc w:val="both"/>
      </w:pPr>
      <w:r w:rsidRPr="005823B8">
        <w:t>As discussed above, data will be disaggregated where relevant across the program as project implementation kicks off.</w:t>
      </w:r>
    </w:p>
    <w:p w14:paraId="77DE2F90" w14:textId="421DDD70" w:rsidR="008A6BCF" w:rsidRDefault="008A6BCF" w:rsidP="007F3952">
      <w:pPr>
        <w:tabs>
          <w:tab w:val="left" w:pos="5190"/>
        </w:tabs>
        <w:jc w:val="both"/>
        <w:rPr>
          <w:rFonts w:eastAsia="Times New Roman" w:cs="Arial"/>
          <w:b/>
          <w:bCs/>
          <w:lang w:eastAsia="en-GB"/>
        </w:rPr>
      </w:pPr>
    </w:p>
    <w:p w14:paraId="3272B0CF" w14:textId="77777777" w:rsidR="00965430" w:rsidRDefault="00965430" w:rsidP="00965430">
      <w:pPr>
        <w:tabs>
          <w:tab w:val="left" w:pos="3885"/>
        </w:tabs>
        <w:jc w:val="both"/>
        <w:rPr>
          <w:rFonts w:eastAsia="Times New Roman" w:cs="Arial"/>
          <w:b/>
          <w:bCs/>
          <w:lang w:eastAsia="en-GB"/>
        </w:rPr>
      </w:pPr>
    </w:p>
    <w:p w14:paraId="2B2A536C" w14:textId="77777777" w:rsidR="00597763" w:rsidRDefault="00597763" w:rsidP="00965430">
      <w:pPr>
        <w:tabs>
          <w:tab w:val="left" w:pos="3885"/>
        </w:tabs>
        <w:jc w:val="both"/>
        <w:rPr>
          <w:rFonts w:eastAsia="Times New Roman" w:cs="Arial"/>
          <w:b/>
          <w:bCs/>
          <w:lang w:eastAsia="en-GB"/>
        </w:rPr>
      </w:pPr>
    </w:p>
    <w:p w14:paraId="11CF164D" w14:textId="77777777" w:rsidR="00597763" w:rsidRDefault="00597763" w:rsidP="00965430">
      <w:pPr>
        <w:tabs>
          <w:tab w:val="left" w:pos="3885"/>
        </w:tabs>
        <w:jc w:val="both"/>
        <w:rPr>
          <w:rFonts w:eastAsia="Times New Roman" w:cs="Arial"/>
          <w:b/>
          <w:bCs/>
          <w:lang w:eastAsia="en-GB"/>
        </w:rPr>
      </w:pPr>
    </w:p>
    <w:p w14:paraId="5EC77F2D" w14:textId="02BECADD" w:rsidR="00F51222" w:rsidRDefault="00F51222" w:rsidP="00965430">
      <w:pPr>
        <w:tabs>
          <w:tab w:val="left" w:pos="3885"/>
        </w:tabs>
        <w:jc w:val="both"/>
        <w:rPr>
          <w:rFonts w:eastAsia="Times New Roman" w:cs="Arial"/>
          <w:b/>
          <w:bCs/>
          <w:lang w:eastAsia="en-GB"/>
        </w:rPr>
      </w:pPr>
    </w:p>
    <w:p w14:paraId="71BD359D" w14:textId="77777777" w:rsidR="00F51222" w:rsidRDefault="00F51222" w:rsidP="00965430">
      <w:pPr>
        <w:tabs>
          <w:tab w:val="left" w:pos="3885"/>
        </w:tabs>
        <w:jc w:val="both"/>
        <w:rPr>
          <w:rFonts w:eastAsia="Times New Roman" w:cs="Arial"/>
          <w:b/>
          <w:bCs/>
          <w:lang w:eastAsia="en-GB"/>
        </w:rPr>
      </w:pPr>
    </w:p>
    <w:p w14:paraId="70D1BDFC" w14:textId="77777777" w:rsidR="00F51222" w:rsidRDefault="00F51222" w:rsidP="00965430">
      <w:pPr>
        <w:tabs>
          <w:tab w:val="left" w:pos="3885"/>
        </w:tabs>
        <w:jc w:val="both"/>
        <w:rPr>
          <w:rFonts w:eastAsia="Times New Roman" w:cs="Arial"/>
          <w:b/>
          <w:bCs/>
          <w:lang w:eastAsia="en-GB"/>
        </w:rPr>
      </w:pPr>
    </w:p>
    <w:p w14:paraId="14B09D75" w14:textId="77777777" w:rsidR="00F51222" w:rsidRDefault="00F51222" w:rsidP="00965430">
      <w:pPr>
        <w:tabs>
          <w:tab w:val="left" w:pos="3885"/>
        </w:tabs>
        <w:jc w:val="both"/>
        <w:rPr>
          <w:rFonts w:eastAsia="Times New Roman" w:cs="Arial"/>
          <w:b/>
          <w:bCs/>
          <w:lang w:eastAsia="en-GB"/>
        </w:rPr>
      </w:pPr>
    </w:p>
    <w:p w14:paraId="31EBA9D1" w14:textId="77777777" w:rsidR="00F51222" w:rsidRDefault="00F51222" w:rsidP="00965430">
      <w:pPr>
        <w:tabs>
          <w:tab w:val="left" w:pos="3885"/>
        </w:tabs>
        <w:jc w:val="both"/>
        <w:rPr>
          <w:rFonts w:eastAsia="Times New Roman" w:cs="Arial"/>
          <w:b/>
          <w:bCs/>
          <w:lang w:eastAsia="en-GB"/>
        </w:rPr>
      </w:pPr>
    </w:p>
    <w:p w14:paraId="4F831DE4" w14:textId="77777777" w:rsidR="00F51222" w:rsidRDefault="00F51222" w:rsidP="00965430">
      <w:pPr>
        <w:tabs>
          <w:tab w:val="left" w:pos="3885"/>
        </w:tabs>
        <w:jc w:val="both"/>
        <w:rPr>
          <w:rFonts w:eastAsia="Times New Roman" w:cs="Arial"/>
          <w:b/>
          <w:bCs/>
          <w:lang w:eastAsia="en-GB"/>
        </w:rPr>
      </w:pPr>
    </w:p>
    <w:p w14:paraId="5B183E19" w14:textId="77777777" w:rsidR="00F51222" w:rsidRDefault="00F51222" w:rsidP="00965430">
      <w:pPr>
        <w:tabs>
          <w:tab w:val="left" w:pos="3885"/>
        </w:tabs>
        <w:jc w:val="both"/>
        <w:rPr>
          <w:rFonts w:eastAsia="Times New Roman" w:cs="Arial"/>
          <w:b/>
          <w:bCs/>
          <w:lang w:eastAsia="en-GB"/>
        </w:rPr>
      </w:pPr>
    </w:p>
    <w:p w14:paraId="74E7FC7E" w14:textId="77777777" w:rsidR="00F51222" w:rsidRDefault="00F51222" w:rsidP="00965430">
      <w:pPr>
        <w:tabs>
          <w:tab w:val="left" w:pos="3885"/>
        </w:tabs>
        <w:jc w:val="both"/>
        <w:rPr>
          <w:rFonts w:eastAsia="Times New Roman" w:cs="Arial"/>
          <w:b/>
          <w:bCs/>
          <w:lang w:eastAsia="en-GB"/>
        </w:rPr>
      </w:pPr>
    </w:p>
    <w:p w14:paraId="3AD6E68A" w14:textId="77777777" w:rsidR="0022558B" w:rsidRDefault="0022558B" w:rsidP="00965430">
      <w:pPr>
        <w:tabs>
          <w:tab w:val="left" w:pos="3885"/>
        </w:tabs>
        <w:jc w:val="both"/>
        <w:rPr>
          <w:rFonts w:eastAsia="Times New Roman" w:cs="Arial"/>
          <w:b/>
          <w:bCs/>
          <w:lang w:eastAsia="en-GB"/>
        </w:rPr>
      </w:pPr>
    </w:p>
    <w:p w14:paraId="27CC02A5" w14:textId="74F5BEDA" w:rsidR="00704B3E" w:rsidRPr="008C20EE" w:rsidRDefault="00113D56" w:rsidP="00965430">
      <w:pPr>
        <w:tabs>
          <w:tab w:val="left" w:pos="3885"/>
        </w:tabs>
        <w:jc w:val="both"/>
        <w:rPr>
          <w:rFonts w:eastAsia="Times New Roman" w:cs="Arial"/>
          <w:b/>
          <w:bCs/>
          <w:lang w:eastAsia="en-GB"/>
        </w:rPr>
      </w:pPr>
      <w:r>
        <w:rPr>
          <w:rFonts w:eastAsia="Times New Roman" w:cs="Arial"/>
          <w:b/>
          <w:bCs/>
          <w:lang w:eastAsia="en-GB"/>
        </w:rPr>
        <w:lastRenderedPageBreak/>
        <w:t xml:space="preserve">Annex A – Theory of Change (live document) </w:t>
      </w:r>
    </w:p>
    <w:p w14:paraId="7CF3B57B" w14:textId="7E3A05C5" w:rsidR="00704B3E" w:rsidRDefault="008A6BCF" w:rsidP="007F3952">
      <w:pPr>
        <w:tabs>
          <w:tab w:val="left" w:pos="5190"/>
        </w:tabs>
        <w:jc w:val="both"/>
        <w:rPr>
          <w:rFonts w:ascii="Arial" w:eastAsia="Times New Roman" w:hAnsi="Arial" w:cs="Arial"/>
          <w:b/>
          <w:bCs/>
          <w:sz w:val="18"/>
          <w:szCs w:val="18"/>
          <w:lang w:eastAsia="en-GB"/>
        </w:rPr>
      </w:pPr>
      <w:r>
        <w:rPr>
          <w:noProof/>
          <w:lang w:eastAsia="en-GB"/>
        </w:rPr>
        <w:drawing>
          <wp:anchor distT="0" distB="0" distL="114300" distR="114300" simplePos="0" relativeHeight="251659264" behindDoc="0" locked="0" layoutInCell="1" allowOverlap="1" wp14:anchorId="30E3AB04" wp14:editId="13A529B8">
            <wp:simplePos x="0" y="0"/>
            <wp:positionH relativeFrom="margin">
              <wp:posOffset>-516890</wp:posOffset>
            </wp:positionH>
            <wp:positionV relativeFrom="paragraph">
              <wp:posOffset>269875</wp:posOffset>
            </wp:positionV>
            <wp:extent cx="6760845" cy="619315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B ToC.png"/>
                    <pic:cNvPicPr/>
                  </pic:nvPicPr>
                  <pic:blipFill>
                    <a:blip r:embed="rId12">
                      <a:extLst>
                        <a:ext uri="{28A0092B-C50C-407E-A947-70E740481C1C}">
                          <a14:useLocalDpi xmlns:a14="http://schemas.microsoft.com/office/drawing/2010/main" val="0"/>
                        </a:ext>
                      </a:extLst>
                    </a:blip>
                    <a:stretch>
                      <a:fillRect/>
                    </a:stretch>
                  </pic:blipFill>
                  <pic:spPr>
                    <a:xfrm>
                      <a:off x="0" y="0"/>
                      <a:ext cx="6760845" cy="6193155"/>
                    </a:xfrm>
                    <a:prstGeom prst="rect">
                      <a:avLst/>
                    </a:prstGeom>
                  </pic:spPr>
                </pic:pic>
              </a:graphicData>
            </a:graphic>
          </wp:anchor>
        </w:drawing>
      </w:r>
    </w:p>
    <w:p w14:paraId="344301B1" w14:textId="77777777" w:rsidR="00B038AE" w:rsidRDefault="00B038AE" w:rsidP="00924A36">
      <w:pPr>
        <w:tabs>
          <w:tab w:val="left" w:pos="5190"/>
        </w:tabs>
        <w:rPr>
          <w:rFonts w:eastAsia="Times New Roman" w:cs="Arial"/>
          <w:b/>
          <w:bCs/>
          <w:lang w:eastAsia="en-GB"/>
        </w:rPr>
      </w:pPr>
    </w:p>
    <w:p w14:paraId="0F40E808" w14:textId="77777777" w:rsidR="00B038AE" w:rsidRDefault="00B038AE" w:rsidP="00924A36">
      <w:pPr>
        <w:tabs>
          <w:tab w:val="left" w:pos="5190"/>
        </w:tabs>
        <w:rPr>
          <w:rFonts w:eastAsia="Times New Roman" w:cs="Arial"/>
          <w:b/>
          <w:bCs/>
          <w:lang w:eastAsia="en-GB"/>
        </w:rPr>
      </w:pPr>
    </w:p>
    <w:p w14:paraId="69C6BC5C" w14:textId="77777777" w:rsidR="00597763" w:rsidRDefault="00597763" w:rsidP="00924A36">
      <w:pPr>
        <w:tabs>
          <w:tab w:val="left" w:pos="5190"/>
        </w:tabs>
        <w:rPr>
          <w:rFonts w:eastAsia="Times New Roman" w:cs="Arial"/>
          <w:b/>
          <w:bCs/>
          <w:lang w:eastAsia="en-GB"/>
        </w:rPr>
      </w:pPr>
    </w:p>
    <w:p w14:paraId="0834F688" w14:textId="77777777" w:rsidR="00597763" w:rsidRDefault="00597763" w:rsidP="00924A36">
      <w:pPr>
        <w:tabs>
          <w:tab w:val="left" w:pos="5190"/>
        </w:tabs>
        <w:rPr>
          <w:rFonts w:eastAsia="Times New Roman" w:cs="Arial"/>
          <w:b/>
          <w:bCs/>
          <w:lang w:eastAsia="en-GB"/>
        </w:rPr>
      </w:pPr>
    </w:p>
    <w:p w14:paraId="6D013D68" w14:textId="77777777" w:rsidR="008A174D" w:rsidRDefault="008A174D" w:rsidP="00924A36">
      <w:pPr>
        <w:tabs>
          <w:tab w:val="left" w:pos="5190"/>
        </w:tabs>
        <w:rPr>
          <w:rFonts w:eastAsia="Times New Roman" w:cs="Arial"/>
          <w:b/>
          <w:bCs/>
          <w:lang w:eastAsia="en-GB"/>
        </w:rPr>
      </w:pPr>
    </w:p>
    <w:p w14:paraId="7CE0DAF0" w14:textId="19211C71" w:rsidR="00F51222" w:rsidRDefault="00F51222" w:rsidP="00924A36">
      <w:pPr>
        <w:tabs>
          <w:tab w:val="left" w:pos="5190"/>
        </w:tabs>
        <w:rPr>
          <w:rFonts w:eastAsia="Times New Roman" w:cs="Arial"/>
          <w:b/>
          <w:bCs/>
          <w:lang w:eastAsia="en-GB"/>
        </w:rPr>
      </w:pPr>
    </w:p>
    <w:p w14:paraId="4FC6CFDC" w14:textId="77777777" w:rsidR="00F51222" w:rsidRDefault="00F51222" w:rsidP="00924A36">
      <w:pPr>
        <w:tabs>
          <w:tab w:val="left" w:pos="5190"/>
        </w:tabs>
        <w:rPr>
          <w:rFonts w:eastAsia="Times New Roman" w:cs="Arial"/>
          <w:b/>
          <w:bCs/>
          <w:lang w:eastAsia="en-GB"/>
        </w:rPr>
      </w:pPr>
    </w:p>
    <w:p w14:paraId="20623281" w14:textId="2E07E41B" w:rsidR="00924A36" w:rsidRDefault="00924A36" w:rsidP="00F51222">
      <w:pPr>
        <w:tabs>
          <w:tab w:val="left" w:pos="5190"/>
        </w:tabs>
        <w:rPr>
          <w:rFonts w:ascii="Arial" w:eastAsia="Times New Roman" w:hAnsi="Arial" w:cs="Arial"/>
          <w:b/>
          <w:bCs/>
          <w:sz w:val="18"/>
          <w:szCs w:val="18"/>
        </w:rPr>
      </w:pPr>
      <w:r w:rsidRPr="004606C4">
        <w:rPr>
          <w:rFonts w:eastAsia="Times New Roman" w:cs="Arial"/>
          <w:b/>
          <w:bCs/>
          <w:lang w:eastAsia="en-GB"/>
        </w:rPr>
        <w:lastRenderedPageBreak/>
        <w:t>Ann</w:t>
      </w:r>
      <w:r w:rsidR="00F51222">
        <w:rPr>
          <w:rFonts w:eastAsia="Times New Roman" w:cs="Arial"/>
          <w:b/>
          <w:bCs/>
          <w:lang w:eastAsia="en-GB"/>
        </w:rPr>
        <w:t>ex B – Log Frame (live document)</w:t>
      </w:r>
      <w:bookmarkStart w:id="0" w:name="_GoBack"/>
      <w:bookmarkEnd w:id="0"/>
    </w:p>
    <w:tbl>
      <w:tblPr>
        <w:tblpPr w:leftFromText="180" w:rightFromText="180" w:vertAnchor="page" w:horzAnchor="page" w:tblpX="676" w:tblpY="2491"/>
        <w:tblW w:w="10349" w:type="dxa"/>
        <w:tblLayout w:type="fixed"/>
        <w:tblCellMar>
          <w:left w:w="0" w:type="dxa"/>
          <w:right w:w="0" w:type="dxa"/>
        </w:tblCellMar>
        <w:tblLook w:val="0600" w:firstRow="0" w:lastRow="0" w:firstColumn="0" w:lastColumn="0" w:noHBand="1" w:noVBand="1"/>
      </w:tblPr>
      <w:tblGrid>
        <w:gridCol w:w="2553"/>
        <w:gridCol w:w="1701"/>
        <w:gridCol w:w="850"/>
        <w:gridCol w:w="709"/>
        <w:gridCol w:w="992"/>
        <w:gridCol w:w="709"/>
        <w:gridCol w:w="2835"/>
      </w:tblGrid>
      <w:tr w:rsidR="00924A36" w:rsidRPr="00AB7D50" w14:paraId="45572062" w14:textId="77777777" w:rsidTr="008C20EE">
        <w:trPr>
          <w:trHeight w:val="505"/>
        </w:trPr>
        <w:tc>
          <w:tcPr>
            <w:tcW w:w="2553" w:type="dxa"/>
            <w:tcBorders>
              <w:top w:val="nil"/>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670F76C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w:t>
            </w:r>
          </w:p>
        </w:tc>
        <w:tc>
          <w:tcPr>
            <w:tcW w:w="1701" w:type="dxa"/>
            <w:tcBorders>
              <w:top w:val="nil"/>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74DBE1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 Indicator 1</w:t>
            </w:r>
          </w:p>
        </w:tc>
        <w:tc>
          <w:tcPr>
            <w:tcW w:w="850" w:type="dxa"/>
            <w:tcBorders>
              <w:top w:val="nil"/>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C82387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nil"/>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ABE263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nil"/>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BCC1FA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nil"/>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0E6710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38AF7F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621BE84F"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823A26" w14:textId="77777777" w:rsidR="00924A36" w:rsidRPr="00AB7D50" w:rsidRDefault="00924A36" w:rsidP="00924A36">
            <w:pPr>
              <w:spacing w:after="36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The IDB/ICF mangroves programme drives a transformational and sustained change in the approach and effectiveness of protection/restoration programs for mangrove forests globally, through development of community management and national policy frameworks, support for alternative livelihoods and backing of businesses that will engender a step change in the ability to monetise protection and sustainable use of mangroves. </w:t>
            </w:r>
            <w:r w:rsidRPr="00AB7D50">
              <w:rPr>
                <w:rFonts w:ascii="Arial" w:eastAsia="Times New Roman" w:hAnsi="Arial" w:cs="Arial"/>
                <w:color w:val="000000"/>
                <w:kern w:val="24"/>
                <w:sz w:val="16"/>
                <w:szCs w:val="16"/>
                <w:lang w:eastAsia="en-GB"/>
              </w:rPr>
              <w:br/>
              <w:t xml:space="preserve">The program makes a specific and sustained contribution to biodiversity conservation, sustainable use of natural resources, and climate change mitigation and adaptation. </w:t>
            </w:r>
            <w:r w:rsidRPr="00AB7D50">
              <w:rPr>
                <w:rFonts w:ascii="Arial" w:eastAsia="Times New Roman" w:hAnsi="Arial" w:cs="Arial"/>
                <w:color w:val="000000"/>
                <w:kern w:val="24"/>
                <w:sz w:val="16"/>
                <w:szCs w:val="16"/>
                <w:lang w:eastAsia="en-GB"/>
              </w:rPr>
              <w:br/>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FDA8E2"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Change in mangrove deforestation rate within project intervention areas.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44C13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B53005"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0800363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2D96E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03067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Measured in ha, at baseline, mid-term and final evaluation.</w:t>
            </w:r>
            <w:r w:rsidRPr="00AB7D50">
              <w:rPr>
                <w:rFonts w:ascii="Arial" w:eastAsia="Times New Roman" w:hAnsi="Arial" w:cs="Arial"/>
                <w:color w:val="000000"/>
                <w:kern w:val="24"/>
                <w:sz w:val="16"/>
                <w:szCs w:val="16"/>
                <w:lang w:eastAsia="en-GB"/>
              </w:rPr>
              <w:br/>
              <w:t>While this is impact-level, not clear that program of this scale can realistically claim this level of impact on the national scale.</w:t>
            </w:r>
          </w:p>
        </w:tc>
      </w:tr>
      <w:tr w:rsidR="00924A36" w:rsidRPr="00AB7D50" w14:paraId="4576AF9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3ABF9E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79E557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42054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2FD089F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6E48E22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18D8D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D42C46F"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C04AB65"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53A0DF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F3690B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7B5AFAD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C572BE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73C3686"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CF1F0BE" w14:textId="77777777" w:rsidTr="008C20EE">
        <w:trPr>
          <w:trHeight w:val="258"/>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A2FE6B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AB27D4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7BF5B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8F264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0BD65AA"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0F47D3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8AD758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18280F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 Indicator 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69AD4D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CE4ADD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BED5BF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BECF08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BD3A1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72961C8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E736A3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BF6ACC"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 KPI 14: Level of institutional knowledge of Blue Carbon issues in partner countries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670D64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D8FDD1"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0C8E123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5DB94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3997E7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Qualitatively measured at baseline, mid-term and final evaluation.</w:t>
            </w:r>
            <w:r w:rsidRPr="00AB7D50">
              <w:rPr>
                <w:rFonts w:ascii="Arial" w:eastAsia="Times New Roman" w:hAnsi="Arial" w:cs="Arial"/>
                <w:color w:val="000000"/>
                <w:kern w:val="24"/>
                <w:sz w:val="16"/>
                <w:szCs w:val="16"/>
                <w:lang w:eastAsia="en-GB"/>
              </w:rPr>
              <w:br/>
              <w:t>Assumption that program outcomes increase institutional knowledge of the value of the blue carbon economy in partner countries.</w:t>
            </w:r>
          </w:p>
        </w:tc>
      </w:tr>
      <w:tr w:rsidR="00924A36" w:rsidRPr="00AB7D50" w14:paraId="19C72D0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3D1842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7C83BB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A7AA0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631CFF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7004FE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B1678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52DD95C3"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173A67E"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916976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2BAC63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12534BF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095A1E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771526B"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7467946" w14:textId="77777777" w:rsidTr="008C20EE">
        <w:trPr>
          <w:trHeight w:val="28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CC6FE8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91F30D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A1CA5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DBB5A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8D4D044"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E988364"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5A7519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EF1DB8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 Indicator 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F80BE4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910DF5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755113B" w14:textId="1458E2B6"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582CB6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75C195B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4701CE4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BF54FF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08CEBA"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Improved economic livelihoods in intervention areas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EFB14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70C66F"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1C7981C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74163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84356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Qualitative measure: Captured at baseline, midterm and final review through survey of communities.  </w:t>
            </w:r>
          </w:p>
        </w:tc>
      </w:tr>
      <w:tr w:rsidR="00924A36" w:rsidRPr="00AB7D50" w14:paraId="5B1B785C"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B53E23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C1A696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4AF70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52F29FA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40E2BB2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532B4F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1554390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2F47CE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7E5469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1D1577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171600F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2300A8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4810AE1D"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094E3F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868991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FC6B64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hideMark/>
          </w:tcPr>
          <w:p w14:paraId="254C1D0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02A82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4FAB23F"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207871F" w14:textId="77777777" w:rsidTr="008C20EE">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AF9723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E9F5D6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2CF25D1"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vAlign w:val="bottom"/>
            <w:hideMark/>
          </w:tcPr>
          <w:p w14:paraId="5FEA7DE5"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1EC9229"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B002D1"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1A68D03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5AE8DC76"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5D78741"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86C9E09"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9F77571"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5615667"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23C8BE8"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7CFF8A2"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0821EEA"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33FE2EEE" w14:textId="77777777" w:rsidTr="008C20EE">
        <w:trPr>
          <w:trHeight w:val="253"/>
        </w:trPr>
        <w:tc>
          <w:tcPr>
            <w:tcW w:w="255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25E7276"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C59D94E"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DF26744"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7708520"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2B00C44"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6D37F45"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AC6497D"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2B6706E0" w14:textId="77777777" w:rsidTr="008C20EE">
        <w:trPr>
          <w:trHeight w:val="505"/>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395B373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1: Environment</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B6292F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1.1</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FAC36D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CBFAEC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0A1646F" w14:textId="4EA2C915"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A96C32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54C8836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56200AFE"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7F9924"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ICF-IDB program is successful in contributing to biodiversity conservation, sustainable use of natural resources and climate change adaptation and mitigation. This creates the incentive for others to act towards these goals.</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22C4C7"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 KPI 8: Number of hectares where deforestation and degradation  have been avoided or restoration has occurred through ICF support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CE40A2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66E179"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E4AE3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FCEE0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43EE7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hectares.</w:t>
            </w:r>
            <w:r w:rsidRPr="00AB7D50">
              <w:rPr>
                <w:rFonts w:ascii="Arial" w:eastAsia="Times New Roman" w:hAnsi="Arial" w:cs="Arial"/>
                <w:color w:val="000000"/>
                <w:kern w:val="24"/>
                <w:sz w:val="16"/>
                <w:szCs w:val="16"/>
                <w:lang w:eastAsia="en-GB"/>
              </w:rPr>
              <w:br/>
              <w:t>Assumption that ICF-IDB program is responsible (after additionality considerations) for changes in area of mangroves deforested or degraded in target program areas.</w:t>
            </w:r>
          </w:p>
        </w:tc>
      </w:tr>
      <w:tr w:rsidR="00924A36" w:rsidRPr="00AB7D50" w14:paraId="75929005"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652A24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B28DFE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A23684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3B645C3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31629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A0542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2C974CC"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1DAA8F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2AC0ED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DC163A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2F18136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9ADDA7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DA3FFD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0799F24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7F08993"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F6FF223" w14:textId="77777777" w:rsidTr="008C20EE">
        <w:trPr>
          <w:trHeight w:val="46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C8FE58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765BD9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28321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6217429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162CD0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60A9D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56143B9"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06D8873"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4A9121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526D8A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1.2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E51C37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1C4E62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9BD4C6A" w14:textId="17719D4D"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E2962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34C18DE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64698ABE"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51859B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2370606"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 KPI 6: Changes in GHG emissions in target areas as a result of ICF support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EEBDC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F41CB9"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FEBA8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24788C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5797D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tCO2e.</w:t>
            </w:r>
            <w:r w:rsidRPr="00AB7D50">
              <w:rPr>
                <w:rFonts w:ascii="Arial" w:eastAsia="Times New Roman" w:hAnsi="Arial" w:cs="Arial"/>
                <w:color w:val="000000"/>
                <w:kern w:val="24"/>
                <w:sz w:val="16"/>
                <w:szCs w:val="16"/>
                <w:lang w:eastAsia="en-GB"/>
              </w:rPr>
              <w:br/>
              <w:t>Assumption that ICF-IDB program is responsible (after additionality considerations) for changes in GHG emissions in target program areas.</w:t>
            </w:r>
          </w:p>
        </w:tc>
      </w:tr>
      <w:tr w:rsidR="00924A36" w:rsidRPr="00AB7D50" w14:paraId="36534AB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FFC813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nil"/>
              <w:right w:val="single" w:sz="8" w:space="0" w:color="000000"/>
            </w:tcBorders>
            <w:vAlign w:val="center"/>
            <w:hideMark/>
          </w:tcPr>
          <w:p w14:paraId="54F65E9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98B75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1FBEDD6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3F720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05912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19EDB64"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EB3CDD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46641F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nil"/>
              <w:right w:val="single" w:sz="8" w:space="0" w:color="000000"/>
            </w:tcBorders>
            <w:vAlign w:val="center"/>
            <w:hideMark/>
          </w:tcPr>
          <w:p w14:paraId="51FCB73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670E35D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27353A8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4013EFD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57E4E2E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2E24D15"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401D438" w14:textId="77777777" w:rsidTr="008C20EE">
        <w:trPr>
          <w:trHeight w:val="278"/>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2EC4ED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nil"/>
              <w:right w:val="single" w:sz="8" w:space="0" w:color="000000"/>
            </w:tcBorders>
            <w:vAlign w:val="center"/>
            <w:hideMark/>
          </w:tcPr>
          <w:p w14:paraId="0E99F65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38B0AD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482CBC2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773A949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62FA5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92B7A5A"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7DF7275"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537363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nil"/>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226EB7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1.3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3A23084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D011E1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EEBA507" w14:textId="108226C3"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126ED9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D7475F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4FF8D4D5"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236BC8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EB98EE"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 KPI 10: Value of ecosystem services protected or generated through ICF support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56AF1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88BE68"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FD719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FAED6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72F39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at end of program, £.</w:t>
            </w:r>
            <w:r w:rsidRPr="00AB7D50">
              <w:rPr>
                <w:rFonts w:ascii="Arial" w:eastAsia="Times New Roman" w:hAnsi="Arial" w:cs="Arial"/>
                <w:color w:val="000000"/>
                <w:kern w:val="24"/>
                <w:sz w:val="16"/>
                <w:szCs w:val="16"/>
                <w:lang w:eastAsia="en-GB"/>
              </w:rPr>
              <w:br/>
              <w:t>Assumption that ICF-IDB program is responsible (after additionality considerations) for changes in ecosystem service provision in target program areas.</w:t>
            </w:r>
            <w:r w:rsidRPr="00AB7D50">
              <w:rPr>
                <w:rFonts w:ascii="Arial" w:eastAsia="Times New Roman" w:hAnsi="Arial" w:cs="Arial"/>
                <w:color w:val="000000"/>
                <w:kern w:val="24"/>
                <w:sz w:val="16"/>
                <w:szCs w:val="16"/>
                <w:lang w:eastAsia="en-GB"/>
              </w:rPr>
              <w:br/>
            </w:r>
            <w:r w:rsidRPr="00AB7D50">
              <w:rPr>
                <w:rFonts w:ascii="Arial" w:eastAsia="Times New Roman" w:hAnsi="Arial" w:cs="Arial"/>
                <w:b/>
                <w:bCs/>
                <w:color w:val="000000"/>
                <w:kern w:val="24"/>
                <w:sz w:val="16"/>
                <w:szCs w:val="16"/>
                <w:lang w:eastAsia="en-GB"/>
              </w:rPr>
              <w:t>Reliant on data from outcome indicator 1.1</w:t>
            </w:r>
          </w:p>
        </w:tc>
      </w:tr>
      <w:tr w:rsidR="00924A36" w:rsidRPr="00AB7D50" w14:paraId="7A38C2C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809C07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928EA2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AB7CA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6AD941F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C4AF3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383C9F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1E71C62"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7B6FAA7"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E952AB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B94102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2A3BD2F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4198694"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724CB9B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047DE5D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CE852A2"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78345291" w14:textId="77777777" w:rsidTr="008C20EE">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1BA9E6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F5C998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7BD43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6F8A51C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2870E1F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98A48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3EBCD6B"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45A7EB4"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A50769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BE1761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1.4</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37CFD6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D12C54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426A1EA" w14:textId="5D2DE783"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91E4A2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A1074B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3BD2FB0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EBB7A4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4F1385"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Usefulness for government of data </w:t>
            </w:r>
            <w:r w:rsidRPr="00AB7D50">
              <w:rPr>
                <w:rFonts w:ascii="Arial" w:eastAsia="Times New Roman" w:hAnsi="Arial" w:cs="Arial"/>
                <w:color w:val="000000"/>
                <w:kern w:val="24"/>
                <w:sz w:val="16"/>
                <w:szCs w:val="16"/>
                <w:lang w:eastAsia="en-GB"/>
              </w:rPr>
              <w:lastRenderedPageBreak/>
              <w:t>produced on social and economic value of mangroves in target countries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AC965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lastRenderedPageBreak/>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10EE03"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1</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4D87B17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B0344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7D1EF3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Qualitative indicator (1-10), 1 = no data produced offering additionality, 10 = </w:t>
            </w:r>
            <w:r w:rsidRPr="00AB7D50">
              <w:rPr>
                <w:rFonts w:ascii="Arial" w:eastAsia="Times New Roman" w:hAnsi="Arial" w:cs="Arial"/>
                <w:color w:val="000000"/>
                <w:kern w:val="24"/>
                <w:sz w:val="16"/>
                <w:szCs w:val="16"/>
                <w:lang w:eastAsia="en-GB"/>
              </w:rPr>
              <w:lastRenderedPageBreak/>
              <w:t>significant level of data produced providing additionality and underpinning further progress in assessing the social and economic value provided by mangroves in each of the target countries</w:t>
            </w:r>
            <w:r w:rsidRPr="00AB7D50">
              <w:rPr>
                <w:rFonts w:ascii="Arial" w:eastAsia="Times New Roman" w:hAnsi="Arial" w:cs="Arial"/>
                <w:color w:val="000000"/>
                <w:kern w:val="24"/>
                <w:sz w:val="16"/>
                <w:szCs w:val="16"/>
                <w:lang w:eastAsia="en-GB"/>
              </w:rPr>
              <w:br/>
              <w:t>Method:Survey of government officials to be included in final evaluation.</w:t>
            </w:r>
            <w:r w:rsidRPr="00AB7D50">
              <w:rPr>
                <w:rFonts w:ascii="Arial" w:eastAsia="Times New Roman" w:hAnsi="Arial" w:cs="Arial"/>
                <w:color w:val="000000"/>
                <w:kern w:val="24"/>
                <w:sz w:val="16"/>
                <w:szCs w:val="16"/>
                <w:lang w:eastAsia="en-GB"/>
              </w:rPr>
              <w:br/>
              <w:t>Assumption that data will be used to improve outcomes for ICF target priorities.</w:t>
            </w:r>
          </w:p>
        </w:tc>
      </w:tr>
      <w:tr w:rsidR="00924A36" w:rsidRPr="00AB7D50" w14:paraId="2681D70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7F4300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DE34E2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398D7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5EF639D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2716054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D597F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7348FEA"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FEDA15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E230B4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1744D3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65C2966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75102D4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08A5F5E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61D6809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D102879"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4A8E126" w14:textId="77777777" w:rsidTr="008C20EE">
        <w:trPr>
          <w:trHeight w:val="126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A5287E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B347CE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A8E83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35E22DB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4100E99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0D7E4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FB317E8"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572C397C"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DD2155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F88AC3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1.5</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1943105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CD5F3E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6FBB8A4" w14:textId="69C02894"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1E75AD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39506A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7F2A50B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6A6329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EEF3CA"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Communities adopting new sustainable practices of mangrove conservation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0B63A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FBAEC7"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7F6CD45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1B1BD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0717D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Reported at end of the program.  Qualitative measure: Captured at baseline, midterm and final review through survey of communities.  </w:t>
            </w:r>
          </w:p>
        </w:tc>
      </w:tr>
      <w:tr w:rsidR="00924A36" w:rsidRPr="00AB7D50" w14:paraId="589AA2C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566A25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D6ED02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352FC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675DE0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22D4518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48292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596025E5"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5AABF7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F6364F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324315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7E84BA0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4E0A070"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7877CE10"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272932C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28EA707"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F5E0A4F"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27FFEE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3622F5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BE22F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4151720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6C90EEE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2AFFA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F9D449C"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6A7ADBA"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5BE596E"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279BDE8"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774B2B"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28B7AF3"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BF89D50"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BB7C227"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3A045EE"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42EB4060" w14:textId="77777777" w:rsidTr="008C20EE">
        <w:trPr>
          <w:trHeight w:val="253"/>
        </w:trPr>
        <w:tc>
          <w:tcPr>
            <w:tcW w:w="2553" w:type="dxa"/>
            <w:tcBorders>
              <w:top w:val="nil"/>
              <w:left w:val="nil"/>
              <w:bottom w:val="nil"/>
              <w:right w:val="nil"/>
            </w:tcBorders>
            <w:shd w:val="clear" w:color="auto" w:fill="auto"/>
            <w:tcMar>
              <w:top w:w="15" w:type="dxa"/>
              <w:left w:w="15" w:type="dxa"/>
              <w:bottom w:w="0" w:type="dxa"/>
              <w:right w:w="15" w:type="dxa"/>
            </w:tcMar>
            <w:vAlign w:val="center"/>
            <w:hideMark/>
          </w:tcPr>
          <w:p w14:paraId="29C0927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5BC077B0"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01BC7036"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35296FDB"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1B4ECCC"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4ECF61F"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nil"/>
              <w:right w:val="nil"/>
            </w:tcBorders>
            <w:shd w:val="clear" w:color="auto" w:fill="auto"/>
            <w:tcMar>
              <w:top w:w="15" w:type="dxa"/>
              <w:left w:w="15" w:type="dxa"/>
              <w:bottom w:w="0" w:type="dxa"/>
              <w:right w:w="15" w:type="dxa"/>
            </w:tcMar>
            <w:vAlign w:val="center"/>
            <w:hideMark/>
          </w:tcPr>
          <w:p w14:paraId="71AADCF3"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7E5AF8F0" w14:textId="77777777" w:rsidTr="008C20EE">
        <w:trPr>
          <w:trHeight w:val="253"/>
        </w:trPr>
        <w:tc>
          <w:tcPr>
            <w:tcW w:w="2553" w:type="dxa"/>
            <w:tcBorders>
              <w:top w:val="nil"/>
              <w:left w:val="nil"/>
              <w:bottom w:val="single" w:sz="8" w:space="0" w:color="000000"/>
              <w:right w:val="nil"/>
            </w:tcBorders>
            <w:shd w:val="clear" w:color="auto" w:fill="auto"/>
            <w:tcMar>
              <w:top w:w="15" w:type="dxa"/>
              <w:left w:w="15" w:type="dxa"/>
              <w:bottom w:w="0" w:type="dxa"/>
              <w:right w:w="15" w:type="dxa"/>
            </w:tcMar>
            <w:hideMark/>
          </w:tcPr>
          <w:p w14:paraId="5611848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hideMark/>
          </w:tcPr>
          <w:p w14:paraId="79153CB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EC69830"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3C93856"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9831F59"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6566695"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BAA4661"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7B9961CE" w14:textId="77777777" w:rsidTr="008C20EE">
        <w:trPr>
          <w:trHeight w:val="505"/>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030CF93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2: Development</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3C1675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2.1</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DA6E6A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6EA6D6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A74DE9E" w14:textId="08D62B5D"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08D1C1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307B0C7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2D2631E2"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4A075C"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ICF-IDB program delivers positive outcomes for communities at the local and national level, embedded a sustained change in attitudes towards mangrove restoration and/or protection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092113"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ICF KPI 3: Number of forest dependent people with livelihoods benefits protected or improved as a result of ICF support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46A8C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C589BA"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41574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DBED75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57676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number of people.</w:t>
            </w:r>
            <w:r w:rsidRPr="00AB7D50">
              <w:rPr>
                <w:rFonts w:ascii="Arial" w:eastAsia="Times New Roman" w:hAnsi="Arial" w:cs="Arial"/>
                <w:color w:val="000000"/>
                <w:kern w:val="24"/>
                <w:sz w:val="16"/>
                <w:szCs w:val="16"/>
                <w:lang w:eastAsia="en-GB"/>
              </w:rPr>
              <w:br/>
              <w:t>Assumption that forest dependent people are benefitting directly as a result of ICF-IDB program. Aggregate of number of people directly supported + beneficiaries of ecosystem services/members of communities.  Gender disaggregated.</w:t>
            </w:r>
          </w:p>
        </w:tc>
      </w:tr>
      <w:tr w:rsidR="00924A36" w:rsidRPr="00AB7D50" w14:paraId="0D01E9B7"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D547AA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CF314F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773014"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5B7C308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5E8CE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5035F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431FEA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8726AF7"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D6FBDB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2CCE93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6A1BF2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D4018B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F0112E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573FDDE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4830853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D2E793B" w14:textId="77777777" w:rsidTr="008C20EE">
        <w:trPr>
          <w:trHeight w:val="498"/>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87E481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FA17E3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72E8B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705719F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588CC06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BDD99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5051CCE6"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E3F4BBE"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AEDB8E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CDC5CE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2.2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CE4C69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FA42D9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8767278" w14:textId="2232366F"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312334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5C46ABF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2198149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D496FE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57778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Embedding of mangrove protection</w:t>
            </w:r>
            <w:r>
              <w:rPr>
                <w:rFonts w:ascii="Arial" w:eastAsia="Times New Roman" w:hAnsi="Arial" w:cs="Arial"/>
                <w:color w:val="000000"/>
                <w:kern w:val="24"/>
                <w:sz w:val="16"/>
                <w:szCs w:val="16"/>
                <w:lang w:eastAsia="en-GB"/>
              </w:rPr>
              <w:t xml:space="preserve"> and/or restoration in national</w:t>
            </w:r>
            <w:r w:rsidRPr="00AB7D50">
              <w:rPr>
                <w:rFonts w:ascii="Arial" w:eastAsia="Times New Roman" w:hAnsi="Arial" w:cs="Arial"/>
                <w:color w:val="000000"/>
                <w:kern w:val="24"/>
                <w:sz w:val="16"/>
                <w:szCs w:val="16"/>
                <w:lang w:eastAsia="en-GB"/>
              </w:rPr>
              <w:t xml:space="preserve"> mangrove frameworks and/or global commitments.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91DC00"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1B1B0F0"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2</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18DD9ED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24363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3FBF3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Qualitative indicator (1-10), 1 = no frameworks in place, 10 = frameworks fully embedded in national policymaking process and being utilised to deliver positive outcomes in community-focused mangrove protection.</w:t>
            </w:r>
            <w:r w:rsidRPr="00AB7D50">
              <w:rPr>
                <w:rFonts w:ascii="Arial" w:eastAsia="Times New Roman" w:hAnsi="Arial" w:cs="Arial"/>
                <w:color w:val="000000"/>
                <w:kern w:val="24"/>
                <w:sz w:val="16"/>
                <w:szCs w:val="16"/>
                <w:lang w:eastAsia="en-GB"/>
              </w:rPr>
              <w:br/>
              <w:t>Method:</w:t>
            </w:r>
            <w:r>
              <w:rPr>
                <w:rFonts w:ascii="Arial" w:eastAsia="Times New Roman" w:hAnsi="Arial" w:cs="Arial"/>
                <w:color w:val="000000"/>
                <w:kern w:val="24"/>
                <w:sz w:val="16"/>
                <w:szCs w:val="16"/>
                <w:lang w:eastAsia="en-GB"/>
              </w:rPr>
              <w:t xml:space="preserve"> </w:t>
            </w:r>
            <w:r w:rsidRPr="00AB7D50">
              <w:rPr>
                <w:rFonts w:ascii="Arial" w:eastAsia="Times New Roman" w:hAnsi="Arial" w:cs="Arial"/>
                <w:color w:val="000000"/>
                <w:kern w:val="24"/>
                <w:sz w:val="16"/>
                <w:szCs w:val="16"/>
                <w:lang w:eastAsia="en-GB"/>
              </w:rPr>
              <w:t>Biennial surveys of policy actors in countries where national mangrove policy frameworks are being attempted through the program.</w:t>
            </w:r>
            <w:r w:rsidRPr="00AB7D50">
              <w:rPr>
                <w:rFonts w:ascii="Arial" w:eastAsia="Times New Roman" w:hAnsi="Arial" w:cs="Arial"/>
                <w:color w:val="000000"/>
                <w:kern w:val="24"/>
                <w:sz w:val="16"/>
                <w:szCs w:val="16"/>
                <w:lang w:eastAsia="en-GB"/>
              </w:rPr>
              <w:br/>
              <w:t>Assumption that national frameworks will be utilised by state actors once created. Also, assumption would add or track mangrove protection to environmental commitments such as NDC, SDGs.</w:t>
            </w:r>
          </w:p>
        </w:tc>
      </w:tr>
      <w:tr w:rsidR="00924A36" w:rsidRPr="00AB7D50" w14:paraId="47942BA4"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25A129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487CD6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DF91C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13E8635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55372D6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D6E3B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EEA24D8"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CF10A42"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A5AFCC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F9F719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12D4D8B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0A8B975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838AAE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2102689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4744E69"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D8E102E" w14:textId="77777777" w:rsidTr="008C20EE">
        <w:trPr>
          <w:trHeight w:val="149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623400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15CDD7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A7B35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6978CB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EFDF65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FE0216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146D3B71"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218B837"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E0F7C0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31688D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2.3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128C679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F6ECA4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852B5AC" w14:textId="611A64B9"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81063F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7D71A4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46045B0F"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95FF15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B99A5F"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Change in local awareness of the economic and social value of mangroves in local communities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6428B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C7AFE92"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1</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45851E2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EE376F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58D58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Qualitative indicator (1-10), 1 = no appreciation, 10 = complete and sustained appreciation of the value of mangroves for local communities.</w:t>
            </w:r>
            <w:r w:rsidRPr="00AB7D50">
              <w:rPr>
                <w:rFonts w:ascii="Arial" w:eastAsia="Times New Roman" w:hAnsi="Arial" w:cs="Arial"/>
                <w:color w:val="000000"/>
                <w:kern w:val="24"/>
                <w:sz w:val="16"/>
                <w:szCs w:val="16"/>
                <w:lang w:eastAsia="en-GB"/>
              </w:rPr>
              <w:br/>
              <w:t>Method: Survey of participants in community trainings.</w:t>
            </w:r>
          </w:p>
        </w:tc>
      </w:tr>
      <w:tr w:rsidR="00924A36" w:rsidRPr="00AB7D50" w14:paraId="01F83BF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0261F1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182E07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E9F06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2DB94C1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38A97EB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6F740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23C2C47A"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2CC9B4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B2021D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ABEB25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50CC626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BE92A5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4B095824"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40873A70"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1ED9C0F8"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782F3982" w14:textId="77777777" w:rsidTr="008C20EE">
        <w:trPr>
          <w:trHeight w:val="166"/>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E6C9FB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8383BE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5EA92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3A8C9C7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F5AF31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2BC6B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D7337C4"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2090EBD"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6BE323A"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999BA9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hideMark/>
          </w:tcPr>
          <w:p w14:paraId="6998967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1DD20C8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hideMark/>
          </w:tcPr>
          <w:p w14:paraId="1E369B9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2FFAAFF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hideMark/>
          </w:tcPr>
          <w:p w14:paraId="3F3D699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5623627D" w14:textId="77777777" w:rsidTr="008C20EE">
        <w:trPr>
          <w:trHeight w:val="253"/>
        </w:trPr>
        <w:tc>
          <w:tcPr>
            <w:tcW w:w="2553" w:type="dxa"/>
            <w:tcBorders>
              <w:top w:val="nil"/>
              <w:left w:val="nil"/>
              <w:bottom w:val="nil"/>
              <w:right w:val="nil"/>
            </w:tcBorders>
            <w:shd w:val="clear" w:color="auto" w:fill="auto"/>
            <w:tcMar>
              <w:top w:w="15" w:type="dxa"/>
              <w:left w:w="15" w:type="dxa"/>
              <w:bottom w:w="0" w:type="dxa"/>
              <w:right w:w="15" w:type="dxa"/>
            </w:tcMar>
            <w:vAlign w:val="center"/>
            <w:hideMark/>
          </w:tcPr>
          <w:p w14:paraId="208741AD"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FEF5B97"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nil"/>
              <w:right w:val="nil"/>
            </w:tcBorders>
            <w:shd w:val="clear" w:color="auto" w:fill="auto"/>
            <w:tcMar>
              <w:top w:w="15" w:type="dxa"/>
              <w:left w:w="15" w:type="dxa"/>
              <w:bottom w:w="0" w:type="dxa"/>
              <w:right w:w="15" w:type="dxa"/>
            </w:tcMar>
            <w:hideMark/>
          </w:tcPr>
          <w:p w14:paraId="1C99B69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4FFE160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619F97E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4292795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nil"/>
              <w:right w:val="nil"/>
            </w:tcBorders>
            <w:shd w:val="clear" w:color="auto" w:fill="auto"/>
            <w:tcMar>
              <w:top w:w="15" w:type="dxa"/>
              <w:left w:w="15" w:type="dxa"/>
              <w:bottom w:w="0" w:type="dxa"/>
              <w:right w:w="15" w:type="dxa"/>
            </w:tcMar>
            <w:hideMark/>
          </w:tcPr>
          <w:p w14:paraId="0844E57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7707BAC9" w14:textId="77777777" w:rsidTr="008C20EE">
        <w:trPr>
          <w:trHeight w:val="253"/>
        </w:trPr>
        <w:tc>
          <w:tcPr>
            <w:tcW w:w="2553" w:type="dxa"/>
            <w:tcBorders>
              <w:top w:val="nil"/>
              <w:left w:val="nil"/>
              <w:bottom w:val="single" w:sz="8" w:space="0" w:color="000000"/>
              <w:right w:val="nil"/>
            </w:tcBorders>
            <w:shd w:val="clear" w:color="auto" w:fill="auto"/>
            <w:tcMar>
              <w:top w:w="15" w:type="dxa"/>
              <w:left w:w="15" w:type="dxa"/>
              <w:bottom w:w="0" w:type="dxa"/>
              <w:right w:w="15" w:type="dxa"/>
            </w:tcMar>
            <w:hideMark/>
          </w:tcPr>
          <w:p w14:paraId="26863CF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hideMark/>
          </w:tcPr>
          <w:p w14:paraId="06DD844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hideMark/>
          </w:tcPr>
          <w:p w14:paraId="7B27981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39037CF5"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5DD968C"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30E56701"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6BAD6BA6"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6A505B0D" w14:textId="77777777" w:rsidTr="008C20EE">
        <w:trPr>
          <w:trHeight w:val="505"/>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7E95980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3: Finance</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BF6D4E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3.1</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752AC4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9A93F5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CEFFB59" w14:textId="39C58EA7"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D8A39C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AD78D3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0177966F"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C2023A"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lastRenderedPageBreak/>
              <w:t>ICF-IDB program is successful in mobilising the financial sector to address issues and drive transformational change in the protection and restoration of mangroves in Latin America and the Caribbean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DC3240"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ICF KPI 11: Volume of </w:t>
            </w:r>
            <w:r w:rsidRPr="00AB7D50">
              <w:rPr>
                <w:rFonts w:ascii="Arial" w:eastAsia="Times New Roman" w:hAnsi="Arial" w:cs="Arial"/>
                <w:b/>
                <w:bCs/>
                <w:color w:val="000000"/>
                <w:kern w:val="24"/>
                <w:sz w:val="16"/>
                <w:szCs w:val="16"/>
                <w:lang w:eastAsia="en-GB"/>
              </w:rPr>
              <w:t xml:space="preserve">public </w:t>
            </w:r>
            <w:r w:rsidRPr="00AB7D50">
              <w:rPr>
                <w:rFonts w:ascii="Arial" w:eastAsia="Times New Roman" w:hAnsi="Arial" w:cs="Arial"/>
                <w:color w:val="000000"/>
                <w:kern w:val="24"/>
                <w:sz w:val="16"/>
                <w:szCs w:val="16"/>
                <w:lang w:eastAsia="en-GB"/>
              </w:rPr>
              <w:t>finance mobilised for climate change purposes as a result of ICF funding</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80B08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00AE0A"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2199A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310D51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CCA8E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Amounts leveraged by projects that receive financial support.</w:t>
            </w:r>
          </w:p>
        </w:tc>
      </w:tr>
      <w:tr w:rsidR="00924A36" w:rsidRPr="00AB7D50" w14:paraId="253B309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3D2D9F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AFFE68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3C285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3CE4037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64F99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C7F32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FC78B62"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3243C0E"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AC4637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B292FD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461E046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089AE7F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39C0AED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300040F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14C98C9E"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59E0B356" w14:textId="77777777" w:rsidTr="008C20EE">
        <w:trPr>
          <w:trHeight w:val="244"/>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0209078"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C532BF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C9F9E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1884A04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304C43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E758D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E478C5D"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5B89333"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C4CC52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833697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3.2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762CCD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458DAD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FD09E28" w14:textId="2B4B7EA4" w:rsidR="00924A36" w:rsidRPr="00AB7D50" w:rsidRDefault="00341346" w:rsidP="0034134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xml:space="preserve"> 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15050E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013B946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4B5FE98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4F3ECD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D104FD"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ICF KPI 12: Volume of </w:t>
            </w:r>
            <w:r w:rsidRPr="00AB7D50">
              <w:rPr>
                <w:rFonts w:ascii="Arial" w:eastAsia="Times New Roman" w:hAnsi="Arial" w:cs="Arial"/>
                <w:b/>
                <w:bCs/>
                <w:color w:val="000000"/>
                <w:kern w:val="24"/>
                <w:sz w:val="16"/>
                <w:szCs w:val="16"/>
                <w:lang w:eastAsia="en-GB"/>
              </w:rPr>
              <w:t>private</w:t>
            </w:r>
            <w:r w:rsidRPr="00AB7D50">
              <w:rPr>
                <w:rFonts w:ascii="Arial" w:eastAsia="Times New Roman" w:hAnsi="Arial" w:cs="Arial"/>
                <w:color w:val="000000"/>
                <w:kern w:val="24"/>
                <w:sz w:val="16"/>
                <w:szCs w:val="16"/>
                <w:lang w:eastAsia="en-GB"/>
              </w:rPr>
              <w:t xml:space="preserve"> finance mobilised for climate change purposes as a result of ICF funding</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B92984"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7A6AFF"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6677B6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F5CBD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993A5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Amounts leveraged by projects that receive financial support.</w:t>
            </w:r>
          </w:p>
        </w:tc>
      </w:tr>
      <w:tr w:rsidR="00924A36" w:rsidRPr="00AB7D50" w14:paraId="43DADA77"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98EDCA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8B3BFC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2D0BEE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D37C78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EE87A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CD78E4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5479130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1B1A0D2"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DFBDD8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26F274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7D431D2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12C1F76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363DD90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7DBCBA5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4C46582D"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19E39BB" w14:textId="77777777" w:rsidTr="008C20EE">
        <w:trPr>
          <w:trHeight w:val="23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673766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692064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B08198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10C919C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DEFB6A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403FBF3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897C645"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686DA03B"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E198DA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55C2DE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Outcome Indicator 3.3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C593EB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6C8103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422825E" w14:textId="7D43AA90"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xml:space="preserve"> 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AF0241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9A48AC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0D08692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0A8D56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0F54F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new innovative businesses supported that are still operational at end of program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3C4AD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0F3D1F"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2EA8983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4E45A8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720A7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at end of program.  Shows sustainablility of business.</w:t>
            </w:r>
          </w:p>
        </w:tc>
      </w:tr>
      <w:tr w:rsidR="00924A36" w:rsidRPr="00AB7D50" w14:paraId="0E70D5A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6B5A7B3"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1EF44E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33720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47AAC9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7E0E1FA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E0849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64B365A"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68751E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9C1B2B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6F2467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0786F6B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FB4758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90D466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7D51F9F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4CF03753"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05AC7230" w14:textId="77777777" w:rsidTr="008C20EE">
        <w:trPr>
          <w:trHeight w:val="176"/>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05CFFB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ACA638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57E77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745695E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38C1DB4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0005397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637B20F6"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66689C1"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3A53D3B"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52AD734"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78EA667"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692A651"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30356A8"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2202DB8"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786B8A6" w14:textId="77777777" w:rsidR="00924A36" w:rsidRPr="00AB7D50" w:rsidRDefault="00924A36" w:rsidP="00924A36">
            <w:pPr>
              <w:spacing w:after="0" w:line="240" w:lineRule="auto"/>
              <w:textAlignment w:val="bottom"/>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4460AC8A" w14:textId="77777777" w:rsidTr="008C20EE">
        <w:trPr>
          <w:trHeight w:val="253"/>
        </w:trPr>
        <w:tc>
          <w:tcPr>
            <w:tcW w:w="2553" w:type="dxa"/>
            <w:tcBorders>
              <w:top w:val="nil"/>
              <w:left w:val="nil"/>
              <w:bottom w:val="nil"/>
              <w:right w:val="nil"/>
            </w:tcBorders>
            <w:shd w:val="clear" w:color="auto" w:fill="auto"/>
            <w:tcMar>
              <w:top w:w="15" w:type="dxa"/>
              <w:left w:w="15" w:type="dxa"/>
              <w:bottom w:w="0" w:type="dxa"/>
              <w:right w:w="15" w:type="dxa"/>
            </w:tcMar>
            <w:vAlign w:val="center"/>
            <w:hideMark/>
          </w:tcPr>
          <w:p w14:paraId="46BF7599"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A0F492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nil"/>
              <w:right w:val="nil"/>
            </w:tcBorders>
            <w:shd w:val="clear" w:color="auto" w:fill="auto"/>
            <w:tcMar>
              <w:top w:w="15" w:type="dxa"/>
              <w:left w:w="15" w:type="dxa"/>
              <w:bottom w:w="0" w:type="dxa"/>
              <w:right w:w="15" w:type="dxa"/>
            </w:tcMar>
            <w:hideMark/>
          </w:tcPr>
          <w:p w14:paraId="7776E79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27A0489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4B0D27D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52BD2C6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nil"/>
              <w:right w:val="nil"/>
            </w:tcBorders>
            <w:shd w:val="clear" w:color="auto" w:fill="auto"/>
            <w:tcMar>
              <w:top w:w="15" w:type="dxa"/>
              <w:left w:w="15" w:type="dxa"/>
              <w:bottom w:w="0" w:type="dxa"/>
              <w:right w:w="15" w:type="dxa"/>
            </w:tcMar>
            <w:hideMark/>
          </w:tcPr>
          <w:p w14:paraId="3E5E57F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21B47CC2" w14:textId="77777777" w:rsidTr="008C20EE">
        <w:trPr>
          <w:trHeight w:val="253"/>
        </w:trPr>
        <w:tc>
          <w:tcPr>
            <w:tcW w:w="2553" w:type="dxa"/>
            <w:tcBorders>
              <w:top w:val="nil"/>
              <w:left w:val="nil"/>
              <w:bottom w:val="nil"/>
              <w:right w:val="nil"/>
            </w:tcBorders>
            <w:shd w:val="clear" w:color="auto" w:fill="auto"/>
            <w:tcMar>
              <w:top w:w="15" w:type="dxa"/>
              <w:left w:w="15" w:type="dxa"/>
              <w:bottom w:w="0" w:type="dxa"/>
              <w:right w:w="15" w:type="dxa"/>
            </w:tcMar>
            <w:vAlign w:val="center"/>
            <w:hideMark/>
          </w:tcPr>
          <w:p w14:paraId="4BC80ADD"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5455AD3B"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75E38E51"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35D7AA1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2DA621E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597089E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nil"/>
              <w:right w:val="nil"/>
            </w:tcBorders>
            <w:shd w:val="clear" w:color="auto" w:fill="auto"/>
            <w:tcMar>
              <w:top w:w="15" w:type="dxa"/>
              <w:left w:w="15" w:type="dxa"/>
              <w:bottom w:w="0" w:type="dxa"/>
              <w:right w:w="15" w:type="dxa"/>
            </w:tcMar>
            <w:hideMark/>
          </w:tcPr>
          <w:p w14:paraId="4D67C9C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49EE3D7E" w14:textId="77777777" w:rsidTr="008C20EE">
        <w:trPr>
          <w:trHeight w:val="253"/>
        </w:trPr>
        <w:tc>
          <w:tcPr>
            <w:tcW w:w="2553" w:type="dxa"/>
            <w:tcBorders>
              <w:top w:val="nil"/>
              <w:left w:val="nil"/>
              <w:bottom w:val="nil"/>
              <w:right w:val="nil"/>
            </w:tcBorders>
            <w:shd w:val="clear" w:color="auto" w:fill="auto"/>
            <w:tcMar>
              <w:top w:w="15" w:type="dxa"/>
              <w:left w:w="15" w:type="dxa"/>
              <w:bottom w:w="0" w:type="dxa"/>
              <w:right w:w="15" w:type="dxa"/>
            </w:tcMar>
            <w:vAlign w:val="center"/>
            <w:hideMark/>
          </w:tcPr>
          <w:p w14:paraId="2422F16D"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6B9498FE"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nil"/>
              <w:right w:val="nil"/>
            </w:tcBorders>
            <w:shd w:val="clear" w:color="auto" w:fill="auto"/>
            <w:tcMar>
              <w:top w:w="15" w:type="dxa"/>
              <w:left w:w="15" w:type="dxa"/>
              <w:bottom w:w="0" w:type="dxa"/>
              <w:right w:w="15" w:type="dxa"/>
            </w:tcMar>
            <w:hideMark/>
          </w:tcPr>
          <w:p w14:paraId="3EBE438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24318A9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1B9F19C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nil"/>
              <w:right w:val="nil"/>
            </w:tcBorders>
            <w:shd w:val="clear" w:color="auto" w:fill="auto"/>
            <w:tcMar>
              <w:top w:w="15" w:type="dxa"/>
              <w:left w:w="15" w:type="dxa"/>
              <w:bottom w:w="0" w:type="dxa"/>
              <w:right w:w="15" w:type="dxa"/>
            </w:tcMar>
            <w:hideMark/>
          </w:tcPr>
          <w:p w14:paraId="41ABB27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nil"/>
              <w:right w:val="nil"/>
            </w:tcBorders>
            <w:shd w:val="clear" w:color="auto" w:fill="auto"/>
            <w:tcMar>
              <w:top w:w="15" w:type="dxa"/>
              <w:left w:w="15" w:type="dxa"/>
              <w:bottom w:w="0" w:type="dxa"/>
              <w:right w:w="15" w:type="dxa"/>
            </w:tcMar>
            <w:hideMark/>
          </w:tcPr>
          <w:p w14:paraId="72EB5A2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7495A285" w14:textId="77777777" w:rsidTr="008C20EE">
        <w:trPr>
          <w:trHeight w:val="253"/>
        </w:trPr>
        <w:tc>
          <w:tcPr>
            <w:tcW w:w="255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3B9F4F2"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F6D084"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hideMark/>
          </w:tcPr>
          <w:p w14:paraId="5AAA214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4BCCA6D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hideMark/>
          </w:tcPr>
          <w:p w14:paraId="052A845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4B22DFF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hideMark/>
          </w:tcPr>
          <w:p w14:paraId="13F68D4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0F8C37E6"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2B88B31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1: Policy Frameworks</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364B4D0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1D7C17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D24DE1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A693AF4" w14:textId="3A065D42"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207734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xml:space="preserve">Target (date)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02DDBC4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371CC5F3"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493911"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Assistance provided to develop and improve local and national frameworks for governance of mangrove forests in partner countries</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1F08B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policy and regulatory assessments undertaken through the program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9ED9A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11C9B2"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73713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CAB2E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5E3F228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Aggregrate of number of policies and assesments undertaken.</w:t>
            </w:r>
          </w:p>
        </w:tc>
      </w:tr>
      <w:tr w:rsidR="00924A36" w:rsidRPr="00AB7D50" w14:paraId="14B841A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5E2CF7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93F1B4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0601A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227955F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E4458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4BAFC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7DA3EC96"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25F815C7"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BBAC98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7D22C8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6503849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5301B81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04004F8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1AF6D917"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0AF2F6F0"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5D939553" w14:textId="77777777" w:rsidTr="008C20EE">
        <w:trPr>
          <w:trHeight w:val="164"/>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9683CC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EF13F3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38130A6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D83012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35CF6EE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71DDC5C4"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8DF1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360C9C1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1D489C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1B6CEC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1.2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6D28155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5C89CE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C38172B" w14:textId="12A5EF70"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EDDB0E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59D75CB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4B37801D"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CCC0BE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F03FBA"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people in national institutions trained mangrove protection and the value of these ecosystems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C9BAF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F17050D"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29A3B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7A246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69D27DF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people trained</w:t>
            </w:r>
          </w:p>
        </w:tc>
      </w:tr>
      <w:tr w:rsidR="00924A36" w:rsidRPr="00AB7D50" w14:paraId="09598EC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B3ABD6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7806B8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AA482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39FC54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603A5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AA034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6E4C8A11"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7EAB9DF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BC6878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A4B660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9969FD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027DFD6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366E2DA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3BDA617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43D933F9"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F69CD62" w14:textId="77777777" w:rsidTr="008C20EE">
        <w:trPr>
          <w:trHeight w:val="97"/>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8D7E3A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D4525C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0C63DC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03C948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F1B7A8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2C3770D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EFE67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4EEC3B83"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58F8F42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 WEIGHTING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61BA736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1.3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8EAE37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625B91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03A147A" w14:textId="67209BC9"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F30487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2A59B7C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6D1A50E4"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B3F1D8"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51E2D5"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knowledge products or policy documents produced related to mangrove governance.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77C66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303C3D3"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7C3E0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364A49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0A9C4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documents</w:t>
            </w:r>
          </w:p>
        </w:tc>
      </w:tr>
      <w:tr w:rsidR="00924A36" w:rsidRPr="00AB7D50" w14:paraId="4BCF288A"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59E39D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21D75B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3A0FC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17C096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81929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E2043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8C8D638"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F391B39"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5531C42"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06FFFE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23B9C27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86574B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573B807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20BD772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F9200E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RISK RATING</w:t>
            </w:r>
          </w:p>
        </w:tc>
      </w:tr>
      <w:tr w:rsidR="00924A36" w:rsidRPr="00AB7D50" w14:paraId="34CD76E0" w14:textId="77777777" w:rsidTr="008C20EE">
        <w:trPr>
          <w:trHeight w:val="71"/>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CD61ED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D6AF73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B9B37F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CBF255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C09862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146C5B8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BFF863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7F3B81D6"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956495D"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E495466"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hideMark/>
          </w:tcPr>
          <w:p w14:paraId="2E3777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20FD421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hideMark/>
          </w:tcPr>
          <w:p w14:paraId="2EDCE45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6B30A6B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hideMark/>
          </w:tcPr>
          <w:p w14:paraId="44795EE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58E515F3" w14:textId="77777777" w:rsidTr="008C20EE">
        <w:trPr>
          <w:trHeight w:val="253"/>
        </w:trPr>
        <w:tc>
          <w:tcPr>
            <w:tcW w:w="4254" w:type="dxa"/>
            <w:gridSpan w:val="2"/>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8F0E37B"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hideMark/>
          </w:tcPr>
          <w:p w14:paraId="3C53BF8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73E7495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nil"/>
              <w:left w:val="nil"/>
              <w:bottom w:val="nil"/>
              <w:right w:val="nil"/>
            </w:tcBorders>
            <w:shd w:val="clear" w:color="auto" w:fill="auto"/>
            <w:tcMar>
              <w:top w:w="15" w:type="dxa"/>
              <w:left w:w="15" w:type="dxa"/>
              <w:bottom w:w="0" w:type="dxa"/>
              <w:right w:w="15" w:type="dxa"/>
            </w:tcMar>
            <w:hideMark/>
          </w:tcPr>
          <w:p w14:paraId="0AF5DB1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14E2A94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hideMark/>
          </w:tcPr>
          <w:p w14:paraId="568574F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2BDA1A41" w14:textId="77777777" w:rsidTr="008C20EE">
        <w:trPr>
          <w:trHeight w:val="505"/>
        </w:trPr>
        <w:tc>
          <w:tcPr>
            <w:tcW w:w="2553" w:type="dxa"/>
            <w:tcBorders>
              <w:top w:val="single" w:sz="8" w:space="0" w:color="000000"/>
              <w:left w:val="single" w:sz="8" w:space="0" w:color="000000"/>
              <w:bottom w:val="single" w:sz="8" w:space="0" w:color="000000"/>
              <w:right w:val="single" w:sz="4" w:space="0" w:color="000000"/>
            </w:tcBorders>
            <w:shd w:val="clear" w:color="auto" w:fill="99CCFF"/>
            <w:tcMar>
              <w:top w:w="15" w:type="dxa"/>
              <w:left w:w="15" w:type="dxa"/>
              <w:bottom w:w="0" w:type="dxa"/>
              <w:right w:w="15" w:type="dxa"/>
            </w:tcMar>
            <w:hideMark/>
          </w:tcPr>
          <w:p w14:paraId="6787EC8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2: Community Management</w:t>
            </w:r>
          </w:p>
        </w:tc>
        <w:tc>
          <w:tcPr>
            <w:tcW w:w="1701" w:type="dxa"/>
            <w:tcBorders>
              <w:top w:val="single" w:sz="8" w:space="0" w:color="000000"/>
              <w:left w:val="single" w:sz="4" w:space="0" w:color="000000"/>
              <w:bottom w:val="single" w:sz="8" w:space="0" w:color="000000"/>
              <w:right w:val="single" w:sz="4" w:space="0" w:color="000000"/>
            </w:tcBorders>
            <w:shd w:val="clear" w:color="auto" w:fill="FFFF99"/>
            <w:tcMar>
              <w:top w:w="15" w:type="dxa"/>
              <w:left w:w="15" w:type="dxa"/>
              <w:bottom w:w="0" w:type="dxa"/>
              <w:right w:w="15" w:type="dxa"/>
            </w:tcMar>
            <w:hideMark/>
          </w:tcPr>
          <w:p w14:paraId="648A14C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2.1</w:t>
            </w:r>
          </w:p>
        </w:tc>
        <w:tc>
          <w:tcPr>
            <w:tcW w:w="850" w:type="dxa"/>
            <w:tcBorders>
              <w:top w:val="single" w:sz="8" w:space="0" w:color="000000"/>
              <w:left w:val="single" w:sz="4" w:space="0" w:color="000000"/>
              <w:bottom w:val="single" w:sz="8" w:space="0" w:color="000000"/>
              <w:right w:val="single" w:sz="4" w:space="0" w:color="000000"/>
            </w:tcBorders>
            <w:shd w:val="clear" w:color="auto" w:fill="FFFF99"/>
            <w:tcMar>
              <w:top w:w="15" w:type="dxa"/>
              <w:left w:w="15" w:type="dxa"/>
              <w:bottom w:w="0" w:type="dxa"/>
              <w:right w:w="15" w:type="dxa"/>
            </w:tcMar>
            <w:hideMark/>
          </w:tcPr>
          <w:p w14:paraId="204B8A9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4" w:space="0" w:color="000000"/>
              <w:bottom w:val="single" w:sz="8" w:space="0" w:color="000000"/>
              <w:right w:val="single" w:sz="4" w:space="0" w:color="000000"/>
            </w:tcBorders>
            <w:shd w:val="clear" w:color="auto" w:fill="CCFFCC"/>
            <w:tcMar>
              <w:top w:w="15" w:type="dxa"/>
              <w:left w:w="15" w:type="dxa"/>
              <w:bottom w:w="0" w:type="dxa"/>
              <w:right w:w="15" w:type="dxa"/>
            </w:tcMar>
            <w:hideMark/>
          </w:tcPr>
          <w:p w14:paraId="0D11294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nil"/>
              <w:left w:val="single" w:sz="4" w:space="0" w:color="000000"/>
              <w:bottom w:val="single" w:sz="8" w:space="0" w:color="000000"/>
              <w:right w:val="single" w:sz="4" w:space="0" w:color="000000"/>
            </w:tcBorders>
            <w:shd w:val="clear" w:color="auto" w:fill="CCFFCC"/>
            <w:tcMar>
              <w:top w:w="15" w:type="dxa"/>
              <w:left w:w="15" w:type="dxa"/>
              <w:bottom w:w="0" w:type="dxa"/>
              <w:right w:w="15" w:type="dxa"/>
            </w:tcMar>
            <w:hideMark/>
          </w:tcPr>
          <w:p w14:paraId="6668B7B8" w14:textId="71C62021"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4" w:space="0" w:color="000000"/>
              <w:bottom w:val="single" w:sz="8" w:space="0" w:color="000000"/>
              <w:right w:val="single" w:sz="4" w:space="0" w:color="000000"/>
            </w:tcBorders>
            <w:shd w:val="clear" w:color="auto" w:fill="CCFFCC"/>
            <w:tcMar>
              <w:top w:w="15" w:type="dxa"/>
              <w:left w:w="15" w:type="dxa"/>
              <w:bottom w:w="0" w:type="dxa"/>
              <w:right w:w="15" w:type="dxa"/>
            </w:tcMar>
            <w:hideMark/>
          </w:tcPr>
          <w:p w14:paraId="5A5CF98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xml:space="preserve">Target (date) </w:t>
            </w:r>
          </w:p>
        </w:tc>
        <w:tc>
          <w:tcPr>
            <w:tcW w:w="2835" w:type="dxa"/>
            <w:tcBorders>
              <w:top w:val="single" w:sz="8" w:space="0" w:color="000000"/>
              <w:left w:val="single" w:sz="4"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3BDD177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3A9A7E47"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2E0A46"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Capacity building to enable communities to fully realise the co-benefits of improved outcomes in mangrove protection</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64D1764"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people trained in capacity-building techniques focused on long-term sustainable use of mangrove ecosystem services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8729B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597D19"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20F38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2BA53E"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6A6EE02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gender disaggregated.M44</w:t>
            </w:r>
          </w:p>
        </w:tc>
      </w:tr>
      <w:tr w:rsidR="00924A36" w:rsidRPr="00AB7D50" w14:paraId="4D30E18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3EB4D8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509DE7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A7DAA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507B788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CBC0A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AB09A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369D5775"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C991184"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7497A9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8F1F98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5FEB31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57296DA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6B60292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6318CC8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496B834E"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5623FDFA" w14:textId="77777777" w:rsidTr="008C20EE">
        <w:trPr>
          <w:trHeight w:val="381"/>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741C80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1A45F0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69DF8F1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081AB5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996183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1E2BF55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7709C2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13ADE56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DD3504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6EBBF30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3B66828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6AB013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95A51FA" w14:textId="3D505F1F"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907CA1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2AE0F89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3D080B1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146F99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E0CBEC"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Number of people trainers trained in "train </w:t>
            </w:r>
            <w:r w:rsidRPr="00AB7D50">
              <w:rPr>
                <w:rFonts w:ascii="Arial" w:eastAsia="Times New Roman" w:hAnsi="Arial" w:cs="Arial"/>
                <w:color w:val="000000"/>
                <w:kern w:val="24"/>
                <w:sz w:val="16"/>
                <w:szCs w:val="16"/>
                <w:lang w:eastAsia="en-GB"/>
              </w:rPr>
              <w:lastRenderedPageBreak/>
              <w:t>the trainer" progams for capacity-building techniques focused on long-term sustainable use of mangrove ecosystem services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FC08E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lastRenderedPageBreak/>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EF7763"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C4048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EDA64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6119ED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gender disaggregated.</w:t>
            </w:r>
          </w:p>
        </w:tc>
      </w:tr>
      <w:tr w:rsidR="00924A36" w:rsidRPr="00AB7D50" w14:paraId="315296F9"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89ED29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001C52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F4F1A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5E6C1D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0A77C0C"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44EA68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856B45F"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1F1E3AB9"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876AF0A"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C25F1A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26B406B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6372175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2AF5FFF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3A6918F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CEEC59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RISK RATING</w:t>
            </w:r>
          </w:p>
        </w:tc>
      </w:tr>
      <w:tr w:rsidR="00924A36" w:rsidRPr="00AB7D50" w14:paraId="01FDF698" w14:textId="77777777" w:rsidTr="008C20EE">
        <w:trPr>
          <w:trHeight w:val="69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5BF862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F8B444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1CC8945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55EFC15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9DA255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70D74D8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C6F6F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4D2C15DA"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6E9DEEB"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5198B9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00D868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1EFA43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17AC4E4" w14:textId="6483F81D"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DE0378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DBFABB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7593D8E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F4F1BC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E92AAA"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xml:space="preserve"> Number of financial products for sustainable use of resources implemented</w:t>
            </w:r>
            <w:r w:rsidRPr="00AB7D50">
              <w:rPr>
                <w:rFonts w:ascii="Arial" w:eastAsia="Times New Roman" w:hAnsi="Arial" w:cs="Arial"/>
                <w:color w:val="000000"/>
                <w:kern w:val="24"/>
                <w:sz w:val="16"/>
                <w:szCs w:val="16"/>
                <w:lang w:eastAsia="en-GB"/>
              </w:rPr>
              <w:br/>
            </w:r>
            <w:r w:rsidRPr="00AB7D50">
              <w:rPr>
                <w:rFonts w:ascii="Arial" w:eastAsia="Times New Roman" w:hAnsi="Arial" w:cs="Arial"/>
                <w:color w:val="000000"/>
                <w:kern w:val="24"/>
                <w:sz w:val="16"/>
                <w:szCs w:val="16"/>
                <w:lang w:eastAsia="en-GB"/>
              </w:rPr>
              <w:br/>
            </w:r>
            <w:r w:rsidRPr="00AB7D50">
              <w:rPr>
                <w:rFonts w:ascii="Arial" w:eastAsia="Times New Roman" w:hAnsi="Arial" w:cs="Arial"/>
                <w:color w:val="000000"/>
                <w:kern w:val="24"/>
                <w:sz w:val="16"/>
                <w:szCs w:val="16"/>
                <w:lang w:eastAsia="en-GB"/>
              </w:rPr>
              <w:br/>
            </w:r>
            <w:r w:rsidRPr="00AB7D50">
              <w:rPr>
                <w:rFonts w:ascii="Arial" w:eastAsia="Times New Roman" w:hAnsi="Arial" w:cs="Arial"/>
                <w:color w:val="000000"/>
                <w:kern w:val="24"/>
                <w:sz w:val="16"/>
                <w:szCs w:val="16"/>
                <w:lang w:eastAsia="en-GB"/>
              </w:rPr>
              <w:b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41663E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041600"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CCB99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F7D90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4DA3D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w:t>
            </w:r>
          </w:p>
        </w:tc>
      </w:tr>
      <w:tr w:rsidR="00924A36" w:rsidRPr="00AB7D50" w14:paraId="1B86F668"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3F4252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84214E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296DB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5262C00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6C948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8A87F6"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68EB372"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3D3C96B"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3A7AD0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2A5B6B0"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A5E734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74792FA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6825F0BC"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129138D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83E29B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RISK RATING</w:t>
            </w:r>
          </w:p>
        </w:tc>
      </w:tr>
      <w:tr w:rsidR="00924A36" w:rsidRPr="00AB7D50" w14:paraId="7D963C69" w14:textId="77777777" w:rsidTr="008C20EE">
        <w:trPr>
          <w:trHeight w:val="44"/>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EE2E995"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227DF8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0EB8300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B17C73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A42BC82"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1D46A92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D44CE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357F114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7987ED6"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046806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2.4</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BB9C7A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12CA39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88CA4E1" w14:textId="5B12C3D8"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69E417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041C06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2785536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66C68CC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14CDFE"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people using financial products developed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2F7F96"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3E7011"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5DF61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B6E03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3C4949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gender disaggregated.</w:t>
            </w:r>
          </w:p>
        </w:tc>
      </w:tr>
      <w:tr w:rsidR="00924A36" w:rsidRPr="00AB7D50" w14:paraId="53C72292"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0DC60A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1745A7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BEFD0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04FE4DD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FDD9F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9FF24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E1DAEC8"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4BE152DD"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98614E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7DBCD6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6640E8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578E6BF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0DD1E16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47C0854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3FC6E238"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RISK RATING</w:t>
            </w:r>
          </w:p>
        </w:tc>
      </w:tr>
      <w:tr w:rsidR="00924A36" w:rsidRPr="00AB7D50" w14:paraId="4F04903A" w14:textId="77777777" w:rsidTr="008C20EE">
        <w:trPr>
          <w:trHeight w:val="90"/>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E34BDE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8671E8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70B6E1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C8C7AD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4528E2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4E2489F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CCD49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1B41335B"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7D1DE625"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IMPACT WEIGHTING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F131AEA"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2.5</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1AFC7E6B"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38A88A4"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4A8D724" w14:textId="5FC55429"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C52589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2E1CA05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AB7D50" w14:paraId="713FAEC3"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5BF18B"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4E1FE9" w14:textId="77777777" w:rsidR="00924A36" w:rsidRPr="00AB7D50" w:rsidRDefault="00924A36" w:rsidP="00924A36">
            <w:pPr>
              <w:spacing w:after="0" w:line="240" w:lineRule="auto"/>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Number of community-based approaches implemented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2B133F"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C8E3D69" w14:textId="77777777" w:rsidR="00924A36" w:rsidRPr="00AB7D50" w:rsidRDefault="00924A36" w:rsidP="00924A36">
            <w:pPr>
              <w:spacing w:after="0" w:line="240" w:lineRule="auto"/>
              <w:jc w:val="right"/>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7D6EA10"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DE7103"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2A223A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Reported annually. Aggregate of different approaches tested.</w:t>
            </w:r>
          </w:p>
        </w:tc>
      </w:tr>
      <w:tr w:rsidR="00924A36" w:rsidRPr="00AB7D50" w14:paraId="0F46560D"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32065E7"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CF21A84"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F044B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12892FF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0210F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E50AAD7"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7B6EA47" w14:textId="77777777" w:rsidR="00924A36" w:rsidRPr="00AB7D50" w:rsidRDefault="00924A36" w:rsidP="00924A36">
            <w:pPr>
              <w:spacing w:after="0" w:line="240" w:lineRule="auto"/>
              <w:rPr>
                <w:rFonts w:ascii="Arial" w:eastAsia="Times New Roman" w:hAnsi="Arial" w:cs="Arial"/>
                <w:sz w:val="36"/>
                <w:szCs w:val="36"/>
                <w:lang w:eastAsia="en-GB"/>
              </w:rPr>
            </w:pPr>
          </w:p>
        </w:tc>
      </w:tr>
      <w:tr w:rsidR="00924A36" w:rsidRPr="00AB7D50" w14:paraId="30FD8784"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85FE34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19FCBC1"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5A58693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0CC9C62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33C408E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02968959"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41FBF5F"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RISK RATING</w:t>
            </w:r>
          </w:p>
        </w:tc>
      </w:tr>
      <w:tr w:rsidR="00924A36" w:rsidRPr="00AB7D50" w14:paraId="32840D3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944A1EE"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904EC2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3CE51D1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3C9AC62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8B110ED"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5BE31B8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A301AD"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r>
      <w:tr w:rsidR="00924A36" w:rsidRPr="00AB7D50" w14:paraId="5C946AC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EFB8F69"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3B96ADC"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B457135"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214DEB1"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5AFD703"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05D8561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6BC5E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r>
      <w:tr w:rsidR="00924A36" w:rsidRPr="00AB7D50" w14:paraId="15EC6633" w14:textId="77777777" w:rsidTr="008C20EE">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44D0A2FD"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309B02F" w14:textId="77777777" w:rsidR="00924A36" w:rsidRPr="00AB7D50" w:rsidRDefault="00924A36" w:rsidP="00924A36">
            <w:pPr>
              <w:spacing w:after="0" w:line="240" w:lineRule="auto"/>
              <w:rPr>
                <w:rFonts w:ascii="Arial" w:eastAsia="Times New Roman" w:hAnsi="Arial" w:cs="Arial"/>
                <w:sz w:val="36"/>
                <w:szCs w:val="3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75B8C09B"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BC1E9BA"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930624E"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00382D18" w14:textId="77777777" w:rsidR="00924A36" w:rsidRPr="00AB7D50" w:rsidRDefault="00924A36" w:rsidP="00924A36">
            <w:pPr>
              <w:spacing w:after="0" w:line="240" w:lineRule="auto"/>
              <w:jc w:val="center"/>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26B4A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r>
      <w:tr w:rsidR="00924A36" w:rsidRPr="00AB7D50" w14:paraId="07444126" w14:textId="77777777" w:rsidTr="008C20EE">
        <w:trPr>
          <w:trHeight w:val="253"/>
        </w:trPr>
        <w:tc>
          <w:tcPr>
            <w:tcW w:w="255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9196EFB" w14:textId="77777777" w:rsidR="00924A36" w:rsidRPr="00AB7D50" w:rsidRDefault="00924A36" w:rsidP="00924A36">
            <w:pPr>
              <w:spacing w:after="0" w:line="240" w:lineRule="auto"/>
              <w:jc w:val="center"/>
              <w:textAlignment w:val="center"/>
              <w:rPr>
                <w:rFonts w:ascii="Arial" w:eastAsia="Times New Roman" w:hAnsi="Arial" w:cs="Arial"/>
                <w:sz w:val="36"/>
                <w:szCs w:val="36"/>
                <w:lang w:eastAsia="en-GB"/>
              </w:rPr>
            </w:pPr>
            <w:r w:rsidRPr="00AB7D50">
              <w:rPr>
                <w:rFonts w:ascii="Arial" w:eastAsia="Times New Roman" w:hAnsi="Arial" w:cs="Arial"/>
                <w:color w:val="000000"/>
                <w:kern w:val="24"/>
                <w:sz w:val="16"/>
                <w:szCs w:val="16"/>
                <w:lang w:eastAsia="en-GB"/>
              </w:rPr>
              <w:t> </w:t>
            </w:r>
          </w:p>
        </w:tc>
        <w:tc>
          <w:tcPr>
            <w:tcW w:w="1701" w:type="dxa"/>
            <w:tcBorders>
              <w:top w:val="single" w:sz="8" w:space="0" w:color="000000"/>
              <w:left w:val="nil"/>
              <w:bottom w:val="single" w:sz="8" w:space="0" w:color="000000"/>
              <w:right w:val="single" w:sz="8" w:space="0" w:color="000000"/>
            </w:tcBorders>
            <w:shd w:val="clear" w:color="auto" w:fill="FFFF99"/>
            <w:tcMar>
              <w:top w:w="15" w:type="dxa"/>
              <w:left w:w="15" w:type="dxa"/>
              <w:bottom w:w="0" w:type="dxa"/>
              <w:right w:w="15" w:type="dxa"/>
            </w:tcMar>
            <w:hideMark/>
          </w:tcPr>
          <w:p w14:paraId="4FC36C89"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Output Indicator 2.6</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1727A1B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672E442"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0AB9376" w14:textId="20C6E203" w:rsidR="00924A36" w:rsidRPr="00AB7D50" w:rsidRDefault="0034134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1450DC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12D7091" w14:textId="77777777" w:rsidR="00924A36" w:rsidRPr="00AB7D50" w:rsidRDefault="00924A36" w:rsidP="00924A36">
            <w:pPr>
              <w:spacing w:after="0" w:line="240" w:lineRule="auto"/>
              <w:textAlignment w:val="top"/>
              <w:rPr>
                <w:rFonts w:ascii="Arial" w:eastAsia="Times New Roman" w:hAnsi="Arial" w:cs="Arial"/>
                <w:sz w:val="36"/>
                <w:szCs w:val="36"/>
                <w:lang w:eastAsia="en-GB"/>
              </w:rPr>
            </w:pPr>
            <w:r w:rsidRPr="00AB7D50">
              <w:rPr>
                <w:rFonts w:ascii="Arial" w:eastAsia="Times New Roman" w:hAnsi="Arial" w:cs="Arial"/>
                <w:b/>
                <w:bCs/>
                <w:color w:val="000000"/>
                <w:kern w:val="24"/>
                <w:sz w:val="16"/>
                <w:szCs w:val="16"/>
                <w:lang w:eastAsia="en-GB"/>
              </w:rPr>
              <w:t>Assumptions</w:t>
            </w:r>
          </w:p>
        </w:tc>
      </w:tr>
      <w:tr w:rsidR="00924A36" w:rsidRPr="005823B8" w14:paraId="1F58D69D" w14:textId="77777777" w:rsidTr="008C20EE">
        <w:trPr>
          <w:trHeight w:val="3538"/>
        </w:trPr>
        <w:tc>
          <w:tcPr>
            <w:tcW w:w="2553"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083F371"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1F2F6F"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Number of NGOs/CBOs involved in program activities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6B990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5823B8">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EDB7ED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9E906C"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F17322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7ED22B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5823B8">
              <w:rPr>
                <w:rFonts w:ascii="Arial" w:eastAsia="Times New Roman" w:hAnsi="Arial" w:cs="Arial"/>
                <w:color w:val="000000"/>
                <w:kern w:val="24"/>
                <w:sz w:val="16"/>
                <w:szCs w:val="16"/>
                <w:lang w:eastAsia="en-GB"/>
              </w:rPr>
              <w:t>Reported annually</w:t>
            </w:r>
          </w:p>
        </w:tc>
      </w:tr>
      <w:tr w:rsidR="00924A36" w:rsidRPr="005823B8" w14:paraId="1ADC2406"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E2E179C"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94C7598"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480B5B"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77E8724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7608C8"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3BB09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0EF2FCE2"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7C591FDA"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0A5EBD52"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F919CAC"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CCFFCC"/>
            <w:tcMar>
              <w:top w:w="15" w:type="dxa"/>
              <w:left w:w="15" w:type="dxa"/>
              <w:bottom w:w="0" w:type="dxa"/>
              <w:right w:w="15" w:type="dxa"/>
            </w:tcMar>
            <w:hideMark/>
          </w:tcPr>
          <w:p w14:paraId="403460EE"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709"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34775A69"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CCFFCC"/>
            <w:tcMar>
              <w:top w:w="15" w:type="dxa"/>
              <w:left w:w="15" w:type="dxa"/>
              <w:bottom w:w="0" w:type="dxa"/>
              <w:right w:w="15" w:type="dxa"/>
            </w:tcMar>
            <w:hideMark/>
          </w:tcPr>
          <w:p w14:paraId="61D440B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CCFFCC"/>
            <w:tcMar>
              <w:top w:w="15" w:type="dxa"/>
              <w:left w:w="15" w:type="dxa"/>
              <w:bottom w:w="0" w:type="dxa"/>
              <w:right w:w="15" w:type="dxa"/>
            </w:tcMar>
            <w:hideMark/>
          </w:tcPr>
          <w:p w14:paraId="26C38CC4"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36FBFE57"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RISK RATING</w:t>
            </w:r>
          </w:p>
        </w:tc>
      </w:tr>
      <w:tr w:rsidR="00924A36" w:rsidRPr="005823B8" w14:paraId="4E50E596" w14:textId="77777777" w:rsidTr="009561C7">
        <w:trPr>
          <w:trHeight w:val="45"/>
        </w:trPr>
        <w:tc>
          <w:tcPr>
            <w:tcW w:w="2553"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27DCA5"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E484F87"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471FC09E"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282D3E53"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ABCB03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63C14BC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84FFA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26D82E8B" w14:textId="77777777" w:rsidTr="008C20EE">
        <w:trPr>
          <w:trHeight w:val="253"/>
        </w:trPr>
        <w:tc>
          <w:tcPr>
            <w:tcW w:w="255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0849A9D"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A2C3AD2"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85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DD97690"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3AA637D9"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5B948E4"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02E0A2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147496B"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29F952BB"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4E7E53D6"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3: Alternative Livelihoods</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F6326E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3.1</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9D7ACC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20B3D3B"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438E775" w14:textId="1C8D5373"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6146A56"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xml:space="preserve">Target (date)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0840689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42EA4F4F"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E79CA9"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Development of alternative livelihoods an improved economic outlook for local communities through community-management and training activities</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71D93C"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Number of people given training and support to undertake work in sustainable livelihoods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6A7A47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5D68FC"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9159D9"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30AC8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3F588B71"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Reported annually, gender disaggregated.</w:t>
            </w:r>
          </w:p>
        </w:tc>
      </w:tr>
      <w:tr w:rsidR="00924A36" w:rsidRPr="005823B8" w14:paraId="363B38CD"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1F15AB3"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3314611"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59C720"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6339055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8FD2D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979CC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20674E80"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319B3F6C"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8FEE213"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5339EF7"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86615B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vMerge/>
            <w:tcBorders>
              <w:top w:val="single" w:sz="8" w:space="0" w:color="000000"/>
              <w:left w:val="single" w:sz="8" w:space="0" w:color="000000"/>
              <w:bottom w:val="nil"/>
              <w:right w:val="single" w:sz="8" w:space="0" w:color="000000"/>
            </w:tcBorders>
            <w:vAlign w:val="center"/>
            <w:hideMark/>
          </w:tcPr>
          <w:p w14:paraId="6F5BD8DB"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0000C6A6" w14:textId="77777777" w:rsidTr="008C20EE">
        <w:trPr>
          <w:trHeight w:val="505"/>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BDCE16F"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3C138F0"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36B23252"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D41332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95538CF"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557159F4"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894D01C"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3C15441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8D1872D"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93B9E04"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3.2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F29F0D1"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7087B4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B6F696E" w14:textId="37C72D3B"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C2C71B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20140BCC"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6F2B9810"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6E0E112"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273F6A"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Blue economy sectoral breakdown of employment in target areas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8B8911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BA3C39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92C787"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FD59E4"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1B6E3D1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xml:space="preserve">Reported annually, %s of total employment. </w:t>
            </w:r>
            <w:r w:rsidRPr="00B41D93">
              <w:rPr>
                <w:rFonts w:ascii="Arial" w:eastAsia="Times New Roman" w:hAnsi="Arial" w:cs="Arial"/>
                <w:b/>
                <w:bCs/>
                <w:color w:val="000000"/>
                <w:kern w:val="24"/>
                <w:sz w:val="16"/>
                <w:szCs w:val="16"/>
                <w:lang w:eastAsia="en-GB"/>
              </w:rPr>
              <w:t>Disaggregate by gender.</w:t>
            </w:r>
          </w:p>
        </w:tc>
      </w:tr>
      <w:tr w:rsidR="00924A36" w:rsidRPr="005823B8" w14:paraId="301D96F3"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6759ACA"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8C036B0"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FEC8CB"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6969D8D4"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B028F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2141E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6FEB475C"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74D4A9BF"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A34ABEF"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51B4F0DA"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588ACF2"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vMerge/>
            <w:tcBorders>
              <w:top w:val="single" w:sz="8" w:space="0" w:color="000000"/>
              <w:left w:val="single" w:sz="8" w:space="0" w:color="000000"/>
              <w:bottom w:val="nil"/>
              <w:right w:val="single" w:sz="8" w:space="0" w:color="000000"/>
            </w:tcBorders>
            <w:vAlign w:val="center"/>
            <w:hideMark/>
          </w:tcPr>
          <w:p w14:paraId="075F79EA"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757D389A"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D80F6E1"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78BDE31"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4BD7F07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362FF59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8ED9A30"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7E4118B2"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5D6F2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7A705283"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5FF1503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IMPACT WEIGHTING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479E8FD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3.3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2901FB3C"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C10007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1CEFB77E" w14:textId="0598DFBF"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35F2ED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6594042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0E2FDFCC" w14:textId="77777777" w:rsidTr="008C20EE">
        <w:trPr>
          <w:trHeight w:val="253"/>
        </w:trPr>
        <w:tc>
          <w:tcPr>
            <w:tcW w:w="2553"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421A5F94" w14:textId="77777777" w:rsidR="00924A36" w:rsidRPr="00B41D93" w:rsidRDefault="00924A36" w:rsidP="00924A36">
            <w:pPr>
              <w:spacing w:after="0" w:line="240" w:lineRule="auto"/>
              <w:jc w:val="center"/>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8D19180"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Number of people employed in environmentally sustainable livelihoods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AC7A215"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7A1DD85"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BBDB5B"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DB1A1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C838FC8"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xml:space="preserve">Reported annually, no. </w:t>
            </w:r>
            <w:r w:rsidRPr="00B41D93">
              <w:rPr>
                <w:rFonts w:ascii="Arial" w:eastAsia="Times New Roman" w:hAnsi="Arial" w:cs="Arial"/>
                <w:b/>
                <w:bCs/>
                <w:color w:val="000000"/>
                <w:kern w:val="24"/>
                <w:sz w:val="16"/>
                <w:szCs w:val="16"/>
                <w:lang w:eastAsia="en-GB"/>
              </w:rPr>
              <w:t>Disaggregate by gender.</w:t>
            </w:r>
          </w:p>
        </w:tc>
      </w:tr>
      <w:tr w:rsidR="00924A36" w:rsidRPr="005823B8" w14:paraId="305E8E2F"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A95D90"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5774FF4"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431A09"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624A8F4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1687A7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02F7DA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38F52A25"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5D95ABD9"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3681608A"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C616234"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5F013716"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CAB2ACC"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RISK RATING</w:t>
            </w:r>
          </w:p>
        </w:tc>
      </w:tr>
      <w:tr w:rsidR="00924A36" w:rsidRPr="005823B8" w14:paraId="6F80DE01" w14:textId="77777777" w:rsidTr="008C20EE">
        <w:trPr>
          <w:trHeight w:val="253"/>
        </w:trPr>
        <w:tc>
          <w:tcPr>
            <w:tcW w:w="2553"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E9892"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95FF2BA"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00EFB3AC"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6CC88C2"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6FA72196"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79C07C26"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867C1C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78782138" w14:textId="77777777" w:rsidTr="008C20EE">
        <w:trPr>
          <w:trHeight w:val="253"/>
        </w:trPr>
        <w:tc>
          <w:tcPr>
            <w:tcW w:w="255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DD1C4D9"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37995AB"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850" w:type="dxa"/>
            <w:tcBorders>
              <w:top w:val="single" w:sz="8" w:space="0" w:color="000000"/>
              <w:left w:val="nil"/>
              <w:bottom w:val="nil"/>
              <w:right w:val="nil"/>
            </w:tcBorders>
            <w:shd w:val="clear" w:color="auto" w:fill="auto"/>
            <w:tcMar>
              <w:top w:w="15" w:type="dxa"/>
              <w:left w:w="15" w:type="dxa"/>
              <w:bottom w:w="0" w:type="dxa"/>
              <w:right w:w="15" w:type="dxa"/>
            </w:tcMar>
            <w:hideMark/>
          </w:tcPr>
          <w:p w14:paraId="5A6F9CFB"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06E63D8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hideMark/>
          </w:tcPr>
          <w:p w14:paraId="49D40112"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nil"/>
              <w:right w:val="nil"/>
            </w:tcBorders>
            <w:shd w:val="clear" w:color="auto" w:fill="auto"/>
            <w:tcMar>
              <w:top w:w="15" w:type="dxa"/>
              <w:left w:w="15" w:type="dxa"/>
              <w:bottom w:w="0" w:type="dxa"/>
              <w:right w:w="15" w:type="dxa"/>
            </w:tcMar>
            <w:hideMark/>
          </w:tcPr>
          <w:p w14:paraId="6539E7E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nil"/>
              <w:bottom w:val="nil"/>
              <w:right w:val="nil"/>
            </w:tcBorders>
            <w:shd w:val="clear" w:color="auto" w:fill="auto"/>
            <w:tcMar>
              <w:top w:w="15" w:type="dxa"/>
              <w:left w:w="15" w:type="dxa"/>
              <w:bottom w:w="0" w:type="dxa"/>
              <w:right w:w="15" w:type="dxa"/>
            </w:tcMar>
            <w:hideMark/>
          </w:tcPr>
          <w:p w14:paraId="7981827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6A0CBB84" w14:textId="77777777" w:rsidTr="008C20EE">
        <w:trPr>
          <w:trHeight w:val="253"/>
        </w:trPr>
        <w:tc>
          <w:tcPr>
            <w:tcW w:w="255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39F4E84"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193EA76"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850" w:type="dxa"/>
            <w:tcBorders>
              <w:top w:val="nil"/>
              <w:left w:val="nil"/>
              <w:bottom w:val="single" w:sz="8" w:space="0" w:color="000000"/>
              <w:right w:val="nil"/>
            </w:tcBorders>
            <w:shd w:val="clear" w:color="auto" w:fill="auto"/>
            <w:tcMar>
              <w:top w:w="15" w:type="dxa"/>
              <w:left w:w="15" w:type="dxa"/>
              <w:bottom w:w="0" w:type="dxa"/>
              <w:right w:w="15" w:type="dxa"/>
            </w:tcMar>
            <w:hideMark/>
          </w:tcPr>
          <w:p w14:paraId="22964F7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7B7259B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hideMark/>
          </w:tcPr>
          <w:p w14:paraId="6CE8F1F9"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nil"/>
              <w:left w:val="nil"/>
              <w:bottom w:val="single" w:sz="8" w:space="0" w:color="000000"/>
              <w:right w:val="nil"/>
            </w:tcBorders>
            <w:shd w:val="clear" w:color="auto" w:fill="auto"/>
            <w:tcMar>
              <w:top w:w="15" w:type="dxa"/>
              <w:left w:w="15" w:type="dxa"/>
              <w:bottom w:w="0" w:type="dxa"/>
              <w:right w:w="15" w:type="dxa"/>
            </w:tcMar>
            <w:hideMark/>
          </w:tcPr>
          <w:p w14:paraId="3F97C4EF"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nil"/>
              <w:left w:val="nil"/>
              <w:bottom w:val="single" w:sz="8" w:space="0" w:color="000000"/>
              <w:right w:val="nil"/>
            </w:tcBorders>
            <w:shd w:val="clear" w:color="auto" w:fill="auto"/>
            <w:tcMar>
              <w:top w:w="15" w:type="dxa"/>
              <w:left w:w="15" w:type="dxa"/>
              <w:bottom w:w="0" w:type="dxa"/>
              <w:right w:w="15" w:type="dxa"/>
            </w:tcMar>
            <w:hideMark/>
          </w:tcPr>
          <w:p w14:paraId="3C6AD8D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26F887F9"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05829EE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4: Innovation Competition</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F15F51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4.1</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868DEB5"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3A348DC3"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D2F3AAC" w14:textId="3D3998FE"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7EAA13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xml:space="preserve">Target (date) </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2F388950"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0FB7F27C" w14:textId="77777777" w:rsidTr="008C20EE">
        <w:trPr>
          <w:trHeight w:val="253"/>
        </w:trPr>
        <w:tc>
          <w:tcPr>
            <w:tcW w:w="25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8520FE"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ICF-IDB program supports businesses focused on technological or business-focused innovation in the field of mangrove protection or restoration, with direct benefits for local communities</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4F7954"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Number of businesses supported through ICF-IDB mangroves innovation competition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EE692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D45BF23"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7C268B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3948B8"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7</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38A792CF"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Reported annually, number.</w:t>
            </w:r>
            <w:r w:rsidRPr="00B41D93">
              <w:rPr>
                <w:rFonts w:ascii="Arial" w:eastAsia="Times New Roman" w:hAnsi="Arial" w:cs="Arial"/>
                <w:color w:val="000000"/>
                <w:kern w:val="24"/>
                <w:sz w:val="16"/>
                <w:szCs w:val="16"/>
                <w:lang w:eastAsia="en-GB"/>
              </w:rPr>
              <w:br/>
              <w:t>Assumption:  technical and financial assistance from ICF-IDB has encouraged businesses to innovate in the field.</w:t>
            </w:r>
          </w:p>
        </w:tc>
      </w:tr>
      <w:tr w:rsidR="00924A36" w:rsidRPr="005823B8" w14:paraId="38D42E71" w14:textId="77777777" w:rsidTr="008C20EE">
        <w:trPr>
          <w:trHeight w:val="1011"/>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1EDE2603"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4B6505F3"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DA2125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4DA6965B"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E2F98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8C5D8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63EDE76D"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27ED5696"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3F0689D4"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8E26F9E"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1E0E5EE"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tcBorders>
              <w:top w:val="nil"/>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BE193BB"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RISK RATING Low</w:t>
            </w:r>
          </w:p>
        </w:tc>
      </w:tr>
      <w:tr w:rsidR="00924A36" w:rsidRPr="005823B8" w14:paraId="4A906971"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571F7050"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C249343"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52326840"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2D6434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20DFE77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48BE9C36"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37BAC5E"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1F9D8149"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129DEFB"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5E5C0F3C"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4.2</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CC158A7"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072A8B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9BED768" w14:textId="1778B69D"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95A9EB4"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148724DA"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69600D2C"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787588EF"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133A99"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Value of businesses supported through ICF-IDB mangroves innovation competition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CBBF08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062E13"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22650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389592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172E6186"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Reported at end of program - through impact evaluation.</w:t>
            </w:r>
            <w:r w:rsidRPr="00B41D93">
              <w:rPr>
                <w:rFonts w:ascii="Arial" w:eastAsia="Times New Roman" w:hAnsi="Arial" w:cs="Arial"/>
                <w:color w:val="000000"/>
                <w:kern w:val="24"/>
                <w:sz w:val="16"/>
                <w:szCs w:val="16"/>
                <w:lang w:eastAsia="en-GB"/>
              </w:rPr>
              <w:br/>
              <w:t>Assumption: technical and financial assistance from ICF-IDB has enabled businesses to grow and succeed.  Either value of IPO of business or methodology used to evaluate a proxy based on market standards.</w:t>
            </w:r>
          </w:p>
        </w:tc>
      </w:tr>
      <w:tr w:rsidR="00924A36" w:rsidRPr="005823B8" w14:paraId="0983CF07" w14:textId="77777777" w:rsidTr="008C20EE">
        <w:trPr>
          <w:trHeight w:val="1769"/>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4E6335E"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E4D6395"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9F21B13"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0805A0D7"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F81206"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9D859A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7BF53875"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7DD91204" w14:textId="77777777" w:rsidTr="008C20EE">
        <w:trPr>
          <w:trHeight w:val="253"/>
        </w:trPr>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20A9F006"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3269DDAA"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2269812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tcBorders>
              <w:top w:val="nil"/>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448D5A96"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RISK RATING High</w:t>
            </w:r>
          </w:p>
        </w:tc>
      </w:tr>
      <w:tr w:rsidR="00924A36" w:rsidRPr="005823B8" w14:paraId="0B73AF65" w14:textId="77777777" w:rsidTr="008C20EE">
        <w:tc>
          <w:tcPr>
            <w:tcW w:w="2553" w:type="dxa"/>
            <w:vMerge/>
            <w:tcBorders>
              <w:top w:val="single" w:sz="8" w:space="0" w:color="000000"/>
              <w:left w:val="single" w:sz="8" w:space="0" w:color="000000"/>
              <w:bottom w:val="single" w:sz="8" w:space="0" w:color="000000"/>
              <w:right w:val="single" w:sz="8" w:space="0" w:color="000000"/>
            </w:tcBorders>
            <w:vAlign w:val="center"/>
            <w:hideMark/>
          </w:tcPr>
          <w:p w14:paraId="0B952861"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43ACDB4"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0EF262A3"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03BEBE97"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47A2633F"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3BC65129"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24739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r w:rsidR="00924A36" w:rsidRPr="005823B8" w14:paraId="4FC8FA0F" w14:textId="77777777" w:rsidTr="008C20EE">
        <w:trPr>
          <w:trHeight w:val="253"/>
        </w:trPr>
        <w:tc>
          <w:tcPr>
            <w:tcW w:w="2553" w:type="dxa"/>
            <w:tcBorders>
              <w:top w:val="single" w:sz="8" w:space="0" w:color="000000"/>
              <w:left w:val="single" w:sz="8" w:space="0" w:color="000000"/>
              <w:bottom w:val="single" w:sz="8" w:space="0" w:color="000000"/>
              <w:right w:val="single" w:sz="8" w:space="0" w:color="000000"/>
            </w:tcBorders>
            <w:shd w:val="clear" w:color="auto" w:fill="99CCFF"/>
            <w:tcMar>
              <w:top w:w="15" w:type="dxa"/>
              <w:left w:w="15" w:type="dxa"/>
              <w:bottom w:w="0" w:type="dxa"/>
              <w:right w:w="15" w:type="dxa"/>
            </w:tcMar>
            <w:hideMark/>
          </w:tcPr>
          <w:p w14:paraId="701C5E0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IMPACT WEIGHTING (%)</w:t>
            </w:r>
          </w:p>
        </w:tc>
        <w:tc>
          <w:tcPr>
            <w:tcW w:w="1701"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0B4F1B91"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Output Indicator 4.3</w:t>
            </w:r>
          </w:p>
        </w:tc>
        <w:tc>
          <w:tcPr>
            <w:tcW w:w="850" w:type="dxa"/>
            <w:tcBorders>
              <w:top w:val="single" w:sz="8" w:space="0" w:color="000000"/>
              <w:left w:val="single" w:sz="8" w:space="0" w:color="000000"/>
              <w:bottom w:val="single" w:sz="8" w:space="0" w:color="000000"/>
              <w:right w:val="single" w:sz="8" w:space="0" w:color="000000"/>
            </w:tcBorders>
            <w:shd w:val="clear" w:color="auto" w:fill="FFFF99"/>
            <w:tcMar>
              <w:top w:w="15" w:type="dxa"/>
              <w:left w:w="15" w:type="dxa"/>
              <w:bottom w:w="0" w:type="dxa"/>
              <w:right w:w="15" w:type="dxa"/>
            </w:tcMar>
            <w:hideMark/>
          </w:tcPr>
          <w:p w14:paraId="74E13D0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7FEE1318"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Baseline</w:t>
            </w:r>
          </w:p>
        </w:tc>
        <w:tc>
          <w:tcPr>
            <w:tcW w:w="992"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6B5F87B6" w14:textId="20267843" w:rsidR="00924A36" w:rsidRPr="00B41D93" w:rsidRDefault="00341346" w:rsidP="00924A36">
            <w:pPr>
              <w:spacing w:after="0" w:line="240" w:lineRule="auto"/>
              <w:textAlignment w:val="top"/>
              <w:rPr>
                <w:rFonts w:ascii="Arial" w:eastAsia="Times New Roman" w:hAnsi="Arial" w:cs="Arial"/>
                <w:sz w:val="16"/>
                <w:szCs w:val="16"/>
                <w:lang w:eastAsia="en-GB"/>
              </w:rPr>
            </w:pPr>
            <w:r w:rsidRPr="00AB7D50">
              <w:rPr>
                <w:rFonts w:ascii="Arial" w:eastAsia="Times New Roman" w:hAnsi="Arial" w:cs="Arial"/>
                <w:b/>
                <w:bCs/>
                <w:color w:val="000000"/>
                <w:kern w:val="24"/>
                <w:sz w:val="16"/>
                <w:szCs w:val="16"/>
                <w:lang w:eastAsia="en-GB"/>
              </w:rPr>
              <w:t>Milestones 1-7</w:t>
            </w:r>
          </w:p>
        </w:tc>
        <w:tc>
          <w:tcPr>
            <w:tcW w:w="709" w:type="dxa"/>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4AE64508"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Target (date)</w:t>
            </w:r>
          </w:p>
        </w:tc>
        <w:tc>
          <w:tcPr>
            <w:tcW w:w="2835" w:type="dxa"/>
            <w:tcBorders>
              <w:top w:val="single" w:sz="8" w:space="0" w:color="000000"/>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7EF31DBE"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Assumptions</w:t>
            </w:r>
          </w:p>
        </w:tc>
      </w:tr>
      <w:tr w:rsidR="00924A36" w:rsidRPr="005823B8" w14:paraId="4F76C300" w14:textId="77777777" w:rsidTr="008C20EE">
        <w:trPr>
          <w:trHeight w:val="253"/>
        </w:trPr>
        <w:tc>
          <w:tcPr>
            <w:tcW w:w="2553" w:type="dxa"/>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C2DEAFC" w14:textId="77777777" w:rsidR="00924A36" w:rsidRPr="00B41D93" w:rsidRDefault="00924A36" w:rsidP="00924A36">
            <w:pPr>
              <w:spacing w:after="0" w:line="240" w:lineRule="auto"/>
              <w:jc w:val="center"/>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9CC813"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Number of new business plans or technologies trialled due to ICF support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B4448F"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Planned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B722FA"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BC5A29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FA7508" w14:textId="77777777" w:rsidR="00924A36" w:rsidRPr="00B41D93" w:rsidRDefault="00924A36" w:rsidP="00924A36">
            <w:pPr>
              <w:spacing w:after="0" w:line="240" w:lineRule="auto"/>
              <w:jc w:val="right"/>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7</w:t>
            </w:r>
          </w:p>
        </w:tc>
        <w:tc>
          <w:tcPr>
            <w:tcW w:w="2835" w:type="dxa"/>
            <w:vMerge w:val="restart"/>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hideMark/>
          </w:tcPr>
          <w:p w14:paraId="3E68A460"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Reported annually.</w:t>
            </w:r>
          </w:p>
        </w:tc>
      </w:tr>
      <w:tr w:rsidR="00924A36" w:rsidRPr="005823B8" w14:paraId="76152A82"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A23C5D2"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968D590"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D5F211"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Achieved</w:t>
            </w:r>
          </w:p>
        </w:tc>
        <w:tc>
          <w:tcPr>
            <w:tcW w:w="70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0" w:type="dxa"/>
              <w:right w:w="15" w:type="dxa"/>
            </w:tcMar>
            <w:hideMark/>
          </w:tcPr>
          <w:p w14:paraId="2BB46093"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E9BE8B"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3FBDDA"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vMerge/>
            <w:tcBorders>
              <w:top w:val="single" w:sz="8" w:space="0" w:color="000000"/>
              <w:left w:val="single" w:sz="8" w:space="0" w:color="000000"/>
              <w:bottom w:val="nil"/>
              <w:right w:val="single" w:sz="8" w:space="0" w:color="000000"/>
            </w:tcBorders>
            <w:vAlign w:val="center"/>
            <w:hideMark/>
          </w:tcPr>
          <w:p w14:paraId="0B63287E" w14:textId="77777777" w:rsidR="00924A36" w:rsidRPr="00B41D93" w:rsidRDefault="00924A36" w:rsidP="00924A36">
            <w:pPr>
              <w:spacing w:after="0" w:line="240" w:lineRule="auto"/>
              <w:rPr>
                <w:rFonts w:ascii="Arial" w:eastAsia="Times New Roman" w:hAnsi="Arial" w:cs="Arial"/>
                <w:sz w:val="16"/>
                <w:szCs w:val="16"/>
                <w:lang w:eastAsia="en-GB"/>
              </w:rPr>
            </w:pPr>
          </w:p>
        </w:tc>
      </w:tr>
      <w:tr w:rsidR="00924A36" w:rsidRPr="005823B8" w14:paraId="63E95BA3" w14:textId="77777777" w:rsidTr="008C20EE">
        <w:trPr>
          <w:trHeight w:val="253"/>
        </w:trPr>
        <w:tc>
          <w:tcPr>
            <w:tcW w:w="2553"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50CBB08"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46FFAD8"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CCFFCC"/>
            <w:tcMar>
              <w:top w:w="15" w:type="dxa"/>
              <w:left w:w="15" w:type="dxa"/>
              <w:bottom w:w="0" w:type="dxa"/>
              <w:right w:w="15" w:type="dxa"/>
            </w:tcMar>
            <w:hideMark/>
          </w:tcPr>
          <w:p w14:paraId="06F7219D"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Source</w:t>
            </w:r>
          </w:p>
        </w:tc>
        <w:tc>
          <w:tcPr>
            <w:tcW w:w="2835" w:type="dxa"/>
            <w:tcBorders>
              <w:top w:val="nil"/>
              <w:left w:val="single" w:sz="8" w:space="0" w:color="000000"/>
              <w:bottom w:val="single" w:sz="8" w:space="0" w:color="000000"/>
              <w:right w:val="single" w:sz="8" w:space="0" w:color="000000"/>
            </w:tcBorders>
            <w:shd w:val="clear" w:color="auto" w:fill="FFCC99"/>
            <w:tcMar>
              <w:top w:w="15" w:type="dxa"/>
              <w:left w:w="15" w:type="dxa"/>
              <w:bottom w:w="0" w:type="dxa"/>
              <w:right w:w="15" w:type="dxa"/>
            </w:tcMar>
            <w:hideMark/>
          </w:tcPr>
          <w:p w14:paraId="51D1424D"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b/>
                <w:bCs/>
                <w:color w:val="000000"/>
                <w:kern w:val="24"/>
                <w:sz w:val="16"/>
                <w:szCs w:val="16"/>
                <w:lang w:eastAsia="en-GB"/>
              </w:rPr>
              <w:t>RISK RATING Low</w:t>
            </w:r>
          </w:p>
        </w:tc>
      </w:tr>
      <w:tr w:rsidR="00924A36" w:rsidRPr="005823B8" w14:paraId="2406A5FE" w14:textId="77777777" w:rsidTr="008C20EE">
        <w:trPr>
          <w:trHeight w:val="253"/>
        </w:trPr>
        <w:tc>
          <w:tcPr>
            <w:tcW w:w="2553"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A6D69FD" w14:textId="77777777" w:rsidR="00924A36" w:rsidRPr="00B41D93" w:rsidRDefault="00924A36" w:rsidP="00924A36">
            <w:pPr>
              <w:spacing w:after="0" w:line="240" w:lineRule="auto"/>
              <w:textAlignment w:val="center"/>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287C65C" w14:textId="77777777" w:rsidR="00924A36" w:rsidRPr="00B41D93" w:rsidRDefault="00924A36" w:rsidP="00924A36">
            <w:pPr>
              <w:spacing w:after="0" w:line="240" w:lineRule="auto"/>
              <w:rPr>
                <w:rFonts w:ascii="Arial" w:eastAsia="Times New Roman" w:hAnsi="Arial" w:cs="Arial"/>
                <w:sz w:val="16"/>
                <w:szCs w:val="16"/>
                <w:lang w:eastAsia="en-GB"/>
              </w:rPr>
            </w:pPr>
          </w:p>
        </w:tc>
        <w:tc>
          <w:tcPr>
            <w:tcW w:w="850" w:type="dxa"/>
            <w:tcBorders>
              <w:top w:val="single" w:sz="8" w:space="0" w:color="000000"/>
              <w:left w:val="single" w:sz="8" w:space="0" w:color="000000"/>
              <w:bottom w:val="single" w:sz="8" w:space="0" w:color="000000"/>
              <w:right w:val="nil"/>
            </w:tcBorders>
            <w:shd w:val="clear" w:color="auto" w:fill="auto"/>
            <w:tcMar>
              <w:top w:w="15" w:type="dxa"/>
              <w:left w:w="15" w:type="dxa"/>
              <w:bottom w:w="0" w:type="dxa"/>
              <w:right w:w="15" w:type="dxa"/>
            </w:tcMar>
            <w:hideMark/>
          </w:tcPr>
          <w:p w14:paraId="4DD17AC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78602FCE"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hideMark/>
          </w:tcPr>
          <w:p w14:paraId="1D16FA4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709" w:type="dxa"/>
            <w:tcBorders>
              <w:top w:val="single" w:sz="8" w:space="0" w:color="000000"/>
              <w:left w:val="nil"/>
              <w:bottom w:val="single" w:sz="8" w:space="0" w:color="000000"/>
              <w:right w:val="single" w:sz="8" w:space="0" w:color="000000"/>
            </w:tcBorders>
            <w:shd w:val="clear" w:color="auto" w:fill="auto"/>
            <w:tcMar>
              <w:top w:w="15" w:type="dxa"/>
              <w:left w:w="15" w:type="dxa"/>
              <w:bottom w:w="0" w:type="dxa"/>
              <w:right w:w="15" w:type="dxa"/>
            </w:tcMar>
            <w:hideMark/>
          </w:tcPr>
          <w:p w14:paraId="158C6D28" w14:textId="77777777" w:rsidR="00924A36" w:rsidRPr="00B41D93" w:rsidRDefault="00924A36" w:rsidP="00924A36">
            <w:pPr>
              <w:spacing w:after="0" w:line="240" w:lineRule="auto"/>
              <w:jc w:val="center"/>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445892" w14:textId="77777777" w:rsidR="00924A36" w:rsidRPr="00B41D93" w:rsidRDefault="00924A36" w:rsidP="00924A36">
            <w:pPr>
              <w:spacing w:after="0" w:line="240" w:lineRule="auto"/>
              <w:textAlignment w:val="top"/>
              <w:rPr>
                <w:rFonts w:ascii="Arial" w:eastAsia="Times New Roman" w:hAnsi="Arial" w:cs="Arial"/>
                <w:sz w:val="16"/>
                <w:szCs w:val="16"/>
                <w:lang w:eastAsia="en-GB"/>
              </w:rPr>
            </w:pPr>
            <w:r w:rsidRPr="00B41D93">
              <w:rPr>
                <w:rFonts w:ascii="Arial" w:eastAsia="Times New Roman" w:hAnsi="Arial" w:cs="Arial"/>
                <w:color w:val="000000"/>
                <w:kern w:val="24"/>
                <w:sz w:val="16"/>
                <w:szCs w:val="16"/>
                <w:lang w:eastAsia="en-GB"/>
              </w:rPr>
              <w:t> </w:t>
            </w:r>
          </w:p>
        </w:tc>
      </w:tr>
    </w:tbl>
    <w:p w14:paraId="20518F97" w14:textId="50E6913F" w:rsidR="00704B3E" w:rsidRDefault="00704B3E" w:rsidP="007F3952">
      <w:pPr>
        <w:tabs>
          <w:tab w:val="left" w:pos="5190"/>
        </w:tabs>
        <w:jc w:val="both"/>
        <w:rPr>
          <w:rFonts w:ascii="Arial" w:eastAsia="Times New Roman" w:hAnsi="Arial" w:cs="Arial"/>
          <w:b/>
          <w:bCs/>
          <w:sz w:val="18"/>
          <w:szCs w:val="18"/>
          <w:lang w:eastAsia="en-GB"/>
        </w:rPr>
      </w:pPr>
    </w:p>
    <w:p w14:paraId="79F5EFAB" w14:textId="555F8A2C" w:rsidR="00704B3E" w:rsidRDefault="00704B3E" w:rsidP="007F3952">
      <w:pPr>
        <w:tabs>
          <w:tab w:val="left" w:pos="5190"/>
        </w:tabs>
        <w:jc w:val="both"/>
        <w:rPr>
          <w:rFonts w:ascii="Arial" w:eastAsia="Times New Roman" w:hAnsi="Arial" w:cs="Arial"/>
          <w:b/>
          <w:bCs/>
          <w:sz w:val="18"/>
          <w:szCs w:val="18"/>
          <w:lang w:eastAsia="en-GB"/>
        </w:rPr>
      </w:pPr>
    </w:p>
    <w:p w14:paraId="6BA8FBCA" w14:textId="77777777" w:rsidR="00704B3E" w:rsidRPr="008C20EE" w:rsidRDefault="00704B3E" w:rsidP="007F3952">
      <w:pPr>
        <w:tabs>
          <w:tab w:val="left" w:pos="5190"/>
        </w:tabs>
        <w:jc w:val="both"/>
        <w:rPr>
          <w:rFonts w:ascii="Arial" w:eastAsia="Times New Roman" w:hAnsi="Arial" w:cs="Arial"/>
          <w:b/>
          <w:bCs/>
          <w:sz w:val="16"/>
          <w:szCs w:val="16"/>
          <w:lang w:eastAsia="en-GB"/>
        </w:rPr>
      </w:pPr>
    </w:p>
    <w:p w14:paraId="47E932AA" w14:textId="77777777" w:rsidR="00704B3E" w:rsidRPr="008C20EE" w:rsidRDefault="00704B3E" w:rsidP="007F3952">
      <w:pPr>
        <w:tabs>
          <w:tab w:val="left" w:pos="5190"/>
        </w:tabs>
        <w:jc w:val="both"/>
        <w:rPr>
          <w:rFonts w:ascii="Arial" w:eastAsia="Times New Roman" w:hAnsi="Arial" w:cs="Arial"/>
          <w:b/>
          <w:bCs/>
          <w:sz w:val="16"/>
          <w:szCs w:val="16"/>
          <w:lang w:eastAsia="en-GB"/>
        </w:rPr>
      </w:pPr>
    </w:p>
    <w:p w14:paraId="399EFDAC" w14:textId="77777777" w:rsidR="00704B3E" w:rsidRPr="008C20EE" w:rsidRDefault="00704B3E" w:rsidP="007F3952">
      <w:pPr>
        <w:tabs>
          <w:tab w:val="left" w:pos="5190"/>
        </w:tabs>
        <w:jc w:val="both"/>
        <w:rPr>
          <w:rFonts w:ascii="Arial" w:eastAsia="Times New Roman" w:hAnsi="Arial" w:cs="Arial"/>
          <w:b/>
          <w:bCs/>
          <w:sz w:val="16"/>
          <w:szCs w:val="16"/>
          <w:lang w:eastAsia="en-GB"/>
        </w:rPr>
      </w:pPr>
    </w:p>
    <w:p w14:paraId="5C3931AD" w14:textId="77777777" w:rsidR="00704B3E" w:rsidRPr="008C20EE" w:rsidRDefault="00704B3E" w:rsidP="007F3952">
      <w:pPr>
        <w:tabs>
          <w:tab w:val="left" w:pos="5190"/>
        </w:tabs>
        <w:jc w:val="both"/>
        <w:rPr>
          <w:rFonts w:ascii="Arial" w:eastAsia="Times New Roman" w:hAnsi="Arial" w:cs="Arial"/>
          <w:b/>
          <w:bCs/>
          <w:sz w:val="16"/>
          <w:szCs w:val="16"/>
          <w:lang w:eastAsia="en-GB"/>
        </w:rPr>
      </w:pPr>
    </w:p>
    <w:p w14:paraId="53671CF0" w14:textId="77777777" w:rsidR="00704B3E" w:rsidRPr="008C20EE" w:rsidRDefault="00704B3E" w:rsidP="007F3952">
      <w:pPr>
        <w:tabs>
          <w:tab w:val="left" w:pos="5190"/>
        </w:tabs>
        <w:jc w:val="both"/>
        <w:rPr>
          <w:rFonts w:ascii="Arial" w:eastAsia="Times New Roman" w:hAnsi="Arial" w:cs="Arial"/>
          <w:b/>
          <w:bCs/>
          <w:sz w:val="16"/>
          <w:szCs w:val="16"/>
          <w:lang w:eastAsia="en-GB"/>
        </w:rPr>
      </w:pPr>
    </w:p>
    <w:p w14:paraId="1A0B8AFD" w14:textId="665A8B42" w:rsidR="00704B3E" w:rsidRPr="008C20EE" w:rsidRDefault="00704B3E" w:rsidP="007F3952">
      <w:pPr>
        <w:tabs>
          <w:tab w:val="left" w:pos="5190"/>
        </w:tabs>
        <w:jc w:val="both"/>
        <w:rPr>
          <w:rFonts w:ascii="Arial" w:hAnsi="Arial" w:cs="Arial"/>
          <w:sz w:val="16"/>
          <w:szCs w:val="16"/>
        </w:rPr>
      </w:pPr>
    </w:p>
    <w:sectPr w:rsidR="00704B3E" w:rsidRPr="008C20EE">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0FA1A" w16cid:durableId="2161C5C9"/>
  <w16cid:commentId w16cid:paraId="7284E37D" w16cid:durableId="2161C750"/>
  <w16cid:commentId w16cid:paraId="795AADC7" w16cid:durableId="2161CC3E"/>
  <w16cid:commentId w16cid:paraId="4056C73E" w16cid:durableId="215AA37D"/>
  <w16cid:commentId w16cid:paraId="22791229" w16cid:durableId="2161CCC1"/>
  <w16cid:commentId w16cid:paraId="35AE66CD" w16cid:durableId="2161CDA2"/>
  <w16cid:commentId w16cid:paraId="6A9C4820" w16cid:durableId="2161CF53"/>
  <w16cid:commentId w16cid:paraId="003B2DA9" w16cid:durableId="2161CFA5"/>
  <w16cid:commentId w16cid:paraId="71701AB9" w16cid:durableId="2161D168"/>
  <w16cid:commentId w16cid:paraId="355C53A8" w16cid:durableId="2161D20E"/>
  <w16cid:commentId w16cid:paraId="27A9BAFB" w16cid:durableId="2161D22B"/>
  <w16cid:commentId w16cid:paraId="0068CB77" w16cid:durableId="2161EE6A"/>
  <w16cid:commentId w16cid:paraId="44442EA4" w16cid:durableId="2161EE88"/>
  <w16cid:commentId w16cid:paraId="26B3BE46" w16cid:durableId="2161EEA8"/>
  <w16cid:commentId w16cid:paraId="292A5743" w16cid:durableId="2161EF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1812" w14:textId="77777777" w:rsidR="009B50D8" w:rsidRDefault="009B50D8" w:rsidP="003058C8">
      <w:pPr>
        <w:spacing w:after="0" w:line="240" w:lineRule="auto"/>
      </w:pPr>
      <w:r>
        <w:separator/>
      </w:r>
    </w:p>
  </w:endnote>
  <w:endnote w:type="continuationSeparator" w:id="0">
    <w:p w14:paraId="3ADB40A1" w14:textId="77777777" w:rsidR="009B50D8" w:rsidRDefault="009B50D8" w:rsidP="0030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67468"/>
      <w:docPartObj>
        <w:docPartGallery w:val="Page Numbers (Bottom of Page)"/>
        <w:docPartUnique/>
      </w:docPartObj>
    </w:sdtPr>
    <w:sdtEndPr>
      <w:rPr>
        <w:noProof/>
      </w:rPr>
    </w:sdtEndPr>
    <w:sdtContent>
      <w:p w14:paraId="3D365719" w14:textId="7FC35E59" w:rsidR="00744D6D" w:rsidRDefault="00744D6D">
        <w:pPr>
          <w:jc w:val="right"/>
        </w:pPr>
        <w:r>
          <w:fldChar w:fldCharType="begin"/>
        </w:r>
        <w:r>
          <w:instrText xml:space="preserve"> PAGE   \* MERGEFORMAT </w:instrText>
        </w:r>
        <w:r>
          <w:fldChar w:fldCharType="separate"/>
        </w:r>
        <w:r w:rsidR="00F51222">
          <w:rPr>
            <w:noProof/>
          </w:rPr>
          <w:t>1</w:t>
        </w:r>
        <w:r>
          <w:rPr>
            <w:noProof/>
          </w:rPr>
          <w:fldChar w:fldCharType="end"/>
        </w:r>
      </w:p>
    </w:sdtContent>
  </w:sdt>
  <w:p w14:paraId="5095B9C3" w14:textId="77777777" w:rsidR="00744D6D" w:rsidRDefault="0074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E9CC" w14:textId="77777777" w:rsidR="009B50D8" w:rsidRDefault="009B50D8" w:rsidP="003058C8">
      <w:pPr>
        <w:spacing w:after="0" w:line="240" w:lineRule="auto"/>
      </w:pPr>
      <w:r>
        <w:separator/>
      </w:r>
    </w:p>
  </w:footnote>
  <w:footnote w:type="continuationSeparator" w:id="0">
    <w:p w14:paraId="733BD4F1" w14:textId="77777777" w:rsidR="009B50D8" w:rsidRDefault="009B50D8" w:rsidP="003058C8">
      <w:pPr>
        <w:spacing w:after="0" w:line="240" w:lineRule="auto"/>
      </w:pPr>
      <w:r>
        <w:continuationSeparator/>
      </w:r>
    </w:p>
  </w:footnote>
  <w:footnote w:id="1">
    <w:p w14:paraId="289EC2A7" w14:textId="61E7F213" w:rsidR="00744D6D" w:rsidRDefault="00744D6D">
      <w:pPr>
        <w:pStyle w:val="FootnoteText"/>
      </w:pPr>
      <w:r>
        <w:rPr>
          <w:rStyle w:val="FootnoteReference"/>
        </w:rPr>
        <w:footnoteRef/>
      </w:r>
      <w:r>
        <w:t xml:space="preserve"> </w:t>
      </w:r>
      <w:r w:rsidRPr="00607B87">
        <w:rPr>
          <w:sz w:val="16"/>
        </w:rPr>
        <w:t xml:space="preserve">The importance of mangroves to people: A call to action’, </w:t>
      </w:r>
      <w:hyperlink r:id="rId1" w:history="1">
        <w:r w:rsidRPr="00607B87">
          <w:rPr>
            <w:rStyle w:val="Hyperlink"/>
            <w:rFonts w:eastAsiaTheme="majorEastAsia"/>
            <w:sz w:val="16"/>
          </w:rPr>
          <w:t>https://www.unep-wcmc.org/resources-and-data/the-importance-of-mangroves-to-people--a-call-to-action</w:t>
        </w:r>
      </w:hyperlink>
    </w:p>
  </w:footnote>
  <w:footnote w:id="2">
    <w:p w14:paraId="604DA935" w14:textId="05111EEC" w:rsidR="00744D6D" w:rsidRDefault="00744D6D">
      <w:pPr>
        <w:pStyle w:val="FootnoteText"/>
      </w:pPr>
      <w:r>
        <w:rPr>
          <w:rStyle w:val="FootnoteReference"/>
        </w:rPr>
        <w:footnoteRef/>
      </w:r>
      <w:r>
        <w:t xml:space="preserve"> </w:t>
      </w:r>
      <w:r w:rsidRPr="00106BCD">
        <w:rPr>
          <w:sz w:val="16"/>
          <w:szCs w:val="16"/>
        </w:rPr>
        <w:t xml:space="preserve">Based on </w:t>
      </w:r>
      <w:r>
        <w:rPr>
          <w:sz w:val="16"/>
          <w:szCs w:val="16"/>
        </w:rPr>
        <w:t xml:space="preserve">ICF analysis of the </w:t>
      </w:r>
      <w:r w:rsidRPr="00106BCD">
        <w:rPr>
          <w:sz w:val="16"/>
          <w:szCs w:val="16"/>
        </w:rPr>
        <w:t>TEEB E</w:t>
      </w:r>
      <w:r>
        <w:rPr>
          <w:sz w:val="16"/>
          <w:szCs w:val="16"/>
        </w:rPr>
        <w:t>cosystem Service Value database, valuing coastal protection and food services offered by a hectare of mangrove forest - £1453/ha/yr.</w:t>
      </w:r>
    </w:p>
  </w:footnote>
  <w:footnote w:id="3">
    <w:p w14:paraId="5F6C60DB" w14:textId="04FB066E" w:rsidR="00744D6D" w:rsidRDefault="00744D6D">
      <w:pPr>
        <w:pStyle w:val="FootnoteText"/>
      </w:pPr>
      <w:r>
        <w:rPr>
          <w:rStyle w:val="FootnoteReference"/>
        </w:rPr>
        <w:footnoteRef/>
      </w:r>
      <w:r>
        <w:t xml:space="preserve"> </w:t>
      </w:r>
      <w:r w:rsidRPr="00607B87">
        <w:rPr>
          <w:sz w:val="16"/>
        </w:rPr>
        <w:t>The IDB require funds to be transferred to their account, before they can put projects to the IDB Board, for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BD04" w14:textId="606C8CC3" w:rsidR="00744D6D" w:rsidRDefault="00744D6D" w:rsidP="007F21C9">
    <w:pPr>
      <w:jc w:val="center"/>
    </w:pPr>
    <w:r>
      <w:t>OFFICIAL SENSITIVE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457"/>
    <w:multiLevelType w:val="hybridMultilevel"/>
    <w:tmpl w:val="13BC8D00"/>
    <w:lvl w:ilvl="0" w:tplc="0C64C7C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76D73"/>
    <w:multiLevelType w:val="hybridMultilevel"/>
    <w:tmpl w:val="6A5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706"/>
    <w:multiLevelType w:val="hybridMultilevel"/>
    <w:tmpl w:val="3E8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7EF9"/>
    <w:multiLevelType w:val="hybridMultilevel"/>
    <w:tmpl w:val="A6E67132"/>
    <w:lvl w:ilvl="0" w:tplc="042682EE">
      <w:start w:val="1"/>
      <w:numFmt w:val="decimal"/>
      <w:lvlText w:val="%1."/>
      <w:lvlJc w:val="left"/>
      <w:pPr>
        <w:ind w:left="502" w:hanging="360"/>
      </w:pPr>
      <w:rPr>
        <w:rFonts w:hint="default"/>
        <w:b/>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9296746"/>
    <w:multiLevelType w:val="hybridMultilevel"/>
    <w:tmpl w:val="D75A29C6"/>
    <w:lvl w:ilvl="0" w:tplc="849E34BE">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C9C0A03"/>
    <w:multiLevelType w:val="hybridMultilevel"/>
    <w:tmpl w:val="92CC27DA"/>
    <w:lvl w:ilvl="0" w:tplc="849E34BE">
      <w:start w:val="1"/>
      <w:numFmt w:val="decimal"/>
      <w:lvlText w:val="%1."/>
      <w:lvlJc w:val="left"/>
      <w:pPr>
        <w:ind w:left="720" w:hanging="360"/>
      </w:pPr>
      <w:rPr>
        <w:rFonts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61E99"/>
    <w:multiLevelType w:val="hybridMultilevel"/>
    <w:tmpl w:val="36F0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DCD"/>
    <w:multiLevelType w:val="hybridMultilevel"/>
    <w:tmpl w:val="F314F354"/>
    <w:lvl w:ilvl="0" w:tplc="9940D214">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66CEE"/>
    <w:multiLevelType w:val="hybridMultilevel"/>
    <w:tmpl w:val="D75A29C6"/>
    <w:lvl w:ilvl="0" w:tplc="849E34BE">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3772132"/>
    <w:multiLevelType w:val="hybridMultilevel"/>
    <w:tmpl w:val="AC8C1F8E"/>
    <w:lvl w:ilvl="0" w:tplc="A5DA4C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85260"/>
    <w:multiLevelType w:val="hybridMultilevel"/>
    <w:tmpl w:val="D75A29C6"/>
    <w:lvl w:ilvl="0" w:tplc="849E34BE">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8534E29"/>
    <w:multiLevelType w:val="hybridMultilevel"/>
    <w:tmpl w:val="FA8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70893"/>
    <w:multiLevelType w:val="hybridMultilevel"/>
    <w:tmpl w:val="49A8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B14C5"/>
    <w:multiLevelType w:val="multilevel"/>
    <w:tmpl w:val="062A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603277"/>
    <w:multiLevelType w:val="hybridMultilevel"/>
    <w:tmpl w:val="D7E63624"/>
    <w:lvl w:ilvl="0" w:tplc="37FAF80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A4B2E"/>
    <w:multiLevelType w:val="hybridMultilevel"/>
    <w:tmpl w:val="B0E4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50E80"/>
    <w:multiLevelType w:val="hybridMultilevel"/>
    <w:tmpl w:val="0812D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5157E"/>
    <w:multiLevelType w:val="hybridMultilevel"/>
    <w:tmpl w:val="D75A29C6"/>
    <w:lvl w:ilvl="0" w:tplc="849E34BE">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32C1FDD"/>
    <w:multiLevelType w:val="hybridMultilevel"/>
    <w:tmpl w:val="57829B68"/>
    <w:lvl w:ilvl="0" w:tplc="5A226372">
      <w:start w:val="1"/>
      <w:numFmt w:val="decimal"/>
      <w:lvlText w:val="%1."/>
      <w:lvlJc w:val="left"/>
      <w:pPr>
        <w:ind w:left="502" w:hanging="36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BDD22E4"/>
    <w:multiLevelType w:val="hybridMultilevel"/>
    <w:tmpl w:val="554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11F99"/>
    <w:multiLevelType w:val="hybridMultilevel"/>
    <w:tmpl w:val="C1EA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0"/>
  </w:num>
  <w:num w:numId="5">
    <w:abstractNumId w:val="10"/>
  </w:num>
  <w:num w:numId="6">
    <w:abstractNumId w:val="9"/>
  </w:num>
  <w:num w:numId="7">
    <w:abstractNumId w:val="8"/>
  </w:num>
  <w:num w:numId="8">
    <w:abstractNumId w:val="13"/>
  </w:num>
  <w:num w:numId="9">
    <w:abstractNumId w:val="20"/>
  </w:num>
  <w:num w:numId="10">
    <w:abstractNumId w:val="2"/>
  </w:num>
  <w:num w:numId="11">
    <w:abstractNumId w:val="12"/>
  </w:num>
  <w:num w:numId="12">
    <w:abstractNumId w:val="17"/>
  </w:num>
  <w:num w:numId="13">
    <w:abstractNumId w:val="6"/>
  </w:num>
  <w:num w:numId="14">
    <w:abstractNumId w:val="11"/>
  </w:num>
  <w:num w:numId="15">
    <w:abstractNumId w:val="1"/>
  </w:num>
  <w:num w:numId="16">
    <w:abstractNumId w:val="4"/>
  </w:num>
  <w:num w:numId="17">
    <w:abstractNumId w:val="15"/>
  </w:num>
  <w:num w:numId="18">
    <w:abstractNumId w:val="5"/>
  </w:num>
  <w:num w:numId="19">
    <w:abstractNumId w:val="1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C8"/>
    <w:rsid w:val="00006B84"/>
    <w:rsid w:val="00007AF8"/>
    <w:rsid w:val="0002220F"/>
    <w:rsid w:val="000232A3"/>
    <w:rsid w:val="00023F96"/>
    <w:rsid w:val="00025EF0"/>
    <w:rsid w:val="00032C5D"/>
    <w:rsid w:val="00036619"/>
    <w:rsid w:val="00055F71"/>
    <w:rsid w:val="00066ABD"/>
    <w:rsid w:val="00075CFA"/>
    <w:rsid w:val="000867E0"/>
    <w:rsid w:val="00093D1F"/>
    <w:rsid w:val="00097EB3"/>
    <w:rsid w:val="000A2AEB"/>
    <w:rsid w:val="000A4092"/>
    <w:rsid w:val="000A7327"/>
    <w:rsid w:val="000B2812"/>
    <w:rsid w:val="000B417F"/>
    <w:rsid w:val="000F47F8"/>
    <w:rsid w:val="00101B29"/>
    <w:rsid w:val="00113D56"/>
    <w:rsid w:val="00115109"/>
    <w:rsid w:val="00115F57"/>
    <w:rsid w:val="001321CB"/>
    <w:rsid w:val="00135A82"/>
    <w:rsid w:val="00160DF3"/>
    <w:rsid w:val="00160F18"/>
    <w:rsid w:val="00164308"/>
    <w:rsid w:val="00167711"/>
    <w:rsid w:val="00181306"/>
    <w:rsid w:val="00185845"/>
    <w:rsid w:val="00186955"/>
    <w:rsid w:val="00187466"/>
    <w:rsid w:val="00191BDD"/>
    <w:rsid w:val="001931DD"/>
    <w:rsid w:val="00193BCC"/>
    <w:rsid w:val="001A60E0"/>
    <w:rsid w:val="001B27E9"/>
    <w:rsid w:val="001B7C63"/>
    <w:rsid w:val="001C784E"/>
    <w:rsid w:val="001D3A6C"/>
    <w:rsid w:val="001D4214"/>
    <w:rsid w:val="001D69A7"/>
    <w:rsid w:val="001E39B6"/>
    <w:rsid w:val="002009DD"/>
    <w:rsid w:val="0020318C"/>
    <w:rsid w:val="002055B4"/>
    <w:rsid w:val="00224CDE"/>
    <w:rsid w:val="0022558B"/>
    <w:rsid w:val="00226F80"/>
    <w:rsid w:val="002353B8"/>
    <w:rsid w:val="00236A39"/>
    <w:rsid w:val="002434CE"/>
    <w:rsid w:val="00252E70"/>
    <w:rsid w:val="00262B5F"/>
    <w:rsid w:val="00273BD7"/>
    <w:rsid w:val="0028528E"/>
    <w:rsid w:val="002854BC"/>
    <w:rsid w:val="00287BFB"/>
    <w:rsid w:val="00287D6E"/>
    <w:rsid w:val="00294923"/>
    <w:rsid w:val="00297209"/>
    <w:rsid w:val="002A1726"/>
    <w:rsid w:val="002A61C6"/>
    <w:rsid w:val="002A6F40"/>
    <w:rsid w:val="002C09C7"/>
    <w:rsid w:val="002C64FA"/>
    <w:rsid w:val="002D00BC"/>
    <w:rsid w:val="002D5F61"/>
    <w:rsid w:val="002F346A"/>
    <w:rsid w:val="003058C8"/>
    <w:rsid w:val="00316716"/>
    <w:rsid w:val="00322EBF"/>
    <w:rsid w:val="00341346"/>
    <w:rsid w:val="00341850"/>
    <w:rsid w:val="00351FAF"/>
    <w:rsid w:val="00355EAC"/>
    <w:rsid w:val="00357EED"/>
    <w:rsid w:val="00362A18"/>
    <w:rsid w:val="003664F7"/>
    <w:rsid w:val="00375E51"/>
    <w:rsid w:val="003775D3"/>
    <w:rsid w:val="00380290"/>
    <w:rsid w:val="00386C8A"/>
    <w:rsid w:val="003902AE"/>
    <w:rsid w:val="0039654A"/>
    <w:rsid w:val="003B3696"/>
    <w:rsid w:val="003B436F"/>
    <w:rsid w:val="003B50AF"/>
    <w:rsid w:val="003E450C"/>
    <w:rsid w:val="003E5F45"/>
    <w:rsid w:val="003E6470"/>
    <w:rsid w:val="003F6545"/>
    <w:rsid w:val="004053BC"/>
    <w:rsid w:val="004231F7"/>
    <w:rsid w:val="0042472C"/>
    <w:rsid w:val="00443AEE"/>
    <w:rsid w:val="004467F1"/>
    <w:rsid w:val="00454751"/>
    <w:rsid w:val="00454BB0"/>
    <w:rsid w:val="004610CE"/>
    <w:rsid w:val="00461259"/>
    <w:rsid w:val="00473309"/>
    <w:rsid w:val="004B6A50"/>
    <w:rsid w:val="004C19DB"/>
    <w:rsid w:val="004C38D9"/>
    <w:rsid w:val="004F01D6"/>
    <w:rsid w:val="00513962"/>
    <w:rsid w:val="00544B13"/>
    <w:rsid w:val="0055206E"/>
    <w:rsid w:val="005559ED"/>
    <w:rsid w:val="00556066"/>
    <w:rsid w:val="00567D06"/>
    <w:rsid w:val="00570190"/>
    <w:rsid w:val="00570604"/>
    <w:rsid w:val="005755FE"/>
    <w:rsid w:val="005823B8"/>
    <w:rsid w:val="00584596"/>
    <w:rsid w:val="005934B1"/>
    <w:rsid w:val="00597763"/>
    <w:rsid w:val="00597C4E"/>
    <w:rsid w:val="005A17C5"/>
    <w:rsid w:val="005A432A"/>
    <w:rsid w:val="005B5460"/>
    <w:rsid w:val="005B6AD8"/>
    <w:rsid w:val="005C319B"/>
    <w:rsid w:val="005C4236"/>
    <w:rsid w:val="005C64B5"/>
    <w:rsid w:val="005C7420"/>
    <w:rsid w:val="005D3440"/>
    <w:rsid w:val="005F0AC7"/>
    <w:rsid w:val="005F3DA8"/>
    <w:rsid w:val="005F55A5"/>
    <w:rsid w:val="005F6ABD"/>
    <w:rsid w:val="006013E5"/>
    <w:rsid w:val="0060314A"/>
    <w:rsid w:val="00604288"/>
    <w:rsid w:val="00607B87"/>
    <w:rsid w:val="00613381"/>
    <w:rsid w:val="00624C4F"/>
    <w:rsid w:val="006309F2"/>
    <w:rsid w:val="00631963"/>
    <w:rsid w:val="006527B1"/>
    <w:rsid w:val="006608B4"/>
    <w:rsid w:val="00664E50"/>
    <w:rsid w:val="00665C13"/>
    <w:rsid w:val="006747D0"/>
    <w:rsid w:val="00675D3A"/>
    <w:rsid w:val="00692085"/>
    <w:rsid w:val="00692B50"/>
    <w:rsid w:val="006A11A6"/>
    <w:rsid w:val="006D0E04"/>
    <w:rsid w:val="006E3857"/>
    <w:rsid w:val="006E428F"/>
    <w:rsid w:val="006F6988"/>
    <w:rsid w:val="0070459D"/>
    <w:rsid w:val="00704B3E"/>
    <w:rsid w:val="00712E06"/>
    <w:rsid w:val="00716F67"/>
    <w:rsid w:val="0073007E"/>
    <w:rsid w:val="00734BE4"/>
    <w:rsid w:val="007406D7"/>
    <w:rsid w:val="00744D6D"/>
    <w:rsid w:val="00744D84"/>
    <w:rsid w:val="007519AB"/>
    <w:rsid w:val="007537E8"/>
    <w:rsid w:val="00754302"/>
    <w:rsid w:val="00754644"/>
    <w:rsid w:val="0076799B"/>
    <w:rsid w:val="00772A0E"/>
    <w:rsid w:val="007763D7"/>
    <w:rsid w:val="00780744"/>
    <w:rsid w:val="00782959"/>
    <w:rsid w:val="007863EB"/>
    <w:rsid w:val="00794E66"/>
    <w:rsid w:val="007958C7"/>
    <w:rsid w:val="007A0E6D"/>
    <w:rsid w:val="007A2977"/>
    <w:rsid w:val="007B55D0"/>
    <w:rsid w:val="007E1622"/>
    <w:rsid w:val="007E2108"/>
    <w:rsid w:val="007E6CF5"/>
    <w:rsid w:val="007F21C9"/>
    <w:rsid w:val="007F30AD"/>
    <w:rsid w:val="007F3952"/>
    <w:rsid w:val="00801412"/>
    <w:rsid w:val="0080584F"/>
    <w:rsid w:val="0083174D"/>
    <w:rsid w:val="00836FBE"/>
    <w:rsid w:val="00836FC5"/>
    <w:rsid w:val="00843CE3"/>
    <w:rsid w:val="00843DC1"/>
    <w:rsid w:val="00847491"/>
    <w:rsid w:val="00860EF7"/>
    <w:rsid w:val="00875410"/>
    <w:rsid w:val="00893DE1"/>
    <w:rsid w:val="00894A5E"/>
    <w:rsid w:val="008A174D"/>
    <w:rsid w:val="008A1E93"/>
    <w:rsid w:val="008A6BCF"/>
    <w:rsid w:val="008C20EE"/>
    <w:rsid w:val="008D3ACE"/>
    <w:rsid w:val="008F2087"/>
    <w:rsid w:val="008F3066"/>
    <w:rsid w:val="008F5C4F"/>
    <w:rsid w:val="0090119F"/>
    <w:rsid w:val="0090723D"/>
    <w:rsid w:val="00913A94"/>
    <w:rsid w:val="00922089"/>
    <w:rsid w:val="00924A36"/>
    <w:rsid w:val="00924FCF"/>
    <w:rsid w:val="009300DB"/>
    <w:rsid w:val="00944FCE"/>
    <w:rsid w:val="009467D3"/>
    <w:rsid w:val="00953EA8"/>
    <w:rsid w:val="009561C7"/>
    <w:rsid w:val="00962ABA"/>
    <w:rsid w:val="00965430"/>
    <w:rsid w:val="00966C70"/>
    <w:rsid w:val="009671AF"/>
    <w:rsid w:val="00974D92"/>
    <w:rsid w:val="00982FAD"/>
    <w:rsid w:val="009B4CE1"/>
    <w:rsid w:val="009B50D8"/>
    <w:rsid w:val="009C31D4"/>
    <w:rsid w:val="009C408B"/>
    <w:rsid w:val="009C69FF"/>
    <w:rsid w:val="009D14E5"/>
    <w:rsid w:val="009D2162"/>
    <w:rsid w:val="009D259F"/>
    <w:rsid w:val="009D486D"/>
    <w:rsid w:val="009E35AC"/>
    <w:rsid w:val="009E6133"/>
    <w:rsid w:val="009F43A4"/>
    <w:rsid w:val="00A07151"/>
    <w:rsid w:val="00A24086"/>
    <w:rsid w:val="00A36FAC"/>
    <w:rsid w:val="00A417D4"/>
    <w:rsid w:val="00A458B5"/>
    <w:rsid w:val="00A53DC6"/>
    <w:rsid w:val="00A576A6"/>
    <w:rsid w:val="00A64078"/>
    <w:rsid w:val="00A67093"/>
    <w:rsid w:val="00A73B58"/>
    <w:rsid w:val="00A80710"/>
    <w:rsid w:val="00AA5A4F"/>
    <w:rsid w:val="00AA7DC5"/>
    <w:rsid w:val="00AB48D2"/>
    <w:rsid w:val="00AB7D50"/>
    <w:rsid w:val="00AD7C47"/>
    <w:rsid w:val="00AE443A"/>
    <w:rsid w:val="00B000FC"/>
    <w:rsid w:val="00B004C1"/>
    <w:rsid w:val="00B028CA"/>
    <w:rsid w:val="00B038AE"/>
    <w:rsid w:val="00B17DE4"/>
    <w:rsid w:val="00B25B81"/>
    <w:rsid w:val="00B2664C"/>
    <w:rsid w:val="00B36AF0"/>
    <w:rsid w:val="00B37E13"/>
    <w:rsid w:val="00B4262B"/>
    <w:rsid w:val="00B6435A"/>
    <w:rsid w:val="00B73D3C"/>
    <w:rsid w:val="00B74C88"/>
    <w:rsid w:val="00B93CB6"/>
    <w:rsid w:val="00BA3CF3"/>
    <w:rsid w:val="00BB31AF"/>
    <w:rsid w:val="00BC25F4"/>
    <w:rsid w:val="00BC55C5"/>
    <w:rsid w:val="00BC569A"/>
    <w:rsid w:val="00BE55A3"/>
    <w:rsid w:val="00BF290F"/>
    <w:rsid w:val="00C1407F"/>
    <w:rsid w:val="00C15BD0"/>
    <w:rsid w:val="00C25B11"/>
    <w:rsid w:val="00C30563"/>
    <w:rsid w:val="00C30DD3"/>
    <w:rsid w:val="00C74499"/>
    <w:rsid w:val="00C81192"/>
    <w:rsid w:val="00C84259"/>
    <w:rsid w:val="00C85D76"/>
    <w:rsid w:val="00C87330"/>
    <w:rsid w:val="00C91B72"/>
    <w:rsid w:val="00CA184F"/>
    <w:rsid w:val="00CA24BE"/>
    <w:rsid w:val="00CB1A65"/>
    <w:rsid w:val="00CB522B"/>
    <w:rsid w:val="00CD2271"/>
    <w:rsid w:val="00CE73D9"/>
    <w:rsid w:val="00CF1606"/>
    <w:rsid w:val="00CF2C90"/>
    <w:rsid w:val="00D02699"/>
    <w:rsid w:val="00D04B2E"/>
    <w:rsid w:val="00D04CA2"/>
    <w:rsid w:val="00D179D8"/>
    <w:rsid w:val="00D40C64"/>
    <w:rsid w:val="00D72726"/>
    <w:rsid w:val="00D74596"/>
    <w:rsid w:val="00D75737"/>
    <w:rsid w:val="00D75E1A"/>
    <w:rsid w:val="00D852B1"/>
    <w:rsid w:val="00D95241"/>
    <w:rsid w:val="00D97265"/>
    <w:rsid w:val="00DA5220"/>
    <w:rsid w:val="00DB24BE"/>
    <w:rsid w:val="00DD2398"/>
    <w:rsid w:val="00DE1355"/>
    <w:rsid w:val="00DE757F"/>
    <w:rsid w:val="00DF4851"/>
    <w:rsid w:val="00E028A7"/>
    <w:rsid w:val="00E1279E"/>
    <w:rsid w:val="00E34AA6"/>
    <w:rsid w:val="00E35E59"/>
    <w:rsid w:val="00E36015"/>
    <w:rsid w:val="00E454CA"/>
    <w:rsid w:val="00E53E62"/>
    <w:rsid w:val="00E72B13"/>
    <w:rsid w:val="00E73D1D"/>
    <w:rsid w:val="00E8240C"/>
    <w:rsid w:val="00E932D9"/>
    <w:rsid w:val="00E951F6"/>
    <w:rsid w:val="00EA108A"/>
    <w:rsid w:val="00EA5ED3"/>
    <w:rsid w:val="00EA6885"/>
    <w:rsid w:val="00EB6CA6"/>
    <w:rsid w:val="00EC2C75"/>
    <w:rsid w:val="00EC2DD3"/>
    <w:rsid w:val="00ED121F"/>
    <w:rsid w:val="00ED76D7"/>
    <w:rsid w:val="00EE1DF9"/>
    <w:rsid w:val="00EF04CD"/>
    <w:rsid w:val="00F131B7"/>
    <w:rsid w:val="00F1446C"/>
    <w:rsid w:val="00F16EA9"/>
    <w:rsid w:val="00F2783B"/>
    <w:rsid w:val="00F315E6"/>
    <w:rsid w:val="00F40286"/>
    <w:rsid w:val="00F45749"/>
    <w:rsid w:val="00F46E26"/>
    <w:rsid w:val="00F51222"/>
    <w:rsid w:val="00F54644"/>
    <w:rsid w:val="00F5583F"/>
    <w:rsid w:val="00F57757"/>
    <w:rsid w:val="00F6062C"/>
    <w:rsid w:val="00F64B08"/>
    <w:rsid w:val="00F66EB5"/>
    <w:rsid w:val="00F66FCC"/>
    <w:rsid w:val="00F8500D"/>
    <w:rsid w:val="00FB4E9F"/>
    <w:rsid w:val="00FC0477"/>
    <w:rsid w:val="00FC1F4A"/>
    <w:rsid w:val="00FD2A57"/>
    <w:rsid w:val="00FD2FE8"/>
    <w:rsid w:val="00FD6A29"/>
    <w:rsid w:val="00FE09B6"/>
    <w:rsid w:val="00FE1D01"/>
    <w:rsid w:val="00FE53A1"/>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410F"/>
  <w15:chartTrackingRefBased/>
  <w15:docId w15:val="{EBCC2D21-3B98-4E38-BA1A-F7A58749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A0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3058C8"/>
    <w:pPr>
      <w:keepNext/>
      <w:keepLines/>
      <w:spacing w:before="40" w:after="240" w:line="276" w:lineRule="auto"/>
      <w:jc w:val="both"/>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3058C8"/>
    <w:rPr>
      <w:rFonts w:eastAsiaTheme="majorEastAsia" w:cstheme="majorBidi"/>
      <w:b/>
      <w:iCs/>
    </w:rPr>
  </w:style>
  <w:style w:type="paragraph" w:customStyle="1" w:styleId="Normal1">
    <w:name w:val="Normal1"/>
    <w:rsid w:val="003058C8"/>
    <w:pPr>
      <w:pBdr>
        <w:top w:val="nil"/>
        <w:left w:val="nil"/>
        <w:bottom w:val="nil"/>
        <w:right w:val="nil"/>
        <w:between w:val="nil"/>
      </w:pBdr>
      <w:spacing w:after="0" w:line="240" w:lineRule="auto"/>
    </w:pPr>
    <w:rPr>
      <w:rFonts w:ascii="Arial" w:eastAsia="Arial" w:hAnsi="Arial" w:cs="Arial"/>
      <w:color w:val="000000"/>
      <w:sz w:val="24"/>
      <w:szCs w:val="24"/>
    </w:rPr>
  </w:style>
  <w:style w:type="character" w:styleId="IntenseEmphasis">
    <w:name w:val="Intense Emphasis"/>
    <w:basedOn w:val="DefaultParagraphFont"/>
    <w:uiPriority w:val="21"/>
    <w:qFormat/>
    <w:rsid w:val="003058C8"/>
    <w:rPr>
      <w:i/>
      <w:iCs/>
      <w:color w:val="5B9BD5" w:themeColor="accent1"/>
    </w:rPr>
  </w:style>
  <w:style w:type="character" w:customStyle="1" w:styleId="Heading1Char">
    <w:name w:val="Heading 1 Char"/>
    <w:basedOn w:val="DefaultParagraphFont"/>
    <w:link w:val="Heading1"/>
    <w:uiPriority w:val="9"/>
    <w:rsid w:val="003058C8"/>
    <w:rPr>
      <w:rFonts w:asciiTheme="majorHAnsi" w:eastAsiaTheme="majorEastAsia" w:hAnsiTheme="majorHAnsi" w:cstheme="majorBidi"/>
      <w:color w:val="2E74B5" w:themeColor="accent1" w:themeShade="BF"/>
      <w:sz w:val="32"/>
      <w:szCs w:val="32"/>
    </w:rPr>
  </w:style>
  <w:style w:type="paragraph" w:styleId="ListParagraph">
    <w:name w:val="List Paragraph"/>
    <w:aliases w:val="Dot pt,List Paragraph Char Char Char,Indicator Text,List Paragraph1,No Spacing1,Bullet 1,Numbered Para 1,List Paragraph12,Bullet Points,Bullet Style,MAIN CONTENT,F5 List Paragraph,Colorful List - Accent 11,Normal numbered,List Paragraph2"/>
    <w:basedOn w:val="Normal"/>
    <w:link w:val="ListParagraphChar"/>
    <w:uiPriority w:val="34"/>
    <w:qFormat/>
    <w:rsid w:val="003058C8"/>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3058C8"/>
    <w:rPr>
      <w:sz w:val="16"/>
      <w:szCs w:val="16"/>
    </w:rPr>
  </w:style>
  <w:style w:type="paragraph" w:styleId="CommentText">
    <w:name w:val="annotation text"/>
    <w:basedOn w:val="Normal"/>
    <w:link w:val="CommentTextChar"/>
    <w:uiPriority w:val="99"/>
    <w:unhideWhenUsed/>
    <w:rsid w:val="003058C8"/>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3058C8"/>
    <w:rPr>
      <w:sz w:val="20"/>
      <w:szCs w:val="20"/>
      <w:lang w:val="en-US"/>
    </w:rPr>
  </w:style>
  <w:style w:type="paragraph" w:styleId="FootnoteText">
    <w:name w:val="footnote text"/>
    <w:aliases w:val="single space,footnote text,ft,Footnote Text Char Char Char Char Char Char Char Char Char Char,FOOTNOTES,fn,ADB,WB-Fußnotentext,Footnote,Fußnote,WB-Fuﬂnotentext,Fuﬂnote,ALTS FOOTNOTE,Geneva 9,Font: Geneva 9,Boston 10,f,Footnote Text Char1"/>
    <w:basedOn w:val="Normal"/>
    <w:link w:val="FootnoteTextChar"/>
    <w:uiPriority w:val="99"/>
    <w:unhideWhenUsed/>
    <w:qFormat/>
    <w:rsid w:val="003058C8"/>
    <w:pPr>
      <w:spacing w:after="0" w:line="240" w:lineRule="auto"/>
      <w:jc w:val="both"/>
    </w:pPr>
    <w:rPr>
      <w:rFonts w:ascii="Calibri" w:eastAsia="Times New Roman" w:hAnsi="Calibri" w:cs="Franklin Gothic Book"/>
      <w:sz w:val="20"/>
      <w:szCs w:val="20"/>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uiPriority w:val="99"/>
    <w:rsid w:val="003058C8"/>
    <w:rPr>
      <w:rFonts w:ascii="Calibri" w:eastAsia="Times New Roman" w:hAnsi="Calibri" w:cs="Franklin Gothic Book"/>
      <w:sz w:val="20"/>
      <w:szCs w:val="20"/>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basedOn w:val="DefaultParagraphFont"/>
    <w:link w:val="BVIfnrChar1CharCharCharCharChar"/>
    <w:uiPriority w:val="99"/>
    <w:unhideWhenUsed/>
    <w:qFormat/>
    <w:rsid w:val="003058C8"/>
    <w:rPr>
      <w:vertAlign w:val="superscript"/>
    </w:rPr>
  </w:style>
  <w:style w:type="character" w:styleId="SubtleEmphasis">
    <w:name w:val="Subtle Emphasis"/>
    <w:basedOn w:val="DefaultParagraphFont"/>
    <w:uiPriority w:val="19"/>
    <w:qFormat/>
    <w:rsid w:val="003058C8"/>
    <w:rPr>
      <w:i/>
      <w:iCs/>
      <w:color w:val="404040" w:themeColor="text1" w:themeTint="BF"/>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3058C8"/>
    <w:pPr>
      <w:spacing w:line="240" w:lineRule="exact"/>
      <w:jc w:val="both"/>
    </w:pPr>
    <w:rPr>
      <w:vertAlign w:val="superscript"/>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link w:val="ListParagraph"/>
    <w:uiPriority w:val="34"/>
    <w:qFormat/>
    <w:locked/>
    <w:rsid w:val="003058C8"/>
    <w:rPr>
      <w:lang w:val="en-US"/>
    </w:rPr>
  </w:style>
  <w:style w:type="paragraph" w:styleId="BalloonText">
    <w:name w:val="Balloon Text"/>
    <w:basedOn w:val="Normal"/>
    <w:link w:val="BalloonTextChar"/>
    <w:uiPriority w:val="99"/>
    <w:semiHidden/>
    <w:unhideWhenUsed/>
    <w:rsid w:val="00305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58C8"/>
    <w:pPr>
      <w:spacing w:after="160"/>
    </w:pPr>
    <w:rPr>
      <w:b/>
      <w:bCs/>
      <w:lang w:val="en-GB"/>
    </w:rPr>
  </w:style>
  <w:style w:type="character" w:customStyle="1" w:styleId="CommentSubjectChar">
    <w:name w:val="Comment Subject Char"/>
    <w:basedOn w:val="CommentTextChar"/>
    <w:link w:val="CommentSubject"/>
    <w:uiPriority w:val="99"/>
    <w:semiHidden/>
    <w:rsid w:val="003058C8"/>
    <w:rPr>
      <w:b/>
      <w:bCs/>
      <w:sz w:val="20"/>
      <w:szCs w:val="20"/>
      <w:lang w:val="en-US"/>
    </w:rPr>
  </w:style>
  <w:style w:type="paragraph" w:styleId="Header">
    <w:name w:val="header"/>
    <w:basedOn w:val="Normal"/>
    <w:link w:val="HeaderChar"/>
    <w:uiPriority w:val="99"/>
    <w:unhideWhenUsed/>
    <w:rsid w:val="007F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C9"/>
  </w:style>
  <w:style w:type="paragraph" w:styleId="Footer">
    <w:name w:val="footer"/>
    <w:basedOn w:val="Normal"/>
    <w:link w:val="FooterChar"/>
    <w:uiPriority w:val="99"/>
    <w:unhideWhenUsed/>
    <w:rsid w:val="007F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C9"/>
  </w:style>
  <w:style w:type="table" w:styleId="TableGrid">
    <w:name w:val="Table Grid"/>
    <w:basedOn w:val="TableNormal"/>
    <w:uiPriority w:val="39"/>
    <w:rsid w:val="004C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214"/>
    <w:pPr>
      <w:spacing w:after="0" w:line="240" w:lineRule="auto"/>
    </w:pPr>
  </w:style>
  <w:style w:type="character" w:customStyle="1" w:styleId="Heading3Char">
    <w:name w:val="Heading 3 Char"/>
    <w:basedOn w:val="DefaultParagraphFont"/>
    <w:link w:val="Heading3"/>
    <w:uiPriority w:val="9"/>
    <w:rsid w:val="007A0E6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704B3E"/>
    <w:rPr>
      <w:color w:val="0000FF"/>
      <w:u w:val="single"/>
    </w:rPr>
  </w:style>
  <w:style w:type="character" w:styleId="FollowedHyperlink">
    <w:name w:val="FollowedHyperlink"/>
    <w:basedOn w:val="DefaultParagraphFont"/>
    <w:uiPriority w:val="99"/>
    <w:semiHidden/>
    <w:unhideWhenUsed/>
    <w:rsid w:val="00704B3E"/>
    <w:rPr>
      <w:color w:val="800080"/>
      <w:u w:val="single"/>
    </w:rPr>
  </w:style>
  <w:style w:type="paragraph" w:customStyle="1" w:styleId="font5">
    <w:name w:val="font5"/>
    <w:basedOn w:val="Normal"/>
    <w:rsid w:val="00704B3E"/>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font6">
    <w:name w:val="font6"/>
    <w:basedOn w:val="Normal"/>
    <w:rsid w:val="00704B3E"/>
    <w:pPr>
      <w:spacing w:before="100" w:beforeAutospacing="1" w:after="100" w:afterAutospacing="1" w:line="240" w:lineRule="auto"/>
    </w:pPr>
    <w:rPr>
      <w:rFonts w:ascii="Arial" w:eastAsia="Times New Roman" w:hAnsi="Arial" w:cs="Arial"/>
      <w:sz w:val="18"/>
      <w:szCs w:val="18"/>
      <w:lang w:eastAsia="en-GB"/>
    </w:rPr>
  </w:style>
  <w:style w:type="paragraph" w:customStyle="1" w:styleId="font7">
    <w:name w:val="font7"/>
    <w:basedOn w:val="Normal"/>
    <w:rsid w:val="00704B3E"/>
    <w:pPr>
      <w:spacing w:before="100" w:beforeAutospacing="1" w:after="100" w:afterAutospacing="1" w:line="240" w:lineRule="auto"/>
    </w:pPr>
    <w:rPr>
      <w:rFonts w:ascii="Arial" w:eastAsia="Times New Roman" w:hAnsi="Arial" w:cs="Arial"/>
      <w:i/>
      <w:iCs/>
      <w:sz w:val="18"/>
      <w:szCs w:val="18"/>
      <w:lang w:eastAsia="en-GB"/>
    </w:rPr>
  </w:style>
  <w:style w:type="paragraph" w:customStyle="1" w:styleId="font8">
    <w:name w:val="font8"/>
    <w:basedOn w:val="Normal"/>
    <w:rsid w:val="00704B3E"/>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9">
    <w:name w:val="font9"/>
    <w:basedOn w:val="Normal"/>
    <w:rsid w:val="00704B3E"/>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704B3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66">
    <w:name w:val="xl66"/>
    <w:basedOn w:val="Normal"/>
    <w:rsid w:val="00704B3E"/>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67">
    <w:name w:val="xl67"/>
    <w:basedOn w:val="Normal"/>
    <w:rsid w:val="00704B3E"/>
    <w:pPr>
      <w:pBdr>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68">
    <w:name w:val="xl68"/>
    <w:basedOn w:val="Normal"/>
    <w:rsid w:val="00704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69">
    <w:name w:val="xl69"/>
    <w:basedOn w:val="Normal"/>
    <w:rsid w:val="00704B3E"/>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0">
    <w:name w:val="xl70"/>
    <w:basedOn w:val="Normal"/>
    <w:rsid w:val="00704B3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71">
    <w:name w:val="xl71"/>
    <w:basedOn w:val="Normal"/>
    <w:rsid w:val="00704B3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2">
    <w:name w:val="xl72"/>
    <w:basedOn w:val="Normal"/>
    <w:rsid w:val="00704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3">
    <w:name w:val="xl73"/>
    <w:basedOn w:val="Normal"/>
    <w:rsid w:val="00704B3E"/>
    <w:pPr>
      <w:pBdr>
        <w:lef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4">
    <w:name w:val="xl74"/>
    <w:basedOn w:val="Normal"/>
    <w:rsid w:val="00704B3E"/>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04B3E"/>
    <w:pPr>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76">
    <w:name w:val="xl76"/>
    <w:basedOn w:val="Normal"/>
    <w:rsid w:val="00704B3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77">
    <w:name w:val="xl77"/>
    <w:basedOn w:val="Normal"/>
    <w:rsid w:val="00704B3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78">
    <w:name w:val="xl78"/>
    <w:basedOn w:val="Normal"/>
    <w:rsid w:val="00704B3E"/>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79">
    <w:name w:val="xl79"/>
    <w:basedOn w:val="Normal"/>
    <w:rsid w:val="00704B3E"/>
    <w:pPr>
      <w:pBdr>
        <w:top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80">
    <w:name w:val="xl80"/>
    <w:basedOn w:val="Normal"/>
    <w:rsid w:val="00704B3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81">
    <w:name w:val="xl81"/>
    <w:basedOn w:val="Normal"/>
    <w:rsid w:val="00704B3E"/>
    <w:pPr>
      <w:pBdr>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82">
    <w:name w:val="xl82"/>
    <w:basedOn w:val="Normal"/>
    <w:rsid w:val="00704B3E"/>
    <w:pPr>
      <w:pBdr>
        <w:bottom w:val="single" w:sz="8" w:space="0" w:color="auto"/>
      </w:pBdr>
      <w:shd w:val="clear" w:color="000000" w:fill="C0C0C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83">
    <w:name w:val="xl83"/>
    <w:basedOn w:val="Normal"/>
    <w:rsid w:val="00704B3E"/>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84">
    <w:name w:val="xl84"/>
    <w:basedOn w:val="Normal"/>
    <w:rsid w:val="00704B3E"/>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85">
    <w:name w:val="xl85"/>
    <w:basedOn w:val="Normal"/>
    <w:rsid w:val="00704B3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86">
    <w:name w:val="xl86"/>
    <w:basedOn w:val="Normal"/>
    <w:rsid w:val="00704B3E"/>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87">
    <w:name w:val="xl87"/>
    <w:basedOn w:val="Normal"/>
    <w:rsid w:val="00704B3E"/>
    <w:pPr>
      <w:pBdr>
        <w:left w:val="single" w:sz="8" w:space="0" w:color="auto"/>
        <w:bottom w:val="single" w:sz="8" w:space="0" w:color="auto"/>
        <w:right w:val="single" w:sz="8" w:space="0" w:color="auto"/>
      </w:pBdr>
      <w:shd w:val="clear" w:color="000000" w:fill="99CCFF"/>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88">
    <w:name w:val="xl88"/>
    <w:basedOn w:val="Normal"/>
    <w:rsid w:val="00704B3E"/>
    <w:pPr>
      <w:pBdr>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89">
    <w:name w:val="xl89"/>
    <w:basedOn w:val="Normal"/>
    <w:rsid w:val="00704B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90">
    <w:name w:val="xl90"/>
    <w:basedOn w:val="Normal"/>
    <w:rsid w:val="00704B3E"/>
    <w:pPr>
      <w:pBdr>
        <w:top w:val="single" w:sz="8" w:space="0" w:color="auto"/>
        <w:lef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91">
    <w:name w:val="xl91"/>
    <w:basedOn w:val="Normal"/>
    <w:rsid w:val="00704B3E"/>
    <w:pPr>
      <w:pBdr>
        <w:top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92">
    <w:name w:val="xl92"/>
    <w:basedOn w:val="Normal"/>
    <w:rsid w:val="00704B3E"/>
    <w:pPr>
      <w:pBdr>
        <w:top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93">
    <w:name w:val="xl93"/>
    <w:basedOn w:val="Normal"/>
    <w:rsid w:val="00704B3E"/>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94">
    <w:name w:val="xl94"/>
    <w:basedOn w:val="Normal"/>
    <w:rsid w:val="00704B3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rsid w:val="00704B3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704B3E"/>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97">
    <w:name w:val="xl97"/>
    <w:basedOn w:val="Normal"/>
    <w:rsid w:val="00704B3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704B3E"/>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99">
    <w:name w:val="xl99"/>
    <w:basedOn w:val="Normal"/>
    <w:rsid w:val="00704B3E"/>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00">
    <w:name w:val="xl100"/>
    <w:basedOn w:val="Normal"/>
    <w:rsid w:val="00704B3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01">
    <w:name w:val="xl101"/>
    <w:basedOn w:val="Normal"/>
    <w:rsid w:val="00704B3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02">
    <w:name w:val="xl102"/>
    <w:basedOn w:val="Normal"/>
    <w:rsid w:val="00704B3E"/>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3">
    <w:name w:val="xl103"/>
    <w:basedOn w:val="Normal"/>
    <w:rsid w:val="00704B3E"/>
    <w:pPr>
      <w:pBdr>
        <w:top w:val="single" w:sz="8" w:space="0" w:color="auto"/>
        <w:bottom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4">
    <w:name w:val="xl104"/>
    <w:basedOn w:val="Normal"/>
    <w:rsid w:val="00704B3E"/>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04B3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6">
    <w:name w:val="xl106"/>
    <w:basedOn w:val="Normal"/>
    <w:rsid w:val="00704B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07">
    <w:name w:val="xl107"/>
    <w:basedOn w:val="Normal"/>
    <w:rsid w:val="00704B3E"/>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08">
    <w:name w:val="xl108"/>
    <w:basedOn w:val="Normal"/>
    <w:rsid w:val="00704B3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09">
    <w:name w:val="xl109"/>
    <w:basedOn w:val="Normal"/>
    <w:rsid w:val="00704B3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0">
    <w:name w:val="xl110"/>
    <w:basedOn w:val="Normal"/>
    <w:rsid w:val="00704B3E"/>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11">
    <w:name w:val="xl111"/>
    <w:basedOn w:val="Normal"/>
    <w:rsid w:val="00704B3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12">
    <w:name w:val="xl112"/>
    <w:basedOn w:val="Normal"/>
    <w:rsid w:val="00704B3E"/>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13">
    <w:name w:val="xl113"/>
    <w:basedOn w:val="Normal"/>
    <w:rsid w:val="00704B3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14">
    <w:name w:val="xl114"/>
    <w:basedOn w:val="Normal"/>
    <w:rsid w:val="00704B3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rsid w:val="00704B3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6">
    <w:name w:val="xl116"/>
    <w:basedOn w:val="Normal"/>
    <w:rsid w:val="00704B3E"/>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7">
    <w:name w:val="xl117"/>
    <w:basedOn w:val="Normal"/>
    <w:rsid w:val="00704B3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8">
    <w:name w:val="xl118"/>
    <w:basedOn w:val="Normal"/>
    <w:rsid w:val="00704B3E"/>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19">
    <w:name w:val="xl119"/>
    <w:basedOn w:val="Normal"/>
    <w:rsid w:val="00704B3E"/>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20">
    <w:name w:val="xl120"/>
    <w:basedOn w:val="Normal"/>
    <w:rsid w:val="00704B3E"/>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21">
    <w:name w:val="xl121"/>
    <w:basedOn w:val="Normal"/>
    <w:rsid w:val="00704B3E"/>
    <w:pPr>
      <w:shd w:val="clear" w:color="000000" w:fill="FFFFFF"/>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22">
    <w:name w:val="xl122"/>
    <w:basedOn w:val="Normal"/>
    <w:rsid w:val="00704B3E"/>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23">
    <w:name w:val="xl123"/>
    <w:basedOn w:val="Normal"/>
    <w:rsid w:val="00704B3E"/>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24">
    <w:name w:val="xl124"/>
    <w:basedOn w:val="Normal"/>
    <w:rsid w:val="00704B3E"/>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25">
    <w:name w:val="xl125"/>
    <w:basedOn w:val="Normal"/>
    <w:rsid w:val="00704B3E"/>
    <w:pPr>
      <w:shd w:val="clear" w:color="000000" w:fill="FFFFFF"/>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26">
    <w:name w:val="xl126"/>
    <w:basedOn w:val="Normal"/>
    <w:rsid w:val="00704B3E"/>
    <w:pP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27">
    <w:name w:val="xl127"/>
    <w:basedOn w:val="Normal"/>
    <w:rsid w:val="00704B3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28">
    <w:name w:val="xl128"/>
    <w:basedOn w:val="Normal"/>
    <w:rsid w:val="00704B3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29">
    <w:name w:val="xl129"/>
    <w:basedOn w:val="Normal"/>
    <w:rsid w:val="00704B3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30">
    <w:name w:val="xl130"/>
    <w:basedOn w:val="Normal"/>
    <w:rsid w:val="00704B3E"/>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31">
    <w:name w:val="xl131"/>
    <w:basedOn w:val="Normal"/>
    <w:rsid w:val="00704B3E"/>
    <w:pPr>
      <w:pBdr>
        <w:top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32">
    <w:name w:val="xl132"/>
    <w:basedOn w:val="Normal"/>
    <w:rsid w:val="00704B3E"/>
    <w:pPr>
      <w:pBdr>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33">
    <w:name w:val="xl133"/>
    <w:basedOn w:val="Normal"/>
    <w:rsid w:val="00704B3E"/>
    <w:pPr>
      <w:pBdr>
        <w:top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34">
    <w:name w:val="xl134"/>
    <w:basedOn w:val="Normal"/>
    <w:rsid w:val="00704B3E"/>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35">
    <w:name w:val="xl135"/>
    <w:basedOn w:val="Normal"/>
    <w:rsid w:val="00704B3E"/>
    <w:pPr>
      <w:pBdr>
        <w:bottom w:val="single" w:sz="8" w:space="0" w:color="auto"/>
        <w:right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36">
    <w:name w:val="xl136"/>
    <w:basedOn w:val="Normal"/>
    <w:rsid w:val="00704B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37">
    <w:name w:val="xl137"/>
    <w:basedOn w:val="Normal"/>
    <w:rsid w:val="00704B3E"/>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8"/>
      <w:szCs w:val="18"/>
      <w:lang w:eastAsia="en-GB"/>
    </w:rPr>
  </w:style>
  <w:style w:type="paragraph" w:customStyle="1" w:styleId="xl138">
    <w:name w:val="xl138"/>
    <w:basedOn w:val="Normal"/>
    <w:rsid w:val="00704B3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39">
    <w:name w:val="xl139"/>
    <w:basedOn w:val="Normal"/>
    <w:rsid w:val="00704B3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40">
    <w:name w:val="xl140"/>
    <w:basedOn w:val="Normal"/>
    <w:rsid w:val="00704B3E"/>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41">
    <w:name w:val="xl141"/>
    <w:basedOn w:val="Normal"/>
    <w:rsid w:val="00704B3E"/>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42">
    <w:name w:val="xl142"/>
    <w:basedOn w:val="Normal"/>
    <w:rsid w:val="00704B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43">
    <w:name w:val="xl143"/>
    <w:basedOn w:val="Normal"/>
    <w:rsid w:val="00704B3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44">
    <w:name w:val="xl144"/>
    <w:basedOn w:val="Normal"/>
    <w:rsid w:val="00704B3E"/>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45">
    <w:name w:val="xl145"/>
    <w:basedOn w:val="Normal"/>
    <w:rsid w:val="00704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46">
    <w:name w:val="xl146"/>
    <w:basedOn w:val="Normal"/>
    <w:rsid w:val="00704B3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47">
    <w:name w:val="xl147"/>
    <w:basedOn w:val="Normal"/>
    <w:rsid w:val="00704B3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48">
    <w:name w:val="xl148"/>
    <w:basedOn w:val="Normal"/>
    <w:rsid w:val="00704B3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49">
    <w:name w:val="xl149"/>
    <w:basedOn w:val="Normal"/>
    <w:rsid w:val="00704B3E"/>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50">
    <w:name w:val="xl150"/>
    <w:basedOn w:val="Normal"/>
    <w:rsid w:val="00704B3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51">
    <w:name w:val="xl151"/>
    <w:basedOn w:val="Normal"/>
    <w:rsid w:val="00704B3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2">
    <w:name w:val="xl152"/>
    <w:basedOn w:val="Normal"/>
    <w:rsid w:val="00704B3E"/>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3">
    <w:name w:val="xl153"/>
    <w:basedOn w:val="Normal"/>
    <w:rsid w:val="00704B3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4">
    <w:name w:val="xl154"/>
    <w:basedOn w:val="Normal"/>
    <w:rsid w:val="00704B3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5">
    <w:name w:val="xl155"/>
    <w:basedOn w:val="Normal"/>
    <w:rsid w:val="00704B3E"/>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6">
    <w:name w:val="xl156"/>
    <w:basedOn w:val="Normal"/>
    <w:rsid w:val="00704B3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7">
    <w:name w:val="xl157"/>
    <w:basedOn w:val="Normal"/>
    <w:rsid w:val="00704B3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8">
    <w:name w:val="xl158"/>
    <w:basedOn w:val="Normal"/>
    <w:rsid w:val="00704B3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59">
    <w:name w:val="xl159"/>
    <w:basedOn w:val="Normal"/>
    <w:rsid w:val="00704B3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0">
    <w:name w:val="xl160"/>
    <w:basedOn w:val="Normal"/>
    <w:rsid w:val="00704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161">
    <w:name w:val="xl161"/>
    <w:basedOn w:val="Normal"/>
    <w:rsid w:val="00704B3E"/>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2">
    <w:name w:val="xl162"/>
    <w:basedOn w:val="Normal"/>
    <w:rsid w:val="00704B3E"/>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3">
    <w:name w:val="xl163"/>
    <w:basedOn w:val="Normal"/>
    <w:rsid w:val="00704B3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4">
    <w:name w:val="xl164"/>
    <w:basedOn w:val="Normal"/>
    <w:rsid w:val="00704B3E"/>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5">
    <w:name w:val="xl165"/>
    <w:basedOn w:val="Normal"/>
    <w:rsid w:val="00704B3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66">
    <w:name w:val="xl166"/>
    <w:basedOn w:val="Normal"/>
    <w:rsid w:val="00704B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7">
    <w:name w:val="xl167"/>
    <w:basedOn w:val="Normal"/>
    <w:rsid w:val="00704B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68">
    <w:name w:val="xl168"/>
    <w:basedOn w:val="Normal"/>
    <w:rsid w:val="00704B3E"/>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69">
    <w:name w:val="xl169"/>
    <w:basedOn w:val="Normal"/>
    <w:rsid w:val="00704B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70">
    <w:name w:val="xl170"/>
    <w:basedOn w:val="Normal"/>
    <w:rsid w:val="00704B3E"/>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71">
    <w:name w:val="xl171"/>
    <w:basedOn w:val="Normal"/>
    <w:rsid w:val="00704B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172">
    <w:name w:val="xl172"/>
    <w:basedOn w:val="Normal"/>
    <w:rsid w:val="00704B3E"/>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73">
    <w:name w:val="xl173"/>
    <w:basedOn w:val="Normal"/>
    <w:rsid w:val="00704B3E"/>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74">
    <w:name w:val="xl174"/>
    <w:basedOn w:val="Normal"/>
    <w:rsid w:val="00704B3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75">
    <w:name w:val="xl175"/>
    <w:basedOn w:val="Normal"/>
    <w:rsid w:val="00704B3E"/>
    <w:pP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76">
    <w:name w:val="xl176"/>
    <w:basedOn w:val="Normal"/>
    <w:rsid w:val="00704B3E"/>
    <w:pPr>
      <w:pBdr>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numbering" w:customStyle="1" w:styleId="NoList1">
    <w:name w:val="No List1"/>
    <w:next w:val="NoList"/>
    <w:uiPriority w:val="99"/>
    <w:semiHidden/>
    <w:unhideWhenUsed/>
    <w:rsid w:val="00AB7D50"/>
  </w:style>
  <w:style w:type="paragraph" w:customStyle="1" w:styleId="oa1">
    <w:name w:val="oa1"/>
    <w:basedOn w:val="Normal"/>
    <w:rsid w:val="00AB7D50"/>
    <w:pPr>
      <w:pBdr>
        <w:left w:val="single" w:sz="8" w:space="0" w:color="000000"/>
        <w:bottom w:val="single" w:sz="8" w:space="0" w:color="000000"/>
        <w:right w:val="single" w:sz="8" w:space="0" w:color="000000"/>
      </w:pBdr>
      <w:shd w:val="clear" w:color="auto" w:fill="99CC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2">
    <w:name w:val="oa2"/>
    <w:basedOn w:val="Normal"/>
    <w:rsid w:val="00AB7D50"/>
    <w:pPr>
      <w:pBdr>
        <w:left w:val="single" w:sz="8" w:space="0" w:color="000000"/>
        <w:bottom w:val="single" w:sz="8" w:space="0" w:color="000000"/>
        <w:right w:val="single" w:sz="8" w:space="0" w:color="000000"/>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3">
    <w:name w:val="oa3"/>
    <w:basedOn w:val="Normal"/>
    <w:rsid w:val="00AB7D50"/>
    <w:pPr>
      <w:pBdr>
        <w:left w:val="single" w:sz="8" w:space="0" w:color="000000"/>
        <w:bottom w:val="single" w:sz="8" w:space="0" w:color="000000"/>
        <w:right w:val="single" w:sz="8" w:space="0" w:color="000000"/>
      </w:pBd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
    <w:name w:val="oa4"/>
    <w:basedOn w:val="Normal"/>
    <w:rsid w:val="00AB7D50"/>
    <w:pPr>
      <w:pBdr>
        <w:top w:val="single" w:sz="8" w:space="0" w:color="000000"/>
        <w:left w:val="single" w:sz="8" w:space="0" w:color="000000"/>
        <w:bottom w:val="single" w:sz="8" w:space="0" w:color="000000"/>
        <w:right w:val="single" w:sz="8" w:space="0" w:color="000000"/>
      </w:pBdr>
      <w:shd w:val="clear" w:color="auto" w:fill="FFCC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5">
    <w:name w:val="oa5"/>
    <w:basedOn w:val="Normal"/>
    <w:rsid w:val="00AB7D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6">
    <w:name w:val="oa6"/>
    <w:basedOn w:val="Normal"/>
    <w:rsid w:val="00AB7D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7">
    <w:name w:val="oa7"/>
    <w:basedOn w:val="Normal"/>
    <w:rsid w:val="00AB7D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GB"/>
    </w:rPr>
  </w:style>
  <w:style w:type="paragraph" w:customStyle="1" w:styleId="oa8">
    <w:name w:val="oa8"/>
    <w:basedOn w:val="Normal"/>
    <w:rsid w:val="00AB7D50"/>
    <w:pPr>
      <w:pBdr>
        <w:top w:val="single" w:sz="8" w:space="0" w:color="000000"/>
        <w:left w:val="single" w:sz="8" w:space="0" w:color="000000"/>
        <w:bottom w:val="single" w:sz="8" w:space="0" w:color="000000"/>
        <w:right w:val="single" w:sz="8" w:space="0" w:color="000000"/>
      </w:pBdr>
      <w:shd w:val="clear" w:color="auto"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9">
    <w:name w:val="oa9"/>
    <w:basedOn w:val="Normal"/>
    <w:rsid w:val="00AB7D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0">
    <w:name w:val="oa10"/>
    <w:basedOn w:val="Normal"/>
    <w:rsid w:val="00AB7D50"/>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1">
    <w:name w:val="oa11"/>
    <w:basedOn w:val="Normal"/>
    <w:rsid w:val="00AB7D50"/>
    <w:pPr>
      <w:pBdr>
        <w:top w:val="single" w:sz="8" w:space="0" w:color="000000"/>
        <w:left w:val="single" w:sz="8" w:space="0" w:color="000000"/>
        <w:bottom w:val="single" w:sz="8" w:space="0" w:color="000000"/>
        <w:right w:val="single" w:sz="8" w:space="0" w:color="000000"/>
      </w:pBdr>
      <w:shd w:val="clear" w:color="auto" w:fill="C0C0C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2">
    <w:name w:val="oa12"/>
    <w:basedOn w:val="Normal"/>
    <w:rsid w:val="00AB7D50"/>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3">
    <w:name w:val="oa13"/>
    <w:basedOn w:val="Normal"/>
    <w:rsid w:val="00AB7D50"/>
    <w:pPr>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14">
    <w:name w:val="oa14"/>
    <w:basedOn w:val="Normal"/>
    <w:rsid w:val="00AB7D50"/>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5">
    <w:name w:val="oa15"/>
    <w:basedOn w:val="Normal"/>
    <w:rsid w:val="00AB7D50"/>
    <w:pPr>
      <w:pBdr>
        <w:top w:val="single" w:sz="8" w:space="0" w:color="000000"/>
        <w:left w:val="single" w:sz="8" w:space="0" w:color="000000"/>
        <w:bottom w:val="single" w:sz="8" w:space="0" w:color="000000"/>
        <w:right w:val="single" w:sz="8" w:space="0" w:color="000000"/>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6">
    <w:name w:val="oa16"/>
    <w:basedOn w:val="Normal"/>
    <w:rsid w:val="00AB7D50"/>
    <w:pPr>
      <w:pBdr>
        <w:top w:val="single" w:sz="8" w:space="0" w:color="000000"/>
        <w:left w:val="single" w:sz="8" w:space="0" w:color="000000"/>
        <w:bottom w:val="single" w:sz="8" w:space="0" w:color="000000"/>
        <w:right w:val="single" w:sz="8" w:space="0" w:color="000000"/>
      </w:pBd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7">
    <w:name w:val="oa17"/>
    <w:basedOn w:val="Normal"/>
    <w:rsid w:val="00AB7D50"/>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18">
    <w:name w:val="oa18"/>
    <w:basedOn w:val="Normal"/>
    <w:rsid w:val="00AB7D50"/>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19">
    <w:name w:val="oa19"/>
    <w:basedOn w:val="Normal"/>
    <w:rsid w:val="00AB7D50"/>
    <w:pPr>
      <w:pBdr>
        <w:top w:val="single" w:sz="8" w:space="0" w:color="000000"/>
        <w:left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20">
    <w:name w:val="oa20"/>
    <w:basedOn w:val="Normal"/>
    <w:rsid w:val="00AB7D50"/>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21">
    <w:name w:val="oa21"/>
    <w:basedOn w:val="Normal"/>
    <w:rsid w:val="00AB7D50"/>
    <w:pPr>
      <w:pBdr>
        <w:top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22">
    <w:name w:val="oa22"/>
    <w:basedOn w:val="Normal"/>
    <w:rsid w:val="00AB7D50"/>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23">
    <w:name w:val="oa23"/>
    <w:basedOn w:val="Normal"/>
    <w:rsid w:val="00AB7D50"/>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24">
    <w:name w:val="oa24"/>
    <w:basedOn w:val="Normal"/>
    <w:rsid w:val="00AB7D50"/>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25">
    <w:name w:val="oa25"/>
    <w:basedOn w:val="Normal"/>
    <w:rsid w:val="00AB7D50"/>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26">
    <w:name w:val="oa26"/>
    <w:basedOn w:val="Normal"/>
    <w:rsid w:val="00AB7D50"/>
    <w:pPr>
      <w:pBdr>
        <w:top w:val="single" w:sz="8" w:space="0" w:color="000000"/>
        <w:left w:val="single" w:sz="8" w:space="0" w:color="000000"/>
        <w:bottom w:val="single" w:sz="8" w:space="0" w:color="000000"/>
        <w:right w:val="single" w:sz="8" w:space="0" w:color="000000"/>
      </w:pBdr>
      <w:shd w:val="clear" w:color="auto" w:fill="99CC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27">
    <w:name w:val="oa27"/>
    <w:basedOn w:val="Normal"/>
    <w:rsid w:val="00AB7D5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28">
    <w:name w:val="oa28"/>
    <w:basedOn w:val="Normal"/>
    <w:rsid w:val="00AB7D50"/>
    <w:pPr>
      <w:pBdr>
        <w:top w:val="single" w:sz="8" w:space="0" w:color="000000"/>
        <w:left w:val="single" w:sz="8" w:space="0" w:color="000000"/>
        <w:bottom w:val="single" w:sz="8" w:space="0" w:color="000000"/>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29">
    <w:name w:val="oa29"/>
    <w:basedOn w:val="Normal"/>
    <w:rsid w:val="00AB7D50"/>
    <w:pPr>
      <w:pBdr>
        <w:top w:val="single" w:sz="8" w:space="0" w:color="000000"/>
        <w:bottom w:val="single" w:sz="8" w:space="0" w:color="000000"/>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30">
    <w:name w:val="oa30"/>
    <w:basedOn w:val="Normal"/>
    <w:rsid w:val="00AB7D50"/>
    <w:pPr>
      <w:pBdr>
        <w:top w:val="single" w:sz="8" w:space="0" w:color="000000"/>
        <w:bottom w:val="single" w:sz="8" w:space="0" w:color="000000"/>
        <w:right w:val="single" w:sz="8" w:space="0" w:color="000000"/>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31">
    <w:name w:val="oa31"/>
    <w:basedOn w:val="Normal"/>
    <w:rsid w:val="00AB7D5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32">
    <w:name w:val="oa32"/>
    <w:basedOn w:val="Normal"/>
    <w:rsid w:val="00AB7D50"/>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33">
    <w:name w:val="oa33"/>
    <w:basedOn w:val="Normal"/>
    <w:rsid w:val="00AB7D5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34">
    <w:name w:val="oa34"/>
    <w:basedOn w:val="Normal"/>
    <w:rsid w:val="00AB7D5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35">
    <w:name w:val="oa35"/>
    <w:basedOn w:val="Normal"/>
    <w:rsid w:val="00AB7D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36">
    <w:name w:val="oa36"/>
    <w:basedOn w:val="Normal"/>
    <w:rsid w:val="00AB7D50"/>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37">
    <w:name w:val="oa37"/>
    <w:basedOn w:val="Normal"/>
    <w:rsid w:val="00AB7D50"/>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38">
    <w:name w:val="oa38"/>
    <w:basedOn w:val="Normal"/>
    <w:rsid w:val="00AB7D50"/>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39">
    <w:name w:val="oa39"/>
    <w:basedOn w:val="Normal"/>
    <w:rsid w:val="00AB7D50"/>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0">
    <w:name w:val="oa40"/>
    <w:basedOn w:val="Normal"/>
    <w:rsid w:val="00AB7D50"/>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1">
    <w:name w:val="oa41"/>
    <w:basedOn w:val="Normal"/>
    <w:rsid w:val="00AB7D50"/>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42">
    <w:name w:val="oa42"/>
    <w:basedOn w:val="Normal"/>
    <w:rsid w:val="00AB7D50"/>
    <w:pPr>
      <w:pBdr>
        <w:top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a43">
    <w:name w:val="oa43"/>
    <w:basedOn w:val="Normal"/>
    <w:rsid w:val="00AB7D50"/>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44">
    <w:name w:val="oa44"/>
    <w:basedOn w:val="Normal"/>
    <w:rsid w:val="00AB7D50"/>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45">
    <w:name w:val="oa45"/>
    <w:basedOn w:val="Normal"/>
    <w:rsid w:val="00AB7D5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46">
    <w:name w:val="oa46"/>
    <w:basedOn w:val="Normal"/>
    <w:rsid w:val="00AB7D50"/>
    <w:pPr>
      <w:pBdr>
        <w:top w:val="single" w:sz="8" w:space="0" w:color="000000"/>
        <w:left w:val="single" w:sz="8" w:space="0" w:color="000000"/>
        <w:bottom w:val="single" w:sz="8" w:space="0" w:color="000000"/>
        <w:right w:val="single" w:sz="4" w:space="0" w:color="000000"/>
      </w:pBdr>
      <w:shd w:val="clear" w:color="auto" w:fill="99CC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7">
    <w:name w:val="oa47"/>
    <w:basedOn w:val="Normal"/>
    <w:rsid w:val="00AB7D50"/>
    <w:pPr>
      <w:pBdr>
        <w:top w:val="single" w:sz="8" w:space="0" w:color="000000"/>
        <w:left w:val="single" w:sz="4" w:space="0" w:color="000000"/>
        <w:bottom w:val="single" w:sz="8" w:space="0" w:color="000000"/>
        <w:right w:val="single" w:sz="4" w:space="0" w:color="000000"/>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8">
    <w:name w:val="oa48"/>
    <w:basedOn w:val="Normal"/>
    <w:rsid w:val="00AB7D50"/>
    <w:pPr>
      <w:pBdr>
        <w:top w:val="single" w:sz="8" w:space="0" w:color="000000"/>
        <w:left w:val="single" w:sz="4" w:space="0" w:color="000000"/>
        <w:bottom w:val="single" w:sz="8" w:space="0" w:color="000000"/>
        <w:right w:val="single" w:sz="4" w:space="0" w:color="000000"/>
      </w:pBd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49">
    <w:name w:val="oa49"/>
    <w:basedOn w:val="Normal"/>
    <w:rsid w:val="00AB7D50"/>
    <w:pPr>
      <w:pBdr>
        <w:left w:val="single" w:sz="4" w:space="0" w:color="000000"/>
        <w:bottom w:val="single" w:sz="8" w:space="0" w:color="000000"/>
        <w:right w:val="single" w:sz="4" w:space="0" w:color="000000"/>
      </w:pBdr>
      <w:shd w:val="clear" w:color="auto" w:fill="CCFF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50">
    <w:name w:val="oa50"/>
    <w:basedOn w:val="Normal"/>
    <w:rsid w:val="00AB7D50"/>
    <w:pPr>
      <w:pBdr>
        <w:top w:val="single" w:sz="8" w:space="0" w:color="000000"/>
        <w:left w:val="single" w:sz="4" w:space="0" w:color="000000"/>
        <w:bottom w:val="single" w:sz="8" w:space="0" w:color="000000"/>
        <w:right w:val="single" w:sz="8" w:space="0" w:color="000000"/>
      </w:pBdr>
      <w:shd w:val="clear" w:color="auto" w:fill="FFCC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51">
    <w:name w:val="oa51"/>
    <w:basedOn w:val="Normal"/>
    <w:rsid w:val="00AB7D50"/>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52">
    <w:name w:val="oa52"/>
    <w:basedOn w:val="Normal"/>
    <w:rsid w:val="00AB7D50"/>
    <w:pPr>
      <w:pBdr>
        <w:top w:val="single" w:sz="8" w:space="0" w:color="000000"/>
        <w:bottom w:val="single" w:sz="8" w:space="0" w:color="000000"/>
        <w:right w:val="single" w:sz="8" w:space="0" w:color="000000"/>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oa53">
    <w:name w:val="oa53"/>
    <w:basedOn w:val="Normal"/>
    <w:rsid w:val="00AB7D5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54">
    <w:name w:val="oa54"/>
    <w:basedOn w:val="Normal"/>
    <w:rsid w:val="00AB7D5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55">
    <w:name w:val="oa55"/>
    <w:basedOn w:val="Normal"/>
    <w:rsid w:val="00AB7D50"/>
    <w:pPr>
      <w:pBdr>
        <w:top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a56">
    <w:name w:val="oa56"/>
    <w:basedOn w:val="Normal"/>
    <w:rsid w:val="00AB7D50"/>
    <w:pPr>
      <w:pBdr>
        <w:top w:val="single" w:sz="8" w:space="0" w:color="000000"/>
        <w:left w:val="single" w:sz="8" w:space="0" w:color="000000"/>
        <w:bottom w:val="single" w:sz="8" w:space="0" w:color="000000"/>
        <w:right w:val="single" w:sz="8" w:space="0" w:color="000000"/>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57">
    <w:name w:val="oa57"/>
    <w:basedOn w:val="Normal"/>
    <w:rsid w:val="00AB7D5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oa58">
    <w:name w:val="oa58"/>
    <w:basedOn w:val="Normal"/>
    <w:rsid w:val="00AB7D50"/>
    <w:pPr>
      <w:pBdr>
        <w:top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oa59">
    <w:name w:val="oa59"/>
    <w:basedOn w:val="Normal"/>
    <w:rsid w:val="00AB7D50"/>
    <w:pPr>
      <w:pBdr>
        <w:left w:val="single" w:sz="8" w:space="0" w:color="000000"/>
        <w:bottom w:val="single" w:sz="8" w:space="0" w:color="000000"/>
        <w:right w:val="single" w:sz="8" w:space="0" w:color="000000"/>
      </w:pBdr>
      <w:shd w:val="clear" w:color="auto" w:fill="FFCC9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B7D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735">
      <w:bodyDiv w:val="1"/>
      <w:marLeft w:val="0"/>
      <w:marRight w:val="0"/>
      <w:marTop w:val="0"/>
      <w:marBottom w:val="0"/>
      <w:divBdr>
        <w:top w:val="none" w:sz="0" w:space="0" w:color="auto"/>
        <w:left w:val="none" w:sz="0" w:space="0" w:color="auto"/>
        <w:bottom w:val="none" w:sz="0" w:space="0" w:color="auto"/>
        <w:right w:val="none" w:sz="0" w:space="0" w:color="auto"/>
      </w:divBdr>
    </w:div>
    <w:div w:id="356740937">
      <w:bodyDiv w:val="1"/>
      <w:marLeft w:val="0"/>
      <w:marRight w:val="0"/>
      <w:marTop w:val="0"/>
      <w:marBottom w:val="0"/>
      <w:divBdr>
        <w:top w:val="none" w:sz="0" w:space="0" w:color="auto"/>
        <w:left w:val="none" w:sz="0" w:space="0" w:color="auto"/>
        <w:bottom w:val="none" w:sz="0" w:space="0" w:color="auto"/>
        <w:right w:val="none" w:sz="0" w:space="0" w:color="auto"/>
      </w:divBdr>
    </w:div>
    <w:div w:id="372510964">
      <w:bodyDiv w:val="1"/>
      <w:marLeft w:val="0"/>
      <w:marRight w:val="0"/>
      <w:marTop w:val="0"/>
      <w:marBottom w:val="0"/>
      <w:divBdr>
        <w:top w:val="none" w:sz="0" w:space="0" w:color="auto"/>
        <w:left w:val="none" w:sz="0" w:space="0" w:color="auto"/>
        <w:bottom w:val="none" w:sz="0" w:space="0" w:color="auto"/>
        <w:right w:val="none" w:sz="0" w:space="0" w:color="auto"/>
      </w:divBdr>
    </w:div>
    <w:div w:id="610599422">
      <w:bodyDiv w:val="1"/>
      <w:marLeft w:val="0"/>
      <w:marRight w:val="0"/>
      <w:marTop w:val="0"/>
      <w:marBottom w:val="0"/>
      <w:divBdr>
        <w:top w:val="none" w:sz="0" w:space="0" w:color="auto"/>
        <w:left w:val="none" w:sz="0" w:space="0" w:color="auto"/>
        <w:bottom w:val="none" w:sz="0" w:space="0" w:color="auto"/>
        <w:right w:val="none" w:sz="0" w:space="0" w:color="auto"/>
      </w:divBdr>
    </w:div>
    <w:div w:id="678195994">
      <w:bodyDiv w:val="1"/>
      <w:marLeft w:val="0"/>
      <w:marRight w:val="0"/>
      <w:marTop w:val="0"/>
      <w:marBottom w:val="0"/>
      <w:divBdr>
        <w:top w:val="none" w:sz="0" w:space="0" w:color="auto"/>
        <w:left w:val="none" w:sz="0" w:space="0" w:color="auto"/>
        <w:bottom w:val="none" w:sz="0" w:space="0" w:color="auto"/>
        <w:right w:val="none" w:sz="0" w:space="0" w:color="auto"/>
      </w:divBdr>
    </w:div>
    <w:div w:id="1315333582">
      <w:bodyDiv w:val="1"/>
      <w:marLeft w:val="0"/>
      <w:marRight w:val="0"/>
      <w:marTop w:val="0"/>
      <w:marBottom w:val="0"/>
      <w:divBdr>
        <w:top w:val="none" w:sz="0" w:space="0" w:color="auto"/>
        <w:left w:val="none" w:sz="0" w:space="0" w:color="auto"/>
        <w:bottom w:val="none" w:sz="0" w:space="0" w:color="auto"/>
        <w:right w:val="none" w:sz="0" w:space="0" w:color="auto"/>
      </w:divBdr>
    </w:div>
    <w:div w:id="1581864710">
      <w:bodyDiv w:val="1"/>
      <w:marLeft w:val="0"/>
      <w:marRight w:val="0"/>
      <w:marTop w:val="0"/>
      <w:marBottom w:val="0"/>
      <w:divBdr>
        <w:top w:val="none" w:sz="0" w:space="0" w:color="auto"/>
        <w:left w:val="none" w:sz="0" w:space="0" w:color="auto"/>
        <w:bottom w:val="none" w:sz="0" w:space="0" w:color="auto"/>
        <w:right w:val="none" w:sz="0" w:space="0" w:color="auto"/>
      </w:divBdr>
    </w:div>
    <w:div w:id="1765375652">
      <w:bodyDiv w:val="1"/>
      <w:marLeft w:val="0"/>
      <w:marRight w:val="0"/>
      <w:marTop w:val="0"/>
      <w:marBottom w:val="0"/>
      <w:divBdr>
        <w:top w:val="none" w:sz="0" w:space="0" w:color="auto"/>
        <w:left w:val="none" w:sz="0" w:space="0" w:color="auto"/>
        <w:bottom w:val="none" w:sz="0" w:space="0" w:color="auto"/>
        <w:right w:val="none" w:sz="0" w:space="0" w:color="auto"/>
      </w:divBdr>
    </w:div>
    <w:div w:id="18927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ep-wcmc.org/resources-and-data/the-importance-of-mangroves-to-people--a-call-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A1045E46739CF446BF8D4ADC592AC81A" ma:contentTypeVersion="24" ma:contentTypeDescription="new Document or upload" ma:contentTypeScope="" ma:versionID="5f29c4bce427c10e22625ba4d7c4f479">
  <xsd:schema xmlns:xsd="http://www.w3.org/2001/XMLSchema" xmlns:xs="http://www.w3.org/2001/XMLSchema" xmlns:p="http://schemas.microsoft.com/office/2006/metadata/properties" xmlns:ns2="41b3ec6c-eebd-4435-b1cb-6f93f025f7d1" targetNamespace="http://schemas.microsoft.com/office/2006/metadata/properties" ma:root="true" ma:fieldsID="f2d29c6173b079e5d3672cdc8aa7eaf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353510c-bc4f-4e13-8caa-59587b0e3b1c}" ma:internalName="TaxCatchAll" ma:showField="CatchAllData"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353510c-bc4f-4e13-8caa-59587b0e3b1c}" ma:internalName="TaxCatchAllLabel" ma:readOnly="true" ma:showField="CatchAllDataLabel"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8D67-9B25-4B7C-B3D5-6B111D1B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1B60C-2CE0-456D-BD69-CAA7A1295BE8}">
  <ds:schemaRefs>
    <ds:schemaRef ds:uri="Microsoft.SharePoint.Taxonomy.ContentTypeSync"/>
  </ds:schemaRefs>
</ds:datastoreItem>
</file>

<file path=customXml/itemProps3.xml><?xml version="1.0" encoding="utf-8"?>
<ds:datastoreItem xmlns:ds="http://schemas.openxmlformats.org/officeDocument/2006/customXml" ds:itemID="{5BDF01D0-A535-4AC0-AD41-2C075DB751E0}">
  <ds:schemaRefs>
    <ds:schemaRef ds:uri="http://schemas.microsoft.com/sharepoint/v3/contenttype/forms"/>
  </ds:schemaRefs>
</ds:datastoreItem>
</file>

<file path=customXml/itemProps4.xml><?xml version="1.0" encoding="utf-8"?>
<ds:datastoreItem xmlns:ds="http://schemas.openxmlformats.org/officeDocument/2006/customXml" ds:itemID="{914E43D7-E880-41CA-AA5B-63B51E9897E2}">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1b3ec6c-eebd-4435-b1cb-6f93f025f7d1"/>
  </ds:schemaRefs>
</ds:datastoreItem>
</file>

<file path=customXml/itemProps5.xml><?xml version="1.0" encoding="utf-8"?>
<ds:datastoreItem xmlns:ds="http://schemas.openxmlformats.org/officeDocument/2006/customXml" ds:itemID="{18015446-EEF4-4A0E-B39F-0623FC7C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Lydia (DEFRA)</dc:creator>
  <cp:keywords/>
  <dc:description/>
  <cp:lastModifiedBy>McKee, Lydia</cp:lastModifiedBy>
  <cp:revision>6</cp:revision>
  <dcterms:created xsi:type="dcterms:W3CDTF">2019-12-18T16:20:00Z</dcterms:created>
  <dcterms:modified xsi:type="dcterms:W3CDTF">2020-01-09T16:49:00Z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0x010100672A3FCA98991645BE083C320B7539B7020400A1045E46739CF446BF8D4ADC592AC81A</vt:lpwstr>
  </property>
  <property fmtid="{D5CDD505-2E9C-101B-9397-08002B2CF9AE}" pid="3" name="Directorate">
    <vt:lpwstr/>
  </property>
  <property fmtid="{D5CDD505-2E9C-101B-9397-08002B2CF9AE}" pid="4" name="SecurityClassification">
    <vt:lpwstr/>
  </property>
</Properties>
</file>