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4FE3" w14:textId="77777777" w:rsidR="00E70B2C" w:rsidRPr="00F70DBE" w:rsidRDefault="00E70B2C" w:rsidP="00E70B2C">
      <w:pPr>
        <w:jc w:val="center"/>
        <w:rPr>
          <w:rFonts w:cs="Arial"/>
          <w:sz w:val="28"/>
        </w:rPr>
      </w:pPr>
      <w:r w:rsidRPr="00F70DBE">
        <w:rPr>
          <w:rFonts w:cs="Arial"/>
          <w:b/>
          <w:sz w:val="28"/>
        </w:rPr>
        <w:t xml:space="preserve">Annual Review </w:t>
      </w:r>
      <w:r w:rsidRPr="00E4551A">
        <w:rPr>
          <w:rFonts w:cs="Arial"/>
          <w:b/>
          <w:sz w:val="28"/>
        </w:rPr>
        <w:t>–</w:t>
      </w:r>
      <w:r w:rsidR="00E4551A">
        <w:rPr>
          <w:rFonts w:cs="Arial"/>
          <w:b/>
          <w:sz w:val="28"/>
        </w:rPr>
        <w:t xml:space="preserve"> </w:t>
      </w:r>
      <w:r w:rsidR="0001526F">
        <w:rPr>
          <w:rFonts w:cs="Arial"/>
          <w:b/>
          <w:sz w:val="28"/>
        </w:rPr>
        <w:t>July 2018-June 2019</w:t>
      </w:r>
      <w:r w:rsidR="00E4551A">
        <w:rPr>
          <w:rFonts w:cs="Arial"/>
          <w:b/>
          <w:sz w:val="28"/>
          <w:highlight w:val="yellow"/>
        </w:rPr>
        <w:t xml:space="preserve"> </w:t>
      </w:r>
    </w:p>
    <w:p w14:paraId="270C79DA" w14:textId="77777777" w:rsidR="00E70B2C" w:rsidRPr="00F70DBE" w:rsidRDefault="00E70B2C" w:rsidP="00E70B2C">
      <w:pPr>
        <w:rPr>
          <w:i/>
        </w:rPr>
      </w:pPr>
    </w:p>
    <w:p w14:paraId="24AB777D" w14:textId="77777777" w:rsidR="00E70B2C" w:rsidRPr="00F70DBE" w:rsidRDefault="00E70B2C" w:rsidP="00E70B2C">
      <w:pPr>
        <w:jc w:val="center"/>
        <w:rPr>
          <w:b/>
          <w:sz w:val="22"/>
          <w:szCs w:val="22"/>
        </w:rPr>
      </w:pPr>
    </w:p>
    <w:tbl>
      <w:tblPr>
        <w:tblStyle w:val="TableGrid"/>
        <w:tblW w:w="0" w:type="auto"/>
        <w:tblLook w:val="04A0" w:firstRow="1" w:lastRow="0" w:firstColumn="1" w:lastColumn="0" w:noHBand="0" w:noVBand="1"/>
      </w:tblPr>
      <w:tblGrid>
        <w:gridCol w:w="3504"/>
        <w:gridCol w:w="2438"/>
        <w:gridCol w:w="4252"/>
      </w:tblGrid>
      <w:tr w:rsidR="00E70B2C" w:rsidRPr="00F70DBE" w14:paraId="1625FEE2" w14:textId="77777777" w:rsidTr="009E202A">
        <w:trPr>
          <w:trHeight w:val="690"/>
        </w:trPr>
        <w:tc>
          <w:tcPr>
            <w:tcW w:w="10420" w:type="dxa"/>
            <w:gridSpan w:val="3"/>
            <w:tcBorders>
              <w:top w:val="single" w:sz="4" w:space="0" w:color="auto"/>
              <w:left w:val="single" w:sz="4" w:space="0" w:color="auto"/>
              <w:bottom w:val="dotted" w:sz="2" w:space="0" w:color="000000" w:themeColor="text1"/>
              <w:right w:val="single" w:sz="4" w:space="0" w:color="auto"/>
            </w:tcBorders>
          </w:tcPr>
          <w:p w14:paraId="6113C156" w14:textId="77777777" w:rsidR="00E70B2C" w:rsidRPr="00F70DBE" w:rsidRDefault="00E70B2C" w:rsidP="009E202A">
            <w:pPr>
              <w:rPr>
                <w:b/>
                <w:sz w:val="22"/>
                <w:szCs w:val="22"/>
              </w:rPr>
            </w:pPr>
            <w:r w:rsidRPr="00F70DBE">
              <w:rPr>
                <w:b/>
                <w:sz w:val="22"/>
                <w:szCs w:val="22"/>
              </w:rPr>
              <w:t xml:space="preserve">Title:  </w:t>
            </w:r>
            <w:r w:rsidR="00AD3A2C" w:rsidRPr="000665C4">
              <w:rPr>
                <w:b/>
                <w:sz w:val="22"/>
                <w:szCs w:val="22"/>
              </w:rPr>
              <w:t xml:space="preserve">Global Environment Facility (GEF) </w:t>
            </w:r>
            <w:r w:rsidR="00AD3A2C">
              <w:rPr>
                <w:b/>
                <w:sz w:val="22"/>
                <w:szCs w:val="22"/>
              </w:rPr>
              <w:t>Seventh</w:t>
            </w:r>
            <w:r w:rsidR="00AD3A2C" w:rsidRPr="000665C4">
              <w:rPr>
                <w:b/>
                <w:sz w:val="22"/>
                <w:szCs w:val="22"/>
              </w:rPr>
              <w:t xml:space="preserve"> Replenishment</w:t>
            </w:r>
          </w:p>
          <w:p w14:paraId="4DECF2A8" w14:textId="77777777" w:rsidR="00E70B2C" w:rsidRPr="00F70DBE" w:rsidRDefault="00E70B2C" w:rsidP="009E202A">
            <w:pPr>
              <w:rPr>
                <w:b/>
                <w:sz w:val="22"/>
                <w:szCs w:val="22"/>
              </w:rPr>
            </w:pPr>
          </w:p>
        </w:tc>
      </w:tr>
      <w:tr w:rsidR="00E70B2C" w:rsidRPr="00F70DBE" w14:paraId="4DA4BDDF" w14:textId="77777777" w:rsidTr="009E202A">
        <w:trPr>
          <w:trHeight w:val="413"/>
        </w:trPr>
        <w:tc>
          <w:tcPr>
            <w:tcW w:w="6062"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4AAFF480" w14:textId="77777777" w:rsidR="00E70B2C" w:rsidRPr="00F70DBE" w:rsidRDefault="00E70B2C" w:rsidP="008534D8">
            <w:pPr>
              <w:rPr>
                <w:b/>
                <w:sz w:val="22"/>
                <w:szCs w:val="22"/>
              </w:rPr>
            </w:pPr>
            <w:r w:rsidRPr="00F70DBE">
              <w:rPr>
                <w:b/>
                <w:sz w:val="22"/>
                <w:szCs w:val="22"/>
              </w:rPr>
              <w:t>Programme Value</w:t>
            </w:r>
            <w:r w:rsidR="008A129F">
              <w:rPr>
                <w:b/>
                <w:sz w:val="22"/>
                <w:szCs w:val="22"/>
              </w:rPr>
              <w:t xml:space="preserve"> £</w:t>
            </w:r>
            <w:r w:rsidR="008534D8">
              <w:rPr>
                <w:b/>
                <w:sz w:val="22"/>
                <w:szCs w:val="22"/>
              </w:rPr>
              <w:t xml:space="preserve"> (full life)</w:t>
            </w:r>
            <w:r w:rsidRPr="00F70DBE">
              <w:rPr>
                <w:b/>
                <w:sz w:val="22"/>
                <w:szCs w:val="22"/>
              </w:rPr>
              <w:t xml:space="preserve">: </w:t>
            </w:r>
            <w:r w:rsidR="00AD3A2C">
              <w:rPr>
                <w:b/>
                <w:sz w:val="22"/>
                <w:szCs w:val="22"/>
              </w:rPr>
              <w:t>up to £250 million</w:t>
            </w:r>
          </w:p>
        </w:tc>
        <w:tc>
          <w:tcPr>
            <w:tcW w:w="4358"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5B43A884" w14:textId="77777777" w:rsidR="00E70B2C" w:rsidRPr="00F70DBE" w:rsidRDefault="00E70B2C" w:rsidP="009E202A">
            <w:pPr>
              <w:rPr>
                <w:b/>
                <w:sz w:val="22"/>
                <w:szCs w:val="22"/>
              </w:rPr>
            </w:pPr>
            <w:r w:rsidRPr="00F70DBE">
              <w:rPr>
                <w:b/>
                <w:sz w:val="22"/>
                <w:szCs w:val="22"/>
              </w:rPr>
              <w:t xml:space="preserve">Review Date: </w:t>
            </w:r>
            <w:r w:rsidR="00AD3A2C">
              <w:rPr>
                <w:b/>
                <w:sz w:val="22"/>
                <w:szCs w:val="22"/>
              </w:rPr>
              <w:t>June 2019</w:t>
            </w:r>
          </w:p>
        </w:tc>
      </w:tr>
      <w:tr w:rsidR="00E70B2C" w:rsidRPr="00F70DBE" w14:paraId="698644DD" w14:textId="77777777" w:rsidTr="009E202A">
        <w:trPr>
          <w:trHeight w:val="300"/>
        </w:trPr>
        <w:tc>
          <w:tcPr>
            <w:tcW w:w="3570" w:type="dxa"/>
            <w:tcBorders>
              <w:top w:val="dotted" w:sz="2" w:space="0" w:color="000000" w:themeColor="text1"/>
              <w:left w:val="single" w:sz="4" w:space="0" w:color="auto"/>
              <w:bottom w:val="single" w:sz="4" w:space="0" w:color="auto"/>
              <w:right w:val="dotted" w:sz="2" w:space="0" w:color="000000" w:themeColor="text1"/>
            </w:tcBorders>
          </w:tcPr>
          <w:p w14:paraId="4414FFC2" w14:textId="77777777" w:rsidR="00E70B2C" w:rsidRPr="00F70DBE" w:rsidRDefault="00E70B2C" w:rsidP="009E202A">
            <w:pPr>
              <w:rPr>
                <w:b/>
                <w:sz w:val="22"/>
                <w:szCs w:val="22"/>
              </w:rPr>
            </w:pPr>
            <w:r w:rsidRPr="00F70DBE">
              <w:rPr>
                <w:b/>
                <w:sz w:val="22"/>
                <w:szCs w:val="22"/>
              </w:rPr>
              <w:t xml:space="preserve">Programme Code: </w:t>
            </w:r>
            <w:r w:rsidR="00AD3A2C">
              <w:rPr>
                <w:rFonts w:cs="Arial"/>
                <w:color w:val="0B0C0C"/>
                <w:sz w:val="21"/>
                <w:szCs w:val="21"/>
              </w:rPr>
              <w:t>300057</w:t>
            </w:r>
          </w:p>
          <w:p w14:paraId="74A496F5" w14:textId="77777777" w:rsidR="00E70B2C" w:rsidRPr="00F70DBE" w:rsidRDefault="00E70B2C" w:rsidP="009E202A">
            <w:pPr>
              <w:rPr>
                <w:b/>
                <w:sz w:val="22"/>
                <w:szCs w:val="22"/>
              </w:rPr>
            </w:pPr>
          </w:p>
        </w:tc>
        <w:tc>
          <w:tcPr>
            <w:tcW w:w="2492"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69401AE7" w14:textId="77777777" w:rsidR="00E70B2C" w:rsidRPr="00F70DBE" w:rsidRDefault="00E70B2C" w:rsidP="009E202A">
            <w:pPr>
              <w:rPr>
                <w:b/>
                <w:sz w:val="22"/>
                <w:szCs w:val="22"/>
              </w:rPr>
            </w:pPr>
            <w:r w:rsidRPr="00F70DBE">
              <w:rPr>
                <w:b/>
                <w:sz w:val="22"/>
                <w:szCs w:val="22"/>
              </w:rPr>
              <w:t>Start Date:</w:t>
            </w:r>
            <w:r w:rsidRPr="00F70DBE">
              <w:t xml:space="preserve"> </w:t>
            </w:r>
            <w:r w:rsidR="00AD3A2C">
              <w:t>July 2018</w:t>
            </w:r>
          </w:p>
        </w:tc>
        <w:tc>
          <w:tcPr>
            <w:tcW w:w="4358" w:type="dxa"/>
            <w:tcBorders>
              <w:top w:val="dotted" w:sz="2" w:space="0" w:color="000000" w:themeColor="text1"/>
              <w:left w:val="dotted" w:sz="2" w:space="0" w:color="000000" w:themeColor="text1"/>
              <w:bottom w:val="single" w:sz="4" w:space="0" w:color="auto"/>
              <w:right w:val="single" w:sz="4" w:space="0" w:color="auto"/>
            </w:tcBorders>
            <w:hideMark/>
          </w:tcPr>
          <w:p w14:paraId="5B551151" w14:textId="77777777" w:rsidR="00E70B2C" w:rsidRPr="00F70DBE" w:rsidRDefault="00E70B2C" w:rsidP="009E202A">
            <w:pPr>
              <w:rPr>
                <w:b/>
                <w:sz w:val="22"/>
                <w:szCs w:val="22"/>
              </w:rPr>
            </w:pPr>
            <w:r w:rsidRPr="00F70DBE">
              <w:rPr>
                <w:b/>
                <w:sz w:val="22"/>
                <w:szCs w:val="22"/>
              </w:rPr>
              <w:t>End Date:</w:t>
            </w:r>
            <w:r w:rsidRPr="00F70DBE">
              <w:t xml:space="preserve"> </w:t>
            </w:r>
            <w:r w:rsidR="00AD3A2C">
              <w:t>June 2022</w:t>
            </w:r>
          </w:p>
        </w:tc>
      </w:tr>
    </w:tbl>
    <w:p w14:paraId="5F0CB676" w14:textId="77777777" w:rsidR="00E70B2C" w:rsidRPr="00F70DBE" w:rsidRDefault="00E70B2C" w:rsidP="00E70B2C">
      <w:pPr>
        <w:rPr>
          <w:b/>
          <w:sz w:val="22"/>
          <w:szCs w:val="22"/>
        </w:rPr>
      </w:pPr>
    </w:p>
    <w:p w14:paraId="05C0C774" w14:textId="77777777" w:rsidR="00E70B2C" w:rsidRPr="00F70DBE" w:rsidRDefault="00E70B2C" w:rsidP="00E70B2C">
      <w:pPr>
        <w:rPr>
          <w:b/>
          <w:sz w:val="22"/>
          <w:szCs w:val="22"/>
        </w:rPr>
      </w:pPr>
      <w:r w:rsidRPr="00F70DBE">
        <w:rPr>
          <w:b/>
          <w:sz w:val="22"/>
          <w:szCs w:val="22"/>
        </w:rPr>
        <w:t xml:space="preserve">Summary of Programme Performance </w:t>
      </w:r>
    </w:p>
    <w:tbl>
      <w:tblPr>
        <w:tblStyle w:val="TableGrid"/>
        <w:tblW w:w="0" w:type="auto"/>
        <w:tblLook w:val="04A0" w:firstRow="1" w:lastRow="0" w:firstColumn="1" w:lastColumn="0" w:noHBand="0" w:noVBand="1"/>
      </w:tblPr>
      <w:tblGrid>
        <w:gridCol w:w="2480"/>
        <w:gridCol w:w="981"/>
        <w:gridCol w:w="962"/>
        <w:gridCol w:w="962"/>
        <w:gridCol w:w="962"/>
        <w:gridCol w:w="961"/>
        <w:gridCol w:w="962"/>
        <w:gridCol w:w="962"/>
        <w:gridCol w:w="962"/>
      </w:tblGrid>
      <w:tr w:rsidR="00E70B2C" w:rsidRPr="00F70DBE" w14:paraId="600469C2" w14:textId="77777777" w:rsidTr="009E202A">
        <w:tc>
          <w:tcPr>
            <w:tcW w:w="2518" w:type="dxa"/>
            <w:tcBorders>
              <w:top w:val="single" w:sz="4" w:space="0" w:color="auto"/>
              <w:left w:val="single" w:sz="4" w:space="0" w:color="auto"/>
              <w:bottom w:val="single" w:sz="4" w:space="0" w:color="auto"/>
              <w:right w:val="single" w:sz="4" w:space="0" w:color="auto"/>
            </w:tcBorders>
            <w:hideMark/>
          </w:tcPr>
          <w:p w14:paraId="4FB066E9" w14:textId="77777777" w:rsidR="00E70B2C" w:rsidRPr="00F70DBE" w:rsidRDefault="00E70B2C" w:rsidP="009E202A">
            <w:pPr>
              <w:rPr>
                <w:sz w:val="22"/>
                <w:szCs w:val="22"/>
              </w:rPr>
            </w:pPr>
            <w:r w:rsidRPr="00F70DBE">
              <w:rPr>
                <w:sz w:val="22"/>
                <w:szCs w:val="22"/>
              </w:rPr>
              <w:t>Year</w:t>
            </w:r>
          </w:p>
        </w:tc>
        <w:tc>
          <w:tcPr>
            <w:tcW w:w="987" w:type="dxa"/>
            <w:tcBorders>
              <w:top w:val="single" w:sz="4" w:space="0" w:color="auto"/>
              <w:left w:val="single" w:sz="4" w:space="0" w:color="auto"/>
              <w:bottom w:val="single" w:sz="4" w:space="0" w:color="auto"/>
              <w:right w:val="single" w:sz="4" w:space="0" w:color="auto"/>
            </w:tcBorders>
          </w:tcPr>
          <w:p w14:paraId="3D68D435" w14:textId="77777777" w:rsidR="00E70B2C" w:rsidRPr="00F70DBE" w:rsidRDefault="00AD3A2C" w:rsidP="009E202A">
            <w:pPr>
              <w:rPr>
                <w:b/>
                <w:sz w:val="22"/>
                <w:szCs w:val="22"/>
              </w:rPr>
            </w:pPr>
            <w:r>
              <w:rPr>
                <w:b/>
                <w:sz w:val="22"/>
                <w:szCs w:val="22"/>
              </w:rPr>
              <w:t>201</w:t>
            </w:r>
            <w:r w:rsidR="00C366CA">
              <w:rPr>
                <w:b/>
                <w:sz w:val="22"/>
                <w:szCs w:val="22"/>
              </w:rPr>
              <w:t>8</w:t>
            </w:r>
          </w:p>
        </w:tc>
        <w:tc>
          <w:tcPr>
            <w:tcW w:w="988" w:type="dxa"/>
            <w:tcBorders>
              <w:top w:val="single" w:sz="4" w:space="0" w:color="auto"/>
              <w:left w:val="single" w:sz="4" w:space="0" w:color="auto"/>
              <w:bottom w:val="single" w:sz="4" w:space="0" w:color="auto"/>
              <w:right w:val="single" w:sz="4" w:space="0" w:color="auto"/>
            </w:tcBorders>
          </w:tcPr>
          <w:p w14:paraId="79A1CDBE"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4F5EDFB8"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05B96CB1" w14:textId="77777777" w:rsidR="00E70B2C" w:rsidRPr="00F70DBE" w:rsidRDefault="00E70B2C" w:rsidP="009E202A">
            <w:pPr>
              <w:rPr>
                <w:b/>
                <w:sz w:val="22"/>
                <w:szCs w:val="22"/>
              </w:rPr>
            </w:pPr>
          </w:p>
        </w:tc>
        <w:tc>
          <w:tcPr>
            <w:tcW w:w="987" w:type="dxa"/>
            <w:tcBorders>
              <w:top w:val="single" w:sz="4" w:space="0" w:color="auto"/>
              <w:left w:val="single" w:sz="4" w:space="0" w:color="auto"/>
              <w:bottom w:val="single" w:sz="4" w:space="0" w:color="auto"/>
              <w:right w:val="single" w:sz="4" w:space="0" w:color="auto"/>
            </w:tcBorders>
          </w:tcPr>
          <w:p w14:paraId="358B636C"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3F71E4A6"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0F5D99E9"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14E63ED0" w14:textId="77777777" w:rsidR="00E70B2C" w:rsidRPr="00F70DBE" w:rsidRDefault="00E70B2C" w:rsidP="009E202A">
            <w:pPr>
              <w:rPr>
                <w:b/>
                <w:sz w:val="22"/>
                <w:szCs w:val="22"/>
              </w:rPr>
            </w:pPr>
          </w:p>
        </w:tc>
      </w:tr>
      <w:tr w:rsidR="00E70B2C" w:rsidRPr="00F70DBE" w14:paraId="24C8C78C" w14:textId="77777777" w:rsidTr="009E202A">
        <w:tc>
          <w:tcPr>
            <w:tcW w:w="2518" w:type="dxa"/>
            <w:tcBorders>
              <w:top w:val="single" w:sz="4" w:space="0" w:color="auto"/>
              <w:left w:val="single" w:sz="4" w:space="0" w:color="auto"/>
              <w:bottom w:val="single" w:sz="4" w:space="0" w:color="auto"/>
              <w:right w:val="single" w:sz="4" w:space="0" w:color="auto"/>
            </w:tcBorders>
            <w:hideMark/>
          </w:tcPr>
          <w:p w14:paraId="245A1A29" w14:textId="77777777" w:rsidR="00E70B2C" w:rsidRPr="00F70DBE" w:rsidRDefault="00E70B2C" w:rsidP="009E202A">
            <w:pPr>
              <w:rPr>
                <w:sz w:val="22"/>
                <w:szCs w:val="22"/>
              </w:rPr>
            </w:pPr>
            <w:r w:rsidRPr="00F70DBE">
              <w:rPr>
                <w:sz w:val="22"/>
                <w:szCs w:val="22"/>
              </w:rPr>
              <w:t>Programme Score</w:t>
            </w:r>
          </w:p>
        </w:tc>
        <w:tc>
          <w:tcPr>
            <w:tcW w:w="987" w:type="dxa"/>
            <w:tcBorders>
              <w:top w:val="single" w:sz="4" w:space="0" w:color="auto"/>
              <w:left w:val="single" w:sz="4" w:space="0" w:color="auto"/>
              <w:bottom w:val="single" w:sz="4" w:space="0" w:color="auto"/>
              <w:right w:val="single" w:sz="4" w:space="0" w:color="auto"/>
            </w:tcBorders>
          </w:tcPr>
          <w:p w14:paraId="2FAA52D7" w14:textId="77777777" w:rsidR="00E70B2C" w:rsidRPr="00F70DBE" w:rsidRDefault="009C52EC" w:rsidP="009E202A">
            <w:pPr>
              <w:rPr>
                <w:b/>
                <w:sz w:val="22"/>
                <w:szCs w:val="22"/>
              </w:rPr>
            </w:pPr>
            <w:r>
              <w:rPr>
                <w:b/>
                <w:sz w:val="22"/>
                <w:szCs w:val="22"/>
              </w:rPr>
              <w:t>A</w:t>
            </w:r>
          </w:p>
        </w:tc>
        <w:tc>
          <w:tcPr>
            <w:tcW w:w="988" w:type="dxa"/>
            <w:tcBorders>
              <w:top w:val="single" w:sz="4" w:space="0" w:color="auto"/>
              <w:left w:val="single" w:sz="4" w:space="0" w:color="auto"/>
              <w:bottom w:val="single" w:sz="4" w:space="0" w:color="auto"/>
              <w:right w:val="single" w:sz="4" w:space="0" w:color="auto"/>
            </w:tcBorders>
          </w:tcPr>
          <w:p w14:paraId="3438C192"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0066D21D"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03974E5F" w14:textId="77777777" w:rsidR="00E70B2C" w:rsidRPr="00F70DBE" w:rsidRDefault="00E70B2C" w:rsidP="009E202A">
            <w:pPr>
              <w:rPr>
                <w:b/>
                <w:sz w:val="22"/>
                <w:szCs w:val="22"/>
              </w:rPr>
            </w:pPr>
          </w:p>
        </w:tc>
        <w:tc>
          <w:tcPr>
            <w:tcW w:w="987" w:type="dxa"/>
            <w:tcBorders>
              <w:top w:val="single" w:sz="4" w:space="0" w:color="auto"/>
              <w:left w:val="single" w:sz="4" w:space="0" w:color="auto"/>
              <w:bottom w:val="single" w:sz="4" w:space="0" w:color="auto"/>
              <w:right w:val="single" w:sz="4" w:space="0" w:color="auto"/>
            </w:tcBorders>
          </w:tcPr>
          <w:p w14:paraId="5EA64FF4"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2D5629C1"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5D8CAA34"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786A659A" w14:textId="77777777" w:rsidR="00E70B2C" w:rsidRPr="00F70DBE" w:rsidRDefault="00E70B2C" w:rsidP="009E202A">
            <w:pPr>
              <w:rPr>
                <w:b/>
                <w:sz w:val="22"/>
                <w:szCs w:val="22"/>
              </w:rPr>
            </w:pPr>
          </w:p>
        </w:tc>
      </w:tr>
      <w:tr w:rsidR="00E70B2C" w:rsidRPr="00F70DBE" w14:paraId="48F6262B" w14:textId="77777777" w:rsidTr="009E202A">
        <w:tc>
          <w:tcPr>
            <w:tcW w:w="2518" w:type="dxa"/>
            <w:tcBorders>
              <w:top w:val="single" w:sz="4" w:space="0" w:color="auto"/>
              <w:left w:val="single" w:sz="4" w:space="0" w:color="auto"/>
              <w:bottom w:val="single" w:sz="4" w:space="0" w:color="auto"/>
              <w:right w:val="single" w:sz="4" w:space="0" w:color="auto"/>
            </w:tcBorders>
            <w:hideMark/>
          </w:tcPr>
          <w:p w14:paraId="459C106A" w14:textId="77777777" w:rsidR="00E70B2C" w:rsidRPr="00F70DBE" w:rsidRDefault="00E70B2C" w:rsidP="009E202A">
            <w:pPr>
              <w:rPr>
                <w:sz w:val="22"/>
                <w:szCs w:val="22"/>
              </w:rPr>
            </w:pPr>
            <w:r w:rsidRPr="00F70DBE">
              <w:rPr>
                <w:sz w:val="22"/>
                <w:szCs w:val="22"/>
              </w:rPr>
              <w:t>Risk Rating</w:t>
            </w:r>
          </w:p>
        </w:tc>
        <w:tc>
          <w:tcPr>
            <w:tcW w:w="987" w:type="dxa"/>
            <w:tcBorders>
              <w:top w:val="single" w:sz="4" w:space="0" w:color="auto"/>
              <w:left w:val="single" w:sz="4" w:space="0" w:color="auto"/>
              <w:bottom w:val="single" w:sz="4" w:space="0" w:color="auto"/>
              <w:right w:val="single" w:sz="4" w:space="0" w:color="auto"/>
            </w:tcBorders>
          </w:tcPr>
          <w:p w14:paraId="0F2E8216" w14:textId="77777777" w:rsidR="00E70B2C" w:rsidRPr="00F70DBE" w:rsidRDefault="009C52EC" w:rsidP="009E202A">
            <w:pPr>
              <w:rPr>
                <w:b/>
                <w:sz w:val="22"/>
                <w:szCs w:val="22"/>
              </w:rPr>
            </w:pPr>
            <w:r>
              <w:rPr>
                <w:b/>
                <w:sz w:val="22"/>
                <w:szCs w:val="22"/>
              </w:rPr>
              <w:t>Minor</w:t>
            </w:r>
          </w:p>
        </w:tc>
        <w:tc>
          <w:tcPr>
            <w:tcW w:w="988" w:type="dxa"/>
            <w:tcBorders>
              <w:top w:val="single" w:sz="4" w:space="0" w:color="auto"/>
              <w:left w:val="single" w:sz="4" w:space="0" w:color="auto"/>
              <w:bottom w:val="single" w:sz="4" w:space="0" w:color="auto"/>
              <w:right w:val="single" w:sz="4" w:space="0" w:color="auto"/>
            </w:tcBorders>
          </w:tcPr>
          <w:p w14:paraId="064135BA"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0EB6C8BC"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153F9590" w14:textId="77777777" w:rsidR="00E70B2C" w:rsidRPr="00F70DBE" w:rsidRDefault="00E70B2C" w:rsidP="009E202A">
            <w:pPr>
              <w:rPr>
                <w:b/>
                <w:sz w:val="22"/>
                <w:szCs w:val="22"/>
              </w:rPr>
            </w:pPr>
          </w:p>
        </w:tc>
        <w:tc>
          <w:tcPr>
            <w:tcW w:w="987" w:type="dxa"/>
            <w:tcBorders>
              <w:top w:val="single" w:sz="4" w:space="0" w:color="auto"/>
              <w:left w:val="single" w:sz="4" w:space="0" w:color="auto"/>
              <w:bottom w:val="single" w:sz="4" w:space="0" w:color="auto"/>
              <w:right w:val="single" w:sz="4" w:space="0" w:color="auto"/>
            </w:tcBorders>
          </w:tcPr>
          <w:p w14:paraId="435970CE"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59497137"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718937C6" w14:textId="77777777" w:rsidR="00E70B2C" w:rsidRPr="00F70DBE" w:rsidRDefault="00E70B2C" w:rsidP="009E202A">
            <w:pPr>
              <w:rPr>
                <w:b/>
                <w:sz w:val="22"/>
                <w:szCs w:val="22"/>
              </w:rPr>
            </w:pPr>
          </w:p>
        </w:tc>
        <w:tc>
          <w:tcPr>
            <w:tcW w:w="988" w:type="dxa"/>
            <w:tcBorders>
              <w:top w:val="single" w:sz="4" w:space="0" w:color="auto"/>
              <w:left w:val="single" w:sz="4" w:space="0" w:color="auto"/>
              <w:bottom w:val="single" w:sz="4" w:space="0" w:color="auto"/>
              <w:right w:val="single" w:sz="4" w:space="0" w:color="auto"/>
            </w:tcBorders>
          </w:tcPr>
          <w:p w14:paraId="382D9D3E" w14:textId="77777777" w:rsidR="00E70B2C" w:rsidRPr="00F70DBE" w:rsidRDefault="00E70B2C" w:rsidP="009E202A">
            <w:pPr>
              <w:rPr>
                <w:b/>
                <w:sz w:val="22"/>
                <w:szCs w:val="22"/>
              </w:rPr>
            </w:pPr>
          </w:p>
        </w:tc>
      </w:tr>
    </w:tbl>
    <w:p w14:paraId="262326E0" w14:textId="77777777" w:rsidR="00E70B2C" w:rsidRDefault="00E70B2C" w:rsidP="00E70B2C">
      <w:pPr>
        <w:rPr>
          <w:b/>
          <w:sz w:val="22"/>
          <w:szCs w:val="22"/>
        </w:rPr>
      </w:pPr>
    </w:p>
    <w:tbl>
      <w:tblPr>
        <w:tblStyle w:val="TableGrid"/>
        <w:tblW w:w="0" w:type="auto"/>
        <w:tblInd w:w="4077" w:type="dxa"/>
        <w:tblLook w:val="04A0" w:firstRow="1" w:lastRow="0" w:firstColumn="1" w:lastColumn="0" w:noHBand="0" w:noVBand="1"/>
      </w:tblPr>
      <w:tblGrid>
        <w:gridCol w:w="3679"/>
        <w:gridCol w:w="2438"/>
      </w:tblGrid>
      <w:tr w:rsidR="00AD3A2C" w:rsidRPr="00F70DBE" w14:paraId="7E712915" w14:textId="77777777" w:rsidTr="00F604FF">
        <w:tc>
          <w:tcPr>
            <w:tcW w:w="3828" w:type="dxa"/>
            <w:shd w:val="clear" w:color="auto" w:fill="DBE5F1" w:themeFill="accent1" w:themeFillTint="33"/>
            <w:hideMark/>
          </w:tcPr>
          <w:p w14:paraId="2D971E64" w14:textId="77777777" w:rsidR="00CA4BEC" w:rsidRPr="00F70DBE" w:rsidRDefault="00CA4BEC" w:rsidP="00F604FF">
            <w:pPr>
              <w:jc w:val="both"/>
              <w:rPr>
                <w:rFonts w:cs="Arial"/>
                <w:sz w:val="20"/>
                <w:szCs w:val="20"/>
              </w:rPr>
            </w:pPr>
            <w:proofErr w:type="spellStart"/>
            <w:r w:rsidRPr="00F70DBE">
              <w:rPr>
                <w:rFonts w:cs="Arial"/>
                <w:bCs/>
                <w:sz w:val="20"/>
                <w:szCs w:val="20"/>
              </w:rPr>
              <w:t>DevTracker</w:t>
            </w:r>
            <w:proofErr w:type="spellEnd"/>
            <w:r w:rsidRPr="00F70DBE">
              <w:rPr>
                <w:rFonts w:cs="Arial"/>
                <w:bCs/>
                <w:sz w:val="20"/>
                <w:szCs w:val="20"/>
              </w:rPr>
              <w:t xml:space="preserve"> Link to Business Case: </w:t>
            </w:r>
          </w:p>
        </w:tc>
        <w:tc>
          <w:tcPr>
            <w:tcW w:w="2515" w:type="dxa"/>
          </w:tcPr>
          <w:p w14:paraId="1975B2F4" w14:textId="77777777" w:rsidR="00CA4BEC" w:rsidRDefault="00AA3051" w:rsidP="00F604FF">
            <w:pPr>
              <w:rPr>
                <w:rFonts w:cs="Arial"/>
                <w:b/>
                <w:sz w:val="22"/>
                <w:szCs w:val="22"/>
              </w:rPr>
            </w:pPr>
            <w:hyperlink r:id="rId11" w:history="1">
              <w:r w:rsidR="00AD3A2C" w:rsidRPr="00DD3E58">
                <w:rPr>
                  <w:rStyle w:val="Hyperlink"/>
                  <w:rFonts w:cs="Arial"/>
                  <w:b/>
                  <w:sz w:val="22"/>
                  <w:szCs w:val="22"/>
                </w:rPr>
                <w:t>37917779</w:t>
              </w:r>
            </w:hyperlink>
          </w:p>
          <w:p w14:paraId="535EFF33" w14:textId="77777777" w:rsidR="00AD3A2C" w:rsidRPr="00F70DBE" w:rsidRDefault="00AD3A2C" w:rsidP="00F604FF">
            <w:pPr>
              <w:rPr>
                <w:rFonts w:cs="Arial"/>
                <w:b/>
                <w:sz w:val="22"/>
                <w:szCs w:val="22"/>
              </w:rPr>
            </w:pPr>
          </w:p>
        </w:tc>
      </w:tr>
      <w:tr w:rsidR="00AD3A2C" w:rsidRPr="00F70DBE" w14:paraId="22DA6F57" w14:textId="77777777" w:rsidTr="00F604FF">
        <w:tc>
          <w:tcPr>
            <w:tcW w:w="3828" w:type="dxa"/>
            <w:shd w:val="clear" w:color="auto" w:fill="DBE5F1" w:themeFill="accent1" w:themeFillTint="33"/>
            <w:hideMark/>
          </w:tcPr>
          <w:p w14:paraId="5641F780" w14:textId="77777777" w:rsidR="00CA4BEC" w:rsidRPr="00F70DBE" w:rsidRDefault="00CA4BEC" w:rsidP="00F604FF">
            <w:pPr>
              <w:jc w:val="both"/>
              <w:rPr>
                <w:rFonts w:cs="Arial"/>
                <w:bCs/>
                <w:i/>
                <w:sz w:val="20"/>
                <w:szCs w:val="20"/>
              </w:rPr>
            </w:pPr>
            <w:proofErr w:type="spellStart"/>
            <w:r w:rsidRPr="00F70DBE">
              <w:rPr>
                <w:rFonts w:cs="Arial"/>
                <w:bCs/>
                <w:sz w:val="20"/>
                <w:szCs w:val="20"/>
              </w:rPr>
              <w:t>DevTracker</w:t>
            </w:r>
            <w:proofErr w:type="spellEnd"/>
            <w:r w:rsidRPr="00F70DBE">
              <w:rPr>
                <w:rFonts w:cs="Arial"/>
                <w:bCs/>
                <w:sz w:val="20"/>
                <w:szCs w:val="20"/>
              </w:rPr>
              <w:t xml:space="preserve"> Link to Log frame: </w:t>
            </w:r>
          </w:p>
        </w:tc>
        <w:tc>
          <w:tcPr>
            <w:tcW w:w="2515" w:type="dxa"/>
          </w:tcPr>
          <w:p w14:paraId="3BC0C07E" w14:textId="77777777" w:rsidR="00CA4BEC" w:rsidRDefault="00AA3051" w:rsidP="00F604FF">
            <w:pPr>
              <w:rPr>
                <w:rFonts w:cs="Arial"/>
                <w:b/>
                <w:sz w:val="22"/>
                <w:szCs w:val="22"/>
              </w:rPr>
            </w:pPr>
            <w:hyperlink r:id="rId12" w:history="1">
              <w:r w:rsidR="00AD3A2C" w:rsidRPr="00DD3E58">
                <w:rPr>
                  <w:rStyle w:val="Hyperlink"/>
                  <w:rFonts w:cs="Arial"/>
                  <w:b/>
                  <w:sz w:val="22"/>
                  <w:szCs w:val="22"/>
                </w:rPr>
                <w:t>42895581</w:t>
              </w:r>
            </w:hyperlink>
          </w:p>
          <w:p w14:paraId="6CA57730" w14:textId="77777777" w:rsidR="00AD3A2C" w:rsidRPr="00F70DBE" w:rsidRDefault="00AD3A2C" w:rsidP="00F604FF">
            <w:pPr>
              <w:rPr>
                <w:rFonts w:cs="Arial"/>
                <w:b/>
                <w:sz w:val="22"/>
                <w:szCs w:val="22"/>
              </w:rPr>
            </w:pPr>
          </w:p>
        </w:tc>
      </w:tr>
    </w:tbl>
    <w:p w14:paraId="30EE1CAC" w14:textId="77777777" w:rsidR="00CA4BEC" w:rsidRDefault="00CA4BEC" w:rsidP="00E70B2C">
      <w:pPr>
        <w:rPr>
          <w:b/>
          <w:sz w:val="22"/>
          <w:szCs w:val="22"/>
        </w:rPr>
      </w:pPr>
    </w:p>
    <w:p w14:paraId="39CEB193" w14:textId="77777777" w:rsidR="00E70B2C" w:rsidRPr="00CE0979" w:rsidRDefault="00E70B2C" w:rsidP="00CE0979">
      <w:pPr>
        <w:pBdr>
          <w:top w:val="single" w:sz="4" w:space="1" w:color="auto"/>
          <w:left w:val="single" w:sz="4" w:space="4" w:color="auto"/>
          <w:bottom w:val="single" w:sz="4" w:space="1" w:color="auto"/>
          <w:right w:val="single" w:sz="4" w:space="4" w:color="auto"/>
        </w:pBdr>
        <w:shd w:val="clear" w:color="auto" w:fill="DBE5F1" w:themeFill="accent1" w:themeFillTint="33"/>
      </w:pPr>
      <w:r w:rsidRPr="00F70DBE">
        <w:rPr>
          <w:b/>
          <w:sz w:val="28"/>
        </w:rPr>
        <w:t xml:space="preserve">A. </w:t>
      </w:r>
      <w:r>
        <w:rPr>
          <w:b/>
          <w:sz w:val="28"/>
        </w:rPr>
        <w:t xml:space="preserve">Summary and Overview </w:t>
      </w:r>
    </w:p>
    <w:p w14:paraId="497F2BFE" w14:textId="77777777" w:rsidR="00E70B2C" w:rsidRDefault="00E70B2C" w:rsidP="00E70B2C">
      <w:pPr>
        <w:rPr>
          <w:b/>
          <w:sz w:val="22"/>
          <w:szCs w:val="22"/>
        </w:rPr>
      </w:pPr>
    </w:p>
    <w:p w14:paraId="2EC79614" w14:textId="77777777" w:rsidR="00E70B2C" w:rsidRDefault="00E70B2C" w:rsidP="00E70B2C">
      <w:pPr>
        <w:rPr>
          <w:b/>
          <w:sz w:val="22"/>
          <w:szCs w:val="22"/>
        </w:rPr>
      </w:pPr>
      <w:r>
        <w:rPr>
          <w:b/>
          <w:sz w:val="22"/>
          <w:szCs w:val="22"/>
        </w:rPr>
        <w:t>Description of programm</w:t>
      </w:r>
      <w:r w:rsidR="00560DD3">
        <w:rPr>
          <w:b/>
          <w:sz w:val="22"/>
          <w:szCs w:val="22"/>
        </w:rPr>
        <w:t>e</w:t>
      </w:r>
    </w:p>
    <w:p w14:paraId="39D538D6" w14:textId="77777777" w:rsidR="00E70B2C" w:rsidRDefault="00E70B2C" w:rsidP="00E70B2C">
      <w:pPr>
        <w:rPr>
          <w:b/>
          <w:sz w:val="22"/>
          <w:szCs w:val="22"/>
        </w:rPr>
      </w:pPr>
    </w:p>
    <w:p w14:paraId="43F22CBA" w14:textId="77777777" w:rsidR="00750621" w:rsidRPr="00BC6BFF" w:rsidRDefault="00750621" w:rsidP="00750621">
      <w:pPr>
        <w:jc w:val="both"/>
        <w:rPr>
          <w:bCs/>
          <w:sz w:val="22"/>
          <w:szCs w:val="22"/>
        </w:rPr>
      </w:pPr>
      <w:r w:rsidRPr="00BC6BFF">
        <w:rPr>
          <w:bCs/>
          <w:sz w:val="22"/>
          <w:szCs w:val="22"/>
        </w:rPr>
        <w:t>The G</w:t>
      </w:r>
      <w:r>
        <w:rPr>
          <w:bCs/>
          <w:sz w:val="22"/>
          <w:szCs w:val="22"/>
        </w:rPr>
        <w:t>lobal Environment Facility (G</w:t>
      </w:r>
      <w:r w:rsidRPr="00BC6BFF">
        <w:rPr>
          <w:bCs/>
          <w:sz w:val="22"/>
          <w:szCs w:val="22"/>
        </w:rPr>
        <w:t>EF</w:t>
      </w:r>
      <w:r>
        <w:rPr>
          <w:bCs/>
          <w:sz w:val="22"/>
          <w:szCs w:val="22"/>
        </w:rPr>
        <w:t>)</w:t>
      </w:r>
      <w:r w:rsidRPr="00BC6BFF">
        <w:rPr>
          <w:bCs/>
          <w:sz w:val="22"/>
          <w:szCs w:val="22"/>
        </w:rPr>
        <w:t xml:space="preserve"> was set up in 1991 to </w:t>
      </w:r>
      <w:r>
        <w:rPr>
          <w:bCs/>
          <w:sz w:val="22"/>
          <w:szCs w:val="22"/>
        </w:rPr>
        <w:t xml:space="preserve">provide funding to developing countries to </w:t>
      </w:r>
      <w:r w:rsidRPr="00BC6BFF">
        <w:rPr>
          <w:bCs/>
          <w:sz w:val="22"/>
          <w:szCs w:val="22"/>
        </w:rPr>
        <w:t xml:space="preserve">address global environmental </w:t>
      </w:r>
      <w:r>
        <w:rPr>
          <w:bCs/>
          <w:sz w:val="22"/>
          <w:szCs w:val="22"/>
        </w:rPr>
        <w:t>challenges</w:t>
      </w:r>
      <w:r w:rsidRPr="00BC6BFF">
        <w:rPr>
          <w:bCs/>
          <w:sz w:val="22"/>
          <w:szCs w:val="22"/>
        </w:rPr>
        <w:t>, including climate change, biodiversity loss, land degradation, marine degr</w:t>
      </w:r>
      <w:r>
        <w:rPr>
          <w:bCs/>
          <w:sz w:val="22"/>
          <w:szCs w:val="22"/>
        </w:rPr>
        <w:t xml:space="preserve">adation and chemicals pollution.  </w:t>
      </w:r>
      <w:r w:rsidRPr="00BC6BFF">
        <w:rPr>
          <w:bCs/>
          <w:sz w:val="22"/>
          <w:szCs w:val="22"/>
        </w:rPr>
        <w:t xml:space="preserve">The GEF </w:t>
      </w:r>
      <w:r>
        <w:rPr>
          <w:bCs/>
          <w:sz w:val="22"/>
          <w:szCs w:val="22"/>
        </w:rPr>
        <w:t>provides funding in support of</w:t>
      </w:r>
      <w:r w:rsidRPr="00BC6BFF">
        <w:rPr>
          <w:bCs/>
          <w:sz w:val="22"/>
          <w:szCs w:val="22"/>
        </w:rPr>
        <w:t xml:space="preserve"> five </w:t>
      </w:r>
      <w:r>
        <w:rPr>
          <w:bCs/>
          <w:sz w:val="22"/>
          <w:szCs w:val="22"/>
        </w:rPr>
        <w:t xml:space="preserve">major international environmental </w:t>
      </w:r>
      <w:r w:rsidRPr="00BC6BFF">
        <w:rPr>
          <w:bCs/>
          <w:sz w:val="22"/>
          <w:szCs w:val="22"/>
        </w:rPr>
        <w:t xml:space="preserve">conventions, which are </w:t>
      </w:r>
      <w:r>
        <w:rPr>
          <w:bCs/>
          <w:sz w:val="22"/>
          <w:szCs w:val="22"/>
        </w:rPr>
        <w:t xml:space="preserve">the </w:t>
      </w:r>
      <w:r w:rsidRPr="00BC6BFF">
        <w:rPr>
          <w:bCs/>
          <w:sz w:val="22"/>
          <w:szCs w:val="22"/>
        </w:rPr>
        <w:t xml:space="preserve">Convention on Biological Diversity, United Nations Framework Convention on Climate Change, Stockholm Convention on Persistent Organic Pollutants, UN Convention to Combat Desertification, and Minamata Convention on Mercury. </w:t>
      </w:r>
      <w:r>
        <w:rPr>
          <w:bCs/>
          <w:sz w:val="22"/>
          <w:szCs w:val="22"/>
        </w:rPr>
        <w:t xml:space="preserve">GEF funding also supports UK Government priorities </w:t>
      </w:r>
      <w:r w:rsidRPr="00BC6BFF">
        <w:rPr>
          <w:bCs/>
          <w:sz w:val="22"/>
          <w:szCs w:val="22"/>
        </w:rPr>
        <w:t>including the illegal wildlife trade and marine protection and is in a strong position to contribute to the Sustai</w:t>
      </w:r>
      <w:r>
        <w:rPr>
          <w:bCs/>
          <w:sz w:val="22"/>
          <w:szCs w:val="22"/>
        </w:rPr>
        <w:t>nable Development Goals (SDGs).</w:t>
      </w:r>
    </w:p>
    <w:p w14:paraId="3CAAC43F" w14:textId="77777777" w:rsidR="00E70B2C" w:rsidRDefault="00E70B2C" w:rsidP="00E70B2C">
      <w:pPr>
        <w:rPr>
          <w:b/>
          <w:sz w:val="22"/>
          <w:szCs w:val="22"/>
        </w:rPr>
      </w:pPr>
    </w:p>
    <w:p w14:paraId="7E377535" w14:textId="77777777" w:rsidR="006319BA" w:rsidRDefault="006319BA" w:rsidP="006319BA">
      <w:pPr>
        <w:spacing w:before="120" w:after="200"/>
        <w:jc w:val="both"/>
        <w:rPr>
          <w:rFonts w:cs="Arial"/>
          <w:bCs/>
          <w:sz w:val="22"/>
          <w:szCs w:val="22"/>
        </w:rPr>
      </w:pPr>
      <w:r>
        <w:rPr>
          <w:rFonts w:cs="Arial"/>
          <w:bCs/>
          <w:sz w:val="22"/>
          <w:szCs w:val="22"/>
        </w:rPr>
        <w:t>Since its inception in 1991 the GEF has supported management of more than 3,300 protected areas covering 860 million hectares (an area larger than Brazil), 1010 climate change mitigation projects contributing to 2.7 billion tonnes of greenhouse gas emission reductions, sustainable management of 34 of the world’s major river basins and provided $131m to the Global Wildlife Program</w:t>
      </w:r>
      <w:r w:rsidR="00E408F5">
        <w:rPr>
          <w:rFonts w:cs="Arial"/>
          <w:bCs/>
          <w:sz w:val="22"/>
          <w:szCs w:val="22"/>
        </w:rPr>
        <w:t>me</w:t>
      </w:r>
      <w:r>
        <w:rPr>
          <w:rFonts w:cs="Arial"/>
          <w:bCs/>
          <w:sz w:val="22"/>
          <w:szCs w:val="22"/>
        </w:rPr>
        <w:t xml:space="preserve"> to tackle the illegal wildlife trade.  </w:t>
      </w:r>
    </w:p>
    <w:p w14:paraId="309867AB" w14:textId="77777777" w:rsidR="006319BA" w:rsidRPr="000A3A6C" w:rsidRDefault="006319BA" w:rsidP="000A3A6C">
      <w:pPr>
        <w:spacing w:before="120" w:after="200"/>
        <w:jc w:val="both"/>
        <w:rPr>
          <w:rFonts w:cs="Arial"/>
          <w:bCs/>
          <w:sz w:val="22"/>
          <w:szCs w:val="22"/>
        </w:rPr>
      </w:pPr>
      <w:r>
        <w:rPr>
          <w:rFonts w:cs="Arial"/>
          <w:bCs/>
          <w:sz w:val="22"/>
          <w:szCs w:val="22"/>
        </w:rPr>
        <w:t xml:space="preserve">The GEF provides grants and other support to developing countries for projects and programmes to address global environmental problems.  The GEF works with developing countries and a set of 18 accredited agencies (predominantly the multilateral development banks (MDBs) and UN agencies) to develop and implement projects and programmes. The GEF is governed </w:t>
      </w:r>
      <w:r w:rsidR="00412D92">
        <w:rPr>
          <w:rFonts w:cs="Arial"/>
          <w:bCs/>
          <w:sz w:val="22"/>
          <w:szCs w:val="22"/>
        </w:rPr>
        <w:t>by a</w:t>
      </w:r>
      <w:r>
        <w:rPr>
          <w:rFonts w:cs="Arial"/>
          <w:bCs/>
          <w:sz w:val="22"/>
          <w:szCs w:val="22"/>
        </w:rPr>
        <w:t xml:space="preserve"> balanced board (GEF Council) of developed and developing country representatives; its work is co-ordinated by a Secretariat and the World Bank is Trustee.  The UK has its own constituency seat on the board, represented by DFID with an Alternate from Defra.</w:t>
      </w:r>
      <w:r w:rsidR="00AC58A5">
        <w:rPr>
          <w:rFonts w:cs="Arial"/>
          <w:bCs/>
          <w:sz w:val="22"/>
          <w:szCs w:val="22"/>
        </w:rPr>
        <w:t xml:space="preserve"> </w:t>
      </w:r>
      <w:r>
        <w:rPr>
          <w:rFonts w:cs="Arial"/>
          <w:bCs/>
          <w:sz w:val="22"/>
          <w:szCs w:val="22"/>
        </w:rPr>
        <w:t xml:space="preserve">The projects and programmes funded by the GEF are developed in accordance with a set of Programming and Policy Directions set at the start of each </w:t>
      </w:r>
      <w:r w:rsidR="0028310B">
        <w:rPr>
          <w:rFonts w:cs="Arial"/>
          <w:bCs/>
          <w:sz w:val="22"/>
          <w:szCs w:val="22"/>
        </w:rPr>
        <w:t>four-year</w:t>
      </w:r>
      <w:r>
        <w:rPr>
          <w:rFonts w:cs="Arial"/>
          <w:bCs/>
          <w:sz w:val="22"/>
          <w:szCs w:val="22"/>
        </w:rPr>
        <w:t xml:space="preserve"> replenishment period.</w:t>
      </w:r>
    </w:p>
    <w:p w14:paraId="61CDD6DF" w14:textId="77777777" w:rsidR="007E3967" w:rsidRDefault="007E3967" w:rsidP="00AD3353">
      <w:pPr>
        <w:pStyle w:val="CommentText"/>
        <w:jc w:val="both"/>
        <w:rPr>
          <w:rFonts w:cs="Arial"/>
          <w:bCs/>
          <w:sz w:val="22"/>
          <w:szCs w:val="22"/>
        </w:rPr>
      </w:pPr>
      <w:r>
        <w:rPr>
          <w:rFonts w:cs="Arial"/>
          <w:bCs/>
          <w:sz w:val="22"/>
          <w:szCs w:val="22"/>
        </w:rPr>
        <w:t>The UK has supported the GEF since inception.  In the most recent seventh replenishment of the GEF (GEF7) the UK committed £250m, which equates to approximately 10% of total donor contributions to GEF7.  GEF7 mark</w:t>
      </w:r>
      <w:r w:rsidR="000B54AD">
        <w:rPr>
          <w:rFonts w:cs="Arial"/>
          <w:bCs/>
          <w:sz w:val="22"/>
          <w:szCs w:val="22"/>
        </w:rPr>
        <w:t>s a</w:t>
      </w:r>
      <w:r>
        <w:rPr>
          <w:rFonts w:cs="Arial"/>
          <w:bCs/>
          <w:sz w:val="22"/>
          <w:szCs w:val="22"/>
        </w:rPr>
        <w:t xml:space="preserve"> significant step forward by the GEF in its potential to deliver more transformational results in addressing environmental degradation, by taking a multisectoral </w:t>
      </w:r>
      <w:r w:rsidRPr="007E3967">
        <w:rPr>
          <w:rFonts w:cs="Arial"/>
          <w:bCs/>
          <w:sz w:val="22"/>
          <w:szCs w:val="22"/>
        </w:rPr>
        <w:t>integrated multi-stakeholder programming approach to tackle the underlying drivers and systems involved in environmental degradation, through ‘Impact Programmes’</w:t>
      </w:r>
      <w:r>
        <w:rPr>
          <w:rFonts w:cs="Arial"/>
          <w:bCs/>
          <w:sz w:val="22"/>
          <w:szCs w:val="22"/>
        </w:rPr>
        <w:t>, including</w:t>
      </w:r>
      <w:r w:rsidRPr="007E3967">
        <w:rPr>
          <w:rFonts w:cs="Arial"/>
          <w:bCs/>
          <w:sz w:val="22"/>
          <w:szCs w:val="22"/>
        </w:rPr>
        <w:t xml:space="preserve"> Food, Land Use, and Restoration; Amazon Sustainable Landscapes; Congo Sustainable Landscapes; dryland Sustainable Landscapes</w:t>
      </w:r>
      <w:r>
        <w:rPr>
          <w:rFonts w:cs="Arial"/>
          <w:bCs/>
          <w:sz w:val="22"/>
          <w:szCs w:val="22"/>
        </w:rPr>
        <w:t>; and sustainable cities</w:t>
      </w:r>
      <w:r w:rsidRPr="007E3967">
        <w:rPr>
          <w:rFonts w:cs="Arial"/>
          <w:bCs/>
          <w:sz w:val="22"/>
          <w:szCs w:val="22"/>
        </w:rPr>
        <w:t xml:space="preserve">.  </w:t>
      </w:r>
    </w:p>
    <w:p w14:paraId="30B91B5B" w14:textId="77777777" w:rsidR="007E3967" w:rsidRDefault="007E3967" w:rsidP="00AD3353">
      <w:pPr>
        <w:pStyle w:val="CommentText"/>
        <w:jc w:val="both"/>
        <w:rPr>
          <w:sz w:val="22"/>
          <w:szCs w:val="22"/>
        </w:rPr>
      </w:pPr>
    </w:p>
    <w:p w14:paraId="485B2C94" w14:textId="77777777" w:rsidR="007E3967" w:rsidRDefault="007E3967" w:rsidP="00AD3353">
      <w:pPr>
        <w:pStyle w:val="CommentText"/>
        <w:jc w:val="both"/>
        <w:rPr>
          <w:sz w:val="22"/>
          <w:szCs w:val="22"/>
        </w:rPr>
      </w:pPr>
    </w:p>
    <w:p w14:paraId="6CC9FE48" w14:textId="77777777" w:rsidR="00C421FF" w:rsidRDefault="0017559D" w:rsidP="00AD3353">
      <w:pPr>
        <w:pStyle w:val="CommentText"/>
        <w:jc w:val="both"/>
        <w:rPr>
          <w:sz w:val="22"/>
          <w:szCs w:val="22"/>
        </w:rPr>
      </w:pPr>
      <w:r w:rsidRPr="00AD3353">
        <w:rPr>
          <w:sz w:val="22"/>
          <w:szCs w:val="22"/>
        </w:rPr>
        <w:t xml:space="preserve">This Annual Review assesses the first year of programming under the 7th replenishment of GEF. </w:t>
      </w:r>
      <w:r w:rsidR="001A08C7" w:rsidRPr="00AD3353">
        <w:rPr>
          <w:sz w:val="22"/>
          <w:szCs w:val="22"/>
        </w:rPr>
        <w:t xml:space="preserve">The programme is performing well according to the programming and policy directions set at the start of the current </w:t>
      </w:r>
      <w:r w:rsidR="0057616E" w:rsidRPr="00AD3353">
        <w:rPr>
          <w:sz w:val="22"/>
          <w:szCs w:val="22"/>
        </w:rPr>
        <w:t>replenishment</w:t>
      </w:r>
      <w:r w:rsidR="0057616E">
        <w:rPr>
          <w:sz w:val="22"/>
          <w:szCs w:val="22"/>
        </w:rPr>
        <w:t xml:space="preserve"> and</w:t>
      </w:r>
      <w:r w:rsidR="007E3967">
        <w:rPr>
          <w:sz w:val="22"/>
          <w:szCs w:val="22"/>
        </w:rPr>
        <w:t xml:space="preserve"> through the</w:t>
      </w:r>
      <w:r w:rsidR="0095172D">
        <w:rPr>
          <w:sz w:val="22"/>
          <w:szCs w:val="22"/>
        </w:rPr>
        <w:t xml:space="preserve"> approval of a major work-programme at the June 2019 Council meetings,</w:t>
      </w:r>
      <w:r w:rsidR="00F00E11">
        <w:rPr>
          <w:sz w:val="22"/>
          <w:szCs w:val="22"/>
        </w:rPr>
        <w:t xml:space="preserve"> which </w:t>
      </w:r>
      <w:r w:rsidR="007770A8">
        <w:rPr>
          <w:sz w:val="22"/>
          <w:szCs w:val="22"/>
        </w:rPr>
        <w:t>provides</w:t>
      </w:r>
      <w:r w:rsidR="00F00E11">
        <w:rPr>
          <w:sz w:val="22"/>
          <w:szCs w:val="22"/>
        </w:rPr>
        <w:t xml:space="preserve"> 57% of resources to the new Impact Programmes</w:t>
      </w:r>
      <w:r w:rsidR="007770A8">
        <w:rPr>
          <w:sz w:val="22"/>
          <w:szCs w:val="22"/>
        </w:rPr>
        <w:t>.</w:t>
      </w:r>
      <w:r w:rsidR="00F00E11">
        <w:rPr>
          <w:sz w:val="22"/>
          <w:szCs w:val="22"/>
        </w:rPr>
        <w:t xml:space="preserve"> </w:t>
      </w:r>
    </w:p>
    <w:p w14:paraId="1C2D0C2A" w14:textId="77777777" w:rsidR="00C421FF" w:rsidRDefault="00C421FF" w:rsidP="00AD3353">
      <w:pPr>
        <w:pStyle w:val="CommentText"/>
        <w:jc w:val="both"/>
        <w:rPr>
          <w:sz w:val="22"/>
          <w:szCs w:val="22"/>
        </w:rPr>
      </w:pPr>
    </w:p>
    <w:p w14:paraId="0738726A" w14:textId="77777777" w:rsidR="0017559D" w:rsidRPr="00AD3353" w:rsidRDefault="002A155F" w:rsidP="00AD3353">
      <w:pPr>
        <w:pStyle w:val="CommentText"/>
        <w:jc w:val="both"/>
        <w:rPr>
          <w:sz w:val="22"/>
          <w:szCs w:val="22"/>
        </w:rPr>
      </w:pPr>
      <w:r>
        <w:rPr>
          <w:sz w:val="22"/>
          <w:szCs w:val="22"/>
        </w:rPr>
        <w:t>T</w:t>
      </w:r>
      <w:r w:rsidRPr="002A155F">
        <w:rPr>
          <w:sz w:val="22"/>
          <w:szCs w:val="22"/>
        </w:rPr>
        <w:t xml:space="preserve">wenty percent of the total UK pledged contribution </w:t>
      </w:r>
      <w:r>
        <w:rPr>
          <w:sz w:val="22"/>
          <w:szCs w:val="22"/>
        </w:rPr>
        <w:t>is</w:t>
      </w:r>
      <w:r w:rsidRPr="002A155F">
        <w:rPr>
          <w:sz w:val="22"/>
          <w:szCs w:val="22"/>
        </w:rPr>
        <w:t xml:space="preserve"> conditional on achievement of agreed targets for performance </w:t>
      </w:r>
      <w:r w:rsidR="000A3A6C">
        <w:rPr>
          <w:sz w:val="22"/>
          <w:szCs w:val="22"/>
        </w:rPr>
        <w:t>against agreed policy</w:t>
      </w:r>
      <w:r w:rsidRPr="002A155F">
        <w:rPr>
          <w:sz w:val="22"/>
          <w:szCs w:val="22"/>
        </w:rPr>
        <w:t xml:space="preserve"> </w:t>
      </w:r>
      <w:r w:rsidR="00C421FF" w:rsidRPr="002A155F">
        <w:rPr>
          <w:sz w:val="22"/>
          <w:szCs w:val="22"/>
        </w:rPr>
        <w:t>reform</w:t>
      </w:r>
      <w:r w:rsidR="000A3A6C">
        <w:rPr>
          <w:sz w:val="22"/>
          <w:szCs w:val="22"/>
        </w:rPr>
        <w:t>s.  T</w:t>
      </w:r>
      <w:r w:rsidR="00E72C3F">
        <w:rPr>
          <w:sz w:val="22"/>
          <w:szCs w:val="22"/>
        </w:rPr>
        <w:t>he</w:t>
      </w:r>
      <w:r w:rsidR="000A3A6C">
        <w:rPr>
          <w:sz w:val="22"/>
          <w:szCs w:val="22"/>
        </w:rPr>
        <w:t xml:space="preserve"> GEF has made</w:t>
      </w:r>
      <w:r w:rsidR="00E72C3F">
        <w:rPr>
          <w:sz w:val="22"/>
          <w:szCs w:val="22"/>
        </w:rPr>
        <w:t xml:space="preserve"> </w:t>
      </w:r>
      <w:r w:rsidR="0068615E">
        <w:rPr>
          <w:sz w:val="22"/>
          <w:szCs w:val="22"/>
        </w:rPr>
        <w:t xml:space="preserve">good progress </w:t>
      </w:r>
      <w:r w:rsidR="006E1414">
        <w:rPr>
          <w:sz w:val="22"/>
          <w:szCs w:val="22"/>
        </w:rPr>
        <w:t>in</w:t>
      </w:r>
      <w:r w:rsidR="0068615E">
        <w:rPr>
          <w:sz w:val="22"/>
          <w:szCs w:val="22"/>
        </w:rPr>
        <w:t xml:space="preserve"> the</w:t>
      </w:r>
      <w:r w:rsidR="008E4CE3">
        <w:rPr>
          <w:sz w:val="22"/>
          <w:szCs w:val="22"/>
        </w:rPr>
        <w:t>se</w:t>
      </w:r>
      <w:r w:rsidR="00794E46">
        <w:rPr>
          <w:sz w:val="22"/>
          <w:szCs w:val="22"/>
        </w:rPr>
        <w:t xml:space="preserve"> </w:t>
      </w:r>
      <w:r w:rsidR="000A3A6C">
        <w:rPr>
          <w:sz w:val="22"/>
          <w:szCs w:val="22"/>
        </w:rPr>
        <w:t xml:space="preserve">policy </w:t>
      </w:r>
      <w:r w:rsidR="00794E46">
        <w:rPr>
          <w:sz w:val="22"/>
          <w:szCs w:val="22"/>
        </w:rPr>
        <w:t>areas which include</w:t>
      </w:r>
      <w:r w:rsidR="000A3A6C">
        <w:rPr>
          <w:sz w:val="22"/>
          <w:szCs w:val="22"/>
        </w:rPr>
        <w:t>:</w:t>
      </w:r>
      <w:r w:rsidR="00794E46">
        <w:rPr>
          <w:sz w:val="22"/>
          <w:szCs w:val="22"/>
        </w:rPr>
        <w:t xml:space="preserve"> </w:t>
      </w:r>
      <w:r w:rsidR="00AB286F">
        <w:rPr>
          <w:sz w:val="22"/>
          <w:szCs w:val="22"/>
        </w:rPr>
        <w:t>improved r</w:t>
      </w:r>
      <w:r w:rsidR="002A2C59" w:rsidRPr="002A2C59">
        <w:rPr>
          <w:sz w:val="22"/>
          <w:szCs w:val="22"/>
        </w:rPr>
        <w:t>esource allocation</w:t>
      </w:r>
      <w:r w:rsidR="002A2C59">
        <w:rPr>
          <w:sz w:val="22"/>
          <w:szCs w:val="22"/>
        </w:rPr>
        <w:t xml:space="preserve">, </w:t>
      </w:r>
      <w:r w:rsidR="00AB286F">
        <w:rPr>
          <w:sz w:val="22"/>
          <w:szCs w:val="22"/>
        </w:rPr>
        <w:t>o</w:t>
      </w:r>
      <w:r w:rsidR="002A2C59" w:rsidRPr="002A2C59">
        <w:rPr>
          <w:sz w:val="22"/>
          <w:szCs w:val="22"/>
        </w:rPr>
        <w:t>ptimising the use of GEF resources in different countries</w:t>
      </w:r>
      <w:r w:rsidR="002A2C59">
        <w:rPr>
          <w:sz w:val="22"/>
          <w:szCs w:val="22"/>
        </w:rPr>
        <w:t>,</w:t>
      </w:r>
      <w:r w:rsidR="000638CF">
        <w:rPr>
          <w:sz w:val="22"/>
          <w:szCs w:val="22"/>
        </w:rPr>
        <w:t xml:space="preserve"> </w:t>
      </w:r>
      <w:r w:rsidR="000A3A6C">
        <w:rPr>
          <w:sz w:val="22"/>
          <w:szCs w:val="22"/>
        </w:rPr>
        <w:t>results reporting</w:t>
      </w:r>
      <w:r w:rsidR="002A2C59">
        <w:rPr>
          <w:sz w:val="22"/>
          <w:szCs w:val="22"/>
        </w:rPr>
        <w:t xml:space="preserve">, </w:t>
      </w:r>
      <w:r w:rsidR="00912A73">
        <w:rPr>
          <w:sz w:val="22"/>
          <w:szCs w:val="22"/>
        </w:rPr>
        <w:t>p</w:t>
      </w:r>
      <w:r w:rsidR="002A2C59" w:rsidRPr="002A2C59">
        <w:rPr>
          <w:sz w:val="22"/>
          <w:szCs w:val="22"/>
        </w:rPr>
        <w:t>rivate sector engagement</w:t>
      </w:r>
      <w:r w:rsidR="00895971">
        <w:rPr>
          <w:sz w:val="22"/>
          <w:szCs w:val="22"/>
        </w:rPr>
        <w:t xml:space="preserve">, </w:t>
      </w:r>
      <w:r w:rsidR="00912A73">
        <w:rPr>
          <w:sz w:val="22"/>
          <w:szCs w:val="22"/>
        </w:rPr>
        <w:t>increased o</w:t>
      </w:r>
      <w:r w:rsidR="002A2C59" w:rsidRPr="002A2C59">
        <w:rPr>
          <w:sz w:val="22"/>
          <w:szCs w:val="22"/>
        </w:rPr>
        <w:t>perational efficiency and transparency</w:t>
      </w:r>
      <w:r w:rsidR="00895971">
        <w:rPr>
          <w:sz w:val="22"/>
          <w:szCs w:val="22"/>
        </w:rPr>
        <w:t xml:space="preserve">, </w:t>
      </w:r>
      <w:r w:rsidR="00912A73">
        <w:rPr>
          <w:sz w:val="22"/>
          <w:szCs w:val="22"/>
        </w:rPr>
        <w:t>i</w:t>
      </w:r>
      <w:r w:rsidR="002A2C59" w:rsidRPr="002A2C59">
        <w:rPr>
          <w:sz w:val="22"/>
          <w:szCs w:val="22"/>
        </w:rPr>
        <w:t>mproved management of data and information</w:t>
      </w:r>
      <w:r w:rsidR="00912A73">
        <w:rPr>
          <w:sz w:val="22"/>
          <w:szCs w:val="22"/>
        </w:rPr>
        <w:t xml:space="preserve"> and</w:t>
      </w:r>
      <w:r w:rsidR="00895971">
        <w:rPr>
          <w:sz w:val="22"/>
          <w:szCs w:val="22"/>
        </w:rPr>
        <w:t xml:space="preserve"> </w:t>
      </w:r>
      <w:r w:rsidR="0031665A">
        <w:rPr>
          <w:sz w:val="22"/>
          <w:szCs w:val="22"/>
        </w:rPr>
        <w:t>g</w:t>
      </w:r>
      <w:r w:rsidR="002A2C59" w:rsidRPr="002A2C59">
        <w:rPr>
          <w:sz w:val="22"/>
          <w:szCs w:val="22"/>
        </w:rPr>
        <w:t>ender equality and women’s empowerment</w:t>
      </w:r>
      <w:r w:rsidR="00895971">
        <w:rPr>
          <w:sz w:val="22"/>
          <w:szCs w:val="22"/>
        </w:rPr>
        <w:t xml:space="preserve">. </w:t>
      </w:r>
      <w:r w:rsidR="000A3A6C">
        <w:rPr>
          <w:sz w:val="22"/>
          <w:szCs w:val="22"/>
        </w:rPr>
        <w:t>As a result of achieving these targets the GEF will receive the full amount committed by the UK for this year of the replenishment.</w:t>
      </w:r>
    </w:p>
    <w:p w14:paraId="1B8A071B" w14:textId="77777777" w:rsidR="00E70B2C" w:rsidRDefault="00E70B2C" w:rsidP="00E70B2C">
      <w:pPr>
        <w:rPr>
          <w:b/>
          <w:sz w:val="22"/>
          <w:szCs w:val="22"/>
        </w:rPr>
      </w:pPr>
    </w:p>
    <w:p w14:paraId="193F4BEF" w14:textId="77777777" w:rsidR="003E3966" w:rsidRDefault="003E3966" w:rsidP="003E3966">
      <w:pPr>
        <w:rPr>
          <w:rFonts w:cs="Arial"/>
          <w:b/>
          <w:sz w:val="22"/>
          <w:szCs w:val="22"/>
        </w:rPr>
      </w:pPr>
      <w:r w:rsidRPr="006B08EC">
        <w:rPr>
          <w:rFonts w:cs="Arial"/>
          <w:b/>
          <w:sz w:val="22"/>
          <w:szCs w:val="22"/>
        </w:rPr>
        <w:t>Overall output score and description</w:t>
      </w:r>
    </w:p>
    <w:p w14:paraId="2C50E159" w14:textId="77777777" w:rsidR="003E3966" w:rsidRPr="00CA02FC" w:rsidRDefault="00AD649F" w:rsidP="000549A5">
      <w:pPr>
        <w:suppressAutoHyphens/>
        <w:autoSpaceDN w:val="0"/>
        <w:spacing w:after="120"/>
        <w:jc w:val="both"/>
        <w:textAlignment w:val="baseline"/>
        <w:rPr>
          <w:rFonts w:cs="Arial"/>
          <w:sz w:val="22"/>
          <w:szCs w:val="22"/>
        </w:rPr>
      </w:pPr>
      <w:r>
        <w:rPr>
          <w:sz w:val="22"/>
          <w:szCs w:val="22"/>
        </w:rPr>
        <w:t>E</w:t>
      </w:r>
      <w:r w:rsidRPr="00AD3353">
        <w:rPr>
          <w:sz w:val="22"/>
          <w:szCs w:val="22"/>
        </w:rPr>
        <w:t>xpected results against the indicators for the programmed portfolio mostly exceed their milestones.</w:t>
      </w:r>
      <w:r>
        <w:rPr>
          <w:sz w:val="22"/>
          <w:szCs w:val="22"/>
        </w:rPr>
        <w:t xml:space="preserve">  </w:t>
      </w:r>
      <w:r w:rsidR="003E3966" w:rsidRPr="00CA02FC">
        <w:rPr>
          <w:rFonts w:cs="Arial"/>
          <w:sz w:val="22"/>
          <w:szCs w:val="22"/>
        </w:rPr>
        <w:t xml:space="preserve">Overall output score is </w:t>
      </w:r>
      <w:r w:rsidR="00865D87">
        <w:rPr>
          <w:rFonts w:cs="Arial"/>
          <w:sz w:val="22"/>
          <w:szCs w:val="22"/>
        </w:rPr>
        <w:t>A</w:t>
      </w:r>
      <w:r w:rsidR="003E3966" w:rsidRPr="00CA02FC">
        <w:rPr>
          <w:rFonts w:cs="Arial"/>
          <w:sz w:val="22"/>
          <w:szCs w:val="22"/>
        </w:rPr>
        <w:t>, with the following individual output scores:</w:t>
      </w:r>
    </w:p>
    <w:p w14:paraId="35E1DEC9" w14:textId="77777777" w:rsidR="003E3966" w:rsidRPr="00CA02FC" w:rsidRDefault="003E3966" w:rsidP="000549A5">
      <w:pPr>
        <w:suppressAutoHyphens/>
        <w:autoSpaceDN w:val="0"/>
        <w:spacing w:after="120"/>
        <w:ind w:left="357"/>
        <w:jc w:val="both"/>
        <w:textAlignment w:val="baseline"/>
        <w:rPr>
          <w:rFonts w:cs="Arial"/>
          <w:sz w:val="22"/>
          <w:szCs w:val="22"/>
        </w:rPr>
      </w:pPr>
      <w:r w:rsidRPr="00CA02FC">
        <w:rPr>
          <w:rFonts w:cs="Arial"/>
          <w:sz w:val="22"/>
          <w:szCs w:val="22"/>
          <w:u w:val="single"/>
        </w:rPr>
        <w:t>Output 1</w:t>
      </w:r>
      <w:r w:rsidRPr="00CA02FC">
        <w:rPr>
          <w:rFonts w:cs="Arial"/>
          <w:sz w:val="22"/>
          <w:szCs w:val="22"/>
        </w:rPr>
        <w:t xml:space="preserve"> - </w:t>
      </w:r>
      <w:r w:rsidR="00E117C7" w:rsidRPr="00E117C7">
        <w:rPr>
          <w:rFonts w:cs="Arial"/>
          <w:sz w:val="22"/>
          <w:szCs w:val="22"/>
        </w:rPr>
        <w:t>Global environmental benefits to be delivered through approved GEF7 projects and programmes</w:t>
      </w:r>
      <w:r w:rsidR="00E117C7">
        <w:rPr>
          <w:rFonts w:cs="Arial"/>
          <w:sz w:val="22"/>
          <w:szCs w:val="22"/>
        </w:rPr>
        <w:t xml:space="preserve"> - </w:t>
      </w:r>
      <w:r w:rsidR="00865D87">
        <w:rPr>
          <w:rFonts w:cs="Arial"/>
          <w:sz w:val="22"/>
          <w:szCs w:val="22"/>
        </w:rPr>
        <w:t>A</w:t>
      </w:r>
    </w:p>
    <w:p w14:paraId="352C9B7D" w14:textId="77777777" w:rsidR="00B96F0C" w:rsidRDefault="003E3966" w:rsidP="000549A5">
      <w:pPr>
        <w:suppressAutoHyphens/>
        <w:autoSpaceDN w:val="0"/>
        <w:spacing w:after="120"/>
        <w:ind w:left="357"/>
        <w:jc w:val="both"/>
        <w:textAlignment w:val="baseline"/>
        <w:rPr>
          <w:b/>
          <w:sz w:val="22"/>
          <w:szCs w:val="22"/>
        </w:rPr>
      </w:pPr>
      <w:r w:rsidRPr="00CA02FC">
        <w:rPr>
          <w:rFonts w:cs="Arial"/>
          <w:color w:val="0D0D0D"/>
          <w:sz w:val="22"/>
          <w:szCs w:val="22"/>
          <w:u w:val="single"/>
        </w:rPr>
        <w:t>Output 2</w:t>
      </w:r>
      <w:r w:rsidRPr="00CA02FC">
        <w:rPr>
          <w:rFonts w:cs="Arial"/>
          <w:color w:val="0D0D0D"/>
          <w:sz w:val="22"/>
          <w:szCs w:val="22"/>
        </w:rPr>
        <w:t xml:space="preserve"> - </w:t>
      </w:r>
      <w:r w:rsidR="00E117C7" w:rsidRPr="00E117C7">
        <w:rPr>
          <w:rFonts w:cs="Arial"/>
          <w:color w:val="0D0D0D"/>
          <w:sz w:val="22"/>
          <w:szCs w:val="22"/>
        </w:rPr>
        <w:t>GEF7 policy recommendations delivered successfully</w:t>
      </w:r>
      <w:r w:rsidR="00E117C7">
        <w:rPr>
          <w:rFonts w:cs="Arial"/>
          <w:color w:val="0D0D0D"/>
          <w:sz w:val="22"/>
          <w:szCs w:val="22"/>
        </w:rPr>
        <w:t xml:space="preserve"> - </w:t>
      </w:r>
      <w:r w:rsidR="00865D87">
        <w:rPr>
          <w:rFonts w:cs="Arial"/>
          <w:color w:val="0D0D0D"/>
          <w:sz w:val="22"/>
          <w:szCs w:val="22"/>
        </w:rPr>
        <w:t>A</w:t>
      </w:r>
    </w:p>
    <w:p w14:paraId="0B55D56B" w14:textId="77777777" w:rsidR="00B96F0C" w:rsidRDefault="00B96F0C" w:rsidP="000549A5">
      <w:pPr>
        <w:jc w:val="both"/>
        <w:rPr>
          <w:b/>
          <w:sz w:val="22"/>
          <w:szCs w:val="22"/>
        </w:rPr>
      </w:pPr>
    </w:p>
    <w:p w14:paraId="76E91686" w14:textId="77777777" w:rsidR="00B96F0C" w:rsidRDefault="00B96F0C" w:rsidP="00E70B2C">
      <w:pPr>
        <w:rPr>
          <w:b/>
          <w:sz w:val="22"/>
          <w:szCs w:val="22"/>
        </w:rPr>
      </w:pPr>
    </w:p>
    <w:p w14:paraId="67121CC5" w14:textId="77777777" w:rsidR="00E70B2C" w:rsidRPr="003F2B98" w:rsidRDefault="00651010" w:rsidP="003F2B98">
      <w:pPr>
        <w:tabs>
          <w:tab w:val="left" w:pos="6915"/>
          <w:tab w:val="left" w:pos="9495"/>
        </w:tabs>
        <w:rPr>
          <w:b/>
          <w:sz w:val="22"/>
          <w:szCs w:val="22"/>
        </w:rPr>
      </w:pPr>
      <w:r>
        <w:rPr>
          <w:b/>
          <w:sz w:val="22"/>
          <w:szCs w:val="22"/>
        </w:rPr>
        <w:t>R</w:t>
      </w:r>
      <w:r w:rsidR="00E70B2C" w:rsidRPr="00F70DBE">
        <w:rPr>
          <w:b/>
          <w:sz w:val="22"/>
          <w:szCs w:val="22"/>
        </w:rPr>
        <w:t xml:space="preserve">ecommendations for the </w:t>
      </w:r>
      <w:r w:rsidR="00E70B2C">
        <w:rPr>
          <w:b/>
          <w:sz w:val="22"/>
          <w:szCs w:val="22"/>
        </w:rPr>
        <w:t>year ahead</w:t>
      </w:r>
    </w:p>
    <w:p w14:paraId="3CE6A8C7" w14:textId="77777777" w:rsidR="00E70B2C" w:rsidRPr="00F70DBE" w:rsidRDefault="00E70B2C" w:rsidP="00E70B2C">
      <w:pPr>
        <w:tabs>
          <w:tab w:val="left" w:pos="6915"/>
          <w:tab w:val="left" w:pos="9495"/>
        </w:tabs>
        <w:jc w:val="both"/>
        <w:rPr>
          <w:sz w:val="22"/>
          <w:szCs w:val="22"/>
        </w:rPr>
      </w:pPr>
    </w:p>
    <w:p w14:paraId="77E5B3C1" w14:textId="77777777" w:rsidR="000A3A6C" w:rsidRDefault="000A3A6C" w:rsidP="00AC34A9">
      <w:pPr>
        <w:pStyle w:val="ListParagraph"/>
        <w:numPr>
          <w:ilvl w:val="0"/>
          <w:numId w:val="4"/>
        </w:numPr>
        <w:spacing w:after="160" w:line="252" w:lineRule="auto"/>
        <w:jc w:val="both"/>
        <w:rPr>
          <w:sz w:val="22"/>
          <w:szCs w:val="22"/>
        </w:rPr>
      </w:pPr>
      <w:r>
        <w:rPr>
          <w:sz w:val="22"/>
          <w:szCs w:val="22"/>
        </w:rPr>
        <w:t>The UK will continue to engage strongly through the GEF Council in steering policy reforms</w:t>
      </w:r>
      <w:r w:rsidR="001E5BFD">
        <w:rPr>
          <w:sz w:val="22"/>
          <w:szCs w:val="22"/>
        </w:rPr>
        <w:t xml:space="preserve">, through the UK’s </w:t>
      </w:r>
      <w:r w:rsidR="007D31BF">
        <w:rPr>
          <w:sz w:val="22"/>
          <w:szCs w:val="22"/>
        </w:rPr>
        <w:t>results-based</w:t>
      </w:r>
      <w:r w:rsidR="001E5BFD">
        <w:rPr>
          <w:sz w:val="22"/>
          <w:szCs w:val="22"/>
        </w:rPr>
        <w:t xml:space="preserve"> funding tranche,</w:t>
      </w:r>
      <w:r>
        <w:rPr>
          <w:sz w:val="22"/>
          <w:szCs w:val="22"/>
        </w:rPr>
        <w:t xml:space="preserve"> and approv</w:t>
      </w:r>
      <w:r w:rsidR="001E5BFD">
        <w:rPr>
          <w:sz w:val="22"/>
          <w:szCs w:val="22"/>
        </w:rPr>
        <w:t>e</w:t>
      </w:r>
      <w:r>
        <w:rPr>
          <w:sz w:val="22"/>
          <w:szCs w:val="22"/>
        </w:rPr>
        <w:t xml:space="preserve"> work programmes that fit with UK priorities.</w:t>
      </w:r>
    </w:p>
    <w:p w14:paraId="422DEEAC" w14:textId="77777777" w:rsidR="009C52EC" w:rsidRDefault="00E04C04" w:rsidP="009C52EC">
      <w:pPr>
        <w:pStyle w:val="ListParagraph"/>
        <w:numPr>
          <w:ilvl w:val="0"/>
          <w:numId w:val="4"/>
        </w:numPr>
        <w:spacing w:after="160" w:line="252" w:lineRule="auto"/>
        <w:jc w:val="both"/>
        <w:rPr>
          <w:sz w:val="22"/>
          <w:szCs w:val="22"/>
        </w:rPr>
      </w:pPr>
      <w:r>
        <w:rPr>
          <w:sz w:val="22"/>
          <w:szCs w:val="22"/>
        </w:rPr>
        <w:t>The UK will engage in the process to recruit a new Chief Executive for the GEF to replace Naoko Ishii, whose term ends in July 2020.</w:t>
      </w:r>
    </w:p>
    <w:p w14:paraId="772A0430" w14:textId="77777777" w:rsidR="000204D1" w:rsidRPr="007D31BF" w:rsidRDefault="005373E1">
      <w:pPr>
        <w:pStyle w:val="ListParagraph"/>
        <w:numPr>
          <w:ilvl w:val="0"/>
          <w:numId w:val="4"/>
        </w:numPr>
        <w:spacing w:after="160" w:line="252" w:lineRule="auto"/>
        <w:jc w:val="both"/>
        <w:rPr>
          <w:sz w:val="22"/>
          <w:szCs w:val="22"/>
        </w:rPr>
      </w:pPr>
      <w:r w:rsidRPr="009C52EC">
        <w:rPr>
          <w:sz w:val="22"/>
          <w:szCs w:val="22"/>
        </w:rPr>
        <w:t>In line with the reform priority on results reporting, t</w:t>
      </w:r>
      <w:r w:rsidR="00E3246E" w:rsidRPr="009C52EC">
        <w:rPr>
          <w:sz w:val="22"/>
          <w:szCs w:val="22"/>
        </w:rPr>
        <w:t>he UK will continue to m</w:t>
      </w:r>
      <w:r w:rsidR="001422C8" w:rsidRPr="009C52EC">
        <w:rPr>
          <w:sz w:val="22"/>
          <w:szCs w:val="22"/>
        </w:rPr>
        <w:t xml:space="preserve">onitor progress </w:t>
      </w:r>
      <w:r w:rsidRPr="009C52EC">
        <w:rPr>
          <w:sz w:val="22"/>
          <w:szCs w:val="22"/>
        </w:rPr>
        <w:t xml:space="preserve">towards </w:t>
      </w:r>
      <w:r w:rsidR="001422C8" w:rsidRPr="009C52EC">
        <w:rPr>
          <w:sz w:val="22"/>
          <w:szCs w:val="22"/>
        </w:rPr>
        <w:t xml:space="preserve">the </w:t>
      </w:r>
      <w:r w:rsidR="00E41453" w:rsidRPr="009C52EC">
        <w:rPr>
          <w:sz w:val="22"/>
          <w:szCs w:val="22"/>
        </w:rPr>
        <w:t>collection and reporting of achieved results. Reporting actual results for GEF is essential for providing evidence that GEF is realising the results it expects.</w:t>
      </w:r>
      <w:r w:rsidR="002C3D7A" w:rsidRPr="009C52EC">
        <w:rPr>
          <w:sz w:val="22"/>
          <w:szCs w:val="22"/>
        </w:rPr>
        <w:t xml:space="preserve"> </w:t>
      </w:r>
    </w:p>
    <w:p w14:paraId="21EF9F20" w14:textId="77777777" w:rsidR="009B68C1" w:rsidRPr="009C52EC" w:rsidRDefault="00E04C04" w:rsidP="009C52EC">
      <w:pPr>
        <w:pStyle w:val="ListParagraph"/>
        <w:numPr>
          <w:ilvl w:val="0"/>
          <w:numId w:val="4"/>
        </w:numPr>
        <w:autoSpaceDE w:val="0"/>
        <w:autoSpaceDN w:val="0"/>
        <w:jc w:val="both"/>
        <w:rPr>
          <w:bCs/>
          <w:iCs/>
          <w:sz w:val="22"/>
          <w:szCs w:val="22"/>
        </w:rPr>
      </w:pPr>
      <w:r>
        <w:rPr>
          <w:bCs/>
          <w:iCs/>
          <w:sz w:val="22"/>
          <w:szCs w:val="22"/>
        </w:rPr>
        <w:t>The UK</w:t>
      </w:r>
      <w:r w:rsidR="00B04650">
        <w:rPr>
          <w:bCs/>
          <w:iCs/>
          <w:sz w:val="22"/>
          <w:szCs w:val="22"/>
        </w:rPr>
        <w:t xml:space="preserve"> will pursue with</w:t>
      </w:r>
      <w:r w:rsidR="008A2AE3">
        <w:rPr>
          <w:bCs/>
          <w:iCs/>
          <w:sz w:val="22"/>
          <w:szCs w:val="22"/>
        </w:rPr>
        <w:t xml:space="preserve"> the</w:t>
      </w:r>
      <w:r w:rsidR="00B04650">
        <w:rPr>
          <w:bCs/>
          <w:iCs/>
          <w:sz w:val="22"/>
          <w:szCs w:val="22"/>
        </w:rPr>
        <w:t xml:space="preserve"> GEF Secretariat </w:t>
      </w:r>
      <w:r w:rsidR="008A2AE3">
        <w:rPr>
          <w:bCs/>
          <w:iCs/>
          <w:sz w:val="22"/>
          <w:szCs w:val="22"/>
        </w:rPr>
        <w:t xml:space="preserve">in </w:t>
      </w:r>
      <w:r w:rsidR="001E2595">
        <w:rPr>
          <w:bCs/>
          <w:iCs/>
          <w:sz w:val="22"/>
          <w:szCs w:val="22"/>
        </w:rPr>
        <w:t>establishing a</w:t>
      </w:r>
      <w:r w:rsidR="009B68C1" w:rsidRPr="00171F5C">
        <w:rPr>
          <w:bCs/>
          <w:iCs/>
          <w:sz w:val="22"/>
          <w:szCs w:val="22"/>
        </w:rPr>
        <w:t xml:space="preserve"> more explicit effort for a more integrated gender perspective throughout the project cycle, including a gender analysis and action plan covering the entire implementation period.</w:t>
      </w:r>
    </w:p>
    <w:p w14:paraId="00B84181" w14:textId="77777777" w:rsidR="00BB617D" w:rsidRDefault="00BB617D">
      <w:pPr>
        <w:rPr>
          <w:sz w:val="22"/>
          <w:szCs w:val="22"/>
        </w:rPr>
      </w:pPr>
      <w:r>
        <w:rPr>
          <w:sz w:val="22"/>
          <w:szCs w:val="22"/>
        </w:rPr>
        <w:br w:type="page"/>
      </w:r>
    </w:p>
    <w:p w14:paraId="37B5B227" w14:textId="77777777" w:rsidR="00B0728D" w:rsidRDefault="00B0728D" w:rsidP="00B0728D">
      <w:pPr>
        <w:pStyle w:val="Heading2"/>
        <w:pBdr>
          <w:top w:val="single" w:sz="4" w:space="1" w:color="auto"/>
          <w:left w:val="single" w:sz="4" w:space="4" w:color="auto"/>
          <w:bottom w:val="single" w:sz="4" w:space="1" w:color="auto"/>
          <w:right w:val="single" w:sz="4" w:space="4" w:color="auto"/>
        </w:pBdr>
        <w:shd w:val="clear" w:color="auto" w:fill="DBE5F1" w:themeFill="accent1" w:themeFillTint="33"/>
        <w:spacing w:before="0"/>
        <w:rPr>
          <w:b w:val="0"/>
          <w:i w:val="0"/>
          <w:sz w:val="20"/>
          <w:szCs w:val="20"/>
        </w:rPr>
      </w:pPr>
      <w:bookmarkStart w:id="0" w:name="_Hlk9489002"/>
      <w:r>
        <w:rPr>
          <w:i w:val="0"/>
        </w:rPr>
        <w:lastRenderedPageBreak/>
        <w:t>B: DETAILED OUTPUT SCORING</w:t>
      </w:r>
      <w:r>
        <w:rPr>
          <w:b w:val="0"/>
          <w:i w:val="0"/>
          <w:sz w:val="20"/>
          <w:szCs w:val="20"/>
        </w:rPr>
        <w:t xml:space="preserve"> </w:t>
      </w:r>
    </w:p>
    <w:p w14:paraId="5080562A" w14:textId="77777777" w:rsidR="00B0728D" w:rsidRDefault="00B0728D" w:rsidP="00B0728D">
      <w:pPr>
        <w:rPr>
          <w:sz w:val="22"/>
          <w:szCs w:val="22"/>
        </w:rPr>
      </w:pPr>
    </w:p>
    <w:p w14:paraId="66765FF3" w14:textId="77777777" w:rsidR="005A6C52" w:rsidRDefault="005A6C52" w:rsidP="00B0728D">
      <w:pPr>
        <w:rPr>
          <w:sz w:val="22"/>
          <w:szCs w:val="22"/>
        </w:rPr>
      </w:pPr>
    </w:p>
    <w:tbl>
      <w:tblPr>
        <w:tblStyle w:val="TableGrid"/>
        <w:tblW w:w="0" w:type="auto"/>
        <w:tblInd w:w="108" w:type="dxa"/>
        <w:tblLook w:val="04A0" w:firstRow="1" w:lastRow="0" w:firstColumn="1" w:lastColumn="0" w:noHBand="0" w:noVBand="1"/>
      </w:tblPr>
      <w:tblGrid>
        <w:gridCol w:w="1562"/>
        <w:gridCol w:w="1170"/>
        <w:gridCol w:w="3043"/>
        <w:gridCol w:w="2594"/>
        <w:gridCol w:w="1717"/>
      </w:tblGrid>
      <w:tr w:rsidR="00B0728D" w14:paraId="22FE8A93" w14:textId="77777777" w:rsidTr="00B0728D">
        <w:trPr>
          <w:trHeight w:val="405"/>
        </w:trPr>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4BCD2F" w14:textId="77777777" w:rsidR="00B0728D" w:rsidRDefault="00B0728D">
            <w:pPr>
              <w:rPr>
                <w:b/>
                <w:bCs/>
                <w:sz w:val="22"/>
                <w:szCs w:val="22"/>
              </w:rPr>
            </w:pPr>
            <w:r>
              <w:rPr>
                <w:b/>
                <w:bCs/>
                <w:sz w:val="22"/>
                <w:szCs w:val="22"/>
              </w:rPr>
              <w:t xml:space="preserve">Output Title </w:t>
            </w:r>
          </w:p>
        </w:tc>
        <w:tc>
          <w:tcPr>
            <w:tcW w:w="8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B7119" w14:textId="77777777" w:rsidR="00B0728D" w:rsidRDefault="00B0728D">
            <w:pPr>
              <w:rPr>
                <w:bCs/>
                <w:color w:val="FF0000"/>
                <w:sz w:val="22"/>
                <w:szCs w:val="22"/>
              </w:rPr>
            </w:pPr>
            <w:bookmarkStart w:id="1" w:name="_Hlk10803112"/>
            <w:r>
              <w:rPr>
                <w:bCs/>
                <w:sz w:val="22"/>
                <w:szCs w:val="22"/>
              </w:rPr>
              <w:t xml:space="preserve">Global environmental benefits to be delivered through approved GEF7 projects and programmes </w:t>
            </w:r>
            <w:bookmarkEnd w:id="1"/>
          </w:p>
        </w:tc>
      </w:tr>
      <w:tr w:rsidR="00B0728D" w14:paraId="3D925B82" w14:textId="77777777" w:rsidTr="00B0728D">
        <w:trPr>
          <w:trHeight w:val="405"/>
        </w:trPr>
        <w:tc>
          <w:tcPr>
            <w:tcW w:w="278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16EF9D" w14:textId="77777777" w:rsidR="00B0728D" w:rsidRDefault="00B0728D">
            <w:pPr>
              <w:rPr>
                <w:bCs/>
                <w:sz w:val="22"/>
                <w:szCs w:val="22"/>
              </w:rPr>
            </w:pPr>
            <w:r>
              <w:rPr>
                <w:bCs/>
                <w:sz w:val="22"/>
                <w:szCs w:val="22"/>
              </w:rPr>
              <w:t>Output number per LF</w:t>
            </w:r>
          </w:p>
        </w:tc>
        <w:tc>
          <w:tcPr>
            <w:tcW w:w="3127" w:type="dxa"/>
            <w:tcBorders>
              <w:top w:val="single" w:sz="4" w:space="0" w:color="auto"/>
              <w:left w:val="single" w:sz="4" w:space="0" w:color="auto"/>
              <w:bottom w:val="single" w:sz="4" w:space="0" w:color="auto"/>
              <w:right w:val="single" w:sz="4" w:space="0" w:color="auto"/>
            </w:tcBorders>
            <w:hideMark/>
          </w:tcPr>
          <w:p w14:paraId="7CF31513" w14:textId="77777777" w:rsidR="00B0728D" w:rsidRDefault="00B0728D">
            <w:pPr>
              <w:rPr>
                <w:sz w:val="22"/>
                <w:szCs w:val="22"/>
              </w:rPr>
            </w:pPr>
            <w:r>
              <w:rPr>
                <w:sz w:val="22"/>
                <w:szCs w:val="22"/>
              </w:rPr>
              <w:t>1</w:t>
            </w:r>
          </w:p>
        </w:tc>
        <w:tc>
          <w:tcPr>
            <w:tcW w:w="26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7C7F34" w14:textId="77777777" w:rsidR="00B0728D" w:rsidRDefault="00B0728D">
            <w:pPr>
              <w:rPr>
                <w:b/>
                <w:sz w:val="22"/>
                <w:szCs w:val="22"/>
              </w:rPr>
            </w:pPr>
            <w:r>
              <w:rPr>
                <w:b/>
                <w:bCs/>
                <w:sz w:val="22"/>
                <w:szCs w:val="22"/>
              </w:rPr>
              <w:t xml:space="preserve">Output Score </w:t>
            </w:r>
          </w:p>
        </w:tc>
        <w:tc>
          <w:tcPr>
            <w:tcW w:w="1761" w:type="dxa"/>
            <w:tcBorders>
              <w:top w:val="single" w:sz="4" w:space="0" w:color="auto"/>
              <w:left w:val="single" w:sz="4" w:space="0" w:color="auto"/>
              <w:bottom w:val="single" w:sz="4" w:space="0" w:color="auto"/>
              <w:right w:val="single" w:sz="4" w:space="0" w:color="auto"/>
            </w:tcBorders>
          </w:tcPr>
          <w:p w14:paraId="0728A6C4" w14:textId="77777777" w:rsidR="00B0728D" w:rsidRDefault="00B57F63">
            <w:pPr>
              <w:rPr>
                <w:b/>
                <w:bCs/>
                <w:i/>
                <w:color w:val="FF0000"/>
                <w:sz w:val="22"/>
                <w:szCs w:val="22"/>
              </w:rPr>
            </w:pPr>
            <w:r>
              <w:rPr>
                <w:b/>
                <w:bCs/>
                <w:i/>
                <w:color w:val="FF0000"/>
                <w:sz w:val="22"/>
                <w:szCs w:val="22"/>
              </w:rPr>
              <w:t>A</w:t>
            </w:r>
          </w:p>
        </w:tc>
      </w:tr>
      <w:tr w:rsidR="00B0728D" w14:paraId="3D93358C" w14:textId="77777777" w:rsidTr="00B0728D">
        <w:trPr>
          <w:trHeight w:val="405"/>
        </w:trPr>
        <w:tc>
          <w:tcPr>
            <w:tcW w:w="278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CD6DCF" w14:textId="77777777" w:rsidR="00B0728D" w:rsidRDefault="00B0728D">
            <w:pPr>
              <w:rPr>
                <w:sz w:val="22"/>
                <w:szCs w:val="22"/>
              </w:rPr>
            </w:pPr>
            <w:r>
              <w:rPr>
                <w:bCs/>
                <w:sz w:val="22"/>
                <w:szCs w:val="22"/>
              </w:rPr>
              <w:t xml:space="preserve">Impact weighting (%):  </w:t>
            </w:r>
          </w:p>
        </w:tc>
        <w:tc>
          <w:tcPr>
            <w:tcW w:w="3127" w:type="dxa"/>
            <w:tcBorders>
              <w:top w:val="single" w:sz="4" w:space="0" w:color="auto"/>
              <w:left w:val="single" w:sz="4" w:space="0" w:color="auto"/>
              <w:bottom w:val="single" w:sz="4" w:space="0" w:color="auto"/>
              <w:right w:val="single" w:sz="4" w:space="0" w:color="auto"/>
            </w:tcBorders>
            <w:hideMark/>
          </w:tcPr>
          <w:p w14:paraId="0DFA610A" w14:textId="77777777" w:rsidR="00B0728D" w:rsidRDefault="00B0728D">
            <w:pPr>
              <w:rPr>
                <w:bCs/>
                <w:sz w:val="22"/>
                <w:szCs w:val="22"/>
              </w:rPr>
            </w:pPr>
            <w:r>
              <w:rPr>
                <w:bCs/>
                <w:sz w:val="22"/>
                <w:szCs w:val="22"/>
              </w:rPr>
              <w:t>70</w:t>
            </w:r>
          </w:p>
        </w:tc>
        <w:tc>
          <w:tcPr>
            <w:tcW w:w="26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697102" w14:textId="77777777" w:rsidR="00B0728D" w:rsidRDefault="00B0728D">
            <w:pPr>
              <w:rPr>
                <w:bCs/>
                <w:sz w:val="22"/>
                <w:szCs w:val="22"/>
              </w:rPr>
            </w:pPr>
            <w:r>
              <w:rPr>
                <w:bCs/>
                <w:sz w:val="22"/>
                <w:szCs w:val="22"/>
              </w:rPr>
              <w:t xml:space="preserve">Impact weighting % revised since last AR? </w:t>
            </w:r>
          </w:p>
        </w:tc>
        <w:tc>
          <w:tcPr>
            <w:tcW w:w="1761" w:type="dxa"/>
            <w:tcBorders>
              <w:top w:val="single" w:sz="4" w:space="0" w:color="auto"/>
              <w:left w:val="single" w:sz="4" w:space="0" w:color="auto"/>
              <w:bottom w:val="single" w:sz="4" w:space="0" w:color="auto"/>
              <w:right w:val="single" w:sz="4" w:space="0" w:color="auto"/>
            </w:tcBorders>
            <w:hideMark/>
          </w:tcPr>
          <w:p w14:paraId="3D21324B" w14:textId="77777777" w:rsidR="00B0728D" w:rsidRDefault="00B0728D">
            <w:pPr>
              <w:rPr>
                <w:bCs/>
                <w:sz w:val="22"/>
                <w:szCs w:val="22"/>
              </w:rPr>
            </w:pPr>
            <w:r>
              <w:rPr>
                <w:bCs/>
                <w:sz w:val="22"/>
                <w:szCs w:val="22"/>
              </w:rPr>
              <w:t>N</w:t>
            </w:r>
          </w:p>
        </w:tc>
      </w:tr>
      <w:bookmarkEnd w:id="0"/>
    </w:tbl>
    <w:p w14:paraId="537A0E94" w14:textId="77777777" w:rsidR="009322F8" w:rsidRDefault="009322F8" w:rsidP="00B0728D">
      <w:pPr>
        <w:rPr>
          <w:b/>
        </w:rPr>
      </w:pPr>
    </w:p>
    <w:p w14:paraId="0C8E31FD" w14:textId="77777777" w:rsidR="009322F8" w:rsidRDefault="009322F8" w:rsidP="00B0728D">
      <w:pPr>
        <w:rPr>
          <w:b/>
        </w:rPr>
      </w:pPr>
    </w:p>
    <w:tbl>
      <w:tblPr>
        <w:tblStyle w:val="TableGrid"/>
        <w:tblpPr w:leftFromText="180" w:rightFromText="180" w:vertAnchor="text" w:horzAnchor="page" w:tblpX="909" w:tblpY="-10"/>
        <w:tblOverlap w:val="never"/>
        <w:tblW w:w="10382" w:type="dxa"/>
        <w:tblLook w:val="04A0" w:firstRow="1" w:lastRow="0" w:firstColumn="1" w:lastColumn="0" w:noHBand="0" w:noVBand="1"/>
      </w:tblPr>
      <w:tblGrid>
        <w:gridCol w:w="5240"/>
        <w:gridCol w:w="2693"/>
        <w:gridCol w:w="2449"/>
      </w:tblGrid>
      <w:tr w:rsidR="00B0728D" w14:paraId="2208AB9C" w14:textId="77777777" w:rsidTr="00AE4406">
        <w:trPr>
          <w:trHeight w:val="273"/>
        </w:trPr>
        <w:tc>
          <w:tcPr>
            <w:tcW w:w="52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2071CE" w14:textId="77777777" w:rsidR="00B0728D" w:rsidRDefault="00B0728D">
            <w:pPr>
              <w:rPr>
                <w:b/>
                <w:bCs/>
                <w:sz w:val="22"/>
                <w:szCs w:val="22"/>
              </w:rPr>
            </w:pPr>
            <w:bookmarkStart w:id="2" w:name="_Hlk10527173"/>
            <w:bookmarkStart w:id="3" w:name="_Hlk10526842"/>
            <w:bookmarkStart w:id="4" w:name="_Hlk10527137"/>
            <w:bookmarkStart w:id="5" w:name="_Hlk9488918"/>
            <w:r>
              <w:rPr>
                <w:b/>
                <w:bCs/>
                <w:sz w:val="22"/>
                <w:szCs w:val="22"/>
              </w:rPr>
              <w:t>Indicator(s)</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BABCD5" w14:textId="77777777" w:rsidR="00B0728D" w:rsidRDefault="00B0728D">
            <w:pPr>
              <w:rPr>
                <w:b/>
                <w:bCs/>
                <w:sz w:val="22"/>
                <w:szCs w:val="22"/>
              </w:rPr>
            </w:pPr>
            <w:r>
              <w:rPr>
                <w:b/>
                <w:bCs/>
                <w:sz w:val="22"/>
                <w:szCs w:val="22"/>
              </w:rPr>
              <w:t>Milestones to June 2019</w:t>
            </w:r>
          </w:p>
        </w:tc>
        <w:tc>
          <w:tcPr>
            <w:tcW w:w="24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EB1EC8" w14:textId="77777777" w:rsidR="00B0728D" w:rsidRDefault="00AA2386">
            <w:pPr>
              <w:rPr>
                <w:b/>
                <w:bCs/>
                <w:sz w:val="22"/>
                <w:szCs w:val="22"/>
              </w:rPr>
            </w:pPr>
            <w:r>
              <w:rPr>
                <w:b/>
                <w:bCs/>
                <w:sz w:val="22"/>
                <w:szCs w:val="22"/>
              </w:rPr>
              <w:t xml:space="preserve">Expected </w:t>
            </w:r>
            <w:r w:rsidR="009A4C02">
              <w:rPr>
                <w:b/>
                <w:bCs/>
                <w:sz w:val="22"/>
                <w:szCs w:val="22"/>
              </w:rPr>
              <w:t>r</w:t>
            </w:r>
            <w:r>
              <w:rPr>
                <w:b/>
                <w:bCs/>
                <w:sz w:val="22"/>
                <w:szCs w:val="22"/>
              </w:rPr>
              <w:t xml:space="preserve">esults of </w:t>
            </w:r>
            <w:r w:rsidR="009A4C02">
              <w:rPr>
                <w:b/>
                <w:bCs/>
                <w:sz w:val="22"/>
                <w:szCs w:val="22"/>
              </w:rPr>
              <w:t>p</w:t>
            </w:r>
            <w:r>
              <w:rPr>
                <w:b/>
                <w:bCs/>
                <w:sz w:val="22"/>
                <w:szCs w:val="22"/>
              </w:rPr>
              <w:t>rojects</w:t>
            </w:r>
            <w:r w:rsidR="009A4C02">
              <w:rPr>
                <w:b/>
                <w:bCs/>
                <w:sz w:val="22"/>
                <w:szCs w:val="22"/>
              </w:rPr>
              <w:t xml:space="preserve"> and p</w:t>
            </w:r>
            <w:r>
              <w:rPr>
                <w:b/>
                <w:bCs/>
                <w:sz w:val="22"/>
                <w:szCs w:val="22"/>
              </w:rPr>
              <w:t>rogram</w:t>
            </w:r>
            <w:r w:rsidR="001E5BFD">
              <w:rPr>
                <w:b/>
                <w:bCs/>
                <w:sz w:val="22"/>
                <w:szCs w:val="22"/>
              </w:rPr>
              <w:t>me</w:t>
            </w:r>
            <w:r>
              <w:rPr>
                <w:b/>
                <w:bCs/>
                <w:sz w:val="22"/>
                <w:szCs w:val="22"/>
              </w:rPr>
              <w:t>s approved at</w:t>
            </w:r>
            <w:r w:rsidR="00B0728D">
              <w:rPr>
                <w:b/>
                <w:bCs/>
                <w:sz w:val="22"/>
                <w:szCs w:val="22"/>
              </w:rPr>
              <w:t xml:space="preserve"> June</w:t>
            </w:r>
            <w:r w:rsidR="00AE4406">
              <w:rPr>
                <w:b/>
                <w:bCs/>
                <w:sz w:val="22"/>
                <w:szCs w:val="22"/>
              </w:rPr>
              <w:t xml:space="preserve"> 2019</w:t>
            </w:r>
          </w:p>
        </w:tc>
      </w:tr>
      <w:tr w:rsidR="00B0728D" w14:paraId="2EFD53EA"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41AC480E" w14:textId="77777777" w:rsidR="00B0728D" w:rsidRDefault="00B0728D">
            <w:pPr>
              <w:rPr>
                <w:bCs/>
                <w:sz w:val="22"/>
                <w:szCs w:val="22"/>
              </w:rPr>
            </w:pPr>
            <w:r>
              <w:rPr>
                <w:bCs/>
                <w:sz w:val="22"/>
                <w:szCs w:val="22"/>
              </w:rPr>
              <w:t>1,1 Terrestrial protected areas created or under improved management for conservation and sustainable use (million hectares)</w:t>
            </w:r>
          </w:p>
        </w:tc>
        <w:tc>
          <w:tcPr>
            <w:tcW w:w="2693" w:type="dxa"/>
            <w:tcBorders>
              <w:top w:val="single" w:sz="4" w:space="0" w:color="auto"/>
              <w:left w:val="single" w:sz="4" w:space="0" w:color="auto"/>
              <w:bottom w:val="single" w:sz="4" w:space="0" w:color="auto"/>
              <w:right w:val="single" w:sz="4" w:space="0" w:color="auto"/>
            </w:tcBorders>
            <w:hideMark/>
          </w:tcPr>
          <w:p w14:paraId="09550666" w14:textId="77777777" w:rsidR="00B0728D" w:rsidRDefault="00B0728D">
            <w:pPr>
              <w:rPr>
                <w:bCs/>
                <w:sz w:val="22"/>
                <w:szCs w:val="22"/>
              </w:rPr>
            </w:pPr>
            <w:r>
              <w:rPr>
                <w:bCs/>
                <w:sz w:val="22"/>
                <w:szCs w:val="22"/>
              </w:rPr>
              <w:t>50</w:t>
            </w:r>
          </w:p>
        </w:tc>
        <w:tc>
          <w:tcPr>
            <w:tcW w:w="2449" w:type="dxa"/>
            <w:tcBorders>
              <w:top w:val="single" w:sz="4" w:space="0" w:color="auto"/>
              <w:left w:val="single" w:sz="4" w:space="0" w:color="auto"/>
              <w:bottom w:val="single" w:sz="4" w:space="0" w:color="auto"/>
              <w:right w:val="single" w:sz="4" w:space="0" w:color="auto"/>
            </w:tcBorders>
            <w:hideMark/>
          </w:tcPr>
          <w:p w14:paraId="1DE32B35" w14:textId="77777777" w:rsidR="00B0728D" w:rsidRDefault="00B0728D">
            <w:pPr>
              <w:rPr>
                <w:bCs/>
                <w:sz w:val="22"/>
                <w:szCs w:val="22"/>
              </w:rPr>
            </w:pPr>
            <w:r>
              <w:rPr>
                <w:bCs/>
                <w:sz w:val="22"/>
                <w:szCs w:val="22"/>
              </w:rPr>
              <w:t>70</w:t>
            </w:r>
          </w:p>
        </w:tc>
      </w:tr>
      <w:tr w:rsidR="00B0728D" w14:paraId="57EE8F11"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478912AC" w14:textId="77777777" w:rsidR="00B0728D" w:rsidRDefault="00B0728D">
            <w:pPr>
              <w:rPr>
                <w:bCs/>
                <w:sz w:val="22"/>
                <w:szCs w:val="22"/>
              </w:rPr>
            </w:pPr>
            <w:r>
              <w:rPr>
                <w:bCs/>
                <w:sz w:val="22"/>
                <w:szCs w:val="22"/>
              </w:rPr>
              <w:t>1.2 Marine protected areas created or under improved management for conservation and sustainable use (mha)</w:t>
            </w:r>
          </w:p>
        </w:tc>
        <w:tc>
          <w:tcPr>
            <w:tcW w:w="2693" w:type="dxa"/>
            <w:tcBorders>
              <w:top w:val="single" w:sz="4" w:space="0" w:color="auto"/>
              <w:left w:val="single" w:sz="4" w:space="0" w:color="auto"/>
              <w:bottom w:val="single" w:sz="4" w:space="0" w:color="auto"/>
              <w:right w:val="single" w:sz="4" w:space="0" w:color="auto"/>
            </w:tcBorders>
            <w:hideMark/>
          </w:tcPr>
          <w:p w14:paraId="709E2214" w14:textId="77777777" w:rsidR="00B0728D" w:rsidRDefault="00B0728D">
            <w:pPr>
              <w:rPr>
                <w:bCs/>
                <w:sz w:val="22"/>
                <w:szCs w:val="22"/>
              </w:rPr>
            </w:pPr>
            <w:r>
              <w:rPr>
                <w:bCs/>
                <w:sz w:val="22"/>
                <w:szCs w:val="22"/>
              </w:rPr>
              <w:t>2</w:t>
            </w:r>
          </w:p>
        </w:tc>
        <w:tc>
          <w:tcPr>
            <w:tcW w:w="2449" w:type="dxa"/>
            <w:tcBorders>
              <w:top w:val="single" w:sz="4" w:space="0" w:color="auto"/>
              <w:left w:val="single" w:sz="4" w:space="0" w:color="auto"/>
              <w:bottom w:val="single" w:sz="4" w:space="0" w:color="auto"/>
              <w:right w:val="single" w:sz="4" w:space="0" w:color="auto"/>
            </w:tcBorders>
            <w:hideMark/>
          </w:tcPr>
          <w:p w14:paraId="7D8E520C" w14:textId="77777777" w:rsidR="00B0728D" w:rsidRDefault="00B0728D">
            <w:pPr>
              <w:rPr>
                <w:bCs/>
                <w:sz w:val="22"/>
                <w:szCs w:val="22"/>
              </w:rPr>
            </w:pPr>
            <w:r>
              <w:rPr>
                <w:bCs/>
                <w:sz w:val="22"/>
                <w:szCs w:val="22"/>
              </w:rPr>
              <w:t>2.9</w:t>
            </w:r>
          </w:p>
        </w:tc>
      </w:tr>
      <w:tr w:rsidR="00B0728D" w14:paraId="6F2F194D"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75F370FD" w14:textId="77777777" w:rsidR="00B0728D" w:rsidRDefault="00B0728D">
            <w:pPr>
              <w:rPr>
                <w:bCs/>
                <w:sz w:val="22"/>
                <w:szCs w:val="22"/>
              </w:rPr>
            </w:pPr>
            <w:bookmarkStart w:id="6" w:name="_Hlk10527191"/>
            <w:bookmarkEnd w:id="2"/>
            <w:r>
              <w:rPr>
                <w:bCs/>
                <w:sz w:val="22"/>
                <w:szCs w:val="22"/>
              </w:rPr>
              <w:t>1.3 Area of landscapes restored (mha)</w:t>
            </w:r>
          </w:p>
        </w:tc>
        <w:tc>
          <w:tcPr>
            <w:tcW w:w="2693" w:type="dxa"/>
            <w:tcBorders>
              <w:top w:val="single" w:sz="4" w:space="0" w:color="auto"/>
              <w:left w:val="single" w:sz="4" w:space="0" w:color="auto"/>
              <w:bottom w:val="single" w:sz="4" w:space="0" w:color="auto"/>
              <w:right w:val="single" w:sz="4" w:space="0" w:color="auto"/>
            </w:tcBorders>
            <w:hideMark/>
          </w:tcPr>
          <w:p w14:paraId="174296BE" w14:textId="77777777" w:rsidR="00B0728D" w:rsidRDefault="00B0728D">
            <w:pPr>
              <w:rPr>
                <w:bCs/>
                <w:sz w:val="22"/>
                <w:szCs w:val="22"/>
              </w:rPr>
            </w:pPr>
            <w:r>
              <w:rPr>
                <w:bCs/>
                <w:sz w:val="22"/>
                <w:szCs w:val="22"/>
              </w:rPr>
              <w:t>1.5</w:t>
            </w:r>
          </w:p>
        </w:tc>
        <w:tc>
          <w:tcPr>
            <w:tcW w:w="2449" w:type="dxa"/>
            <w:tcBorders>
              <w:top w:val="single" w:sz="4" w:space="0" w:color="auto"/>
              <w:left w:val="single" w:sz="4" w:space="0" w:color="auto"/>
              <w:bottom w:val="single" w:sz="4" w:space="0" w:color="auto"/>
              <w:right w:val="single" w:sz="4" w:space="0" w:color="auto"/>
            </w:tcBorders>
            <w:hideMark/>
          </w:tcPr>
          <w:p w14:paraId="709DC22D" w14:textId="77777777" w:rsidR="00B0728D" w:rsidRDefault="00B0728D">
            <w:pPr>
              <w:rPr>
                <w:bCs/>
                <w:sz w:val="22"/>
                <w:szCs w:val="22"/>
              </w:rPr>
            </w:pPr>
            <w:r>
              <w:rPr>
                <w:bCs/>
                <w:sz w:val="22"/>
                <w:szCs w:val="22"/>
              </w:rPr>
              <w:t>4.7</w:t>
            </w:r>
          </w:p>
        </w:tc>
      </w:tr>
      <w:bookmarkEnd w:id="3"/>
      <w:tr w:rsidR="00B0728D" w14:paraId="1EA54E1C"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7CEAA0F8" w14:textId="77777777" w:rsidR="00B0728D" w:rsidRDefault="00B0728D">
            <w:pPr>
              <w:rPr>
                <w:bCs/>
                <w:sz w:val="22"/>
                <w:szCs w:val="22"/>
              </w:rPr>
            </w:pPr>
            <w:r>
              <w:rPr>
                <w:bCs/>
                <w:sz w:val="22"/>
                <w:szCs w:val="22"/>
              </w:rPr>
              <w:t>1.4 Area of landscapes under improved practices (mha; excl. protected areas)</w:t>
            </w:r>
          </w:p>
        </w:tc>
        <w:tc>
          <w:tcPr>
            <w:tcW w:w="2693" w:type="dxa"/>
            <w:tcBorders>
              <w:top w:val="single" w:sz="4" w:space="0" w:color="auto"/>
              <w:left w:val="single" w:sz="4" w:space="0" w:color="auto"/>
              <w:bottom w:val="single" w:sz="4" w:space="0" w:color="auto"/>
              <w:right w:val="single" w:sz="4" w:space="0" w:color="auto"/>
            </w:tcBorders>
            <w:hideMark/>
          </w:tcPr>
          <w:p w14:paraId="502E4FFD" w14:textId="77777777" w:rsidR="00B0728D" w:rsidRDefault="00B0728D">
            <w:pPr>
              <w:rPr>
                <w:bCs/>
                <w:sz w:val="22"/>
                <w:szCs w:val="22"/>
              </w:rPr>
            </w:pPr>
            <w:r>
              <w:rPr>
                <w:bCs/>
                <w:sz w:val="22"/>
                <w:szCs w:val="22"/>
              </w:rPr>
              <w:t>80</w:t>
            </w:r>
          </w:p>
        </w:tc>
        <w:tc>
          <w:tcPr>
            <w:tcW w:w="2449" w:type="dxa"/>
            <w:tcBorders>
              <w:top w:val="single" w:sz="4" w:space="0" w:color="auto"/>
              <w:left w:val="single" w:sz="4" w:space="0" w:color="auto"/>
              <w:bottom w:val="single" w:sz="4" w:space="0" w:color="auto"/>
              <w:right w:val="single" w:sz="4" w:space="0" w:color="auto"/>
            </w:tcBorders>
            <w:hideMark/>
          </w:tcPr>
          <w:p w14:paraId="1BBF8D88" w14:textId="77777777" w:rsidR="00B0728D" w:rsidRDefault="00B0728D">
            <w:pPr>
              <w:rPr>
                <w:bCs/>
                <w:sz w:val="22"/>
                <w:szCs w:val="22"/>
              </w:rPr>
            </w:pPr>
            <w:r>
              <w:rPr>
                <w:bCs/>
                <w:sz w:val="22"/>
                <w:szCs w:val="22"/>
              </w:rPr>
              <w:t>87</w:t>
            </w:r>
          </w:p>
        </w:tc>
      </w:tr>
      <w:bookmarkEnd w:id="6"/>
      <w:tr w:rsidR="00B0728D" w14:paraId="18C15851"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46B24863" w14:textId="77777777" w:rsidR="00B0728D" w:rsidRDefault="00B0728D">
            <w:pPr>
              <w:rPr>
                <w:bCs/>
                <w:sz w:val="22"/>
                <w:szCs w:val="22"/>
              </w:rPr>
            </w:pPr>
            <w:r>
              <w:rPr>
                <w:bCs/>
                <w:sz w:val="22"/>
                <w:szCs w:val="22"/>
              </w:rPr>
              <w:t>1.5 Area of marine habitat under improved practices (mha; excl. protected areas)</w:t>
            </w:r>
          </w:p>
        </w:tc>
        <w:tc>
          <w:tcPr>
            <w:tcW w:w="2693" w:type="dxa"/>
            <w:tcBorders>
              <w:top w:val="single" w:sz="4" w:space="0" w:color="auto"/>
              <w:left w:val="single" w:sz="4" w:space="0" w:color="auto"/>
              <w:bottom w:val="single" w:sz="4" w:space="0" w:color="auto"/>
              <w:right w:val="single" w:sz="4" w:space="0" w:color="auto"/>
            </w:tcBorders>
            <w:hideMark/>
          </w:tcPr>
          <w:p w14:paraId="408FCAFE" w14:textId="77777777" w:rsidR="00B0728D" w:rsidRDefault="00B0728D">
            <w:pPr>
              <w:rPr>
                <w:bCs/>
                <w:sz w:val="22"/>
                <w:szCs w:val="22"/>
              </w:rPr>
            </w:pPr>
            <w:r>
              <w:rPr>
                <w:bCs/>
                <w:sz w:val="22"/>
                <w:szCs w:val="22"/>
              </w:rPr>
              <w:t>7</w:t>
            </w:r>
          </w:p>
        </w:tc>
        <w:tc>
          <w:tcPr>
            <w:tcW w:w="2449" w:type="dxa"/>
            <w:tcBorders>
              <w:top w:val="single" w:sz="4" w:space="0" w:color="auto"/>
              <w:left w:val="single" w:sz="4" w:space="0" w:color="auto"/>
              <w:bottom w:val="single" w:sz="4" w:space="0" w:color="auto"/>
              <w:right w:val="single" w:sz="4" w:space="0" w:color="auto"/>
            </w:tcBorders>
            <w:hideMark/>
          </w:tcPr>
          <w:p w14:paraId="676B419F" w14:textId="77777777" w:rsidR="00B0728D" w:rsidRDefault="00B0728D">
            <w:pPr>
              <w:rPr>
                <w:bCs/>
                <w:sz w:val="22"/>
                <w:szCs w:val="22"/>
              </w:rPr>
            </w:pPr>
            <w:r>
              <w:rPr>
                <w:bCs/>
                <w:sz w:val="22"/>
                <w:szCs w:val="22"/>
              </w:rPr>
              <w:t>1.8</w:t>
            </w:r>
          </w:p>
        </w:tc>
      </w:tr>
      <w:tr w:rsidR="00B0728D" w14:paraId="68602106"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4C65CFF3" w14:textId="77777777" w:rsidR="00B0728D" w:rsidRDefault="00B0728D">
            <w:pPr>
              <w:rPr>
                <w:bCs/>
                <w:sz w:val="22"/>
                <w:szCs w:val="22"/>
              </w:rPr>
            </w:pPr>
            <w:r>
              <w:rPr>
                <w:bCs/>
                <w:sz w:val="22"/>
                <w:szCs w:val="22"/>
              </w:rPr>
              <w:t>1.6 Greenhouse gas emissions mitigated (million metric tons of CO2e)</w:t>
            </w:r>
          </w:p>
        </w:tc>
        <w:tc>
          <w:tcPr>
            <w:tcW w:w="2693" w:type="dxa"/>
            <w:tcBorders>
              <w:top w:val="single" w:sz="4" w:space="0" w:color="auto"/>
              <w:left w:val="single" w:sz="4" w:space="0" w:color="auto"/>
              <w:bottom w:val="single" w:sz="4" w:space="0" w:color="auto"/>
              <w:right w:val="single" w:sz="4" w:space="0" w:color="auto"/>
            </w:tcBorders>
            <w:hideMark/>
          </w:tcPr>
          <w:p w14:paraId="78E783C7" w14:textId="77777777" w:rsidR="00B0728D" w:rsidRDefault="00B0728D">
            <w:pPr>
              <w:rPr>
                <w:bCs/>
                <w:sz w:val="22"/>
                <w:szCs w:val="22"/>
              </w:rPr>
            </w:pPr>
            <w:r>
              <w:rPr>
                <w:bCs/>
                <w:sz w:val="22"/>
                <w:szCs w:val="22"/>
              </w:rPr>
              <w:t>375</w:t>
            </w:r>
          </w:p>
        </w:tc>
        <w:tc>
          <w:tcPr>
            <w:tcW w:w="2449" w:type="dxa"/>
            <w:tcBorders>
              <w:top w:val="single" w:sz="4" w:space="0" w:color="auto"/>
              <w:left w:val="single" w:sz="4" w:space="0" w:color="auto"/>
              <w:bottom w:val="single" w:sz="4" w:space="0" w:color="auto"/>
              <w:right w:val="single" w:sz="4" w:space="0" w:color="auto"/>
            </w:tcBorders>
            <w:hideMark/>
          </w:tcPr>
          <w:p w14:paraId="64B755B6" w14:textId="77777777" w:rsidR="00B0728D" w:rsidRDefault="00B0728D">
            <w:pPr>
              <w:rPr>
                <w:bCs/>
                <w:sz w:val="22"/>
                <w:szCs w:val="22"/>
              </w:rPr>
            </w:pPr>
            <w:r>
              <w:rPr>
                <w:bCs/>
                <w:sz w:val="22"/>
                <w:szCs w:val="22"/>
              </w:rPr>
              <w:t>581</w:t>
            </w:r>
          </w:p>
        </w:tc>
      </w:tr>
      <w:bookmarkEnd w:id="4"/>
      <w:tr w:rsidR="00B0728D" w14:paraId="1D1FBBA6"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4ADFD153" w14:textId="77777777" w:rsidR="00B0728D" w:rsidRDefault="00B0728D">
            <w:pPr>
              <w:rPr>
                <w:bCs/>
                <w:sz w:val="22"/>
                <w:szCs w:val="22"/>
              </w:rPr>
            </w:pPr>
            <w:r>
              <w:rPr>
                <w:bCs/>
                <w:sz w:val="22"/>
                <w:szCs w:val="22"/>
              </w:rPr>
              <w:t>1.7 Number of shared water ecosystems (fresh or marine) under new or improved cooperative management</w:t>
            </w:r>
          </w:p>
        </w:tc>
        <w:tc>
          <w:tcPr>
            <w:tcW w:w="2693" w:type="dxa"/>
            <w:tcBorders>
              <w:top w:val="single" w:sz="4" w:space="0" w:color="auto"/>
              <w:left w:val="single" w:sz="4" w:space="0" w:color="auto"/>
              <w:bottom w:val="single" w:sz="4" w:space="0" w:color="auto"/>
              <w:right w:val="single" w:sz="4" w:space="0" w:color="auto"/>
            </w:tcBorders>
            <w:hideMark/>
          </w:tcPr>
          <w:p w14:paraId="076E3772" w14:textId="77777777" w:rsidR="00B0728D" w:rsidRDefault="00B0728D">
            <w:pPr>
              <w:rPr>
                <w:bCs/>
                <w:sz w:val="22"/>
                <w:szCs w:val="22"/>
              </w:rPr>
            </w:pPr>
            <w:r>
              <w:rPr>
                <w:bCs/>
                <w:sz w:val="22"/>
                <w:szCs w:val="22"/>
              </w:rPr>
              <w:t>8</w:t>
            </w:r>
          </w:p>
        </w:tc>
        <w:tc>
          <w:tcPr>
            <w:tcW w:w="2449" w:type="dxa"/>
            <w:tcBorders>
              <w:top w:val="single" w:sz="4" w:space="0" w:color="auto"/>
              <w:left w:val="single" w:sz="4" w:space="0" w:color="auto"/>
              <w:bottom w:val="single" w:sz="4" w:space="0" w:color="auto"/>
              <w:right w:val="single" w:sz="4" w:space="0" w:color="auto"/>
            </w:tcBorders>
            <w:hideMark/>
          </w:tcPr>
          <w:p w14:paraId="2A51BF2C" w14:textId="77777777" w:rsidR="00B0728D" w:rsidRDefault="00B0728D">
            <w:pPr>
              <w:rPr>
                <w:bCs/>
                <w:sz w:val="22"/>
                <w:szCs w:val="22"/>
              </w:rPr>
            </w:pPr>
            <w:r>
              <w:rPr>
                <w:bCs/>
                <w:sz w:val="22"/>
                <w:szCs w:val="22"/>
              </w:rPr>
              <w:t>9</w:t>
            </w:r>
          </w:p>
        </w:tc>
      </w:tr>
      <w:tr w:rsidR="00B0728D" w14:paraId="4EB747FA"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656E9FC7" w14:textId="77777777" w:rsidR="00B0728D" w:rsidRDefault="00B0728D">
            <w:pPr>
              <w:rPr>
                <w:bCs/>
                <w:sz w:val="22"/>
                <w:szCs w:val="22"/>
              </w:rPr>
            </w:pPr>
            <w:r>
              <w:rPr>
                <w:bCs/>
                <w:sz w:val="22"/>
                <w:szCs w:val="22"/>
              </w:rPr>
              <w:t>1.8 Globally over-exploited marine fisheries moved to more sustainable levels (thousand metric tons) (Percent of fisheries, by volume)</w:t>
            </w:r>
          </w:p>
        </w:tc>
        <w:tc>
          <w:tcPr>
            <w:tcW w:w="2693" w:type="dxa"/>
            <w:tcBorders>
              <w:top w:val="single" w:sz="4" w:space="0" w:color="auto"/>
              <w:left w:val="single" w:sz="4" w:space="0" w:color="auto"/>
              <w:bottom w:val="single" w:sz="4" w:space="0" w:color="auto"/>
              <w:right w:val="single" w:sz="4" w:space="0" w:color="auto"/>
            </w:tcBorders>
            <w:hideMark/>
          </w:tcPr>
          <w:p w14:paraId="5FF47247" w14:textId="77777777" w:rsidR="00B0728D" w:rsidRDefault="00B0728D">
            <w:pPr>
              <w:rPr>
                <w:bCs/>
                <w:sz w:val="22"/>
                <w:szCs w:val="22"/>
              </w:rPr>
            </w:pPr>
            <w:r>
              <w:rPr>
                <w:bCs/>
                <w:sz w:val="22"/>
                <w:szCs w:val="22"/>
              </w:rPr>
              <w:t>875</w:t>
            </w:r>
          </w:p>
        </w:tc>
        <w:tc>
          <w:tcPr>
            <w:tcW w:w="2449" w:type="dxa"/>
            <w:tcBorders>
              <w:top w:val="single" w:sz="4" w:space="0" w:color="auto"/>
              <w:left w:val="single" w:sz="4" w:space="0" w:color="auto"/>
              <w:bottom w:val="single" w:sz="4" w:space="0" w:color="auto"/>
              <w:right w:val="single" w:sz="4" w:space="0" w:color="auto"/>
            </w:tcBorders>
            <w:hideMark/>
          </w:tcPr>
          <w:p w14:paraId="3FD0F798" w14:textId="77777777" w:rsidR="00B0728D" w:rsidRDefault="00B0728D">
            <w:pPr>
              <w:rPr>
                <w:bCs/>
                <w:sz w:val="22"/>
                <w:szCs w:val="22"/>
              </w:rPr>
            </w:pPr>
            <w:r>
              <w:rPr>
                <w:bCs/>
                <w:sz w:val="22"/>
                <w:szCs w:val="22"/>
              </w:rPr>
              <w:t>8.2</w:t>
            </w:r>
          </w:p>
        </w:tc>
      </w:tr>
      <w:tr w:rsidR="00B0728D" w14:paraId="2B0F090E"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68511FC7" w14:textId="77777777" w:rsidR="00B0728D" w:rsidRDefault="00B0728D">
            <w:pPr>
              <w:rPr>
                <w:bCs/>
                <w:sz w:val="22"/>
                <w:szCs w:val="22"/>
              </w:rPr>
            </w:pPr>
            <w:r>
              <w:rPr>
                <w:bCs/>
                <w:sz w:val="22"/>
                <w:szCs w:val="22"/>
              </w:rPr>
              <w:t>1.9 Reduction, disposal/destruction, phase out, elimination and avoidance of chemicals of global concern and their waste in the environment and in processes, materials and products (thousand metric tons of toxic chemicals reduced)</w:t>
            </w:r>
          </w:p>
        </w:tc>
        <w:tc>
          <w:tcPr>
            <w:tcW w:w="2693" w:type="dxa"/>
            <w:tcBorders>
              <w:top w:val="single" w:sz="4" w:space="0" w:color="auto"/>
              <w:left w:val="single" w:sz="4" w:space="0" w:color="auto"/>
              <w:bottom w:val="single" w:sz="4" w:space="0" w:color="auto"/>
              <w:right w:val="single" w:sz="4" w:space="0" w:color="auto"/>
            </w:tcBorders>
            <w:hideMark/>
          </w:tcPr>
          <w:p w14:paraId="0B3D0CF5" w14:textId="77777777" w:rsidR="00B0728D" w:rsidRDefault="00B0728D">
            <w:pPr>
              <w:rPr>
                <w:bCs/>
                <w:sz w:val="22"/>
                <w:szCs w:val="22"/>
              </w:rPr>
            </w:pPr>
            <w:r>
              <w:rPr>
                <w:bCs/>
                <w:sz w:val="22"/>
                <w:szCs w:val="22"/>
              </w:rPr>
              <w:t>25</w:t>
            </w:r>
          </w:p>
        </w:tc>
        <w:tc>
          <w:tcPr>
            <w:tcW w:w="2449" w:type="dxa"/>
            <w:tcBorders>
              <w:top w:val="single" w:sz="4" w:space="0" w:color="auto"/>
              <w:left w:val="single" w:sz="4" w:space="0" w:color="auto"/>
              <w:bottom w:val="single" w:sz="4" w:space="0" w:color="auto"/>
              <w:right w:val="single" w:sz="4" w:space="0" w:color="auto"/>
            </w:tcBorders>
            <w:hideMark/>
          </w:tcPr>
          <w:p w14:paraId="4026C98D" w14:textId="77777777" w:rsidR="00B0728D" w:rsidRDefault="00B0728D">
            <w:pPr>
              <w:rPr>
                <w:bCs/>
                <w:sz w:val="22"/>
                <w:szCs w:val="22"/>
              </w:rPr>
            </w:pPr>
            <w:r>
              <w:rPr>
                <w:bCs/>
                <w:sz w:val="22"/>
                <w:szCs w:val="22"/>
              </w:rPr>
              <w:t>30.9</w:t>
            </w:r>
          </w:p>
        </w:tc>
      </w:tr>
      <w:tr w:rsidR="00B0728D" w14:paraId="76019FE8"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7ADB27F6" w14:textId="77777777" w:rsidR="00B0728D" w:rsidRDefault="00B0728D">
            <w:pPr>
              <w:rPr>
                <w:bCs/>
                <w:sz w:val="22"/>
                <w:szCs w:val="22"/>
              </w:rPr>
            </w:pPr>
            <w:r>
              <w:rPr>
                <w:bCs/>
                <w:sz w:val="22"/>
                <w:szCs w:val="22"/>
              </w:rPr>
              <w:t>1.10 Reduction, avoidance of emissions of POPs to air from point and non-point sources (grams of toxic equivalent [gTEQ])</w:t>
            </w:r>
          </w:p>
        </w:tc>
        <w:tc>
          <w:tcPr>
            <w:tcW w:w="2693" w:type="dxa"/>
            <w:tcBorders>
              <w:top w:val="single" w:sz="4" w:space="0" w:color="auto"/>
              <w:left w:val="single" w:sz="4" w:space="0" w:color="auto"/>
              <w:bottom w:val="single" w:sz="4" w:space="0" w:color="auto"/>
              <w:right w:val="single" w:sz="4" w:space="0" w:color="auto"/>
            </w:tcBorders>
            <w:hideMark/>
          </w:tcPr>
          <w:p w14:paraId="44990C51" w14:textId="77777777" w:rsidR="00B0728D" w:rsidRDefault="00B0728D">
            <w:pPr>
              <w:rPr>
                <w:bCs/>
                <w:sz w:val="22"/>
                <w:szCs w:val="22"/>
              </w:rPr>
            </w:pPr>
            <w:r>
              <w:rPr>
                <w:bCs/>
                <w:sz w:val="22"/>
                <w:szCs w:val="22"/>
              </w:rPr>
              <w:t>325</w:t>
            </w:r>
          </w:p>
        </w:tc>
        <w:tc>
          <w:tcPr>
            <w:tcW w:w="2449" w:type="dxa"/>
            <w:tcBorders>
              <w:top w:val="single" w:sz="4" w:space="0" w:color="auto"/>
              <w:left w:val="single" w:sz="4" w:space="0" w:color="auto"/>
              <w:bottom w:val="single" w:sz="4" w:space="0" w:color="auto"/>
              <w:right w:val="single" w:sz="4" w:space="0" w:color="auto"/>
            </w:tcBorders>
            <w:hideMark/>
          </w:tcPr>
          <w:p w14:paraId="3E7A5452" w14:textId="77777777" w:rsidR="00B0728D" w:rsidRDefault="00B0728D">
            <w:pPr>
              <w:rPr>
                <w:bCs/>
                <w:sz w:val="22"/>
                <w:szCs w:val="22"/>
              </w:rPr>
            </w:pPr>
            <w:r>
              <w:rPr>
                <w:bCs/>
                <w:sz w:val="22"/>
                <w:szCs w:val="22"/>
              </w:rPr>
              <w:t>557.8</w:t>
            </w:r>
          </w:p>
        </w:tc>
      </w:tr>
      <w:tr w:rsidR="00B0728D" w14:paraId="424FB306" w14:textId="77777777" w:rsidTr="00AE4406">
        <w:tc>
          <w:tcPr>
            <w:tcW w:w="5240" w:type="dxa"/>
            <w:tcBorders>
              <w:top w:val="single" w:sz="4" w:space="0" w:color="auto"/>
              <w:left w:val="single" w:sz="4" w:space="0" w:color="auto"/>
              <w:bottom w:val="single" w:sz="4" w:space="0" w:color="auto"/>
              <w:right w:val="single" w:sz="4" w:space="0" w:color="auto"/>
            </w:tcBorders>
            <w:hideMark/>
          </w:tcPr>
          <w:p w14:paraId="37608A7B" w14:textId="77777777" w:rsidR="00B0728D" w:rsidRDefault="00B0728D">
            <w:pPr>
              <w:rPr>
                <w:bCs/>
                <w:sz w:val="22"/>
                <w:szCs w:val="22"/>
              </w:rPr>
            </w:pPr>
            <w:r>
              <w:rPr>
                <w:bCs/>
                <w:sz w:val="22"/>
                <w:szCs w:val="22"/>
              </w:rPr>
              <w:t>1.11 Number of direct beneficiaries disaggregated by gender as co-benefit of GEF investment</w:t>
            </w:r>
          </w:p>
        </w:tc>
        <w:tc>
          <w:tcPr>
            <w:tcW w:w="2693" w:type="dxa"/>
            <w:tcBorders>
              <w:top w:val="single" w:sz="4" w:space="0" w:color="auto"/>
              <w:left w:val="single" w:sz="4" w:space="0" w:color="auto"/>
              <w:bottom w:val="single" w:sz="4" w:space="0" w:color="auto"/>
              <w:right w:val="single" w:sz="4" w:space="0" w:color="auto"/>
            </w:tcBorders>
            <w:hideMark/>
          </w:tcPr>
          <w:p w14:paraId="0DAD6CA0" w14:textId="77777777" w:rsidR="00B0728D" w:rsidRDefault="00B0728D" w:rsidP="000549A5">
            <w:pPr>
              <w:jc w:val="both"/>
              <w:rPr>
                <w:bCs/>
                <w:sz w:val="22"/>
                <w:szCs w:val="22"/>
              </w:rPr>
            </w:pPr>
            <w:r w:rsidRPr="006225CC">
              <w:rPr>
                <w:bCs/>
                <w:sz w:val="20"/>
                <w:szCs w:val="20"/>
              </w:rPr>
              <w:t xml:space="preserve">In absence of past, portfolio-level monitoring of beneficiary data, no </w:t>
            </w:r>
            <w:r w:rsidR="00A060A2">
              <w:rPr>
                <w:bCs/>
                <w:sz w:val="20"/>
                <w:szCs w:val="20"/>
              </w:rPr>
              <w:t>GEF7</w:t>
            </w:r>
            <w:r w:rsidRPr="006225CC">
              <w:rPr>
                <w:bCs/>
                <w:sz w:val="20"/>
                <w:szCs w:val="20"/>
              </w:rPr>
              <w:t xml:space="preserve"> target is proposed, but the indicator will be monitored across the </w:t>
            </w:r>
            <w:r w:rsidR="00A060A2">
              <w:rPr>
                <w:bCs/>
                <w:sz w:val="20"/>
                <w:szCs w:val="20"/>
              </w:rPr>
              <w:t>GEF7</w:t>
            </w:r>
            <w:r w:rsidRPr="006225CC">
              <w:rPr>
                <w:bCs/>
                <w:sz w:val="20"/>
                <w:szCs w:val="20"/>
              </w:rPr>
              <w:t xml:space="preserve"> portfolio. Of projects that report on the number of direct beneficiaries, however, all are expected to provide gender-disaggregated data</w:t>
            </w:r>
            <w:r>
              <w:rPr>
                <w:bCs/>
                <w:sz w:val="22"/>
                <w:szCs w:val="22"/>
              </w:rPr>
              <w:t>.</w:t>
            </w:r>
          </w:p>
        </w:tc>
        <w:tc>
          <w:tcPr>
            <w:tcW w:w="2449" w:type="dxa"/>
            <w:tcBorders>
              <w:top w:val="single" w:sz="4" w:space="0" w:color="auto"/>
              <w:left w:val="single" w:sz="4" w:space="0" w:color="auto"/>
              <w:bottom w:val="single" w:sz="4" w:space="0" w:color="auto"/>
              <w:right w:val="single" w:sz="4" w:space="0" w:color="auto"/>
            </w:tcBorders>
            <w:hideMark/>
          </w:tcPr>
          <w:p w14:paraId="512CE4BB" w14:textId="77777777" w:rsidR="00B0728D" w:rsidRDefault="00B0728D">
            <w:pPr>
              <w:rPr>
                <w:bCs/>
                <w:sz w:val="22"/>
                <w:szCs w:val="22"/>
              </w:rPr>
            </w:pPr>
            <w:r>
              <w:rPr>
                <w:bCs/>
                <w:sz w:val="22"/>
                <w:szCs w:val="22"/>
              </w:rPr>
              <w:t>15</w:t>
            </w:r>
            <w:r w:rsidR="00AE4406">
              <w:rPr>
                <w:bCs/>
                <w:sz w:val="22"/>
                <w:szCs w:val="22"/>
              </w:rPr>
              <w:t>.2 million</w:t>
            </w:r>
          </w:p>
        </w:tc>
      </w:tr>
      <w:bookmarkEnd w:id="5"/>
    </w:tbl>
    <w:p w14:paraId="0693C5E6" w14:textId="77777777" w:rsidR="00B0728D" w:rsidRDefault="00B0728D" w:rsidP="00B0728D">
      <w:pPr>
        <w:jc w:val="both"/>
        <w:rPr>
          <w:rFonts w:cs="Arial"/>
          <w:b/>
          <w:bCs/>
          <w:sz w:val="22"/>
          <w:szCs w:val="22"/>
        </w:rPr>
      </w:pPr>
    </w:p>
    <w:p w14:paraId="6E1BBE6D" w14:textId="77777777" w:rsidR="006E3CA2" w:rsidRDefault="006E3CA2" w:rsidP="00B0728D">
      <w:pPr>
        <w:jc w:val="both"/>
        <w:rPr>
          <w:rFonts w:cs="Arial"/>
          <w:b/>
          <w:bCs/>
          <w:sz w:val="22"/>
          <w:szCs w:val="22"/>
        </w:rPr>
      </w:pPr>
    </w:p>
    <w:p w14:paraId="39654C71" w14:textId="77777777" w:rsidR="005A6C52" w:rsidRDefault="005A6C52" w:rsidP="00B0728D">
      <w:pPr>
        <w:jc w:val="both"/>
        <w:rPr>
          <w:rFonts w:cs="Arial"/>
          <w:b/>
          <w:bCs/>
          <w:sz w:val="22"/>
          <w:szCs w:val="22"/>
        </w:rPr>
      </w:pPr>
    </w:p>
    <w:p w14:paraId="7E3253CD" w14:textId="77777777" w:rsidR="00B0728D" w:rsidRDefault="00B0728D" w:rsidP="00B0728D">
      <w:pPr>
        <w:jc w:val="both"/>
        <w:rPr>
          <w:rFonts w:cs="Arial"/>
          <w:b/>
          <w:bCs/>
          <w:sz w:val="22"/>
          <w:szCs w:val="22"/>
        </w:rPr>
      </w:pPr>
    </w:p>
    <w:p w14:paraId="6BC5EDFC" w14:textId="77777777" w:rsidR="00B0728D" w:rsidRDefault="00B0728D" w:rsidP="00B0728D">
      <w:pPr>
        <w:jc w:val="both"/>
        <w:rPr>
          <w:rFonts w:cs="Arial"/>
          <w:b/>
          <w:sz w:val="22"/>
          <w:szCs w:val="22"/>
        </w:rPr>
      </w:pPr>
      <w:r>
        <w:rPr>
          <w:rFonts w:cs="Arial"/>
          <w:b/>
          <w:bCs/>
          <w:sz w:val="22"/>
          <w:szCs w:val="22"/>
        </w:rPr>
        <w:t>Provide supporting narrative for the score</w:t>
      </w:r>
    </w:p>
    <w:p w14:paraId="2347C8F8" w14:textId="77777777" w:rsidR="00B0728D" w:rsidRDefault="00B0728D" w:rsidP="00B0728D">
      <w:pPr>
        <w:jc w:val="both"/>
        <w:rPr>
          <w:rFonts w:cs="Arial"/>
          <w:bCs/>
          <w:sz w:val="22"/>
          <w:szCs w:val="22"/>
        </w:rPr>
      </w:pPr>
    </w:p>
    <w:p w14:paraId="13F5A5A4" w14:textId="77777777" w:rsidR="00345DEC" w:rsidRDefault="007178B5" w:rsidP="007178B5">
      <w:pPr>
        <w:jc w:val="both"/>
        <w:rPr>
          <w:rFonts w:cs="Arial"/>
          <w:bCs/>
          <w:sz w:val="22"/>
          <w:szCs w:val="22"/>
        </w:rPr>
      </w:pPr>
      <w:r w:rsidRPr="007178B5">
        <w:rPr>
          <w:rFonts w:cs="Arial"/>
          <w:bCs/>
          <w:sz w:val="22"/>
          <w:szCs w:val="22"/>
        </w:rPr>
        <w:t xml:space="preserve">The </w:t>
      </w:r>
      <w:r w:rsidR="00A060A2">
        <w:rPr>
          <w:rFonts w:cs="Arial"/>
          <w:bCs/>
          <w:sz w:val="22"/>
          <w:szCs w:val="22"/>
        </w:rPr>
        <w:t>GEF7</w:t>
      </w:r>
      <w:r w:rsidRPr="007178B5">
        <w:rPr>
          <w:rFonts w:cs="Arial"/>
          <w:bCs/>
          <w:sz w:val="22"/>
          <w:szCs w:val="22"/>
        </w:rPr>
        <w:t xml:space="preserve"> results framework is linked to the </w:t>
      </w:r>
      <w:r w:rsidR="00A060A2">
        <w:rPr>
          <w:rFonts w:cs="Arial"/>
          <w:bCs/>
          <w:sz w:val="22"/>
          <w:szCs w:val="22"/>
        </w:rPr>
        <w:t>GEF7</w:t>
      </w:r>
      <w:r w:rsidRPr="007178B5">
        <w:rPr>
          <w:rFonts w:cs="Arial"/>
          <w:bCs/>
          <w:sz w:val="22"/>
          <w:szCs w:val="22"/>
        </w:rPr>
        <w:t xml:space="preserve"> programming strategy through 11 core indicators to track progress towards</w:t>
      </w:r>
      <w:r w:rsidR="00345DEC">
        <w:rPr>
          <w:rFonts w:cs="Arial"/>
          <w:bCs/>
          <w:sz w:val="22"/>
          <w:szCs w:val="22"/>
        </w:rPr>
        <w:t xml:space="preserve"> agreed</w:t>
      </w:r>
      <w:r w:rsidRPr="007178B5">
        <w:rPr>
          <w:rFonts w:cs="Arial"/>
          <w:bCs/>
          <w:sz w:val="22"/>
          <w:szCs w:val="22"/>
        </w:rPr>
        <w:t xml:space="preserve"> targets for </w:t>
      </w:r>
      <w:r w:rsidR="00A060A2">
        <w:rPr>
          <w:rFonts w:cs="Arial"/>
          <w:bCs/>
          <w:sz w:val="22"/>
          <w:szCs w:val="22"/>
        </w:rPr>
        <w:t>GEF7</w:t>
      </w:r>
      <w:r w:rsidRPr="007178B5">
        <w:rPr>
          <w:rFonts w:cs="Arial"/>
          <w:bCs/>
          <w:sz w:val="22"/>
          <w:szCs w:val="22"/>
        </w:rPr>
        <w:t xml:space="preserve">. </w:t>
      </w:r>
      <w:r w:rsidR="00345DEC">
        <w:rPr>
          <w:rFonts w:cs="Arial"/>
          <w:bCs/>
          <w:sz w:val="22"/>
          <w:szCs w:val="22"/>
        </w:rPr>
        <w:t xml:space="preserve">Output 1 of the UK’s </w:t>
      </w:r>
      <w:proofErr w:type="spellStart"/>
      <w:r w:rsidR="00345DEC">
        <w:rPr>
          <w:rFonts w:cs="Arial"/>
          <w:bCs/>
          <w:sz w:val="22"/>
          <w:szCs w:val="22"/>
        </w:rPr>
        <w:t>logframe</w:t>
      </w:r>
      <w:proofErr w:type="spellEnd"/>
      <w:r w:rsidR="00345DEC">
        <w:rPr>
          <w:rFonts w:cs="Arial"/>
          <w:bCs/>
          <w:sz w:val="22"/>
          <w:szCs w:val="22"/>
        </w:rPr>
        <w:t xml:space="preserve"> for </w:t>
      </w:r>
      <w:r w:rsidR="00A060A2">
        <w:rPr>
          <w:rFonts w:cs="Arial"/>
          <w:bCs/>
          <w:sz w:val="22"/>
          <w:szCs w:val="22"/>
        </w:rPr>
        <w:t>GEF7</w:t>
      </w:r>
      <w:r w:rsidR="00345DEC">
        <w:rPr>
          <w:rFonts w:cs="Arial"/>
          <w:bCs/>
          <w:sz w:val="22"/>
          <w:szCs w:val="22"/>
        </w:rPr>
        <w:t xml:space="preserve"> is taken from these agreed indicators and targets. The</w:t>
      </w:r>
      <w:r w:rsidRPr="007178B5">
        <w:rPr>
          <w:rFonts w:cs="Arial"/>
          <w:bCs/>
          <w:sz w:val="22"/>
          <w:szCs w:val="22"/>
        </w:rPr>
        <w:t xml:space="preserve"> framework allows for the comprehensive monitoring of the results </w:t>
      </w:r>
      <w:r w:rsidR="00345DEC">
        <w:rPr>
          <w:rFonts w:cs="Arial"/>
          <w:bCs/>
          <w:sz w:val="22"/>
          <w:szCs w:val="22"/>
        </w:rPr>
        <w:t>expected</w:t>
      </w:r>
      <w:r w:rsidRPr="007178B5">
        <w:rPr>
          <w:rFonts w:cs="Arial"/>
          <w:bCs/>
          <w:sz w:val="22"/>
          <w:szCs w:val="22"/>
        </w:rPr>
        <w:t xml:space="preserve"> by GEF</w:t>
      </w:r>
      <w:r w:rsidR="00345DEC">
        <w:rPr>
          <w:rFonts w:cs="Arial"/>
          <w:bCs/>
          <w:sz w:val="22"/>
          <w:szCs w:val="22"/>
        </w:rPr>
        <w:t xml:space="preserve"> </w:t>
      </w:r>
      <w:r w:rsidRPr="007178B5">
        <w:rPr>
          <w:rFonts w:cs="Arial"/>
          <w:bCs/>
          <w:sz w:val="22"/>
          <w:szCs w:val="22"/>
        </w:rPr>
        <w:t>projects and program</w:t>
      </w:r>
      <w:r w:rsidR="008E16AA">
        <w:rPr>
          <w:rFonts w:cs="Arial"/>
          <w:bCs/>
          <w:sz w:val="22"/>
          <w:szCs w:val="22"/>
        </w:rPr>
        <w:t>me</w:t>
      </w:r>
      <w:r w:rsidRPr="007178B5">
        <w:rPr>
          <w:rFonts w:cs="Arial"/>
          <w:bCs/>
          <w:sz w:val="22"/>
          <w:szCs w:val="22"/>
        </w:rPr>
        <w:t>s, including multiple benefits across focal areas as well as tracking data on beneficiaries disaggregated by</w:t>
      </w:r>
      <w:r w:rsidR="00345DEC">
        <w:rPr>
          <w:rFonts w:cs="Arial"/>
          <w:bCs/>
          <w:sz w:val="22"/>
          <w:szCs w:val="22"/>
        </w:rPr>
        <w:t xml:space="preserve"> </w:t>
      </w:r>
      <w:r w:rsidRPr="007178B5">
        <w:rPr>
          <w:rFonts w:cs="Arial"/>
          <w:bCs/>
          <w:sz w:val="22"/>
          <w:szCs w:val="22"/>
        </w:rPr>
        <w:t>gender</w:t>
      </w:r>
      <w:r w:rsidR="00B95FF8">
        <w:rPr>
          <w:rStyle w:val="FootnoteReference"/>
          <w:rFonts w:cs="Arial"/>
          <w:bCs/>
          <w:sz w:val="22"/>
          <w:szCs w:val="22"/>
        </w:rPr>
        <w:footnoteReference w:id="2"/>
      </w:r>
      <w:r w:rsidRPr="007178B5">
        <w:rPr>
          <w:rFonts w:cs="Arial"/>
          <w:bCs/>
          <w:sz w:val="22"/>
          <w:szCs w:val="22"/>
        </w:rPr>
        <w:t xml:space="preserve">. </w:t>
      </w:r>
    </w:p>
    <w:p w14:paraId="51E04C5C" w14:textId="77777777" w:rsidR="00345DEC" w:rsidRDefault="00345DEC" w:rsidP="007178B5">
      <w:pPr>
        <w:jc w:val="both"/>
        <w:rPr>
          <w:rFonts w:cs="Arial"/>
          <w:bCs/>
          <w:sz w:val="22"/>
          <w:szCs w:val="22"/>
        </w:rPr>
      </w:pPr>
    </w:p>
    <w:p w14:paraId="24DE3FB6" w14:textId="77777777" w:rsidR="00A92ABE" w:rsidRDefault="00345DEC" w:rsidP="007178B5">
      <w:pPr>
        <w:jc w:val="both"/>
        <w:rPr>
          <w:rFonts w:cs="Arial"/>
          <w:bCs/>
          <w:sz w:val="22"/>
          <w:szCs w:val="22"/>
        </w:rPr>
      </w:pPr>
      <w:r>
        <w:rPr>
          <w:rFonts w:cs="Arial"/>
          <w:bCs/>
          <w:sz w:val="22"/>
          <w:szCs w:val="22"/>
        </w:rPr>
        <w:t xml:space="preserve">This annual review takes place a quarter of the way through the </w:t>
      </w:r>
      <w:r w:rsidR="00A060A2">
        <w:rPr>
          <w:rFonts w:cs="Arial"/>
          <w:bCs/>
          <w:sz w:val="22"/>
          <w:szCs w:val="22"/>
        </w:rPr>
        <w:t>GEF7</w:t>
      </w:r>
      <w:r>
        <w:rPr>
          <w:rFonts w:cs="Arial"/>
          <w:bCs/>
          <w:sz w:val="22"/>
          <w:szCs w:val="22"/>
        </w:rPr>
        <w:t xml:space="preserve"> replenishment period.  </w:t>
      </w:r>
      <w:r w:rsidR="00A060A2">
        <w:rPr>
          <w:rFonts w:cs="Arial"/>
          <w:bCs/>
          <w:sz w:val="22"/>
          <w:szCs w:val="22"/>
        </w:rPr>
        <w:t>GEF7</w:t>
      </w:r>
      <w:r w:rsidR="007178B5" w:rsidRPr="007178B5">
        <w:rPr>
          <w:rFonts w:cs="Arial"/>
          <w:bCs/>
          <w:sz w:val="22"/>
          <w:szCs w:val="22"/>
        </w:rPr>
        <w:t xml:space="preserve"> Programming is</w:t>
      </w:r>
      <w:r>
        <w:rPr>
          <w:rFonts w:cs="Arial"/>
          <w:bCs/>
          <w:sz w:val="22"/>
          <w:szCs w:val="22"/>
        </w:rPr>
        <w:t xml:space="preserve"> </w:t>
      </w:r>
      <w:r w:rsidR="007178B5" w:rsidRPr="007178B5">
        <w:rPr>
          <w:rFonts w:cs="Arial"/>
          <w:bCs/>
          <w:sz w:val="22"/>
          <w:szCs w:val="22"/>
        </w:rPr>
        <w:t xml:space="preserve">so far </w:t>
      </w:r>
      <w:r w:rsidR="00BA50C4">
        <w:rPr>
          <w:rFonts w:cs="Arial"/>
          <w:bCs/>
          <w:sz w:val="22"/>
          <w:szCs w:val="22"/>
        </w:rPr>
        <w:t xml:space="preserve">broadly </w:t>
      </w:r>
      <w:r w:rsidR="007178B5" w:rsidRPr="007178B5">
        <w:rPr>
          <w:rFonts w:cs="Arial"/>
          <w:bCs/>
          <w:sz w:val="22"/>
          <w:szCs w:val="22"/>
        </w:rPr>
        <w:t xml:space="preserve">delivering on its </w:t>
      </w:r>
      <w:r w:rsidR="00A060A2">
        <w:rPr>
          <w:rFonts w:cs="Arial"/>
          <w:bCs/>
          <w:sz w:val="22"/>
          <w:szCs w:val="22"/>
        </w:rPr>
        <w:t>GEF7</w:t>
      </w:r>
      <w:r w:rsidR="007178B5" w:rsidRPr="007178B5">
        <w:rPr>
          <w:rFonts w:cs="Arial"/>
          <w:bCs/>
          <w:sz w:val="22"/>
          <w:szCs w:val="22"/>
        </w:rPr>
        <w:t xml:space="preserve"> targets.</w:t>
      </w:r>
      <w:r>
        <w:rPr>
          <w:rFonts w:cs="Arial"/>
          <w:bCs/>
          <w:sz w:val="22"/>
          <w:szCs w:val="22"/>
        </w:rPr>
        <w:t xml:space="preserve">  </w:t>
      </w:r>
      <w:r w:rsidR="00B0728D">
        <w:rPr>
          <w:rFonts w:cs="Arial"/>
          <w:bCs/>
          <w:sz w:val="22"/>
          <w:szCs w:val="22"/>
        </w:rPr>
        <w:t xml:space="preserve">By June 2019 overall </w:t>
      </w:r>
      <w:r w:rsidR="00A060A2">
        <w:rPr>
          <w:rFonts w:cs="Arial"/>
          <w:bCs/>
          <w:sz w:val="22"/>
          <w:szCs w:val="22"/>
        </w:rPr>
        <w:t>GEF7</w:t>
      </w:r>
      <w:r w:rsidR="00B0728D">
        <w:rPr>
          <w:rFonts w:cs="Arial"/>
          <w:bCs/>
          <w:sz w:val="22"/>
          <w:szCs w:val="22"/>
        </w:rPr>
        <w:t xml:space="preserve"> programming </w:t>
      </w:r>
      <w:r w:rsidR="00A92ABE">
        <w:rPr>
          <w:rFonts w:cs="Arial"/>
          <w:bCs/>
          <w:sz w:val="22"/>
          <w:szCs w:val="22"/>
        </w:rPr>
        <w:t>has allocated</w:t>
      </w:r>
      <w:r w:rsidR="00B0728D">
        <w:rPr>
          <w:rFonts w:cs="Arial"/>
          <w:bCs/>
          <w:sz w:val="22"/>
          <w:szCs w:val="22"/>
        </w:rPr>
        <w:t xml:space="preserve"> 2</w:t>
      </w:r>
      <w:r>
        <w:rPr>
          <w:rFonts w:cs="Arial"/>
          <w:bCs/>
          <w:sz w:val="22"/>
          <w:szCs w:val="22"/>
        </w:rPr>
        <w:t>7</w:t>
      </w:r>
      <w:r w:rsidR="00B0728D">
        <w:rPr>
          <w:rFonts w:cs="Arial"/>
          <w:bCs/>
          <w:sz w:val="22"/>
          <w:szCs w:val="22"/>
        </w:rPr>
        <w:t xml:space="preserve">% </w:t>
      </w:r>
      <w:r w:rsidR="00A92ABE">
        <w:rPr>
          <w:rFonts w:cs="Arial"/>
          <w:bCs/>
          <w:sz w:val="22"/>
          <w:szCs w:val="22"/>
        </w:rPr>
        <w:t xml:space="preserve">or $1,044m of the overall </w:t>
      </w:r>
      <w:r w:rsidR="00A060A2">
        <w:rPr>
          <w:rFonts w:cs="Arial"/>
          <w:bCs/>
          <w:sz w:val="22"/>
          <w:szCs w:val="22"/>
        </w:rPr>
        <w:t>GEF7</w:t>
      </w:r>
      <w:r w:rsidR="00A92ABE">
        <w:rPr>
          <w:rFonts w:cs="Arial"/>
          <w:bCs/>
          <w:sz w:val="22"/>
          <w:szCs w:val="22"/>
        </w:rPr>
        <w:t xml:space="preserve"> resource allocation of $3,895m</w:t>
      </w:r>
      <w:r w:rsidR="00B0728D">
        <w:rPr>
          <w:rFonts w:cs="Arial"/>
          <w:bCs/>
          <w:sz w:val="22"/>
          <w:szCs w:val="22"/>
        </w:rPr>
        <w:t xml:space="preserve">. Focal area programming to date varies from </w:t>
      </w:r>
      <w:r w:rsidR="00A92ABE">
        <w:rPr>
          <w:rFonts w:cs="Arial"/>
          <w:bCs/>
          <w:sz w:val="22"/>
          <w:szCs w:val="22"/>
        </w:rPr>
        <w:t>International Waters</w:t>
      </w:r>
      <w:r w:rsidR="00B0728D">
        <w:rPr>
          <w:rFonts w:cs="Arial"/>
          <w:bCs/>
          <w:sz w:val="22"/>
          <w:szCs w:val="22"/>
        </w:rPr>
        <w:t xml:space="preserve"> at 9.4% </w:t>
      </w:r>
      <w:r w:rsidR="00A92ABE">
        <w:rPr>
          <w:rFonts w:cs="Arial"/>
          <w:bCs/>
          <w:sz w:val="22"/>
          <w:szCs w:val="22"/>
        </w:rPr>
        <w:t xml:space="preserve">of allocated resources </w:t>
      </w:r>
      <w:r w:rsidR="00B0728D">
        <w:rPr>
          <w:rFonts w:cs="Arial"/>
          <w:bCs/>
          <w:sz w:val="22"/>
          <w:szCs w:val="22"/>
        </w:rPr>
        <w:t xml:space="preserve">to </w:t>
      </w:r>
      <w:r w:rsidR="00A92ABE">
        <w:rPr>
          <w:rFonts w:cs="Arial"/>
          <w:bCs/>
          <w:sz w:val="22"/>
          <w:szCs w:val="22"/>
        </w:rPr>
        <w:t>Land Degradation</w:t>
      </w:r>
      <w:r w:rsidR="00B0728D">
        <w:rPr>
          <w:rFonts w:cs="Arial"/>
          <w:bCs/>
          <w:sz w:val="22"/>
          <w:szCs w:val="22"/>
        </w:rPr>
        <w:t xml:space="preserve"> and </w:t>
      </w:r>
      <w:r w:rsidR="00A92ABE">
        <w:rPr>
          <w:rFonts w:cs="Arial"/>
          <w:bCs/>
          <w:sz w:val="22"/>
          <w:szCs w:val="22"/>
        </w:rPr>
        <w:t>Biodiversity</w:t>
      </w:r>
      <w:r w:rsidR="00B0728D">
        <w:rPr>
          <w:rFonts w:cs="Arial"/>
          <w:bCs/>
          <w:sz w:val="22"/>
          <w:szCs w:val="22"/>
        </w:rPr>
        <w:t xml:space="preserve"> at 37.1% and 34.4% respectively. Both </w:t>
      </w:r>
      <w:r w:rsidR="00A92ABE">
        <w:rPr>
          <w:rFonts w:cs="Arial"/>
          <w:bCs/>
          <w:sz w:val="22"/>
          <w:szCs w:val="22"/>
        </w:rPr>
        <w:t>Chemicals and Waste</w:t>
      </w:r>
      <w:r w:rsidR="00B0728D">
        <w:rPr>
          <w:rFonts w:cs="Arial"/>
          <w:bCs/>
          <w:sz w:val="22"/>
          <w:szCs w:val="22"/>
        </w:rPr>
        <w:t xml:space="preserve"> and </w:t>
      </w:r>
      <w:r w:rsidR="00A92ABE">
        <w:rPr>
          <w:rFonts w:cs="Arial"/>
          <w:bCs/>
          <w:sz w:val="22"/>
          <w:szCs w:val="22"/>
        </w:rPr>
        <w:t>Climate Change</w:t>
      </w:r>
      <w:r w:rsidR="00B0728D">
        <w:rPr>
          <w:rFonts w:cs="Arial"/>
          <w:bCs/>
          <w:sz w:val="22"/>
          <w:szCs w:val="22"/>
        </w:rPr>
        <w:t xml:space="preserve"> are at similar levels of programming to date at 21.9% and 23.0% respectively.</w:t>
      </w:r>
      <w:r w:rsidR="00A92ABE">
        <w:rPr>
          <w:rFonts w:cs="Arial"/>
          <w:bCs/>
          <w:sz w:val="22"/>
          <w:szCs w:val="22"/>
        </w:rPr>
        <w:t xml:space="preserve">  These percentages of allocations for resources for the replenishment are broadly in line with the expected </w:t>
      </w:r>
      <w:r w:rsidR="00E80E18">
        <w:rPr>
          <w:rFonts w:cs="Arial"/>
          <w:bCs/>
          <w:sz w:val="22"/>
          <w:szCs w:val="22"/>
        </w:rPr>
        <w:t>results and</w:t>
      </w:r>
      <w:r w:rsidR="00A92ABE">
        <w:rPr>
          <w:rFonts w:cs="Arial"/>
          <w:bCs/>
          <w:sz w:val="22"/>
          <w:szCs w:val="22"/>
        </w:rPr>
        <w:t xml:space="preserve"> explain expected results</w:t>
      </w:r>
      <w:r w:rsidR="00BA50C4">
        <w:rPr>
          <w:rFonts w:cs="Arial"/>
          <w:bCs/>
          <w:sz w:val="22"/>
          <w:szCs w:val="22"/>
        </w:rPr>
        <w:t xml:space="preserve"> below milestones</w:t>
      </w:r>
      <w:r w:rsidR="00A92ABE">
        <w:rPr>
          <w:rFonts w:cs="Arial"/>
          <w:bCs/>
          <w:sz w:val="22"/>
          <w:szCs w:val="22"/>
        </w:rPr>
        <w:t xml:space="preserve"> for the International Waters.  </w:t>
      </w:r>
      <w:r w:rsidR="00B57F63">
        <w:rPr>
          <w:rFonts w:cs="Arial"/>
          <w:bCs/>
          <w:sz w:val="22"/>
          <w:szCs w:val="22"/>
        </w:rPr>
        <w:t>As such this output 1 has been given an aggregate score of A within this annual review.</w:t>
      </w:r>
    </w:p>
    <w:p w14:paraId="7D3EFE3B" w14:textId="77777777" w:rsidR="00A92ABE" w:rsidRDefault="00A92ABE" w:rsidP="007178B5">
      <w:pPr>
        <w:jc w:val="both"/>
        <w:rPr>
          <w:rFonts w:cs="Arial"/>
          <w:bCs/>
          <w:sz w:val="22"/>
          <w:szCs w:val="22"/>
        </w:rPr>
      </w:pPr>
    </w:p>
    <w:p w14:paraId="74AC2AD2" w14:textId="77777777" w:rsidR="00B0728D" w:rsidRDefault="00F02378" w:rsidP="00B0728D">
      <w:pPr>
        <w:jc w:val="both"/>
        <w:rPr>
          <w:rFonts w:cs="Arial"/>
          <w:bCs/>
          <w:sz w:val="22"/>
          <w:szCs w:val="22"/>
        </w:rPr>
      </w:pPr>
      <w:r>
        <w:rPr>
          <w:rFonts w:cs="Arial"/>
          <w:bCs/>
          <w:sz w:val="22"/>
          <w:szCs w:val="22"/>
        </w:rPr>
        <w:t xml:space="preserve">During the </w:t>
      </w:r>
      <w:r w:rsidR="00A060A2">
        <w:rPr>
          <w:rFonts w:cs="Arial"/>
          <w:bCs/>
          <w:sz w:val="22"/>
          <w:szCs w:val="22"/>
        </w:rPr>
        <w:t>GEF7</w:t>
      </w:r>
      <w:r>
        <w:rPr>
          <w:rFonts w:cs="Arial"/>
          <w:bCs/>
          <w:sz w:val="22"/>
          <w:szCs w:val="22"/>
        </w:rPr>
        <w:t xml:space="preserve"> replenishment negotiations, the UK and several other donors pushed for the GEF to increase integrated programming to tackle the underlying drivers and systems involved in environmental degradation.  Our expectation was that these Impact Programmes</w:t>
      </w:r>
      <w:r w:rsidR="00CA6B3F">
        <w:rPr>
          <w:rFonts w:cs="Arial"/>
          <w:bCs/>
          <w:sz w:val="22"/>
          <w:szCs w:val="22"/>
        </w:rPr>
        <w:t xml:space="preserve"> (</w:t>
      </w:r>
      <w:r w:rsidR="0090301E">
        <w:rPr>
          <w:rFonts w:cs="Arial"/>
          <w:bCs/>
          <w:sz w:val="22"/>
          <w:szCs w:val="22"/>
        </w:rPr>
        <w:t>IPs</w:t>
      </w:r>
      <w:r w:rsidR="00CA6B3F">
        <w:rPr>
          <w:rFonts w:cs="Arial"/>
          <w:bCs/>
          <w:sz w:val="22"/>
          <w:szCs w:val="22"/>
        </w:rPr>
        <w:t>)</w:t>
      </w:r>
      <w:r>
        <w:rPr>
          <w:rFonts w:cs="Arial"/>
          <w:bCs/>
          <w:sz w:val="22"/>
          <w:szCs w:val="22"/>
        </w:rPr>
        <w:t xml:space="preserve"> would increase both the impact and sustainability of GEF interventions.  </w:t>
      </w:r>
      <w:r w:rsidR="00A060A2">
        <w:rPr>
          <w:rFonts w:cs="Arial"/>
          <w:bCs/>
          <w:sz w:val="22"/>
          <w:szCs w:val="22"/>
        </w:rPr>
        <w:t>GEF7</w:t>
      </w:r>
      <w:r w:rsidR="00B0728D">
        <w:rPr>
          <w:rFonts w:cs="Arial"/>
          <w:bCs/>
          <w:sz w:val="22"/>
          <w:szCs w:val="22"/>
        </w:rPr>
        <w:t xml:space="preserve"> programming by June 2019 includes four Impact Program</w:t>
      </w:r>
      <w:r w:rsidR="006E7AC3">
        <w:rPr>
          <w:rFonts w:cs="Arial"/>
          <w:bCs/>
          <w:sz w:val="22"/>
          <w:szCs w:val="22"/>
        </w:rPr>
        <w:t>me</w:t>
      </w:r>
      <w:r w:rsidR="00B0728D">
        <w:rPr>
          <w:rFonts w:cs="Arial"/>
          <w:bCs/>
          <w:sz w:val="22"/>
          <w:szCs w:val="22"/>
        </w:rPr>
        <w:t>s (Food, Land Use, and Restoration, Amazon Sustainable Landscapes, Congo Sustainable Landscapes, and Dryland Sustainable Landscapes)</w:t>
      </w:r>
      <w:r w:rsidR="00BA50C4">
        <w:rPr>
          <w:rFonts w:cs="Arial"/>
          <w:bCs/>
          <w:sz w:val="22"/>
          <w:szCs w:val="22"/>
        </w:rPr>
        <w:t>, with a fifth Sustainable Cities due to be added</w:t>
      </w:r>
      <w:r>
        <w:rPr>
          <w:rFonts w:cs="Arial"/>
          <w:bCs/>
          <w:sz w:val="22"/>
          <w:szCs w:val="22"/>
        </w:rPr>
        <w:t xml:space="preserve">.  </w:t>
      </w:r>
      <w:r w:rsidRPr="00F02378">
        <w:rPr>
          <w:rFonts w:cs="Arial"/>
          <w:bCs/>
          <w:sz w:val="22"/>
          <w:szCs w:val="22"/>
        </w:rPr>
        <w:t>The Impact Program</w:t>
      </w:r>
      <w:r w:rsidR="008E16AA">
        <w:rPr>
          <w:rFonts w:cs="Arial"/>
          <w:bCs/>
          <w:sz w:val="22"/>
          <w:szCs w:val="22"/>
        </w:rPr>
        <w:t>me</w:t>
      </w:r>
      <w:r w:rsidRPr="00F02378">
        <w:rPr>
          <w:rFonts w:cs="Arial"/>
          <w:bCs/>
          <w:sz w:val="22"/>
          <w:szCs w:val="22"/>
        </w:rPr>
        <w:t>s are significantly</w:t>
      </w:r>
      <w:r>
        <w:rPr>
          <w:rFonts w:cs="Arial"/>
          <w:bCs/>
          <w:sz w:val="22"/>
          <w:szCs w:val="22"/>
        </w:rPr>
        <w:t xml:space="preserve"> </w:t>
      </w:r>
      <w:r w:rsidRPr="00F02378">
        <w:rPr>
          <w:rFonts w:cs="Arial"/>
          <w:bCs/>
          <w:sz w:val="22"/>
          <w:szCs w:val="22"/>
        </w:rPr>
        <w:t>contributing to 4 of the core indicators (core indicators 1, 3, 4, and 6, and a more modest</w:t>
      </w:r>
      <w:r>
        <w:rPr>
          <w:rFonts w:cs="Arial"/>
          <w:bCs/>
          <w:sz w:val="22"/>
          <w:szCs w:val="22"/>
        </w:rPr>
        <w:t xml:space="preserve"> </w:t>
      </w:r>
      <w:r w:rsidRPr="00F02378">
        <w:rPr>
          <w:rFonts w:cs="Arial"/>
          <w:bCs/>
          <w:sz w:val="22"/>
          <w:szCs w:val="22"/>
        </w:rPr>
        <w:t>contribution to indicator 9) with</w:t>
      </w:r>
      <w:r>
        <w:rPr>
          <w:rFonts w:cs="Arial"/>
          <w:bCs/>
          <w:sz w:val="22"/>
          <w:szCs w:val="22"/>
        </w:rPr>
        <w:t>, as had been hoped for,</w:t>
      </w:r>
      <w:r w:rsidRPr="00F02378">
        <w:rPr>
          <w:rFonts w:cs="Arial"/>
          <w:bCs/>
          <w:sz w:val="22"/>
          <w:szCs w:val="22"/>
        </w:rPr>
        <w:t xml:space="preserve"> significantly higher proportion of the overall </w:t>
      </w:r>
      <w:r w:rsidR="00A060A2">
        <w:rPr>
          <w:rFonts w:cs="Arial"/>
          <w:bCs/>
          <w:sz w:val="22"/>
          <w:szCs w:val="22"/>
        </w:rPr>
        <w:t>GEF7</w:t>
      </w:r>
      <w:r w:rsidRPr="00F02378">
        <w:rPr>
          <w:rFonts w:cs="Arial"/>
          <w:bCs/>
          <w:sz w:val="22"/>
          <w:szCs w:val="22"/>
        </w:rPr>
        <w:t xml:space="preserve"> proposed</w:t>
      </w:r>
      <w:r>
        <w:rPr>
          <w:rFonts w:cs="Arial"/>
          <w:bCs/>
          <w:sz w:val="22"/>
          <w:szCs w:val="22"/>
        </w:rPr>
        <w:t xml:space="preserve"> r</w:t>
      </w:r>
      <w:r w:rsidRPr="00F02378">
        <w:rPr>
          <w:rFonts w:cs="Arial"/>
          <w:bCs/>
          <w:sz w:val="22"/>
          <w:szCs w:val="22"/>
        </w:rPr>
        <w:t>esults than what would be predicted based on the proportion of resources programmed. In all,</w:t>
      </w:r>
      <w:r>
        <w:rPr>
          <w:rFonts w:cs="Arial"/>
          <w:bCs/>
          <w:sz w:val="22"/>
          <w:szCs w:val="22"/>
        </w:rPr>
        <w:t xml:space="preserve"> </w:t>
      </w:r>
      <w:r w:rsidRPr="00F02378">
        <w:rPr>
          <w:rFonts w:cs="Arial"/>
          <w:bCs/>
          <w:sz w:val="22"/>
          <w:szCs w:val="22"/>
        </w:rPr>
        <w:t>the IPs are programming 15% of the STAR</w:t>
      </w:r>
      <w:r w:rsidR="000D13DA">
        <w:rPr>
          <w:rStyle w:val="FootnoteReference"/>
          <w:rFonts w:cs="Arial"/>
          <w:bCs/>
          <w:sz w:val="22"/>
          <w:szCs w:val="22"/>
        </w:rPr>
        <w:footnoteReference w:id="3"/>
      </w:r>
      <w:r w:rsidRPr="00F02378">
        <w:rPr>
          <w:rFonts w:cs="Arial"/>
          <w:bCs/>
          <w:sz w:val="22"/>
          <w:szCs w:val="22"/>
        </w:rPr>
        <w:t xml:space="preserve"> </w:t>
      </w:r>
      <w:r w:rsidR="000D13DA">
        <w:rPr>
          <w:rFonts w:cs="Arial"/>
          <w:bCs/>
          <w:sz w:val="22"/>
          <w:szCs w:val="22"/>
        </w:rPr>
        <w:t>(</w:t>
      </w:r>
      <w:r w:rsidR="000D13DA" w:rsidRPr="000D13DA">
        <w:rPr>
          <w:rFonts w:cs="Arial"/>
          <w:bCs/>
          <w:sz w:val="22"/>
          <w:szCs w:val="22"/>
        </w:rPr>
        <w:t>System for Transparent Allocation of Resources</w:t>
      </w:r>
      <w:r w:rsidR="000D13DA">
        <w:rPr>
          <w:rFonts w:cs="Arial"/>
          <w:bCs/>
          <w:sz w:val="22"/>
          <w:szCs w:val="22"/>
        </w:rPr>
        <w:t xml:space="preserve">) </w:t>
      </w:r>
      <w:r w:rsidRPr="00F02378">
        <w:rPr>
          <w:rFonts w:cs="Arial"/>
          <w:bCs/>
          <w:sz w:val="22"/>
          <w:szCs w:val="22"/>
        </w:rPr>
        <w:t>resources allocated to countries yet they are</w:t>
      </w:r>
      <w:r>
        <w:rPr>
          <w:rFonts w:cs="Arial"/>
          <w:bCs/>
          <w:sz w:val="22"/>
          <w:szCs w:val="22"/>
        </w:rPr>
        <w:t xml:space="preserve"> </w:t>
      </w:r>
      <w:r w:rsidRPr="00F02378">
        <w:rPr>
          <w:rFonts w:cs="Arial"/>
          <w:bCs/>
          <w:sz w:val="22"/>
          <w:szCs w:val="22"/>
        </w:rPr>
        <w:t>delivering between 21-58% of the results on the 4 core indicators.</w:t>
      </w:r>
      <w:r w:rsidR="00B0728D">
        <w:rPr>
          <w:rFonts w:cs="Arial"/>
          <w:bCs/>
          <w:sz w:val="22"/>
          <w:szCs w:val="22"/>
        </w:rPr>
        <w:t xml:space="preserve"> </w:t>
      </w:r>
      <w:r w:rsidR="0083247F">
        <w:rPr>
          <w:rFonts w:cs="Arial"/>
          <w:bCs/>
          <w:sz w:val="22"/>
          <w:szCs w:val="22"/>
        </w:rPr>
        <w:t xml:space="preserve"> </w:t>
      </w:r>
      <w:r w:rsidR="00B0728D">
        <w:rPr>
          <w:rFonts w:cs="Arial"/>
          <w:bCs/>
          <w:sz w:val="22"/>
          <w:szCs w:val="22"/>
        </w:rPr>
        <w:t>In addition, several other important Program</w:t>
      </w:r>
      <w:r w:rsidR="003F15D7">
        <w:rPr>
          <w:rFonts w:cs="Arial"/>
          <w:bCs/>
          <w:sz w:val="22"/>
          <w:szCs w:val="22"/>
        </w:rPr>
        <w:t>me</w:t>
      </w:r>
      <w:r w:rsidR="00B0728D">
        <w:rPr>
          <w:rFonts w:cs="Arial"/>
          <w:bCs/>
          <w:sz w:val="22"/>
          <w:szCs w:val="22"/>
        </w:rPr>
        <w:t>s (Global Wildlife Program</w:t>
      </w:r>
      <w:r w:rsidR="003F15D7">
        <w:rPr>
          <w:rFonts w:cs="Arial"/>
          <w:bCs/>
          <w:sz w:val="22"/>
          <w:szCs w:val="22"/>
        </w:rPr>
        <w:t>me</w:t>
      </w:r>
      <w:r w:rsidR="00B0728D">
        <w:rPr>
          <w:rFonts w:cs="Arial"/>
          <w:bCs/>
          <w:sz w:val="22"/>
          <w:szCs w:val="22"/>
        </w:rPr>
        <w:t>, EMobility Program</w:t>
      </w:r>
      <w:r w:rsidR="003F15D7">
        <w:rPr>
          <w:rFonts w:cs="Arial"/>
          <w:bCs/>
          <w:sz w:val="22"/>
          <w:szCs w:val="22"/>
        </w:rPr>
        <w:t>me</w:t>
      </w:r>
      <w:r w:rsidR="00B0728D">
        <w:rPr>
          <w:rFonts w:cs="Arial"/>
          <w:bCs/>
          <w:sz w:val="22"/>
          <w:szCs w:val="22"/>
        </w:rPr>
        <w:t>, and ISLANDS Chemicals and Waste Program</w:t>
      </w:r>
      <w:r w:rsidR="003F15D7">
        <w:rPr>
          <w:rFonts w:cs="Arial"/>
          <w:bCs/>
          <w:sz w:val="22"/>
          <w:szCs w:val="22"/>
        </w:rPr>
        <w:t>me</w:t>
      </w:r>
      <w:r w:rsidR="00B0728D">
        <w:rPr>
          <w:rFonts w:cs="Arial"/>
          <w:bCs/>
          <w:sz w:val="22"/>
          <w:szCs w:val="22"/>
        </w:rPr>
        <w:t xml:space="preserve">) that have been approved in </w:t>
      </w:r>
      <w:r w:rsidR="00A060A2">
        <w:rPr>
          <w:rFonts w:cs="Arial"/>
          <w:bCs/>
          <w:sz w:val="22"/>
          <w:szCs w:val="22"/>
        </w:rPr>
        <w:t>GEF7</w:t>
      </w:r>
      <w:r w:rsidR="00B0728D">
        <w:rPr>
          <w:rFonts w:cs="Arial"/>
          <w:bCs/>
          <w:sz w:val="22"/>
          <w:szCs w:val="22"/>
        </w:rPr>
        <w:t xml:space="preserve"> are designed to deliver transformational change, which have further contributed to the progress in indicators 1, 3 and 6. </w:t>
      </w:r>
    </w:p>
    <w:p w14:paraId="0BF3B134" w14:textId="77777777" w:rsidR="00B0728D" w:rsidRDefault="00B0728D" w:rsidP="00B0728D">
      <w:pPr>
        <w:jc w:val="both"/>
        <w:rPr>
          <w:rFonts w:cs="Arial"/>
          <w:bCs/>
          <w:sz w:val="22"/>
          <w:szCs w:val="22"/>
        </w:rPr>
      </w:pPr>
    </w:p>
    <w:p w14:paraId="1EE1D58F" w14:textId="77777777" w:rsidR="00F02378" w:rsidRDefault="00B0728D" w:rsidP="00F02378">
      <w:pPr>
        <w:jc w:val="both"/>
        <w:rPr>
          <w:rFonts w:cs="Arial"/>
          <w:bCs/>
          <w:sz w:val="22"/>
          <w:szCs w:val="22"/>
        </w:rPr>
      </w:pPr>
      <w:r>
        <w:rPr>
          <w:rFonts w:cs="Arial"/>
          <w:bCs/>
          <w:sz w:val="22"/>
          <w:szCs w:val="22"/>
        </w:rPr>
        <w:t>In the first two work program</w:t>
      </w:r>
      <w:r w:rsidR="003B51D1">
        <w:rPr>
          <w:rFonts w:cs="Arial"/>
          <w:bCs/>
          <w:sz w:val="22"/>
          <w:szCs w:val="22"/>
        </w:rPr>
        <w:t>me</w:t>
      </w:r>
      <w:r>
        <w:rPr>
          <w:rFonts w:cs="Arial"/>
          <w:bCs/>
          <w:sz w:val="22"/>
          <w:szCs w:val="22"/>
        </w:rPr>
        <w:t xml:space="preserve">s the International Waters focal area has focused mainly on fresh-water areas and there has been less focus on marine interventions, which is why progress in related indicators has been modest. This is expected to change as the </w:t>
      </w:r>
      <w:r w:rsidR="00A060A2">
        <w:rPr>
          <w:rFonts w:cs="Arial"/>
          <w:bCs/>
          <w:sz w:val="22"/>
          <w:szCs w:val="22"/>
        </w:rPr>
        <w:t>GEF7</w:t>
      </w:r>
      <w:r>
        <w:rPr>
          <w:rFonts w:cs="Arial"/>
          <w:bCs/>
          <w:sz w:val="22"/>
          <w:szCs w:val="22"/>
        </w:rPr>
        <w:t xml:space="preserve"> programming moves forward. </w:t>
      </w:r>
      <w:r w:rsidR="00F02378">
        <w:rPr>
          <w:rFonts w:cs="Arial"/>
          <w:bCs/>
          <w:sz w:val="22"/>
          <w:szCs w:val="22"/>
        </w:rPr>
        <w:t>We will expect to see a ramping up of marine International Waters programming in future work programmes and will</w:t>
      </w:r>
      <w:r w:rsidR="00F13D5E">
        <w:rPr>
          <w:rFonts w:cs="Arial"/>
          <w:bCs/>
          <w:sz w:val="22"/>
          <w:szCs w:val="22"/>
        </w:rPr>
        <w:t xml:space="preserve"> continue to monitor the work programmes to</w:t>
      </w:r>
      <w:r w:rsidR="00F02378">
        <w:rPr>
          <w:rFonts w:cs="Arial"/>
          <w:bCs/>
          <w:sz w:val="22"/>
          <w:szCs w:val="22"/>
        </w:rPr>
        <w:t xml:space="preserve"> ensure that expected results in this area match the allocation of resources.</w:t>
      </w:r>
    </w:p>
    <w:p w14:paraId="58CA953B" w14:textId="77777777" w:rsidR="00B0728D" w:rsidRDefault="00B0728D" w:rsidP="00B0728D">
      <w:pPr>
        <w:jc w:val="both"/>
        <w:rPr>
          <w:rFonts w:cs="Arial"/>
          <w:bCs/>
          <w:sz w:val="22"/>
          <w:szCs w:val="22"/>
        </w:rPr>
      </w:pPr>
    </w:p>
    <w:p w14:paraId="6ECBE0CE" w14:textId="77777777" w:rsidR="00B0728D" w:rsidRDefault="00B0728D" w:rsidP="00B0728D">
      <w:pPr>
        <w:jc w:val="both"/>
        <w:rPr>
          <w:rFonts w:cs="Arial"/>
          <w:bCs/>
          <w:sz w:val="22"/>
          <w:szCs w:val="22"/>
        </w:rPr>
      </w:pPr>
      <w:r>
        <w:rPr>
          <w:rFonts w:cs="Arial"/>
          <w:bCs/>
          <w:sz w:val="22"/>
          <w:szCs w:val="22"/>
        </w:rPr>
        <w:t>There is no specific target for the beneficiary indicator 11, but the progress shows that women make up 50.25% of the expected beneficiaries of GEF projects and program</w:t>
      </w:r>
      <w:r w:rsidR="003B51D1">
        <w:rPr>
          <w:rFonts w:cs="Arial"/>
          <w:bCs/>
          <w:sz w:val="22"/>
          <w:szCs w:val="22"/>
        </w:rPr>
        <w:t>me</w:t>
      </w:r>
      <w:r>
        <w:rPr>
          <w:rFonts w:cs="Arial"/>
          <w:bCs/>
          <w:sz w:val="22"/>
          <w:szCs w:val="22"/>
        </w:rPr>
        <w:t xml:space="preserve">s, reported as of June 2019.  </w:t>
      </w:r>
    </w:p>
    <w:p w14:paraId="1E7C4004" w14:textId="77777777" w:rsidR="00B0728D" w:rsidRDefault="00B0728D" w:rsidP="00B0728D">
      <w:pPr>
        <w:jc w:val="both"/>
        <w:rPr>
          <w:rFonts w:cs="Arial"/>
          <w:bCs/>
          <w:sz w:val="22"/>
          <w:szCs w:val="22"/>
        </w:rPr>
      </w:pPr>
    </w:p>
    <w:p w14:paraId="1FB092A0" w14:textId="77777777" w:rsidR="00B0728D" w:rsidRDefault="00B0728D" w:rsidP="00B0728D">
      <w:pPr>
        <w:jc w:val="both"/>
        <w:rPr>
          <w:rFonts w:cs="Arial"/>
          <w:b/>
          <w:bCs/>
          <w:sz w:val="22"/>
          <w:szCs w:val="22"/>
        </w:rPr>
      </w:pPr>
      <w:r>
        <w:rPr>
          <w:rFonts w:cs="Arial"/>
          <w:b/>
          <w:bCs/>
          <w:sz w:val="22"/>
          <w:szCs w:val="22"/>
        </w:rPr>
        <w:t>Lessons identified this year, and recommendations for the year ahead linked to this output</w:t>
      </w:r>
    </w:p>
    <w:p w14:paraId="53F5CE4E" w14:textId="77777777" w:rsidR="00B0728D" w:rsidRDefault="00B0728D" w:rsidP="00B0728D">
      <w:pPr>
        <w:jc w:val="both"/>
        <w:rPr>
          <w:rFonts w:cs="Arial"/>
          <w:bCs/>
          <w:sz w:val="22"/>
          <w:szCs w:val="22"/>
        </w:rPr>
      </w:pPr>
    </w:p>
    <w:p w14:paraId="17F8596F" w14:textId="77777777" w:rsidR="00B57F63" w:rsidRDefault="00F02378" w:rsidP="00F02378">
      <w:pPr>
        <w:pStyle w:val="ListParagraph"/>
        <w:numPr>
          <w:ilvl w:val="0"/>
          <w:numId w:val="13"/>
        </w:numPr>
        <w:jc w:val="both"/>
        <w:rPr>
          <w:rFonts w:cs="Arial"/>
          <w:bCs/>
          <w:sz w:val="22"/>
          <w:szCs w:val="22"/>
        </w:rPr>
      </w:pPr>
      <w:r>
        <w:rPr>
          <w:rFonts w:cs="Arial"/>
          <w:bCs/>
          <w:sz w:val="22"/>
          <w:szCs w:val="22"/>
        </w:rPr>
        <w:t xml:space="preserve">Continue to track performance against </w:t>
      </w:r>
      <w:r w:rsidR="00B57F63">
        <w:rPr>
          <w:rFonts w:cs="Arial"/>
          <w:bCs/>
          <w:sz w:val="22"/>
          <w:szCs w:val="22"/>
        </w:rPr>
        <w:t xml:space="preserve">both results targets and resource allocations that have been agreed for </w:t>
      </w:r>
      <w:r w:rsidR="00A060A2">
        <w:rPr>
          <w:rFonts w:cs="Arial"/>
          <w:bCs/>
          <w:sz w:val="22"/>
          <w:szCs w:val="22"/>
        </w:rPr>
        <w:t>GEF7</w:t>
      </w:r>
      <w:r w:rsidR="00B57F63">
        <w:rPr>
          <w:rFonts w:cs="Arial"/>
          <w:bCs/>
          <w:sz w:val="22"/>
          <w:szCs w:val="22"/>
        </w:rPr>
        <w:t xml:space="preserve">.  </w:t>
      </w:r>
      <w:r w:rsidR="00302D5D">
        <w:rPr>
          <w:rFonts w:cs="Arial"/>
          <w:bCs/>
          <w:sz w:val="22"/>
          <w:szCs w:val="22"/>
        </w:rPr>
        <w:t>As</w:t>
      </w:r>
      <w:r w:rsidR="00B57F63">
        <w:rPr>
          <w:rFonts w:cs="Arial"/>
          <w:bCs/>
          <w:sz w:val="22"/>
          <w:szCs w:val="22"/>
        </w:rPr>
        <w:t xml:space="preserve"> noted above, ensure that marine</w:t>
      </w:r>
      <w:r w:rsidR="000D3502">
        <w:rPr>
          <w:rFonts w:cs="Arial"/>
          <w:bCs/>
          <w:sz w:val="22"/>
          <w:szCs w:val="22"/>
        </w:rPr>
        <w:t xml:space="preserve"> programming under the</w:t>
      </w:r>
      <w:r w:rsidR="00B57F63">
        <w:rPr>
          <w:rFonts w:cs="Arial"/>
          <w:bCs/>
          <w:sz w:val="22"/>
          <w:szCs w:val="22"/>
        </w:rPr>
        <w:t xml:space="preserve"> International Waters </w:t>
      </w:r>
      <w:r w:rsidR="000D3502">
        <w:rPr>
          <w:rFonts w:cs="Arial"/>
          <w:bCs/>
          <w:sz w:val="22"/>
          <w:szCs w:val="22"/>
        </w:rPr>
        <w:t xml:space="preserve">focal area increases </w:t>
      </w:r>
      <w:r w:rsidR="00B57F63">
        <w:rPr>
          <w:rFonts w:cs="Arial"/>
          <w:bCs/>
          <w:sz w:val="22"/>
          <w:szCs w:val="22"/>
        </w:rPr>
        <w:t xml:space="preserve">to catch up with agreed </w:t>
      </w:r>
      <w:r w:rsidR="00A060A2">
        <w:rPr>
          <w:rFonts w:cs="Arial"/>
          <w:bCs/>
          <w:sz w:val="22"/>
          <w:szCs w:val="22"/>
        </w:rPr>
        <w:t>GEF7</w:t>
      </w:r>
      <w:r w:rsidR="00B57F63">
        <w:rPr>
          <w:rFonts w:cs="Arial"/>
          <w:bCs/>
          <w:sz w:val="22"/>
          <w:szCs w:val="22"/>
        </w:rPr>
        <w:t xml:space="preserve"> targets.</w:t>
      </w:r>
    </w:p>
    <w:p w14:paraId="2D8BBBA9" w14:textId="77777777" w:rsidR="0092506F" w:rsidRDefault="00B57F63" w:rsidP="00F02378">
      <w:pPr>
        <w:pStyle w:val="ListParagraph"/>
        <w:numPr>
          <w:ilvl w:val="0"/>
          <w:numId w:val="13"/>
        </w:numPr>
        <w:jc w:val="both"/>
        <w:rPr>
          <w:rFonts w:cs="Arial"/>
          <w:bCs/>
          <w:sz w:val="22"/>
          <w:szCs w:val="22"/>
        </w:rPr>
      </w:pPr>
      <w:r>
        <w:rPr>
          <w:rFonts w:cs="Arial"/>
          <w:bCs/>
          <w:sz w:val="22"/>
          <w:szCs w:val="22"/>
        </w:rPr>
        <w:t>In line with</w:t>
      </w:r>
      <w:r w:rsidR="000D3502">
        <w:rPr>
          <w:rFonts w:cs="Arial"/>
          <w:bCs/>
          <w:sz w:val="22"/>
          <w:szCs w:val="22"/>
        </w:rPr>
        <w:t xml:space="preserve"> the</w:t>
      </w:r>
      <w:r>
        <w:rPr>
          <w:rFonts w:cs="Arial"/>
          <w:bCs/>
          <w:sz w:val="22"/>
          <w:szCs w:val="22"/>
        </w:rPr>
        <w:t xml:space="preserve"> UK</w:t>
      </w:r>
      <w:r w:rsidR="000D3502">
        <w:rPr>
          <w:rFonts w:cs="Arial"/>
          <w:bCs/>
          <w:sz w:val="22"/>
          <w:szCs w:val="22"/>
        </w:rPr>
        <w:t>’s</w:t>
      </w:r>
      <w:r>
        <w:rPr>
          <w:rFonts w:cs="Arial"/>
          <w:bCs/>
          <w:sz w:val="22"/>
          <w:szCs w:val="22"/>
        </w:rPr>
        <w:t xml:space="preserve"> interest in integrated programming, engage with the Impact Programmes and other significant programmatic approaches (particularly the Global Wildlife Programme) to seek to optimise alignment with UK interests and bilateral programming.  </w:t>
      </w:r>
    </w:p>
    <w:p w14:paraId="64AB0F0B" w14:textId="3A43619A" w:rsidR="00B0728D" w:rsidRDefault="0092506F" w:rsidP="00F02378">
      <w:pPr>
        <w:pStyle w:val="ListParagraph"/>
        <w:numPr>
          <w:ilvl w:val="0"/>
          <w:numId w:val="13"/>
        </w:numPr>
        <w:jc w:val="both"/>
        <w:rPr>
          <w:rFonts w:cs="Arial"/>
          <w:bCs/>
          <w:sz w:val="22"/>
          <w:szCs w:val="22"/>
        </w:rPr>
      </w:pPr>
      <w:r>
        <w:rPr>
          <w:rFonts w:cs="Arial"/>
          <w:bCs/>
          <w:sz w:val="22"/>
          <w:szCs w:val="22"/>
        </w:rPr>
        <w:lastRenderedPageBreak/>
        <w:t xml:space="preserve">Continue engagement with the GEF Secretariat to highlight </w:t>
      </w:r>
      <w:r w:rsidR="00B57F63">
        <w:rPr>
          <w:rFonts w:cs="Arial"/>
          <w:bCs/>
          <w:sz w:val="22"/>
          <w:szCs w:val="22"/>
        </w:rPr>
        <w:t xml:space="preserve">the expectation </w:t>
      </w:r>
      <w:r>
        <w:rPr>
          <w:rFonts w:cs="Arial"/>
          <w:bCs/>
          <w:sz w:val="22"/>
          <w:szCs w:val="22"/>
        </w:rPr>
        <w:t xml:space="preserve">of </w:t>
      </w:r>
      <w:r w:rsidR="00B57F63">
        <w:rPr>
          <w:rFonts w:cs="Arial"/>
          <w:bCs/>
          <w:sz w:val="22"/>
          <w:szCs w:val="22"/>
        </w:rPr>
        <w:t>see</w:t>
      </w:r>
      <w:r>
        <w:rPr>
          <w:rFonts w:cs="Arial"/>
          <w:bCs/>
          <w:sz w:val="22"/>
          <w:szCs w:val="22"/>
        </w:rPr>
        <w:t>ing</w:t>
      </w:r>
      <w:r w:rsidR="00B57F63">
        <w:rPr>
          <w:rFonts w:cs="Arial"/>
          <w:bCs/>
          <w:sz w:val="22"/>
          <w:szCs w:val="22"/>
        </w:rPr>
        <w:t xml:space="preserve"> programming under the</w:t>
      </w:r>
      <w:r w:rsidR="00F13D5E">
        <w:rPr>
          <w:rFonts w:cs="Arial"/>
          <w:bCs/>
          <w:sz w:val="22"/>
          <w:szCs w:val="22"/>
        </w:rPr>
        <w:t xml:space="preserve"> Sustainable</w:t>
      </w:r>
      <w:r w:rsidR="00B57F63">
        <w:rPr>
          <w:rFonts w:cs="Arial"/>
          <w:bCs/>
          <w:sz w:val="22"/>
          <w:szCs w:val="22"/>
        </w:rPr>
        <w:t xml:space="preserve"> Cities Impact Programme appear in the next Work Programme.</w:t>
      </w:r>
    </w:p>
    <w:p w14:paraId="53C7A605" w14:textId="49123111" w:rsidR="00C50614" w:rsidRDefault="00C50614" w:rsidP="00C50614">
      <w:pPr>
        <w:ind w:left="360"/>
        <w:jc w:val="both"/>
        <w:rPr>
          <w:rFonts w:cs="Arial"/>
          <w:bCs/>
          <w:sz w:val="22"/>
          <w:szCs w:val="22"/>
        </w:rPr>
      </w:pPr>
    </w:p>
    <w:p w14:paraId="59F13DE1" w14:textId="77777777" w:rsidR="00C50614" w:rsidRPr="00C50614" w:rsidRDefault="00C50614" w:rsidP="00C50614">
      <w:pPr>
        <w:ind w:left="360"/>
        <w:jc w:val="both"/>
        <w:rPr>
          <w:rFonts w:cs="Arial"/>
          <w:bCs/>
          <w:sz w:val="22"/>
          <w:szCs w:val="22"/>
        </w:rPr>
      </w:pPr>
    </w:p>
    <w:p w14:paraId="2D38E449" w14:textId="77777777" w:rsidR="00C50614" w:rsidRPr="00F02378" w:rsidRDefault="00C50614" w:rsidP="00C50614">
      <w:pPr>
        <w:pStyle w:val="ListParagraph"/>
        <w:jc w:val="both"/>
        <w:rPr>
          <w:rFonts w:cs="Arial"/>
          <w:bCs/>
          <w:sz w:val="22"/>
          <w:szCs w:val="22"/>
        </w:rPr>
      </w:pPr>
    </w:p>
    <w:tbl>
      <w:tblPr>
        <w:tblStyle w:val="TableGrid"/>
        <w:tblW w:w="10235" w:type="dxa"/>
        <w:tblInd w:w="108" w:type="dxa"/>
        <w:tblLook w:val="04A0" w:firstRow="1" w:lastRow="0" w:firstColumn="1" w:lastColumn="0" w:noHBand="0" w:noVBand="1"/>
      </w:tblPr>
      <w:tblGrid>
        <w:gridCol w:w="1562"/>
        <w:gridCol w:w="1170"/>
        <w:gridCol w:w="3043"/>
        <w:gridCol w:w="2594"/>
        <w:gridCol w:w="1866"/>
      </w:tblGrid>
      <w:tr w:rsidR="00C50614" w14:paraId="6852E8C1" w14:textId="77777777" w:rsidTr="00C50614">
        <w:trPr>
          <w:trHeight w:val="405"/>
        </w:trPr>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9A8F85" w14:textId="77777777" w:rsidR="00C50614" w:rsidRDefault="00C50614" w:rsidP="00A84B5B">
            <w:pPr>
              <w:rPr>
                <w:b/>
                <w:bCs/>
                <w:sz w:val="22"/>
                <w:szCs w:val="22"/>
              </w:rPr>
            </w:pPr>
            <w:r>
              <w:rPr>
                <w:rFonts w:cs="Arial"/>
                <w:bCs/>
                <w:sz w:val="22"/>
                <w:szCs w:val="22"/>
              </w:rPr>
              <w:br w:type="page"/>
            </w:r>
            <w:r>
              <w:rPr>
                <w:b/>
                <w:bCs/>
                <w:sz w:val="22"/>
                <w:szCs w:val="22"/>
              </w:rPr>
              <w:t xml:space="preserve">Output Title </w:t>
            </w:r>
          </w:p>
        </w:tc>
        <w:tc>
          <w:tcPr>
            <w:tcW w:w="867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0DAB4" w14:textId="77777777" w:rsidR="00C50614" w:rsidRDefault="00C50614" w:rsidP="00A84B5B">
            <w:pPr>
              <w:rPr>
                <w:bCs/>
                <w:color w:val="FF0000"/>
                <w:sz w:val="22"/>
                <w:szCs w:val="22"/>
              </w:rPr>
            </w:pPr>
            <w:bookmarkStart w:id="7" w:name="_Hlk10803142"/>
            <w:r>
              <w:rPr>
                <w:bCs/>
                <w:sz w:val="22"/>
                <w:szCs w:val="22"/>
              </w:rPr>
              <w:t>GEF7 policy recommendations delivered successfully</w:t>
            </w:r>
            <w:bookmarkEnd w:id="7"/>
          </w:p>
        </w:tc>
      </w:tr>
      <w:tr w:rsidR="00C50614" w14:paraId="7B5DD02D" w14:textId="77777777" w:rsidTr="00C50614">
        <w:trPr>
          <w:trHeight w:val="405"/>
        </w:trPr>
        <w:tc>
          <w:tcPr>
            <w:tcW w:w="27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B82B40" w14:textId="77777777" w:rsidR="00C50614" w:rsidRDefault="00C50614" w:rsidP="00A84B5B">
            <w:pPr>
              <w:rPr>
                <w:bCs/>
                <w:sz w:val="22"/>
                <w:szCs w:val="22"/>
              </w:rPr>
            </w:pPr>
            <w:r>
              <w:rPr>
                <w:bCs/>
                <w:sz w:val="22"/>
                <w:szCs w:val="22"/>
              </w:rPr>
              <w:t>Output number per LF</w:t>
            </w:r>
          </w:p>
        </w:tc>
        <w:tc>
          <w:tcPr>
            <w:tcW w:w="3043" w:type="dxa"/>
            <w:tcBorders>
              <w:top w:val="single" w:sz="4" w:space="0" w:color="auto"/>
              <w:left w:val="single" w:sz="4" w:space="0" w:color="auto"/>
              <w:bottom w:val="single" w:sz="4" w:space="0" w:color="auto"/>
              <w:right w:val="single" w:sz="4" w:space="0" w:color="auto"/>
            </w:tcBorders>
            <w:hideMark/>
          </w:tcPr>
          <w:p w14:paraId="676008BE" w14:textId="77777777" w:rsidR="00C50614" w:rsidRDefault="00C50614" w:rsidP="00A84B5B">
            <w:pPr>
              <w:rPr>
                <w:sz w:val="22"/>
                <w:szCs w:val="22"/>
              </w:rPr>
            </w:pPr>
            <w:r>
              <w:rPr>
                <w:sz w:val="22"/>
                <w:szCs w:val="22"/>
              </w:rPr>
              <w:t>2</w:t>
            </w:r>
          </w:p>
        </w:tc>
        <w:tc>
          <w:tcPr>
            <w:tcW w:w="25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C60B3" w14:textId="77777777" w:rsidR="00C50614" w:rsidRDefault="00C50614" w:rsidP="00A84B5B">
            <w:pPr>
              <w:rPr>
                <w:b/>
                <w:sz w:val="22"/>
                <w:szCs w:val="22"/>
              </w:rPr>
            </w:pPr>
            <w:r>
              <w:rPr>
                <w:b/>
                <w:bCs/>
                <w:sz w:val="22"/>
                <w:szCs w:val="22"/>
              </w:rPr>
              <w:t xml:space="preserve">Output Score </w:t>
            </w:r>
          </w:p>
        </w:tc>
        <w:tc>
          <w:tcPr>
            <w:tcW w:w="1866" w:type="dxa"/>
            <w:tcBorders>
              <w:top w:val="single" w:sz="4" w:space="0" w:color="auto"/>
              <w:left w:val="single" w:sz="4" w:space="0" w:color="auto"/>
              <w:bottom w:val="single" w:sz="4" w:space="0" w:color="auto"/>
              <w:right w:val="single" w:sz="4" w:space="0" w:color="auto"/>
            </w:tcBorders>
          </w:tcPr>
          <w:p w14:paraId="2956A0A6" w14:textId="77777777" w:rsidR="00C50614" w:rsidRDefault="00C50614" w:rsidP="00A84B5B">
            <w:pPr>
              <w:rPr>
                <w:b/>
                <w:bCs/>
                <w:i/>
                <w:color w:val="FF0000"/>
                <w:sz w:val="22"/>
                <w:szCs w:val="22"/>
              </w:rPr>
            </w:pPr>
            <w:r>
              <w:rPr>
                <w:b/>
                <w:bCs/>
                <w:i/>
                <w:color w:val="FF0000"/>
                <w:sz w:val="22"/>
                <w:szCs w:val="22"/>
              </w:rPr>
              <w:t>A</w:t>
            </w:r>
          </w:p>
        </w:tc>
      </w:tr>
      <w:tr w:rsidR="00C50614" w14:paraId="0FC3A2E8" w14:textId="77777777" w:rsidTr="00C50614">
        <w:trPr>
          <w:trHeight w:val="405"/>
        </w:trPr>
        <w:tc>
          <w:tcPr>
            <w:tcW w:w="27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084050" w14:textId="77777777" w:rsidR="00C50614" w:rsidRDefault="00C50614" w:rsidP="00A84B5B">
            <w:pPr>
              <w:rPr>
                <w:sz w:val="22"/>
                <w:szCs w:val="22"/>
              </w:rPr>
            </w:pPr>
            <w:r>
              <w:rPr>
                <w:bCs/>
                <w:sz w:val="22"/>
                <w:szCs w:val="22"/>
              </w:rPr>
              <w:t xml:space="preserve">Impact weighting (%):  </w:t>
            </w:r>
          </w:p>
        </w:tc>
        <w:tc>
          <w:tcPr>
            <w:tcW w:w="3043" w:type="dxa"/>
            <w:tcBorders>
              <w:top w:val="single" w:sz="4" w:space="0" w:color="auto"/>
              <w:left w:val="single" w:sz="4" w:space="0" w:color="auto"/>
              <w:bottom w:val="single" w:sz="4" w:space="0" w:color="auto"/>
              <w:right w:val="single" w:sz="4" w:space="0" w:color="auto"/>
            </w:tcBorders>
            <w:hideMark/>
          </w:tcPr>
          <w:p w14:paraId="2C98218B" w14:textId="77777777" w:rsidR="00C50614" w:rsidRDefault="00C50614" w:rsidP="00A84B5B">
            <w:pPr>
              <w:rPr>
                <w:bCs/>
                <w:sz w:val="22"/>
                <w:szCs w:val="22"/>
              </w:rPr>
            </w:pPr>
            <w:r>
              <w:rPr>
                <w:bCs/>
                <w:sz w:val="22"/>
                <w:szCs w:val="22"/>
              </w:rPr>
              <w:t>30</w:t>
            </w:r>
          </w:p>
        </w:tc>
        <w:tc>
          <w:tcPr>
            <w:tcW w:w="25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4B9B39" w14:textId="77777777" w:rsidR="00C50614" w:rsidRDefault="00C50614" w:rsidP="00A84B5B">
            <w:pPr>
              <w:rPr>
                <w:bCs/>
                <w:sz w:val="22"/>
                <w:szCs w:val="22"/>
              </w:rPr>
            </w:pPr>
            <w:r>
              <w:rPr>
                <w:bCs/>
                <w:sz w:val="22"/>
                <w:szCs w:val="22"/>
              </w:rPr>
              <w:t xml:space="preserve">Impact weighting % revised since last AR? </w:t>
            </w:r>
          </w:p>
        </w:tc>
        <w:tc>
          <w:tcPr>
            <w:tcW w:w="1866" w:type="dxa"/>
            <w:tcBorders>
              <w:top w:val="single" w:sz="4" w:space="0" w:color="auto"/>
              <w:left w:val="single" w:sz="4" w:space="0" w:color="auto"/>
              <w:bottom w:val="single" w:sz="4" w:space="0" w:color="auto"/>
              <w:right w:val="single" w:sz="4" w:space="0" w:color="auto"/>
            </w:tcBorders>
            <w:hideMark/>
          </w:tcPr>
          <w:p w14:paraId="668ECFB8" w14:textId="77777777" w:rsidR="00C50614" w:rsidRDefault="00C50614" w:rsidP="00A84B5B">
            <w:pPr>
              <w:rPr>
                <w:bCs/>
                <w:sz w:val="22"/>
                <w:szCs w:val="22"/>
              </w:rPr>
            </w:pPr>
            <w:r>
              <w:rPr>
                <w:bCs/>
                <w:sz w:val="22"/>
                <w:szCs w:val="22"/>
              </w:rPr>
              <w:t>N</w:t>
            </w:r>
          </w:p>
        </w:tc>
      </w:tr>
    </w:tbl>
    <w:p w14:paraId="695EB9A9" w14:textId="465AE5BC" w:rsidR="00F47F01" w:rsidRDefault="00F47F01" w:rsidP="00F47F01">
      <w:pPr>
        <w:jc w:val="both"/>
        <w:rPr>
          <w:rFonts w:cs="Arial"/>
          <w:bCs/>
          <w:sz w:val="22"/>
          <w:szCs w:val="22"/>
        </w:rPr>
      </w:pPr>
    </w:p>
    <w:tbl>
      <w:tblPr>
        <w:tblStyle w:val="TableGrid"/>
        <w:tblpPr w:leftFromText="180" w:rightFromText="180" w:vertAnchor="text" w:horzAnchor="page" w:tblpX="909" w:tblpY="-10"/>
        <w:tblOverlap w:val="never"/>
        <w:tblW w:w="10382" w:type="dxa"/>
        <w:tblLook w:val="04A0" w:firstRow="1" w:lastRow="0" w:firstColumn="1" w:lastColumn="0" w:noHBand="0" w:noVBand="1"/>
      </w:tblPr>
      <w:tblGrid>
        <w:gridCol w:w="2122"/>
        <w:gridCol w:w="4252"/>
        <w:gridCol w:w="4008"/>
      </w:tblGrid>
      <w:tr w:rsidR="00B0728D" w14:paraId="3CD170E1" w14:textId="77777777" w:rsidTr="00C50614">
        <w:trPr>
          <w:trHeight w:val="273"/>
        </w:trPr>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3C3EDB" w14:textId="77777777" w:rsidR="00B0728D" w:rsidRDefault="00B0728D">
            <w:pPr>
              <w:rPr>
                <w:b/>
                <w:bCs/>
                <w:sz w:val="22"/>
                <w:szCs w:val="22"/>
              </w:rPr>
            </w:pPr>
            <w:r>
              <w:rPr>
                <w:b/>
                <w:bCs/>
                <w:sz w:val="22"/>
                <w:szCs w:val="22"/>
              </w:rPr>
              <w:t>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440D23" w14:textId="77777777" w:rsidR="00B0728D" w:rsidRDefault="00B0728D">
            <w:pPr>
              <w:rPr>
                <w:b/>
                <w:bCs/>
                <w:sz w:val="22"/>
                <w:szCs w:val="22"/>
              </w:rPr>
            </w:pPr>
            <w:r>
              <w:rPr>
                <w:b/>
                <w:bCs/>
                <w:sz w:val="22"/>
                <w:szCs w:val="22"/>
              </w:rPr>
              <w:t>Milestones to June 2019</w:t>
            </w:r>
          </w:p>
        </w:tc>
        <w:tc>
          <w:tcPr>
            <w:tcW w:w="40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B8A651" w14:textId="77777777" w:rsidR="00B0728D" w:rsidRDefault="00B0728D">
            <w:pPr>
              <w:rPr>
                <w:b/>
                <w:bCs/>
                <w:sz w:val="22"/>
                <w:szCs w:val="22"/>
              </w:rPr>
            </w:pPr>
            <w:r>
              <w:rPr>
                <w:b/>
                <w:bCs/>
                <w:sz w:val="22"/>
                <w:szCs w:val="22"/>
              </w:rPr>
              <w:t>Progress at June</w:t>
            </w:r>
          </w:p>
        </w:tc>
      </w:tr>
      <w:tr w:rsidR="00B0728D" w14:paraId="3D0AC5A0" w14:textId="77777777" w:rsidTr="00C50614">
        <w:tc>
          <w:tcPr>
            <w:tcW w:w="2122" w:type="dxa"/>
            <w:tcBorders>
              <w:top w:val="single" w:sz="4" w:space="0" w:color="auto"/>
              <w:left w:val="single" w:sz="4" w:space="0" w:color="auto"/>
              <w:bottom w:val="single" w:sz="4" w:space="0" w:color="auto"/>
              <w:right w:val="single" w:sz="4" w:space="0" w:color="auto"/>
            </w:tcBorders>
            <w:hideMark/>
          </w:tcPr>
          <w:p w14:paraId="49E44087" w14:textId="77777777" w:rsidR="00B0728D" w:rsidRDefault="00E732FE">
            <w:pPr>
              <w:rPr>
                <w:bCs/>
                <w:sz w:val="22"/>
                <w:szCs w:val="22"/>
              </w:rPr>
            </w:pPr>
            <w:r>
              <w:rPr>
                <w:bCs/>
                <w:sz w:val="22"/>
                <w:szCs w:val="22"/>
              </w:rPr>
              <w:t>2</w:t>
            </w:r>
            <w:r w:rsidR="00B0728D">
              <w:rPr>
                <w:bCs/>
                <w:sz w:val="22"/>
                <w:szCs w:val="22"/>
              </w:rPr>
              <w:t>.1 Resource allocation (System for Transparent Allocation of Resources)</w:t>
            </w:r>
          </w:p>
        </w:tc>
        <w:tc>
          <w:tcPr>
            <w:tcW w:w="4252" w:type="dxa"/>
            <w:tcBorders>
              <w:top w:val="single" w:sz="4" w:space="0" w:color="auto"/>
              <w:left w:val="single" w:sz="4" w:space="0" w:color="auto"/>
              <w:bottom w:val="single" w:sz="4" w:space="0" w:color="auto"/>
              <w:right w:val="single" w:sz="4" w:space="0" w:color="auto"/>
            </w:tcBorders>
            <w:hideMark/>
          </w:tcPr>
          <w:p w14:paraId="548C5E3F" w14:textId="77777777" w:rsidR="00B0728D" w:rsidRPr="00675AD3" w:rsidRDefault="00B0728D" w:rsidP="00675AD3">
            <w:pPr>
              <w:pStyle w:val="ListParagraph"/>
              <w:numPr>
                <w:ilvl w:val="0"/>
                <w:numId w:val="18"/>
              </w:numPr>
              <w:rPr>
                <w:bCs/>
                <w:sz w:val="22"/>
                <w:szCs w:val="22"/>
              </w:rPr>
            </w:pPr>
            <w:r w:rsidRPr="00675AD3">
              <w:rPr>
                <w:bCs/>
                <w:sz w:val="22"/>
                <w:szCs w:val="22"/>
              </w:rPr>
              <w:t xml:space="preserve">Council agreed updated STAR being implemented.  </w:t>
            </w:r>
          </w:p>
          <w:p w14:paraId="2808839C" w14:textId="12F7A2FD" w:rsidR="00B0728D" w:rsidRPr="00675AD3" w:rsidRDefault="00B0728D" w:rsidP="00675AD3">
            <w:pPr>
              <w:pStyle w:val="ListParagraph"/>
              <w:numPr>
                <w:ilvl w:val="0"/>
                <w:numId w:val="18"/>
              </w:numPr>
              <w:rPr>
                <w:bCs/>
                <w:sz w:val="22"/>
                <w:szCs w:val="22"/>
              </w:rPr>
            </w:pPr>
            <w:r w:rsidRPr="00675AD3">
              <w:rPr>
                <w:bCs/>
                <w:sz w:val="22"/>
                <w:szCs w:val="22"/>
              </w:rPr>
              <w:t>Secretariat reporting to Council on the programming of funds</w:t>
            </w:r>
            <w:r w:rsidR="00675AD3">
              <w:rPr>
                <w:bCs/>
                <w:sz w:val="22"/>
                <w:szCs w:val="22"/>
              </w:rPr>
              <w:t>.</w:t>
            </w:r>
            <w:r w:rsidRPr="00675AD3">
              <w:rPr>
                <w:bCs/>
                <w:sz w:val="22"/>
                <w:szCs w:val="22"/>
              </w:rPr>
              <w:t xml:space="preserve"> </w:t>
            </w:r>
          </w:p>
        </w:tc>
        <w:tc>
          <w:tcPr>
            <w:tcW w:w="4008" w:type="dxa"/>
            <w:tcBorders>
              <w:top w:val="single" w:sz="4" w:space="0" w:color="auto"/>
              <w:left w:val="single" w:sz="4" w:space="0" w:color="auto"/>
              <w:bottom w:val="single" w:sz="4" w:space="0" w:color="auto"/>
              <w:right w:val="single" w:sz="4" w:space="0" w:color="auto"/>
            </w:tcBorders>
          </w:tcPr>
          <w:p w14:paraId="69ADC0A6" w14:textId="77777777" w:rsidR="00B0728D" w:rsidRDefault="007B5AA4" w:rsidP="00F47F01">
            <w:pPr>
              <w:rPr>
                <w:bCs/>
                <w:sz w:val="22"/>
                <w:szCs w:val="22"/>
              </w:rPr>
            </w:pPr>
            <w:r>
              <w:rPr>
                <w:b/>
                <w:bCs/>
                <w:sz w:val="22"/>
                <w:szCs w:val="22"/>
              </w:rPr>
              <w:t xml:space="preserve">Achieved.  </w:t>
            </w:r>
            <w:r w:rsidR="00B0728D">
              <w:rPr>
                <w:bCs/>
                <w:sz w:val="22"/>
                <w:szCs w:val="22"/>
              </w:rPr>
              <w:t>In June 2018, the GEF Council approved a new Policy for the System for Transparent Allocation of Resources (STAR), which introduced modifications to STAR as agreed by the Participants to the seventh replenishment of the GEF Trust Fund (</w:t>
            </w:r>
            <w:r w:rsidR="00A060A2">
              <w:rPr>
                <w:bCs/>
                <w:sz w:val="22"/>
                <w:szCs w:val="22"/>
              </w:rPr>
              <w:t>GEF7</w:t>
            </w:r>
            <w:r w:rsidR="00B0728D">
              <w:rPr>
                <w:bCs/>
                <w:sz w:val="22"/>
                <w:szCs w:val="22"/>
              </w:rPr>
              <w:t xml:space="preserve">). These allocations were publicly released on the GEF website on 1 </w:t>
            </w:r>
            <w:r w:rsidR="00993A6E">
              <w:rPr>
                <w:bCs/>
                <w:sz w:val="22"/>
                <w:szCs w:val="22"/>
              </w:rPr>
              <w:t>July</w:t>
            </w:r>
            <w:r w:rsidR="00B0728D">
              <w:rPr>
                <w:bCs/>
                <w:sz w:val="22"/>
                <w:szCs w:val="22"/>
              </w:rPr>
              <w:t xml:space="preserve"> 2018 and reported to the 55th GEF Council in December 2018 (GEF/C.55/Inf.03). </w:t>
            </w:r>
          </w:p>
          <w:p w14:paraId="49C49D5C" w14:textId="77777777" w:rsidR="00B0728D" w:rsidRDefault="00B0728D" w:rsidP="00F47F01">
            <w:pPr>
              <w:rPr>
                <w:bCs/>
                <w:sz w:val="22"/>
                <w:szCs w:val="22"/>
              </w:rPr>
            </w:pPr>
            <w:r>
              <w:rPr>
                <w:bCs/>
                <w:sz w:val="22"/>
                <w:szCs w:val="22"/>
              </w:rPr>
              <w:t>Information on cumulative STAR utili</w:t>
            </w:r>
            <w:r w:rsidR="00D86695">
              <w:rPr>
                <w:bCs/>
                <w:sz w:val="22"/>
                <w:szCs w:val="22"/>
              </w:rPr>
              <w:t>s</w:t>
            </w:r>
            <w:r>
              <w:rPr>
                <w:bCs/>
                <w:sz w:val="22"/>
                <w:szCs w:val="22"/>
              </w:rPr>
              <w:t xml:space="preserve">ations at various levels of aggregation will be available in the </w:t>
            </w:r>
            <w:r w:rsidR="00A060A2">
              <w:rPr>
                <w:bCs/>
                <w:sz w:val="22"/>
                <w:szCs w:val="22"/>
              </w:rPr>
              <w:t>GEF7</w:t>
            </w:r>
            <w:r>
              <w:rPr>
                <w:bCs/>
                <w:sz w:val="22"/>
                <w:szCs w:val="22"/>
              </w:rPr>
              <w:t xml:space="preserve"> Scorecard that will be reported to each Council. The first of these </w:t>
            </w:r>
            <w:r w:rsidR="007B5AA4">
              <w:rPr>
                <w:bCs/>
                <w:sz w:val="22"/>
                <w:szCs w:val="22"/>
              </w:rPr>
              <w:t>was</w:t>
            </w:r>
            <w:r>
              <w:rPr>
                <w:bCs/>
                <w:sz w:val="22"/>
                <w:szCs w:val="22"/>
              </w:rPr>
              <w:t xml:space="preserve"> presented at the June 2019 Council meeting</w:t>
            </w:r>
            <w:r w:rsidR="007B5AA4">
              <w:rPr>
                <w:bCs/>
                <w:sz w:val="22"/>
                <w:szCs w:val="22"/>
              </w:rPr>
              <w:t>.</w:t>
            </w:r>
          </w:p>
          <w:p w14:paraId="16D5B255" w14:textId="77777777" w:rsidR="00B0728D" w:rsidRDefault="00B0728D" w:rsidP="000549A5">
            <w:pPr>
              <w:jc w:val="both"/>
              <w:rPr>
                <w:bCs/>
                <w:sz w:val="22"/>
                <w:szCs w:val="22"/>
              </w:rPr>
            </w:pPr>
          </w:p>
          <w:p w14:paraId="1F272D8A" w14:textId="77777777" w:rsidR="00B0728D" w:rsidRDefault="00B0728D" w:rsidP="000549A5">
            <w:pPr>
              <w:jc w:val="both"/>
              <w:rPr>
                <w:bCs/>
                <w:sz w:val="22"/>
                <w:szCs w:val="22"/>
              </w:rPr>
            </w:pPr>
          </w:p>
        </w:tc>
      </w:tr>
      <w:tr w:rsidR="00B0728D" w14:paraId="497A17ED" w14:textId="77777777" w:rsidTr="00C50614">
        <w:tc>
          <w:tcPr>
            <w:tcW w:w="2122" w:type="dxa"/>
            <w:tcBorders>
              <w:top w:val="single" w:sz="4" w:space="0" w:color="auto"/>
              <w:left w:val="single" w:sz="4" w:space="0" w:color="auto"/>
              <w:bottom w:val="single" w:sz="4" w:space="0" w:color="auto"/>
              <w:right w:val="single" w:sz="4" w:space="0" w:color="auto"/>
            </w:tcBorders>
            <w:hideMark/>
          </w:tcPr>
          <w:p w14:paraId="614C5155" w14:textId="77777777" w:rsidR="00B0728D" w:rsidRDefault="00E732FE">
            <w:pPr>
              <w:rPr>
                <w:bCs/>
                <w:sz w:val="22"/>
                <w:szCs w:val="22"/>
              </w:rPr>
            </w:pPr>
            <w:r>
              <w:rPr>
                <w:bCs/>
                <w:sz w:val="22"/>
                <w:szCs w:val="22"/>
              </w:rPr>
              <w:t>2</w:t>
            </w:r>
            <w:r w:rsidR="00B0728D">
              <w:rPr>
                <w:bCs/>
                <w:sz w:val="22"/>
                <w:szCs w:val="22"/>
              </w:rPr>
              <w:t>.2 Optimising the use of GEF resources in different countries</w:t>
            </w:r>
          </w:p>
        </w:tc>
        <w:tc>
          <w:tcPr>
            <w:tcW w:w="4252" w:type="dxa"/>
            <w:tcBorders>
              <w:top w:val="single" w:sz="4" w:space="0" w:color="auto"/>
              <w:left w:val="single" w:sz="4" w:space="0" w:color="auto"/>
              <w:bottom w:val="single" w:sz="4" w:space="0" w:color="auto"/>
              <w:right w:val="single" w:sz="4" w:space="0" w:color="auto"/>
            </w:tcBorders>
            <w:hideMark/>
          </w:tcPr>
          <w:p w14:paraId="47D90B49" w14:textId="7C66E8A3" w:rsidR="007B5AA4" w:rsidRPr="00675AD3" w:rsidRDefault="007B5AA4" w:rsidP="00675AD3">
            <w:pPr>
              <w:pStyle w:val="ListParagraph"/>
              <w:numPr>
                <w:ilvl w:val="0"/>
                <w:numId w:val="19"/>
              </w:numPr>
              <w:rPr>
                <w:bCs/>
                <w:sz w:val="22"/>
                <w:szCs w:val="22"/>
              </w:rPr>
            </w:pPr>
            <w:r w:rsidRPr="00675AD3">
              <w:rPr>
                <w:bCs/>
                <w:sz w:val="22"/>
                <w:szCs w:val="22"/>
              </w:rPr>
              <w:t>Overall GEF portfolio to reach at least 7:1 Co-Financing ratio to GEF Project Financing</w:t>
            </w:r>
            <w:r w:rsidR="00675AD3" w:rsidRPr="00675AD3">
              <w:rPr>
                <w:bCs/>
                <w:sz w:val="22"/>
                <w:szCs w:val="22"/>
              </w:rPr>
              <w:t>.</w:t>
            </w:r>
            <w:r w:rsidRPr="00675AD3">
              <w:rPr>
                <w:bCs/>
                <w:sz w:val="22"/>
                <w:szCs w:val="22"/>
              </w:rPr>
              <w:t xml:space="preserve"> </w:t>
            </w:r>
          </w:p>
          <w:p w14:paraId="6C92CE74" w14:textId="08E1B6B4" w:rsidR="00B0728D" w:rsidRPr="00675AD3" w:rsidRDefault="007B5AA4" w:rsidP="00675AD3">
            <w:pPr>
              <w:pStyle w:val="ListParagraph"/>
              <w:numPr>
                <w:ilvl w:val="0"/>
                <w:numId w:val="19"/>
              </w:numPr>
              <w:rPr>
                <w:bCs/>
                <w:sz w:val="22"/>
                <w:szCs w:val="22"/>
              </w:rPr>
            </w:pPr>
            <w:r w:rsidRPr="00675AD3">
              <w:rPr>
                <w:bCs/>
                <w:sz w:val="22"/>
                <w:szCs w:val="22"/>
              </w:rPr>
              <w:t>For the portfolio of projects and program</w:t>
            </w:r>
            <w:r w:rsidR="00675AD3" w:rsidRPr="00675AD3">
              <w:rPr>
                <w:bCs/>
                <w:sz w:val="22"/>
                <w:szCs w:val="22"/>
              </w:rPr>
              <w:t>me</w:t>
            </w:r>
            <w:r w:rsidRPr="00675AD3">
              <w:rPr>
                <w:bCs/>
                <w:sz w:val="22"/>
                <w:szCs w:val="22"/>
              </w:rPr>
              <w:t>s approved in Upper-Middle</w:t>
            </w:r>
            <w:r w:rsidR="00675AD3" w:rsidRPr="00675AD3">
              <w:rPr>
                <w:bCs/>
                <w:sz w:val="22"/>
                <w:szCs w:val="22"/>
              </w:rPr>
              <w:t xml:space="preserve"> </w:t>
            </w:r>
            <w:r w:rsidRPr="00675AD3">
              <w:rPr>
                <w:bCs/>
                <w:sz w:val="22"/>
                <w:szCs w:val="22"/>
              </w:rPr>
              <w:t>Income Countries and High-Income Countries that are not SIDS or LDCs to reach a ratio of Investment Mobilised to GEF financing of at least 5:1</w:t>
            </w:r>
            <w:r w:rsidR="00675AD3" w:rsidRPr="00675AD3">
              <w:rPr>
                <w:bCs/>
                <w:sz w:val="22"/>
                <w:szCs w:val="22"/>
              </w:rPr>
              <w:t>.</w:t>
            </w:r>
          </w:p>
          <w:p w14:paraId="5707174C" w14:textId="77777777" w:rsidR="007B5AA4" w:rsidRDefault="007B5AA4" w:rsidP="007B5AA4">
            <w:pPr>
              <w:rPr>
                <w:bCs/>
                <w:sz w:val="22"/>
                <w:szCs w:val="22"/>
              </w:rPr>
            </w:pPr>
          </w:p>
        </w:tc>
        <w:tc>
          <w:tcPr>
            <w:tcW w:w="4008" w:type="dxa"/>
            <w:tcBorders>
              <w:top w:val="single" w:sz="4" w:space="0" w:color="auto"/>
              <w:left w:val="single" w:sz="4" w:space="0" w:color="auto"/>
              <w:bottom w:val="single" w:sz="4" w:space="0" w:color="auto"/>
              <w:right w:val="single" w:sz="4" w:space="0" w:color="auto"/>
            </w:tcBorders>
            <w:hideMark/>
          </w:tcPr>
          <w:p w14:paraId="4615B2D3" w14:textId="77777777" w:rsidR="00B0728D" w:rsidRDefault="007B5AA4" w:rsidP="00F47F01">
            <w:pPr>
              <w:rPr>
                <w:bCs/>
                <w:sz w:val="22"/>
                <w:szCs w:val="22"/>
              </w:rPr>
            </w:pPr>
            <w:r>
              <w:rPr>
                <w:b/>
                <w:bCs/>
                <w:sz w:val="22"/>
                <w:szCs w:val="22"/>
              </w:rPr>
              <w:t xml:space="preserve">Achieved.  </w:t>
            </w:r>
            <w:r>
              <w:rPr>
                <w:bCs/>
                <w:sz w:val="22"/>
                <w:szCs w:val="22"/>
              </w:rPr>
              <w:t>7.8:1 Co-Financing at portfolio level.  5.9:1 Investment Mobilised.</w:t>
            </w:r>
          </w:p>
        </w:tc>
      </w:tr>
      <w:tr w:rsidR="00B0728D" w14:paraId="1DCEF0D9" w14:textId="77777777" w:rsidTr="00C50614">
        <w:tc>
          <w:tcPr>
            <w:tcW w:w="2122" w:type="dxa"/>
            <w:tcBorders>
              <w:top w:val="single" w:sz="4" w:space="0" w:color="auto"/>
              <w:left w:val="single" w:sz="4" w:space="0" w:color="auto"/>
              <w:bottom w:val="single" w:sz="4" w:space="0" w:color="auto"/>
              <w:right w:val="single" w:sz="4" w:space="0" w:color="auto"/>
            </w:tcBorders>
            <w:hideMark/>
          </w:tcPr>
          <w:p w14:paraId="6BF4BFAE" w14:textId="77777777" w:rsidR="00B0728D" w:rsidRDefault="00E732FE">
            <w:pPr>
              <w:rPr>
                <w:bCs/>
                <w:sz w:val="22"/>
                <w:szCs w:val="22"/>
              </w:rPr>
            </w:pPr>
            <w:r>
              <w:rPr>
                <w:bCs/>
                <w:sz w:val="22"/>
                <w:szCs w:val="22"/>
              </w:rPr>
              <w:t>2</w:t>
            </w:r>
            <w:r w:rsidR="00B0728D">
              <w:rPr>
                <w:bCs/>
                <w:sz w:val="22"/>
                <w:szCs w:val="22"/>
              </w:rPr>
              <w:t>.3 Results</w:t>
            </w:r>
          </w:p>
        </w:tc>
        <w:tc>
          <w:tcPr>
            <w:tcW w:w="4252" w:type="dxa"/>
            <w:tcBorders>
              <w:top w:val="single" w:sz="4" w:space="0" w:color="auto"/>
              <w:left w:val="single" w:sz="4" w:space="0" w:color="auto"/>
              <w:bottom w:val="single" w:sz="4" w:space="0" w:color="auto"/>
              <w:right w:val="single" w:sz="4" w:space="0" w:color="auto"/>
            </w:tcBorders>
            <w:hideMark/>
          </w:tcPr>
          <w:p w14:paraId="276A5539" w14:textId="7821EAE7" w:rsidR="00B0728D" w:rsidRPr="00675AD3" w:rsidRDefault="00B0728D" w:rsidP="00F47F01">
            <w:pPr>
              <w:pStyle w:val="ListParagraph"/>
              <w:numPr>
                <w:ilvl w:val="0"/>
                <w:numId w:val="20"/>
              </w:numPr>
              <w:rPr>
                <w:bCs/>
                <w:sz w:val="22"/>
                <w:szCs w:val="22"/>
              </w:rPr>
            </w:pPr>
            <w:r w:rsidRPr="00675AD3">
              <w:rPr>
                <w:bCs/>
                <w:sz w:val="22"/>
                <w:szCs w:val="22"/>
              </w:rPr>
              <w:t>Measures to enhance the sustainability, including financial sustainability of the activities funded by the GEF presented for Council consideration</w:t>
            </w:r>
            <w:r w:rsidR="00675AD3" w:rsidRPr="00675AD3">
              <w:rPr>
                <w:bCs/>
                <w:sz w:val="22"/>
                <w:szCs w:val="22"/>
              </w:rPr>
              <w:t>.</w:t>
            </w:r>
          </w:p>
          <w:p w14:paraId="35542B79" w14:textId="483DAA76" w:rsidR="00B0728D" w:rsidRPr="00675AD3" w:rsidRDefault="00B0728D" w:rsidP="00F47F01">
            <w:pPr>
              <w:pStyle w:val="ListParagraph"/>
              <w:numPr>
                <w:ilvl w:val="0"/>
                <w:numId w:val="20"/>
              </w:numPr>
              <w:rPr>
                <w:bCs/>
                <w:sz w:val="22"/>
                <w:szCs w:val="22"/>
              </w:rPr>
            </w:pPr>
            <w:r w:rsidRPr="00675AD3">
              <w:rPr>
                <w:bCs/>
                <w:sz w:val="22"/>
                <w:szCs w:val="22"/>
              </w:rPr>
              <w:t>Proposal prepared by the Secretariat approved by the Council</w:t>
            </w:r>
            <w:r w:rsidR="00675AD3" w:rsidRPr="00675AD3">
              <w:rPr>
                <w:bCs/>
                <w:sz w:val="22"/>
                <w:szCs w:val="22"/>
              </w:rPr>
              <w:t>.</w:t>
            </w:r>
          </w:p>
        </w:tc>
        <w:tc>
          <w:tcPr>
            <w:tcW w:w="4008" w:type="dxa"/>
            <w:tcBorders>
              <w:top w:val="single" w:sz="4" w:space="0" w:color="auto"/>
              <w:left w:val="single" w:sz="4" w:space="0" w:color="auto"/>
              <w:bottom w:val="single" w:sz="4" w:space="0" w:color="auto"/>
              <w:right w:val="single" w:sz="4" w:space="0" w:color="auto"/>
            </w:tcBorders>
            <w:hideMark/>
          </w:tcPr>
          <w:p w14:paraId="79148A89" w14:textId="77777777" w:rsidR="00B0728D" w:rsidRDefault="00D77BBF" w:rsidP="00F47F01">
            <w:pPr>
              <w:rPr>
                <w:rFonts w:cs="Arial"/>
                <w:sz w:val="22"/>
                <w:szCs w:val="22"/>
              </w:rPr>
            </w:pPr>
            <w:r>
              <w:rPr>
                <w:rFonts w:cs="Arial"/>
                <w:b/>
                <w:sz w:val="22"/>
                <w:szCs w:val="22"/>
              </w:rPr>
              <w:t xml:space="preserve">Achieved.  </w:t>
            </w:r>
            <w:r w:rsidR="00B0728D">
              <w:rPr>
                <w:rFonts w:cs="Arial"/>
                <w:sz w:val="22"/>
                <w:szCs w:val="22"/>
              </w:rPr>
              <w:t>The Secretariat presented Measures to Enhance the Sustainability of GEF Projects and Program</w:t>
            </w:r>
            <w:r w:rsidR="003B51D1">
              <w:rPr>
                <w:rFonts w:cs="Arial"/>
                <w:sz w:val="22"/>
                <w:szCs w:val="22"/>
              </w:rPr>
              <w:t>me</w:t>
            </w:r>
            <w:r w:rsidR="00B0728D">
              <w:rPr>
                <w:rFonts w:cs="Arial"/>
                <w:sz w:val="22"/>
                <w:szCs w:val="22"/>
              </w:rPr>
              <w:t>s (GEF/C.55/Inf.14)</w:t>
            </w:r>
            <w:r w:rsidR="00B0728D">
              <w:rPr>
                <w:rFonts w:cs="Arial"/>
                <w:i/>
                <w:sz w:val="22"/>
                <w:szCs w:val="22"/>
              </w:rPr>
              <w:t xml:space="preserve"> </w:t>
            </w:r>
            <w:r w:rsidR="00B0728D">
              <w:rPr>
                <w:rFonts w:cs="Arial"/>
                <w:sz w:val="22"/>
                <w:szCs w:val="22"/>
              </w:rPr>
              <w:t xml:space="preserve">for Council information in December 2018. </w:t>
            </w:r>
            <w:r>
              <w:rPr>
                <w:rFonts w:cs="Arial"/>
                <w:sz w:val="22"/>
                <w:szCs w:val="22"/>
              </w:rPr>
              <w:t>A further paper, Further Work on the Sustainability of GEF Projects and Program</w:t>
            </w:r>
            <w:r w:rsidR="00950BCD">
              <w:rPr>
                <w:rFonts w:cs="Arial"/>
                <w:sz w:val="22"/>
                <w:szCs w:val="22"/>
              </w:rPr>
              <w:t>me</w:t>
            </w:r>
            <w:r>
              <w:rPr>
                <w:rFonts w:cs="Arial"/>
                <w:sz w:val="22"/>
                <w:szCs w:val="22"/>
              </w:rPr>
              <w:t>s (</w:t>
            </w:r>
            <w:r w:rsidRPr="00D77BBF">
              <w:rPr>
                <w:rFonts w:cs="Arial"/>
                <w:sz w:val="22"/>
                <w:szCs w:val="22"/>
              </w:rPr>
              <w:t>GEF/C.56/Inf.08</w:t>
            </w:r>
            <w:r>
              <w:rPr>
                <w:rFonts w:cs="Arial"/>
                <w:sz w:val="22"/>
                <w:szCs w:val="22"/>
              </w:rPr>
              <w:t>) was presented to Council in June 2019.</w:t>
            </w:r>
          </w:p>
          <w:p w14:paraId="241391D9" w14:textId="77777777" w:rsidR="003809EB" w:rsidRDefault="003809EB" w:rsidP="000549A5">
            <w:pPr>
              <w:jc w:val="both"/>
              <w:rPr>
                <w:bCs/>
                <w:sz w:val="22"/>
                <w:szCs w:val="22"/>
              </w:rPr>
            </w:pPr>
          </w:p>
        </w:tc>
      </w:tr>
    </w:tbl>
    <w:p w14:paraId="26FA8575" w14:textId="77777777" w:rsidR="005A6C52" w:rsidRDefault="005A6C52">
      <w:r>
        <w:br w:type="page"/>
      </w:r>
    </w:p>
    <w:tbl>
      <w:tblPr>
        <w:tblStyle w:val="TableGrid"/>
        <w:tblpPr w:leftFromText="180" w:rightFromText="180" w:vertAnchor="text" w:horzAnchor="page" w:tblpX="909" w:tblpY="-10"/>
        <w:tblOverlap w:val="never"/>
        <w:tblW w:w="10382" w:type="dxa"/>
        <w:tblLook w:val="04A0" w:firstRow="1" w:lastRow="0" w:firstColumn="1" w:lastColumn="0" w:noHBand="0" w:noVBand="1"/>
      </w:tblPr>
      <w:tblGrid>
        <w:gridCol w:w="3506"/>
        <w:gridCol w:w="3239"/>
        <w:gridCol w:w="3637"/>
      </w:tblGrid>
      <w:tr w:rsidR="00B0728D" w14:paraId="21330474" w14:textId="77777777" w:rsidTr="00B0728D">
        <w:tc>
          <w:tcPr>
            <w:tcW w:w="3506" w:type="dxa"/>
            <w:tcBorders>
              <w:top w:val="single" w:sz="4" w:space="0" w:color="auto"/>
              <w:left w:val="single" w:sz="4" w:space="0" w:color="auto"/>
              <w:bottom w:val="single" w:sz="4" w:space="0" w:color="auto"/>
              <w:right w:val="single" w:sz="4" w:space="0" w:color="auto"/>
            </w:tcBorders>
            <w:hideMark/>
          </w:tcPr>
          <w:p w14:paraId="73DE9E0F" w14:textId="77777777" w:rsidR="00B0728D" w:rsidRDefault="00E732FE">
            <w:pPr>
              <w:rPr>
                <w:bCs/>
                <w:sz w:val="22"/>
                <w:szCs w:val="22"/>
              </w:rPr>
            </w:pPr>
            <w:r>
              <w:rPr>
                <w:bCs/>
                <w:sz w:val="22"/>
                <w:szCs w:val="22"/>
              </w:rPr>
              <w:lastRenderedPageBreak/>
              <w:t>2</w:t>
            </w:r>
            <w:r w:rsidR="00B0728D">
              <w:rPr>
                <w:bCs/>
                <w:sz w:val="22"/>
                <w:szCs w:val="22"/>
              </w:rPr>
              <w:t>.4 Private sector engagement</w:t>
            </w:r>
          </w:p>
        </w:tc>
        <w:tc>
          <w:tcPr>
            <w:tcW w:w="3239" w:type="dxa"/>
            <w:tcBorders>
              <w:top w:val="single" w:sz="4" w:space="0" w:color="auto"/>
              <w:left w:val="single" w:sz="4" w:space="0" w:color="auto"/>
              <w:bottom w:val="single" w:sz="4" w:space="0" w:color="auto"/>
              <w:right w:val="single" w:sz="4" w:space="0" w:color="auto"/>
            </w:tcBorders>
            <w:hideMark/>
          </w:tcPr>
          <w:p w14:paraId="3E62AD5F" w14:textId="77777777" w:rsidR="00B0728D" w:rsidRPr="00675AD3" w:rsidRDefault="00B0728D" w:rsidP="00F47F01">
            <w:pPr>
              <w:pStyle w:val="ListParagraph"/>
              <w:numPr>
                <w:ilvl w:val="0"/>
                <w:numId w:val="21"/>
              </w:numPr>
              <w:rPr>
                <w:bCs/>
                <w:sz w:val="22"/>
                <w:szCs w:val="22"/>
              </w:rPr>
            </w:pPr>
            <w:r w:rsidRPr="00675AD3">
              <w:rPr>
                <w:bCs/>
                <w:sz w:val="22"/>
                <w:szCs w:val="22"/>
              </w:rPr>
              <w:t>Strategy on private sector engagement presented for Council consideration</w:t>
            </w:r>
          </w:p>
          <w:p w14:paraId="6AA1DC2B" w14:textId="34B7F289" w:rsidR="00B0728D" w:rsidRPr="00675AD3" w:rsidRDefault="00B0728D" w:rsidP="00F47F01">
            <w:pPr>
              <w:pStyle w:val="ListParagraph"/>
              <w:numPr>
                <w:ilvl w:val="0"/>
                <w:numId w:val="21"/>
              </w:numPr>
              <w:rPr>
                <w:bCs/>
                <w:sz w:val="22"/>
                <w:szCs w:val="22"/>
              </w:rPr>
            </w:pPr>
            <w:r w:rsidRPr="00675AD3">
              <w:rPr>
                <w:bCs/>
                <w:sz w:val="22"/>
                <w:szCs w:val="22"/>
              </w:rPr>
              <w:t>Strategy prepared by the Secretariat approved by the Council</w:t>
            </w:r>
          </w:p>
        </w:tc>
        <w:tc>
          <w:tcPr>
            <w:tcW w:w="3637" w:type="dxa"/>
            <w:tcBorders>
              <w:top w:val="single" w:sz="4" w:space="0" w:color="auto"/>
              <w:left w:val="single" w:sz="4" w:space="0" w:color="auto"/>
              <w:bottom w:val="single" w:sz="4" w:space="0" w:color="auto"/>
              <w:right w:val="single" w:sz="4" w:space="0" w:color="auto"/>
            </w:tcBorders>
            <w:hideMark/>
          </w:tcPr>
          <w:p w14:paraId="5E884279" w14:textId="77777777" w:rsidR="00B0728D" w:rsidRDefault="00BB35A9" w:rsidP="00F47F01">
            <w:pPr>
              <w:rPr>
                <w:bCs/>
                <w:sz w:val="22"/>
                <w:szCs w:val="22"/>
              </w:rPr>
            </w:pPr>
            <w:r>
              <w:rPr>
                <w:b/>
                <w:bCs/>
                <w:sz w:val="22"/>
                <w:szCs w:val="22"/>
              </w:rPr>
              <w:t xml:space="preserve">Partially </w:t>
            </w:r>
            <w:r w:rsidR="0094725D">
              <w:rPr>
                <w:b/>
                <w:bCs/>
                <w:sz w:val="22"/>
                <w:szCs w:val="22"/>
              </w:rPr>
              <w:t xml:space="preserve">Achieved.  </w:t>
            </w:r>
            <w:r w:rsidR="00B0728D">
              <w:rPr>
                <w:bCs/>
                <w:sz w:val="22"/>
                <w:szCs w:val="22"/>
              </w:rPr>
              <w:t>In the June 2019 meeting the Secretariat inform</w:t>
            </w:r>
            <w:r w:rsidR="0092506F">
              <w:rPr>
                <w:bCs/>
                <w:sz w:val="22"/>
                <w:szCs w:val="22"/>
              </w:rPr>
              <w:t>ed</w:t>
            </w:r>
            <w:r w:rsidR="00B0728D">
              <w:rPr>
                <w:bCs/>
                <w:sz w:val="22"/>
                <w:szCs w:val="22"/>
              </w:rPr>
              <w:t xml:space="preserve"> the Council (GEF/C.56/Inf.05) of the composition of private sector advisory group and of its plan to submit the draft private sector for Council consideration at its 57th meeting in December 2019.</w:t>
            </w:r>
          </w:p>
          <w:p w14:paraId="2C6B0888" w14:textId="77777777" w:rsidR="0094725D" w:rsidRDefault="0094725D">
            <w:pPr>
              <w:rPr>
                <w:bCs/>
                <w:sz w:val="22"/>
                <w:szCs w:val="22"/>
              </w:rPr>
            </w:pPr>
          </w:p>
        </w:tc>
      </w:tr>
      <w:tr w:rsidR="00B0728D" w14:paraId="5FDF29EA" w14:textId="77777777" w:rsidTr="00B0728D">
        <w:tc>
          <w:tcPr>
            <w:tcW w:w="3506" w:type="dxa"/>
            <w:tcBorders>
              <w:top w:val="single" w:sz="4" w:space="0" w:color="auto"/>
              <w:left w:val="single" w:sz="4" w:space="0" w:color="auto"/>
              <w:bottom w:val="single" w:sz="4" w:space="0" w:color="auto"/>
              <w:right w:val="single" w:sz="4" w:space="0" w:color="auto"/>
            </w:tcBorders>
            <w:hideMark/>
          </w:tcPr>
          <w:p w14:paraId="3D3E8EB6" w14:textId="77777777" w:rsidR="00B0728D" w:rsidRDefault="00E732FE">
            <w:pPr>
              <w:rPr>
                <w:bCs/>
                <w:sz w:val="22"/>
                <w:szCs w:val="22"/>
              </w:rPr>
            </w:pPr>
            <w:r>
              <w:rPr>
                <w:bCs/>
                <w:sz w:val="22"/>
                <w:szCs w:val="22"/>
              </w:rPr>
              <w:t>2</w:t>
            </w:r>
            <w:r w:rsidR="00B0728D">
              <w:rPr>
                <w:bCs/>
                <w:sz w:val="22"/>
                <w:szCs w:val="22"/>
              </w:rPr>
              <w:t>.5 Operational efficiency and transparency</w:t>
            </w:r>
          </w:p>
        </w:tc>
        <w:tc>
          <w:tcPr>
            <w:tcW w:w="3239" w:type="dxa"/>
            <w:tcBorders>
              <w:top w:val="single" w:sz="4" w:space="0" w:color="auto"/>
              <w:left w:val="single" w:sz="4" w:space="0" w:color="auto"/>
              <w:bottom w:val="single" w:sz="4" w:space="0" w:color="auto"/>
              <w:right w:val="single" w:sz="4" w:space="0" w:color="auto"/>
            </w:tcBorders>
            <w:hideMark/>
          </w:tcPr>
          <w:p w14:paraId="23F5BB47" w14:textId="5E5D3099" w:rsidR="00B0728D" w:rsidRPr="00675AD3" w:rsidRDefault="00B0728D" w:rsidP="00F47F01">
            <w:pPr>
              <w:pStyle w:val="ListParagraph"/>
              <w:numPr>
                <w:ilvl w:val="0"/>
                <w:numId w:val="22"/>
              </w:numPr>
              <w:rPr>
                <w:bCs/>
                <w:sz w:val="22"/>
                <w:szCs w:val="22"/>
              </w:rPr>
            </w:pPr>
            <w:r w:rsidRPr="00675AD3">
              <w:rPr>
                <w:bCs/>
                <w:sz w:val="22"/>
                <w:szCs w:val="22"/>
              </w:rPr>
              <w:t>Proposal with additional policy measures to enhance the operational efficiency and transparency presented for Council consideration</w:t>
            </w:r>
            <w:r w:rsidR="00675AD3">
              <w:rPr>
                <w:bCs/>
                <w:sz w:val="22"/>
                <w:szCs w:val="22"/>
              </w:rPr>
              <w:t>.</w:t>
            </w:r>
          </w:p>
          <w:p w14:paraId="251E607F" w14:textId="381E3D57" w:rsidR="00B0728D" w:rsidRPr="00675AD3" w:rsidRDefault="00B0728D" w:rsidP="00F47F01">
            <w:pPr>
              <w:pStyle w:val="ListParagraph"/>
              <w:numPr>
                <w:ilvl w:val="0"/>
                <w:numId w:val="22"/>
              </w:numPr>
              <w:rPr>
                <w:bCs/>
                <w:sz w:val="22"/>
                <w:szCs w:val="22"/>
              </w:rPr>
            </w:pPr>
            <w:r w:rsidRPr="00675AD3">
              <w:rPr>
                <w:bCs/>
                <w:sz w:val="22"/>
                <w:szCs w:val="22"/>
              </w:rPr>
              <w:t>Proposal prepared by the Secretariat approved by the Council</w:t>
            </w:r>
            <w:r w:rsidR="00675AD3">
              <w:rPr>
                <w:bCs/>
                <w:sz w:val="22"/>
                <w:szCs w:val="22"/>
              </w:rPr>
              <w:t>.</w:t>
            </w:r>
          </w:p>
        </w:tc>
        <w:tc>
          <w:tcPr>
            <w:tcW w:w="3637" w:type="dxa"/>
            <w:tcBorders>
              <w:top w:val="single" w:sz="4" w:space="0" w:color="auto"/>
              <w:left w:val="single" w:sz="4" w:space="0" w:color="auto"/>
              <w:bottom w:val="single" w:sz="4" w:space="0" w:color="auto"/>
              <w:right w:val="single" w:sz="4" w:space="0" w:color="auto"/>
            </w:tcBorders>
            <w:hideMark/>
          </w:tcPr>
          <w:p w14:paraId="1968A97A" w14:textId="77777777" w:rsidR="00B0728D" w:rsidRDefault="00904527" w:rsidP="00F47F01">
            <w:pPr>
              <w:rPr>
                <w:bCs/>
                <w:sz w:val="22"/>
                <w:szCs w:val="22"/>
              </w:rPr>
            </w:pPr>
            <w:r>
              <w:rPr>
                <w:b/>
                <w:bCs/>
                <w:sz w:val="22"/>
                <w:szCs w:val="22"/>
              </w:rPr>
              <w:t xml:space="preserve">Achieved.  </w:t>
            </w:r>
            <w:r w:rsidR="00B0728D">
              <w:rPr>
                <w:bCs/>
                <w:sz w:val="22"/>
                <w:szCs w:val="22"/>
              </w:rPr>
              <w:t xml:space="preserve">In its 55th meeting, the Council approved Policy Measures to Enhance Operational Efficiency, Accountability and Transparency (document GEF/C.55/04/Rev.01) in December 2018. The Secretariat will report on the effectiveness of these measures and share with the Council information on the performance of each Agency on regular basis. These policy measures became effective on </w:t>
            </w:r>
            <w:r>
              <w:rPr>
                <w:bCs/>
                <w:sz w:val="22"/>
                <w:szCs w:val="22"/>
              </w:rPr>
              <w:t>1</w:t>
            </w:r>
            <w:r w:rsidRPr="00904527">
              <w:rPr>
                <w:bCs/>
                <w:sz w:val="22"/>
                <w:szCs w:val="22"/>
                <w:vertAlign w:val="superscript"/>
              </w:rPr>
              <w:t>st</w:t>
            </w:r>
            <w:r>
              <w:rPr>
                <w:bCs/>
                <w:sz w:val="22"/>
                <w:szCs w:val="22"/>
              </w:rPr>
              <w:t xml:space="preserve"> March</w:t>
            </w:r>
            <w:r w:rsidR="00B0728D">
              <w:rPr>
                <w:bCs/>
                <w:sz w:val="22"/>
                <w:szCs w:val="22"/>
              </w:rPr>
              <w:t xml:space="preserve"> 2019</w:t>
            </w:r>
            <w:r>
              <w:rPr>
                <w:bCs/>
                <w:sz w:val="22"/>
                <w:szCs w:val="22"/>
              </w:rPr>
              <w:t>.</w:t>
            </w:r>
          </w:p>
          <w:p w14:paraId="5F3A6FC8" w14:textId="77777777" w:rsidR="00904527" w:rsidRDefault="00904527">
            <w:pPr>
              <w:rPr>
                <w:bCs/>
                <w:sz w:val="22"/>
                <w:szCs w:val="22"/>
              </w:rPr>
            </w:pPr>
          </w:p>
        </w:tc>
      </w:tr>
      <w:tr w:rsidR="00B0728D" w14:paraId="63D82AC2" w14:textId="77777777" w:rsidTr="00B0728D">
        <w:tc>
          <w:tcPr>
            <w:tcW w:w="3506" w:type="dxa"/>
            <w:tcBorders>
              <w:top w:val="single" w:sz="4" w:space="0" w:color="auto"/>
              <w:left w:val="single" w:sz="4" w:space="0" w:color="auto"/>
              <w:bottom w:val="single" w:sz="4" w:space="0" w:color="auto"/>
              <w:right w:val="single" w:sz="4" w:space="0" w:color="auto"/>
            </w:tcBorders>
            <w:hideMark/>
          </w:tcPr>
          <w:p w14:paraId="0F57E32E" w14:textId="77777777" w:rsidR="00B0728D" w:rsidRDefault="00E732FE">
            <w:pPr>
              <w:rPr>
                <w:bCs/>
                <w:sz w:val="22"/>
                <w:szCs w:val="22"/>
              </w:rPr>
            </w:pPr>
            <w:r>
              <w:rPr>
                <w:bCs/>
                <w:sz w:val="22"/>
                <w:szCs w:val="22"/>
              </w:rPr>
              <w:t>2</w:t>
            </w:r>
            <w:r w:rsidR="00B0728D">
              <w:rPr>
                <w:bCs/>
                <w:sz w:val="22"/>
                <w:szCs w:val="22"/>
              </w:rPr>
              <w:t>.6 Improved management of data and information</w:t>
            </w:r>
          </w:p>
        </w:tc>
        <w:tc>
          <w:tcPr>
            <w:tcW w:w="3239" w:type="dxa"/>
            <w:tcBorders>
              <w:top w:val="single" w:sz="4" w:space="0" w:color="auto"/>
              <w:left w:val="single" w:sz="4" w:space="0" w:color="auto"/>
              <w:bottom w:val="single" w:sz="4" w:space="0" w:color="auto"/>
              <w:right w:val="single" w:sz="4" w:space="0" w:color="auto"/>
            </w:tcBorders>
            <w:hideMark/>
          </w:tcPr>
          <w:p w14:paraId="39B32823" w14:textId="4BB5CA38" w:rsidR="00B0728D" w:rsidRPr="00675AD3" w:rsidRDefault="00B0728D" w:rsidP="00F47F01">
            <w:pPr>
              <w:pStyle w:val="ListParagraph"/>
              <w:numPr>
                <w:ilvl w:val="0"/>
                <w:numId w:val="23"/>
              </w:numPr>
              <w:rPr>
                <w:bCs/>
                <w:sz w:val="22"/>
                <w:szCs w:val="22"/>
              </w:rPr>
            </w:pPr>
            <w:r w:rsidRPr="00675AD3">
              <w:rPr>
                <w:bCs/>
                <w:sz w:val="22"/>
                <w:szCs w:val="22"/>
              </w:rPr>
              <w:t>First publication of data on GEF financing and results to the IATI Registry</w:t>
            </w:r>
            <w:r w:rsidR="00675AD3">
              <w:rPr>
                <w:bCs/>
                <w:sz w:val="22"/>
                <w:szCs w:val="22"/>
              </w:rPr>
              <w:t>.</w:t>
            </w:r>
          </w:p>
          <w:p w14:paraId="2917AB0C" w14:textId="181B9C37" w:rsidR="00B0728D" w:rsidRPr="00675AD3" w:rsidRDefault="00B0728D" w:rsidP="00F47F01">
            <w:pPr>
              <w:pStyle w:val="ListParagraph"/>
              <w:numPr>
                <w:ilvl w:val="0"/>
                <w:numId w:val="23"/>
              </w:numPr>
              <w:rPr>
                <w:bCs/>
                <w:sz w:val="22"/>
                <w:szCs w:val="22"/>
              </w:rPr>
            </w:pPr>
            <w:r w:rsidRPr="00675AD3">
              <w:rPr>
                <w:bCs/>
                <w:sz w:val="22"/>
                <w:szCs w:val="22"/>
              </w:rPr>
              <w:t>Publication of data on GEF financing and results to the IATI Registry</w:t>
            </w:r>
            <w:r w:rsidR="00675AD3">
              <w:rPr>
                <w:bCs/>
                <w:sz w:val="22"/>
                <w:szCs w:val="22"/>
              </w:rPr>
              <w:t>.</w:t>
            </w:r>
          </w:p>
        </w:tc>
        <w:tc>
          <w:tcPr>
            <w:tcW w:w="3637" w:type="dxa"/>
            <w:tcBorders>
              <w:top w:val="single" w:sz="4" w:space="0" w:color="auto"/>
              <w:left w:val="single" w:sz="4" w:space="0" w:color="auto"/>
              <w:bottom w:val="single" w:sz="4" w:space="0" w:color="auto"/>
              <w:right w:val="single" w:sz="4" w:space="0" w:color="auto"/>
            </w:tcBorders>
            <w:hideMark/>
          </w:tcPr>
          <w:p w14:paraId="0C09A728" w14:textId="77777777" w:rsidR="00B0728D" w:rsidRDefault="008A2C81" w:rsidP="00F47F01">
            <w:pPr>
              <w:rPr>
                <w:bCs/>
                <w:sz w:val="22"/>
                <w:szCs w:val="22"/>
              </w:rPr>
            </w:pPr>
            <w:r>
              <w:rPr>
                <w:b/>
                <w:bCs/>
                <w:sz w:val="22"/>
                <w:szCs w:val="22"/>
              </w:rPr>
              <w:t xml:space="preserve">Partially </w:t>
            </w:r>
            <w:r w:rsidR="00904527">
              <w:rPr>
                <w:b/>
                <w:bCs/>
                <w:sz w:val="22"/>
                <w:szCs w:val="22"/>
              </w:rPr>
              <w:t xml:space="preserve">Achieved.  </w:t>
            </w:r>
            <w:r w:rsidR="00B0728D">
              <w:rPr>
                <w:bCs/>
                <w:sz w:val="22"/>
                <w:szCs w:val="22"/>
              </w:rPr>
              <w:t xml:space="preserve">Secretariat has initiated the process by creating an IATI publisher account and will publish its first data set following Creative Commons Attribution 4.0 International License (CC </w:t>
            </w:r>
            <w:r w:rsidR="009E6F9B">
              <w:rPr>
                <w:bCs/>
                <w:sz w:val="22"/>
                <w:szCs w:val="22"/>
              </w:rPr>
              <w:t>by</w:t>
            </w:r>
            <w:r w:rsidR="00B0728D">
              <w:rPr>
                <w:bCs/>
                <w:sz w:val="22"/>
                <w:szCs w:val="22"/>
              </w:rPr>
              <w:t xml:space="preserve"> 4.0) by </w:t>
            </w:r>
            <w:r w:rsidR="00904527">
              <w:rPr>
                <w:bCs/>
                <w:sz w:val="22"/>
                <w:szCs w:val="22"/>
              </w:rPr>
              <w:t>30</w:t>
            </w:r>
            <w:r w:rsidR="00904527" w:rsidRPr="00904527">
              <w:rPr>
                <w:bCs/>
                <w:sz w:val="22"/>
                <w:szCs w:val="22"/>
                <w:vertAlign w:val="superscript"/>
              </w:rPr>
              <w:t>th</w:t>
            </w:r>
            <w:r w:rsidR="00904527">
              <w:rPr>
                <w:bCs/>
                <w:sz w:val="22"/>
                <w:szCs w:val="22"/>
              </w:rPr>
              <w:t xml:space="preserve"> June</w:t>
            </w:r>
            <w:r w:rsidR="00B0728D">
              <w:rPr>
                <w:bCs/>
                <w:sz w:val="22"/>
                <w:szCs w:val="22"/>
              </w:rPr>
              <w:t xml:space="preserve"> 2019.</w:t>
            </w:r>
          </w:p>
          <w:p w14:paraId="695E5B0F" w14:textId="77777777" w:rsidR="00904527" w:rsidRDefault="00904527" w:rsidP="00F47F01">
            <w:pPr>
              <w:rPr>
                <w:bCs/>
                <w:sz w:val="22"/>
                <w:szCs w:val="22"/>
              </w:rPr>
            </w:pPr>
          </w:p>
        </w:tc>
      </w:tr>
      <w:tr w:rsidR="00B0728D" w14:paraId="743DA1FA" w14:textId="77777777" w:rsidTr="00B0728D">
        <w:tc>
          <w:tcPr>
            <w:tcW w:w="3506" w:type="dxa"/>
            <w:tcBorders>
              <w:top w:val="single" w:sz="4" w:space="0" w:color="auto"/>
              <w:left w:val="single" w:sz="4" w:space="0" w:color="auto"/>
              <w:bottom w:val="single" w:sz="4" w:space="0" w:color="auto"/>
              <w:right w:val="single" w:sz="4" w:space="0" w:color="auto"/>
            </w:tcBorders>
            <w:hideMark/>
          </w:tcPr>
          <w:p w14:paraId="76ED4C49" w14:textId="77777777" w:rsidR="00B0728D" w:rsidRDefault="00E732FE">
            <w:pPr>
              <w:rPr>
                <w:bCs/>
                <w:sz w:val="22"/>
                <w:szCs w:val="22"/>
              </w:rPr>
            </w:pPr>
            <w:r>
              <w:rPr>
                <w:bCs/>
                <w:sz w:val="22"/>
                <w:szCs w:val="22"/>
              </w:rPr>
              <w:t>2</w:t>
            </w:r>
            <w:r w:rsidR="00B0728D">
              <w:rPr>
                <w:bCs/>
                <w:sz w:val="22"/>
                <w:szCs w:val="22"/>
              </w:rPr>
              <w:t>.7 Gender equality and women’s empowerment</w:t>
            </w:r>
          </w:p>
        </w:tc>
        <w:tc>
          <w:tcPr>
            <w:tcW w:w="3239" w:type="dxa"/>
            <w:tcBorders>
              <w:top w:val="single" w:sz="4" w:space="0" w:color="auto"/>
              <w:left w:val="single" w:sz="4" w:space="0" w:color="auto"/>
              <w:bottom w:val="single" w:sz="4" w:space="0" w:color="auto"/>
              <w:right w:val="single" w:sz="4" w:space="0" w:color="auto"/>
            </w:tcBorders>
            <w:hideMark/>
          </w:tcPr>
          <w:p w14:paraId="0894775F" w14:textId="77777777" w:rsidR="00B0728D" w:rsidRPr="00675AD3" w:rsidRDefault="00B0728D" w:rsidP="00F47F01">
            <w:pPr>
              <w:pStyle w:val="ListParagraph"/>
              <w:numPr>
                <w:ilvl w:val="0"/>
                <w:numId w:val="24"/>
              </w:numPr>
              <w:rPr>
                <w:bCs/>
                <w:sz w:val="22"/>
                <w:szCs w:val="22"/>
              </w:rPr>
            </w:pPr>
            <w:r w:rsidRPr="00675AD3">
              <w:rPr>
                <w:bCs/>
                <w:sz w:val="22"/>
                <w:szCs w:val="22"/>
              </w:rPr>
              <w:t xml:space="preserve">Council agreed measures in GEF7 gender strategy being implemented according to agreed timetable.  </w:t>
            </w:r>
          </w:p>
          <w:p w14:paraId="42B42BE3" w14:textId="42451892" w:rsidR="00B0728D" w:rsidRPr="00675AD3" w:rsidRDefault="00B0728D" w:rsidP="00F47F01">
            <w:pPr>
              <w:pStyle w:val="ListParagraph"/>
              <w:numPr>
                <w:ilvl w:val="0"/>
                <w:numId w:val="24"/>
              </w:numPr>
              <w:rPr>
                <w:bCs/>
                <w:sz w:val="22"/>
                <w:szCs w:val="22"/>
              </w:rPr>
            </w:pPr>
            <w:r w:rsidRPr="00675AD3">
              <w:rPr>
                <w:bCs/>
                <w:sz w:val="22"/>
                <w:szCs w:val="22"/>
              </w:rPr>
              <w:t>Annual updates by the Secretariat on the progress on activities outlined in the Strategy, as well as on the results framework.</w:t>
            </w:r>
          </w:p>
          <w:p w14:paraId="15047C08" w14:textId="4A57EAA0" w:rsidR="00B0728D" w:rsidRPr="00675AD3" w:rsidRDefault="00B0728D" w:rsidP="00F47F01">
            <w:pPr>
              <w:pStyle w:val="ListParagraph"/>
              <w:numPr>
                <w:ilvl w:val="0"/>
                <w:numId w:val="24"/>
              </w:numPr>
              <w:rPr>
                <w:bCs/>
                <w:sz w:val="22"/>
                <w:szCs w:val="22"/>
              </w:rPr>
            </w:pPr>
            <w:r w:rsidRPr="00675AD3">
              <w:rPr>
                <w:bCs/>
                <w:sz w:val="22"/>
                <w:szCs w:val="22"/>
              </w:rPr>
              <w:t>Percentage of projects that have conducted a gender analysis, plan to carry out gender-responsive activities and include sex-disaggregated and gender-sensitive indicators</w:t>
            </w:r>
            <w:r w:rsidR="00675AD3" w:rsidRPr="00675AD3">
              <w:rPr>
                <w:bCs/>
                <w:sz w:val="22"/>
                <w:szCs w:val="22"/>
              </w:rPr>
              <w:t>.</w:t>
            </w:r>
          </w:p>
          <w:p w14:paraId="68170D34" w14:textId="77777777" w:rsidR="001E05CD" w:rsidRDefault="001E05CD" w:rsidP="000549A5">
            <w:pPr>
              <w:jc w:val="both"/>
              <w:rPr>
                <w:bCs/>
                <w:sz w:val="22"/>
                <w:szCs w:val="22"/>
              </w:rPr>
            </w:pPr>
          </w:p>
        </w:tc>
        <w:tc>
          <w:tcPr>
            <w:tcW w:w="3637" w:type="dxa"/>
            <w:tcBorders>
              <w:top w:val="single" w:sz="4" w:space="0" w:color="auto"/>
              <w:left w:val="single" w:sz="4" w:space="0" w:color="auto"/>
              <w:bottom w:val="single" w:sz="4" w:space="0" w:color="auto"/>
              <w:right w:val="single" w:sz="4" w:space="0" w:color="auto"/>
            </w:tcBorders>
          </w:tcPr>
          <w:p w14:paraId="57627CF9" w14:textId="77777777" w:rsidR="00B0728D" w:rsidRDefault="00946489" w:rsidP="00F47F01">
            <w:pPr>
              <w:rPr>
                <w:bCs/>
                <w:sz w:val="22"/>
                <w:szCs w:val="22"/>
              </w:rPr>
            </w:pPr>
            <w:r>
              <w:rPr>
                <w:b/>
                <w:bCs/>
                <w:sz w:val="22"/>
                <w:szCs w:val="22"/>
              </w:rPr>
              <w:t xml:space="preserve">Achieved.  </w:t>
            </w:r>
            <w:r w:rsidR="00B0728D">
              <w:rPr>
                <w:bCs/>
                <w:sz w:val="22"/>
                <w:szCs w:val="22"/>
              </w:rPr>
              <w:t xml:space="preserve">Progress report on the GEF gender implementation strategy (GEF/C.56/Inf.03) presented at the June 2019 Council. </w:t>
            </w:r>
            <w:r w:rsidR="00DC6D5B">
              <w:rPr>
                <w:bCs/>
                <w:sz w:val="22"/>
                <w:szCs w:val="22"/>
              </w:rPr>
              <w:t xml:space="preserve"> </w:t>
            </w:r>
            <w:r w:rsidR="00196294">
              <w:t xml:space="preserve"> </w:t>
            </w:r>
            <w:r w:rsidR="00196294" w:rsidRPr="00196294">
              <w:rPr>
                <w:bCs/>
                <w:sz w:val="22"/>
                <w:szCs w:val="22"/>
              </w:rPr>
              <w:t>98</w:t>
            </w:r>
            <w:r w:rsidR="00196294">
              <w:rPr>
                <w:bCs/>
                <w:sz w:val="22"/>
                <w:szCs w:val="22"/>
              </w:rPr>
              <w:t xml:space="preserve">% </w:t>
            </w:r>
            <w:r w:rsidR="00196294" w:rsidRPr="00196294">
              <w:rPr>
                <w:bCs/>
                <w:sz w:val="22"/>
                <w:szCs w:val="22"/>
              </w:rPr>
              <w:t xml:space="preserve">of </w:t>
            </w:r>
            <w:r w:rsidR="00A060A2">
              <w:rPr>
                <w:bCs/>
                <w:sz w:val="22"/>
                <w:szCs w:val="22"/>
              </w:rPr>
              <w:t>GEF7</w:t>
            </w:r>
            <w:r w:rsidR="00083E7B">
              <w:rPr>
                <w:bCs/>
                <w:sz w:val="22"/>
                <w:szCs w:val="22"/>
              </w:rPr>
              <w:t xml:space="preserve"> </w:t>
            </w:r>
            <w:r w:rsidR="00196294" w:rsidRPr="00196294">
              <w:rPr>
                <w:bCs/>
                <w:sz w:val="22"/>
                <w:szCs w:val="22"/>
              </w:rPr>
              <w:t>projects provided indicative information on gender relevant to the proposed activities</w:t>
            </w:r>
            <w:r w:rsidR="00BA49FF">
              <w:rPr>
                <w:bCs/>
                <w:sz w:val="22"/>
                <w:szCs w:val="22"/>
              </w:rPr>
              <w:t>,</w:t>
            </w:r>
            <w:r w:rsidR="00ED34B9">
              <w:t xml:space="preserve"> </w:t>
            </w:r>
            <w:r w:rsidR="00ED34B9" w:rsidRPr="00ED34B9">
              <w:rPr>
                <w:bCs/>
                <w:sz w:val="22"/>
                <w:szCs w:val="22"/>
              </w:rPr>
              <w:t>94</w:t>
            </w:r>
            <w:r w:rsidR="00ED34B9">
              <w:rPr>
                <w:bCs/>
                <w:sz w:val="22"/>
                <w:szCs w:val="22"/>
              </w:rPr>
              <w:t>%</w:t>
            </w:r>
            <w:r w:rsidR="00ED34B9" w:rsidRPr="00ED34B9">
              <w:rPr>
                <w:bCs/>
                <w:sz w:val="22"/>
                <w:szCs w:val="22"/>
              </w:rPr>
              <w:t xml:space="preserve"> of projects are tagged to contribute to closing gender gaps</w:t>
            </w:r>
            <w:r w:rsidR="00BA49FF">
              <w:rPr>
                <w:bCs/>
                <w:sz w:val="22"/>
                <w:szCs w:val="22"/>
              </w:rPr>
              <w:t xml:space="preserve"> </w:t>
            </w:r>
            <w:r w:rsidR="00ED34B9">
              <w:rPr>
                <w:bCs/>
                <w:sz w:val="22"/>
                <w:szCs w:val="22"/>
              </w:rPr>
              <w:t xml:space="preserve">and </w:t>
            </w:r>
            <w:r w:rsidR="009F3C2E" w:rsidRPr="009F3C2E">
              <w:rPr>
                <w:bCs/>
                <w:sz w:val="22"/>
                <w:szCs w:val="22"/>
              </w:rPr>
              <w:t>85</w:t>
            </w:r>
            <w:r w:rsidR="009F3C2E">
              <w:rPr>
                <w:bCs/>
                <w:sz w:val="22"/>
                <w:szCs w:val="22"/>
              </w:rPr>
              <w:t>%</w:t>
            </w:r>
            <w:r w:rsidR="009F3C2E" w:rsidRPr="009F3C2E">
              <w:rPr>
                <w:bCs/>
                <w:sz w:val="22"/>
                <w:szCs w:val="22"/>
              </w:rPr>
              <w:t xml:space="preserve"> of projects explicitly stated that they expect to develop sex disaggregated and gender sensitive indicators</w:t>
            </w:r>
            <w:r w:rsidR="009F3C2E">
              <w:rPr>
                <w:bCs/>
                <w:sz w:val="22"/>
                <w:szCs w:val="22"/>
              </w:rPr>
              <w:t>.</w:t>
            </w:r>
          </w:p>
          <w:p w14:paraId="78614AAC" w14:textId="77777777" w:rsidR="00B0728D" w:rsidRDefault="00B0728D">
            <w:pPr>
              <w:rPr>
                <w:bCs/>
                <w:sz w:val="22"/>
                <w:szCs w:val="22"/>
              </w:rPr>
            </w:pPr>
          </w:p>
          <w:p w14:paraId="477AB01B" w14:textId="77777777" w:rsidR="00B0728D" w:rsidRDefault="00B0728D">
            <w:pPr>
              <w:rPr>
                <w:bCs/>
                <w:sz w:val="22"/>
                <w:szCs w:val="22"/>
              </w:rPr>
            </w:pPr>
          </w:p>
          <w:p w14:paraId="48C2CCF5" w14:textId="77777777" w:rsidR="00B0728D" w:rsidRDefault="00B0728D">
            <w:pPr>
              <w:rPr>
                <w:bCs/>
                <w:sz w:val="22"/>
                <w:szCs w:val="22"/>
              </w:rPr>
            </w:pPr>
          </w:p>
        </w:tc>
      </w:tr>
    </w:tbl>
    <w:p w14:paraId="7B7BDEE4" w14:textId="77777777" w:rsidR="00946489" w:rsidRDefault="00946489" w:rsidP="00B0728D">
      <w:pPr>
        <w:jc w:val="both"/>
        <w:rPr>
          <w:rFonts w:cs="Arial"/>
          <w:b/>
          <w:bCs/>
          <w:sz w:val="22"/>
          <w:szCs w:val="22"/>
        </w:rPr>
      </w:pPr>
    </w:p>
    <w:p w14:paraId="5A22C065" w14:textId="77777777" w:rsidR="00B0728D" w:rsidRDefault="00B0728D" w:rsidP="00B0728D">
      <w:pPr>
        <w:jc w:val="both"/>
        <w:rPr>
          <w:rFonts w:cs="Arial"/>
          <w:b/>
          <w:sz w:val="22"/>
          <w:szCs w:val="22"/>
        </w:rPr>
      </w:pPr>
      <w:r>
        <w:rPr>
          <w:rFonts w:cs="Arial"/>
          <w:b/>
          <w:bCs/>
          <w:sz w:val="22"/>
          <w:szCs w:val="22"/>
        </w:rPr>
        <w:t>Briefly describe the output and provide supporting narrative for the score</w:t>
      </w:r>
    </w:p>
    <w:p w14:paraId="023BCE5E" w14:textId="77777777" w:rsidR="00B0728D" w:rsidRDefault="00B0728D" w:rsidP="00B0728D">
      <w:pPr>
        <w:jc w:val="both"/>
        <w:rPr>
          <w:rFonts w:cs="Arial"/>
          <w:bCs/>
          <w:sz w:val="22"/>
          <w:szCs w:val="22"/>
        </w:rPr>
      </w:pPr>
    </w:p>
    <w:p w14:paraId="4B68A04C" w14:textId="77777777" w:rsidR="00B0728D" w:rsidRDefault="00B0728D" w:rsidP="00B0728D">
      <w:pPr>
        <w:jc w:val="both"/>
        <w:rPr>
          <w:bCs/>
          <w:sz w:val="22"/>
          <w:szCs w:val="22"/>
        </w:rPr>
      </w:pPr>
      <w:r>
        <w:rPr>
          <w:bCs/>
          <w:sz w:val="22"/>
          <w:szCs w:val="22"/>
        </w:rPr>
        <w:lastRenderedPageBreak/>
        <w:t>Participants to the Seventh Replenishment of the GEF Trust Fund agreed on a set of Policy Recommendations</w:t>
      </w:r>
      <w:r w:rsidR="003001B3">
        <w:rPr>
          <w:bCs/>
          <w:sz w:val="22"/>
          <w:szCs w:val="22"/>
        </w:rPr>
        <w:t xml:space="preserve">, in line with UK </w:t>
      </w:r>
      <w:r w:rsidR="00F142B4">
        <w:rPr>
          <w:bCs/>
          <w:sz w:val="22"/>
          <w:szCs w:val="22"/>
        </w:rPr>
        <w:t>priorities</w:t>
      </w:r>
      <w:r>
        <w:rPr>
          <w:bCs/>
          <w:sz w:val="22"/>
          <w:szCs w:val="22"/>
        </w:rPr>
        <w:t>: updates to the STAR allocation methodology; optimi</w:t>
      </w:r>
      <w:r w:rsidR="00D86695">
        <w:rPr>
          <w:bCs/>
          <w:sz w:val="22"/>
          <w:szCs w:val="22"/>
        </w:rPr>
        <w:t>s</w:t>
      </w:r>
      <w:r>
        <w:rPr>
          <w:bCs/>
          <w:sz w:val="22"/>
          <w:szCs w:val="22"/>
        </w:rPr>
        <w:t>ing the use of GEF resources in different countries with a view to mobili</w:t>
      </w:r>
      <w:r w:rsidR="00D86695">
        <w:rPr>
          <w:bCs/>
          <w:sz w:val="22"/>
          <w:szCs w:val="22"/>
        </w:rPr>
        <w:t>s</w:t>
      </w:r>
      <w:r>
        <w:rPr>
          <w:bCs/>
          <w:sz w:val="22"/>
          <w:szCs w:val="22"/>
        </w:rPr>
        <w:t xml:space="preserve">ing greater investments in measures to achieve global environmental benefits; results; enhanced engagement with the private sector; operational efficiency and transparency; improved management of data and information; and further work on practical approaches to gender mainstreaming and capacity development. </w:t>
      </w:r>
      <w:r w:rsidR="00F142B4">
        <w:rPr>
          <w:bCs/>
          <w:sz w:val="22"/>
          <w:szCs w:val="22"/>
        </w:rPr>
        <w:t xml:space="preserve"> </w:t>
      </w:r>
      <w:r>
        <w:rPr>
          <w:bCs/>
          <w:sz w:val="22"/>
          <w:szCs w:val="22"/>
        </w:rPr>
        <w:t xml:space="preserve">In the first year of </w:t>
      </w:r>
      <w:r w:rsidR="00A060A2">
        <w:rPr>
          <w:bCs/>
          <w:sz w:val="22"/>
          <w:szCs w:val="22"/>
        </w:rPr>
        <w:t>GEF7</w:t>
      </w:r>
      <w:r>
        <w:rPr>
          <w:bCs/>
          <w:sz w:val="22"/>
          <w:szCs w:val="22"/>
        </w:rPr>
        <w:t xml:space="preserve">, the Secretariat has advanced considerably in delivering and implementing these policy measures. </w:t>
      </w:r>
    </w:p>
    <w:p w14:paraId="07DA6DA4" w14:textId="77777777" w:rsidR="00B0728D" w:rsidRDefault="00B0728D" w:rsidP="00B0728D">
      <w:pPr>
        <w:jc w:val="both"/>
        <w:rPr>
          <w:bCs/>
          <w:sz w:val="22"/>
          <w:szCs w:val="22"/>
        </w:rPr>
      </w:pPr>
    </w:p>
    <w:p w14:paraId="61ACD184" w14:textId="77777777" w:rsidR="00B0728D" w:rsidRDefault="00580182" w:rsidP="00B0728D">
      <w:pPr>
        <w:jc w:val="both"/>
        <w:rPr>
          <w:rFonts w:cs="Arial"/>
          <w:bCs/>
          <w:sz w:val="22"/>
          <w:szCs w:val="22"/>
        </w:rPr>
      </w:pPr>
      <w:r>
        <w:rPr>
          <w:bCs/>
          <w:sz w:val="22"/>
          <w:szCs w:val="22"/>
        </w:rPr>
        <w:t>At the start of the GEF7 replenishment</w:t>
      </w:r>
      <w:r w:rsidR="00B0728D">
        <w:rPr>
          <w:bCs/>
          <w:sz w:val="22"/>
          <w:szCs w:val="22"/>
        </w:rPr>
        <w:t xml:space="preserve"> the GEF Secretariat presented (i) a new Policy for the STAR, which introduces new focal area floor allocations, increases the weight of the GDP index, and increases flexibility; (ii) </w:t>
      </w:r>
      <w:r w:rsidR="00B0728D">
        <w:rPr>
          <w:rFonts w:cs="Arial"/>
          <w:bCs/>
          <w:sz w:val="22"/>
          <w:szCs w:val="22"/>
        </w:rPr>
        <w:t>Updated Co-financing Policy, which introduces the concept of “investment mobili</w:t>
      </w:r>
      <w:r w:rsidR="00D86695">
        <w:rPr>
          <w:rFonts w:cs="Arial"/>
          <w:bCs/>
          <w:sz w:val="22"/>
          <w:szCs w:val="22"/>
        </w:rPr>
        <w:t>s</w:t>
      </w:r>
      <w:r w:rsidR="00B0728D">
        <w:rPr>
          <w:rFonts w:cs="Arial"/>
          <w:bCs/>
          <w:sz w:val="22"/>
          <w:szCs w:val="22"/>
        </w:rPr>
        <w:t>ed”, raises the level of ambition for the overall GEF portfolio to reach a co-financing ratio of 7:1, and sets out clearer requirements for Agencies and the Secretariat to document, monitor and report on co-financing and investment mobili</w:t>
      </w:r>
      <w:r w:rsidR="00D86695">
        <w:rPr>
          <w:rFonts w:cs="Arial"/>
          <w:bCs/>
          <w:sz w:val="22"/>
          <w:szCs w:val="22"/>
        </w:rPr>
        <w:t>s</w:t>
      </w:r>
      <w:r w:rsidR="00B0728D">
        <w:rPr>
          <w:rFonts w:cs="Arial"/>
          <w:bCs/>
          <w:sz w:val="22"/>
          <w:szCs w:val="22"/>
        </w:rPr>
        <w:t>ed at the project, program</w:t>
      </w:r>
      <w:r w:rsidR="003B51D1">
        <w:rPr>
          <w:rFonts w:cs="Arial"/>
          <w:bCs/>
          <w:sz w:val="22"/>
          <w:szCs w:val="22"/>
        </w:rPr>
        <w:t>me</w:t>
      </w:r>
      <w:r w:rsidR="00B0728D">
        <w:rPr>
          <w:rFonts w:cs="Arial"/>
          <w:bCs/>
          <w:sz w:val="22"/>
          <w:szCs w:val="22"/>
        </w:rPr>
        <w:t xml:space="preserve"> and portfolio levels; (iii) Updated Results Architecture for </w:t>
      </w:r>
      <w:r w:rsidR="00A060A2">
        <w:rPr>
          <w:rFonts w:cs="Arial"/>
          <w:bCs/>
          <w:sz w:val="22"/>
          <w:szCs w:val="22"/>
        </w:rPr>
        <w:t>GEF7</w:t>
      </w:r>
      <w:r w:rsidR="00B0728D">
        <w:rPr>
          <w:rFonts w:cs="Arial"/>
          <w:bCs/>
          <w:sz w:val="22"/>
          <w:szCs w:val="22"/>
        </w:rPr>
        <w:t xml:space="preserve"> including a simplified results framework of eleven core indicators and associated sub-indicators; agreed </w:t>
      </w:r>
      <w:r w:rsidR="00A060A2">
        <w:rPr>
          <w:rFonts w:cs="Arial"/>
          <w:bCs/>
          <w:sz w:val="22"/>
          <w:szCs w:val="22"/>
        </w:rPr>
        <w:t>GEF7</w:t>
      </w:r>
      <w:r w:rsidR="00B0728D">
        <w:rPr>
          <w:rFonts w:cs="Arial"/>
          <w:bCs/>
          <w:sz w:val="22"/>
          <w:szCs w:val="22"/>
        </w:rPr>
        <w:t xml:space="preserve"> targets across the core indicators; streamlined monitoring and reporting requirements; measures to enhance the availability, accessibility, quality and timeliness of data and information on results; and the capture of data on beneficiaries.</w:t>
      </w:r>
    </w:p>
    <w:p w14:paraId="3DEEA3D9" w14:textId="77777777" w:rsidR="007B5AA4" w:rsidRDefault="007B5AA4" w:rsidP="00B0728D">
      <w:pPr>
        <w:jc w:val="both"/>
        <w:rPr>
          <w:rFonts w:cs="Arial"/>
          <w:bCs/>
          <w:sz w:val="22"/>
          <w:szCs w:val="22"/>
        </w:rPr>
      </w:pPr>
    </w:p>
    <w:p w14:paraId="07108F15" w14:textId="77777777" w:rsidR="00B0728D" w:rsidRDefault="00B0728D" w:rsidP="009D063C">
      <w:pPr>
        <w:jc w:val="both"/>
        <w:rPr>
          <w:rFonts w:cs="Arial"/>
          <w:bCs/>
          <w:sz w:val="22"/>
          <w:szCs w:val="22"/>
        </w:rPr>
      </w:pPr>
      <w:r>
        <w:rPr>
          <w:rFonts w:cs="Arial"/>
          <w:bCs/>
          <w:sz w:val="22"/>
          <w:szCs w:val="22"/>
        </w:rPr>
        <w:t>In December 2018 Council meeting, the Secretariat presented (i) the Policy Measures to Enhance Operational Efficiency, Accountability and Transparency, which were approved by the Council, and include specific amendments to the Cancellation Policy, specific amendments to the Project and Program</w:t>
      </w:r>
      <w:r w:rsidR="003B51D1">
        <w:rPr>
          <w:rFonts w:cs="Arial"/>
          <w:bCs/>
          <w:sz w:val="22"/>
          <w:szCs w:val="22"/>
        </w:rPr>
        <w:t>me</w:t>
      </w:r>
      <w:r>
        <w:rPr>
          <w:rFonts w:cs="Arial"/>
          <w:bCs/>
          <w:sz w:val="22"/>
          <w:szCs w:val="22"/>
        </w:rPr>
        <w:t xml:space="preserve"> Cycle Policy, and a proposal for a one-time cancellation of the uncommitted/unused funds under Program</w:t>
      </w:r>
      <w:r w:rsidR="00731154">
        <w:rPr>
          <w:rFonts w:cs="Arial"/>
          <w:bCs/>
          <w:sz w:val="22"/>
          <w:szCs w:val="22"/>
        </w:rPr>
        <w:t>me</w:t>
      </w:r>
      <w:r>
        <w:rPr>
          <w:rFonts w:cs="Arial"/>
          <w:bCs/>
          <w:sz w:val="22"/>
          <w:szCs w:val="22"/>
        </w:rPr>
        <w:t>s approved on or before June 30, 2014; (ii) Report on the Implementation of the Co-Financing Guidelines that looks more closely at the implementation of the Co-Financing Guidelines, particularly with regard to the identification of the sub-set of co-financing that meets the definition of investment mobilised; and (iii) Measures to Enhance the Sustainability of GEF Projects and Program</w:t>
      </w:r>
      <w:r w:rsidR="00731154">
        <w:rPr>
          <w:rFonts w:cs="Arial"/>
          <w:bCs/>
          <w:sz w:val="22"/>
          <w:szCs w:val="22"/>
        </w:rPr>
        <w:t>me</w:t>
      </w:r>
      <w:r>
        <w:rPr>
          <w:rFonts w:cs="Arial"/>
          <w:bCs/>
          <w:sz w:val="22"/>
          <w:szCs w:val="22"/>
        </w:rPr>
        <w:t>s that explores the latest I</w:t>
      </w:r>
      <w:r w:rsidR="00580E1C">
        <w:rPr>
          <w:rFonts w:cs="Arial"/>
          <w:bCs/>
          <w:sz w:val="22"/>
          <w:szCs w:val="22"/>
        </w:rPr>
        <w:t xml:space="preserve">ndependent </w:t>
      </w:r>
      <w:r>
        <w:rPr>
          <w:rFonts w:cs="Arial"/>
          <w:bCs/>
          <w:sz w:val="22"/>
          <w:szCs w:val="22"/>
        </w:rPr>
        <w:t>E</w:t>
      </w:r>
      <w:r w:rsidR="00580E1C">
        <w:rPr>
          <w:rFonts w:cs="Arial"/>
          <w:bCs/>
          <w:sz w:val="22"/>
          <w:szCs w:val="22"/>
        </w:rPr>
        <w:t xml:space="preserve">valuation </w:t>
      </w:r>
      <w:r>
        <w:rPr>
          <w:rFonts w:cs="Arial"/>
          <w:bCs/>
          <w:sz w:val="22"/>
          <w:szCs w:val="22"/>
        </w:rPr>
        <w:t>O</w:t>
      </w:r>
      <w:r w:rsidR="00580E1C">
        <w:rPr>
          <w:rFonts w:cs="Arial"/>
          <w:bCs/>
          <w:sz w:val="22"/>
          <w:szCs w:val="22"/>
        </w:rPr>
        <w:t>ffice (IEO)</w:t>
      </w:r>
      <w:r>
        <w:rPr>
          <w:rFonts w:cs="Arial"/>
          <w:bCs/>
          <w:sz w:val="22"/>
          <w:szCs w:val="22"/>
        </w:rPr>
        <w:t xml:space="preserve"> evaluations of the sustainability of GEF projects and programmes, associated limitations and areas for further analysis, as well as challenges and opportunities to enhancing sustainability going forward. </w:t>
      </w:r>
      <w:r w:rsidR="002D1726">
        <w:rPr>
          <w:rFonts w:cs="Arial"/>
          <w:bCs/>
          <w:sz w:val="22"/>
          <w:szCs w:val="22"/>
        </w:rPr>
        <w:t xml:space="preserve"> There remains work to do to incorporate findings on sustainability </w:t>
      </w:r>
      <w:r w:rsidR="00804BD3">
        <w:rPr>
          <w:rFonts w:cs="Arial"/>
          <w:bCs/>
          <w:sz w:val="22"/>
          <w:szCs w:val="22"/>
        </w:rPr>
        <w:t>into practical actions.  A</w:t>
      </w:r>
      <w:r w:rsidR="002D1726">
        <w:rPr>
          <w:rFonts w:cs="Arial"/>
          <w:bCs/>
          <w:sz w:val="22"/>
          <w:szCs w:val="22"/>
        </w:rPr>
        <w:t xml:space="preserve">t the June 2019 Council meeting </w:t>
      </w:r>
      <w:r w:rsidR="00E03F39">
        <w:rPr>
          <w:rFonts w:cs="Arial"/>
          <w:bCs/>
          <w:sz w:val="22"/>
          <w:szCs w:val="22"/>
        </w:rPr>
        <w:t>the UK and other Council members</w:t>
      </w:r>
      <w:r w:rsidR="00804BD3">
        <w:rPr>
          <w:rFonts w:cs="Arial"/>
          <w:bCs/>
          <w:sz w:val="22"/>
          <w:szCs w:val="22"/>
        </w:rPr>
        <w:t xml:space="preserve"> requested that </w:t>
      </w:r>
      <w:r w:rsidR="009D063C" w:rsidRPr="009D063C">
        <w:rPr>
          <w:rFonts w:cs="Arial"/>
          <w:bCs/>
          <w:sz w:val="22"/>
          <w:szCs w:val="22"/>
        </w:rPr>
        <w:t>that the Secretariat present, for Council consideration at its 57th meeting in</w:t>
      </w:r>
      <w:r w:rsidR="009D063C">
        <w:rPr>
          <w:rFonts w:cs="Arial"/>
          <w:bCs/>
          <w:sz w:val="22"/>
          <w:szCs w:val="22"/>
        </w:rPr>
        <w:t xml:space="preserve"> December</w:t>
      </w:r>
      <w:r w:rsidR="009D063C" w:rsidRPr="009D063C">
        <w:rPr>
          <w:rFonts w:cs="Arial"/>
          <w:bCs/>
          <w:sz w:val="22"/>
          <w:szCs w:val="22"/>
        </w:rPr>
        <w:t xml:space="preserve"> 2019, a summary of key factors that influence the sustainability of GEF projects and</w:t>
      </w:r>
      <w:r w:rsidR="002F3C9A">
        <w:rPr>
          <w:rFonts w:cs="Arial"/>
          <w:bCs/>
          <w:sz w:val="22"/>
          <w:szCs w:val="22"/>
        </w:rPr>
        <w:t xml:space="preserve"> </w:t>
      </w:r>
      <w:r w:rsidR="009D063C" w:rsidRPr="009D063C">
        <w:rPr>
          <w:rFonts w:cs="Arial"/>
          <w:bCs/>
          <w:sz w:val="22"/>
          <w:szCs w:val="22"/>
        </w:rPr>
        <w:t>program</w:t>
      </w:r>
      <w:r w:rsidR="006902A8">
        <w:rPr>
          <w:rFonts w:cs="Arial"/>
          <w:bCs/>
          <w:sz w:val="22"/>
          <w:szCs w:val="22"/>
        </w:rPr>
        <w:t>me</w:t>
      </w:r>
      <w:r w:rsidR="009D063C" w:rsidRPr="009D063C">
        <w:rPr>
          <w:rFonts w:cs="Arial"/>
          <w:bCs/>
          <w:sz w:val="22"/>
          <w:szCs w:val="22"/>
        </w:rPr>
        <w:t>s and how such factors are taken into account and may be strengthened in current GEF</w:t>
      </w:r>
      <w:r w:rsidR="002F3C9A">
        <w:rPr>
          <w:rFonts w:cs="Arial"/>
          <w:bCs/>
          <w:sz w:val="22"/>
          <w:szCs w:val="22"/>
        </w:rPr>
        <w:t xml:space="preserve"> </w:t>
      </w:r>
      <w:r w:rsidR="009D063C" w:rsidRPr="009D063C">
        <w:rPr>
          <w:rFonts w:cs="Arial"/>
          <w:bCs/>
          <w:sz w:val="22"/>
          <w:szCs w:val="22"/>
        </w:rPr>
        <w:t>operations</w:t>
      </w:r>
      <w:r w:rsidR="002F3C9A">
        <w:rPr>
          <w:rFonts w:cs="Arial"/>
          <w:bCs/>
          <w:sz w:val="22"/>
          <w:szCs w:val="22"/>
        </w:rPr>
        <w:t>.</w:t>
      </w:r>
    </w:p>
    <w:p w14:paraId="214DC48A" w14:textId="77777777" w:rsidR="00B0728D" w:rsidRDefault="00B0728D" w:rsidP="00B0728D">
      <w:pPr>
        <w:jc w:val="both"/>
        <w:rPr>
          <w:rFonts w:cs="Arial"/>
          <w:bCs/>
          <w:sz w:val="22"/>
          <w:szCs w:val="22"/>
        </w:rPr>
      </w:pPr>
    </w:p>
    <w:p w14:paraId="3F79A68B" w14:textId="77777777" w:rsidR="00B0728D" w:rsidRDefault="00B0728D" w:rsidP="00B0728D">
      <w:pPr>
        <w:jc w:val="both"/>
        <w:rPr>
          <w:rFonts w:cs="Arial"/>
          <w:bCs/>
          <w:sz w:val="22"/>
          <w:szCs w:val="22"/>
        </w:rPr>
      </w:pPr>
      <w:r>
        <w:rPr>
          <w:rFonts w:cs="Arial"/>
          <w:bCs/>
          <w:sz w:val="22"/>
          <w:szCs w:val="22"/>
        </w:rPr>
        <w:t xml:space="preserve">On the private sector engagement, at its 54th meeting in June 2018, the Council approved the proposed TOR for the Private Sector Advisory Group and requested the </w:t>
      </w:r>
      <w:r w:rsidR="0018293D">
        <w:rPr>
          <w:rFonts w:cs="Arial"/>
          <w:bCs/>
          <w:sz w:val="22"/>
          <w:szCs w:val="22"/>
        </w:rPr>
        <w:t>Secretariat present</w:t>
      </w:r>
      <w:r>
        <w:rPr>
          <w:rFonts w:cs="Arial"/>
          <w:bCs/>
          <w:sz w:val="22"/>
          <w:szCs w:val="22"/>
        </w:rPr>
        <w:t xml:space="preserve"> a proposal for a strategy on private sector engagement, with inputs from the Advisory Group, for consideration </w:t>
      </w:r>
      <w:r w:rsidR="00831632">
        <w:rPr>
          <w:rFonts w:cs="Arial"/>
          <w:bCs/>
          <w:sz w:val="22"/>
          <w:szCs w:val="22"/>
        </w:rPr>
        <w:t>by the</w:t>
      </w:r>
      <w:r>
        <w:rPr>
          <w:rFonts w:cs="Arial"/>
          <w:bCs/>
          <w:sz w:val="22"/>
          <w:szCs w:val="22"/>
        </w:rPr>
        <w:t xml:space="preserve"> Council in Spring 2019. The Private Sector Advisory Group was established, with Council approval, in April 2019. This Advisory Group plays a fundamental role in the preparation of the Strategy and</w:t>
      </w:r>
      <w:r w:rsidR="00831632">
        <w:rPr>
          <w:rFonts w:cs="Arial"/>
          <w:bCs/>
          <w:sz w:val="22"/>
          <w:szCs w:val="22"/>
        </w:rPr>
        <w:t>,</w:t>
      </w:r>
      <w:r>
        <w:rPr>
          <w:rFonts w:cs="Arial"/>
          <w:bCs/>
          <w:sz w:val="22"/>
          <w:szCs w:val="22"/>
        </w:rPr>
        <w:t xml:space="preserve"> as such in the June 2019 meeting</w:t>
      </w:r>
      <w:r w:rsidR="00831632">
        <w:rPr>
          <w:rFonts w:cs="Arial"/>
          <w:bCs/>
          <w:sz w:val="22"/>
          <w:szCs w:val="22"/>
        </w:rPr>
        <w:t>,</w:t>
      </w:r>
      <w:r>
        <w:rPr>
          <w:rFonts w:cs="Arial"/>
          <w:bCs/>
          <w:sz w:val="22"/>
          <w:szCs w:val="22"/>
        </w:rPr>
        <w:t xml:space="preserve"> the </w:t>
      </w:r>
      <w:r w:rsidR="0018293D">
        <w:rPr>
          <w:rFonts w:cs="Arial"/>
          <w:bCs/>
          <w:sz w:val="22"/>
          <w:szCs w:val="22"/>
        </w:rPr>
        <w:t>Secretariat informed</w:t>
      </w:r>
      <w:r>
        <w:rPr>
          <w:rFonts w:cs="Arial"/>
          <w:bCs/>
          <w:sz w:val="22"/>
          <w:szCs w:val="22"/>
        </w:rPr>
        <w:t xml:space="preserve"> the Council (GEF/C.56/Inf.05) of its plan to submit the draft private sector </w:t>
      </w:r>
      <w:r w:rsidR="001D10C3">
        <w:rPr>
          <w:rFonts w:cs="Arial"/>
          <w:bCs/>
          <w:sz w:val="22"/>
          <w:szCs w:val="22"/>
        </w:rPr>
        <w:t xml:space="preserve">strategy </w:t>
      </w:r>
      <w:r>
        <w:rPr>
          <w:rFonts w:cs="Arial"/>
          <w:bCs/>
          <w:sz w:val="22"/>
          <w:szCs w:val="22"/>
        </w:rPr>
        <w:t>for Council consideration at its 57th meeting in December 2019.</w:t>
      </w:r>
      <w:r w:rsidR="00554503">
        <w:rPr>
          <w:rFonts w:cs="Arial"/>
          <w:bCs/>
          <w:sz w:val="22"/>
          <w:szCs w:val="22"/>
        </w:rPr>
        <w:t xml:space="preserve">  Whilst this measure is behind schedule, it is recognised that </w:t>
      </w:r>
      <w:r w:rsidR="00010D35">
        <w:rPr>
          <w:rFonts w:cs="Arial"/>
          <w:bCs/>
          <w:sz w:val="22"/>
          <w:szCs w:val="22"/>
        </w:rPr>
        <w:t xml:space="preserve">it </w:t>
      </w:r>
      <w:r w:rsidR="00F51CBC">
        <w:rPr>
          <w:rFonts w:cs="Arial"/>
          <w:bCs/>
          <w:sz w:val="22"/>
          <w:szCs w:val="22"/>
        </w:rPr>
        <w:t xml:space="preserve">has been important </w:t>
      </w:r>
      <w:r w:rsidR="00010D35">
        <w:rPr>
          <w:rFonts w:cs="Arial"/>
          <w:bCs/>
          <w:sz w:val="22"/>
          <w:szCs w:val="22"/>
        </w:rPr>
        <w:t xml:space="preserve">to secure the </w:t>
      </w:r>
      <w:r w:rsidR="003960BD">
        <w:rPr>
          <w:rFonts w:cs="Arial"/>
          <w:bCs/>
          <w:sz w:val="22"/>
          <w:szCs w:val="22"/>
        </w:rPr>
        <w:t xml:space="preserve">senior and sector relevant private sector participation </w:t>
      </w:r>
      <w:r w:rsidR="00A45122">
        <w:rPr>
          <w:rFonts w:cs="Arial"/>
          <w:bCs/>
          <w:sz w:val="22"/>
          <w:szCs w:val="22"/>
        </w:rPr>
        <w:t>to</w:t>
      </w:r>
      <w:r w:rsidR="005227FE">
        <w:rPr>
          <w:rFonts w:cs="Arial"/>
          <w:bCs/>
          <w:sz w:val="22"/>
          <w:szCs w:val="22"/>
        </w:rPr>
        <w:t xml:space="preserve"> </w:t>
      </w:r>
      <w:r w:rsidR="00B21454">
        <w:rPr>
          <w:rFonts w:cs="Arial"/>
          <w:bCs/>
          <w:sz w:val="22"/>
          <w:szCs w:val="22"/>
        </w:rPr>
        <w:t>properly inform the private sector strategy.</w:t>
      </w:r>
    </w:p>
    <w:p w14:paraId="38F6F61E" w14:textId="77777777" w:rsidR="00B0728D" w:rsidRDefault="00B0728D" w:rsidP="00B0728D">
      <w:pPr>
        <w:jc w:val="both"/>
        <w:rPr>
          <w:rFonts w:cs="Arial"/>
          <w:bCs/>
          <w:sz w:val="22"/>
          <w:szCs w:val="22"/>
        </w:rPr>
      </w:pPr>
    </w:p>
    <w:p w14:paraId="754CABA5" w14:textId="77777777" w:rsidR="00B0728D" w:rsidRDefault="00B0728D" w:rsidP="00B0728D">
      <w:pPr>
        <w:jc w:val="both"/>
        <w:rPr>
          <w:rFonts w:cs="Arial"/>
          <w:bCs/>
          <w:sz w:val="22"/>
          <w:szCs w:val="22"/>
        </w:rPr>
      </w:pPr>
      <w:r>
        <w:rPr>
          <w:rFonts w:cs="Arial"/>
          <w:bCs/>
          <w:sz w:val="22"/>
          <w:szCs w:val="22"/>
        </w:rPr>
        <w:t>The Secretariat is also currently preparing its first publication of data on financing and results to the IATI registry, which will be finali</w:t>
      </w:r>
      <w:r w:rsidR="00D86695">
        <w:rPr>
          <w:rFonts w:cs="Arial"/>
          <w:bCs/>
          <w:sz w:val="22"/>
          <w:szCs w:val="22"/>
        </w:rPr>
        <w:t>s</w:t>
      </w:r>
      <w:r>
        <w:rPr>
          <w:rFonts w:cs="Arial"/>
          <w:bCs/>
          <w:sz w:val="22"/>
          <w:szCs w:val="22"/>
        </w:rPr>
        <w:t xml:space="preserve">ed by June 2019.    </w:t>
      </w:r>
    </w:p>
    <w:p w14:paraId="1961D57A" w14:textId="77777777" w:rsidR="00B0728D" w:rsidRDefault="00B0728D" w:rsidP="00B0728D">
      <w:pPr>
        <w:jc w:val="both"/>
        <w:rPr>
          <w:rFonts w:cs="Arial"/>
          <w:bCs/>
          <w:sz w:val="22"/>
          <w:szCs w:val="22"/>
        </w:rPr>
      </w:pPr>
    </w:p>
    <w:p w14:paraId="59475899" w14:textId="77777777" w:rsidR="00274D1D" w:rsidRDefault="00B0728D" w:rsidP="00B0728D">
      <w:pPr>
        <w:jc w:val="both"/>
        <w:rPr>
          <w:bCs/>
          <w:sz w:val="22"/>
          <w:szCs w:val="22"/>
        </w:rPr>
      </w:pPr>
      <w:r>
        <w:rPr>
          <w:bCs/>
          <w:sz w:val="22"/>
          <w:szCs w:val="22"/>
        </w:rPr>
        <w:t xml:space="preserve">The first progress report on the GEF gender implementation strategy </w:t>
      </w:r>
      <w:r w:rsidR="00BB35A9">
        <w:rPr>
          <w:bCs/>
          <w:sz w:val="22"/>
          <w:szCs w:val="22"/>
        </w:rPr>
        <w:t>was</w:t>
      </w:r>
      <w:r>
        <w:rPr>
          <w:bCs/>
          <w:sz w:val="22"/>
          <w:szCs w:val="22"/>
        </w:rPr>
        <w:t xml:space="preserve"> presented to the Council at the June 2019 meeting. </w:t>
      </w:r>
      <w:r w:rsidR="003D6FEE">
        <w:rPr>
          <w:bCs/>
          <w:sz w:val="22"/>
          <w:szCs w:val="22"/>
        </w:rPr>
        <w:t>A</w:t>
      </w:r>
      <w:r>
        <w:rPr>
          <w:bCs/>
          <w:sz w:val="22"/>
          <w:szCs w:val="22"/>
        </w:rPr>
        <w:t>nalysis o</w:t>
      </w:r>
      <w:r w:rsidR="003D6FEE">
        <w:rPr>
          <w:bCs/>
          <w:sz w:val="22"/>
          <w:szCs w:val="22"/>
        </w:rPr>
        <w:t>f</w:t>
      </w:r>
      <w:r>
        <w:rPr>
          <w:bCs/>
          <w:sz w:val="22"/>
          <w:szCs w:val="22"/>
        </w:rPr>
        <w:t xml:space="preserve"> the first </w:t>
      </w:r>
      <w:r w:rsidR="00831632">
        <w:rPr>
          <w:bCs/>
          <w:sz w:val="22"/>
          <w:szCs w:val="22"/>
        </w:rPr>
        <w:t>two</w:t>
      </w:r>
      <w:r>
        <w:rPr>
          <w:bCs/>
          <w:sz w:val="22"/>
          <w:szCs w:val="22"/>
        </w:rPr>
        <w:t xml:space="preserve"> work program</w:t>
      </w:r>
      <w:r w:rsidR="00731154">
        <w:rPr>
          <w:bCs/>
          <w:sz w:val="22"/>
          <w:szCs w:val="22"/>
        </w:rPr>
        <w:t>me</w:t>
      </w:r>
      <w:r>
        <w:rPr>
          <w:bCs/>
          <w:sz w:val="22"/>
          <w:szCs w:val="22"/>
        </w:rPr>
        <w:t xml:space="preserve">s of the </w:t>
      </w:r>
      <w:r w:rsidR="00A060A2">
        <w:rPr>
          <w:bCs/>
          <w:sz w:val="22"/>
          <w:szCs w:val="22"/>
        </w:rPr>
        <w:t>GEF7</w:t>
      </w:r>
      <w:r>
        <w:rPr>
          <w:bCs/>
          <w:sz w:val="22"/>
          <w:szCs w:val="22"/>
        </w:rPr>
        <w:t xml:space="preserve"> </w:t>
      </w:r>
      <w:r w:rsidR="003D6FEE">
        <w:rPr>
          <w:bCs/>
          <w:sz w:val="22"/>
          <w:szCs w:val="22"/>
        </w:rPr>
        <w:t xml:space="preserve">suggests that, to date, </w:t>
      </w:r>
      <w:r w:rsidR="00412D92">
        <w:rPr>
          <w:bCs/>
          <w:sz w:val="22"/>
          <w:szCs w:val="22"/>
        </w:rPr>
        <w:t>projects have</w:t>
      </w:r>
      <w:r w:rsidR="003D6FEE">
        <w:rPr>
          <w:bCs/>
          <w:sz w:val="22"/>
          <w:szCs w:val="22"/>
        </w:rPr>
        <w:t xml:space="preserve"> been</w:t>
      </w:r>
      <w:r>
        <w:rPr>
          <w:bCs/>
          <w:sz w:val="22"/>
          <w:szCs w:val="22"/>
        </w:rPr>
        <w:t xml:space="preserve"> compli</w:t>
      </w:r>
      <w:r w:rsidR="003D6FEE">
        <w:rPr>
          <w:bCs/>
          <w:sz w:val="22"/>
          <w:szCs w:val="22"/>
        </w:rPr>
        <w:t>ant</w:t>
      </w:r>
      <w:r>
        <w:rPr>
          <w:bCs/>
          <w:sz w:val="22"/>
          <w:szCs w:val="22"/>
        </w:rPr>
        <w:t xml:space="preserve"> with the GEF Policy on Gender Equality and that projects are incorporating gender-responsive approaches in the design of GEF projects. The analysis shows that</w:t>
      </w:r>
      <w:r w:rsidR="003D6FEE">
        <w:rPr>
          <w:bCs/>
          <w:sz w:val="22"/>
          <w:szCs w:val="22"/>
        </w:rPr>
        <w:t>:</w:t>
      </w:r>
      <w:r w:rsidR="003A1E31">
        <w:rPr>
          <w:bCs/>
          <w:sz w:val="22"/>
          <w:szCs w:val="22"/>
        </w:rPr>
        <w:t xml:space="preserve">  </w:t>
      </w:r>
      <w:r w:rsidRPr="0018293D">
        <w:rPr>
          <w:bCs/>
          <w:sz w:val="22"/>
          <w:szCs w:val="22"/>
        </w:rPr>
        <w:t>98% of projects provided indicative information on gender relevant to the proposed activities</w:t>
      </w:r>
      <w:r w:rsidR="003A1E31">
        <w:rPr>
          <w:bCs/>
          <w:sz w:val="22"/>
          <w:szCs w:val="22"/>
        </w:rPr>
        <w:t xml:space="preserve">; </w:t>
      </w:r>
      <w:r w:rsidRPr="003A1E31">
        <w:rPr>
          <w:bCs/>
          <w:sz w:val="22"/>
          <w:szCs w:val="22"/>
        </w:rPr>
        <w:t>85% of projects explicitly stated that they expect to develop sex disaggregated and gender sensitive indicators</w:t>
      </w:r>
      <w:r w:rsidR="007E4E6F">
        <w:rPr>
          <w:bCs/>
          <w:sz w:val="22"/>
          <w:szCs w:val="22"/>
        </w:rPr>
        <w:t xml:space="preserve">; </w:t>
      </w:r>
      <w:r w:rsidRPr="00412D92">
        <w:rPr>
          <w:bCs/>
          <w:sz w:val="22"/>
          <w:szCs w:val="22"/>
        </w:rPr>
        <w:t xml:space="preserve">93 % of projects are tagged to contribute to closing gender gaps and promoting </w:t>
      </w:r>
      <w:r w:rsidR="003D6FEE" w:rsidRPr="00412D92">
        <w:rPr>
          <w:bCs/>
          <w:sz w:val="22"/>
          <w:szCs w:val="22"/>
        </w:rPr>
        <w:t>g</w:t>
      </w:r>
      <w:r w:rsidRPr="00412D92">
        <w:rPr>
          <w:bCs/>
          <w:sz w:val="22"/>
          <w:szCs w:val="22"/>
        </w:rPr>
        <w:t xml:space="preserve">ender </w:t>
      </w:r>
      <w:r w:rsidR="003D6FEE" w:rsidRPr="00412D92">
        <w:rPr>
          <w:bCs/>
          <w:sz w:val="22"/>
          <w:szCs w:val="22"/>
        </w:rPr>
        <w:t>e</w:t>
      </w:r>
      <w:r w:rsidRPr="00412D92">
        <w:rPr>
          <w:bCs/>
          <w:sz w:val="22"/>
          <w:szCs w:val="22"/>
        </w:rPr>
        <w:t xml:space="preserve">quality and </w:t>
      </w:r>
      <w:r w:rsidR="003D6FEE" w:rsidRPr="00412D92">
        <w:rPr>
          <w:bCs/>
          <w:sz w:val="22"/>
          <w:szCs w:val="22"/>
        </w:rPr>
        <w:t>w</w:t>
      </w:r>
      <w:r w:rsidRPr="00412D92">
        <w:rPr>
          <w:bCs/>
          <w:sz w:val="22"/>
          <w:szCs w:val="22"/>
        </w:rPr>
        <w:t xml:space="preserve">omen’s </w:t>
      </w:r>
      <w:r w:rsidR="003D6FEE" w:rsidRPr="00412D92">
        <w:rPr>
          <w:bCs/>
          <w:sz w:val="22"/>
          <w:szCs w:val="22"/>
        </w:rPr>
        <w:t>e</w:t>
      </w:r>
      <w:r w:rsidRPr="00412D92">
        <w:rPr>
          <w:bCs/>
          <w:sz w:val="22"/>
          <w:szCs w:val="22"/>
        </w:rPr>
        <w:t>mpowerment</w:t>
      </w:r>
      <w:r w:rsidR="003D6FEE" w:rsidRPr="00412D92">
        <w:rPr>
          <w:bCs/>
          <w:sz w:val="22"/>
          <w:szCs w:val="22"/>
        </w:rPr>
        <w:t>.</w:t>
      </w:r>
      <w:r w:rsidR="00274D1D">
        <w:rPr>
          <w:bCs/>
          <w:sz w:val="22"/>
          <w:szCs w:val="22"/>
        </w:rPr>
        <w:t xml:space="preserve">  </w:t>
      </w:r>
      <w:r w:rsidRPr="00412D92">
        <w:rPr>
          <w:bCs/>
          <w:sz w:val="22"/>
          <w:szCs w:val="22"/>
        </w:rPr>
        <w:t xml:space="preserve">Also, </w:t>
      </w:r>
      <w:r w:rsidR="00A8317D" w:rsidRPr="00412D92">
        <w:rPr>
          <w:bCs/>
          <w:sz w:val="22"/>
          <w:szCs w:val="22"/>
        </w:rPr>
        <w:t xml:space="preserve">the </w:t>
      </w:r>
      <w:r w:rsidRPr="00412D92">
        <w:rPr>
          <w:bCs/>
          <w:sz w:val="22"/>
          <w:szCs w:val="22"/>
        </w:rPr>
        <w:t xml:space="preserve">June 2019 </w:t>
      </w:r>
      <w:r w:rsidR="003D6FEE" w:rsidRPr="00412D92">
        <w:rPr>
          <w:bCs/>
          <w:sz w:val="22"/>
          <w:szCs w:val="22"/>
        </w:rPr>
        <w:t>Work Programme</w:t>
      </w:r>
      <w:r w:rsidRPr="00412D92">
        <w:rPr>
          <w:bCs/>
          <w:sz w:val="22"/>
          <w:szCs w:val="22"/>
        </w:rPr>
        <w:t xml:space="preserve"> includes 7 Program</w:t>
      </w:r>
      <w:r w:rsidR="00731154" w:rsidRPr="00412D92">
        <w:rPr>
          <w:bCs/>
          <w:sz w:val="22"/>
          <w:szCs w:val="22"/>
        </w:rPr>
        <w:t>me</w:t>
      </w:r>
      <w:r w:rsidRPr="00412D92">
        <w:rPr>
          <w:bCs/>
          <w:sz w:val="22"/>
          <w:szCs w:val="22"/>
        </w:rPr>
        <w:t>s which all incorporated gender considerations</w:t>
      </w:r>
      <w:r w:rsidR="003D6FEE" w:rsidRPr="00412D92">
        <w:rPr>
          <w:bCs/>
          <w:sz w:val="22"/>
          <w:szCs w:val="22"/>
        </w:rPr>
        <w:t xml:space="preserve"> in</w:t>
      </w:r>
      <w:r w:rsidRPr="00412D92">
        <w:rPr>
          <w:bCs/>
          <w:sz w:val="22"/>
          <w:szCs w:val="22"/>
        </w:rPr>
        <w:t xml:space="preserve"> the Programme Framework Document and included specific information on the number of direct beneficiaries disaggregated by gender. Specifically, </w:t>
      </w:r>
      <w:r w:rsidR="00A96E83" w:rsidRPr="00412D92">
        <w:rPr>
          <w:bCs/>
          <w:sz w:val="22"/>
          <w:szCs w:val="22"/>
        </w:rPr>
        <w:t xml:space="preserve">all </w:t>
      </w:r>
      <w:r w:rsidR="00274D1D">
        <w:rPr>
          <w:bCs/>
          <w:sz w:val="22"/>
          <w:szCs w:val="22"/>
        </w:rPr>
        <w:t>4</w:t>
      </w:r>
      <w:r w:rsidRPr="00412D92">
        <w:rPr>
          <w:bCs/>
          <w:sz w:val="22"/>
          <w:szCs w:val="22"/>
        </w:rPr>
        <w:t xml:space="preserve"> Impact Program</w:t>
      </w:r>
      <w:r w:rsidR="00731154" w:rsidRPr="00412D92">
        <w:rPr>
          <w:bCs/>
          <w:sz w:val="22"/>
          <w:szCs w:val="22"/>
        </w:rPr>
        <w:t>me</w:t>
      </w:r>
      <w:r w:rsidRPr="00412D92">
        <w:rPr>
          <w:bCs/>
          <w:sz w:val="22"/>
          <w:szCs w:val="22"/>
        </w:rPr>
        <w:t xml:space="preserve">s have elaborated on measures to </w:t>
      </w:r>
      <w:r w:rsidRPr="00412D92">
        <w:rPr>
          <w:bCs/>
          <w:sz w:val="22"/>
          <w:szCs w:val="22"/>
        </w:rPr>
        <w:lastRenderedPageBreak/>
        <w:t>mainstream gender and address gender gaps, including: (i) Ensuring women’s participation and role in natural resources decision-making processes; (ii) Targeting women as specific beneficiaries and investing in women’s skills and capacity; and (iii) Supporting women’s improved access, use, and control of natural resources.</w:t>
      </w:r>
    </w:p>
    <w:p w14:paraId="211ED707" w14:textId="77777777" w:rsidR="00274D1D" w:rsidRDefault="00274D1D" w:rsidP="00B0728D">
      <w:pPr>
        <w:jc w:val="both"/>
        <w:rPr>
          <w:bCs/>
          <w:sz w:val="22"/>
          <w:szCs w:val="22"/>
        </w:rPr>
      </w:pPr>
    </w:p>
    <w:p w14:paraId="372BDB2B" w14:textId="77777777" w:rsidR="00274D1D" w:rsidRDefault="00274D1D" w:rsidP="00B0728D">
      <w:pPr>
        <w:jc w:val="both"/>
        <w:rPr>
          <w:bCs/>
          <w:sz w:val="22"/>
          <w:szCs w:val="22"/>
        </w:rPr>
      </w:pPr>
    </w:p>
    <w:p w14:paraId="2883E03B" w14:textId="77777777" w:rsidR="00274D1D" w:rsidRDefault="00274D1D" w:rsidP="00B0728D">
      <w:pPr>
        <w:jc w:val="both"/>
        <w:rPr>
          <w:bCs/>
          <w:sz w:val="22"/>
          <w:szCs w:val="22"/>
        </w:rPr>
      </w:pPr>
    </w:p>
    <w:p w14:paraId="663E0894" w14:textId="77777777" w:rsidR="00274D1D" w:rsidRPr="00274D1D" w:rsidRDefault="00274D1D" w:rsidP="00B0728D">
      <w:pPr>
        <w:jc w:val="both"/>
        <w:rPr>
          <w:bCs/>
          <w:sz w:val="22"/>
          <w:szCs w:val="22"/>
        </w:rPr>
      </w:pPr>
    </w:p>
    <w:p w14:paraId="74DC0B1A" w14:textId="77777777" w:rsidR="00B0728D" w:rsidRDefault="00B0728D" w:rsidP="00B0728D">
      <w:pPr>
        <w:jc w:val="both"/>
        <w:rPr>
          <w:rFonts w:cs="Arial"/>
          <w:bCs/>
          <w:sz w:val="22"/>
          <w:szCs w:val="22"/>
        </w:rPr>
      </w:pPr>
    </w:p>
    <w:p w14:paraId="38A2CF85" w14:textId="77777777" w:rsidR="00B0728D" w:rsidRDefault="00B0728D" w:rsidP="00B0728D">
      <w:pPr>
        <w:jc w:val="both"/>
        <w:rPr>
          <w:rFonts w:cs="Arial"/>
          <w:b/>
          <w:bCs/>
          <w:sz w:val="22"/>
          <w:szCs w:val="22"/>
        </w:rPr>
      </w:pPr>
      <w:r>
        <w:rPr>
          <w:rFonts w:cs="Arial"/>
          <w:b/>
          <w:bCs/>
          <w:sz w:val="22"/>
          <w:szCs w:val="22"/>
        </w:rPr>
        <w:t>Lessons identified this year, and recommendations for the year ahead linked to this output</w:t>
      </w:r>
    </w:p>
    <w:p w14:paraId="58FFEA85" w14:textId="77777777" w:rsidR="00B0728D" w:rsidRDefault="00B0728D" w:rsidP="00B0728D">
      <w:pPr>
        <w:jc w:val="both"/>
        <w:rPr>
          <w:rFonts w:cs="Arial"/>
          <w:bCs/>
          <w:sz w:val="22"/>
          <w:szCs w:val="22"/>
        </w:rPr>
      </w:pPr>
    </w:p>
    <w:p w14:paraId="6CD4DBE9" w14:textId="77777777" w:rsidR="00B0728D" w:rsidRDefault="00842214" w:rsidP="00842214">
      <w:pPr>
        <w:pStyle w:val="ListParagraph"/>
        <w:numPr>
          <w:ilvl w:val="0"/>
          <w:numId w:val="14"/>
        </w:numPr>
        <w:jc w:val="both"/>
        <w:rPr>
          <w:rFonts w:cs="Arial"/>
          <w:bCs/>
          <w:sz w:val="22"/>
          <w:szCs w:val="22"/>
        </w:rPr>
      </w:pPr>
      <w:r>
        <w:rPr>
          <w:rFonts w:cs="Arial"/>
          <w:bCs/>
          <w:sz w:val="22"/>
          <w:szCs w:val="22"/>
        </w:rPr>
        <w:t>Keep track of</w:t>
      </w:r>
      <w:r w:rsidR="00C62973">
        <w:rPr>
          <w:rFonts w:cs="Arial"/>
          <w:bCs/>
          <w:sz w:val="22"/>
          <w:szCs w:val="22"/>
        </w:rPr>
        <w:t xml:space="preserve"> GEF’s</w:t>
      </w:r>
      <w:r>
        <w:rPr>
          <w:rFonts w:cs="Arial"/>
          <w:bCs/>
          <w:sz w:val="22"/>
          <w:szCs w:val="22"/>
        </w:rPr>
        <w:t xml:space="preserve"> performance </w:t>
      </w:r>
      <w:r w:rsidR="00434C57">
        <w:rPr>
          <w:rFonts w:cs="Arial"/>
          <w:bCs/>
          <w:sz w:val="22"/>
          <w:szCs w:val="22"/>
        </w:rPr>
        <w:t xml:space="preserve">against agreed </w:t>
      </w:r>
      <w:r w:rsidR="00A060A2">
        <w:rPr>
          <w:rFonts w:cs="Arial"/>
          <w:bCs/>
          <w:sz w:val="22"/>
          <w:szCs w:val="22"/>
        </w:rPr>
        <w:t>GEF7</w:t>
      </w:r>
      <w:r w:rsidR="00434C57">
        <w:rPr>
          <w:rFonts w:cs="Arial"/>
          <w:bCs/>
          <w:sz w:val="22"/>
          <w:szCs w:val="22"/>
        </w:rPr>
        <w:t xml:space="preserve"> </w:t>
      </w:r>
      <w:r w:rsidR="00C57B1F">
        <w:rPr>
          <w:rFonts w:cs="Arial"/>
          <w:bCs/>
          <w:sz w:val="22"/>
          <w:szCs w:val="22"/>
        </w:rPr>
        <w:t>p</w:t>
      </w:r>
      <w:r w:rsidR="00434C57">
        <w:rPr>
          <w:rFonts w:cs="Arial"/>
          <w:bCs/>
          <w:sz w:val="22"/>
          <w:szCs w:val="22"/>
        </w:rPr>
        <w:t xml:space="preserve">olicy </w:t>
      </w:r>
      <w:r w:rsidR="00C57B1F">
        <w:rPr>
          <w:rFonts w:cs="Arial"/>
          <w:bCs/>
          <w:sz w:val="22"/>
          <w:szCs w:val="22"/>
        </w:rPr>
        <w:t>r</w:t>
      </w:r>
      <w:r w:rsidR="00434C57">
        <w:rPr>
          <w:rFonts w:cs="Arial"/>
          <w:bCs/>
          <w:sz w:val="22"/>
          <w:szCs w:val="22"/>
        </w:rPr>
        <w:t>ecommendations</w:t>
      </w:r>
      <w:r w:rsidR="002710EC">
        <w:rPr>
          <w:rFonts w:cs="Arial"/>
          <w:bCs/>
          <w:sz w:val="22"/>
          <w:szCs w:val="22"/>
        </w:rPr>
        <w:t xml:space="preserve"> and core indicators</w:t>
      </w:r>
      <w:r w:rsidR="00434C57">
        <w:rPr>
          <w:rFonts w:cs="Arial"/>
          <w:bCs/>
          <w:sz w:val="22"/>
          <w:szCs w:val="22"/>
        </w:rPr>
        <w:t>.</w:t>
      </w:r>
      <w:r w:rsidR="00EA7125">
        <w:rPr>
          <w:rFonts w:cs="Arial"/>
          <w:bCs/>
          <w:sz w:val="22"/>
          <w:szCs w:val="22"/>
        </w:rPr>
        <w:t xml:space="preserve">  Provide input to the development and implementation of GEF </w:t>
      </w:r>
      <w:r w:rsidR="00C57B1F">
        <w:rPr>
          <w:rFonts w:cs="Arial"/>
          <w:bCs/>
          <w:sz w:val="22"/>
          <w:szCs w:val="22"/>
        </w:rPr>
        <w:t>p</w:t>
      </w:r>
      <w:r w:rsidR="00EA7125">
        <w:rPr>
          <w:rFonts w:cs="Arial"/>
          <w:bCs/>
          <w:sz w:val="22"/>
          <w:szCs w:val="22"/>
        </w:rPr>
        <w:t xml:space="preserve">olicies through </w:t>
      </w:r>
      <w:r w:rsidR="00A1610E">
        <w:rPr>
          <w:rFonts w:cs="Arial"/>
          <w:bCs/>
          <w:sz w:val="22"/>
          <w:szCs w:val="22"/>
        </w:rPr>
        <w:t xml:space="preserve">Council meetings and interim engagement including participation in appropriate </w:t>
      </w:r>
      <w:r w:rsidR="00C57B1F">
        <w:rPr>
          <w:rFonts w:cs="Arial"/>
          <w:bCs/>
          <w:sz w:val="22"/>
          <w:szCs w:val="22"/>
        </w:rPr>
        <w:t>w</w:t>
      </w:r>
      <w:r w:rsidR="00A1610E">
        <w:rPr>
          <w:rFonts w:cs="Arial"/>
          <w:bCs/>
          <w:sz w:val="22"/>
          <w:szCs w:val="22"/>
        </w:rPr>
        <w:t xml:space="preserve">orking </w:t>
      </w:r>
      <w:r w:rsidR="00C57B1F">
        <w:rPr>
          <w:rFonts w:cs="Arial"/>
          <w:bCs/>
          <w:sz w:val="22"/>
          <w:szCs w:val="22"/>
        </w:rPr>
        <w:t>g</w:t>
      </w:r>
      <w:r w:rsidR="00A1610E">
        <w:rPr>
          <w:rFonts w:cs="Arial"/>
          <w:bCs/>
          <w:sz w:val="22"/>
          <w:szCs w:val="22"/>
        </w:rPr>
        <w:t>roups.</w:t>
      </w:r>
    </w:p>
    <w:p w14:paraId="3D05738E" w14:textId="77777777" w:rsidR="00A1610E" w:rsidRDefault="005C5D20" w:rsidP="00842214">
      <w:pPr>
        <w:pStyle w:val="ListParagraph"/>
        <w:numPr>
          <w:ilvl w:val="0"/>
          <w:numId w:val="14"/>
        </w:numPr>
        <w:jc w:val="both"/>
        <w:rPr>
          <w:rFonts w:cs="Arial"/>
          <w:bCs/>
          <w:sz w:val="22"/>
          <w:szCs w:val="22"/>
        </w:rPr>
      </w:pPr>
      <w:r>
        <w:rPr>
          <w:rFonts w:cs="Arial"/>
          <w:bCs/>
          <w:sz w:val="22"/>
          <w:szCs w:val="22"/>
        </w:rPr>
        <w:t>Monitor</w:t>
      </w:r>
      <w:r w:rsidR="00AD2CF1">
        <w:rPr>
          <w:rFonts w:cs="Arial"/>
          <w:bCs/>
          <w:sz w:val="22"/>
          <w:szCs w:val="22"/>
        </w:rPr>
        <w:t xml:space="preserve"> the</w:t>
      </w:r>
      <w:r w:rsidR="0039716B">
        <w:rPr>
          <w:rFonts w:cs="Arial"/>
          <w:bCs/>
          <w:sz w:val="22"/>
          <w:szCs w:val="22"/>
        </w:rPr>
        <w:t xml:space="preserve"> development of the Private Sector Strategy</w:t>
      </w:r>
      <w:r w:rsidR="00FF5790">
        <w:rPr>
          <w:rFonts w:cs="Arial"/>
          <w:bCs/>
          <w:sz w:val="22"/>
          <w:szCs w:val="22"/>
        </w:rPr>
        <w:t xml:space="preserve">, </w:t>
      </w:r>
      <w:r w:rsidR="00AD2CF1">
        <w:rPr>
          <w:rFonts w:cs="Arial"/>
          <w:bCs/>
          <w:sz w:val="22"/>
          <w:szCs w:val="22"/>
        </w:rPr>
        <w:t xml:space="preserve">to </w:t>
      </w:r>
      <w:r w:rsidR="00A96E83">
        <w:rPr>
          <w:rFonts w:cs="Arial"/>
          <w:bCs/>
          <w:sz w:val="22"/>
          <w:szCs w:val="22"/>
        </w:rPr>
        <w:t>ensure meaningful</w:t>
      </w:r>
      <w:r w:rsidR="00FF5790">
        <w:rPr>
          <w:rFonts w:cs="Arial"/>
          <w:bCs/>
          <w:sz w:val="22"/>
          <w:szCs w:val="22"/>
        </w:rPr>
        <w:t xml:space="preserve"> participation of private actors within </w:t>
      </w:r>
      <w:r w:rsidR="00A060A2">
        <w:rPr>
          <w:rFonts w:cs="Arial"/>
          <w:bCs/>
          <w:sz w:val="22"/>
          <w:szCs w:val="22"/>
        </w:rPr>
        <w:t>GEF7</w:t>
      </w:r>
      <w:r w:rsidR="00FF5790">
        <w:rPr>
          <w:rFonts w:cs="Arial"/>
          <w:bCs/>
          <w:sz w:val="22"/>
          <w:szCs w:val="22"/>
        </w:rPr>
        <w:t xml:space="preserve"> programming</w:t>
      </w:r>
      <w:r w:rsidR="00086542">
        <w:rPr>
          <w:rFonts w:cs="Arial"/>
          <w:bCs/>
          <w:sz w:val="22"/>
          <w:szCs w:val="22"/>
        </w:rPr>
        <w:t>.  (Note draft Strategy to be presented in December 2019).</w:t>
      </w:r>
    </w:p>
    <w:p w14:paraId="152ED672" w14:textId="77777777" w:rsidR="00E37C45" w:rsidRDefault="00335C9C" w:rsidP="00E37C45">
      <w:pPr>
        <w:pStyle w:val="ListParagraph"/>
        <w:numPr>
          <w:ilvl w:val="0"/>
          <w:numId w:val="14"/>
        </w:numPr>
        <w:jc w:val="both"/>
        <w:rPr>
          <w:rFonts w:cs="Arial"/>
          <w:bCs/>
          <w:sz w:val="22"/>
          <w:szCs w:val="22"/>
        </w:rPr>
      </w:pPr>
      <w:r>
        <w:rPr>
          <w:rFonts w:cs="Arial"/>
          <w:bCs/>
          <w:sz w:val="22"/>
          <w:szCs w:val="22"/>
        </w:rPr>
        <w:t xml:space="preserve">Additionally, UK to </w:t>
      </w:r>
      <w:r w:rsidR="00C62973">
        <w:rPr>
          <w:rFonts w:cs="Arial"/>
          <w:bCs/>
          <w:sz w:val="22"/>
          <w:szCs w:val="22"/>
        </w:rPr>
        <w:t>monitor</w:t>
      </w:r>
      <w:r w:rsidR="00AD2CF1">
        <w:rPr>
          <w:rFonts w:cs="Arial"/>
          <w:bCs/>
          <w:sz w:val="22"/>
          <w:szCs w:val="22"/>
        </w:rPr>
        <w:t xml:space="preserve"> </w:t>
      </w:r>
      <w:r w:rsidR="002E2652">
        <w:rPr>
          <w:rFonts w:cs="Arial"/>
          <w:bCs/>
          <w:sz w:val="22"/>
          <w:szCs w:val="22"/>
        </w:rPr>
        <w:t>further work being carried out by the GEF Secretariat on measures to improve the sustainability of GEF programming</w:t>
      </w:r>
      <w:r w:rsidR="00724131">
        <w:rPr>
          <w:rFonts w:cs="Arial"/>
          <w:bCs/>
          <w:sz w:val="22"/>
          <w:szCs w:val="22"/>
        </w:rPr>
        <w:t xml:space="preserve">.  (Note that further paper </w:t>
      </w:r>
      <w:r w:rsidR="00E37C45">
        <w:rPr>
          <w:rFonts w:cs="Arial"/>
          <w:bCs/>
          <w:sz w:val="22"/>
          <w:szCs w:val="22"/>
        </w:rPr>
        <w:t>to be presented to Council in December 2019).</w:t>
      </w:r>
    </w:p>
    <w:p w14:paraId="40E58E4F" w14:textId="77777777" w:rsidR="002C7EF2" w:rsidRPr="003065F5" w:rsidRDefault="002C7EF2" w:rsidP="003065F5">
      <w:pPr>
        <w:pStyle w:val="ListParagraph"/>
        <w:numPr>
          <w:ilvl w:val="0"/>
          <w:numId w:val="14"/>
        </w:numPr>
        <w:jc w:val="both"/>
        <w:rPr>
          <w:rFonts w:cs="Arial"/>
          <w:bCs/>
          <w:sz w:val="22"/>
          <w:szCs w:val="22"/>
        </w:rPr>
      </w:pPr>
      <w:r w:rsidRPr="00E37C45">
        <w:rPr>
          <w:sz w:val="22"/>
          <w:szCs w:val="22"/>
        </w:rPr>
        <w:t>Gender:</w:t>
      </w:r>
      <w:r w:rsidR="003065F5">
        <w:rPr>
          <w:sz w:val="22"/>
          <w:szCs w:val="22"/>
        </w:rPr>
        <w:t xml:space="preserve">  </w:t>
      </w:r>
      <w:r w:rsidR="003065F5" w:rsidRPr="003065F5">
        <w:rPr>
          <w:bCs/>
          <w:iCs/>
          <w:sz w:val="22"/>
          <w:szCs w:val="22"/>
        </w:rPr>
        <w:t>E</w:t>
      </w:r>
      <w:r w:rsidRPr="003065F5">
        <w:rPr>
          <w:bCs/>
          <w:iCs/>
          <w:sz w:val="22"/>
          <w:szCs w:val="22"/>
        </w:rPr>
        <w:t xml:space="preserve">ncourage </w:t>
      </w:r>
      <w:r w:rsidR="003065F5">
        <w:rPr>
          <w:bCs/>
          <w:iCs/>
          <w:sz w:val="22"/>
          <w:szCs w:val="22"/>
        </w:rPr>
        <w:t xml:space="preserve">consideration of greater upstream </w:t>
      </w:r>
      <w:r w:rsidR="00E452AD">
        <w:rPr>
          <w:bCs/>
          <w:iCs/>
          <w:sz w:val="22"/>
          <w:szCs w:val="22"/>
        </w:rPr>
        <w:t xml:space="preserve">engagement in programme design, for example </w:t>
      </w:r>
      <w:r w:rsidRPr="003065F5">
        <w:rPr>
          <w:bCs/>
          <w:iCs/>
          <w:sz w:val="22"/>
          <w:szCs w:val="22"/>
        </w:rPr>
        <w:t>more proactive engagement with women’s rights organisations to help support GEF7 gender ambitions</w:t>
      </w:r>
      <w:r w:rsidR="00E452AD">
        <w:rPr>
          <w:bCs/>
          <w:iCs/>
          <w:sz w:val="22"/>
          <w:szCs w:val="22"/>
        </w:rPr>
        <w:t>, with particular attention being paid to</w:t>
      </w:r>
      <w:r w:rsidR="00303A86">
        <w:rPr>
          <w:bCs/>
          <w:iCs/>
          <w:sz w:val="22"/>
          <w:szCs w:val="22"/>
        </w:rPr>
        <w:t xml:space="preserve"> opportunities with the Impact Programmes.</w:t>
      </w:r>
    </w:p>
    <w:p w14:paraId="41913DB2" w14:textId="77777777" w:rsidR="00B0728D" w:rsidRDefault="00B0728D" w:rsidP="00B0728D">
      <w:pPr>
        <w:jc w:val="both"/>
        <w:rPr>
          <w:rFonts w:cs="Arial"/>
          <w:bCs/>
          <w:sz w:val="22"/>
          <w:szCs w:val="22"/>
        </w:rPr>
      </w:pPr>
    </w:p>
    <w:p w14:paraId="7BF8BD10" w14:textId="77777777" w:rsidR="007D244B" w:rsidRDefault="007D244B">
      <w:pPr>
        <w:rPr>
          <w:rFonts w:cs="Arial"/>
          <w:bCs/>
          <w:sz w:val="22"/>
          <w:szCs w:val="22"/>
        </w:rPr>
      </w:pPr>
      <w:r>
        <w:rPr>
          <w:rFonts w:cs="Arial"/>
          <w:bCs/>
          <w:sz w:val="22"/>
          <w:szCs w:val="22"/>
        </w:rPr>
        <w:br w:type="page"/>
      </w:r>
    </w:p>
    <w:p w14:paraId="107A0221" w14:textId="77777777" w:rsidR="007D244B" w:rsidRDefault="007D244B" w:rsidP="00B0728D">
      <w:pPr>
        <w:jc w:val="both"/>
        <w:rPr>
          <w:rFonts w:cs="Arial"/>
          <w:bCs/>
          <w:sz w:val="22"/>
          <w:szCs w:val="22"/>
        </w:rPr>
      </w:pPr>
    </w:p>
    <w:p w14:paraId="33B07472" w14:textId="77777777" w:rsidR="00E70B2C" w:rsidRDefault="00E70B2C" w:rsidP="00E70B2C">
      <w:pPr>
        <w:jc w:val="both"/>
        <w:rPr>
          <w:rFonts w:cs="Arial"/>
          <w:bCs/>
          <w:sz w:val="22"/>
          <w:szCs w:val="22"/>
        </w:rPr>
      </w:pPr>
    </w:p>
    <w:p w14:paraId="137005B2" w14:textId="77777777" w:rsidR="00B96F0C" w:rsidRPr="00F70DBE" w:rsidRDefault="00B96F0C" w:rsidP="00B96F0C">
      <w:pPr>
        <w:pStyle w:val="Heading2"/>
        <w:pBdr>
          <w:top w:val="single" w:sz="4" w:space="1" w:color="auto"/>
          <w:left w:val="single" w:sz="4" w:space="4" w:color="auto"/>
          <w:bottom w:val="single" w:sz="4" w:space="1" w:color="auto"/>
          <w:right w:val="single" w:sz="4" w:space="4" w:color="auto"/>
        </w:pBdr>
        <w:shd w:val="clear" w:color="auto" w:fill="DBE5F1" w:themeFill="accent1" w:themeFillTint="33"/>
        <w:spacing w:before="0"/>
        <w:rPr>
          <w:b w:val="0"/>
          <w:i w:val="0"/>
          <w:sz w:val="20"/>
          <w:szCs w:val="20"/>
        </w:rPr>
      </w:pPr>
      <w:r>
        <w:rPr>
          <w:i w:val="0"/>
        </w:rPr>
        <w:t>C</w:t>
      </w:r>
      <w:r w:rsidRPr="00F70DBE">
        <w:rPr>
          <w:i w:val="0"/>
        </w:rPr>
        <w:t xml:space="preserve">: </w:t>
      </w:r>
      <w:r>
        <w:rPr>
          <w:i w:val="0"/>
        </w:rPr>
        <w:t>THEORY OF CHANGE</w:t>
      </w:r>
      <w:r w:rsidR="00CE0979">
        <w:rPr>
          <w:i w:val="0"/>
        </w:rPr>
        <w:t xml:space="preserve"> AND PROGRESS TOWARDS OUTCOMES</w:t>
      </w:r>
    </w:p>
    <w:p w14:paraId="4B972DB1" w14:textId="77777777" w:rsidR="00B96F0C" w:rsidRPr="00F70DBE" w:rsidRDefault="00B96F0C" w:rsidP="00B96F0C">
      <w:pPr>
        <w:rPr>
          <w:bCs/>
          <w:color w:val="FF0000"/>
          <w:sz w:val="22"/>
          <w:szCs w:val="22"/>
        </w:rPr>
      </w:pPr>
    </w:p>
    <w:p w14:paraId="6C7CC8E7" w14:textId="4BD4979A" w:rsidR="0024517F" w:rsidRDefault="00195633" w:rsidP="0098399D">
      <w:pPr>
        <w:autoSpaceDE w:val="0"/>
        <w:autoSpaceDN w:val="0"/>
        <w:adjustRightInd w:val="0"/>
        <w:jc w:val="both"/>
        <w:rPr>
          <w:color w:val="000000"/>
          <w:sz w:val="22"/>
          <w:szCs w:val="22"/>
          <w:lang w:eastAsia="en-GB"/>
        </w:rPr>
      </w:pPr>
      <w:bookmarkStart w:id="8" w:name="_GoBack"/>
      <w:bookmarkEnd w:id="8"/>
      <w:r>
        <w:t>Theory of Change set out in following diagram:</w:t>
      </w:r>
    </w:p>
    <w:p w14:paraId="34B0BDDE" w14:textId="7B70C8D5" w:rsidR="00ED3A4F" w:rsidRDefault="00ED3A4F" w:rsidP="0098399D">
      <w:pPr>
        <w:autoSpaceDE w:val="0"/>
        <w:autoSpaceDN w:val="0"/>
        <w:adjustRightInd w:val="0"/>
        <w:jc w:val="both"/>
        <w:rPr>
          <w:color w:val="000000"/>
          <w:sz w:val="22"/>
          <w:szCs w:val="22"/>
          <w:lang w:eastAsia="en-GB"/>
        </w:rPr>
      </w:pPr>
    </w:p>
    <w:p w14:paraId="03346D4D" w14:textId="24D300A5" w:rsidR="0098399D" w:rsidRDefault="00004DD6" w:rsidP="00CE0979">
      <w:pPr>
        <w:rPr>
          <w:rFonts w:cs="Arial"/>
          <w:b/>
          <w:bCs/>
          <w:sz w:val="22"/>
          <w:szCs w:val="22"/>
        </w:rPr>
      </w:pPr>
      <w:r w:rsidRPr="00292BBA">
        <w:rPr>
          <w:rFonts w:cs="Arial"/>
          <w:b/>
          <w:bCs/>
          <w:noProof/>
          <w:sz w:val="22"/>
          <w:szCs w:val="22"/>
          <w:u w:val="single"/>
          <w:lang w:eastAsia="en-GB"/>
        </w:rPr>
        <w:drawing>
          <wp:inline distT="0" distB="0" distL="0" distR="0" wp14:anchorId="4DCC8B9D" wp14:editId="3B14DF6D">
            <wp:extent cx="5615940" cy="42119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F7 ToC.gif"/>
                    <pic:cNvPicPr/>
                  </pic:nvPicPr>
                  <pic:blipFill>
                    <a:blip r:embed="rId13">
                      <a:extLst>
                        <a:ext uri="{28A0092B-C50C-407E-A947-70E740481C1C}">
                          <a14:useLocalDpi xmlns:a14="http://schemas.microsoft.com/office/drawing/2010/main" val="0"/>
                        </a:ext>
                      </a:extLst>
                    </a:blip>
                    <a:stretch>
                      <a:fillRect/>
                    </a:stretch>
                  </pic:blipFill>
                  <pic:spPr>
                    <a:xfrm>
                      <a:off x="0" y="0"/>
                      <a:ext cx="5615940" cy="4211955"/>
                    </a:xfrm>
                    <a:prstGeom prst="rect">
                      <a:avLst/>
                    </a:prstGeom>
                  </pic:spPr>
                </pic:pic>
              </a:graphicData>
            </a:graphic>
          </wp:inline>
        </w:drawing>
      </w:r>
    </w:p>
    <w:p w14:paraId="0D51C764" w14:textId="77777777" w:rsidR="0098399D" w:rsidRDefault="0098399D" w:rsidP="00CE0979">
      <w:pPr>
        <w:rPr>
          <w:rFonts w:cs="Arial"/>
          <w:b/>
          <w:bCs/>
          <w:sz w:val="22"/>
          <w:szCs w:val="22"/>
        </w:rPr>
      </w:pPr>
    </w:p>
    <w:p w14:paraId="19536D63" w14:textId="2717D223" w:rsidR="00045FB0" w:rsidRDefault="00045FB0" w:rsidP="00045FB0">
      <w:pPr>
        <w:rPr>
          <w:rFonts w:cs="Arial"/>
          <w:sz w:val="22"/>
          <w:szCs w:val="22"/>
        </w:rPr>
      </w:pPr>
      <w:r>
        <w:rPr>
          <w:rFonts w:cs="Arial"/>
          <w:b/>
          <w:sz w:val="22"/>
          <w:szCs w:val="22"/>
        </w:rPr>
        <w:t>Summ</w:t>
      </w:r>
      <w:r>
        <w:rPr>
          <w:rFonts w:cs="Arial"/>
          <w:b/>
          <w:sz w:val="22"/>
          <w:szCs w:val="22"/>
        </w:rPr>
        <w:t>ary</w:t>
      </w:r>
      <w:r>
        <w:rPr>
          <w:rFonts w:cs="Arial"/>
          <w:b/>
          <w:sz w:val="22"/>
          <w:szCs w:val="22"/>
        </w:rPr>
        <w:t xml:space="preserve"> </w:t>
      </w:r>
      <w:r>
        <w:rPr>
          <w:rFonts w:cs="Arial"/>
          <w:b/>
          <w:sz w:val="22"/>
          <w:szCs w:val="22"/>
        </w:rPr>
        <w:t xml:space="preserve">of </w:t>
      </w:r>
      <w:r w:rsidR="00990A20">
        <w:rPr>
          <w:rFonts w:cs="Arial"/>
          <w:b/>
          <w:sz w:val="22"/>
          <w:szCs w:val="22"/>
        </w:rPr>
        <w:t>the theory</w:t>
      </w:r>
      <w:r>
        <w:rPr>
          <w:rFonts w:cs="Arial"/>
          <w:b/>
          <w:sz w:val="22"/>
          <w:szCs w:val="22"/>
        </w:rPr>
        <w:t xml:space="preserve"> of change </w:t>
      </w:r>
    </w:p>
    <w:p w14:paraId="3098370C" w14:textId="77777777" w:rsidR="00045FB0" w:rsidRDefault="00045FB0" w:rsidP="00045FB0">
      <w:pPr>
        <w:autoSpaceDE w:val="0"/>
        <w:autoSpaceDN w:val="0"/>
        <w:adjustRightInd w:val="0"/>
        <w:jc w:val="both"/>
        <w:rPr>
          <w:color w:val="000000"/>
          <w:sz w:val="22"/>
          <w:szCs w:val="22"/>
          <w:lang w:eastAsia="en-GB"/>
        </w:rPr>
      </w:pPr>
      <w:r>
        <w:rPr>
          <w:color w:val="000000"/>
          <w:sz w:val="22"/>
          <w:szCs w:val="22"/>
          <w:lang w:eastAsia="en-GB"/>
        </w:rPr>
        <w:t>For GEF7 the intervention built on GEF’s own TOC by recognising the contribution the GEF makes in supporting sustainable development and reducing the detrimental impact of climate change and environmental degradation on the poor.  In summary, an adequately resourced GEF is managed effectively to deliver high impact projects delivering sustained global environmental benefits.  The approaches demonstrated by GEF projects have a transformative effect (for example through uptake in other countries, or through systematic shifts in business practices) and this slows the pace of global environmental degradation.  Given that the poorest people are often the most reliant on natural resources for their livelihoods, this has a positive impact on poverty reduction goals.  There have been no major changes in the GEF’s theory of change in the past year.</w:t>
      </w:r>
    </w:p>
    <w:p w14:paraId="0A43BB97" w14:textId="77777777" w:rsidR="00045FB0" w:rsidRDefault="00045FB0" w:rsidP="00CE0979">
      <w:pPr>
        <w:rPr>
          <w:rFonts w:cs="Arial"/>
          <w:b/>
          <w:bCs/>
          <w:sz w:val="22"/>
          <w:szCs w:val="22"/>
        </w:rPr>
      </w:pPr>
    </w:p>
    <w:p w14:paraId="4928769F" w14:textId="77777777" w:rsidR="00045FB0" w:rsidRDefault="00045FB0" w:rsidP="00CE0979">
      <w:pPr>
        <w:rPr>
          <w:rFonts w:cs="Arial"/>
          <w:b/>
          <w:bCs/>
          <w:sz w:val="22"/>
          <w:szCs w:val="22"/>
        </w:rPr>
      </w:pPr>
    </w:p>
    <w:p w14:paraId="155B0573" w14:textId="5D6E8BAC" w:rsidR="00CE0979" w:rsidRPr="00F70DBE" w:rsidRDefault="00CE0979" w:rsidP="00CE0979">
      <w:pPr>
        <w:rPr>
          <w:rFonts w:cs="Arial"/>
          <w:b/>
          <w:sz w:val="22"/>
          <w:szCs w:val="22"/>
        </w:rPr>
      </w:pPr>
      <w:r>
        <w:rPr>
          <w:rFonts w:cs="Arial"/>
          <w:b/>
          <w:bCs/>
          <w:sz w:val="22"/>
          <w:szCs w:val="22"/>
        </w:rPr>
        <w:t>Descri</w:t>
      </w:r>
      <w:r w:rsidR="00777746">
        <w:rPr>
          <w:rFonts w:cs="Arial"/>
          <w:b/>
          <w:bCs/>
          <w:sz w:val="22"/>
          <w:szCs w:val="22"/>
        </w:rPr>
        <w:t>ption of</w:t>
      </w:r>
      <w:r>
        <w:rPr>
          <w:rFonts w:cs="Arial"/>
          <w:b/>
          <w:bCs/>
          <w:sz w:val="22"/>
          <w:szCs w:val="22"/>
        </w:rPr>
        <w:t xml:space="preserve"> </w:t>
      </w:r>
      <w:r w:rsidR="00E4551A">
        <w:rPr>
          <w:rFonts w:cs="Arial"/>
          <w:b/>
          <w:bCs/>
          <w:sz w:val="22"/>
          <w:szCs w:val="22"/>
        </w:rPr>
        <w:t xml:space="preserve">where </w:t>
      </w:r>
      <w:r>
        <w:rPr>
          <w:rFonts w:cs="Arial"/>
          <w:b/>
          <w:bCs/>
          <w:sz w:val="22"/>
          <w:szCs w:val="22"/>
        </w:rPr>
        <w:t xml:space="preserve">the programme is on track to </w:t>
      </w:r>
      <w:r w:rsidR="00E4551A">
        <w:rPr>
          <w:rFonts w:cs="Arial"/>
          <w:b/>
          <w:bCs/>
          <w:sz w:val="22"/>
          <w:szCs w:val="22"/>
        </w:rPr>
        <w:t xml:space="preserve">contribute to </w:t>
      </w:r>
      <w:r>
        <w:rPr>
          <w:rFonts w:cs="Arial"/>
          <w:b/>
          <w:bCs/>
          <w:sz w:val="22"/>
          <w:szCs w:val="22"/>
        </w:rPr>
        <w:t xml:space="preserve">the expected </w:t>
      </w:r>
      <w:r w:rsidRPr="00F70DBE">
        <w:rPr>
          <w:rFonts w:cs="Arial"/>
          <w:b/>
          <w:bCs/>
          <w:sz w:val="22"/>
          <w:szCs w:val="22"/>
        </w:rPr>
        <w:t>outcome</w:t>
      </w:r>
      <w:r>
        <w:rPr>
          <w:rFonts w:cs="Arial"/>
          <w:b/>
          <w:bCs/>
          <w:sz w:val="22"/>
          <w:szCs w:val="22"/>
        </w:rPr>
        <w:t>s</w:t>
      </w:r>
      <w:r w:rsidR="00951895">
        <w:rPr>
          <w:rFonts w:cs="Arial"/>
          <w:b/>
          <w:bCs/>
          <w:sz w:val="22"/>
          <w:szCs w:val="22"/>
        </w:rPr>
        <w:t xml:space="preserve"> </w:t>
      </w:r>
      <w:r w:rsidR="009921A0">
        <w:rPr>
          <w:rFonts w:cs="Arial"/>
          <w:b/>
          <w:bCs/>
          <w:sz w:val="22"/>
          <w:szCs w:val="22"/>
        </w:rPr>
        <w:t xml:space="preserve">and impact, </w:t>
      </w:r>
      <w:r w:rsidR="00E4551A">
        <w:rPr>
          <w:rFonts w:cs="Arial"/>
          <w:b/>
          <w:bCs/>
          <w:sz w:val="22"/>
          <w:szCs w:val="22"/>
        </w:rPr>
        <w:t xml:space="preserve">and where it is off track and </w:t>
      </w:r>
      <w:r w:rsidR="006175E2">
        <w:rPr>
          <w:rFonts w:cs="Arial"/>
          <w:b/>
          <w:bCs/>
          <w:sz w:val="22"/>
          <w:szCs w:val="22"/>
        </w:rPr>
        <w:t xml:space="preserve">so </w:t>
      </w:r>
      <w:r w:rsidR="00E4551A">
        <w:rPr>
          <w:rFonts w:cs="Arial"/>
          <w:b/>
          <w:bCs/>
          <w:sz w:val="22"/>
          <w:szCs w:val="22"/>
        </w:rPr>
        <w:t xml:space="preserve">what action is planned as a result in </w:t>
      </w:r>
      <w:r w:rsidR="00951895">
        <w:rPr>
          <w:rFonts w:cs="Arial"/>
          <w:b/>
          <w:sz w:val="22"/>
          <w:szCs w:val="22"/>
        </w:rPr>
        <w:t>the year ahead</w:t>
      </w:r>
    </w:p>
    <w:p w14:paraId="5FECC723" w14:textId="77777777" w:rsidR="005764BC" w:rsidRDefault="00C57B1F" w:rsidP="00563297">
      <w:pPr>
        <w:jc w:val="both"/>
        <w:rPr>
          <w:rFonts w:cs="Arial"/>
          <w:sz w:val="22"/>
          <w:szCs w:val="22"/>
        </w:rPr>
      </w:pPr>
      <w:r>
        <w:rPr>
          <w:rFonts w:cs="Arial"/>
          <w:sz w:val="22"/>
          <w:szCs w:val="22"/>
        </w:rPr>
        <w:t xml:space="preserve">The overall impact of the programme is </w:t>
      </w:r>
      <w:r>
        <w:rPr>
          <w:rFonts w:cs="Arial"/>
          <w:i/>
          <w:sz w:val="22"/>
          <w:szCs w:val="22"/>
        </w:rPr>
        <w:t>T</w:t>
      </w:r>
      <w:r w:rsidRPr="00C32CED">
        <w:rPr>
          <w:rFonts w:cs="Arial"/>
          <w:i/>
          <w:sz w:val="22"/>
          <w:szCs w:val="22"/>
        </w:rPr>
        <w:t>he reduction or reversal of trends in environmental degradation at a global scale</w:t>
      </w:r>
      <w:r>
        <w:rPr>
          <w:rFonts w:cs="Arial"/>
          <w:sz w:val="22"/>
          <w:szCs w:val="22"/>
        </w:rPr>
        <w:t>.  In contributing to this t</w:t>
      </w:r>
      <w:r w:rsidR="005C4E9F">
        <w:rPr>
          <w:rFonts w:cs="Arial"/>
          <w:sz w:val="22"/>
          <w:szCs w:val="22"/>
        </w:rPr>
        <w:t>he GEF is an important delivery channel for</w:t>
      </w:r>
      <w:r w:rsidR="005764BC">
        <w:rPr>
          <w:rFonts w:cs="Arial"/>
          <w:sz w:val="22"/>
          <w:szCs w:val="22"/>
        </w:rPr>
        <w:t xml:space="preserve"> </w:t>
      </w:r>
      <w:r w:rsidR="00AD2CF1">
        <w:rPr>
          <w:rFonts w:cs="Arial"/>
          <w:sz w:val="22"/>
          <w:szCs w:val="22"/>
        </w:rPr>
        <w:t>nature-based</w:t>
      </w:r>
      <w:r w:rsidR="005764BC">
        <w:rPr>
          <w:rFonts w:cs="Arial"/>
          <w:sz w:val="22"/>
          <w:szCs w:val="22"/>
        </w:rPr>
        <w:t xml:space="preserve"> solutions to climate change and biodiversity</w:t>
      </w:r>
      <w:r w:rsidR="005C4E9F">
        <w:rPr>
          <w:rFonts w:cs="Arial"/>
          <w:sz w:val="22"/>
          <w:szCs w:val="22"/>
        </w:rPr>
        <w:t>. It supports programmes that</w:t>
      </w:r>
      <w:r w:rsidR="005764BC">
        <w:rPr>
          <w:rFonts w:cs="Arial"/>
          <w:sz w:val="22"/>
          <w:szCs w:val="22"/>
        </w:rPr>
        <w:t xml:space="preserve"> restore ecosystems and promote sustainable agriculture in a way that delivers cross cutting biodiversity, climate mitigation, resilience</w:t>
      </w:r>
      <w:r w:rsidR="00206541">
        <w:rPr>
          <w:rFonts w:cs="Arial"/>
          <w:sz w:val="22"/>
          <w:szCs w:val="22"/>
        </w:rPr>
        <w:t>,</w:t>
      </w:r>
      <w:r w:rsidR="005764BC">
        <w:rPr>
          <w:rFonts w:cs="Arial"/>
          <w:sz w:val="22"/>
          <w:szCs w:val="22"/>
        </w:rPr>
        <w:t xml:space="preserve"> and development benefits. Many of the Impact Programmes </w:t>
      </w:r>
      <w:r w:rsidR="009D5370">
        <w:rPr>
          <w:rFonts w:cs="Arial"/>
          <w:sz w:val="22"/>
          <w:szCs w:val="22"/>
        </w:rPr>
        <w:t>act</w:t>
      </w:r>
      <w:r w:rsidR="005764BC">
        <w:rPr>
          <w:rFonts w:cs="Arial"/>
          <w:sz w:val="22"/>
          <w:szCs w:val="22"/>
        </w:rPr>
        <w:t xml:space="preserve"> to preserve </w:t>
      </w:r>
      <w:r w:rsidR="00AD2CF1">
        <w:rPr>
          <w:rFonts w:cs="Arial"/>
          <w:sz w:val="22"/>
          <w:szCs w:val="22"/>
        </w:rPr>
        <w:t>land-based</w:t>
      </w:r>
      <w:r w:rsidR="005764BC">
        <w:rPr>
          <w:rFonts w:cs="Arial"/>
          <w:sz w:val="22"/>
          <w:szCs w:val="22"/>
        </w:rPr>
        <w:t xml:space="preserve"> carbon reservoirs by encouraging the sustainable management of land and food systems – which also helps to preserve biodiversity.</w:t>
      </w:r>
    </w:p>
    <w:p w14:paraId="19A0676A" w14:textId="77777777" w:rsidR="005764BC" w:rsidRDefault="005764BC" w:rsidP="00563297">
      <w:pPr>
        <w:jc w:val="both"/>
        <w:rPr>
          <w:rFonts w:cs="Arial"/>
          <w:sz w:val="22"/>
          <w:szCs w:val="22"/>
        </w:rPr>
      </w:pPr>
    </w:p>
    <w:p w14:paraId="39AC19A3" w14:textId="77777777" w:rsidR="00C62973" w:rsidRDefault="00FD6897" w:rsidP="00563297">
      <w:pPr>
        <w:jc w:val="both"/>
        <w:rPr>
          <w:rFonts w:cs="Arial"/>
          <w:sz w:val="22"/>
          <w:szCs w:val="22"/>
        </w:rPr>
      </w:pPr>
      <w:r>
        <w:rPr>
          <w:rFonts w:cs="Arial"/>
          <w:sz w:val="22"/>
          <w:szCs w:val="22"/>
        </w:rPr>
        <w:t xml:space="preserve">The </w:t>
      </w:r>
      <w:r w:rsidR="00A50460" w:rsidRPr="00A50460">
        <w:rPr>
          <w:rFonts w:cs="Arial"/>
          <w:sz w:val="22"/>
          <w:szCs w:val="22"/>
        </w:rPr>
        <w:t>Intergovernmental Science-Policy Platform on Biodiversity and Ecosystem Services (IPBES)</w:t>
      </w:r>
      <w:r w:rsidR="00A50460">
        <w:rPr>
          <w:rFonts w:cs="Arial"/>
          <w:sz w:val="22"/>
          <w:szCs w:val="22"/>
        </w:rPr>
        <w:t xml:space="preserve"> </w:t>
      </w:r>
      <w:r w:rsidR="005B5490" w:rsidRPr="005B5490">
        <w:rPr>
          <w:rFonts w:cs="Arial"/>
          <w:sz w:val="22"/>
          <w:szCs w:val="22"/>
        </w:rPr>
        <w:t>Global Assessment Report on Biodiversity and Ecosystem Services</w:t>
      </w:r>
      <w:r w:rsidR="005B5490">
        <w:rPr>
          <w:rFonts w:cs="Arial"/>
          <w:sz w:val="22"/>
          <w:szCs w:val="22"/>
        </w:rPr>
        <w:t xml:space="preserve"> published in </w:t>
      </w:r>
      <w:r w:rsidR="00102038">
        <w:rPr>
          <w:rFonts w:cs="Arial"/>
          <w:sz w:val="22"/>
          <w:szCs w:val="22"/>
        </w:rPr>
        <w:t xml:space="preserve">May this year highlights that </w:t>
      </w:r>
      <w:r w:rsidR="00605EB9">
        <w:rPr>
          <w:rFonts w:cs="Arial"/>
          <w:sz w:val="22"/>
          <w:szCs w:val="22"/>
        </w:rPr>
        <w:lastRenderedPageBreak/>
        <w:t>b</w:t>
      </w:r>
      <w:r w:rsidR="00605EB9" w:rsidRPr="00605EB9">
        <w:rPr>
          <w:rFonts w:cs="Arial"/>
          <w:sz w:val="22"/>
          <w:szCs w:val="22"/>
        </w:rPr>
        <w:t xml:space="preserve">iodiversity </w:t>
      </w:r>
      <w:r w:rsidR="00605EB9">
        <w:rPr>
          <w:rFonts w:cs="Arial"/>
          <w:sz w:val="22"/>
          <w:szCs w:val="22"/>
        </w:rPr>
        <w:t>remains</w:t>
      </w:r>
      <w:r w:rsidR="00605EB9" w:rsidRPr="00605EB9">
        <w:rPr>
          <w:rFonts w:cs="Arial"/>
          <w:sz w:val="22"/>
          <w:szCs w:val="22"/>
        </w:rPr>
        <w:t xml:space="preserve"> in catastrophic decline globally, with circa 1 million species threatened with extinction</w:t>
      </w:r>
      <w:r w:rsidR="00CD6271">
        <w:rPr>
          <w:rFonts w:cs="Arial"/>
          <w:sz w:val="22"/>
          <w:szCs w:val="22"/>
        </w:rPr>
        <w:t xml:space="preserve"> and that t</w:t>
      </w:r>
      <w:r w:rsidR="00605EB9" w:rsidRPr="00605EB9">
        <w:rPr>
          <w:rFonts w:cs="Arial"/>
          <w:sz w:val="22"/>
          <w:szCs w:val="22"/>
        </w:rPr>
        <w:t>hree-quarters of the land-based environment and two-thirds of the marine environment have been significantly altered by human actions.</w:t>
      </w:r>
      <w:r w:rsidR="00F952D4">
        <w:rPr>
          <w:rFonts w:cs="Arial"/>
          <w:sz w:val="22"/>
          <w:szCs w:val="22"/>
        </w:rPr>
        <w:t xml:space="preserve">  </w:t>
      </w:r>
      <w:r w:rsidR="00605EB9" w:rsidRPr="00605EB9">
        <w:rPr>
          <w:rFonts w:cs="Arial"/>
          <w:sz w:val="22"/>
          <w:szCs w:val="22"/>
        </w:rPr>
        <w:t xml:space="preserve">The </w:t>
      </w:r>
      <w:r w:rsidR="00C57B1F">
        <w:rPr>
          <w:rFonts w:cs="Arial"/>
          <w:sz w:val="22"/>
          <w:szCs w:val="22"/>
        </w:rPr>
        <w:t xml:space="preserve">IPBES report highlights the </w:t>
      </w:r>
      <w:r w:rsidR="00605EB9" w:rsidRPr="00605EB9">
        <w:rPr>
          <w:rFonts w:cs="Arial"/>
          <w:sz w:val="22"/>
          <w:szCs w:val="22"/>
        </w:rPr>
        <w:t>five direct drivers of change in nature with the largest relative global impacts so far are, in descending order: (1) changes in land and sea use; (2) direct exploitation of organisms; (3) climate change; (4) pollution and (5) invasive alien species.</w:t>
      </w:r>
      <w:r w:rsidR="000F2F26">
        <w:rPr>
          <w:rFonts w:cs="Arial"/>
          <w:sz w:val="22"/>
          <w:szCs w:val="22"/>
        </w:rPr>
        <w:t xml:space="preserve">  </w:t>
      </w:r>
      <w:r w:rsidR="00D63BCC">
        <w:rPr>
          <w:rFonts w:cs="Arial"/>
          <w:sz w:val="22"/>
          <w:szCs w:val="22"/>
        </w:rPr>
        <w:t>It also indicates that c</w:t>
      </w:r>
      <w:r w:rsidR="00605EB9" w:rsidRPr="00605EB9">
        <w:rPr>
          <w:rFonts w:cs="Arial"/>
          <w:sz w:val="22"/>
          <w:szCs w:val="22"/>
        </w:rPr>
        <w:t>urrent negative trends in biodiversity and ecosystems will undermine progress towards 80% (35 out of 44) of the assessed targets of the Sustainable Development Goals, related to poverty, hunger, health, water, cities, climate, oceans and land.</w:t>
      </w:r>
      <w:r w:rsidR="000F2F26">
        <w:rPr>
          <w:rFonts w:cs="Arial"/>
          <w:sz w:val="22"/>
          <w:szCs w:val="22"/>
        </w:rPr>
        <w:t xml:space="preserve">  </w:t>
      </w:r>
    </w:p>
    <w:p w14:paraId="1A604AAC" w14:textId="77777777" w:rsidR="00C62973" w:rsidRDefault="00C62973" w:rsidP="00563297">
      <w:pPr>
        <w:jc w:val="both"/>
        <w:rPr>
          <w:rFonts w:cs="Arial"/>
          <w:sz w:val="22"/>
          <w:szCs w:val="22"/>
        </w:rPr>
      </w:pPr>
    </w:p>
    <w:p w14:paraId="7B1D74C2" w14:textId="77777777" w:rsidR="00CE0979" w:rsidRPr="00FD6897" w:rsidRDefault="000F2F26" w:rsidP="00563297">
      <w:pPr>
        <w:jc w:val="both"/>
        <w:rPr>
          <w:rFonts w:cs="Arial"/>
          <w:sz w:val="22"/>
          <w:szCs w:val="22"/>
        </w:rPr>
      </w:pPr>
      <w:r>
        <w:rPr>
          <w:rFonts w:cs="Arial"/>
          <w:sz w:val="22"/>
          <w:szCs w:val="22"/>
        </w:rPr>
        <w:t xml:space="preserve">As such the GEF, and particularly </w:t>
      </w:r>
      <w:r w:rsidR="00A060A2">
        <w:rPr>
          <w:rFonts w:cs="Arial"/>
          <w:sz w:val="22"/>
          <w:szCs w:val="22"/>
        </w:rPr>
        <w:t>GEF7</w:t>
      </w:r>
      <w:r>
        <w:rPr>
          <w:rFonts w:cs="Arial"/>
          <w:sz w:val="22"/>
          <w:szCs w:val="22"/>
        </w:rPr>
        <w:t xml:space="preserve"> programming, </w:t>
      </w:r>
      <w:r w:rsidR="00C22ADD">
        <w:rPr>
          <w:rFonts w:cs="Arial"/>
          <w:sz w:val="22"/>
          <w:szCs w:val="22"/>
        </w:rPr>
        <w:t>remains highly relevant</w:t>
      </w:r>
      <w:r w:rsidR="0062355D">
        <w:rPr>
          <w:rFonts w:cs="Arial"/>
          <w:sz w:val="22"/>
          <w:szCs w:val="22"/>
        </w:rPr>
        <w:t xml:space="preserve">, and </w:t>
      </w:r>
      <w:r w:rsidR="00A060A2">
        <w:rPr>
          <w:rFonts w:cs="Arial"/>
          <w:sz w:val="22"/>
          <w:szCs w:val="22"/>
        </w:rPr>
        <w:t>GEF7</w:t>
      </w:r>
      <w:r w:rsidR="00B05334">
        <w:rPr>
          <w:rFonts w:cs="Arial"/>
          <w:sz w:val="22"/>
          <w:szCs w:val="22"/>
        </w:rPr>
        <w:t xml:space="preserve"> expected results</w:t>
      </w:r>
      <w:r w:rsidR="0062355D">
        <w:rPr>
          <w:rFonts w:cs="Arial"/>
          <w:sz w:val="22"/>
          <w:szCs w:val="22"/>
        </w:rPr>
        <w:t xml:space="preserve"> </w:t>
      </w:r>
      <w:r w:rsidR="0009234F">
        <w:rPr>
          <w:rFonts w:cs="Arial"/>
          <w:sz w:val="22"/>
          <w:szCs w:val="22"/>
        </w:rPr>
        <w:t xml:space="preserve">will </w:t>
      </w:r>
      <w:r w:rsidR="00D804DC">
        <w:rPr>
          <w:rFonts w:cs="Arial"/>
          <w:sz w:val="22"/>
          <w:szCs w:val="22"/>
        </w:rPr>
        <w:t>contribute to the mitigation of these environmental problems</w:t>
      </w:r>
      <w:r w:rsidR="00B05334">
        <w:rPr>
          <w:rFonts w:cs="Arial"/>
          <w:sz w:val="22"/>
          <w:szCs w:val="22"/>
        </w:rPr>
        <w:t>.</w:t>
      </w:r>
      <w:r w:rsidR="00D73054">
        <w:rPr>
          <w:rFonts w:cs="Arial"/>
          <w:sz w:val="22"/>
          <w:szCs w:val="22"/>
        </w:rPr>
        <w:t xml:space="preserve">  </w:t>
      </w:r>
      <w:r w:rsidR="005C4E9F">
        <w:rPr>
          <w:rFonts w:cs="Arial"/>
          <w:sz w:val="22"/>
          <w:szCs w:val="22"/>
        </w:rPr>
        <w:t>But</w:t>
      </w:r>
      <w:r w:rsidR="00311297">
        <w:rPr>
          <w:rFonts w:cs="Arial"/>
          <w:sz w:val="22"/>
          <w:szCs w:val="22"/>
        </w:rPr>
        <w:t xml:space="preserve"> GEF resourcing remains insufficient to </w:t>
      </w:r>
      <w:r w:rsidR="005C4E9F">
        <w:rPr>
          <w:rFonts w:cs="Arial"/>
          <w:sz w:val="22"/>
          <w:szCs w:val="22"/>
        </w:rPr>
        <w:t xml:space="preserve">have </w:t>
      </w:r>
      <w:r w:rsidR="00311297">
        <w:rPr>
          <w:rFonts w:cs="Arial"/>
          <w:sz w:val="22"/>
          <w:szCs w:val="22"/>
        </w:rPr>
        <w:t xml:space="preserve">a major impact </w:t>
      </w:r>
      <w:r w:rsidR="005C4E9F">
        <w:rPr>
          <w:rFonts w:cs="Arial"/>
          <w:sz w:val="22"/>
          <w:szCs w:val="22"/>
        </w:rPr>
        <w:t xml:space="preserve">on </w:t>
      </w:r>
      <w:r w:rsidR="00311297">
        <w:rPr>
          <w:rFonts w:cs="Arial"/>
          <w:sz w:val="22"/>
          <w:szCs w:val="22"/>
        </w:rPr>
        <w:t xml:space="preserve">the tide of </w:t>
      </w:r>
      <w:r w:rsidR="00DA3FA8">
        <w:rPr>
          <w:rFonts w:cs="Arial"/>
          <w:sz w:val="22"/>
          <w:szCs w:val="22"/>
        </w:rPr>
        <w:t>global environmental degradation if an incremental project by project approach is taken</w:t>
      </w:r>
      <w:r w:rsidR="00E025DD">
        <w:rPr>
          <w:rFonts w:cs="Arial"/>
          <w:sz w:val="22"/>
          <w:szCs w:val="22"/>
        </w:rPr>
        <w:t>.  As such we are paying close attention to the programmatic approach</w:t>
      </w:r>
      <w:r w:rsidR="00383D15">
        <w:rPr>
          <w:rFonts w:cs="Arial"/>
          <w:sz w:val="22"/>
          <w:szCs w:val="22"/>
        </w:rPr>
        <w:t xml:space="preserve"> of </w:t>
      </w:r>
      <w:r w:rsidR="00A060A2">
        <w:rPr>
          <w:rFonts w:cs="Arial"/>
          <w:sz w:val="22"/>
          <w:szCs w:val="22"/>
        </w:rPr>
        <w:t>GEF7</w:t>
      </w:r>
      <w:r w:rsidR="00E025DD">
        <w:rPr>
          <w:rFonts w:cs="Arial"/>
          <w:sz w:val="22"/>
          <w:szCs w:val="22"/>
        </w:rPr>
        <w:t xml:space="preserve">, particularly the Impact Programmes, </w:t>
      </w:r>
      <w:r w:rsidR="00383D15">
        <w:rPr>
          <w:rFonts w:cs="Arial"/>
          <w:sz w:val="22"/>
          <w:szCs w:val="22"/>
        </w:rPr>
        <w:t xml:space="preserve">which seek to </w:t>
      </w:r>
      <w:r w:rsidR="000648FA">
        <w:rPr>
          <w:rFonts w:cs="Arial"/>
          <w:sz w:val="22"/>
          <w:szCs w:val="22"/>
        </w:rPr>
        <w:t xml:space="preserve">deliver a more transformative shift by addressing the systems underlying </w:t>
      </w:r>
      <w:r w:rsidR="00936F9E">
        <w:rPr>
          <w:rFonts w:cs="Arial"/>
          <w:sz w:val="22"/>
          <w:szCs w:val="22"/>
        </w:rPr>
        <w:t>biodiversity loss and climate change</w:t>
      </w:r>
      <w:r w:rsidR="000648FA">
        <w:rPr>
          <w:rFonts w:cs="Arial"/>
          <w:sz w:val="22"/>
          <w:szCs w:val="22"/>
        </w:rPr>
        <w:t xml:space="preserve">.  </w:t>
      </w:r>
      <w:r w:rsidR="00563297">
        <w:rPr>
          <w:rFonts w:cs="Arial"/>
          <w:sz w:val="22"/>
          <w:szCs w:val="22"/>
        </w:rPr>
        <w:t xml:space="preserve">For example, </w:t>
      </w:r>
      <w:r w:rsidR="00563297" w:rsidRPr="00563297">
        <w:rPr>
          <w:rFonts w:cs="Arial"/>
          <w:sz w:val="22"/>
          <w:szCs w:val="22"/>
        </w:rPr>
        <w:t>The Food Systems, Land Use and Restoration (FOLUR) Impact Program</w:t>
      </w:r>
      <w:r w:rsidR="006902A8">
        <w:rPr>
          <w:rFonts w:cs="Arial"/>
          <w:sz w:val="22"/>
          <w:szCs w:val="22"/>
        </w:rPr>
        <w:t>me</w:t>
      </w:r>
      <w:r w:rsidR="00563297" w:rsidRPr="00563297">
        <w:rPr>
          <w:rFonts w:cs="Arial"/>
          <w:sz w:val="22"/>
          <w:szCs w:val="22"/>
        </w:rPr>
        <w:t xml:space="preserve"> outlines</w:t>
      </w:r>
      <w:r w:rsidR="00563297">
        <w:rPr>
          <w:rFonts w:cs="Arial"/>
          <w:sz w:val="22"/>
          <w:szCs w:val="22"/>
        </w:rPr>
        <w:t xml:space="preserve"> </w:t>
      </w:r>
      <w:r w:rsidR="00563297" w:rsidRPr="00563297">
        <w:rPr>
          <w:rFonts w:cs="Arial"/>
          <w:sz w:val="22"/>
          <w:szCs w:val="22"/>
        </w:rPr>
        <w:t xml:space="preserve">how </w:t>
      </w:r>
      <w:r w:rsidR="00A060A2">
        <w:rPr>
          <w:rFonts w:cs="Arial"/>
          <w:sz w:val="22"/>
          <w:szCs w:val="22"/>
        </w:rPr>
        <w:t>GEF7</w:t>
      </w:r>
      <w:r w:rsidR="00563297" w:rsidRPr="00563297">
        <w:rPr>
          <w:rFonts w:cs="Arial"/>
          <w:sz w:val="22"/>
          <w:szCs w:val="22"/>
        </w:rPr>
        <w:t xml:space="preserve"> financing will help transform food production system</w:t>
      </w:r>
      <w:r w:rsidR="00B034EF">
        <w:rPr>
          <w:rFonts w:cs="Arial"/>
          <w:sz w:val="22"/>
          <w:szCs w:val="22"/>
        </w:rPr>
        <w:t>s</w:t>
      </w:r>
      <w:r w:rsidR="00563297" w:rsidRPr="00563297">
        <w:rPr>
          <w:rFonts w:cs="Arial"/>
          <w:sz w:val="22"/>
          <w:szCs w:val="22"/>
        </w:rPr>
        <w:t xml:space="preserve"> and land use as major causes of global environmental degradation. </w:t>
      </w:r>
      <w:r w:rsidR="0064600C">
        <w:rPr>
          <w:rFonts w:cs="Arial"/>
          <w:sz w:val="22"/>
          <w:szCs w:val="22"/>
        </w:rPr>
        <w:t xml:space="preserve"> </w:t>
      </w:r>
      <w:r w:rsidR="00563297" w:rsidRPr="00563297">
        <w:rPr>
          <w:rFonts w:cs="Arial"/>
          <w:sz w:val="22"/>
          <w:szCs w:val="22"/>
        </w:rPr>
        <w:t xml:space="preserve">It </w:t>
      </w:r>
      <w:r w:rsidR="00F84600">
        <w:rPr>
          <w:rFonts w:cs="Arial"/>
          <w:sz w:val="22"/>
          <w:szCs w:val="22"/>
        </w:rPr>
        <w:t xml:space="preserve">will work </w:t>
      </w:r>
      <w:r w:rsidR="00563297" w:rsidRPr="00563297">
        <w:rPr>
          <w:rFonts w:cs="Arial"/>
          <w:sz w:val="22"/>
          <w:szCs w:val="22"/>
        </w:rPr>
        <w:t>through commodit</w:t>
      </w:r>
      <w:r w:rsidR="0009234F">
        <w:rPr>
          <w:rFonts w:cs="Arial"/>
          <w:sz w:val="22"/>
          <w:szCs w:val="22"/>
        </w:rPr>
        <w:t>y</w:t>
      </w:r>
      <w:r w:rsidR="00563297" w:rsidRPr="00563297">
        <w:rPr>
          <w:rFonts w:cs="Arial"/>
          <w:sz w:val="22"/>
          <w:szCs w:val="22"/>
        </w:rPr>
        <w:t xml:space="preserve"> supply chains around the world to re</w:t>
      </w:r>
      <w:r w:rsidR="005764BC">
        <w:rPr>
          <w:rFonts w:cs="Arial"/>
          <w:sz w:val="22"/>
          <w:szCs w:val="22"/>
        </w:rPr>
        <w:t>duce</w:t>
      </w:r>
      <w:r w:rsidR="00563297" w:rsidRPr="00563297">
        <w:rPr>
          <w:rFonts w:cs="Arial"/>
          <w:sz w:val="22"/>
          <w:szCs w:val="22"/>
        </w:rPr>
        <w:t xml:space="preserve"> deforestation </w:t>
      </w:r>
      <w:r w:rsidR="00F84600">
        <w:rPr>
          <w:rFonts w:cs="Arial"/>
          <w:sz w:val="22"/>
          <w:szCs w:val="22"/>
        </w:rPr>
        <w:t>and other environmental</w:t>
      </w:r>
      <w:r w:rsidR="0009234F">
        <w:rPr>
          <w:rFonts w:cs="Arial"/>
          <w:sz w:val="22"/>
          <w:szCs w:val="22"/>
        </w:rPr>
        <w:t>ly</w:t>
      </w:r>
      <w:r w:rsidR="00F84600">
        <w:rPr>
          <w:rFonts w:cs="Arial"/>
          <w:sz w:val="22"/>
          <w:szCs w:val="22"/>
        </w:rPr>
        <w:t xml:space="preserve"> unsustainable practices</w:t>
      </w:r>
      <w:r w:rsidR="00563297" w:rsidRPr="00563297">
        <w:rPr>
          <w:rFonts w:cs="Arial"/>
          <w:sz w:val="22"/>
          <w:szCs w:val="22"/>
        </w:rPr>
        <w:t>. This will be achieved through a</w:t>
      </w:r>
      <w:r w:rsidR="004129DD">
        <w:rPr>
          <w:rFonts w:cs="Arial"/>
          <w:sz w:val="22"/>
          <w:szCs w:val="22"/>
        </w:rPr>
        <w:t xml:space="preserve"> </w:t>
      </w:r>
      <w:r w:rsidR="00563297" w:rsidRPr="00563297">
        <w:rPr>
          <w:rFonts w:cs="Arial"/>
          <w:sz w:val="22"/>
          <w:szCs w:val="22"/>
        </w:rPr>
        <w:t>system-wide approach that brings together strategies and stakeholders through both</w:t>
      </w:r>
      <w:r w:rsidR="00B70086">
        <w:rPr>
          <w:rFonts w:cs="Arial"/>
          <w:sz w:val="22"/>
          <w:szCs w:val="22"/>
        </w:rPr>
        <w:t xml:space="preserve"> </w:t>
      </w:r>
      <w:r w:rsidR="00563297" w:rsidRPr="00563297">
        <w:rPr>
          <w:rFonts w:cs="Arial"/>
          <w:sz w:val="22"/>
          <w:szCs w:val="22"/>
        </w:rPr>
        <w:t>horizontal (interventions with actors within landscapes, policy reform, governance</w:t>
      </w:r>
      <w:r w:rsidR="00A023C6">
        <w:rPr>
          <w:rFonts w:cs="Arial"/>
          <w:sz w:val="22"/>
          <w:szCs w:val="22"/>
        </w:rPr>
        <w:t xml:space="preserve"> </w:t>
      </w:r>
      <w:r w:rsidR="00563297" w:rsidRPr="00563297">
        <w:rPr>
          <w:rFonts w:cs="Arial"/>
          <w:sz w:val="22"/>
          <w:szCs w:val="22"/>
        </w:rPr>
        <w:t>strengthening, etc.) and vertical (food value and supply chain commitments and</w:t>
      </w:r>
      <w:r w:rsidR="00A023C6">
        <w:rPr>
          <w:rFonts w:cs="Arial"/>
          <w:sz w:val="22"/>
          <w:szCs w:val="22"/>
        </w:rPr>
        <w:t xml:space="preserve"> </w:t>
      </w:r>
      <w:r w:rsidR="00563297" w:rsidRPr="00563297">
        <w:rPr>
          <w:rFonts w:cs="Arial"/>
          <w:sz w:val="22"/>
          <w:szCs w:val="22"/>
        </w:rPr>
        <w:t>financing) dimensions. The Program</w:t>
      </w:r>
      <w:r w:rsidR="006902A8">
        <w:rPr>
          <w:rFonts w:cs="Arial"/>
          <w:sz w:val="22"/>
          <w:szCs w:val="22"/>
        </w:rPr>
        <w:t>me</w:t>
      </w:r>
      <w:r w:rsidR="00563297" w:rsidRPr="00563297">
        <w:rPr>
          <w:rFonts w:cs="Arial"/>
          <w:sz w:val="22"/>
          <w:szCs w:val="22"/>
        </w:rPr>
        <w:t xml:space="preserve"> aims to push these supply chains towards </w:t>
      </w:r>
      <w:r w:rsidR="0009234F">
        <w:rPr>
          <w:rFonts w:cs="Arial"/>
          <w:sz w:val="22"/>
          <w:szCs w:val="22"/>
        </w:rPr>
        <w:t>‘</w:t>
      </w:r>
      <w:r w:rsidR="00563297" w:rsidRPr="00563297">
        <w:rPr>
          <w:rFonts w:cs="Arial"/>
          <w:sz w:val="22"/>
          <w:szCs w:val="22"/>
        </w:rPr>
        <w:t>tipping</w:t>
      </w:r>
      <w:r w:rsidR="00A023C6">
        <w:rPr>
          <w:rFonts w:cs="Arial"/>
          <w:sz w:val="22"/>
          <w:szCs w:val="22"/>
        </w:rPr>
        <w:t xml:space="preserve"> </w:t>
      </w:r>
      <w:r w:rsidR="00563297" w:rsidRPr="00563297">
        <w:rPr>
          <w:rFonts w:cs="Arial"/>
          <w:sz w:val="22"/>
          <w:szCs w:val="22"/>
        </w:rPr>
        <w:t>points</w:t>
      </w:r>
      <w:r w:rsidR="0009234F">
        <w:rPr>
          <w:rFonts w:cs="Arial"/>
          <w:sz w:val="22"/>
          <w:szCs w:val="22"/>
        </w:rPr>
        <w:t>’</w:t>
      </w:r>
      <w:r w:rsidR="00563297" w:rsidRPr="00563297">
        <w:rPr>
          <w:rFonts w:cs="Arial"/>
          <w:sz w:val="22"/>
          <w:szCs w:val="22"/>
        </w:rPr>
        <w:t xml:space="preserve">, where </w:t>
      </w:r>
      <w:r w:rsidR="005764BC">
        <w:rPr>
          <w:rFonts w:cs="Arial"/>
          <w:sz w:val="22"/>
          <w:szCs w:val="22"/>
        </w:rPr>
        <w:t>the environmental costs of production</w:t>
      </w:r>
      <w:r w:rsidR="00563297" w:rsidRPr="00563297">
        <w:rPr>
          <w:rFonts w:cs="Arial"/>
          <w:sz w:val="22"/>
          <w:szCs w:val="22"/>
        </w:rPr>
        <w:t xml:space="preserve"> are internali</w:t>
      </w:r>
      <w:r w:rsidR="0009234F">
        <w:rPr>
          <w:rFonts w:cs="Arial"/>
          <w:sz w:val="22"/>
          <w:szCs w:val="22"/>
        </w:rPr>
        <w:t>s</w:t>
      </w:r>
      <w:r w:rsidR="00563297" w:rsidRPr="00563297">
        <w:rPr>
          <w:rFonts w:cs="Arial"/>
          <w:sz w:val="22"/>
          <w:szCs w:val="22"/>
        </w:rPr>
        <w:t>ed into the market</w:t>
      </w:r>
      <w:r w:rsidR="00A023C6">
        <w:rPr>
          <w:rFonts w:cs="Arial"/>
          <w:sz w:val="22"/>
          <w:szCs w:val="22"/>
        </w:rPr>
        <w:t>.</w:t>
      </w:r>
    </w:p>
    <w:p w14:paraId="3415333C" w14:textId="77777777" w:rsidR="00CE0979" w:rsidRDefault="00CE0979" w:rsidP="00B96F0C">
      <w:pPr>
        <w:rPr>
          <w:rFonts w:cs="Arial"/>
          <w:b/>
          <w:sz w:val="22"/>
          <w:szCs w:val="22"/>
        </w:rPr>
      </w:pPr>
    </w:p>
    <w:p w14:paraId="2C5B48E9" w14:textId="77777777" w:rsidR="00CE0979" w:rsidRPr="00004DEF" w:rsidRDefault="00C32CED" w:rsidP="000549A5">
      <w:pPr>
        <w:jc w:val="both"/>
        <w:rPr>
          <w:rFonts w:cs="Arial"/>
          <w:sz w:val="22"/>
          <w:szCs w:val="22"/>
        </w:rPr>
      </w:pPr>
      <w:r>
        <w:rPr>
          <w:rFonts w:cs="Arial"/>
          <w:sz w:val="22"/>
          <w:szCs w:val="22"/>
        </w:rPr>
        <w:t>GEF7 is</w:t>
      </w:r>
      <w:r w:rsidR="00004DEF">
        <w:rPr>
          <w:rFonts w:cs="Arial"/>
          <w:sz w:val="22"/>
          <w:szCs w:val="22"/>
        </w:rPr>
        <w:t xml:space="preserve"> slightly off-track </w:t>
      </w:r>
      <w:r w:rsidR="005527BB">
        <w:rPr>
          <w:rFonts w:cs="Arial"/>
          <w:sz w:val="22"/>
          <w:szCs w:val="22"/>
        </w:rPr>
        <w:t>against t</w:t>
      </w:r>
      <w:r>
        <w:rPr>
          <w:rFonts w:cs="Arial"/>
          <w:sz w:val="22"/>
          <w:szCs w:val="22"/>
        </w:rPr>
        <w:t>hree</w:t>
      </w:r>
      <w:r w:rsidR="005527BB">
        <w:rPr>
          <w:rFonts w:cs="Arial"/>
          <w:sz w:val="22"/>
          <w:szCs w:val="22"/>
        </w:rPr>
        <w:t xml:space="preserve"> elements that will be critical in the translation of </w:t>
      </w:r>
      <w:r w:rsidR="001C1A4B">
        <w:rPr>
          <w:rFonts w:cs="Arial"/>
          <w:sz w:val="22"/>
          <w:szCs w:val="22"/>
        </w:rPr>
        <w:t xml:space="preserve">outputs from the projects and programmes funded by </w:t>
      </w:r>
      <w:r w:rsidR="00A060A2">
        <w:rPr>
          <w:rFonts w:cs="Arial"/>
          <w:sz w:val="22"/>
          <w:szCs w:val="22"/>
        </w:rPr>
        <w:t>GEF7</w:t>
      </w:r>
      <w:r w:rsidR="001C1A4B">
        <w:rPr>
          <w:rFonts w:cs="Arial"/>
          <w:sz w:val="22"/>
          <w:szCs w:val="22"/>
        </w:rPr>
        <w:t xml:space="preserve"> into broader </w:t>
      </w:r>
      <w:r w:rsidR="00221365">
        <w:rPr>
          <w:rFonts w:cs="Arial"/>
          <w:sz w:val="22"/>
          <w:szCs w:val="22"/>
        </w:rPr>
        <w:t>outcomes and impact as outlined in the theory of change and logframe</w:t>
      </w:r>
      <w:r w:rsidR="008E0EF4">
        <w:rPr>
          <w:rFonts w:cs="Arial"/>
          <w:sz w:val="22"/>
          <w:szCs w:val="22"/>
        </w:rPr>
        <w:t xml:space="preserve">.  </w:t>
      </w:r>
      <w:r w:rsidR="009A3DFF">
        <w:rPr>
          <w:rFonts w:cs="Arial"/>
          <w:sz w:val="22"/>
          <w:szCs w:val="22"/>
        </w:rPr>
        <w:t xml:space="preserve">Firstly, as outlined above, the involvement of the private sector will be key to </w:t>
      </w:r>
      <w:r w:rsidR="000670AB">
        <w:rPr>
          <w:rFonts w:cs="Arial"/>
          <w:sz w:val="22"/>
          <w:szCs w:val="22"/>
        </w:rPr>
        <w:t xml:space="preserve">the delivery of transformative change.  The GEF Private Sector Strategy is slightly delayed and we </w:t>
      </w:r>
      <w:r w:rsidR="001C7FF8">
        <w:rPr>
          <w:rFonts w:cs="Arial"/>
          <w:sz w:val="22"/>
          <w:szCs w:val="22"/>
        </w:rPr>
        <w:t xml:space="preserve">now expect to see it presented in December 2019.  It will be important that the private sector </w:t>
      </w:r>
      <w:r w:rsidR="00CC39ED">
        <w:rPr>
          <w:rFonts w:cs="Arial"/>
          <w:sz w:val="22"/>
          <w:szCs w:val="22"/>
        </w:rPr>
        <w:t xml:space="preserve">is engaged </w:t>
      </w:r>
      <w:r w:rsidR="00DB698D">
        <w:rPr>
          <w:rFonts w:cs="Arial"/>
          <w:sz w:val="22"/>
          <w:szCs w:val="22"/>
        </w:rPr>
        <w:t xml:space="preserve">more fully than in previous GEF replenishments in the design of programmes, particularly those that seek </w:t>
      </w:r>
      <w:r w:rsidR="002C7E42">
        <w:rPr>
          <w:rFonts w:cs="Arial"/>
          <w:sz w:val="22"/>
          <w:szCs w:val="22"/>
        </w:rPr>
        <w:t>a broad scale change in practice by private sector actors</w:t>
      </w:r>
      <w:r w:rsidR="00A97E7E">
        <w:rPr>
          <w:rFonts w:cs="Arial"/>
          <w:sz w:val="22"/>
          <w:szCs w:val="22"/>
        </w:rPr>
        <w:t xml:space="preserve">.  </w:t>
      </w:r>
      <w:r w:rsidR="009A3DFF">
        <w:rPr>
          <w:rFonts w:cs="Arial"/>
          <w:sz w:val="22"/>
          <w:szCs w:val="22"/>
        </w:rPr>
        <w:t>Secondly</w:t>
      </w:r>
      <w:r w:rsidR="008E0EF4">
        <w:rPr>
          <w:rFonts w:cs="Arial"/>
          <w:sz w:val="22"/>
          <w:szCs w:val="22"/>
        </w:rPr>
        <w:t xml:space="preserve">, </w:t>
      </w:r>
      <w:r w:rsidR="009A3DFF">
        <w:rPr>
          <w:rFonts w:cs="Arial"/>
          <w:sz w:val="22"/>
          <w:szCs w:val="22"/>
        </w:rPr>
        <w:t xml:space="preserve">also </w:t>
      </w:r>
      <w:r w:rsidR="008E0EF4">
        <w:rPr>
          <w:rFonts w:cs="Arial"/>
          <w:sz w:val="22"/>
          <w:szCs w:val="22"/>
        </w:rPr>
        <w:t xml:space="preserve">as outlined above, the programme still has further work to do to put in place measures to increase the sustainability, particularly the financial sustainability, of GEF programming.  A set of </w:t>
      </w:r>
      <w:r w:rsidR="0085490E">
        <w:rPr>
          <w:rFonts w:cs="Arial"/>
          <w:sz w:val="22"/>
          <w:szCs w:val="22"/>
        </w:rPr>
        <w:t xml:space="preserve">measures </w:t>
      </w:r>
      <w:r w:rsidR="00A97E7E">
        <w:rPr>
          <w:rFonts w:cs="Arial"/>
          <w:sz w:val="22"/>
          <w:szCs w:val="22"/>
        </w:rPr>
        <w:t xml:space="preserve">on increasing sustainability </w:t>
      </w:r>
      <w:r w:rsidR="0085490E">
        <w:rPr>
          <w:rFonts w:cs="Arial"/>
          <w:sz w:val="22"/>
          <w:szCs w:val="22"/>
        </w:rPr>
        <w:t>will be presented to Council in December 2019.</w:t>
      </w:r>
      <w:r>
        <w:rPr>
          <w:rFonts w:cs="Arial"/>
          <w:sz w:val="22"/>
          <w:szCs w:val="22"/>
        </w:rPr>
        <w:t xml:space="preserve">  Thirdly, the Sustainable Cities Impact Programme has yet to commence, although we expect it to do so by the time of the next Council meeting.</w:t>
      </w:r>
    </w:p>
    <w:p w14:paraId="4508CA64" w14:textId="77777777" w:rsidR="00CE0979" w:rsidRDefault="00CE0979" w:rsidP="00B96F0C">
      <w:pPr>
        <w:rPr>
          <w:rFonts w:cs="Arial"/>
          <w:b/>
          <w:sz w:val="22"/>
          <w:szCs w:val="22"/>
        </w:rPr>
      </w:pPr>
    </w:p>
    <w:p w14:paraId="7D493D8F" w14:textId="77777777" w:rsidR="00B96F0C" w:rsidRDefault="00D62DDB" w:rsidP="00B96F0C">
      <w:pPr>
        <w:rPr>
          <w:rFonts w:cs="Arial"/>
          <w:b/>
          <w:sz w:val="22"/>
          <w:szCs w:val="22"/>
        </w:rPr>
      </w:pPr>
      <w:r>
        <w:rPr>
          <w:rFonts w:cs="Arial"/>
          <w:b/>
          <w:sz w:val="22"/>
          <w:szCs w:val="22"/>
        </w:rPr>
        <w:t xml:space="preserve">Explain </w:t>
      </w:r>
      <w:r w:rsidR="00B96F0C">
        <w:rPr>
          <w:rFonts w:cs="Arial"/>
          <w:b/>
          <w:sz w:val="22"/>
          <w:szCs w:val="22"/>
        </w:rPr>
        <w:t xml:space="preserve">major changes to the logframe in the past year  </w:t>
      </w:r>
    </w:p>
    <w:p w14:paraId="7DCB91FA" w14:textId="77777777" w:rsidR="007975A3" w:rsidRDefault="00C74D44" w:rsidP="00B96F0C">
      <w:pPr>
        <w:rPr>
          <w:rFonts w:cs="Arial"/>
          <w:sz w:val="22"/>
          <w:szCs w:val="22"/>
        </w:rPr>
      </w:pPr>
      <w:r w:rsidRPr="004B1445">
        <w:rPr>
          <w:rFonts w:cs="Arial"/>
          <w:sz w:val="22"/>
          <w:szCs w:val="22"/>
        </w:rPr>
        <w:t>None</w:t>
      </w:r>
    </w:p>
    <w:p w14:paraId="05AC2DEB" w14:textId="77777777" w:rsidR="00C32CED" w:rsidRDefault="00C32CED" w:rsidP="00B96F0C">
      <w:pPr>
        <w:rPr>
          <w:rFonts w:cs="Arial"/>
          <w:sz w:val="22"/>
          <w:szCs w:val="22"/>
        </w:rPr>
      </w:pPr>
    </w:p>
    <w:p w14:paraId="396A3ADB" w14:textId="77777777" w:rsidR="00C32CED" w:rsidRDefault="00C32CED">
      <w:pPr>
        <w:rPr>
          <w:rFonts w:cs="Arial"/>
          <w:sz w:val="22"/>
          <w:szCs w:val="22"/>
        </w:rPr>
      </w:pPr>
      <w:r>
        <w:rPr>
          <w:rFonts w:cs="Arial"/>
          <w:sz w:val="22"/>
          <w:szCs w:val="22"/>
        </w:rPr>
        <w:br w:type="page"/>
      </w:r>
    </w:p>
    <w:p w14:paraId="3B60BD06" w14:textId="77777777" w:rsidR="00E70B2C" w:rsidRPr="00F70DBE" w:rsidRDefault="00E70B2C" w:rsidP="00E70B2C">
      <w:pPr>
        <w:jc w:val="both"/>
        <w:rPr>
          <w:rFonts w:cs="Arial"/>
          <w:bCs/>
          <w:sz w:val="22"/>
          <w:szCs w:val="22"/>
        </w:rPr>
      </w:pPr>
    </w:p>
    <w:p w14:paraId="09406460" w14:textId="77777777" w:rsidR="00E70B2C" w:rsidRPr="00F70DBE" w:rsidRDefault="00E70B2C" w:rsidP="00E70B2C">
      <w:pPr>
        <w:pStyle w:val="Heading2"/>
        <w:pBdr>
          <w:top w:val="single" w:sz="4" w:space="1" w:color="auto"/>
          <w:left w:val="single" w:sz="4" w:space="4" w:color="auto"/>
          <w:bottom w:val="single" w:sz="4" w:space="0" w:color="auto"/>
          <w:right w:val="single" w:sz="4" w:space="4" w:color="auto"/>
        </w:pBdr>
        <w:shd w:val="clear" w:color="auto" w:fill="DBE5F1" w:themeFill="accent1" w:themeFillTint="33"/>
        <w:spacing w:before="0"/>
        <w:rPr>
          <w:b w:val="0"/>
          <w:i w:val="0"/>
        </w:rPr>
      </w:pPr>
      <w:r w:rsidRPr="00F70DBE">
        <w:rPr>
          <w:i w:val="0"/>
        </w:rPr>
        <w:t>D: VALUE FOR MONEY</w:t>
      </w:r>
    </w:p>
    <w:p w14:paraId="06577E83" w14:textId="77777777" w:rsidR="00E70B2C" w:rsidRPr="00F70DBE" w:rsidRDefault="00E70B2C" w:rsidP="00E70B2C">
      <w:pPr>
        <w:rPr>
          <w:rFonts w:cs="Arial"/>
          <w:b/>
          <w:sz w:val="22"/>
          <w:szCs w:val="22"/>
        </w:rPr>
      </w:pPr>
    </w:p>
    <w:p w14:paraId="659D0D94" w14:textId="77777777" w:rsidR="009F42DC" w:rsidRPr="006B08EC" w:rsidRDefault="009F42DC" w:rsidP="009F42DC">
      <w:pPr>
        <w:rPr>
          <w:rFonts w:cs="Arial"/>
          <w:b/>
          <w:sz w:val="22"/>
          <w:szCs w:val="22"/>
        </w:rPr>
      </w:pPr>
      <w:r w:rsidRPr="006B08EC">
        <w:rPr>
          <w:rFonts w:cs="Arial"/>
          <w:b/>
          <w:sz w:val="22"/>
          <w:szCs w:val="22"/>
        </w:rPr>
        <w:t xml:space="preserve">Key cost drivers and performance </w:t>
      </w:r>
    </w:p>
    <w:p w14:paraId="551EC420" w14:textId="77777777" w:rsidR="009F42DC" w:rsidRPr="006B08EC" w:rsidRDefault="009F42DC" w:rsidP="009F42DC">
      <w:pPr>
        <w:rPr>
          <w:rFonts w:cs="Arial"/>
          <w:sz w:val="22"/>
          <w:szCs w:val="22"/>
        </w:rPr>
      </w:pPr>
    </w:p>
    <w:tbl>
      <w:tblPr>
        <w:tblW w:w="10478" w:type="dxa"/>
        <w:tblBorders>
          <w:top w:val="nil"/>
          <w:left w:val="nil"/>
          <w:bottom w:val="nil"/>
          <w:right w:val="nil"/>
        </w:tblBorders>
        <w:tblLayout w:type="fixed"/>
        <w:tblLook w:val="0000" w:firstRow="0" w:lastRow="0" w:firstColumn="0" w:lastColumn="0" w:noHBand="0" w:noVBand="0"/>
      </w:tblPr>
      <w:tblGrid>
        <w:gridCol w:w="10478"/>
      </w:tblGrid>
      <w:tr w:rsidR="009F42DC" w:rsidRPr="00CA02FC" w14:paraId="3B468E82" w14:textId="77777777" w:rsidTr="00F604FF">
        <w:trPr>
          <w:trHeight w:val="272"/>
        </w:trPr>
        <w:tc>
          <w:tcPr>
            <w:tcW w:w="10478" w:type="dxa"/>
          </w:tcPr>
          <w:p w14:paraId="1856E5E8" w14:textId="77777777" w:rsidR="00CE669F" w:rsidRDefault="009F42DC" w:rsidP="00CE669F">
            <w:pPr>
              <w:autoSpaceDE w:val="0"/>
              <w:autoSpaceDN w:val="0"/>
              <w:adjustRightInd w:val="0"/>
              <w:jc w:val="both"/>
              <w:rPr>
                <w:rFonts w:cs="Arial"/>
                <w:sz w:val="22"/>
                <w:szCs w:val="22"/>
                <w:lang w:val="en" w:eastAsia="en-GB"/>
              </w:rPr>
            </w:pPr>
            <w:r w:rsidRPr="00CA02FC">
              <w:rPr>
                <w:rFonts w:cs="Arial"/>
                <w:sz w:val="22"/>
                <w:szCs w:val="22"/>
                <w:u w:val="single"/>
              </w:rPr>
              <w:t>Cost drivers</w:t>
            </w:r>
            <w:r w:rsidR="0001354C">
              <w:rPr>
                <w:rFonts w:cs="Arial"/>
                <w:sz w:val="22"/>
                <w:szCs w:val="22"/>
                <w:u w:val="single"/>
              </w:rPr>
              <w:t xml:space="preserve">: </w:t>
            </w:r>
            <w:r w:rsidRPr="00CA02FC">
              <w:rPr>
                <w:rFonts w:cs="Arial"/>
                <w:sz w:val="22"/>
                <w:szCs w:val="22"/>
              </w:rPr>
              <w:t xml:space="preserve">Since the </w:t>
            </w:r>
            <w:r>
              <w:rPr>
                <w:rFonts w:cs="Arial"/>
                <w:sz w:val="22"/>
                <w:szCs w:val="22"/>
              </w:rPr>
              <w:t>inception</w:t>
            </w:r>
            <w:r w:rsidRPr="00CA02FC">
              <w:rPr>
                <w:rFonts w:cs="Arial"/>
                <w:sz w:val="22"/>
                <w:szCs w:val="22"/>
              </w:rPr>
              <w:t xml:space="preserve"> of GEF </w:t>
            </w:r>
            <w:r w:rsidR="0009234F">
              <w:rPr>
                <w:rFonts w:cs="Arial"/>
                <w:sz w:val="22"/>
                <w:szCs w:val="22"/>
              </w:rPr>
              <w:t xml:space="preserve">in 1991 </w:t>
            </w:r>
            <w:r w:rsidRPr="00CA02FC">
              <w:rPr>
                <w:rFonts w:cs="Arial"/>
                <w:sz w:val="22"/>
                <w:szCs w:val="22"/>
              </w:rPr>
              <w:t>to March 31, 201</w:t>
            </w:r>
            <w:r w:rsidR="005C6991">
              <w:rPr>
                <w:rFonts w:cs="Arial"/>
                <w:sz w:val="22"/>
                <w:szCs w:val="22"/>
              </w:rPr>
              <w:t>9</w:t>
            </w:r>
            <w:r w:rsidRPr="00CA02FC">
              <w:rPr>
                <w:rFonts w:cs="Arial"/>
                <w:sz w:val="22"/>
                <w:szCs w:val="22"/>
              </w:rPr>
              <w:t xml:space="preserve"> funding approvals made by the Council and CEO total USD </w:t>
            </w:r>
            <w:r w:rsidR="009D63BA">
              <w:rPr>
                <w:rFonts w:cs="Arial"/>
                <w:sz w:val="22"/>
                <w:szCs w:val="22"/>
              </w:rPr>
              <w:t>18,595</w:t>
            </w:r>
            <w:r w:rsidRPr="00CA02FC">
              <w:rPr>
                <w:rFonts w:cs="Arial"/>
                <w:sz w:val="22"/>
                <w:szCs w:val="22"/>
              </w:rPr>
              <w:t xml:space="preserve"> million, of which </w:t>
            </w:r>
            <w:r w:rsidR="009D63BA">
              <w:rPr>
                <w:rFonts w:cs="Arial"/>
                <w:sz w:val="22"/>
                <w:szCs w:val="22"/>
              </w:rPr>
              <w:t>89</w:t>
            </w:r>
            <w:r w:rsidRPr="00CA02FC">
              <w:rPr>
                <w:rFonts w:cs="Arial"/>
                <w:sz w:val="22"/>
                <w:szCs w:val="22"/>
              </w:rPr>
              <w:t xml:space="preserve">% was approved for Projects and Project Preparation activities, </w:t>
            </w:r>
            <w:r w:rsidR="00C63B8D">
              <w:rPr>
                <w:rFonts w:cs="Arial"/>
                <w:sz w:val="22"/>
                <w:szCs w:val="22"/>
              </w:rPr>
              <w:t>7</w:t>
            </w:r>
            <w:r w:rsidRPr="00CA02FC">
              <w:rPr>
                <w:rFonts w:cs="Arial"/>
                <w:sz w:val="22"/>
                <w:szCs w:val="22"/>
              </w:rPr>
              <w:t xml:space="preserve">% for Agency Fees and </w:t>
            </w:r>
            <w:r w:rsidR="00C63B8D">
              <w:rPr>
                <w:rFonts w:cs="Arial"/>
                <w:sz w:val="22"/>
                <w:szCs w:val="22"/>
              </w:rPr>
              <w:t>4</w:t>
            </w:r>
            <w:r w:rsidRPr="00CA02FC">
              <w:rPr>
                <w:rFonts w:cs="Arial"/>
                <w:sz w:val="22"/>
                <w:szCs w:val="22"/>
              </w:rPr>
              <w:t>% for Administrative budgets</w:t>
            </w:r>
            <w:r w:rsidR="00441063">
              <w:rPr>
                <w:rStyle w:val="FootnoteReference"/>
                <w:rFonts w:cs="Arial"/>
                <w:sz w:val="22"/>
                <w:szCs w:val="22"/>
              </w:rPr>
              <w:footnoteReference w:id="4"/>
            </w:r>
            <w:r w:rsidRPr="00CA02FC">
              <w:rPr>
                <w:rFonts w:cs="Arial"/>
                <w:sz w:val="22"/>
                <w:szCs w:val="22"/>
              </w:rPr>
              <w:t xml:space="preserve">.   </w:t>
            </w:r>
            <w:r w:rsidR="00471712" w:rsidRPr="00CE443F">
              <w:rPr>
                <w:rFonts w:cs="Arial"/>
                <w:sz w:val="22"/>
                <w:szCs w:val="22"/>
                <w:lang w:val="en" w:eastAsia="en-GB"/>
              </w:rPr>
              <w:t>From the inception of UK support for the GEF, there have been continual efforts by the UK to ensure that there is scrutiny and downward pressure on the fees charged</w:t>
            </w:r>
            <w:r w:rsidR="00471712">
              <w:rPr>
                <w:rFonts w:cs="Arial"/>
                <w:sz w:val="22"/>
                <w:szCs w:val="22"/>
                <w:lang w:val="en" w:eastAsia="en-GB"/>
              </w:rPr>
              <w:t xml:space="preserve"> by the implementing agencies.  In</w:t>
            </w:r>
            <w:r w:rsidR="00471712" w:rsidRPr="00CE443F">
              <w:rPr>
                <w:rFonts w:cs="Arial"/>
                <w:sz w:val="22"/>
                <w:szCs w:val="22"/>
                <w:lang w:val="en" w:eastAsia="en-GB"/>
              </w:rPr>
              <w:t xml:space="preserve"> 2012 the GEF Council approved a new fee policy for GEF agencies, which established a reduced fee for all agencies of 9.5% for project grants up to </w:t>
            </w:r>
            <w:r w:rsidR="00471712">
              <w:rPr>
                <w:rFonts w:cs="Arial"/>
                <w:sz w:val="22"/>
                <w:szCs w:val="22"/>
                <w:lang w:val="en" w:eastAsia="en-GB"/>
              </w:rPr>
              <w:t>$</w:t>
            </w:r>
            <w:r w:rsidR="00471712" w:rsidRPr="00CE443F">
              <w:rPr>
                <w:rFonts w:cs="Arial"/>
                <w:sz w:val="22"/>
                <w:szCs w:val="22"/>
                <w:lang w:val="en" w:eastAsia="en-GB"/>
              </w:rPr>
              <w:t xml:space="preserve">10 million, and 9% for project grants above </w:t>
            </w:r>
            <w:r w:rsidR="00471712">
              <w:rPr>
                <w:rFonts w:cs="Arial"/>
                <w:sz w:val="22"/>
                <w:szCs w:val="22"/>
                <w:lang w:val="en" w:eastAsia="en-GB"/>
              </w:rPr>
              <w:t>$</w:t>
            </w:r>
            <w:r w:rsidR="00471712" w:rsidRPr="00CE443F">
              <w:rPr>
                <w:rFonts w:cs="Arial"/>
                <w:sz w:val="22"/>
                <w:szCs w:val="22"/>
                <w:lang w:val="en" w:eastAsia="en-GB"/>
              </w:rPr>
              <w:t xml:space="preserve">10 million. </w:t>
            </w:r>
          </w:p>
          <w:p w14:paraId="58BEA66F" w14:textId="77777777" w:rsidR="00CE669F" w:rsidRDefault="00CE669F" w:rsidP="00CE669F">
            <w:pPr>
              <w:autoSpaceDE w:val="0"/>
              <w:autoSpaceDN w:val="0"/>
              <w:adjustRightInd w:val="0"/>
              <w:jc w:val="both"/>
              <w:rPr>
                <w:rFonts w:cs="Arial"/>
                <w:sz w:val="22"/>
                <w:szCs w:val="22"/>
                <w:u w:val="single"/>
              </w:rPr>
            </w:pPr>
          </w:p>
          <w:p w14:paraId="2503D029" w14:textId="77777777" w:rsidR="009F42DC" w:rsidRDefault="009F42DC" w:rsidP="00CE669F">
            <w:pPr>
              <w:autoSpaceDE w:val="0"/>
              <w:autoSpaceDN w:val="0"/>
              <w:adjustRightInd w:val="0"/>
              <w:jc w:val="both"/>
              <w:rPr>
                <w:rFonts w:cs="Arial"/>
                <w:i/>
                <w:sz w:val="22"/>
                <w:szCs w:val="22"/>
              </w:rPr>
            </w:pPr>
            <w:r w:rsidRPr="00CA02FC">
              <w:rPr>
                <w:rFonts w:cs="Arial"/>
                <w:sz w:val="22"/>
                <w:szCs w:val="22"/>
                <w:u w:val="single"/>
              </w:rPr>
              <w:t>Performance</w:t>
            </w:r>
            <w:r w:rsidR="0001354C">
              <w:rPr>
                <w:rFonts w:cs="Arial"/>
                <w:sz w:val="22"/>
                <w:szCs w:val="22"/>
                <w:u w:val="single"/>
              </w:rPr>
              <w:t xml:space="preserve">: </w:t>
            </w:r>
            <w:r w:rsidRPr="00CA02FC">
              <w:rPr>
                <w:rFonts w:cs="Arial"/>
                <w:sz w:val="22"/>
                <w:szCs w:val="22"/>
              </w:rPr>
              <w:t xml:space="preserve">The value for money offered by GEF </w:t>
            </w:r>
            <w:r w:rsidR="009D5370" w:rsidRPr="00CA02FC">
              <w:rPr>
                <w:rFonts w:cs="Arial"/>
                <w:sz w:val="22"/>
                <w:szCs w:val="22"/>
              </w:rPr>
              <w:t>was</w:t>
            </w:r>
            <w:r w:rsidRPr="00CA02FC">
              <w:rPr>
                <w:rFonts w:cs="Arial"/>
                <w:sz w:val="22"/>
                <w:szCs w:val="22"/>
              </w:rPr>
              <w:t xml:space="preserve"> assessed to be ‘good’ by the Multilateral Development Review (MDR) in 2016</w:t>
            </w:r>
            <w:r w:rsidR="004A787D">
              <w:rPr>
                <w:rFonts w:cs="Arial"/>
                <w:sz w:val="22"/>
                <w:szCs w:val="22"/>
              </w:rPr>
              <w:t>.</w:t>
            </w:r>
            <w:r w:rsidRPr="00CA02FC">
              <w:rPr>
                <w:rFonts w:cs="Arial"/>
                <w:sz w:val="22"/>
                <w:szCs w:val="22"/>
              </w:rPr>
              <w:t xml:space="preserve">The MDR referred to GEF’s continual focus on value for money, with caps on agency fees improving on the rates which were reported in MAR 2011, and low administrative costs relative to programme spend. </w:t>
            </w:r>
            <w:r w:rsidR="004A787D">
              <w:rPr>
                <w:rFonts w:cs="Arial"/>
                <w:sz w:val="22"/>
                <w:szCs w:val="22"/>
              </w:rPr>
              <w:t>T</w:t>
            </w:r>
            <w:r w:rsidR="004A787D" w:rsidRPr="004A787D">
              <w:rPr>
                <w:rFonts w:cs="Arial"/>
                <w:sz w:val="22"/>
                <w:szCs w:val="22"/>
              </w:rPr>
              <w:t xml:space="preserve">he recent 17/18 MOPAN Assessment stated that ‘GEF is clear in its ambition to provide greater results for the </w:t>
            </w:r>
            <w:r w:rsidR="007F7338" w:rsidRPr="004A787D">
              <w:rPr>
                <w:rFonts w:cs="Arial"/>
                <w:sz w:val="22"/>
                <w:szCs w:val="22"/>
              </w:rPr>
              <w:t>g</w:t>
            </w:r>
            <w:r w:rsidR="007F7338">
              <w:rPr>
                <w:rFonts w:cs="Arial"/>
                <w:sz w:val="22"/>
                <w:szCs w:val="22"/>
              </w:rPr>
              <w:t>l</w:t>
            </w:r>
            <w:r w:rsidR="007F7338" w:rsidRPr="004A787D">
              <w:rPr>
                <w:rFonts w:cs="Arial"/>
                <w:sz w:val="22"/>
                <w:szCs w:val="22"/>
              </w:rPr>
              <w:t>obal</w:t>
            </w:r>
            <w:r w:rsidR="004A787D" w:rsidRPr="004A787D">
              <w:rPr>
                <w:rFonts w:cs="Arial"/>
                <w:sz w:val="22"/>
                <w:szCs w:val="22"/>
              </w:rPr>
              <w:t xml:space="preserve"> environment and improved value for money’</w:t>
            </w:r>
            <w:r w:rsidR="00D63BCC">
              <w:rPr>
                <w:rFonts w:cs="Arial"/>
                <w:sz w:val="22"/>
                <w:szCs w:val="22"/>
              </w:rPr>
              <w:t xml:space="preserve">, and under ‘Cost and value consciousness, financial transparency, scored the GEF as </w:t>
            </w:r>
            <w:r w:rsidR="00D63BCC">
              <w:rPr>
                <w:rFonts w:cs="Arial"/>
                <w:i/>
                <w:sz w:val="22"/>
                <w:szCs w:val="22"/>
              </w:rPr>
              <w:t>Highly satisfactory</w:t>
            </w:r>
            <w:r w:rsidR="00C32CED">
              <w:rPr>
                <w:rFonts w:cs="Arial"/>
                <w:i/>
                <w:sz w:val="22"/>
                <w:szCs w:val="22"/>
              </w:rPr>
              <w:t>.</w:t>
            </w:r>
          </w:p>
          <w:p w14:paraId="1E557496" w14:textId="77777777" w:rsidR="007271D2" w:rsidRDefault="007271D2" w:rsidP="00CE669F">
            <w:pPr>
              <w:autoSpaceDE w:val="0"/>
              <w:autoSpaceDN w:val="0"/>
              <w:adjustRightInd w:val="0"/>
              <w:jc w:val="both"/>
              <w:rPr>
                <w:rFonts w:cs="Arial"/>
                <w:i/>
                <w:sz w:val="22"/>
                <w:szCs w:val="22"/>
              </w:rPr>
            </w:pPr>
          </w:p>
          <w:p w14:paraId="4F66611A" w14:textId="77777777" w:rsidR="007271D2" w:rsidRPr="007271D2" w:rsidRDefault="007271D2" w:rsidP="007271D2">
            <w:pPr>
              <w:jc w:val="both"/>
              <w:rPr>
                <w:rFonts w:cs="Arial"/>
                <w:sz w:val="22"/>
                <w:szCs w:val="22"/>
                <w:lang w:val="en" w:eastAsia="en-GB"/>
              </w:rPr>
            </w:pPr>
            <w:r>
              <w:rPr>
                <w:rFonts w:cs="Arial"/>
                <w:sz w:val="22"/>
                <w:szCs w:val="22"/>
                <w:lang w:val="en" w:eastAsia="en-GB"/>
              </w:rPr>
              <w:t>O</w:t>
            </w:r>
            <w:r w:rsidRPr="00CE443F">
              <w:rPr>
                <w:rFonts w:cs="Arial"/>
                <w:sz w:val="22"/>
                <w:szCs w:val="22"/>
                <w:lang w:val="en" w:eastAsia="en-GB"/>
              </w:rPr>
              <w:t>ne of the key challenges for providing value for money from the GEF</w:t>
            </w:r>
            <w:r>
              <w:rPr>
                <w:rFonts w:cs="Arial"/>
                <w:sz w:val="22"/>
                <w:szCs w:val="22"/>
                <w:lang w:val="en" w:eastAsia="en-GB"/>
              </w:rPr>
              <w:t xml:space="preserve"> </w:t>
            </w:r>
            <w:r w:rsidRPr="00CE443F">
              <w:rPr>
                <w:rFonts w:cs="Arial"/>
                <w:sz w:val="22"/>
                <w:szCs w:val="22"/>
                <w:lang w:val="en" w:eastAsia="en-GB"/>
              </w:rPr>
              <w:t xml:space="preserve">is the sustainability of projects and programmes supported by the GEF. </w:t>
            </w:r>
            <w:r>
              <w:rPr>
                <w:rFonts w:cs="Arial"/>
                <w:sz w:val="22"/>
                <w:szCs w:val="22"/>
                <w:lang w:val="en" w:eastAsia="en-GB"/>
              </w:rPr>
              <w:t xml:space="preserve">The </w:t>
            </w:r>
            <w:r w:rsidRPr="00CE443F">
              <w:rPr>
                <w:rFonts w:cs="Arial"/>
                <w:sz w:val="22"/>
                <w:szCs w:val="22"/>
                <w:lang w:val="en" w:eastAsia="en-GB"/>
              </w:rPr>
              <w:t>Independent Evaluation Office</w:t>
            </w:r>
            <w:r>
              <w:rPr>
                <w:rFonts w:cs="Arial"/>
                <w:sz w:val="22"/>
                <w:szCs w:val="22"/>
                <w:lang w:val="en" w:eastAsia="en-GB"/>
              </w:rPr>
              <w:t xml:space="preserve"> noted that 37% of projects have outcomes that are unlikely to be sustained beyond project completion, with weak financial sustainability identified as the major factor in this.</w:t>
            </w:r>
            <w:r w:rsidRPr="00CE443F">
              <w:rPr>
                <w:rFonts w:cs="Arial"/>
                <w:sz w:val="22"/>
                <w:szCs w:val="22"/>
                <w:lang w:val="en" w:eastAsia="en-GB"/>
              </w:rPr>
              <w:t xml:space="preserve"> Analysis </w:t>
            </w:r>
            <w:r>
              <w:rPr>
                <w:rFonts w:cs="Arial"/>
                <w:sz w:val="22"/>
                <w:szCs w:val="22"/>
                <w:lang w:val="en" w:eastAsia="en-GB"/>
              </w:rPr>
              <w:t xml:space="preserve">also </w:t>
            </w:r>
            <w:r w:rsidRPr="00CE443F">
              <w:rPr>
                <w:rFonts w:cs="Arial"/>
                <w:sz w:val="22"/>
                <w:szCs w:val="22"/>
                <w:lang w:val="en" w:eastAsia="en-GB"/>
              </w:rPr>
              <w:t xml:space="preserve">shows that transformational change occurs where projects aspire to drive change; market barriers are addressed through sound policy, legal, and regulatory reforms; private sector engagement is encouraged through targeted capacity building and financial incentives; and mechanisms are </w:t>
            </w:r>
            <w:r>
              <w:rPr>
                <w:rFonts w:cs="Arial"/>
                <w:sz w:val="22"/>
                <w:szCs w:val="22"/>
                <w:lang w:val="en" w:eastAsia="en-GB"/>
              </w:rPr>
              <w:t>established</w:t>
            </w:r>
            <w:r w:rsidRPr="00CE443F">
              <w:rPr>
                <w:rFonts w:cs="Arial"/>
                <w:sz w:val="22"/>
                <w:szCs w:val="22"/>
                <w:lang w:val="en" w:eastAsia="en-GB"/>
              </w:rPr>
              <w:t xml:space="preserve"> for future financial sustainability through the market, government budgets, or both.</w:t>
            </w:r>
            <w:r>
              <w:rPr>
                <w:rFonts w:cs="Arial"/>
                <w:sz w:val="22"/>
                <w:szCs w:val="22"/>
                <w:lang w:val="en" w:eastAsia="en-GB"/>
              </w:rPr>
              <w:t xml:space="preserve">  </w:t>
            </w:r>
            <w:r w:rsidRPr="007271D2">
              <w:rPr>
                <w:rFonts w:cs="Arial"/>
                <w:sz w:val="22"/>
                <w:szCs w:val="22"/>
                <w:lang w:val="en" w:eastAsia="en-GB"/>
              </w:rPr>
              <w:t>In the June 2019 Council meetings</w:t>
            </w:r>
            <w:r w:rsidR="00F40EEB">
              <w:rPr>
                <w:rFonts w:cs="Arial"/>
                <w:sz w:val="22"/>
                <w:szCs w:val="22"/>
                <w:lang w:val="en" w:eastAsia="en-GB"/>
              </w:rPr>
              <w:t>,</w:t>
            </w:r>
            <w:r w:rsidRPr="007271D2">
              <w:rPr>
                <w:rFonts w:cs="Arial"/>
                <w:sz w:val="22"/>
                <w:szCs w:val="22"/>
                <w:lang w:val="en" w:eastAsia="en-GB"/>
              </w:rPr>
              <w:t xml:space="preserve"> the STAP provided a report on sustainability indicating that systems change for transformation requires innovation which can occur in diverse ways, but that greater innovation brings the likelihood of higher failure rates, which are also opportunities to learn.</w:t>
            </w:r>
            <w:r>
              <w:rPr>
                <w:rFonts w:cs="Arial"/>
                <w:sz w:val="22"/>
                <w:szCs w:val="22"/>
                <w:lang w:val="en" w:eastAsia="en-GB"/>
              </w:rPr>
              <w:t xml:space="preserve">  </w:t>
            </w:r>
            <w:r w:rsidRPr="00CE443F">
              <w:rPr>
                <w:rFonts w:cs="Arial"/>
                <w:sz w:val="22"/>
                <w:szCs w:val="22"/>
                <w:lang w:val="en" w:eastAsia="en-GB"/>
              </w:rPr>
              <w:t xml:space="preserve">We will be monitoring GEF </w:t>
            </w:r>
            <w:r>
              <w:rPr>
                <w:rFonts w:cs="Arial"/>
                <w:sz w:val="22"/>
                <w:szCs w:val="22"/>
                <w:lang w:val="en" w:eastAsia="en-GB"/>
              </w:rPr>
              <w:t xml:space="preserve">progress on </w:t>
            </w:r>
            <w:r w:rsidRPr="00CE443F">
              <w:rPr>
                <w:rFonts w:cs="Arial"/>
                <w:sz w:val="22"/>
                <w:szCs w:val="22"/>
                <w:lang w:val="en" w:eastAsia="en-GB"/>
              </w:rPr>
              <w:t>financial sustainability and inter-agency collaboration to improve management of complex programmes</w:t>
            </w:r>
            <w:r>
              <w:rPr>
                <w:rFonts w:cs="Arial"/>
                <w:sz w:val="22"/>
                <w:szCs w:val="22"/>
                <w:lang w:val="en" w:eastAsia="en-GB"/>
              </w:rPr>
              <w:t>.</w:t>
            </w:r>
            <w:r w:rsidRPr="00CE443F">
              <w:rPr>
                <w:rFonts w:cs="Arial"/>
                <w:sz w:val="22"/>
                <w:szCs w:val="22"/>
                <w:lang w:val="en" w:eastAsia="en-GB"/>
              </w:rPr>
              <w:t xml:space="preserve"> </w:t>
            </w:r>
          </w:p>
          <w:p w14:paraId="25A80EA5" w14:textId="77777777" w:rsidR="00C43E30" w:rsidRPr="00CA02FC" w:rsidRDefault="00C43E30" w:rsidP="00CE669F">
            <w:pPr>
              <w:autoSpaceDE w:val="0"/>
              <w:autoSpaceDN w:val="0"/>
              <w:adjustRightInd w:val="0"/>
              <w:jc w:val="both"/>
              <w:rPr>
                <w:rFonts w:cs="Arial"/>
                <w:sz w:val="22"/>
                <w:szCs w:val="22"/>
              </w:rPr>
            </w:pPr>
          </w:p>
        </w:tc>
      </w:tr>
    </w:tbl>
    <w:p w14:paraId="1CD5DE68" w14:textId="77777777" w:rsidR="009F42DC" w:rsidRPr="00CA02FC" w:rsidRDefault="009F42DC" w:rsidP="009F42DC">
      <w:pPr>
        <w:jc w:val="both"/>
        <w:rPr>
          <w:rFonts w:cs="Arial"/>
          <w:sz w:val="22"/>
          <w:szCs w:val="22"/>
        </w:rPr>
      </w:pPr>
    </w:p>
    <w:p w14:paraId="53C1F2B4" w14:textId="77777777" w:rsidR="009F42DC" w:rsidRPr="00CA02FC" w:rsidRDefault="009F42DC" w:rsidP="009F42DC">
      <w:pPr>
        <w:jc w:val="both"/>
        <w:rPr>
          <w:rFonts w:cs="Arial"/>
          <w:b/>
          <w:sz w:val="22"/>
          <w:szCs w:val="22"/>
          <w:lang w:val="en" w:eastAsia="en-GB"/>
        </w:rPr>
      </w:pPr>
      <w:r w:rsidRPr="00CA02FC">
        <w:rPr>
          <w:rFonts w:cs="Arial"/>
          <w:b/>
          <w:sz w:val="22"/>
          <w:szCs w:val="22"/>
          <w:lang w:val="en" w:eastAsia="en-GB"/>
        </w:rPr>
        <w:t xml:space="preserve">VfM performance compared to the original VfM proposition in the business case </w:t>
      </w:r>
    </w:p>
    <w:p w14:paraId="5288C2B3" w14:textId="77777777" w:rsidR="009F42DC" w:rsidRPr="00CA02FC" w:rsidRDefault="009F42DC" w:rsidP="009F42DC">
      <w:pPr>
        <w:autoSpaceDE w:val="0"/>
        <w:jc w:val="both"/>
        <w:rPr>
          <w:rFonts w:cs="Arial"/>
          <w:b/>
          <w:sz w:val="22"/>
          <w:szCs w:val="22"/>
        </w:rPr>
      </w:pPr>
    </w:p>
    <w:p w14:paraId="63A228AA" w14:textId="77777777" w:rsidR="00486B83" w:rsidRDefault="009F42DC" w:rsidP="00486B83">
      <w:pPr>
        <w:jc w:val="both"/>
        <w:rPr>
          <w:rFonts w:cs="Arial"/>
          <w:sz w:val="22"/>
          <w:szCs w:val="22"/>
        </w:rPr>
      </w:pPr>
      <w:r w:rsidRPr="00CA02FC">
        <w:rPr>
          <w:rFonts w:cs="Arial"/>
          <w:b/>
          <w:sz w:val="22"/>
          <w:szCs w:val="22"/>
        </w:rPr>
        <w:t>On economy</w:t>
      </w:r>
      <w:r w:rsidRPr="00CA02FC">
        <w:rPr>
          <w:rFonts w:cs="Arial"/>
          <w:sz w:val="22"/>
          <w:szCs w:val="22"/>
        </w:rPr>
        <w:t xml:space="preserve">, the low administrative costs and the implementation of the agency fee caps have already been cited. </w:t>
      </w:r>
      <w:r w:rsidR="00486B83" w:rsidRPr="001441A5">
        <w:rPr>
          <w:rFonts w:cs="Arial"/>
          <w:sz w:val="22"/>
          <w:szCs w:val="22"/>
        </w:rPr>
        <w:t>The Secretariat’s FY19 expenses are projected at US$21.654 million</w:t>
      </w:r>
      <w:r w:rsidR="00486B83">
        <w:rPr>
          <w:rStyle w:val="FootnoteReference"/>
          <w:rFonts w:cs="Arial"/>
          <w:sz w:val="22"/>
          <w:szCs w:val="22"/>
        </w:rPr>
        <w:footnoteReference w:id="5"/>
      </w:r>
      <w:r w:rsidR="00486B83" w:rsidRPr="001441A5">
        <w:rPr>
          <w:rFonts w:cs="Arial"/>
          <w:sz w:val="22"/>
          <w:szCs w:val="22"/>
        </w:rPr>
        <w:t>, or 3.6% less than the FY19 budget</w:t>
      </w:r>
      <w:r w:rsidR="00FA1444">
        <w:rPr>
          <w:rStyle w:val="FootnoteReference"/>
          <w:rFonts w:cs="Arial"/>
          <w:sz w:val="22"/>
          <w:szCs w:val="22"/>
        </w:rPr>
        <w:footnoteReference w:id="6"/>
      </w:r>
      <w:r w:rsidR="00486B83" w:rsidRPr="001441A5">
        <w:rPr>
          <w:rFonts w:cs="Arial"/>
          <w:sz w:val="22"/>
          <w:szCs w:val="22"/>
        </w:rPr>
        <w:t xml:space="preserve">.   </w:t>
      </w:r>
    </w:p>
    <w:p w14:paraId="5EFEE137" w14:textId="77777777" w:rsidR="009F42DC" w:rsidRPr="00CA02FC" w:rsidRDefault="009F42DC" w:rsidP="009F42DC">
      <w:pPr>
        <w:autoSpaceDE w:val="0"/>
        <w:jc w:val="both"/>
        <w:rPr>
          <w:rFonts w:cs="Arial"/>
          <w:sz w:val="22"/>
          <w:szCs w:val="22"/>
          <w:lang w:val="en-US"/>
        </w:rPr>
      </w:pPr>
    </w:p>
    <w:p w14:paraId="7312E48D" w14:textId="77777777" w:rsidR="009F42DC" w:rsidRPr="00CA02FC" w:rsidRDefault="009F42DC" w:rsidP="009F42DC">
      <w:pPr>
        <w:autoSpaceDE w:val="0"/>
        <w:jc w:val="both"/>
        <w:rPr>
          <w:rFonts w:cs="Arial"/>
          <w:sz w:val="22"/>
          <w:szCs w:val="22"/>
        </w:rPr>
      </w:pPr>
      <w:r w:rsidRPr="00CA02FC">
        <w:rPr>
          <w:rFonts w:cs="Arial"/>
          <w:b/>
          <w:sz w:val="22"/>
          <w:szCs w:val="22"/>
          <w:lang w:val="en-US"/>
        </w:rPr>
        <w:t>On efficiency</w:t>
      </w:r>
      <w:r w:rsidRPr="00CA02FC">
        <w:rPr>
          <w:rFonts w:cs="Arial"/>
          <w:sz w:val="22"/>
          <w:szCs w:val="22"/>
          <w:lang w:val="en-US"/>
        </w:rPr>
        <w:t>, GEF continues to maintain its careful allocation according to need via the System for Transparent Allocation of Resources (STAR), and has refined this further by introducing a minimum aggregate floor for the LDCs during GEF</w:t>
      </w:r>
      <w:r w:rsidR="00D27194">
        <w:rPr>
          <w:rFonts w:cs="Arial"/>
          <w:sz w:val="22"/>
          <w:szCs w:val="22"/>
          <w:lang w:val="en-US"/>
        </w:rPr>
        <w:t>7</w:t>
      </w:r>
      <w:r w:rsidRPr="00CA02FC">
        <w:rPr>
          <w:rFonts w:cs="Arial"/>
          <w:sz w:val="22"/>
          <w:szCs w:val="22"/>
          <w:lang w:val="en-US"/>
        </w:rPr>
        <w:t xml:space="preserve">, as well as deciding that those countries with total STAR allocations of less than </w:t>
      </w:r>
      <w:r w:rsidRPr="00215A72">
        <w:rPr>
          <w:rFonts w:cs="Arial"/>
          <w:sz w:val="22"/>
          <w:szCs w:val="22"/>
          <w:lang w:val="en-US"/>
        </w:rPr>
        <w:t>USD</w:t>
      </w:r>
      <w:r w:rsidR="00215A72" w:rsidRPr="00215A72">
        <w:rPr>
          <w:rFonts w:cs="Arial"/>
          <w:sz w:val="22"/>
          <w:szCs w:val="22"/>
          <w:lang w:val="en-US"/>
        </w:rPr>
        <w:t xml:space="preserve"> 7</w:t>
      </w:r>
      <w:r w:rsidRPr="00CA02FC">
        <w:rPr>
          <w:rFonts w:cs="Arial"/>
          <w:sz w:val="22"/>
          <w:szCs w:val="22"/>
          <w:lang w:val="en-US"/>
        </w:rPr>
        <w:t xml:space="preserve"> million will have full flexibility to programme the allocation across the three focal areas covered (Land Degradation, Biodiversity and Climate Change Mitigation).   Allocations to LDCs have been protected at the expense of those to MICs in the reductions caused by </w:t>
      </w:r>
      <w:r w:rsidR="002477A0">
        <w:rPr>
          <w:rFonts w:cs="Arial"/>
          <w:sz w:val="22"/>
          <w:szCs w:val="22"/>
          <w:lang w:val="en-US"/>
        </w:rPr>
        <w:t>foreign exchange</w:t>
      </w:r>
      <w:r w:rsidRPr="00CA02FC">
        <w:rPr>
          <w:rFonts w:cs="Arial"/>
          <w:sz w:val="22"/>
          <w:szCs w:val="22"/>
          <w:lang w:val="en-US"/>
        </w:rPr>
        <w:t xml:space="preserve"> fluctuations mentioned above.</w:t>
      </w:r>
    </w:p>
    <w:p w14:paraId="36D6F2CE" w14:textId="77777777" w:rsidR="009F42DC" w:rsidRPr="006B08EC" w:rsidRDefault="009F42DC" w:rsidP="009F42DC">
      <w:pPr>
        <w:autoSpaceDE w:val="0"/>
        <w:rPr>
          <w:rFonts w:cs="Arial"/>
          <w:sz w:val="22"/>
          <w:szCs w:val="22"/>
        </w:rPr>
      </w:pPr>
    </w:p>
    <w:p w14:paraId="6F2D8CCB" w14:textId="77777777" w:rsidR="009F42DC" w:rsidRDefault="009F42DC" w:rsidP="001F7379">
      <w:pPr>
        <w:autoSpaceDE w:val="0"/>
        <w:jc w:val="both"/>
        <w:rPr>
          <w:rFonts w:cs="Arial"/>
          <w:bCs/>
          <w:sz w:val="22"/>
          <w:szCs w:val="22"/>
        </w:rPr>
      </w:pPr>
      <w:r w:rsidRPr="00CA02FC">
        <w:rPr>
          <w:rFonts w:cs="Arial"/>
          <w:b/>
          <w:bCs/>
          <w:sz w:val="22"/>
          <w:szCs w:val="22"/>
        </w:rPr>
        <w:t>On effectiveness</w:t>
      </w:r>
      <w:r w:rsidR="007271D2">
        <w:rPr>
          <w:rFonts w:cs="Arial"/>
          <w:sz w:val="22"/>
          <w:szCs w:val="22"/>
          <w:lang w:val="en-US"/>
        </w:rPr>
        <w:t>, i</w:t>
      </w:r>
      <w:r w:rsidR="00B61A88" w:rsidRPr="00B61A88">
        <w:rPr>
          <w:rFonts w:cs="Arial"/>
          <w:sz w:val="22"/>
          <w:szCs w:val="22"/>
          <w:lang w:val="en-US"/>
        </w:rPr>
        <w:t>n GEF 6 we looked the likelihood of projects achieving their development</w:t>
      </w:r>
      <w:r w:rsidR="00C916E4">
        <w:rPr>
          <w:rFonts w:cs="Arial"/>
          <w:sz w:val="22"/>
          <w:szCs w:val="22"/>
          <w:lang w:val="en-US"/>
        </w:rPr>
        <w:t xml:space="preserve"> and environmental</w:t>
      </w:r>
      <w:r w:rsidR="00B61A88" w:rsidRPr="00B61A88">
        <w:rPr>
          <w:rFonts w:cs="Arial"/>
          <w:sz w:val="22"/>
          <w:szCs w:val="22"/>
          <w:lang w:val="en-US"/>
        </w:rPr>
        <w:t xml:space="preserve"> objectives. </w:t>
      </w:r>
      <w:r w:rsidR="00D60A81">
        <w:rPr>
          <w:rFonts w:cs="Arial"/>
          <w:bCs/>
          <w:sz w:val="22"/>
          <w:szCs w:val="22"/>
        </w:rPr>
        <w:t>I</w:t>
      </w:r>
      <w:r w:rsidR="00BB4346">
        <w:rPr>
          <w:rFonts w:cs="Arial"/>
          <w:bCs/>
          <w:sz w:val="22"/>
          <w:szCs w:val="22"/>
        </w:rPr>
        <w:t>n</w:t>
      </w:r>
      <w:r w:rsidR="00D60A81">
        <w:rPr>
          <w:rFonts w:cs="Arial"/>
          <w:bCs/>
          <w:sz w:val="22"/>
          <w:szCs w:val="22"/>
        </w:rPr>
        <w:t xml:space="preserve"> the </w:t>
      </w:r>
      <w:r w:rsidR="001F7379">
        <w:rPr>
          <w:rFonts w:cs="Arial"/>
          <w:bCs/>
          <w:sz w:val="22"/>
          <w:szCs w:val="22"/>
        </w:rPr>
        <w:t xml:space="preserve">GEF 7 </w:t>
      </w:r>
      <w:r w:rsidR="00D60A81">
        <w:rPr>
          <w:rFonts w:cs="Arial"/>
          <w:bCs/>
          <w:sz w:val="22"/>
          <w:szCs w:val="22"/>
        </w:rPr>
        <w:t xml:space="preserve">2018 Business Case we </w:t>
      </w:r>
      <w:r w:rsidR="00A7179F">
        <w:rPr>
          <w:rFonts w:cs="Arial"/>
          <w:bCs/>
          <w:sz w:val="22"/>
          <w:szCs w:val="22"/>
        </w:rPr>
        <w:t>stated that we</w:t>
      </w:r>
      <w:r w:rsidR="00D60A81" w:rsidRPr="007165FF">
        <w:rPr>
          <w:rFonts w:cs="Arial"/>
          <w:bCs/>
          <w:sz w:val="22"/>
          <w:szCs w:val="22"/>
        </w:rPr>
        <w:t xml:space="preserve"> expect</w:t>
      </w:r>
      <w:r w:rsidR="00A7179F">
        <w:rPr>
          <w:rFonts w:cs="Arial"/>
          <w:bCs/>
          <w:sz w:val="22"/>
          <w:szCs w:val="22"/>
        </w:rPr>
        <w:t>ed</w:t>
      </w:r>
      <w:r w:rsidR="00D60A81" w:rsidRPr="007165FF">
        <w:rPr>
          <w:rFonts w:cs="Arial"/>
          <w:bCs/>
          <w:sz w:val="22"/>
          <w:szCs w:val="22"/>
        </w:rPr>
        <w:t xml:space="preserve"> the quantity, quality and sustainability of GEF results to improve</w:t>
      </w:r>
      <w:r w:rsidR="00BB4346">
        <w:rPr>
          <w:rFonts w:cs="Arial"/>
          <w:bCs/>
          <w:sz w:val="22"/>
          <w:szCs w:val="22"/>
        </w:rPr>
        <w:t>.</w:t>
      </w:r>
      <w:r w:rsidR="00D56621">
        <w:rPr>
          <w:rFonts w:cs="Arial"/>
          <w:bCs/>
          <w:sz w:val="22"/>
          <w:szCs w:val="22"/>
        </w:rPr>
        <w:t xml:space="preserve"> </w:t>
      </w:r>
      <w:r w:rsidR="00015D75">
        <w:rPr>
          <w:rFonts w:cs="Arial"/>
          <w:bCs/>
          <w:sz w:val="22"/>
          <w:szCs w:val="22"/>
        </w:rPr>
        <w:t xml:space="preserve"> </w:t>
      </w:r>
    </w:p>
    <w:p w14:paraId="417F3E48" w14:textId="77777777" w:rsidR="00417BB5" w:rsidRDefault="00417BB5" w:rsidP="009F42DC">
      <w:pPr>
        <w:jc w:val="both"/>
        <w:rPr>
          <w:rFonts w:cs="Arial"/>
          <w:sz w:val="22"/>
          <w:szCs w:val="22"/>
          <w:lang w:val="en" w:eastAsia="en-GB"/>
        </w:rPr>
      </w:pPr>
    </w:p>
    <w:p w14:paraId="498537C8" w14:textId="77777777" w:rsidR="00417BB5" w:rsidRDefault="00417BB5" w:rsidP="009F42DC">
      <w:pPr>
        <w:jc w:val="both"/>
        <w:rPr>
          <w:rFonts w:cs="Arial"/>
          <w:sz w:val="22"/>
          <w:szCs w:val="22"/>
          <w:lang w:val="en" w:eastAsia="en-GB"/>
        </w:rPr>
      </w:pPr>
      <w:r w:rsidRPr="00417BB5">
        <w:rPr>
          <w:rFonts w:cs="Arial"/>
          <w:sz w:val="22"/>
          <w:szCs w:val="22"/>
          <w:lang w:val="en" w:eastAsia="en-GB"/>
        </w:rPr>
        <w:t>Overall, 80 percent of all completed GEF projects with terminal evaluations have an outcome rating in the satisfactory range. Outcome rating for the 2019 cohort of closed projects was nominally lower at 78 percent, with those projects accounting for 80 percent of funding (table 1). Within the GEF portfolio, the percentage of projects with an outcome rating in the satisfactory range moves within a narrow band of 78 to 82 percent from GEF1 to GEF4 (figure 1)</w:t>
      </w:r>
      <w:r w:rsidR="00AC2E98">
        <w:rPr>
          <w:rStyle w:val="FootnoteReference"/>
          <w:rFonts w:cs="Arial"/>
          <w:sz w:val="22"/>
          <w:szCs w:val="22"/>
          <w:lang w:val="en" w:eastAsia="en-GB"/>
        </w:rPr>
        <w:footnoteReference w:id="7"/>
      </w:r>
      <w:r w:rsidRPr="00417BB5">
        <w:rPr>
          <w:rFonts w:cs="Arial"/>
          <w:sz w:val="22"/>
          <w:szCs w:val="22"/>
          <w:lang w:val="en" w:eastAsia="en-GB"/>
        </w:rPr>
        <w:t>. However, 87 percent of the completed projects approved in GEF5 are rated in the</w:t>
      </w:r>
      <w:r w:rsidR="00077E3D">
        <w:rPr>
          <w:rFonts w:cs="Arial"/>
          <w:sz w:val="22"/>
          <w:szCs w:val="22"/>
          <w:lang w:val="en" w:eastAsia="en-GB"/>
        </w:rPr>
        <w:t xml:space="preserve"> </w:t>
      </w:r>
      <w:r w:rsidR="00077E3D" w:rsidRPr="00077E3D">
        <w:rPr>
          <w:rFonts w:cs="Arial"/>
          <w:sz w:val="22"/>
          <w:szCs w:val="22"/>
          <w:lang w:val="en" w:eastAsia="en-GB"/>
        </w:rPr>
        <w:t>satisfactory range. Most of the projects from GEF5 are still under implementation so the figures for this period may change as more projects from the period are completed.</w:t>
      </w:r>
    </w:p>
    <w:p w14:paraId="16B9D584" w14:textId="77777777" w:rsidR="00161A74" w:rsidRDefault="00F604FF" w:rsidP="009F42DC">
      <w:pPr>
        <w:jc w:val="both"/>
        <w:rPr>
          <w:rFonts w:cs="Arial"/>
          <w:sz w:val="22"/>
          <w:szCs w:val="22"/>
          <w:lang w:val="en" w:eastAsia="en-GB"/>
        </w:rPr>
      </w:pPr>
      <w:r w:rsidRPr="00F604FF">
        <w:rPr>
          <w:rFonts w:cs="Arial"/>
          <w:sz w:val="22"/>
          <w:szCs w:val="22"/>
          <w:lang w:val="en" w:eastAsia="en-GB"/>
        </w:rPr>
        <w:t xml:space="preserve">The assessment of sustainability estimates the extent a project’s outcome is durable and it is likely to achieve its expected long-term impact. Compared to the portfolio average of 62 percent, 59 percent of the projects of the 2019 cohort are rated in the likely range for sustainability. The difference between the portfolio average and the 2019 cohort is not statistically significant. Improving sustainability of GEF project outcome has been a long-standing concern of the </w:t>
      </w:r>
      <w:r w:rsidR="009C703D">
        <w:rPr>
          <w:rFonts w:cs="Arial"/>
          <w:sz w:val="22"/>
          <w:szCs w:val="22"/>
          <w:lang w:val="en" w:eastAsia="en-GB"/>
        </w:rPr>
        <w:t xml:space="preserve">UK and other </w:t>
      </w:r>
      <w:r w:rsidRPr="00F604FF">
        <w:rPr>
          <w:rFonts w:cs="Arial"/>
          <w:sz w:val="22"/>
          <w:szCs w:val="22"/>
          <w:lang w:val="en" w:eastAsia="en-GB"/>
        </w:rPr>
        <w:t>GEF stakeholders. Although, ratings for the projects approved during GEF4 and GEF5 is somewhat higher than for earlier replenishment periods, the percentage of</w:t>
      </w:r>
      <w:r w:rsidR="009C703D">
        <w:rPr>
          <w:rFonts w:cs="Arial"/>
          <w:sz w:val="22"/>
          <w:szCs w:val="22"/>
          <w:lang w:val="en" w:eastAsia="en-GB"/>
        </w:rPr>
        <w:t xml:space="preserve"> </w:t>
      </w:r>
      <w:r w:rsidR="009C703D" w:rsidRPr="009C703D">
        <w:rPr>
          <w:rFonts w:cs="Arial"/>
          <w:sz w:val="22"/>
          <w:szCs w:val="22"/>
          <w:lang w:val="en" w:eastAsia="en-GB"/>
        </w:rPr>
        <w:t>projects where outcomes are rated to be sustainable is still low. GEF IEO will keep tracking performance on this dimension.</w:t>
      </w:r>
    </w:p>
    <w:p w14:paraId="7240E4F8" w14:textId="77777777" w:rsidR="0002448B" w:rsidRDefault="0002448B" w:rsidP="009F42DC">
      <w:pPr>
        <w:jc w:val="both"/>
        <w:rPr>
          <w:rFonts w:cs="Arial"/>
          <w:sz w:val="22"/>
          <w:szCs w:val="22"/>
          <w:lang w:val="en" w:eastAsia="en-GB"/>
        </w:rPr>
      </w:pPr>
    </w:p>
    <w:p w14:paraId="3E9CEAE4" w14:textId="77777777" w:rsidR="0002448B" w:rsidRPr="0002448B" w:rsidRDefault="0002448B" w:rsidP="0002448B">
      <w:pPr>
        <w:jc w:val="both"/>
        <w:rPr>
          <w:rFonts w:cs="Arial"/>
          <w:sz w:val="22"/>
          <w:szCs w:val="22"/>
          <w:lang w:val="en" w:eastAsia="en-GB"/>
        </w:rPr>
      </w:pPr>
      <w:r w:rsidRPr="0002448B">
        <w:rPr>
          <w:rFonts w:cs="Arial"/>
          <w:sz w:val="22"/>
          <w:szCs w:val="22"/>
          <w:lang w:val="en" w:eastAsia="en-GB"/>
        </w:rPr>
        <w:t>Compared to the portfolio average of 80 percent, 83 percent of the projects of the 2019 cohort were rated in the satisfactory range for quality of implementation. Seventy seven percent of the projects of the 2019 cohort are rated in the satisfactory range for quality of execution, which is close to the portfolio average 80 percent.</w:t>
      </w:r>
    </w:p>
    <w:p w14:paraId="24EBFCC7" w14:textId="77777777" w:rsidR="007B7B57" w:rsidRDefault="007B7B57" w:rsidP="0002448B">
      <w:pPr>
        <w:jc w:val="both"/>
        <w:rPr>
          <w:rFonts w:cs="Arial"/>
          <w:sz w:val="22"/>
          <w:szCs w:val="22"/>
          <w:lang w:val="en" w:eastAsia="en-GB"/>
        </w:rPr>
      </w:pPr>
    </w:p>
    <w:p w14:paraId="0C4D30DE" w14:textId="77777777" w:rsidR="0002448B" w:rsidRDefault="0002448B" w:rsidP="0002448B">
      <w:pPr>
        <w:jc w:val="both"/>
        <w:rPr>
          <w:rFonts w:cs="Arial"/>
          <w:sz w:val="22"/>
          <w:szCs w:val="22"/>
          <w:lang w:val="en" w:eastAsia="en-GB"/>
        </w:rPr>
      </w:pPr>
      <w:r w:rsidRPr="0002448B">
        <w:rPr>
          <w:rFonts w:cs="Arial"/>
          <w:sz w:val="22"/>
          <w:szCs w:val="22"/>
          <w:lang w:val="en" w:eastAsia="en-GB"/>
        </w:rPr>
        <w:t>The 2019 cohort shows improvement in M&amp;E design rating. Compared to the portfolio average of 65 percent of projects rated in the satisfactory range for M&amp;E design, of the 2019 cohort a significantly higher 80 percent are rated in this range. Compared to the long-term portfolio average of 65 percent, 70 percent of the projects of the 2019 cohort are rated in the satisfactory range for M&amp;E implementation. The difference in the percentage rated in the satisfactory range for M&amp;E implementation is not statistically significant although the direction of the difference is consistent with the trend of improvement.</w:t>
      </w:r>
    </w:p>
    <w:p w14:paraId="08586E92" w14:textId="77777777" w:rsidR="00C90699" w:rsidRPr="0002448B" w:rsidRDefault="00C90699" w:rsidP="0002448B">
      <w:pPr>
        <w:jc w:val="both"/>
        <w:rPr>
          <w:rFonts w:cs="Arial"/>
          <w:sz w:val="22"/>
          <w:szCs w:val="22"/>
          <w:lang w:val="en" w:eastAsia="en-GB"/>
        </w:rPr>
      </w:pPr>
    </w:p>
    <w:p w14:paraId="43969A2D" w14:textId="77777777" w:rsidR="00161A74" w:rsidRDefault="00161A74" w:rsidP="009F42DC">
      <w:pPr>
        <w:jc w:val="both"/>
        <w:rPr>
          <w:rFonts w:cs="Arial"/>
          <w:sz w:val="22"/>
          <w:szCs w:val="22"/>
          <w:lang w:val="en" w:eastAsia="en-GB"/>
        </w:rPr>
      </w:pPr>
    </w:p>
    <w:p w14:paraId="03A5809A" w14:textId="77777777" w:rsidR="009F42DC" w:rsidRPr="00CA02FC" w:rsidRDefault="009F42DC" w:rsidP="009F42DC">
      <w:pPr>
        <w:jc w:val="both"/>
        <w:rPr>
          <w:rFonts w:cs="Arial"/>
          <w:b/>
          <w:sz w:val="22"/>
          <w:szCs w:val="22"/>
          <w:lang w:val="en" w:eastAsia="en-GB"/>
        </w:rPr>
      </w:pPr>
      <w:r w:rsidRPr="00CA02FC">
        <w:rPr>
          <w:rFonts w:cs="Arial"/>
          <w:b/>
          <w:sz w:val="22"/>
          <w:szCs w:val="22"/>
          <w:lang w:val="en" w:eastAsia="en-GB"/>
        </w:rPr>
        <w:t>Assessment of whether the programme continues to represent value for money</w:t>
      </w:r>
    </w:p>
    <w:p w14:paraId="7F4335A9" w14:textId="77777777" w:rsidR="009F42DC" w:rsidRPr="00CA02FC" w:rsidRDefault="009F42DC" w:rsidP="009F42DC">
      <w:pPr>
        <w:jc w:val="both"/>
        <w:rPr>
          <w:rFonts w:cs="Arial"/>
          <w:b/>
          <w:sz w:val="22"/>
          <w:szCs w:val="22"/>
        </w:rPr>
      </w:pPr>
    </w:p>
    <w:p w14:paraId="506E8A8E" w14:textId="77777777" w:rsidR="009F42DC" w:rsidRPr="00CA02FC" w:rsidRDefault="009F42DC" w:rsidP="009F42DC">
      <w:pPr>
        <w:jc w:val="both"/>
        <w:rPr>
          <w:rFonts w:cs="Arial"/>
          <w:sz w:val="22"/>
          <w:szCs w:val="22"/>
          <w:lang w:val="en" w:eastAsia="en-GB"/>
        </w:rPr>
      </w:pPr>
      <w:r w:rsidRPr="00CA02FC">
        <w:rPr>
          <w:rFonts w:cs="Arial"/>
          <w:sz w:val="22"/>
          <w:szCs w:val="22"/>
        </w:rPr>
        <w:t xml:space="preserve">We consider that given the </w:t>
      </w:r>
      <w:r w:rsidR="00900ABA">
        <w:rPr>
          <w:rFonts w:cs="Arial"/>
          <w:sz w:val="22"/>
          <w:szCs w:val="22"/>
        </w:rPr>
        <w:t>good</w:t>
      </w:r>
      <w:r w:rsidRPr="00CA02FC">
        <w:rPr>
          <w:rFonts w:cs="Arial"/>
          <w:sz w:val="22"/>
          <w:szCs w:val="22"/>
        </w:rPr>
        <w:t xml:space="preserve"> progress against the targets set for the GEF’s </w:t>
      </w:r>
      <w:r w:rsidR="00786DBD">
        <w:rPr>
          <w:rFonts w:cs="Arial"/>
          <w:sz w:val="22"/>
          <w:szCs w:val="22"/>
        </w:rPr>
        <w:t>seventh</w:t>
      </w:r>
      <w:r w:rsidRPr="00CA02FC">
        <w:rPr>
          <w:rFonts w:cs="Arial"/>
          <w:sz w:val="22"/>
          <w:szCs w:val="22"/>
        </w:rPr>
        <w:t xml:space="preserve"> </w:t>
      </w:r>
      <w:r w:rsidR="00A150E4" w:rsidRPr="00CA02FC">
        <w:rPr>
          <w:rFonts w:cs="Arial"/>
          <w:sz w:val="22"/>
          <w:szCs w:val="22"/>
        </w:rPr>
        <w:t>replenishment and</w:t>
      </w:r>
      <w:r w:rsidRPr="00CA02FC">
        <w:rPr>
          <w:rFonts w:cs="Arial"/>
          <w:sz w:val="22"/>
          <w:szCs w:val="22"/>
        </w:rPr>
        <w:t xml:space="preserve"> maintained downward pressure on cost drivers (for example implementation of the GEF’s agency fee limits) that the GEF continues to represent value for money. </w:t>
      </w:r>
      <w:r w:rsidRPr="00CA02FC">
        <w:rPr>
          <w:rFonts w:cs="Arial"/>
          <w:sz w:val="22"/>
          <w:szCs w:val="22"/>
          <w:lang w:val="en" w:eastAsia="en-GB"/>
        </w:rPr>
        <w:t xml:space="preserve">GEF has updated its budgeting process to align with and track core work areas for performance in both programming and policy-operations in GEF </w:t>
      </w:r>
      <w:r w:rsidR="00900ABA">
        <w:rPr>
          <w:rFonts w:cs="Arial"/>
          <w:sz w:val="22"/>
          <w:szCs w:val="22"/>
          <w:lang w:val="en" w:eastAsia="en-GB"/>
        </w:rPr>
        <w:t>7</w:t>
      </w:r>
      <w:r w:rsidRPr="00CA02FC">
        <w:rPr>
          <w:rFonts w:cs="Arial"/>
          <w:sz w:val="22"/>
          <w:szCs w:val="22"/>
          <w:lang w:val="en" w:eastAsia="en-GB"/>
        </w:rPr>
        <w:t xml:space="preserve">. In budgeting and in preparing and reviewing progress on its Business Plan, it plans investments against expected results in light of past performance and other factors, including actions needed to implement priorities in the core work areas. The planning also integrates and assesses updated information on results and </w:t>
      </w:r>
      <w:r w:rsidR="00D26848" w:rsidRPr="00CA02FC">
        <w:rPr>
          <w:rFonts w:cs="Arial"/>
          <w:sz w:val="22"/>
          <w:szCs w:val="22"/>
          <w:lang w:val="en" w:eastAsia="en-GB"/>
        </w:rPr>
        <w:t>results-based</w:t>
      </w:r>
      <w:r w:rsidRPr="00CA02FC">
        <w:rPr>
          <w:rFonts w:cs="Arial"/>
          <w:sz w:val="22"/>
          <w:szCs w:val="22"/>
          <w:lang w:val="en" w:eastAsia="en-GB"/>
        </w:rPr>
        <w:t xml:space="preserve"> management.</w:t>
      </w:r>
    </w:p>
    <w:p w14:paraId="3BC654A9" w14:textId="77777777" w:rsidR="009F42DC" w:rsidRPr="00CA02FC" w:rsidRDefault="009F42DC" w:rsidP="009F42DC">
      <w:pPr>
        <w:jc w:val="both"/>
        <w:rPr>
          <w:rFonts w:cs="Arial"/>
          <w:b/>
          <w:bCs/>
          <w:sz w:val="22"/>
          <w:szCs w:val="22"/>
        </w:rPr>
      </w:pPr>
    </w:p>
    <w:p w14:paraId="42AAA086" w14:textId="77777777" w:rsidR="009F42DC" w:rsidRPr="00CA02FC" w:rsidRDefault="009F42DC" w:rsidP="009F42DC">
      <w:pPr>
        <w:jc w:val="both"/>
        <w:rPr>
          <w:rFonts w:cs="Arial"/>
          <w:b/>
          <w:bCs/>
          <w:sz w:val="22"/>
          <w:szCs w:val="22"/>
        </w:rPr>
      </w:pPr>
    </w:p>
    <w:p w14:paraId="26DD194F" w14:textId="77777777" w:rsidR="009F42DC" w:rsidRPr="00CA02FC" w:rsidRDefault="009F42DC" w:rsidP="009F42DC">
      <w:pPr>
        <w:jc w:val="both"/>
        <w:rPr>
          <w:rFonts w:cs="Arial"/>
          <w:b/>
          <w:bCs/>
          <w:sz w:val="22"/>
          <w:szCs w:val="22"/>
        </w:rPr>
      </w:pPr>
      <w:r w:rsidRPr="00CA02FC">
        <w:rPr>
          <w:rFonts w:cs="Arial"/>
          <w:b/>
          <w:bCs/>
          <w:sz w:val="22"/>
          <w:szCs w:val="22"/>
        </w:rPr>
        <w:t>Quality of financial management</w:t>
      </w:r>
    </w:p>
    <w:p w14:paraId="0B20C35E" w14:textId="77777777" w:rsidR="009F42DC" w:rsidRPr="00CA02FC" w:rsidRDefault="009F42DC" w:rsidP="009F42DC">
      <w:pPr>
        <w:jc w:val="both"/>
        <w:rPr>
          <w:rFonts w:cs="Arial"/>
          <w:i/>
          <w:sz w:val="22"/>
          <w:szCs w:val="22"/>
        </w:rPr>
      </w:pPr>
    </w:p>
    <w:p w14:paraId="02F3B48F" w14:textId="77777777" w:rsidR="009F42DC" w:rsidRPr="00CA02FC" w:rsidRDefault="009F42DC" w:rsidP="008068BC">
      <w:pPr>
        <w:jc w:val="both"/>
        <w:rPr>
          <w:rFonts w:cs="Arial"/>
          <w:sz w:val="22"/>
          <w:szCs w:val="22"/>
        </w:rPr>
      </w:pPr>
      <w:r w:rsidRPr="00CA02FC">
        <w:rPr>
          <w:rFonts w:cs="Arial"/>
          <w:sz w:val="22"/>
          <w:szCs w:val="22"/>
        </w:rPr>
        <w:t>The World Bank as Trustee reports on GEF expenditure and resource availability at the biannual GEF Council meetings. The most recent Financial Report was presented to the GEF Council in June 201</w:t>
      </w:r>
      <w:r w:rsidR="00B360B5">
        <w:rPr>
          <w:rFonts w:cs="Arial"/>
          <w:sz w:val="22"/>
          <w:szCs w:val="22"/>
        </w:rPr>
        <w:t>9</w:t>
      </w:r>
      <w:r w:rsidRPr="00CA02FC">
        <w:rPr>
          <w:rFonts w:cs="Arial"/>
          <w:sz w:val="22"/>
          <w:szCs w:val="22"/>
        </w:rPr>
        <w:t xml:space="preserve">, and highlighted the shortfall being faced by the GEF’s </w:t>
      </w:r>
      <w:r w:rsidR="00D667CC">
        <w:rPr>
          <w:rFonts w:cs="Arial"/>
          <w:sz w:val="22"/>
          <w:szCs w:val="22"/>
        </w:rPr>
        <w:t>seventh</w:t>
      </w:r>
      <w:r w:rsidRPr="00CA02FC">
        <w:rPr>
          <w:rFonts w:cs="Arial"/>
          <w:sz w:val="22"/>
          <w:szCs w:val="22"/>
        </w:rPr>
        <w:t xml:space="preserve"> replenishment due to unexpected exchange rate fluctuations. The GEF most recently filed an Independent Auditors’ Report and Statement of Receipts, Disbursements and Fund Balance in</w:t>
      </w:r>
      <w:r w:rsidR="008353F6">
        <w:rPr>
          <w:rFonts w:cs="Arial"/>
          <w:sz w:val="22"/>
          <w:szCs w:val="22"/>
        </w:rPr>
        <w:t xml:space="preserve"> October 2019</w:t>
      </w:r>
      <w:r w:rsidRPr="00CA02FC">
        <w:rPr>
          <w:rFonts w:cs="Arial"/>
          <w:sz w:val="22"/>
          <w:szCs w:val="22"/>
        </w:rPr>
        <w:t>, in which the auditors did not provide any qualifications to their opinion. The independent audit of the GEF Trust Fund by the World Bank’s external auditors have been concluded for the period ended June 30, 201</w:t>
      </w:r>
      <w:r w:rsidR="00437EDE">
        <w:rPr>
          <w:rFonts w:cs="Arial"/>
          <w:sz w:val="22"/>
          <w:szCs w:val="22"/>
        </w:rPr>
        <w:t>8</w:t>
      </w:r>
      <w:r>
        <w:rPr>
          <w:rFonts w:cs="Arial"/>
          <w:sz w:val="22"/>
          <w:szCs w:val="22"/>
        </w:rPr>
        <w:t xml:space="preserve"> and</w:t>
      </w:r>
      <w:r w:rsidRPr="00CA02FC">
        <w:rPr>
          <w:rFonts w:cs="Arial"/>
          <w:sz w:val="22"/>
          <w:szCs w:val="22"/>
        </w:rPr>
        <w:t xml:space="preserve"> is to be issued in October/November 20</w:t>
      </w:r>
      <w:r>
        <w:rPr>
          <w:rFonts w:cs="Arial"/>
          <w:sz w:val="22"/>
          <w:szCs w:val="22"/>
        </w:rPr>
        <w:t>1</w:t>
      </w:r>
      <w:r w:rsidR="004002F9">
        <w:rPr>
          <w:rFonts w:cs="Arial"/>
          <w:sz w:val="22"/>
          <w:szCs w:val="22"/>
        </w:rPr>
        <w:t>9</w:t>
      </w:r>
      <w:r w:rsidRPr="00CA02FC">
        <w:rPr>
          <w:rFonts w:cs="Arial"/>
          <w:sz w:val="22"/>
          <w:szCs w:val="22"/>
        </w:rPr>
        <w:t xml:space="preserve">. </w:t>
      </w:r>
    </w:p>
    <w:p w14:paraId="5A628965" w14:textId="77777777" w:rsidR="00E70B2C" w:rsidRPr="00F70DBE" w:rsidRDefault="00E70B2C" w:rsidP="008068BC">
      <w:pPr>
        <w:jc w:val="both"/>
        <w:rPr>
          <w:rFonts w:cs="Arial"/>
          <w:sz w:val="22"/>
          <w:szCs w:val="22"/>
          <w:lang w:val="en" w:eastAsia="en-GB"/>
        </w:rPr>
      </w:pPr>
    </w:p>
    <w:p w14:paraId="113DD16C" w14:textId="77777777" w:rsidR="00D762AD" w:rsidRDefault="00D762AD">
      <w:pPr>
        <w:rPr>
          <w:rFonts w:cs="Arial"/>
          <w:bCs/>
          <w:sz w:val="22"/>
          <w:szCs w:val="22"/>
        </w:rPr>
      </w:pPr>
      <w:r>
        <w:rPr>
          <w:rFonts w:cs="Arial"/>
          <w:bCs/>
          <w:sz w:val="22"/>
          <w:szCs w:val="22"/>
        </w:rPr>
        <w:br w:type="page"/>
      </w:r>
    </w:p>
    <w:p w14:paraId="0B97CBAB" w14:textId="77777777" w:rsidR="00E70B2C" w:rsidRPr="00F70DBE" w:rsidRDefault="00E70B2C" w:rsidP="00E70B2C">
      <w:pPr>
        <w:rPr>
          <w:rFonts w:cs="Arial"/>
          <w:bCs/>
          <w:sz w:val="22"/>
          <w:szCs w:val="22"/>
        </w:rPr>
      </w:pPr>
    </w:p>
    <w:p w14:paraId="596D11C5" w14:textId="77777777" w:rsidR="00E70B2C" w:rsidRPr="00F70DBE" w:rsidRDefault="00E70B2C" w:rsidP="00E70B2C">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bCs/>
          <w:sz w:val="20"/>
          <w:szCs w:val="20"/>
        </w:rPr>
      </w:pPr>
      <w:r w:rsidRPr="00F70DBE">
        <w:rPr>
          <w:rFonts w:cs="Arial"/>
          <w:b/>
          <w:bCs/>
          <w:sz w:val="28"/>
          <w:szCs w:val="22"/>
        </w:rPr>
        <w:t>E: RISK</w:t>
      </w:r>
    </w:p>
    <w:p w14:paraId="484FAAAD" w14:textId="77777777" w:rsidR="00E70B2C" w:rsidRPr="00F70DBE" w:rsidRDefault="00E70B2C" w:rsidP="00E70B2C">
      <w:pPr>
        <w:pStyle w:val="ListParagraph"/>
      </w:pPr>
    </w:p>
    <w:p w14:paraId="33538F35" w14:textId="77777777" w:rsidR="00E70B2C" w:rsidRPr="00F70DBE" w:rsidRDefault="00E70B2C" w:rsidP="00E70B2C">
      <w:pPr>
        <w:rPr>
          <w:rFonts w:cs="Arial"/>
          <w:b/>
          <w:sz w:val="22"/>
          <w:szCs w:val="22"/>
        </w:rPr>
      </w:pPr>
      <w:r w:rsidRPr="00F70DBE">
        <w:rPr>
          <w:b/>
          <w:bCs/>
          <w:sz w:val="22"/>
          <w:szCs w:val="22"/>
        </w:rPr>
        <w:t>Overview of programme risk</w:t>
      </w:r>
      <w:r>
        <w:rPr>
          <w:b/>
          <w:bCs/>
          <w:sz w:val="22"/>
          <w:szCs w:val="22"/>
        </w:rPr>
        <w:t xml:space="preserve"> (noting the rating from p.1) and mitigation</w:t>
      </w:r>
    </w:p>
    <w:p w14:paraId="27A9AE5C" w14:textId="77777777" w:rsidR="00E70B2C" w:rsidRPr="00F70DBE" w:rsidRDefault="00E70B2C" w:rsidP="00E70B2C">
      <w:pPr>
        <w:rPr>
          <w:rFonts w:cs="Arial"/>
          <w:sz w:val="22"/>
          <w:szCs w:val="22"/>
        </w:rPr>
      </w:pPr>
    </w:p>
    <w:p w14:paraId="3392CB8D" w14:textId="77777777" w:rsidR="00277BD1" w:rsidRDefault="00740234" w:rsidP="00740234">
      <w:pPr>
        <w:jc w:val="both"/>
        <w:rPr>
          <w:rFonts w:cs="Arial"/>
          <w:iCs/>
          <w:sz w:val="22"/>
          <w:szCs w:val="22"/>
        </w:rPr>
      </w:pPr>
      <w:r w:rsidRPr="00E242EB">
        <w:rPr>
          <w:rFonts w:cs="Arial"/>
          <w:color w:val="000000"/>
          <w:sz w:val="22"/>
          <w:szCs w:val="22"/>
          <w:lang w:eastAsia="en-GB"/>
        </w:rPr>
        <w:t xml:space="preserve">The overall risk </w:t>
      </w:r>
      <w:r>
        <w:rPr>
          <w:rFonts w:cs="Arial"/>
          <w:color w:val="000000"/>
          <w:sz w:val="22"/>
          <w:szCs w:val="22"/>
          <w:lang w:eastAsia="en-GB"/>
        </w:rPr>
        <w:t xml:space="preserve">category </w:t>
      </w:r>
      <w:r w:rsidRPr="00E242EB">
        <w:rPr>
          <w:rFonts w:cs="Arial"/>
          <w:color w:val="000000"/>
          <w:sz w:val="22"/>
          <w:szCs w:val="22"/>
          <w:lang w:eastAsia="en-GB"/>
        </w:rPr>
        <w:t xml:space="preserve">of </w:t>
      </w:r>
      <w:r>
        <w:rPr>
          <w:rFonts w:cs="Arial"/>
          <w:color w:val="000000"/>
          <w:sz w:val="22"/>
          <w:szCs w:val="22"/>
          <w:lang w:eastAsia="en-GB"/>
        </w:rPr>
        <w:t>‘</w:t>
      </w:r>
      <w:r w:rsidRPr="00E242EB">
        <w:rPr>
          <w:rFonts w:cs="Arial"/>
          <w:color w:val="000000"/>
          <w:sz w:val="22"/>
          <w:szCs w:val="22"/>
          <w:lang w:eastAsia="en-GB"/>
        </w:rPr>
        <w:t>minor</w:t>
      </w:r>
      <w:r>
        <w:rPr>
          <w:rFonts w:cs="Arial"/>
          <w:color w:val="000000"/>
          <w:sz w:val="22"/>
          <w:szCs w:val="22"/>
          <w:lang w:eastAsia="en-GB"/>
        </w:rPr>
        <w:t>’</w:t>
      </w:r>
      <w:r w:rsidRPr="00E242EB">
        <w:rPr>
          <w:rFonts w:cs="Arial"/>
          <w:color w:val="000000"/>
          <w:sz w:val="22"/>
          <w:szCs w:val="22"/>
          <w:lang w:eastAsia="en-GB"/>
        </w:rPr>
        <w:t xml:space="preserve"> has been maintained in the last year</w:t>
      </w:r>
      <w:r>
        <w:rPr>
          <w:rFonts w:cs="Arial"/>
          <w:color w:val="000000"/>
          <w:sz w:val="22"/>
          <w:szCs w:val="22"/>
          <w:lang w:eastAsia="en-GB"/>
        </w:rPr>
        <w:t xml:space="preserve">, in light of </w:t>
      </w:r>
      <w:r w:rsidRPr="00E242EB">
        <w:rPr>
          <w:rFonts w:cs="Arial"/>
          <w:color w:val="000000"/>
          <w:sz w:val="22"/>
          <w:szCs w:val="22"/>
          <w:lang w:eastAsia="en-GB"/>
        </w:rPr>
        <w:t xml:space="preserve">the due diligence completed in January 2017 which indicated that the controls in </w:t>
      </w:r>
      <w:r>
        <w:rPr>
          <w:rFonts w:cs="Arial"/>
          <w:color w:val="000000"/>
          <w:sz w:val="22"/>
          <w:szCs w:val="22"/>
          <w:lang w:eastAsia="en-GB"/>
        </w:rPr>
        <w:t>effect</w:t>
      </w:r>
      <w:r w:rsidRPr="00E242EB">
        <w:rPr>
          <w:rFonts w:cs="Arial"/>
          <w:color w:val="000000"/>
          <w:sz w:val="22"/>
          <w:szCs w:val="22"/>
          <w:lang w:eastAsia="en-GB"/>
        </w:rPr>
        <w:t xml:space="preserve"> were sufficient to monitor </w:t>
      </w:r>
      <w:r>
        <w:rPr>
          <w:rFonts w:cs="Arial"/>
          <w:color w:val="000000"/>
          <w:sz w:val="22"/>
          <w:szCs w:val="22"/>
          <w:lang w:eastAsia="en-GB"/>
        </w:rPr>
        <w:t xml:space="preserve">and respond to </w:t>
      </w:r>
      <w:r w:rsidRPr="00E242EB">
        <w:rPr>
          <w:rFonts w:cs="Arial"/>
          <w:color w:val="000000"/>
          <w:sz w:val="22"/>
          <w:szCs w:val="22"/>
          <w:lang w:eastAsia="en-GB"/>
        </w:rPr>
        <w:t xml:space="preserve">GEF risks as needed. These controls </w:t>
      </w:r>
      <w:r>
        <w:rPr>
          <w:rFonts w:cs="Arial"/>
          <w:color w:val="000000"/>
          <w:sz w:val="22"/>
          <w:szCs w:val="22"/>
          <w:lang w:eastAsia="en-GB"/>
        </w:rPr>
        <w:t xml:space="preserve">apply to </w:t>
      </w:r>
      <w:r w:rsidR="00C40423">
        <w:rPr>
          <w:rFonts w:cs="Arial"/>
          <w:color w:val="000000"/>
          <w:sz w:val="22"/>
          <w:szCs w:val="22"/>
          <w:lang w:eastAsia="en-GB"/>
        </w:rPr>
        <w:t>all</w:t>
      </w:r>
      <w:r>
        <w:rPr>
          <w:rFonts w:cs="Arial"/>
          <w:color w:val="000000"/>
          <w:sz w:val="22"/>
          <w:szCs w:val="22"/>
          <w:lang w:eastAsia="en-GB"/>
        </w:rPr>
        <w:t xml:space="preserve"> GEF’s implementing agencies, </w:t>
      </w:r>
      <w:r w:rsidRPr="000D4E67">
        <w:rPr>
          <w:rFonts w:cs="Arial"/>
          <w:iCs/>
          <w:sz w:val="22"/>
          <w:szCs w:val="22"/>
        </w:rPr>
        <w:t>including</w:t>
      </w:r>
      <w:r w:rsidR="00277BD1">
        <w:rPr>
          <w:rFonts w:cs="Arial"/>
          <w:iCs/>
          <w:sz w:val="22"/>
          <w:szCs w:val="22"/>
        </w:rPr>
        <w:t>:</w:t>
      </w:r>
    </w:p>
    <w:p w14:paraId="2197A8AE" w14:textId="77777777" w:rsidR="004F52A7" w:rsidRDefault="004F52A7" w:rsidP="00740234">
      <w:pPr>
        <w:jc w:val="both"/>
        <w:rPr>
          <w:rFonts w:cs="Arial"/>
          <w:iCs/>
          <w:sz w:val="22"/>
          <w:szCs w:val="22"/>
        </w:rPr>
      </w:pPr>
    </w:p>
    <w:p w14:paraId="522EE77D" w14:textId="77777777" w:rsidR="00277BD1" w:rsidRPr="00166855" w:rsidRDefault="00740234" w:rsidP="00166855">
      <w:pPr>
        <w:pStyle w:val="ListParagraph"/>
        <w:numPr>
          <w:ilvl w:val="0"/>
          <w:numId w:val="9"/>
        </w:numPr>
        <w:jc w:val="both"/>
        <w:rPr>
          <w:rFonts w:cs="Arial"/>
          <w:sz w:val="22"/>
          <w:szCs w:val="22"/>
        </w:rPr>
      </w:pPr>
      <w:r w:rsidRPr="00166855">
        <w:rPr>
          <w:rFonts w:cs="Arial"/>
          <w:iCs/>
          <w:sz w:val="22"/>
          <w:szCs w:val="22"/>
        </w:rPr>
        <w:t xml:space="preserve">the Minimum Fiduciary Standards for GEF Implementing and Executing </w:t>
      </w:r>
      <w:r w:rsidRPr="00166855">
        <w:rPr>
          <w:rFonts w:cs="Arial"/>
          <w:sz w:val="22"/>
          <w:szCs w:val="22"/>
        </w:rPr>
        <w:t>Agencies</w:t>
      </w:r>
      <w:r w:rsidR="00AD0316" w:rsidRPr="00166855">
        <w:rPr>
          <w:rFonts w:cs="Arial"/>
          <w:sz w:val="22"/>
          <w:szCs w:val="22"/>
        </w:rPr>
        <w:t xml:space="preserve"> and</w:t>
      </w:r>
      <w:r w:rsidR="00AD0316" w:rsidRPr="00166855">
        <w:rPr>
          <w:rFonts w:cs="Helvetica"/>
          <w:sz w:val="22"/>
          <w:szCs w:val="22"/>
          <w:lang w:val="en"/>
        </w:rPr>
        <w:t xml:space="preserve"> Minimum Fiduciary Standards on Issues Related to Anti-Money Laundering and Combating the Financing of Terrorism</w:t>
      </w:r>
      <w:r w:rsidRPr="00166855">
        <w:rPr>
          <w:rFonts w:cs="Arial"/>
          <w:sz w:val="22"/>
          <w:szCs w:val="22"/>
        </w:rPr>
        <w:t xml:space="preserve">. </w:t>
      </w:r>
    </w:p>
    <w:p w14:paraId="6C737CCD" w14:textId="77777777" w:rsidR="00277BD1" w:rsidRPr="00166855" w:rsidRDefault="00D16E34" w:rsidP="00166855">
      <w:pPr>
        <w:pStyle w:val="ListParagraph"/>
        <w:numPr>
          <w:ilvl w:val="0"/>
          <w:numId w:val="9"/>
        </w:numPr>
        <w:jc w:val="both"/>
        <w:rPr>
          <w:rFonts w:cs="Arial"/>
          <w:sz w:val="22"/>
          <w:szCs w:val="22"/>
        </w:rPr>
      </w:pPr>
      <w:r>
        <w:rPr>
          <w:rFonts w:cs="Arial"/>
          <w:sz w:val="22"/>
          <w:szCs w:val="22"/>
        </w:rPr>
        <w:t>An u</w:t>
      </w:r>
      <w:r w:rsidR="00166855" w:rsidRPr="00166855">
        <w:rPr>
          <w:rFonts w:cs="Arial"/>
          <w:sz w:val="22"/>
          <w:szCs w:val="22"/>
        </w:rPr>
        <w:t>pdated Policy on Environmental and Social Safeguards</w:t>
      </w:r>
      <w:r w:rsidR="00283CC4">
        <w:rPr>
          <w:rFonts w:cs="Arial"/>
          <w:sz w:val="22"/>
          <w:szCs w:val="22"/>
        </w:rPr>
        <w:t xml:space="preserve">. </w:t>
      </w:r>
      <w:r w:rsidR="003A6313">
        <w:rPr>
          <w:rFonts w:cs="Arial"/>
          <w:sz w:val="22"/>
          <w:szCs w:val="22"/>
        </w:rPr>
        <w:t xml:space="preserve">In June 2019 the GEF </w:t>
      </w:r>
      <w:r w:rsidR="00A133EF">
        <w:rPr>
          <w:rFonts w:cs="Arial"/>
          <w:sz w:val="22"/>
          <w:szCs w:val="22"/>
        </w:rPr>
        <w:t xml:space="preserve">Secretariat presented a paper on </w:t>
      </w:r>
      <w:r w:rsidR="003A6313" w:rsidRPr="003A6313">
        <w:rPr>
          <w:rFonts w:cs="Arial"/>
          <w:sz w:val="22"/>
          <w:szCs w:val="22"/>
        </w:rPr>
        <w:t xml:space="preserve">Informing the Council of Possible </w:t>
      </w:r>
      <w:r w:rsidR="00AA40E1" w:rsidRPr="003A6313">
        <w:rPr>
          <w:rFonts w:cs="Arial"/>
          <w:sz w:val="22"/>
          <w:szCs w:val="22"/>
        </w:rPr>
        <w:t>Non-Compliance</w:t>
      </w:r>
      <w:r w:rsidR="003A6313" w:rsidRPr="003A6313">
        <w:rPr>
          <w:rFonts w:cs="Arial"/>
          <w:sz w:val="22"/>
          <w:szCs w:val="22"/>
        </w:rPr>
        <w:t xml:space="preserve"> with Environmental and Social Safeguards</w:t>
      </w:r>
      <w:r w:rsidR="0044366B">
        <w:rPr>
          <w:rStyle w:val="FootnoteReference"/>
          <w:rFonts w:cs="Arial"/>
          <w:sz w:val="22"/>
          <w:szCs w:val="22"/>
        </w:rPr>
        <w:footnoteReference w:id="8"/>
      </w:r>
      <w:r w:rsidR="00A133EF">
        <w:rPr>
          <w:rFonts w:cs="Arial"/>
          <w:sz w:val="22"/>
          <w:szCs w:val="22"/>
        </w:rPr>
        <w:t xml:space="preserve">. </w:t>
      </w:r>
      <w:r w:rsidR="00DD1BB6">
        <w:rPr>
          <w:rFonts w:cs="Arial"/>
          <w:sz w:val="22"/>
          <w:szCs w:val="22"/>
        </w:rPr>
        <w:t xml:space="preserve">This UK </w:t>
      </w:r>
      <w:r w:rsidR="00DD1BB6" w:rsidRPr="00DD1BB6">
        <w:rPr>
          <w:rFonts w:cs="Arial"/>
          <w:sz w:val="22"/>
          <w:szCs w:val="22"/>
        </w:rPr>
        <w:t>support</w:t>
      </w:r>
      <w:r w:rsidR="00024CAB">
        <w:rPr>
          <w:rFonts w:cs="Arial"/>
          <w:sz w:val="22"/>
          <w:szCs w:val="22"/>
        </w:rPr>
        <w:t xml:space="preserve">ed the </w:t>
      </w:r>
      <w:r w:rsidR="00DD1BB6" w:rsidRPr="00DD1BB6">
        <w:rPr>
          <w:rFonts w:cs="Arial"/>
          <w:sz w:val="22"/>
          <w:szCs w:val="22"/>
        </w:rPr>
        <w:t xml:space="preserve">changes </w:t>
      </w:r>
      <w:r w:rsidR="00B0587D">
        <w:rPr>
          <w:rFonts w:cs="Arial"/>
          <w:sz w:val="22"/>
          <w:szCs w:val="22"/>
        </w:rPr>
        <w:t>recommended but highlighted that GEF needed</w:t>
      </w:r>
      <w:r w:rsidR="00DD1BB6" w:rsidRPr="00DD1BB6">
        <w:rPr>
          <w:rFonts w:cs="Arial"/>
          <w:sz w:val="22"/>
          <w:szCs w:val="22"/>
        </w:rPr>
        <w:t xml:space="preserve"> to go further, e.g. on reporting non-compliance with a reputational risk. </w:t>
      </w:r>
    </w:p>
    <w:p w14:paraId="2587AEDF" w14:textId="77777777" w:rsidR="00D16E34" w:rsidRDefault="00D16E34" w:rsidP="00740234">
      <w:pPr>
        <w:jc w:val="both"/>
        <w:rPr>
          <w:rFonts w:cs="Arial"/>
          <w:sz w:val="22"/>
          <w:szCs w:val="22"/>
        </w:rPr>
      </w:pPr>
    </w:p>
    <w:p w14:paraId="614C7827" w14:textId="77777777" w:rsidR="00740234" w:rsidRPr="00E242EB" w:rsidRDefault="00740234" w:rsidP="00D762AD">
      <w:pPr>
        <w:jc w:val="both"/>
        <w:rPr>
          <w:rFonts w:cs="Arial"/>
          <w:sz w:val="22"/>
          <w:szCs w:val="22"/>
        </w:rPr>
      </w:pPr>
      <w:r w:rsidRPr="00E242EB">
        <w:rPr>
          <w:rFonts w:cs="Arial"/>
          <w:sz w:val="22"/>
          <w:szCs w:val="22"/>
        </w:rPr>
        <w:t xml:space="preserve">As of </w:t>
      </w:r>
      <w:r w:rsidR="0048786F" w:rsidRPr="00E242EB">
        <w:rPr>
          <w:rFonts w:cs="Arial"/>
          <w:sz w:val="22"/>
          <w:szCs w:val="22"/>
        </w:rPr>
        <w:t>J</w:t>
      </w:r>
      <w:r w:rsidR="0048786F">
        <w:rPr>
          <w:rFonts w:cs="Arial"/>
          <w:sz w:val="22"/>
          <w:szCs w:val="22"/>
        </w:rPr>
        <w:t>une,</w:t>
      </w:r>
      <w:r w:rsidRPr="00E242EB">
        <w:rPr>
          <w:rFonts w:cs="Arial"/>
          <w:sz w:val="22"/>
          <w:szCs w:val="22"/>
        </w:rPr>
        <w:t xml:space="preserve"> 201</w:t>
      </w:r>
      <w:r w:rsidR="000D4E67">
        <w:rPr>
          <w:rFonts w:cs="Arial"/>
          <w:sz w:val="22"/>
          <w:szCs w:val="22"/>
        </w:rPr>
        <w:t>9</w:t>
      </w:r>
      <w:r w:rsidR="0086693E">
        <w:rPr>
          <w:rStyle w:val="FootnoteReference"/>
          <w:rFonts w:cs="Arial"/>
          <w:sz w:val="22"/>
          <w:szCs w:val="22"/>
        </w:rPr>
        <w:footnoteReference w:id="9"/>
      </w:r>
      <w:r w:rsidRPr="00E242EB">
        <w:rPr>
          <w:rFonts w:cs="Arial"/>
          <w:sz w:val="22"/>
          <w:szCs w:val="22"/>
        </w:rPr>
        <w:t xml:space="preserve"> </w:t>
      </w:r>
      <w:r w:rsidR="00D762AD">
        <w:rPr>
          <w:rFonts w:cs="Arial"/>
          <w:sz w:val="22"/>
          <w:szCs w:val="22"/>
        </w:rPr>
        <w:t>17</w:t>
      </w:r>
      <w:r w:rsidRPr="00E242EB">
        <w:rPr>
          <w:rFonts w:cs="Arial"/>
          <w:sz w:val="22"/>
          <w:szCs w:val="22"/>
        </w:rPr>
        <w:t xml:space="preserve"> GEF Implementing and Executing Agencies </w:t>
      </w:r>
      <w:r>
        <w:rPr>
          <w:rFonts w:cs="Arial"/>
          <w:sz w:val="22"/>
          <w:szCs w:val="22"/>
        </w:rPr>
        <w:t>were confirmed as meeting</w:t>
      </w:r>
      <w:r w:rsidRPr="00E242EB">
        <w:rPr>
          <w:rFonts w:cs="Arial"/>
          <w:sz w:val="22"/>
          <w:szCs w:val="22"/>
        </w:rPr>
        <w:t xml:space="preserve"> the GEF’s minimum fiduciary standards. These include requirements for Partner Agencies to conduct internal auditing in line with internationally recognised standards and to have a hotline to report incidents and a whistle-blower protection policy. </w:t>
      </w:r>
      <w:r w:rsidR="00D762AD" w:rsidRPr="00D762AD">
        <w:rPr>
          <w:rFonts w:cs="Arial"/>
          <w:sz w:val="22"/>
          <w:szCs w:val="22"/>
        </w:rPr>
        <w:t>With respect to the Inter-American Development Bank (IDB), the Council t</w:t>
      </w:r>
      <w:r w:rsidR="00D762AD">
        <w:rPr>
          <w:rFonts w:cs="Arial"/>
          <w:sz w:val="22"/>
          <w:szCs w:val="22"/>
        </w:rPr>
        <w:t>ook</w:t>
      </w:r>
      <w:r w:rsidR="00D762AD" w:rsidRPr="00D762AD">
        <w:rPr>
          <w:rFonts w:cs="Arial"/>
          <w:sz w:val="22"/>
          <w:szCs w:val="22"/>
        </w:rPr>
        <w:t xml:space="preserve"> note of Agency’s request to review its compliance in 2020,</w:t>
      </w:r>
      <w:r w:rsidR="00D762AD">
        <w:rPr>
          <w:rFonts w:cs="Arial"/>
          <w:sz w:val="22"/>
          <w:szCs w:val="22"/>
        </w:rPr>
        <w:t xml:space="preserve"> </w:t>
      </w:r>
      <w:r w:rsidR="00D762AD" w:rsidRPr="00D762AD">
        <w:rPr>
          <w:rFonts w:cs="Arial"/>
          <w:sz w:val="22"/>
          <w:szCs w:val="22"/>
        </w:rPr>
        <w:t>once its AML-CFT Framework is fully implemented.</w:t>
      </w:r>
      <w:r w:rsidR="00D762AD">
        <w:rPr>
          <w:rFonts w:cs="Arial"/>
          <w:sz w:val="22"/>
          <w:szCs w:val="22"/>
        </w:rPr>
        <w:t xml:space="preserve">  </w:t>
      </w:r>
      <w:r w:rsidR="00A237B4" w:rsidRPr="00A237B4">
        <w:rPr>
          <w:rFonts w:cs="Arial"/>
          <w:sz w:val="22"/>
          <w:szCs w:val="22"/>
        </w:rPr>
        <w:t xml:space="preserve">Council members </w:t>
      </w:r>
      <w:r w:rsidR="00F500F1">
        <w:rPr>
          <w:rFonts w:cs="Arial"/>
          <w:sz w:val="22"/>
          <w:szCs w:val="22"/>
        </w:rPr>
        <w:t xml:space="preserve">have </w:t>
      </w:r>
      <w:r w:rsidR="00A237B4" w:rsidRPr="00A237B4">
        <w:rPr>
          <w:rFonts w:cs="Arial"/>
          <w:sz w:val="22"/>
          <w:szCs w:val="22"/>
        </w:rPr>
        <w:t>emphasi</w:t>
      </w:r>
      <w:r w:rsidR="00F500F1">
        <w:rPr>
          <w:rFonts w:cs="Arial"/>
          <w:sz w:val="22"/>
          <w:szCs w:val="22"/>
        </w:rPr>
        <w:t>s</w:t>
      </w:r>
      <w:r w:rsidR="00A237B4" w:rsidRPr="00A237B4">
        <w:rPr>
          <w:rFonts w:cs="Arial"/>
          <w:sz w:val="22"/>
          <w:szCs w:val="22"/>
        </w:rPr>
        <w:t xml:space="preserve">ed the urgency of this issue and </w:t>
      </w:r>
      <w:r w:rsidR="00F500F1">
        <w:rPr>
          <w:rFonts w:cs="Arial"/>
          <w:sz w:val="22"/>
          <w:szCs w:val="22"/>
        </w:rPr>
        <w:t xml:space="preserve">have </w:t>
      </w:r>
      <w:r w:rsidR="00A237B4" w:rsidRPr="00A237B4">
        <w:rPr>
          <w:rFonts w:cs="Arial"/>
          <w:sz w:val="22"/>
          <w:szCs w:val="22"/>
        </w:rPr>
        <w:t xml:space="preserve">requested </w:t>
      </w:r>
      <w:r w:rsidR="00B602F0">
        <w:rPr>
          <w:rFonts w:cs="Arial"/>
          <w:sz w:val="22"/>
          <w:szCs w:val="22"/>
        </w:rPr>
        <w:t xml:space="preserve">a </w:t>
      </w:r>
      <w:r w:rsidR="00477A13">
        <w:rPr>
          <w:rFonts w:cs="Arial"/>
          <w:sz w:val="22"/>
          <w:szCs w:val="22"/>
        </w:rPr>
        <w:t>third</w:t>
      </w:r>
      <w:r w:rsidR="00477A13" w:rsidRPr="00A237B4">
        <w:rPr>
          <w:rFonts w:cs="Arial"/>
          <w:sz w:val="22"/>
          <w:szCs w:val="22"/>
        </w:rPr>
        <w:t>-party</w:t>
      </w:r>
      <w:r w:rsidR="00A237B4" w:rsidRPr="00A237B4">
        <w:rPr>
          <w:rFonts w:cs="Arial"/>
          <w:sz w:val="22"/>
          <w:szCs w:val="22"/>
        </w:rPr>
        <w:t xml:space="preserve"> comprehensive assessment on the Agencies’ compliance as a pro-active management measurement to prevent any possible reputational risks.</w:t>
      </w:r>
      <w:r w:rsidR="00A237B4">
        <w:rPr>
          <w:rFonts w:cs="Arial"/>
          <w:sz w:val="22"/>
          <w:szCs w:val="22"/>
        </w:rPr>
        <w:t xml:space="preserve"> </w:t>
      </w:r>
      <w:r w:rsidR="00B602F0">
        <w:rPr>
          <w:rFonts w:cs="Arial"/>
          <w:sz w:val="22"/>
          <w:szCs w:val="22"/>
        </w:rPr>
        <w:t xml:space="preserve"> </w:t>
      </w:r>
      <w:r w:rsidRPr="00E242EB">
        <w:rPr>
          <w:rFonts w:cs="Arial"/>
          <w:sz w:val="22"/>
          <w:szCs w:val="22"/>
        </w:rPr>
        <w:t>Financial risks are managed by the World Bank as Trustee, which is</w:t>
      </w:r>
      <w:r w:rsidR="00892ADC">
        <w:rPr>
          <w:rFonts w:cs="Arial"/>
          <w:sz w:val="22"/>
          <w:szCs w:val="22"/>
        </w:rPr>
        <w:t xml:space="preserve"> </w:t>
      </w:r>
      <w:r w:rsidRPr="00E242EB">
        <w:rPr>
          <w:rFonts w:cs="Arial"/>
          <w:sz w:val="22"/>
          <w:szCs w:val="22"/>
        </w:rPr>
        <w:t xml:space="preserve">considered to be a low-risk partner for </w:t>
      </w:r>
      <w:r>
        <w:rPr>
          <w:rFonts w:cs="Arial"/>
          <w:sz w:val="22"/>
          <w:szCs w:val="22"/>
        </w:rPr>
        <w:t xml:space="preserve">the UK.  The World Bank </w:t>
      </w:r>
      <w:r w:rsidRPr="00E242EB">
        <w:rPr>
          <w:rFonts w:cs="Arial"/>
          <w:sz w:val="22"/>
          <w:szCs w:val="22"/>
        </w:rPr>
        <w:t>provides financial reporting for the UK Council member</w:t>
      </w:r>
      <w:r>
        <w:rPr>
          <w:rFonts w:cs="Arial"/>
          <w:sz w:val="22"/>
          <w:szCs w:val="22"/>
        </w:rPr>
        <w:t xml:space="preserve"> and advisor</w:t>
      </w:r>
      <w:r w:rsidRPr="00E242EB">
        <w:rPr>
          <w:rFonts w:cs="Arial"/>
          <w:sz w:val="22"/>
          <w:szCs w:val="22"/>
        </w:rPr>
        <w:t>’s review at each biannual Council meeting.</w:t>
      </w:r>
      <w:r w:rsidR="00887420">
        <w:rPr>
          <w:rFonts w:cs="Arial"/>
          <w:sz w:val="22"/>
          <w:szCs w:val="22"/>
        </w:rPr>
        <w:t xml:space="preserve"> </w:t>
      </w:r>
      <w:r w:rsidR="00887420" w:rsidRPr="00887420">
        <w:rPr>
          <w:rFonts w:cs="Arial"/>
          <w:sz w:val="22"/>
          <w:szCs w:val="22"/>
        </w:rPr>
        <w:tab/>
      </w:r>
    </w:p>
    <w:p w14:paraId="4DAA5386" w14:textId="77777777" w:rsidR="00E70B2C" w:rsidRPr="00F70DBE" w:rsidRDefault="00E70B2C" w:rsidP="00E70B2C">
      <w:pPr>
        <w:rPr>
          <w:rFonts w:cs="Arial"/>
          <w:sz w:val="22"/>
          <w:szCs w:val="22"/>
        </w:rPr>
      </w:pPr>
    </w:p>
    <w:p w14:paraId="1A530FFA" w14:textId="77777777" w:rsidR="00560EB7" w:rsidRDefault="00560EB7" w:rsidP="00560EB7">
      <w:pPr>
        <w:jc w:val="both"/>
        <w:rPr>
          <w:rFonts w:cs="Arial"/>
          <w:sz w:val="22"/>
          <w:szCs w:val="22"/>
          <w:lang w:val="en-US" w:eastAsia="en-GB"/>
        </w:rPr>
      </w:pPr>
      <w:r>
        <w:rPr>
          <w:rFonts w:cs="Arial"/>
          <w:sz w:val="22"/>
          <w:szCs w:val="22"/>
        </w:rPr>
        <w:t xml:space="preserve">Alongside these various measures of risk control, it was identified at the last GEF Annual Review that the GEF would also benefit from an over-arching internal risk framework, which would allow mutual understanding of the status of various operational or strategic risks across the GEF’s network, as well as of the risk tolerance levels within the GEF. This was pursued as part of the 2017 Due Diligence update and at the </w:t>
      </w:r>
      <w:r>
        <w:rPr>
          <w:rFonts w:cs="Arial"/>
          <w:sz w:val="22"/>
          <w:szCs w:val="22"/>
          <w:lang w:val="en-US" w:eastAsia="en-GB"/>
        </w:rPr>
        <w:t>GEF Council meeting in May 2018.</w:t>
      </w:r>
      <w:r>
        <w:rPr>
          <w:sz w:val="22"/>
          <w:szCs w:val="22"/>
        </w:rPr>
        <w:t xml:space="preserve"> The </w:t>
      </w:r>
      <w:r>
        <w:rPr>
          <w:rFonts w:cs="Arial"/>
          <w:sz w:val="22"/>
          <w:szCs w:val="22"/>
          <w:lang w:val="en-US" w:eastAsia="en-GB"/>
        </w:rPr>
        <w:t xml:space="preserve">GEF Secretariat acknowledges the benefit of an overarching policy.  This will contribute towards the GEF’s risk management capabilities and is therefore one of the UK’s priorities to </w:t>
      </w:r>
      <w:r w:rsidR="002D1562">
        <w:rPr>
          <w:rFonts w:cs="Arial"/>
          <w:sz w:val="22"/>
          <w:szCs w:val="22"/>
          <w:lang w:val="en-US" w:eastAsia="en-GB"/>
        </w:rPr>
        <w:t>pursue</w:t>
      </w:r>
      <w:r w:rsidR="00C61B0C">
        <w:rPr>
          <w:rFonts w:cs="Arial"/>
          <w:sz w:val="22"/>
          <w:szCs w:val="22"/>
          <w:lang w:val="en-US" w:eastAsia="en-GB"/>
        </w:rPr>
        <w:t xml:space="preserve"> in</w:t>
      </w:r>
      <w:r>
        <w:rPr>
          <w:rFonts w:cs="Arial"/>
          <w:sz w:val="22"/>
          <w:szCs w:val="22"/>
          <w:lang w:val="en-US" w:eastAsia="en-GB"/>
        </w:rPr>
        <w:t xml:space="preserve"> GEF 7.</w:t>
      </w:r>
    </w:p>
    <w:p w14:paraId="7F98AA8E" w14:textId="77777777" w:rsidR="00560EB7" w:rsidRDefault="00560EB7" w:rsidP="00560EB7">
      <w:pPr>
        <w:jc w:val="both"/>
        <w:rPr>
          <w:rFonts w:cs="Arial"/>
          <w:sz w:val="22"/>
          <w:szCs w:val="22"/>
          <w:lang w:val="en-US" w:eastAsia="en-GB"/>
        </w:rPr>
      </w:pPr>
    </w:p>
    <w:p w14:paraId="1ED40765" w14:textId="77777777" w:rsidR="00560EB7" w:rsidRDefault="00560EB7" w:rsidP="00560EB7">
      <w:pPr>
        <w:jc w:val="both"/>
        <w:rPr>
          <w:rFonts w:cs="Arial"/>
          <w:sz w:val="22"/>
          <w:szCs w:val="22"/>
        </w:rPr>
      </w:pPr>
      <w:r>
        <w:rPr>
          <w:rFonts w:cs="Arial"/>
          <w:sz w:val="22"/>
          <w:szCs w:val="22"/>
          <w:lang w:val="en-US" w:eastAsia="en-GB"/>
        </w:rPr>
        <w:t xml:space="preserve">The </w:t>
      </w:r>
      <w:r>
        <w:rPr>
          <w:rFonts w:cs="Arial"/>
          <w:iCs/>
          <w:sz w:val="22"/>
          <w:szCs w:val="22"/>
          <w:lang w:val="en-US" w:eastAsia="en-GB"/>
        </w:rPr>
        <w:t>Policy on Ethics and Conflict of Interest for Council Members, Alternates, and Advisers</w:t>
      </w:r>
      <w:r>
        <w:rPr>
          <w:rFonts w:cs="Arial"/>
          <w:sz w:val="22"/>
          <w:szCs w:val="22"/>
          <w:lang w:val="en-US" w:eastAsia="en-GB"/>
        </w:rPr>
        <w:t xml:space="preserve"> was adopted in 2017, and an Ethics Committee has been appointed to oversee its implementation. </w:t>
      </w:r>
    </w:p>
    <w:p w14:paraId="472C6045" w14:textId="77777777" w:rsidR="00560EB7" w:rsidRDefault="00560EB7" w:rsidP="00560EB7">
      <w:pPr>
        <w:jc w:val="both"/>
        <w:rPr>
          <w:rFonts w:cs="Arial"/>
          <w:sz w:val="22"/>
          <w:szCs w:val="22"/>
        </w:rPr>
      </w:pPr>
    </w:p>
    <w:p w14:paraId="0C7601D9" w14:textId="77777777" w:rsidR="00B95424" w:rsidRDefault="00560EB7" w:rsidP="006B2A91">
      <w:pPr>
        <w:pStyle w:val="Default"/>
        <w:jc w:val="both"/>
        <w:rPr>
          <w:rFonts w:ascii="Arial" w:hAnsi="Arial" w:cs="Arial"/>
          <w:sz w:val="22"/>
          <w:szCs w:val="22"/>
        </w:rPr>
      </w:pPr>
      <w:r>
        <w:rPr>
          <w:rFonts w:ascii="Arial" w:hAnsi="Arial" w:cs="Arial"/>
          <w:sz w:val="22"/>
          <w:szCs w:val="22"/>
        </w:rPr>
        <w:t xml:space="preserve">The risk register for </w:t>
      </w:r>
      <w:r w:rsidR="001E1AE3">
        <w:rPr>
          <w:rFonts w:ascii="Arial" w:hAnsi="Arial" w:cs="Arial"/>
          <w:sz w:val="22"/>
          <w:szCs w:val="22"/>
        </w:rPr>
        <w:t>GEF</w:t>
      </w:r>
      <w:r>
        <w:rPr>
          <w:rFonts w:ascii="Arial" w:hAnsi="Arial" w:cs="Arial"/>
          <w:sz w:val="22"/>
          <w:szCs w:val="22"/>
        </w:rPr>
        <w:t xml:space="preserve"> has been maintained since the Business Case risk assessment and aligned with the new DFID risk management framework. </w:t>
      </w:r>
      <w:r w:rsidR="00DB42D5">
        <w:rPr>
          <w:rFonts w:ascii="Arial" w:hAnsi="Arial" w:cs="Arial"/>
          <w:sz w:val="22"/>
          <w:szCs w:val="22"/>
        </w:rPr>
        <w:t>T</w:t>
      </w:r>
      <w:r w:rsidR="00432141">
        <w:rPr>
          <w:rFonts w:ascii="Arial" w:hAnsi="Arial" w:cs="Arial"/>
          <w:sz w:val="22"/>
          <w:szCs w:val="22"/>
        </w:rPr>
        <w:t>wo</w:t>
      </w:r>
      <w:r w:rsidR="00DB42D5">
        <w:rPr>
          <w:rFonts w:ascii="Arial" w:hAnsi="Arial" w:cs="Arial"/>
          <w:sz w:val="22"/>
          <w:szCs w:val="22"/>
        </w:rPr>
        <w:t xml:space="preserve"> </w:t>
      </w:r>
      <w:r>
        <w:rPr>
          <w:rFonts w:ascii="Arial" w:hAnsi="Arial" w:cs="Arial"/>
          <w:sz w:val="22"/>
          <w:szCs w:val="22"/>
        </w:rPr>
        <w:t>of the components assessed exceed moderate</w:t>
      </w:r>
      <w:r w:rsidR="00E57CEA">
        <w:rPr>
          <w:rFonts w:ascii="Arial" w:hAnsi="Arial" w:cs="Arial"/>
          <w:sz w:val="22"/>
          <w:szCs w:val="22"/>
        </w:rPr>
        <w:t xml:space="preserve"> and the follow</w:t>
      </w:r>
      <w:r w:rsidR="002E59CE">
        <w:rPr>
          <w:rFonts w:ascii="Arial" w:hAnsi="Arial" w:cs="Arial"/>
          <w:sz w:val="22"/>
          <w:szCs w:val="22"/>
        </w:rPr>
        <w:t xml:space="preserve">ing mitigation actions </w:t>
      </w:r>
      <w:r w:rsidR="00C05182">
        <w:rPr>
          <w:rFonts w:ascii="Arial" w:hAnsi="Arial" w:cs="Arial"/>
          <w:sz w:val="22"/>
          <w:szCs w:val="22"/>
        </w:rPr>
        <w:t>have been</w:t>
      </w:r>
      <w:r w:rsidR="004958DA">
        <w:rPr>
          <w:rFonts w:ascii="Arial" w:hAnsi="Arial" w:cs="Arial"/>
          <w:sz w:val="22"/>
          <w:szCs w:val="22"/>
        </w:rPr>
        <w:t xml:space="preserve"> taken</w:t>
      </w:r>
      <w:r w:rsidR="002E59CE">
        <w:rPr>
          <w:rFonts w:ascii="Arial" w:hAnsi="Arial" w:cs="Arial"/>
          <w:sz w:val="22"/>
          <w:szCs w:val="22"/>
        </w:rPr>
        <w:t>.</w:t>
      </w:r>
      <w:r>
        <w:rPr>
          <w:rFonts w:ascii="Arial" w:hAnsi="Arial" w:cs="Arial"/>
          <w:sz w:val="22"/>
          <w:szCs w:val="22"/>
        </w:rPr>
        <w:t xml:space="preserve"> </w:t>
      </w:r>
    </w:p>
    <w:p w14:paraId="26319FF3" w14:textId="77777777" w:rsidR="009153DE" w:rsidRDefault="009153DE" w:rsidP="006B2A91">
      <w:pPr>
        <w:pStyle w:val="Default"/>
        <w:jc w:val="both"/>
        <w:rPr>
          <w:rFonts w:ascii="Arial" w:hAnsi="Arial" w:cs="Arial"/>
          <w:sz w:val="22"/>
          <w:szCs w:val="22"/>
        </w:rPr>
      </w:pPr>
    </w:p>
    <w:p w14:paraId="58D1F701" w14:textId="77777777" w:rsidR="009153DE" w:rsidRDefault="009153DE" w:rsidP="004C2518">
      <w:pPr>
        <w:pStyle w:val="Default"/>
        <w:numPr>
          <w:ilvl w:val="0"/>
          <w:numId w:val="17"/>
        </w:numPr>
        <w:jc w:val="both"/>
        <w:rPr>
          <w:rFonts w:ascii="Arial" w:hAnsi="Arial" w:cs="Arial"/>
          <w:sz w:val="22"/>
          <w:szCs w:val="22"/>
        </w:rPr>
      </w:pPr>
      <w:r w:rsidRPr="004C2518">
        <w:rPr>
          <w:rFonts w:ascii="Arial" w:hAnsi="Arial" w:cs="Arial"/>
          <w:sz w:val="22"/>
          <w:szCs w:val="22"/>
          <w:u w:val="single"/>
        </w:rPr>
        <w:t>S</w:t>
      </w:r>
      <w:r w:rsidR="00AA6D44" w:rsidRPr="004C2518">
        <w:rPr>
          <w:rFonts w:ascii="Arial" w:hAnsi="Arial" w:cs="Arial"/>
          <w:sz w:val="22"/>
          <w:szCs w:val="22"/>
          <w:u w:val="single"/>
        </w:rPr>
        <w:t xml:space="preserve">low progress on programming on Ozone-Depleting </w:t>
      </w:r>
      <w:r w:rsidR="00AA6D44" w:rsidRPr="000514E5">
        <w:rPr>
          <w:rFonts w:ascii="Arial" w:hAnsi="Arial" w:cs="Arial"/>
          <w:sz w:val="22"/>
          <w:szCs w:val="22"/>
          <w:u w:val="single"/>
        </w:rPr>
        <w:t xml:space="preserve">Substances </w:t>
      </w:r>
      <w:r w:rsidR="00285273" w:rsidRPr="000514E5">
        <w:rPr>
          <w:rFonts w:ascii="Arial" w:hAnsi="Arial" w:cs="Arial"/>
          <w:sz w:val="22"/>
          <w:szCs w:val="22"/>
          <w:u w:val="single"/>
        </w:rPr>
        <w:t>(ODS)</w:t>
      </w:r>
      <w:r w:rsidR="00654537">
        <w:rPr>
          <w:rFonts w:ascii="Arial" w:hAnsi="Arial" w:cs="Arial"/>
          <w:sz w:val="22"/>
          <w:szCs w:val="22"/>
        </w:rPr>
        <w:t xml:space="preserve"> -</w:t>
      </w:r>
      <w:r w:rsidR="00B27D01">
        <w:rPr>
          <w:rFonts w:ascii="Arial" w:hAnsi="Arial" w:cs="Arial"/>
          <w:sz w:val="22"/>
          <w:szCs w:val="22"/>
        </w:rPr>
        <w:t xml:space="preserve"> during GEF</w:t>
      </w:r>
      <w:r w:rsidR="000D13DA">
        <w:rPr>
          <w:rFonts w:ascii="Arial" w:hAnsi="Arial" w:cs="Arial"/>
          <w:sz w:val="22"/>
          <w:szCs w:val="22"/>
        </w:rPr>
        <w:t xml:space="preserve"> </w:t>
      </w:r>
      <w:r w:rsidR="00B27D01">
        <w:rPr>
          <w:rFonts w:ascii="Arial" w:hAnsi="Arial" w:cs="Arial"/>
          <w:sz w:val="22"/>
          <w:szCs w:val="22"/>
        </w:rPr>
        <w:t xml:space="preserve">6, there were delays in the implementation of </w:t>
      </w:r>
      <w:r w:rsidR="00B270F1">
        <w:rPr>
          <w:rFonts w:ascii="Arial" w:hAnsi="Arial" w:cs="Arial"/>
          <w:sz w:val="22"/>
          <w:szCs w:val="22"/>
        </w:rPr>
        <w:t xml:space="preserve">activities to address Ozone Depleting Substances in line with GEF’s role under the Montreal Protocol.  </w:t>
      </w:r>
      <w:r w:rsidR="00B210CD">
        <w:rPr>
          <w:rFonts w:ascii="Arial" w:hAnsi="Arial" w:cs="Arial"/>
          <w:sz w:val="22"/>
          <w:szCs w:val="22"/>
        </w:rPr>
        <w:t>This was based on a change in the countries targeted by this programme</w:t>
      </w:r>
      <w:r w:rsidR="00FC4896">
        <w:rPr>
          <w:rFonts w:ascii="Arial" w:hAnsi="Arial" w:cs="Arial"/>
          <w:sz w:val="22"/>
          <w:szCs w:val="22"/>
        </w:rPr>
        <w:t xml:space="preserve"> during the replenishment period.  During </w:t>
      </w:r>
      <w:r w:rsidR="00A060A2">
        <w:rPr>
          <w:rFonts w:ascii="Arial" w:hAnsi="Arial" w:cs="Arial"/>
          <w:sz w:val="22"/>
          <w:szCs w:val="22"/>
        </w:rPr>
        <w:t>GEF</w:t>
      </w:r>
      <w:r w:rsidR="000D13DA">
        <w:rPr>
          <w:rFonts w:ascii="Arial" w:hAnsi="Arial" w:cs="Arial"/>
          <w:sz w:val="22"/>
          <w:szCs w:val="22"/>
        </w:rPr>
        <w:t>7</w:t>
      </w:r>
      <w:r w:rsidR="00FC4896">
        <w:rPr>
          <w:rFonts w:ascii="Arial" w:hAnsi="Arial" w:cs="Arial"/>
          <w:sz w:val="22"/>
          <w:szCs w:val="22"/>
        </w:rPr>
        <w:t xml:space="preserve"> </w:t>
      </w:r>
      <w:r w:rsidR="00285273">
        <w:rPr>
          <w:rFonts w:ascii="Arial" w:hAnsi="Arial" w:cs="Arial"/>
          <w:sz w:val="22"/>
          <w:szCs w:val="22"/>
        </w:rPr>
        <w:t>$23m has been allocated to tackling ODS</w:t>
      </w:r>
      <w:r w:rsidR="0056737E">
        <w:rPr>
          <w:rFonts w:ascii="Arial" w:hAnsi="Arial" w:cs="Arial"/>
          <w:sz w:val="22"/>
          <w:szCs w:val="22"/>
        </w:rPr>
        <w:t xml:space="preserve">.  As of </w:t>
      </w:r>
      <w:r w:rsidR="004A6DBC">
        <w:rPr>
          <w:rFonts w:ascii="Arial" w:hAnsi="Arial" w:cs="Arial"/>
          <w:sz w:val="22"/>
          <w:szCs w:val="22"/>
        </w:rPr>
        <w:t>June 2019,</w:t>
      </w:r>
      <w:r w:rsidR="0056737E">
        <w:rPr>
          <w:rFonts w:ascii="Arial" w:hAnsi="Arial" w:cs="Arial"/>
          <w:sz w:val="22"/>
          <w:szCs w:val="22"/>
        </w:rPr>
        <w:t xml:space="preserve"> none of this resource has yet been programmed, and we will continue to track progress, although the risk present </w:t>
      </w:r>
      <w:r w:rsidR="00887A1B">
        <w:rPr>
          <w:rFonts w:ascii="Arial" w:hAnsi="Arial" w:cs="Arial"/>
          <w:sz w:val="22"/>
          <w:szCs w:val="22"/>
        </w:rPr>
        <w:t>during GEF</w:t>
      </w:r>
      <w:r w:rsidR="000D13DA">
        <w:rPr>
          <w:rFonts w:ascii="Arial" w:hAnsi="Arial" w:cs="Arial"/>
          <w:sz w:val="22"/>
          <w:szCs w:val="22"/>
        </w:rPr>
        <w:t xml:space="preserve"> </w:t>
      </w:r>
      <w:r w:rsidR="00887A1B">
        <w:rPr>
          <w:rFonts w:ascii="Arial" w:hAnsi="Arial" w:cs="Arial"/>
          <w:sz w:val="22"/>
          <w:szCs w:val="22"/>
        </w:rPr>
        <w:t xml:space="preserve">6 no longer applies and this risk can be removed from the risk register.  </w:t>
      </w:r>
    </w:p>
    <w:p w14:paraId="09FDD761" w14:textId="77777777" w:rsidR="00560EB7" w:rsidRDefault="00887A1B" w:rsidP="004C2518">
      <w:pPr>
        <w:pStyle w:val="Default"/>
        <w:numPr>
          <w:ilvl w:val="0"/>
          <w:numId w:val="17"/>
        </w:numPr>
        <w:jc w:val="both"/>
        <w:rPr>
          <w:rFonts w:ascii="Arial" w:hAnsi="Arial" w:cs="Arial"/>
          <w:sz w:val="22"/>
          <w:szCs w:val="22"/>
        </w:rPr>
      </w:pPr>
      <w:r w:rsidRPr="004C2518">
        <w:rPr>
          <w:rFonts w:ascii="Arial" w:hAnsi="Arial" w:cs="Arial"/>
          <w:sz w:val="22"/>
          <w:szCs w:val="22"/>
          <w:u w:val="single"/>
        </w:rPr>
        <w:t>Exchange Rate Volatility</w:t>
      </w:r>
      <w:r w:rsidR="000514E5" w:rsidRPr="009B15F5">
        <w:rPr>
          <w:rFonts w:ascii="Arial" w:hAnsi="Arial" w:cs="Arial"/>
          <w:sz w:val="22"/>
          <w:szCs w:val="22"/>
        </w:rPr>
        <w:t xml:space="preserve"> -</w:t>
      </w:r>
      <w:r w:rsidR="001F4BD1" w:rsidRPr="009B15F5">
        <w:rPr>
          <w:rFonts w:ascii="Arial" w:hAnsi="Arial" w:cs="Arial"/>
          <w:sz w:val="22"/>
          <w:szCs w:val="22"/>
        </w:rPr>
        <w:t xml:space="preserve"> </w:t>
      </w:r>
      <w:r w:rsidR="001F4BD1">
        <w:rPr>
          <w:rFonts w:ascii="Arial" w:hAnsi="Arial" w:cs="Arial"/>
          <w:sz w:val="22"/>
          <w:szCs w:val="22"/>
        </w:rPr>
        <w:t>concern was raised due to a strengthening US dollar during the GEF6 replenishment period leading to a shortfall in resources</w:t>
      </w:r>
      <w:r w:rsidR="006B2A91">
        <w:rPr>
          <w:rFonts w:ascii="Arial" w:hAnsi="Arial" w:cs="Arial"/>
          <w:sz w:val="22"/>
          <w:szCs w:val="22"/>
        </w:rPr>
        <w:t>.  In response during the replenishment negotiations</w:t>
      </w:r>
      <w:r w:rsidR="005E5C5D">
        <w:rPr>
          <w:rFonts w:ascii="Arial" w:hAnsi="Arial" w:cs="Arial"/>
          <w:sz w:val="22"/>
          <w:szCs w:val="22"/>
        </w:rPr>
        <w:t xml:space="preserve"> for </w:t>
      </w:r>
      <w:r w:rsidR="00A060A2">
        <w:rPr>
          <w:rFonts w:ascii="Arial" w:hAnsi="Arial" w:cs="Arial"/>
          <w:sz w:val="22"/>
          <w:szCs w:val="22"/>
        </w:rPr>
        <w:t>GEF7</w:t>
      </w:r>
      <w:r w:rsidR="006A1701">
        <w:rPr>
          <w:rFonts w:ascii="Arial" w:hAnsi="Arial" w:cs="Arial"/>
          <w:sz w:val="22"/>
          <w:szCs w:val="22"/>
        </w:rPr>
        <w:t>,</w:t>
      </w:r>
      <w:r w:rsidR="006B2A91">
        <w:rPr>
          <w:rFonts w:ascii="Arial" w:hAnsi="Arial" w:cs="Arial"/>
          <w:sz w:val="22"/>
          <w:szCs w:val="22"/>
        </w:rPr>
        <w:t xml:space="preserve"> the GEF </w:t>
      </w:r>
      <w:r w:rsidR="006B2A91" w:rsidRPr="006B2A91">
        <w:rPr>
          <w:rFonts w:ascii="Arial" w:hAnsi="Arial" w:cs="Arial"/>
          <w:sz w:val="22"/>
          <w:szCs w:val="22"/>
        </w:rPr>
        <w:t>Trustee presented options to</w:t>
      </w:r>
      <w:r w:rsidR="00214FF2">
        <w:rPr>
          <w:rFonts w:ascii="Arial" w:hAnsi="Arial" w:cs="Arial"/>
          <w:sz w:val="22"/>
          <w:szCs w:val="22"/>
        </w:rPr>
        <w:t xml:space="preserve"> </w:t>
      </w:r>
      <w:r w:rsidR="006B2A91" w:rsidRPr="006B2A91">
        <w:rPr>
          <w:rFonts w:ascii="Arial" w:hAnsi="Arial" w:cs="Arial"/>
          <w:sz w:val="22"/>
          <w:szCs w:val="22"/>
        </w:rPr>
        <w:t xml:space="preserve">manage </w:t>
      </w:r>
      <w:r w:rsidR="00214FF2">
        <w:rPr>
          <w:rFonts w:ascii="Arial" w:hAnsi="Arial" w:cs="Arial"/>
          <w:sz w:val="22"/>
          <w:szCs w:val="22"/>
        </w:rPr>
        <w:t>foreign exchange</w:t>
      </w:r>
      <w:r w:rsidR="006B2A91" w:rsidRPr="006B2A91">
        <w:rPr>
          <w:rFonts w:ascii="Arial" w:hAnsi="Arial" w:cs="Arial"/>
          <w:sz w:val="22"/>
          <w:szCs w:val="22"/>
        </w:rPr>
        <w:t xml:space="preserve"> risk, including the option of hedging and the option to introduce a second operating currency.</w:t>
      </w:r>
      <w:r w:rsidR="00214FF2">
        <w:rPr>
          <w:rFonts w:ascii="Arial" w:hAnsi="Arial" w:cs="Arial"/>
          <w:sz w:val="22"/>
          <w:szCs w:val="22"/>
        </w:rPr>
        <w:t xml:space="preserve">  The </w:t>
      </w:r>
      <w:r w:rsidR="00214FF2">
        <w:rPr>
          <w:rFonts w:ascii="Arial" w:hAnsi="Arial" w:cs="Arial"/>
          <w:sz w:val="22"/>
          <w:szCs w:val="22"/>
        </w:rPr>
        <w:lastRenderedPageBreak/>
        <w:t xml:space="preserve">conclusion of these discussions was to accept the risk arising </w:t>
      </w:r>
      <w:r w:rsidR="00AE0806">
        <w:rPr>
          <w:rFonts w:ascii="Arial" w:hAnsi="Arial" w:cs="Arial"/>
          <w:sz w:val="22"/>
          <w:szCs w:val="22"/>
        </w:rPr>
        <w:t xml:space="preserve">from exchange rate volatility noting the role of the </w:t>
      </w:r>
      <w:r w:rsidR="000C7DEA">
        <w:rPr>
          <w:rFonts w:ascii="Arial" w:hAnsi="Arial" w:cs="Arial"/>
          <w:sz w:val="22"/>
          <w:szCs w:val="22"/>
        </w:rPr>
        <w:t xml:space="preserve">World Bank’s trust fund pool in hedging and the </w:t>
      </w:r>
      <w:r w:rsidR="00752516">
        <w:rPr>
          <w:rFonts w:ascii="Arial" w:hAnsi="Arial" w:cs="Arial"/>
          <w:sz w:val="22"/>
          <w:szCs w:val="22"/>
        </w:rPr>
        <w:t xml:space="preserve">transaction costs of pursuing other hedging options.  </w:t>
      </w:r>
    </w:p>
    <w:p w14:paraId="6A3C5AEF" w14:textId="77777777" w:rsidR="00DB42D5" w:rsidRDefault="00DB42D5" w:rsidP="00560EB7">
      <w:pPr>
        <w:pStyle w:val="Default"/>
        <w:jc w:val="both"/>
        <w:rPr>
          <w:rFonts w:ascii="Arial" w:hAnsi="Arial" w:cs="Arial"/>
          <w:sz w:val="22"/>
          <w:szCs w:val="22"/>
        </w:rPr>
      </w:pPr>
    </w:p>
    <w:p w14:paraId="28797398" w14:textId="77777777" w:rsidR="00D62DDB" w:rsidRDefault="00D62DDB" w:rsidP="00E70B2C">
      <w:pPr>
        <w:rPr>
          <w:rFonts w:cs="Arial"/>
          <w:sz w:val="22"/>
          <w:szCs w:val="22"/>
        </w:rPr>
      </w:pPr>
    </w:p>
    <w:p w14:paraId="56544FDB" w14:textId="77777777" w:rsidR="00E70B2C" w:rsidRPr="00F70DBE" w:rsidRDefault="00E70B2C" w:rsidP="00E70B2C">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sz w:val="20"/>
          <w:szCs w:val="20"/>
        </w:rPr>
      </w:pPr>
      <w:r w:rsidRPr="00F70DBE">
        <w:rPr>
          <w:b/>
          <w:sz w:val="28"/>
          <w:szCs w:val="22"/>
        </w:rPr>
        <w:t xml:space="preserve">F: </w:t>
      </w:r>
      <w:r w:rsidR="00B10B18">
        <w:rPr>
          <w:b/>
          <w:sz w:val="28"/>
          <w:szCs w:val="22"/>
        </w:rPr>
        <w:t xml:space="preserve">DELIVERY, </w:t>
      </w:r>
      <w:r>
        <w:rPr>
          <w:b/>
          <w:sz w:val="28"/>
          <w:szCs w:val="22"/>
        </w:rPr>
        <w:t>COMMERCIAL</w:t>
      </w:r>
      <w:r w:rsidR="00B10B18">
        <w:rPr>
          <w:b/>
          <w:sz w:val="28"/>
          <w:szCs w:val="22"/>
        </w:rPr>
        <w:t xml:space="preserve"> &amp; FINANCIAL</w:t>
      </w:r>
      <w:r>
        <w:rPr>
          <w:b/>
          <w:sz w:val="28"/>
          <w:szCs w:val="22"/>
        </w:rPr>
        <w:t xml:space="preserve"> PERFORMANCE</w:t>
      </w:r>
    </w:p>
    <w:p w14:paraId="7B8862E4" w14:textId="77777777" w:rsidR="00E70B2C" w:rsidRPr="00F70DBE" w:rsidRDefault="00E70B2C" w:rsidP="00E70B2C">
      <w:pPr>
        <w:rPr>
          <w:rFonts w:cs="Arial"/>
          <w:b/>
          <w:sz w:val="22"/>
          <w:szCs w:val="22"/>
        </w:rPr>
      </w:pPr>
    </w:p>
    <w:p w14:paraId="3A46B8F8" w14:textId="77777777" w:rsidR="00E70B2C" w:rsidRPr="00F70DBE" w:rsidRDefault="005355ED" w:rsidP="00E70B2C">
      <w:pPr>
        <w:rPr>
          <w:rFonts w:cs="Arial"/>
          <w:b/>
          <w:bCs/>
          <w:sz w:val="22"/>
          <w:szCs w:val="22"/>
        </w:rPr>
      </w:pPr>
      <w:r>
        <w:rPr>
          <w:rFonts w:cs="Arial"/>
          <w:b/>
          <w:bCs/>
          <w:sz w:val="22"/>
          <w:szCs w:val="22"/>
        </w:rPr>
        <w:t>Performance of partners</w:t>
      </w:r>
      <w:r w:rsidR="00B10B18">
        <w:rPr>
          <w:rFonts w:cs="Arial"/>
          <w:b/>
          <w:bCs/>
          <w:sz w:val="22"/>
          <w:szCs w:val="22"/>
        </w:rPr>
        <w:t xml:space="preserve"> and DFID,</w:t>
      </w:r>
      <w:r w:rsidR="00E70B2C">
        <w:rPr>
          <w:rFonts w:cs="Arial"/>
          <w:b/>
          <w:bCs/>
          <w:sz w:val="22"/>
          <w:szCs w:val="22"/>
        </w:rPr>
        <w:t xml:space="preserve"> </w:t>
      </w:r>
      <w:r w:rsidR="00B10B18">
        <w:rPr>
          <w:rFonts w:cs="Arial"/>
          <w:b/>
          <w:bCs/>
          <w:sz w:val="22"/>
          <w:szCs w:val="22"/>
        </w:rPr>
        <w:t xml:space="preserve">notably on </w:t>
      </w:r>
      <w:r w:rsidR="00E70B2C">
        <w:rPr>
          <w:rFonts w:cs="Arial"/>
          <w:b/>
          <w:bCs/>
          <w:sz w:val="22"/>
          <w:szCs w:val="22"/>
        </w:rPr>
        <w:t xml:space="preserve">commercial, and financial </w:t>
      </w:r>
      <w:r w:rsidR="00B10B18">
        <w:rPr>
          <w:rFonts w:cs="Arial"/>
          <w:b/>
          <w:bCs/>
          <w:sz w:val="22"/>
          <w:szCs w:val="22"/>
        </w:rPr>
        <w:t>issues</w:t>
      </w:r>
    </w:p>
    <w:p w14:paraId="4632CA8D" w14:textId="77777777" w:rsidR="00E70B2C" w:rsidRDefault="00E70B2C" w:rsidP="00E70B2C">
      <w:pPr>
        <w:pStyle w:val="ListParagraph"/>
        <w:ind w:left="426"/>
        <w:rPr>
          <w:rFonts w:cs="Arial"/>
          <w:bCs/>
          <w:sz w:val="22"/>
          <w:szCs w:val="22"/>
        </w:rPr>
      </w:pPr>
    </w:p>
    <w:p w14:paraId="25914F80" w14:textId="77777777" w:rsidR="00247941" w:rsidRDefault="00247941" w:rsidP="00247941">
      <w:pPr>
        <w:jc w:val="both"/>
        <w:rPr>
          <w:rFonts w:cs="Arial"/>
          <w:bCs/>
          <w:color w:val="0D0D0D" w:themeColor="text1" w:themeTint="F2"/>
          <w:sz w:val="22"/>
          <w:szCs w:val="22"/>
        </w:rPr>
      </w:pPr>
      <w:r w:rsidRPr="0008321C">
        <w:rPr>
          <w:rFonts w:cs="Arial"/>
          <w:bCs/>
          <w:color w:val="0D0D0D" w:themeColor="text1" w:themeTint="F2"/>
          <w:sz w:val="22"/>
          <w:szCs w:val="22"/>
        </w:rPr>
        <w:t xml:space="preserve">The UK has been a member and major contributor to GEF since its inception in 1991. The UK is a permanent member of the GEF Council, which functions as an independent board of directors, with primary responsibility for </w:t>
      </w:r>
      <w:r>
        <w:rPr>
          <w:rFonts w:cs="Arial"/>
          <w:bCs/>
          <w:color w:val="0D0D0D" w:themeColor="text1" w:themeTint="F2"/>
          <w:sz w:val="22"/>
          <w:szCs w:val="22"/>
        </w:rPr>
        <w:t>commissioning</w:t>
      </w:r>
      <w:r w:rsidRPr="0008321C">
        <w:rPr>
          <w:rFonts w:cs="Arial"/>
          <w:bCs/>
          <w:color w:val="0D0D0D" w:themeColor="text1" w:themeTint="F2"/>
          <w:sz w:val="22"/>
          <w:szCs w:val="22"/>
        </w:rPr>
        <w:t xml:space="preserve">, </w:t>
      </w:r>
      <w:r>
        <w:rPr>
          <w:rFonts w:cs="Arial"/>
          <w:bCs/>
          <w:color w:val="0D0D0D" w:themeColor="text1" w:themeTint="F2"/>
          <w:sz w:val="22"/>
          <w:szCs w:val="22"/>
        </w:rPr>
        <w:t>approving</w:t>
      </w:r>
      <w:r w:rsidRPr="0008321C">
        <w:rPr>
          <w:rFonts w:cs="Arial"/>
          <w:bCs/>
          <w:color w:val="0D0D0D" w:themeColor="text1" w:themeTint="F2"/>
          <w:sz w:val="22"/>
          <w:szCs w:val="22"/>
        </w:rPr>
        <w:t>, and evaluating GEF programmes. The UK has influence over policy priorities and level of ambition, through the replenishment process, and in driving monitoring operational effectiveness and efficiency through the Council.</w:t>
      </w:r>
      <w:r>
        <w:rPr>
          <w:rFonts w:cs="Arial"/>
          <w:bCs/>
          <w:color w:val="0D0D0D" w:themeColor="text1" w:themeTint="F2"/>
          <w:sz w:val="22"/>
          <w:szCs w:val="22"/>
        </w:rPr>
        <w:t xml:space="preserve">  </w:t>
      </w:r>
      <w:r w:rsidR="007F7338">
        <w:rPr>
          <w:rFonts w:cs="Arial"/>
          <w:bCs/>
          <w:color w:val="0D0D0D" w:themeColor="text1" w:themeTint="F2"/>
          <w:sz w:val="22"/>
          <w:szCs w:val="22"/>
        </w:rPr>
        <w:t>T</w:t>
      </w:r>
      <w:r>
        <w:rPr>
          <w:rFonts w:cs="Arial"/>
          <w:bCs/>
          <w:color w:val="0D0D0D" w:themeColor="text1" w:themeTint="F2"/>
          <w:sz w:val="22"/>
          <w:szCs w:val="22"/>
        </w:rPr>
        <w:t>he experience of the UK team has enabled effective development and promotion of innovation and improvements in implementation as indicated by the proportion of UK policy proposals adopted (to varying degrees) and the increases in resource allocation to UK priorities (e.g. I</w:t>
      </w:r>
      <w:r w:rsidR="002A0CFA">
        <w:rPr>
          <w:rFonts w:cs="Arial"/>
          <w:bCs/>
          <w:color w:val="0D0D0D" w:themeColor="text1" w:themeTint="F2"/>
          <w:sz w:val="22"/>
          <w:szCs w:val="22"/>
        </w:rPr>
        <w:t xml:space="preserve">llegal </w:t>
      </w:r>
      <w:r>
        <w:rPr>
          <w:rFonts w:cs="Arial"/>
          <w:bCs/>
          <w:color w:val="0D0D0D" w:themeColor="text1" w:themeTint="F2"/>
          <w:sz w:val="22"/>
          <w:szCs w:val="22"/>
        </w:rPr>
        <w:t>W</w:t>
      </w:r>
      <w:r w:rsidR="002A0CFA">
        <w:rPr>
          <w:rFonts w:cs="Arial"/>
          <w:bCs/>
          <w:color w:val="0D0D0D" w:themeColor="text1" w:themeTint="F2"/>
          <w:sz w:val="22"/>
          <w:szCs w:val="22"/>
        </w:rPr>
        <w:t xml:space="preserve">ildlife </w:t>
      </w:r>
      <w:r>
        <w:rPr>
          <w:rFonts w:cs="Arial"/>
          <w:bCs/>
          <w:color w:val="0D0D0D" w:themeColor="text1" w:themeTint="F2"/>
          <w:sz w:val="22"/>
          <w:szCs w:val="22"/>
        </w:rPr>
        <w:t>T</w:t>
      </w:r>
      <w:r w:rsidR="002A0CFA">
        <w:rPr>
          <w:rFonts w:cs="Arial"/>
          <w:bCs/>
          <w:color w:val="0D0D0D" w:themeColor="text1" w:themeTint="F2"/>
          <w:sz w:val="22"/>
          <w:szCs w:val="22"/>
        </w:rPr>
        <w:t>rade (IWT)</w:t>
      </w:r>
      <w:r w:rsidR="00C916E4">
        <w:rPr>
          <w:rFonts w:cs="Arial"/>
          <w:bCs/>
          <w:color w:val="0D0D0D" w:themeColor="text1" w:themeTint="F2"/>
          <w:sz w:val="22"/>
          <w:szCs w:val="22"/>
        </w:rPr>
        <w:t xml:space="preserve">, </w:t>
      </w:r>
      <w:r w:rsidR="00AD2CF1">
        <w:rPr>
          <w:rFonts w:cs="Arial"/>
          <w:bCs/>
          <w:color w:val="0D0D0D" w:themeColor="text1" w:themeTint="F2"/>
          <w:sz w:val="22"/>
          <w:szCs w:val="22"/>
        </w:rPr>
        <w:t>nature-based</w:t>
      </w:r>
      <w:r w:rsidR="00C916E4">
        <w:rPr>
          <w:rFonts w:cs="Arial"/>
          <w:bCs/>
          <w:color w:val="0D0D0D" w:themeColor="text1" w:themeTint="F2"/>
          <w:sz w:val="22"/>
          <w:szCs w:val="22"/>
        </w:rPr>
        <w:t xml:space="preserve"> solutions to climate change</w:t>
      </w:r>
      <w:r>
        <w:rPr>
          <w:rFonts w:cs="Arial"/>
          <w:bCs/>
          <w:color w:val="0D0D0D" w:themeColor="text1" w:themeTint="F2"/>
          <w:sz w:val="22"/>
          <w:szCs w:val="22"/>
        </w:rPr>
        <w:t xml:space="preserve">) </w:t>
      </w:r>
      <w:r w:rsidR="00C75C21">
        <w:rPr>
          <w:rFonts w:cs="Arial"/>
          <w:bCs/>
          <w:color w:val="0D0D0D" w:themeColor="text1" w:themeTint="F2"/>
          <w:sz w:val="22"/>
          <w:szCs w:val="22"/>
        </w:rPr>
        <w:t xml:space="preserve">to </w:t>
      </w:r>
      <w:r>
        <w:rPr>
          <w:rFonts w:cs="Arial"/>
          <w:bCs/>
          <w:color w:val="0D0D0D" w:themeColor="text1" w:themeTint="F2"/>
          <w:sz w:val="22"/>
          <w:szCs w:val="22"/>
        </w:rPr>
        <w:t xml:space="preserve">GEF7.   Defra’s increased engagement in GEF7 will enhance the quality and breadth of UK inputs into governing GEF.  BEIS have continued to provide valuable guidance on climate mitigation activities, particularly in relation to the </w:t>
      </w:r>
      <w:r w:rsidR="00E3613A" w:rsidRPr="00E3613A">
        <w:rPr>
          <w:rFonts w:cs="Arial"/>
          <w:bCs/>
          <w:color w:val="0D0D0D" w:themeColor="text1" w:themeTint="F2"/>
          <w:sz w:val="22"/>
          <w:szCs w:val="22"/>
        </w:rPr>
        <w:t>Capacity-Building Initiative for Transparency</w:t>
      </w:r>
      <w:r w:rsidR="00E3613A">
        <w:rPr>
          <w:rFonts w:cs="Arial"/>
          <w:bCs/>
          <w:color w:val="0D0D0D" w:themeColor="text1" w:themeTint="F2"/>
          <w:sz w:val="22"/>
          <w:szCs w:val="22"/>
        </w:rPr>
        <w:t xml:space="preserve"> (</w:t>
      </w:r>
      <w:r>
        <w:rPr>
          <w:rFonts w:cs="Arial"/>
          <w:bCs/>
          <w:color w:val="0D0D0D" w:themeColor="text1" w:themeTint="F2"/>
          <w:sz w:val="22"/>
          <w:szCs w:val="22"/>
        </w:rPr>
        <w:t>CBIT</w:t>
      </w:r>
      <w:r w:rsidR="00E3613A">
        <w:rPr>
          <w:rFonts w:cs="Arial"/>
          <w:bCs/>
          <w:color w:val="0D0D0D" w:themeColor="text1" w:themeTint="F2"/>
          <w:sz w:val="22"/>
          <w:szCs w:val="22"/>
        </w:rPr>
        <w:t>)</w:t>
      </w:r>
      <w:r>
        <w:rPr>
          <w:rFonts w:cs="Arial"/>
          <w:bCs/>
          <w:color w:val="0D0D0D" w:themeColor="text1" w:themeTint="F2"/>
          <w:sz w:val="22"/>
          <w:szCs w:val="22"/>
        </w:rPr>
        <w:t xml:space="preserve"> programme.</w:t>
      </w:r>
    </w:p>
    <w:p w14:paraId="52A3B7E4" w14:textId="77777777" w:rsidR="00247941" w:rsidRPr="00F548AD" w:rsidRDefault="00247941" w:rsidP="00247941">
      <w:pPr>
        <w:jc w:val="both"/>
        <w:rPr>
          <w:rFonts w:cs="Arial"/>
          <w:bCs/>
          <w:color w:val="0D0D0D" w:themeColor="text1" w:themeTint="F2"/>
          <w:sz w:val="22"/>
          <w:szCs w:val="22"/>
        </w:rPr>
      </w:pPr>
    </w:p>
    <w:p w14:paraId="6DD29039" w14:textId="77777777" w:rsidR="00247941" w:rsidRPr="00F548AD" w:rsidRDefault="00247941" w:rsidP="00247941">
      <w:pPr>
        <w:jc w:val="both"/>
        <w:rPr>
          <w:rFonts w:cs="Arial"/>
          <w:bCs/>
          <w:color w:val="0D0D0D" w:themeColor="text1" w:themeTint="F2"/>
          <w:sz w:val="22"/>
          <w:szCs w:val="22"/>
        </w:rPr>
      </w:pPr>
      <w:r w:rsidRPr="00F548AD">
        <w:rPr>
          <w:rFonts w:cs="Arial"/>
          <w:bCs/>
          <w:color w:val="0D0D0D" w:themeColor="text1" w:themeTint="F2"/>
          <w:sz w:val="22"/>
          <w:szCs w:val="22"/>
        </w:rPr>
        <w:t xml:space="preserve">The relationship between </w:t>
      </w:r>
      <w:r>
        <w:rPr>
          <w:rFonts w:cs="Arial"/>
          <w:bCs/>
          <w:color w:val="0D0D0D" w:themeColor="text1" w:themeTint="F2"/>
          <w:sz w:val="22"/>
          <w:szCs w:val="22"/>
        </w:rPr>
        <w:t>the UK</w:t>
      </w:r>
      <w:r w:rsidRPr="00F548AD">
        <w:rPr>
          <w:rFonts w:cs="Arial"/>
          <w:bCs/>
          <w:color w:val="0D0D0D" w:themeColor="text1" w:themeTint="F2"/>
          <w:sz w:val="22"/>
          <w:szCs w:val="22"/>
        </w:rPr>
        <w:t xml:space="preserve"> and the GEF Secretariat continues to be productive, and the Secretariat’s responsiveness continues to prove valuable to the </w:t>
      </w:r>
      <w:r>
        <w:rPr>
          <w:rFonts w:cs="Arial"/>
          <w:bCs/>
          <w:color w:val="0D0D0D" w:themeColor="text1" w:themeTint="F2"/>
          <w:sz w:val="22"/>
          <w:szCs w:val="22"/>
        </w:rPr>
        <w:t>UK</w:t>
      </w:r>
      <w:r w:rsidRPr="00F548AD">
        <w:rPr>
          <w:rFonts w:cs="Arial"/>
          <w:bCs/>
          <w:color w:val="0D0D0D" w:themeColor="text1" w:themeTint="F2"/>
          <w:sz w:val="22"/>
          <w:szCs w:val="22"/>
        </w:rPr>
        <w:t xml:space="preserve"> programme management team. We remain strong and vocal proponents for progress on GEF initiatives such as gender mainstreaming and improved knowledge management, offering support where useful.</w:t>
      </w:r>
    </w:p>
    <w:p w14:paraId="41F3D836" w14:textId="77777777" w:rsidR="00247941" w:rsidRPr="00F548AD" w:rsidRDefault="00247941" w:rsidP="00247941">
      <w:pPr>
        <w:jc w:val="both"/>
        <w:rPr>
          <w:rFonts w:cs="Arial"/>
          <w:sz w:val="22"/>
          <w:szCs w:val="22"/>
        </w:rPr>
      </w:pPr>
    </w:p>
    <w:p w14:paraId="42BA730C" w14:textId="77777777" w:rsidR="00247941" w:rsidRDefault="00247941" w:rsidP="00247941">
      <w:pPr>
        <w:jc w:val="both"/>
        <w:rPr>
          <w:rFonts w:cs="Arial"/>
          <w:sz w:val="22"/>
          <w:szCs w:val="22"/>
        </w:rPr>
      </w:pPr>
      <w:r w:rsidRPr="00F548AD">
        <w:rPr>
          <w:rFonts w:cs="Arial"/>
          <w:sz w:val="22"/>
          <w:szCs w:val="22"/>
        </w:rPr>
        <w:t xml:space="preserve">Staff members from the GEF Secretariat have been helpful and forthcoming in providing support to </w:t>
      </w:r>
      <w:r>
        <w:rPr>
          <w:rFonts w:cs="Arial"/>
          <w:sz w:val="22"/>
          <w:szCs w:val="22"/>
        </w:rPr>
        <w:t>the UK</w:t>
      </w:r>
      <w:r w:rsidRPr="00F548AD">
        <w:rPr>
          <w:rFonts w:cs="Arial"/>
          <w:sz w:val="22"/>
          <w:szCs w:val="22"/>
        </w:rPr>
        <w:t xml:space="preserve"> during the completion of this </w:t>
      </w:r>
      <w:r w:rsidR="00E921D8">
        <w:rPr>
          <w:rFonts w:cs="Arial"/>
          <w:sz w:val="22"/>
          <w:szCs w:val="22"/>
        </w:rPr>
        <w:t>Annual Review</w:t>
      </w:r>
      <w:r w:rsidRPr="00F548AD">
        <w:rPr>
          <w:rFonts w:cs="Arial"/>
          <w:sz w:val="22"/>
          <w:szCs w:val="22"/>
        </w:rPr>
        <w:t xml:space="preserve"> and have engaged constructively with the UK throughout the </w:t>
      </w:r>
      <w:r w:rsidR="00E921D8">
        <w:rPr>
          <w:rFonts w:cs="Arial"/>
          <w:sz w:val="22"/>
          <w:szCs w:val="22"/>
        </w:rPr>
        <w:t>first year</w:t>
      </w:r>
      <w:r w:rsidR="006B2557">
        <w:rPr>
          <w:rFonts w:cs="Arial"/>
          <w:sz w:val="22"/>
          <w:szCs w:val="22"/>
        </w:rPr>
        <w:t xml:space="preserve"> of </w:t>
      </w:r>
      <w:r w:rsidRPr="00F548AD">
        <w:rPr>
          <w:rFonts w:cs="Arial"/>
          <w:sz w:val="22"/>
          <w:szCs w:val="22"/>
        </w:rPr>
        <w:t>GEF7.</w:t>
      </w:r>
    </w:p>
    <w:p w14:paraId="05DC6EA0" w14:textId="77777777" w:rsidR="00247941" w:rsidRPr="00F548AD" w:rsidRDefault="00247941" w:rsidP="00247941">
      <w:pPr>
        <w:jc w:val="both"/>
        <w:rPr>
          <w:rFonts w:cs="Arial"/>
          <w:sz w:val="22"/>
          <w:szCs w:val="22"/>
        </w:rPr>
      </w:pPr>
    </w:p>
    <w:p w14:paraId="748CACBD" w14:textId="77777777" w:rsidR="00E70B2C" w:rsidRDefault="00E70B2C" w:rsidP="00E70B2C">
      <w:pPr>
        <w:pStyle w:val="ListParagraph"/>
        <w:ind w:left="426"/>
        <w:rPr>
          <w:rFonts w:cs="Arial"/>
          <w:bCs/>
          <w:sz w:val="22"/>
          <w:szCs w:val="22"/>
        </w:rPr>
      </w:pPr>
    </w:p>
    <w:p w14:paraId="53CBCCD7" w14:textId="77777777" w:rsidR="00651010" w:rsidRDefault="00651010" w:rsidP="00E70B2C">
      <w:pPr>
        <w:rPr>
          <w:rFonts w:cs="Arial"/>
          <w:sz w:val="22"/>
          <w:szCs w:val="22"/>
        </w:rPr>
      </w:pPr>
    </w:p>
    <w:tbl>
      <w:tblPr>
        <w:tblStyle w:val="TableGrid"/>
        <w:tblW w:w="0" w:type="auto"/>
        <w:tblInd w:w="250" w:type="dxa"/>
        <w:tblLook w:val="04A0" w:firstRow="1" w:lastRow="0" w:firstColumn="1" w:lastColumn="0" w:noHBand="0" w:noVBand="1"/>
      </w:tblPr>
      <w:tblGrid>
        <w:gridCol w:w="4253"/>
        <w:gridCol w:w="2268"/>
      </w:tblGrid>
      <w:tr w:rsidR="00651010" w:rsidRPr="00F70DBE" w14:paraId="35DF7871" w14:textId="77777777" w:rsidTr="00F604FF">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7E2973" w14:textId="77777777" w:rsidR="00651010" w:rsidRPr="00F70DBE" w:rsidRDefault="00651010" w:rsidP="00F604FF">
            <w:pPr>
              <w:rPr>
                <w:rFonts w:cs="Arial"/>
                <w:sz w:val="22"/>
                <w:szCs w:val="22"/>
              </w:rPr>
            </w:pPr>
            <w:r w:rsidRPr="00F70DBE">
              <w:rPr>
                <w:rFonts w:cs="Arial"/>
                <w:sz w:val="22"/>
                <w:szCs w:val="22"/>
              </w:rPr>
              <w:t>Date of last narrative financial report</w:t>
            </w:r>
            <w:r>
              <w:rPr>
                <w:rFonts w:cs="Arial"/>
                <w:sz w:val="22"/>
                <w:szCs w:val="22"/>
              </w:rPr>
              <w:t>(s)</w:t>
            </w:r>
          </w:p>
        </w:tc>
        <w:tc>
          <w:tcPr>
            <w:tcW w:w="2268" w:type="dxa"/>
            <w:tcBorders>
              <w:top w:val="single" w:sz="4" w:space="0" w:color="auto"/>
              <w:left w:val="single" w:sz="4" w:space="0" w:color="auto"/>
              <w:bottom w:val="single" w:sz="4" w:space="0" w:color="auto"/>
              <w:right w:val="single" w:sz="4" w:space="0" w:color="auto"/>
            </w:tcBorders>
          </w:tcPr>
          <w:p w14:paraId="1F08F659" w14:textId="77777777" w:rsidR="00651010" w:rsidRPr="00F70DBE" w:rsidRDefault="009E2FF1" w:rsidP="00F604FF">
            <w:pPr>
              <w:rPr>
                <w:rFonts w:cs="Arial"/>
                <w:sz w:val="22"/>
                <w:szCs w:val="22"/>
              </w:rPr>
            </w:pPr>
            <w:r>
              <w:rPr>
                <w:rFonts w:cs="Arial"/>
                <w:sz w:val="22"/>
                <w:szCs w:val="22"/>
              </w:rPr>
              <w:t>June 2019</w:t>
            </w:r>
          </w:p>
        </w:tc>
      </w:tr>
      <w:tr w:rsidR="00651010" w:rsidRPr="00F70DBE" w14:paraId="0C6E87A9" w14:textId="77777777" w:rsidTr="00F604FF">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1C6529" w14:textId="77777777" w:rsidR="00651010" w:rsidRPr="00F70DBE" w:rsidRDefault="00651010" w:rsidP="00F604FF">
            <w:pPr>
              <w:rPr>
                <w:rFonts w:cs="Arial"/>
                <w:sz w:val="22"/>
                <w:szCs w:val="22"/>
              </w:rPr>
            </w:pPr>
            <w:r w:rsidRPr="00F70DBE">
              <w:rPr>
                <w:rFonts w:cs="Arial"/>
                <w:sz w:val="22"/>
                <w:szCs w:val="22"/>
              </w:rPr>
              <w:t>Date of last audited annual statement</w:t>
            </w:r>
            <w:r>
              <w:rPr>
                <w:rFonts w:cs="Arial"/>
                <w:sz w:val="22"/>
                <w:szCs w:val="22"/>
              </w:rPr>
              <w:t xml:space="preserve"> (s)</w:t>
            </w:r>
          </w:p>
        </w:tc>
        <w:tc>
          <w:tcPr>
            <w:tcW w:w="2268" w:type="dxa"/>
            <w:tcBorders>
              <w:top w:val="single" w:sz="4" w:space="0" w:color="auto"/>
              <w:left w:val="single" w:sz="4" w:space="0" w:color="auto"/>
              <w:bottom w:val="single" w:sz="4" w:space="0" w:color="auto"/>
              <w:right w:val="single" w:sz="4" w:space="0" w:color="auto"/>
            </w:tcBorders>
          </w:tcPr>
          <w:p w14:paraId="3161B521" w14:textId="77777777" w:rsidR="00651010" w:rsidRPr="00F70DBE" w:rsidRDefault="00D05A44" w:rsidP="00F604FF">
            <w:pPr>
              <w:rPr>
                <w:rFonts w:cs="Arial"/>
                <w:sz w:val="22"/>
                <w:szCs w:val="22"/>
              </w:rPr>
            </w:pPr>
            <w:r>
              <w:rPr>
                <w:rFonts w:cs="Arial"/>
                <w:sz w:val="22"/>
                <w:szCs w:val="22"/>
              </w:rPr>
              <w:t>Oct 2018</w:t>
            </w:r>
          </w:p>
        </w:tc>
      </w:tr>
    </w:tbl>
    <w:p w14:paraId="07571B9D" w14:textId="77777777" w:rsidR="00E70B2C" w:rsidRPr="00F70DBE" w:rsidRDefault="00E70B2C" w:rsidP="00E70B2C">
      <w:pPr>
        <w:rPr>
          <w:rFonts w:cs="Arial"/>
          <w:bCs/>
          <w:sz w:val="22"/>
          <w:szCs w:val="22"/>
        </w:rPr>
        <w:sectPr w:rsidR="00E70B2C" w:rsidRPr="00F70DBE">
          <w:footerReference w:type="default" r:id="rId14"/>
          <w:pgSz w:w="11906" w:h="16838"/>
          <w:pgMar w:top="719"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20"/>
        </w:sectPr>
      </w:pPr>
    </w:p>
    <w:p w14:paraId="33CB18DF" w14:textId="77777777" w:rsidR="00E70B2C" w:rsidRPr="00F70DBE" w:rsidRDefault="00E70B2C" w:rsidP="00E70B2C">
      <w:pPr>
        <w:pBdr>
          <w:top w:val="single" w:sz="4" w:space="1" w:color="auto"/>
          <w:left w:val="single" w:sz="4" w:space="4" w:color="auto"/>
          <w:bottom w:val="single" w:sz="4" w:space="1" w:color="auto"/>
          <w:right w:val="single" w:sz="4" w:space="4" w:color="auto"/>
        </w:pBdr>
        <w:shd w:val="clear" w:color="auto" w:fill="DBE5F1" w:themeFill="accent1" w:themeFillTint="33"/>
        <w:rPr>
          <w:b/>
          <w:sz w:val="28"/>
        </w:rPr>
      </w:pPr>
      <w:r>
        <w:rPr>
          <w:b/>
          <w:sz w:val="28"/>
        </w:rPr>
        <w:lastRenderedPageBreak/>
        <w:t>G</w:t>
      </w:r>
      <w:r w:rsidRPr="00F70DBE">
        <w:rPr>
          <w:b/>
          <w:sz w:val="28"/>
        </w:rPr>
        <w:t>: MONITORING</w:t>
      </w:r>
      <w:r>
        <w:rPr>
          <w:b/>
          <w:sz w:val="28"/>
        </w:rPr>
        <w:t>, EVIDENCE</w:t>
      </w:r>
      <w:r w:rsidRPr="00F70DBE">
        <w:rPr>
          <w:b/>
          <w:sz w:val="28"/>
        </w:rPr>
        <w:t xml:space="preserve"> &amp; </w:t>
      </w:r>
      <w:r>
        <w:rPr>
          <w:b/>
          <w:sz w:val="28"/>
        </w:rPr>
        <w:t>LEARNING</w:t>
      </w:r>
    </w:p>
    <w:p w14:paraId="1185FDC1" w14:textId="77777777" w:rsidR="00E70B2C" w:rsidRPr="00F70DBE" w:rsidRDefault="00E70B2C" w:rsidP="00E70B2C">
      <w:pPr>
        <w:tabs>
          <w:tab w:val="left" w:pos="3495"/>
        </w:tabs>
        <w:rPr>
          <w:b/>
          <w:sz w:val="22"/>
        </w:rPr>
      </w:pPr>
    </w:p>
    <w:p w14:paraId="5C648750" w14:textId="77777777" w:rsidR="00B26F17" w:rsidRDefault="00B26F17" w:rsidP="00E70B2C">
      <w:pPr>
        <w:rPr>
          <w:b/>
          <w:sz w:val="22"/>
        </w:rPr>
      </w:pPr>
    </w:p>
    <w:p w14:paraId="17A7FCBB" w14:textId="77777777" w:rsidR="0008370B" w:rsidRDefault="0008370B" w:rsidP="0008370B">
      <w:pPr>
        <w:rPr>
          <w:b/>
          <w:sz w:val="22"/>
          <w:szCs w:val="22"/>
        </w:rPr>
      </w:pPr>
      <w:r w:rsidRPr="00F70DBE">
        <w:rPr>
          <w:b/>
          <w:sz w:val="22"/>
        </w:rPr>
        <w:t>Monitoring</w:t>
      </w:r>
    </w:p>
    <w:p w14:paraId="22973E4B" w14:textId="77777777" w:rsidR="0008370B" w:rsidRPr="00967EA3" w:rsidRDefault="0008370B" w:rsidP="00FD426F">
      <w:pPr>
        <w:pStyle w:val="NormalWeb"/>
        <w:jc w:val="both"/>
        <w:rPr>
          <w:rFonts w:ascii="Arial" w:hAnsi="Arial" w:cs="Arial"/>
          <w:sz w:val="22"/>
          <w:szCs w:val="22"/>
        </w:rPr>
      </w:pPr>
      <w:r w:rsidRPr="00967EA3">
        <w:rPr>
          <w:rFonts w:ascii="Arial" w:hAnsi="Arial" w:cs="Arial"/>
          <w:sz w:val="22"/>
          <w:szCs w:val="22"/>
        </w:rPr>
        <w:t xml:space="preserve">In addition to the Annual Performance Report, the GEF’s Independent Evaluation Office’s Overall Performance Studies (OPSs) are the primary tool used for evaluating GEF’s performance. OPSs are comprehensive evaluations that assess the performance, institutional effectiveness, and impact of GEF.  </w:t>
      </w:r>
      <w:r w:rsidR="00E50B7E">
        <w:rPr>
          <w:rFonts w:ascii="Arial" w:hAnsi="Arial" w:cs="Arial"/>
          <w:sz w:val="22"/>
          <w:szCs w:val="22"/>
        </w:rPr>
        <w:t>T</w:t>
      </w:r>
      <w:r w:rsidRPr="00967EA3">
        <w:rPr>
          <w:rFonts w:ascii="Arial" w:hAnsi="Arial" w:cs="Arial"/>
          <w:sz w:val="22"/>
          <w:szCs w:val="22"/>
        </w:rPr>
        <w:t>he Final Report of the OPS which assessed GEF6 – known as OPS6 – was published in May 2018</w:t>
      </w:r>
      <w:r w:rsidRPr="00967EA3">
        <w:rPr>
          <w:rFonts w:ascii="Arial" w:hAnsi="Arial" w:cs="Arial"/>
          <w:sz w:val="22"/>
          <w:szCs w:val="22"/>
          <w:vertAlign w:val="superscript"/>
        </w:rPr>
        <w:footnoteReference w:id="10"/>
      </w:r>
      <w:r w:rsidRPr="00967EA3">
        <w:rPr>
          <w:rFonts w:ascii="Arial" w:hAnsi="Arial" w:cs="Arial"/>
          <w:sz w:val="22"/>
          <w:szCs w:val="22"/>
        </w:rPr>
        <w:t>.</w:t>
      </w:r>
    </w:p>
    <w:p w14:paraId="1F3D8B1B" w14:textId="77777777" w:rsidR="0008370B" w:rsidRPr="00967EA3" w:rsidRDefault="0008370B" w:rsidP="00FD426F">
      <w:pPr>
        <w:pStyle w:val="NormalWeb"/>
        <w:jc w:val="both"/>
        <w:rPr>
          <w:rFonts w:ascii="Arial" w:hAnsi="Arial" w:cs="Arial"/>
          <w:sz w:val="22"/>
          <w:szCs w:val="22"/>
        </w:rPr>
      </w:pPr>
      <w:r w:rsidRPr="00967EA3">
        <w:rPr>
          <w:rFonts w:ascii="Arial" w:hAnsi="Arial" w:cs="Arial"/>
          <w:sz w:val="22"/>
          <w:szCs w:val="22"/>
        </w:rPr>
        <w:t>OPS6 demonstrated that the GEF has built a strong record in delivering short- and medium-term results; in recent periods, the outcomes of about 80 percent of GEF projects have been rated as satisfactory. The IEO Semi-Annual Evaluation Report (June 2019)</w:t>
      </w:r>
      <w:r w:rsidRPr="00967EA3">
        <w:rPr>
          <w:vertAlign w:val="superscript"/>
        </w:rPr>
        <w:footnoteReference w:id="11"/>
      </w:r>
      <w:r w:rsidRPr="00967EA3">
        <w:rPr>
          <w:rFonts w:ascii="Arial" w:hAnsi="Arial" w:cs="Arial"/>
          <w:sz w:val="22"/>
          <w:szCs w:val="22"/>
          <w:vertAlign w:val="superscript"/>
        </w:rPr>
        <w:t xml:space="preserve"> </w:t>
      </w:r>
      <w:r w:rsidRPr="00967EA3">
        <w:rPr>
          <w:rFonts w:ascii="Arial" w:hAnsi="Arial" w:cs="Arial"/>
          <w:sz w:val="22"/>
          <w:szCs w:val="22"/>
        </w:rPr>
        <w:t xml:space="preserve">reiterates this success and acknowledges that recent projects show a continued trend in improvement in the M&amp;E design rating. Compared to the portfolio average of 65 percent of projects rated in the satisfactory range for M&amp;E design, 80 percent of the projects of the 2019 cohort are rated in the satisfactory range. By comparison, while the quality of M&amp;E implementation also shows improvement, the level of improvement has been relatively modest. Compared to the long-term portfolio average of 65 percent, 70 percent of the projects of the 2019 cohort are rated in the satisfactory range. </w:t>
      </w:r>
    </w:p>
    <w:p w14:paraId="170E45B4" w14:textId="77777777" w:rsidR="0008370B" w:rsidRDefault="0008370B" w:rsidP="00FD426F">
      <w:pPr>
        <w:pStyle w:val="NormalWeb"/>
        <w:jc w:val="both"/>
        <w:rPr>
          <w:rFonts w:ascii="Arial" w:hAnsi="Arial" w:cs="Arial"/>
          <w:sz w:val="22"/>
          <w:szCs w:val="22"/>
        </w:rPr>
      </w:pPr>
      <w:r w:rsidRPr="00967EA3">
        <w:rPr>
          <w:rFonts w:ascii="Arial" w:hAnsi="Arial" w:cs="Arial"/>
          <w:sz w:val="22"/>
          <w:szCs w:val="22"/>
        </w:rPr>
        <w:t>However,</w:t>
      </w:r>
      <w:r w:rsidRPr="00967EA3">
        <w:rPr>
          <w:rFonts w:ascii="Arial" w:hAnsi="Arial" w:cs="Arial"/>
          <w:sz w:val="22"/>
          <w:szCs w:val="22"/>
          <w:lang w:eastAsia="en-US"/>
        </w:rPr>
        <w:t xml:space="preserve"> </w:t>
      </w:r>
      <w:r w:rsidRPr="00967EA3">
        <w:rPr>
          <w:rFonts w:ascii="Arial" w:hAnsi="Arial" w:cs="Arial"/>
          <w:sz w:val="22"/>
          <w:szCs w:val="22"/>
        </w:rPr>
        <w:t xml:space="preserve">despite this improving trend, ratings on quality of M&amp;E design and implementation remain in the unsatisfactory range for a substantial percentage of projects. Over 35% of completed projects were rated unsatisfactory on M&amp;E design and implementation.  While this figure reflects older projects and masks improvements in more recent projects, the UK will continue to push GEF to monitor agency performance on M&amp;E and include it in its Annual Performance Reports to Council. </w:t>
      </w:r>
    </w:p>
    <w:p w14:paraId="1994DB64" w14:textId="77777777" w:rsidR="00E50B7E" w:rsidRPr="00967EA3" w:rsidRDefault="00E50B7E" w:rsidP="00E50B7E">
      <w:pPr>
        <w:jc w:val="both"/>
      </w:pPr>
      <w:r w:rsidRPr="009840A5">
        <w:rPr>
          <w:sz w:val="22"/>
          <w:szCs w:val="22"/>
        </w:rPr>
        <w:t>The GEF Council approved</w:t>
      </w:r>
      <w:r w:rsidR="00A346D1">
        <w:rPr>
          <w:sz w:val="22"/>
          <w:szCs w:val="22"/>
        </w:rPr>
        <w:t xml:space="preserve"> in June 2019 </w:t>
      </w:r>
      <w:r w:rsidR="001D5852">
        <w:rPr>
          <w:sz w:val="22"/>
          <w:szCs w:val="22"/>
        </w:rPr>
        <w:t xml:space="preserve">an </w:t>
      </w:r>
      <w:r w:rsidRPr="009840A5">
        <w:rPr>
          <w:sz w:val="22"/>
          <w:szCs w:val="22"/>
        </w:rPr>
        <w:t>updated</w:t>
      </w:r>
      <w:r w:rsidR="00A346D1">
        <w:rPr>
          <w:sz w:val="22"/>
          <w:szCs w:val="22"/>
        </w:rPr>
        <w:t xml:space="preserve"> and separate Policy on Monitoring and </w:t>
      </w:r>
      <w:r w:rsidR="001D5852">
        <w:rPr>
          <w:sz w:val="22"/>
          <w:szCs w:val="22"/>
        </w:rPr>
        <w:t xml:space="preserve">separate </w:t>
      </w:r>
      <w:r w:rsidRPr="009840A5">
        <w:rPr>
          <w:sz w:val="22"/>
          <w:szCs w:val="22"/>
        </w:rPr>
        <w:t xml:space="preserve">Evaluation Policy, </w:t>
      </w:r>
      <w:r w:rsidR="001D5852">
        <w:rPr>
          <w:sz w:val="22"/>
          <w:szCs w:val="22"/>
        </w:rPr>
        <w:t xml:space="preserve">which had been </w:t>
      </w:r>
      <w:r w:rsidRPr="009840A5">
        <w:rPr>
          <w:sz w:val="22"/>
          <w:szCs w:val="22"/>
        </w:rPr>
        <w:t>proposed by the I</w:t>
      </w:r>
      <w:r w:rsidR="0049147D">
        <w:rPr>
          <w:sz w:val="22"/>
          <w:szCs w:val="22"/>
        </w:rPr>
        <w:t>ndepen</w:t>
      </w:r>
      <w:r w:rsidR="003106D1">
        <w:rPr>
          <w:sz w:val="22"/>
          <w:szCs w:val="22"/>
        </w:rPr>
        <w:t xml:space="preserve">dent </w:t>
      </w:r>
      <w:r w:rsidRPr="009840A5">
        <w:rPr>
          <w:sz w:val="22"/>
          <w:szCs w:val="22"/>
        </w:rPr>
        <w:t>E</w:t>
      </w:r>
      <w:r w:rsidR="003106D1">
        <w:rPr>
          <w:sz w:val="22"/>
          <w:szCs w:val="22"/>
        </w:rPr>
        <w:t xml:space="preserve">valuation </w:t>
      </w:r>
      <w:r w:rsidRPr="009840A5">
        <w:rPr>
          <w:sz w:val="22"/>
          <w:szCs w:val="22"/>
        </w:rPr>
        <w:t>O</w:t>
      </w:r>
      <w:r w:rsidR="003106D1">
        <w:rPr>
          <w:sz w:val="22"/>
          <w:szCs w:val="22"/>
        </w:rPr>
        <w:t>ffice (IEO)</w:t>
      </w:r>
      <w:r w:rsidRPr="009840A5">
        <w:rPr>
          <w:sz w:val="22"/>
          <w:szCs w:val="22"/>
        </w:rPr>
        <w:t>. The UK welcomes this development: the updated polic</w:t>
      </w:r>
      <w:r w:rsidR="001D5852">
        <w:rPr>
          <w:sz w:val="22"/>
          <w:szCs w:val="22"/>
        </w:rPr>
        <w:t>ies</w:t>
      </w:r>
      <w:r w:rsidRPr="009840A5">
        <w:rPr>
          <w:sz w:val="22"/>
          <w:szCs w:val="22"/>
        </w:rPr>
        <w:t xml:space="preserve"> will address some of the UK’s previous comments on the evaluation approach. Beyond this progress, the UK will continue to push for improvements on monitoring and achieved results to be available on a </w:t>
      </w:r>
      <w:proofErr w:type="gramStart"/>
      <w:r w:rsidRPr="009840A5">
        <w:rPr>
          <w:sz w:val="22"/>
          <w:szCs w:val="22"/>
        </w:rPr>
        <w:t>more timely</w:t>
      </w:r>
      <w:proofErr w:type="gramEnd"/>
      <w:r w:rsidRPr="009840A5">
        <w:rPr>
          <w:sz w:val="22"/>
          <w:szCs w:val="22"/>
        </w:rPr>
        <w:t xml:space="preserve"> basis.</w:t>
      </w:r>
      <w:r w:rsidR="008E23EE" w:rsidRPr="008E23EE">
        <w:t xml:space="preserve"> </w:t>
      </w:r>
      <w:r w:rsidR="007D31BF">
        <w:rPr>
          <w:sz w:val="22"/>
          <w:szCs w:val="22"/>
        </w:rPr>
        <w:t xml:space="preserve">We will also </w:t>
      </w:r>
      <w:r w:rsidR="008E23EE" w:rsidRPr="008E23EE">
        <w:rPr>
          <w:sz w:val="22"/>
          <w:szCs w:val="22"/>
        </w:rPr>
        <w:t>discuss GEF’s methodological approach to public and private leveraged financing, to ensure consistency with UK’s own K</w:t>
      </w:r>
      <w:r w:rsidR="003B5B5D">
        <w:rPr>
          <w:sz w:val="22"/>
          <w:szCs w:val="22"/>
        </w:rPr>
        <w:t xml:space="preserve">ey </w:t>
      </w:r>
      <w:r w:rsidR="008E23EE" w:rsidRPr="008E23EE">
        <w:rPr>
          <w:sz w:val="22"/>
          <w:szCs w:val="22"/>
        </w:rPr>
        <w:t>P</w:t>
      </w:r>
      <w:r w:rsidR="003B5B5D">
        <w:rPr>
          <w:sz w:val="22"/>
          <w:szCs w:val="22"/>
        </w:rPr>
        <w:t xml:space="preserve">erformance </w:t>
      </w:r>
      <w:r w:rsidR="008E23EE" w:rsidRPr="008E23EE">
        <w:rPr>
          <w:sz w:val="22"/>
          <w:szCs w:val="22"/>
        </w:rPr>
        <w:t>I</w:t>
      </w:r>
      <w:r w:rsidR="00A965CA">
        <w:rPr>
          <w:sz w:val="22"/>
          <w:szCs w:val="22"/>
        </w:rPr>
        <w:t>ndicator (KPI)</w:t>
      </w:r>
      <w:r w:rsidR="008E23EE" w:rsidRPr="008E23EE">
        <w:rPr>
          <w:sz w:val="22"/>
          <w:szCs w:val="22"/>
        </w:rPr>
        <w:t xml:space="preserve"> definitions.</w:t>
      </w:r>
    </w:p>
    <w:p w14:paraId="7EB14C5D" w14:textId="77777777" w:rsidR="00E50B7E" w:rsidRPr="00967EA3" w:rsidRDefault="00E50B7E" w:rsidP="00FD426F">
      <w:pPr>
        <w:pStyle w:val="NormalWeb"/>
        <w:jc w:val="both"/>
        <w:rPr>
          <w:rFonts w:ascii="Arial" w:hAnsi="Arial" w:cs="Arial"/>
          <w:sz w:val="22"/>
          <w:szCs w:val="22"/>
        </w:rPr>
      </w:pPr>
    </w:p>
    <w:p w14:paraId="72CB7F19" w14:textId="77777777" w:rsidR="0008370B" w:rsidRDefault="0008370B" w:rsidP="0008370B">
      <w:pPr>
        <w:rPr>
          <w:b/>
          <w:sz w:val="22"/>
          <w:szCs w:val="22"/>
        </w:rPr>
      </w:pPr>
    </w:p>
    <w:p w14:paraId="03D7D0E8" w14:textId="77777777" w:rsidR="0008370B" w:rsidRDefault="0008370B" w:rsidP="0008370B">
      <w:pPr>
        <w:rPr>
          <w:b/>
          <w:sz w:val="22"/>
          <w:szCs w:val="22"/>
        </w:rPr>
      </w:pPr>
      <w:r w:rsidRPr="00F70DBE">
        <w:rPr>
          <w:b/>
          <w:sz w:val="22"/>
          <w:szCs w:val="22"/>
        </w:rPr>
        <w:t>Evidence</w:t>
      </w:r>
    </w:p>
    <w:p w14:paraId="0975FA46" w14:textId="77777777" w:rsidR="004F52A7" w:rsidRDefault="004F52A7" w:rsidP="0008370B">
      <w:pPr>
        <w:rPr>
          <w:b/>
          <w:sz w:val="22"/>
          <w:szCs w:val="22"/>
        </w:rPr>
      </w:pPr>
    </w:p>
    <w:p w14:paraId="0E0F066E" w14:textId="77777777" w:rsidR="0008370B" w:rsidRPr="00967EA3" w:rsidRDefault="0008370B" w:rsidP="0008370B">
      <w:pPr>
        <w:jc w:val="both"/>
        <w:rPr>
          <w:sz w:val="22"/>
          <w:szCs w:val="22"/>
        </w:rPr>
      </w:pPr>
      <w:r w:rsidRPr="00967EA3">
        <w:rPr>
          <w:sz w:val="22"/>
          <w:szCs w:val="22"/>
        </w:rPr>
        <w:t>GEF programming is guided by evidence at both a strategic and project level by a Scientific and Technical Advisory Panel (STAP).  The Scientific and Technical Advisory Panel comprises seven expert advisers supported by a Secretariat, wh</w:t>
      </w:r>
      <w:r w:rsidR="00F047B8">
        <w:rPr>
          <w:sz w:val="22"/>
          <w:szCs w:val="22"/>
        </w:rPr>
        <w:t>o</w:t>
      </w:r>
      <w:r w:rsidRPr="00967EA3">
        <w:rPr>
          <w:sz w:val="22"/>
          <w:szCs w:val="22"/>
        </w:rPr>
        <w:t xml:space="preserve"> </w:t>
      </w:r>
      <w:proofErr w:type="gramStart"/>
      <w:r w:rsidR="00F047B8">
        <w:rPr>
          <w:sz w:val="22"/>
          <w:szCs w:val="22"/>
        </w:rPr>
        <w:t xml:space="preserve">ensure  </w:t>
      </w:r>
      <w:r w:rsidRPr="00967EA3">
        <w:rPr>
          <w:sz w:val="22"/>
          <w:szCs w:val="22"/>
        </w:rPr>
        <w:t>the</w:t>
      </w:r>
      <w:proofErr w:type="gramEnd"/>
      <w:r w:rsidRPr="00967EA3">
        <w:rPr>
          <w:sz w:val="22"/>
          <w:szCs w:val="22"/>
        </w:rPr>
        <w:t xml:space="preserve"> GEF</w:t>
      </w:r>
      <w:r w:rsidR="00F047B8">
        <w:rPr>
          <w:sz w:val="22"/>
          <w:szCs w:val="22"/>
        </w:rPr>
        <w:t xml:space="preserve"> is linked</w:t>
      </w:r>
      <w:r w:rsidRPr="00967EA3">
        <w:rPr>
          <w:sz w:val="22"/>
          <w:szCs w:val="22"/>
        </w:rPr>
        <w:t xml:space="preserve"> to the most up to date, authoritative, and globally representative science. The STAP Chair reports to every GEF Council meeting, briefing Council members on the Panel’s work and emerging scientific and technical issues. Advice to Council includes writing primers, or leading in-depth </w:t>
      </w:r>
      <w:r w:rsidR="00AD2CF1" w:rsidRPr="00967EA3">
        <w:rPr>
          <w:sz w:val="22"/>
          <w:szCs w:val="22"/>
        </w:rPr>
        <w:t>analyses on</w:t>
      </w:r>
      <w:r w:rsidRPr="00967EA3">
        <w:rPr>
          <w:sz w:val="22"/>
          <w:szCs w:val="22"/>
        </w:rPr>
        <w:t xml:space="preserve"> themes influencing the sustainability of the global environment and development. In addition, STAP reviews and/or co- authors GEF Policy papers on emerging significant scientific or technical issues.</w:t>
      </w:r>
      <w:r w:rsidR="00A060A2">
        <w:rPr>
          <w:sz w:val="22"/>
          <w:szCs w:val="22"/>
        </w:rPr>
        <w:t xml:space="preserve">  </w:t>
      </w:r>
      <w:r w:rsidR="00A060A2" w:rsidRPr="00A060A2">
        <w:rPr>
          <w:sz w:val="22"/>
          <w:szCs w:val="22"/>
        </w:rPr>
        <w:t>As part of its statutory responsibilities, STAP reviews the scientific and technical rationale of GEF full-sized projects coming into the pipeline at concept stage - concomitant with Council review. The intent of the STAP screening is to add value to programs and projects during early preparation and provide quality assurance to the GEF Council.</w:t>
      </w:r>
    </w:p>
    <w:p w14:paraId="717669DF" w14:textId="77777777" w:rsidR="0008370B" w:rsidRPr="00967EA3" w:rsidRDefault="0008370B" w:rsidP="0008370B">
      <w:pPr>
        <w:jc w:val="both"/>
        <w:rPr>
          <w:sz w:val="22"/>
          <w:szCs w:val="22"/>
        </w:rPr>
      </w:pPr>
    </w:p>
    <w:p w14:paraId="66C88DE4" w14:textId="77777777" w:rsidR="0008370B" w:rsidRDefault="0008370B" w:rsidP="00B45496">
      <w:pPr>
        <w:jc w:val="both"/>
        <w:rPr>
          <w:sz w:val="22"/>
          <w:szCs w:val="22"/>
        </w:rPr>
      </w:pPr>
      <w:r w:rsidRPr="00967EA3">
        <w:rPr>
          <w:sz w:val="22"/>
          <w:szCs w:val="22"/>
        </w:rPr>
        <w:t xml:space="preserve">The STAP achieves much of its work through collaborations with leading scientists, experts and practitioners around the world. STAP commissions studies by institutions or individuals, convenes expert working groups and holds workshops to identify the latest scientific knowledge and lessons learned from practice by translating them into operational and strategic advice for the GEF.  STAP </w:t>
      </w:r>
      <w:r w:rsidR="00241370">
        <w:rPr>
          <w:sz w:val="22"/>
          <w:szCs w:val="22"/>
        </w:rPr>
        <w:t>paper</w:t>
      </w:r>
      <w:r w:rsidR="00BE68D8">
        <w:rPr>
          <w:sz w:val="22"/>
          <w:szCs w:val="22"/>
        </w:rPr>
        <w:t xml:space="preserve">s </w:t>
      </w:r>
      <w:r w:rsidR="00C26CBF">
        <w:rPr>
          <w:sz w:val="22"/>
          <w:szCs w:val="22"/>
        </w:rPr>
        <w:t xml:space="preserve">have had a </w:t>
      </w:r>
      <w:r w:rsidR="00C26CBF">
        <w:rPr>
          <w:sz w:val="22"/>
          <w:szCs w:val="22"/>
        </w:rPr>
        <w:lastRenderedPageBreak/>
        <w:t>significant influence on GEF7 programming</w:t>
      </w:r>
      <w:r w:rsidR="00C55894">
        <w:rPr>
          <w:sz w:val="22"/>
          <w:szCs w:val="22"/>
        </w:rPr>
        <w:t xml:space="preserve"> and many have aligned with UK interests such as those </w:t>
      </w:r>
      <w:r w:rsidRPr="00967EA3">
        <w:rPr>
          <w:sz w:val="22"/>
          <w:szCs w:val="22"/>
        </w:rPr>
        <w:t xml:space="preserve">on Plastics, Environmental Security, Food Systems and Integration of programming.  </w:t>
      </w:r>
      <w:r w:rsidR="00664A39">
        <w:rPr>
          <w:sz w:val="22"/>
          <w:szCs w:val="22"/>
        </w:rPr>
        <w:t xml:space="preserve">The most recent papers presented by the STAP at the June 2019 Council </w:t>
      </w:r>
      <w:r w:rsidR="00B45496">
        <w:rPr>
          <w:sz w:val="22"/>
          <w:szCs w:val="22"/>
        </w:rPr>
        <w:t>were:</w:t>
      </w:r>
      <w:r w:rsidR="00297E34">
        <w:rPr>
          <w:sz w:val="22"/>
          <w:szCs w:val="22"/>
        </w:rPr>
        <w:t xml:space="preserve"> </w:t>
      </w:r>
      <w:r w:rsidR="00B45496" w:rsidRPr="00B45496">
        <w:rPr>
          <w:sz w:val="22"/>
          <w:szCs w:val="22"/>
        </w:rPr>
        <w:t xml:space="preserve"> </w:t>
      </w:r>
      <w:r w:rsidR="00A060A2">
        <w:rPr>
          <w:sz w:val="22"/>
          <w:szCs w:val="22"/>
        </w:rPr>
        <w:t xml:space="preserve">a) </w:t>
      </w:r>
      <w:r w:rsidR="00B45496" w:rsidRPr="00B45496">
        <w:rPr>
          <w:sz w:val="22"/>
          <w:szCs w:val="22"/>
        </w:rPr>
        <w:t>Achieving more enduring outcomes from GEF investment</w:t>
      </w:r>
      <w:r w:rsidR="00A060A2">
        <w:rPr>
          <w:sz w:val="22"/>
          <w:szCs w:val="22"/>
        </w:rPr>
        <w:t>; b</w:t>
      </w:r>
      <w:r w:rsidR="00B45496" w:rsidRPr="00B45496">
        <w:rPr>
          <w:sz w:val="22"/>
          <w:szCs w:val="22"/>
        </w:rPr>
        <w:t>) Climate risk screenin</w:t>
      </w:r>
      <w:r w:rsidR="00A060A2">
        <w:rPr>
          <w:sz w:val="22"/>
          <w:szCs w:val="22"/>
        </w:rPr>
        <w:t>g; c</w:t>
      </w:r>
      <w:r w:rsidR="00B45496" w:rsidRPr="00B45496">
        <w:rPr>
          <w:sz w:val="22"/>
          <w:szCs w:val="22"/>
        </w:rPr>
        <w:t>) Local Commons for Global Benefits</w:t>
      </w:r>
      <w:r w:rsidR="00A060A2">
        <w:rPr>
          <w:sz w:val="22"/>
          <w:szCs w:val="22"/>
        </w:rPr>
        <w:t>; d</w:t>
      </w:r>
      <w:r w:rsidR="00B45496" w:rsidRPr="00B45496">
        <w:rPr>
          <w:sz w:val="22"/>
          <w:szCs w:val="22"/>
        </w:rPr>
        <w:t>) Draft guidelines for Land Degradation Neutrality</w:t>
      </w:r>
      <w:r w:rsidR="00A060A2">
        <w:rPr>
          <w:sz w:val="22"/>
          <w:szCs w:val="22"/>
        </w:rPr>
        <w:t>.</w:t>
      </w:r>
    </w:p>
    <w:p w14:paraId="36F843AA" w14:textId="77777777" w:rsidR="00A060A2" w:rsidRDefault="00A060A2" w:rsidP="00B45496">
      <w:pPr>
        <w:jc w:val="both"/>
        <w:rPr>
          <w:sz w:val="22"/>
          <w:szCs w:val="22"/>
        </w:rPr>
      </w:pPr>
    </w:p>
    <w:p w14:paraId="6D489072" w14:textId="77777777" w:rsidR="00B45496" w:rsidRPr="00B45496" w:rsidRDefault="00B45496" w:rsidP="00B45496">
      <w:pPr>
        <w:jc w:val="both"/>
        <w:rPr>
          <w:sz w:val="22"/>
          <w:szCs w:val="22"/>
        </w:rPr>
      </w:pPr>
      <w:r>
        <w:rPr>
          <w:sz w:val="22"/>
          <w:szCs w:val="22"/>
        </w:rPr>
        <w:t xml:space="preserve">The </w:t>
      </w:r>
      <w:r w:rsidRPr="00B45496">
        <w:rPr>
          <w:sz w:val="22"/>
          <w:szCs w:val="22"/>
        </w:rPr>
        <w:t>STAP participated in the committees which reviewed</w:t>
      </w:r>
      <w:r>
        <w:rPr>
          <w:sz w:val="22"/>
          <w:szCs w:val="22"/>
        </w:rPr>
        <w:t xml:space="preserve"> </w:t>
      </w:r>
      <w:r w:rsidRPr="00B45496">
        <w:rPr>
          <w:sz w:val="22"/>
          <w:szCs w:val="22"/>
        </w:rPr>
        <w:t>150 expressions of interest for the Impact Program</w:t>
      </w:r>
      <w:r>
        <w:rPr>
          <w:sz w:val="22"/>
          <w:szCs w:val="22"/>
        </w:rPr>
        <w:t>me</w:t>
      </w:r>
      <w:r w:rsidRPr="00B45496">
        <w:rPr>
          <w:sz w:val="22"/>
          <w:szCs w:val="22"/>
        </w:rPr>
        <w:t>s, and also provided overarching comments on</w:t>
      </w:r>
      <w:r>
        <w:rPr>
          <w:sz w:val="22"/>
          <w:szCs w:val="22"/>
        </w:rPr>
        <w:t xml:space="preserve"> </w:t>
      </w:r>
      <w:r w:rsidRPr="00B45496">
        <w:rPr>
          <w:sz w:val="22"/>
          <w:szCs w:val="22"/>
        </w:rPr>
        <w:t>each of the</w:t>
      </w:r>
      <w:r>
        <w:rPr>
          <w:sz w:val="22"/>
          <w:szCs w:val="22"/>
        </w:rPr>
        <w:t xml:space="preserve"> Impact Programmes.</w:t>
      </w:r>
      <w:r w:rsidRPr="00B45496">
        <w:rPr>
          <w:sz w:val="22"/>
          <w:szCs w:val="22"/>
        </w:rPr>
        <w:t xml:space="preserve"> STAP provided advice to the agencies on six issues STAP would look at in particular when</w:t>
      </w:r>
      <w:r>
        <w:rPr>
          <w:sz w:val="22"/>
          <w:szCs w:val="22"/>
        </w:rPr>
        <w:t xml:space="preserve"> </w:t>
      </w:r>
      <w:r w:rsidRPr="00B45496">
        <w:rPr>
          <w:sz w:val="22"/>
          <w:szCs w:val="22"/>
        </w:rPr>
        <w:t xml:space="preserve">screening </w:t>
      </w:r>
      <w:r>
        <w:rPr>
          <w:sz w:val="22"/>
          <w:szCs w:val="22"/>
        </w:rPr>
        <w:t>proposals under the Impact Programmes</w:t>
      </w:r>
      <w:r w:rsidRPr="00B45496">
        <w:rPr>
          <w:sz w:val="22"/>
          <w:szCs w:val="22"/>
        </w:rPr>
        <w:t xml:space="preserve"> to help promote innovation, integration, and transformation: innovation; barriers to</w:t>
      </w:r>
      <w:r>
        <w:rPr>
          <w:sz w:val="22"/>
          <w:szCs w:val="22"/>
        </w:rPr>
        <w:t xml:space="preserve"> </w:t>
      </w:r>
      <w:r w:rsidRPr="00B45496">
        <w:rPr>
          <w:sz w:val="22"/>
          <w:szCs w:val="22"/>
        </w:rPr>
        <w:t>transformation; interactions and trade-offs in global environmental benefit</w:t>
      </w:r>
      <w:r>
        <w:rPr>
          <w:sz w:val="22"/>
          <w:szCs w:val="22"/>
        </w:rPr>
        <w:t>s</w:t>
      </w:r>
      <w:r w:rsidRPr="00B45496">
        <w:rPr>
          <w:sz w:val="22"/>
          <w:szCs w:val="22"/>
        </w:rPr>
        <w:t>; multi-stakeholder</w:t>
      </w:r>
    </w:p>
    <w:p w14:paraId="13DA4E64" w14:textId="77777777" w:rsidR="00B45496" w:rsidRPr="00967EA3" w:rsidRDefault="00B45496" w:rsidP="00B45496">
      <w:pPr>
        <w:jc w:val="both"/>
        <w:rPr>
          <w:sz w:val="22"/>
          <w:szCs w:val="22"/>
        </w:rPr>
      </w:pPr>
      <w:r w:rsidRPr="00B45496">
        <w:rPr>
          <w:sz w:val="22"/>
          <w:szCs w:val="22"/>
        </w:rPr>
        <w:t>processes; theory of change; and monitoring, evaluation and learning</w:t>
      </w:r>
      <w:r>
        <w:rPr>
          <w:sz w:val="22"/>
          <w:szCs w:val="22"/>
        </w:rPr>
        <w:t>.</w:t>
      </w:r>
    </w:p>
    <w:p w14:paraId="38FE183D" w14:textId="77777777" w:rsidR="0008370B" w:rsidRPr="00967EA3" w:rsidRDefault="0008370B" w:rsidP="0008370B">
      <w:pPr>
        <w:jc w:val="both"/>
        <w:rPr>
          <w:sz w:val="22"/>
          <w:szCs w:val="22"/>
        </w:rPr>
      </w:pPr>
    </w:p>
    <w:p w14:paraId="06F4A1B3" w14:textId="77777777" w:rsidR="0008370B" w:rsidRPr="00967EA3" w:rsidRDefault="0008370B" w:rsidP="0008370B">
      <w:pPr>
        <w:jc w:val="both"/>
        <w:rPr>
          <w:sz w:val="22"/>
          <w:szCs w:val="22"/>
        </w:rPr>
      </w:pPr>
      <w:r w:rsidRPr="00967EA3">
        <w:rPr>
          <w:sz w:val="22"/>
          <w:szCs w:val="22"/>
        </w:rPr>
        <w:t xml:space="preserve">A survey carried out for the independent evaluation of GEF6 found that overall, 70 percent of survey respondents agreed that the STAP provides high-quality knowledge- based guidance to the </w:t>
      </w:r>
      <w:r w:rsidR="00AD2CF1" w:rsidRPr="00967EA3">
        <w:rPr>
          <w:sz w:val="22"/>
          <w:szCs w:val="22"/>
        </w:rPr>
        <w:t>GEF but</w:t>
      </w:r>
      <w:r w:rsidRPr="00967EA3">
        <w:rPr>
          <w:sz w:val="22"/>
          <w:szCs w:val="22"/>
        </w:rPr>
        <w:t xml:space="preserve"> feel it should play a stronger unifying role across the partnership.  The GEF Council members regard the STAP’s screening of project proposals as an important contribution to quality at entry.  At the time of </w:t>
      </w:r>
      <w:r w:rsidR="00AD2CF1" w:rsidRPr="00967EA3">
        <w:rPr>
          <w:sz w:val="22"/>
          <w:szCs w:val="22"/>
        </w:rPr>
        <w:t>analysis,</w:t>
      </w:r>
      <w:r w:rsidRPr="00967EA3">
        <w:rPr>
          <w:sz w:val="22"/>
          <w:szCs w:val="22"/>
        </w:rPr>
        <w:t xml:space="preserve"> the STAP had identified 14 of 149 projects (9 percent) as having major issues to address during GEF6 which led to subsequent remedial action.</w:t>
      </w:r>
    </w:p>
    <w:p w14:paraId="71EBF2B7" w14:textId="77777777" w:rsidR="0008370B" w:rsidRPr="00967EA3" w:rsidRDefault="0008370B" w:rsidP="0008370B">
      <w:pPr>
        <w:jc w:val="both"/>
        <w:rPr>
          <w:sz w:val="22"/>
          <w:szCs w:val="22"/>
        </w:rPr>
      </w:pPr>
    </w:p>
    <w:p w14:paraId="03CB5A82" w14:textId="77777777" w:rsidR="0008370B" w:rsidRPr="00967EA3" w:rsidRDefault="0008370B" w:rsidP="0008370B">
      <w:pPr>
        <w:jc w:val="both"/>
        <w:rPr>
          <w:sz w:val="22"/>
          <w:szCs w:val="22"/>
        </w:rPr>
      </w:pPr>
      <w:r w:rsidRPr="00967EA3">
        <w:rPr>
          <w:sz w:val="22"/>
          <w:szCs w:val="22"/>
        </w:rPr>
        <w:t xml:space="preserve">Further detail on the STAP is available at </w:t>
      </w:r>
      <w:hyperlink r:id="rId15" w:history="1">
        <w:r w:rsidRPr="00967EA3">
          <w:rPr>
            <w:rStyle w:val="Hyperlink"/>
            <w:color w:val="auto"/>
            <w:sz w:val="22"/>
            <w:szCs w:val="22"/>
          </w:rPr>
          <w:t>http://www.stapgef.org</w:t>
        </w:r>
      </w:hyperlink>
      <w:r w:rsidRPr="00967EA3">
        <w:rPr>
          <w:sz w:val="22"/>
          <w:szCs w:val="22"/>
        </w:rPr>
        <w:t>.</w:t>
      </w:r>
    </w:p>
    <w:p w14:paraId="2B5BE2CD" w14:textId="77777777" w:rsidR="0008370B" w:rsidRDefault="0008370B" w:rsidP="0008370B">
      <w:pPr>
        <w:rPr>
          <w:b/>
          <w:sz w:val="22"/>
          <w:szCs w:val="22"/>
        </w:rPr>
      </w:pPr>
    </w:p>
    <w:p w14:paraId="7F18A770" w14:textId="77777777" w:rsidR="0008370B" w:rsidRPr="00F70DBE" w:rsidRDefault="0008370B" w:rsidP="0008370B">
      <w:pPr>
        <w:rPr>
          <w:b/>
          <w:sz w:val="22"/>
          <w:szCs w:val="22"/>
        </w:rPr>
      </w:pPr>
      <w:r>
        <w:rPr>
          <w:b/>
          <w:sz w:val="22"/>
          <w:szCs w:val="22"/>
        </w:rPr>
        <w:t>Learning</w:t>
      </w:r>
    </w:p>
    <w:p w14:paraId="6FDC7323" w14:textId="77777777" w:rsidR="0008370B" w:rsidRPr="00F70DBE" w:rsidRDefault="0008370B" w:rsidP="0008370B">
      <w:pPr>
        <w:rPr>
          <w:sz w:val="22"/>
          <w:szCs w:val="22"/>
        </w:rPr>
      </w:pPr>
    </w:p>
    <w:p w14:paraId="773A04DD" w14:textId="77777777" w:rsidR="004C071A" w:rsidRPr="004C071A" w:rsidRDefault="0008370B" w:rsidP="004C071A">
      <w:pPr>
        <w:pStyle w:val="Pa14"/>
        <w:spacing w:after="80"/>
        <w:jc w:val="both"/>
        <w:rPr>
          <w:rFonts w:ascii="Arial" w:hAnsi="Arial" w:cs="Arial"/>
          <w:color w:val="000000"/>
          <w:sz w:val="22"/>
          <w:szCs w:val="22"/>
        </w:rPr>
      </w:pPr>
      <w:r w:rsidRPr="00F448CF">
        <w:rPr>
          <w:rFonts w:ascii="Arial" w:hAnsi="Arial" w:cs="Arial"/>
          <w:sz w:val="22"/>
          <w:szCs w:val="22"/>
        </w:rPr>
        <w:t>The relevance of knowledge management to the GEF mandate has been increasingly recognised, and efforts to improve knowledge management in the partnership have been made on several fronts</w:t>
      </w:r>
      <w:r w:rsidRPr="00F448CF">
        <w:rPr>
          <w:rStyle w:val="FootnoteReference"/>
          <w:rFonts w:ascii="Arial" w:hAnsi="Arial" w:cs="Arial"/>
          <w:sz w:val="22"/>
          <w:szCs w:val="22"/>
        </w:rPr>
        <w:footnoteReference w:id="12"/>
      </w:r>
      <w:r w:rsidRPr="00F448CF">
        <w:rPr>
          <w:rFonts w:ascii="Arial" w:hAnsi="Arial" w:cs="Arial"/>
          <w:sz w:val="22"/>
          <w:szCs w:val="22"/>
        </w:rPr>
        <w:t xml:space="preserve">. </w:t>
      </w:r>
      <w:r w:rsidRPr="00F448CF">
        <w:rPr>
          <w:rFonts w:ascii="Arial" w:hAnsi="Arial" w:cs="Arial"/>
          <w:color w:val="000000"/>
          <w:sz w:val="22"/>
          <w:szCs w:val="22"/>
        </w:rPr>
        <w:t>The GEF 2020 Strategy</w:t>
      </w:r>
      <w:r w:rsidRPr="00F448CF">
        <w:rPr>
          <w:rStyle w:val="A12"/>
          <w:rFonts w:ascii="Arial" w:hAnsi="Arial" w:cs="Arial"/>
          <w:sz w:val="22"/>
          <w:szCs w:val="22"/>
        </w:rPr>
        <w:t xml:space="preserve"> </w:t>
      </w:r>
      <w:r w:rsidRPr="00F448CF">
        <w:rPr>
          <w:rFonts w:ascii="Arial" w:hAnsi="Arial" w:cs="Arial"/>
          <w:color w:val="000000"/>
          <w:sz w:val="22"/>
          <w:szCs w:val="22"/>
        </w:rPr>
        <w:t>emphasi</w:t>
      </w:r>
      <w:r w:rsidR="00F047B8">
        <w:rPr>
          <w:rFonts w:ascii="Arial" w:hAnsi="Arial" w:cs="Arial"/>
          <w:color w:val="000000"/>
          <w:sz w:val="22"/>
          <w:szCs w:val="22"/>
        </w:rPr>
        <w:t>s</w:t>
      </w:r>
      <w:r w:rsidRPr="00F448CF">
        <w:rPr>
          <w:rFonts w:ascii="Arial" w:hAnsi="Arial" w:cs="Arial"/>
          <w:color w:val="000000"/>
          <w:sz w:val="22"/>
          <w:szCs w:val="22"/>
        </w:rPr>
        <w:t>ed the need to generate knowledge as a priority. The GEF has co-published, with the World Bank, guidance on how to share knowledge across different stakeholders, and in multiple set</w:t>
      </w:r>
      <w:r w:rsidRPr="00F448CF">
        <w:rPr>
          <w:rFonts w:ascii="Arial" w:hAnsi="Arial" w:cs="Arial"/>
          <w:color w:val="000000"/>
          <w:sz w:val="22"/>
          <w:szCs w:val="22"/>
        </w:rPr>
        <w:softHyphen/>
        <w:t>tings</w:t>
      </w:r>
      <w:r w:rsidRPr="00F448CF">
        <w:rPr>
          <w:rStyle w:val="FootnoteReference"/>
          <w:rFonts w:ascii="Arial" w:hAnsi="Arial" w:cs="Arial"/>
          <w:color w:val="000000"/>
          <w:sz w:val="22"/>
          <w:szCs w:val="22"/>
        </w:rPr>
        <w:footnoteReference w:id="13"/>
      </w:r>
      <w:r w:rsidRPr="00F448CF">
        <w:rPr>
          <w:rStyle w:val="A12"/>
          <w:rFonts w:ascii="Arial" w:hAnsi="Arial" w:cs="Arial"/>
          <w:sz w:val="22"/>
          <w:szCs w:val="22"/>
        </w:rPr>
        <w:t xml:space="preserve"> </w:t>
      </w:r>
      <w:r w:rsidRPr="00F448CF">
        <w:rPr>
          <w:rFonts w:ascii="Arial" w:hAnsi="Arial" w:cs="Arial"/>
          <w:color w:val="000000"/>
          <w:sz w:val="22"/>
          <w:szCs w:val="22"/>
        </w:rPr>
        <w:t xml:space="preserve">(“The Art of Knowledge Exchange Guide: A Results–Based Planning Guide for the GEF Partnership”). </w:t>
      </w:r>
    </w:p>
    <w:p w14:paraId="07D99BEF" w14:textId="77777777" w:rsidR="0008370B" w:rsidRPr="00F448CF" w:rsidRDefault="0008370B" w:rsidP="0008370B">
      <w:pPr>
        <w:jc w:val="both"/>
        <w:rPr>
          <w:rFonts w:cs="Arial"/>
          <w:sz w:val="22"/>
          <w:szCs w:val="22"/>
        </w:rPr>
      </w:pPr>
      <w:r w:rsidRPr="00F448CF">
        <w:rPr>
          <w:rFonts w:cs="Arial"/>
          <w:color w:val="000000"/>
          <w:sz w:val="22"/>
          <w:szCs w:val="22"/>
        </w:rPr>
        <w:t>The GEF also set-up the knowledge management advisory group to discuss activities, to elicit feedback across the agencies and with STAP, and to strengthen the implementation of knowledge management in the partner</w:t>
      </w:r>
      <w:r w:rsidRPr="00F448CF">
        <w:rPr>
          <w:rFonts w:cs="Arial"/>
          <w:color w:val="000000"/>
          <w:sz w:val="22"/>
          <w:szCs w:val="22"/>
        </w:rPr>
        <w:softHyphen/>
        <w:t>ship. The sixth evaluation of the GEF (Sixth Overall Performance Study, OPS6)</w:t>
      </w:r>
      <w:r w:rsidRPr="00F448CF">
        <w:rPr>
          <w:rStyle w:val="FootnoteReference"/>
          <w:rFonts w:cs="Arial"/>
          <w:color w:val="000000"/>
          <w:sz w:val="22"/>
          <w:szCs w:val="22"/>
        </w:rPr>
        <w:footnoteReference w:id="14"/>
      </w:r>
      <w:r w:rsidRPr="00F448CF">
        <w:rPr>
          <w:rStyle w:val="A12"/>
          <w:rFonts w:cs="Arial"/>
          <w:sz w:val="22"/>
          <w:szCs w:val="22"/>
        </w:rPr>
        <w:t xml:space="preserve"> </w:t>
      </w:r>
      <w:r w:rsidRPr="00F448CF">
        <w:rPr>
          <w:rFonts w:cs="Arial"/>
          <w:color w:val="000000"/>
          <w:sz w:val="22"/>
          <w:szCs w:val="22"/>
        </w:rPr>
        <w:t>recogni</w:t>
      </w:r>
      <w:r w:rsidR="00710B0D">
        <w:rPr>
          <w:rFonts w:cs="Arial"/>
          <w:color w:val="000000"/>
          <w:sz w:val="22"/>
          <w:szCs w:val="22"/>
        </w:rPr>
        <w:t>s</w:t>
      </w:r>
      <w:r w:rsidRPr="00F448CF">
        <w:rPr>
          <w:rFonts w:cs="Arial"/>
          <w:color w:val="000000"/>
          <w:sz w:val="22"/>
          <w:szCs w:val="22"/>
        </w:rPr>
        <w:t>es these and other accomplishments on KM led by the GEF Secretariat.</w:t>
      </w:r>
    </w:p>
    <w:p w14:paraId="423FC6DD" w14:textId="77777777" w:rsidR="0008370B" w:rsidRPr="00F448CF" w:rsidRDefault="0008370B" w:rsidP="0008370B">
      <w:pPr>
        <w:jc w:val="both"/>
        <w:rPr>
          <w:sz w:val="22"/>
          <w:szCs w:val="22"/>
        </w:rPr>
      </w:pPr>
    </w:p>
    <w:p w14:paraId="23BCD81D" w14:textId="77777777" w:rsidR="0008370B" w:rsidRDefault="0008370B" w:rsidP="0008370B">
      <w:pPr>
        <w:jc w:val="both"/>
        <w:rPr>
          <w:sz w:val="22"/>
          <w:szCs w:val="22"/>
        </w:rPr>
      </w:pPr>
      <w:r>
        <w:rPr>
          <w:sz w:val="22"/>
          <w:szCs w:val="22"/>
        </w:rPr>
        <w:t>The STAP have acknowledged some progress in their ‘Managing Knowledge for a Sustainable Future’ document</w:t>
      </w:r>
      <w:r>
        <w:rPr>
          <w:rStyle w:val="FootnoteReference"/>
          <w:sz w:val="22"/>
          <w:szCs w:val="22"/>
        </w:rPr>
        <w:footnoteReference w:id="15"/>
      </w:r>
      <w:r>
        <w:rPr>
          <w:sz w:val="22"/>
          <w:szCs w:val="22"/>
        </w:rPr>
        <w:t xml:space="preserve"> but argue that more remains to be done, reiterating their previous recommendations from 2015 on systematic knowledge management processes, progress indicators to be included in monitoring and evaluation and the Results-Based Management system as well as creating incentives for dissemination of project outputs, among other recommendations. </w:t>
      </w:r>
    </w:p>
    <w:p w14:paraId="1EBBA37C" w14:textId="77777777" w:rsidR="0008370B" w:rsidRDefault="0008370B" w:rsidP="0008370B">
      <w:pPr>
        <w:jc w:val="both"/>
        <w:rPr>
          <w:sz w:val="22"/>
          <w:szCs w:val="22"/>
        </w:rPr>
      </w:pPr>
    </w:p>
    <w:p w14:paraId="1F7B8272" w14:textId="77777777" w:rsidR="0008370B" w:rsidRPr="00967EA3" w:rsidRDefault="0008370B" w:rsidP="0008370B">
      <w:pPr>
        <w:jc w:val="both"/>
        <w:rPr>
          <w:sz w:val="22"/>
          <w:szCs w:val="22"/>
        </w:rPr>
      </w:pPr>
      <w:r w:rsidRPr="00967EA3">
        <w:rPr>
          <w:sz w:val="22"/>
          <w:szCs w:val="22"/>
        </w:rPr>
        <w:t xml:space="preserve">The 2018 PCR </w:t>
      </w:r>
      <w:r>
        <w:rPr>
          <w:sz w:val="22"/>
          <w:szCs w:val="22"/>
        </w:rPr>
        <w:t>also</w:t>
      </w:r>
      <w:r w:rsidRPr="00967EA3">
        <w:rPr>
          <w:sz w:val="22"/>
          <w:szCs w:val="22"/>
        </w:rPr>
        <w:t xml:space="preserve"> include</w:t>
      </w:r>
      <w:r>
        <w:rPr>
          <w:sz w:val="22"/>
          <w:szCs w:val="22"/>
        </w:rPr>
        <w:t>s</w:t>
      </w:r>
      <w:r w:rsidRPr="00967EA3">
        <w:rPr>
          <w:sz w:val="22"/>
          <w:szCs w:val="22"/>
        </w:rPr>
        <w:t xml:space="preserve"> a recommendation on Knowledge Management, including options for an IT-based GEF Knowledge and Learning Platform to be operational in GEF7.</w:t>
      </w:r>
      <w:r>
        <w:rPr>
          <w:sz w:val="22"/>
          <w:szCs w:val="22"/>
        </w:rPr>
        <w:t xml:space="preserve"> </w:t>
      </w:r>
      <w:r w:rsidRPr="00967EA3">
        <w:rPr>
          <w:sz w:val="22"/>
          <w:szCs w:val="22"/>
        </w:rPr>
        <w:t>The UK will continue to press for progress on standardisation and the IT systems capable of facilitating it during GEF7.</w:t>
      </w:r>
    </w:p>
    <w:p w14:paraId="6048244E" w14:textId="77777777" w:rsidR="0008370B" w:rsidRPr="00F70DBE" w:rsidRDefault="0008370B" w:rsidP="0008370B">
      <w:pPr>
        <w:rPr>
          <w:rFonts w:cs="Arial"/>
          <w:sz w:val="22"/>
          <w:szCs w:val="22"/>
        </w:rPr>
      </w:pPr>
    </w:p>
    <w:p w14:paraId="4AA5BCD2" w14:textId="77777777" w:rsidR="0008370B" w:rsidRDefault="0008370B" w:rsidP="0008370B">
      <w:pPr>
        <w:rPr>
          <w:sz w:val="22"/>
          <w:szCs w:val="22"/>
        </w:rPr>
      </w:pPr>
      <w:r>
        <w:rPr>
          <w:b/>
          <w:sz w:val="22"/>
          <w:szCs w:val="22"/>
        </w:rPr>
        <w:t>Progress on recommendations from previous reviews</w:t>
      </w:r>
    </w:p>
    <w:p w14:paraId="5349A120" w14:textId="77777777" w:rsidR="0008370B" w:rsidRPr="00967EA3" w:rsidRDefault="0008370B" w:rsidP="0008370B">
      <w:pPr>
        <w:rPr>
          <w:sz w:val="22"/>
          <w:szCs w:val="22"/>
        </w:rPr>
      </w:pPr>
    </w:p>
    <w:p w14:paraId="4AB7247D" w14:textId="77777777" w:rsidR="0008370B" w:rsidRDefault="0008370B" w:rsidP="00A060A2">
      <w:pPr>
        <w:tabs>
          <w:tab w:val="left" w:pos="6030"/>
        </w:tabs>
        <w:rPr>
          <w:bCs/>
          <w:sz w:val="22"/>
          <w:szCs w:val="22"/>
        </w:rPr>
      </w:pPr>
      <w:r w:rsidRPr="00967EA3">
        <w:rPr>
          <w:bCs/>
          <w:sz w:val="22"/>
          <w:szCs w:val="22"/>
        </w:rPr>
        <w:t xml:space="preserve">This is the first AR under the 7th replenishment of GEF. </w:t>
      </w:r>
      <w:r w:rsidR="00A060A2">
        <w:rPr>
          <w:bCs/>
          <w:sz w:val="22"/>
          <w:szCs w:val="22"/>
        </w:rPr>
        <w:tab/>
      </w:r>
    </w:p>
    <w:p w14:paraId="6EFF9D68" w14:textId="77777777" w:rsidR="00A060A2" w:rsidRPr="00967EA3" w:rsidRDefault="00A060A2" w:rsidP="00A060A2">
      <w:pPr>
        <w:tabs>
          <w:tab w:val="left" w:pos="6030"/>
        </w:tabs>
        <w:rPr>
          <w:bCs/>
          <w:sz w:val="22"/>
          <w:szCs w:val="22"/>
        </w:rPr>
      </w:pPr>
    </w:p>
    <w:p w14:paraId="5F46A25B" w14:textId="77777777" w:rsidR="00A10ACE" w:rsidRDefault="00A10ACE" w:rsidP="00A060A2">
      <w:pPr>
        <w:keepNext/>
        <w:outlineLvl w:val="1"/>
      </w:pPr>
    </w:p>
    <w:sectPr w:rsidR="00A10ACE" w:rsidSect="00F53393">
      <w:footerReference w:type="default" r:id="rId16"/>
      <w:pgSz w:w="11906" w:h="16838" w:code="9"/>
      <w:pgMar w:top="719" w:right="851" w:bottom="1134" w:left="851" w:header="709" w:footer="709" w:gutter="0"/>
      <w:pgBorders w:offsetFrom="page">
        <w:top w:val="single" w:sz="4" w:space="24" w:color="auto"/>
        <w:left w:val="single" w:sz="4" w:space="24" w:color="auto"/>
        <w:bottom w:val="single" w:sz="4" w:space="24" w:color="auto"/>
        <w:right w:val="single" w:sz="4" w:space="24" w:color="auto"/>
      </w:pgBorders>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BE08" w14:textId="77777777" w:rsidR="00AA3051" w:rsidRDefault="00AA3051">
      <w:r>
        <w:separator/>
      </w:r>
    </w:p>
  </w:endnote>
  <w:endnote w:type="continuationSeparator" w:id="0">
    <w:p w14:paraId="3081438A" w14:textId="77777777" w:rsidR="00AA3051" w:rsidRDefault="00AA3051">
      <w:r>
        <w:continuationSeparator/>
      </w:r>
    </w:p>
  </w:endnote>
  <w:endnote w:type="continuationNotice" w:id="1">
    <w:p w14:paraId="6F22C1DD" w14:textId="77777777" w:rsidR="00AA3051" w:rsidRDefault="00AA3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Tw Cen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814594"/>
      <w:docPartObj>
        <w:docPartGallery w:val="Page Numbers (Bottom of Page)"/>
        <w:docPartUnique/>
      </w:docPartObj>
    </w:sdtPr>
    <w:sdtEndPr>
      <w:rPr>
        <w:noProof/>
      </w:rPr>
    </w:sdtEndPr>
    <w:sdtContent>
      <w:p w14:paraId="6199BBEB" w14:textId="77777777" w:rsidR="00B45496" w:rsidRDefault="00B454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B11E4" w14:textId="77777777" w:rsidR="00B45496" w:rsidRDefault="00B4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3378" w14:textId="77777777" w:rsidR="00B45496" w:rsidRPr="00A060A2" w:rsidRDefault="00B45496" w:rsidP="00A0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620F" w14:textId="77777777" w:rsidR="00AA3051" w:rsidRDefault="00AA3051">
      <w:r>
        <w:separator/>
      </w:r>
    </w:p>
  </w:footnote>
  <w:footnote w:type="continuationSeparator" w:id="0">
    <w:p w14:paraId="6B9D6F09" w14:textId="77777777" w:rsidR="00AA3051" w:rsidRDefault="00AA3051">
      <w:r>
        <w:continuationSeparator/>
      </w:r>
    </w:p>
  </w:footnote>
  <w:footnote w:type="continuationNotice" w:id="1">
    <w:p w14:paraId="1890CCEF" w14:textId="77777777" w:rsidR="00AA3051" w:rsidRDefault="00AA3051"/>
  </w:footnote>
  <w:footnote w:id="2">
    <w:p w14:paraId="136C7CEB" w14:textId="77777777" w:rsidR="00B45496" w:rsidRDefault="00B45496">
      <w:pPr>
        <w:pStyle w:val="FootnoteText"/>
      </w:pPr>
      <w:r>
        <w:rPr>
          <w:rStyle w:val="FootnoteReference"/>
        </w:rPr>
        <w:footnoteRef/>
      </w:r>
      <w:r>
        <w:t xml:space="preserve"> </w:t>
      </w:r>
      <w:r w:rsidRPr="0027175B">
        <w:rPr>
          <w:sz w:val="16"/>
          <w:szCs w:val="16"/>
        </w:rPr>
        <w:t xml:space="preserve">More information </w:t>
      </w:r>
      <w:r>
        <w:rPr>
          <w:sz w:val="16"/>
          <w:szCs w:val="16"/>
        </w:rPr>
        <w:t>on</w:t>
      </w:r>
      <w:r w:rsidRPr="0027175B">
        <w:rPr>
          <w:sz w:val="16"/>
          <w:szCs w:val="16"/>
        </w:rPr>
        <w:t xml:space="preserve"> the core indicators can be found here</w:t>
      </w:r>
      <w:r>
        <w:rPr>
          <w:sz w:val="16"/>
          <w:szCs w:val="16"/>
        </w:rPr>
        <w:t xml:space="preserve"> </w:t>
      </w:r>
      <w:hyperlink r:id="rId1" w:history="1">
        <w:r w:rsidRPr="00181A67">
          <w:rPr>
            <w:rStyle w:val="Hyperlink"/>
            <w:sz w:val="16"/>
            <w:szCs w:val="16"/>
          </w:rPr>
          <w:t>http://www.thegef.org/sites/default/files/council-meeting-documents/EN_GEF.C.54.11.Rev_.02_Results.pdf</w:t>
        </w:r>
      </w:hyperlink>
      <w:r>
        <w:rPr>
          <w:sz w:val="16"/>
          <w:szCs w:val="16"/>
        </w:rPr>
        <w:t xml:space="preserve"> </w:t>
      </w:r>
    </w:p>
  </w:footnote>
  <w:footnote w:id="3">
    <w:p w14:paraId="4401121F" w14:textId="77777777" w:rsidR="000D13DA" w:rsidRDefault="000D13DA">
      <w:pPr>
        <w:pStyle w:val="FootnoteText"/>
      </w:pPr>
      <w:r>
        <w:rPr>
          <w:rStyle w:val="FootnoteReference"/>
        </w:rPr>
        <w:footnoteRef/>
      </w:r>
      <w:r w:rsidRPr="005E00AA">
        <w:rPr>
          <w:sz w:val="16"/>
          <w:szCs w:val="16"/>
        </w:rPr>
        <w:t xml:space="preserve"> </w:t>
      </w:r>
      <w:hyperlink r:id="rId2" w:history="1">
        <w:r w:rsidR="005E00AA" w:rsidRPr="005E00AA">
          <w:rPr>
            <w:rStyle w:val="Hyperlink"/>
            <w:sz w:val="16"/>
            <w:szCs w:val="16"/>
          </w:rPr>
          <w:t>GEF-7-STAR.pdf</w:t>
        </w:r>
      </w:hyperlink>
    </w:p>
    <w:p w14:paraId="7821056D" w14:textId="77777777" w:rsidR="005E00AA" w:rsidRDefault="005E00AA">
      <w:pPr>
        <w:pStyle w:val="FootnoteText"/>
      </w:pPr>
    </w:p>
  </w:footnote>
  <w:footnote w:id="4">
    <w:p w14:paraId="25DA2275" w14:textId="77777777" w:rsidR="00B45496" w:rsidRDefault="00B45496">
      <w:pPr>
        <w:pStyle w:val="FootnoteText"/>
      </w:pPr>
      <w:r>
        <w:rPr>
          <w:rStyle w:val="FootnoteReference"/>
        </w:rPr>
        <w:footnoteRef/>
      </w:r>
      <w:r>
        <w:t xml:space="preserve"> </w:t>
      </w:r>
      <w:hyperlink r:id="rId3" w:history="1">
        <w:r w:rsidRPr="00441063">
          <w:rPr>
            <w:rStyle w:val="Hyperlink"/>
            <w:sz w:val="16"/>
            <w:szCs w:val="16"/>
          </w:rPr>
          <w:t>GEF/Trustee</w:t>
        </w:r>
        <w:r>
          <w:rPr>
            <w:rStyle w:val="Hyperlink"/>
            <w:sz w:val="16"/>
            <w:szCs w:val="16"/>
          </w:rPr>
          <w:t xml:space="preserve"> </w:t>
        </w:r>
        <w:r w:rsidRPr="00441063">
          <w:rPr>
            <w:rStyle w:val="Hyperlink"/>
            <w:sz w:val="16"/>
            <w:szCs w:val="16"/>
          </w:rPr>
          <w:t>Reports/GEF</w:t>
        </w:r>
        <w:r>
          <w:rPr>
            <w:rStyle w:val="Hyperlink"/>
            <w:sz w:val="16"/>
            <w:szCs w:val="16"/>
          </w:rPr>
          <w:t xml:space="preserve"> </w:t>
        </w:r>
        <w:r w:rsidRPr="00441063">
          <w:rPr>
            <w:rStyle w:val="Hyperlink"/>
            <w:sz w:val="16"/>
            <w:szCs w:val="16"/>
          </w:rPr>
          <w:t>03_19</w:t>
        </w:r>
      </w:hyperlink>
    </w:p>
  </w:footnote>
  <w:footnote w:id="5">
    <w:p w14:paraId="3C689FB9" w14:textId="77777777" w:rsidR="00B45496" w:rsidRDefault="00B45496" w:rsidP="00486B83">
      <w:pPr>
        <w:pStyle w:val="FootnoteText"/>
      </w:pPr>
      <w:r>
        <w:rPr>
          <w:rStyle w:val="FootnoteReference"/>
        </w:rPr>
        <w:footnoteRef/>
      </w:r>
      <w:r>
        <w:t xml:space="preserve"> </w:t>
      </w:r>
      <w:r w:rsidRPr="005C7C5B">
        <w:rPr>
          <w:sz w:val="16"/>
          <w:szCs w:val="16"/>
        </w:rPr>
        <w:t>The projection of FY19 actual expenditures include data for actual spending through April 30, 2019, and a projected spending during the remaining weeks of the fiscal year, which ends on June 30, 2019</w:t>
      </w:r>
    </w:p>
  </w:footnote>
  <w:footnote w:id="6">
    <w:p w14:paraId="14C43F0C" w14:textId="77777777" w:rsidR="00B45496" w:rsidRPr="00F27D70" w:rsidRDefault="00B45496">
      <w:pPr>
        <w:pStyle w:val="FootnoteText"/>
        <w:rPr>
          <w:sz w:val="16"/>
          <w:szCs w:val="16"/>
        </w:rPr>
      </w:pPr>
      <w:r w:rsidRPr="00F27D70">
        <w:rPr>
          <w:rStyle w:val="FootnoteReference"/>
          <w:sz w:val="16"/>
          <w:szCs w:val="16"/>
        </w:rPr>
        <w:footnoteRef/>
      </w:r>
      <w:r w:rsidRPr="00F27D70">
        <w:rPr>
          <w:sz w:val="16"/>
          <w:szCs w:val="16"/>
        </w:rPr>
        <w:t xml:space="preserve"> </w:t>
      </w:r>
      <w:hyperlink r:id="rId4" w:history="1">
        <w:r w:rsidRPr="00F27D70">
          <w:rPr>
            <w:rStyle w:val="Hyperlink"/>
            <w:sz w:val="16"/>
            <w:szCs w:val="16"/>
          </w:rPr>
          <w:t>Business Plan and Corporate Budget FY20.pdf</w:t>
        </w:r>
      </w:hyperlink>
    </w:p>
    <w:p w14:paraId="47B363BC" w14:textId="77777777" w:rsidR="00B45496" w:rsidRDefault="00B45496">
      <w:pPr>
        <w:pStyle w:val="FootnoteText"/>
      </w:pPr>
    </w:p>
  </w:footnote>
  <w:footnote w:id="7">
    <w:p w14:paraId="4805FBDD" w14:textId="77777777" w:rsidR="00B45496" w:rsidRDefault="00B45496">
      <w:pPr>
        <w:pStyle w:val="FootnoteText"/>
        <w:rPr>
          <w:sz w:val="16"/>
          <w:szCs w:val="16"/>
        </w:rPr>
      </w:pPr>
      <w:r>
        <w:rPr>
          <w:rStyle w:val="FootnoteReference"/>
        </w:rPr>
        <w:footnoteRef/>
      </w:r>
      <w:r>
        <w:t xml:space="preserve"> </w:t>
      </w:r>
      <w:hyperlink r:id="rId5" w:history="1">
        <w:r w:rsidRPr="005A206F">
          <w:rPr>
            <w:rStyle w:val="Hyperlink"/>
            <w:sz w:val="16"/>
            <w:szCs w:val="16"/>
          </w:rPr>
          <w:t>Annual_Performance_Report_May_2019</w:t>
        </w:r>
      </w:hyperlink>
    </w:p>
    <w:p w14:paraId="289C1B96" w14:textId="77777777" w:rsidR="00B45496" w:rsidRDefault="00B45496">
      <w:pPr>
        <w:pStyle w:val="FootnoteText"/>
      </w:pPr>
    </w:p>
  </w:footnote>
  <w:footnote w:id="8">
    <w:p w14:paraId="07DB1C37" w14:textId="77777777" w:rsidR="00B45496" w:rsidRPr="00AA40E1" w:rsidRDefault="00B45496">
      <w:pPr>
        <w:pStyle w:val="FootnoteText"/>
        <w:rPr>
          <w:sz w:val="16"/>
          <w:szCs w:val="16"/>
        </w:rPr>
      </w:pPr>
      <w:r>
        <w:rPr>
          <w:rStyle w:val="FootnoteReference"/>
        </w:rPr>
        <w:footnoteRef/>
      </w:r>
      <w:r>
        <w:t xml:space="preserve"> </w:t>
      </w:r>
      <w:hyperlink r:id="rId6" w:history="1">
        <w:r w:rsidRPr="00AA40E1">
          <w:rPr>
            <w:rStyle w:val="Hyperlink"/>
            <w:rFonts w:cs="Arial"/>
            <w:sz w:val="16"/>
            <w:szCs w:val="16"/>
            <w:lang w:eastAsia="en-GB"/>
          </w:rPr>
          <w:t>Informing the Council of Possible Non-Compliance with ESS</w:t>
        </w:r>
      </w:hyperlink>
      <w:r w:rsidRPr="00AA40E1">
        <w:rPr>
          <w:rFonts w:cs="Arial"/>
          <w:color w:val="000000" w:themeColor="text1"/>
          <w:sz w:val="16"/>
          <w:szCs w:val="16"/>
          <w:lang w:eastAsia="en-GB"/>
        </w:rPr>
        <w:t> </w:t>
      </w:r>
    </w:p>
  </w:footnote>
  <w:footnote w:id="9">
    <w:p w14:paraId="7BD631D5" w14:textId="77777777" w:rsidR="00B45496" w:rsidRPr="0086693E" w:rsidRDefault="00B45496">
      <w:pPr>
        <w:pStyle w:val="FootnoteText"/>
        <w:rPr>
          <w:sz w:val="16"/>
          <w:szCs w:val="16"/>
        </w:rPr>
      </w:pPr>
      <w:r>
        <w:rPr>
          <w:rStyle w:val="FootnoteReference"/>
        </w:rPr>
        <w:footnoteRef/>
      </w:r>
      <w:r>
        <w:t xml:space="preserve"> </w:t>
      </w:r>
      <w:hyperlink r:id="rId7" w:history="1">
        <w:r w:rsidRPr="0086693E">
          <w:rPr>
            <w:rStyle w:val="Hyperlink"/>
            <w:sz w:val="16"/>
            <w:szCs w:val="16"/>
          </w:rPr>
          <w:t>Status</w:t>
        </w:r>
        <w:r>
          <w:rPr>
            <w:rStyle w:val="Hyperlink"/>
            <w:sz w:val="16"/>
            <w:szCs w:val="16"/>
          </w:rPr>
          <w:t xml:space="preserve"> </w:t>
        </w:r>
        <w:r w:rsidRPr="0086693E">
          <w:rPr>
            <w:rStyle w:val="Hyperlink"/>
            <w:sz w:val="16"/>
            <w:szCs w:val="16"/>
          </w:rPr>
          <w:t>of</w:t>
        </w:r>
        <w:r>
          <w:rPr>
            <w:rStyle w:val="Hyperlink"/>
            <w:sz w:val="16"/>
            <w:szCs w:val="16"/>
          </w:rPr>
          <w:t xml:space="preserve"> </w:t>
        </w:r>
        <w:r w:rsidRPr="0086693E">
          <w:rPr>
            <w:rStyle w:val="Hyperlink"/>
            <w:sz w:val="16"/>
            <w:szCs w:val="16"/>
          </w:rPr>
          <w:t>Agencies</w:t>
        </w:r>
        <w:r>
          <w:rPr>
            <w:rStyle w:val="Hyperlink"/>
            <w:sz w:val="16"/>
            <w:szCs w:val="16"/>
          </w:rPr>
          <w:t xml:space="preserve"> </w:t>
        </w:r>
        <w:r w:rsidRPr="0086693E">
          <w:rPr>
            <w:rStyle w:val="Hyperlink"/>
            <w:sz w:val="16"/>
            <w:szCs w:val="16"/>
          </w:rPr>
          <w:t>Compliance.pdf</w:t>
        </w:r>
      </w:hyperlink>
    </w:p>
    <w:p w14:paraId="6342BFFF" w14:textId="77777777" w:rsidR="00B45496" w:rsidRDefault="00B45496">
      <w:pPr>
        <w:pStyle w:val="FootnoteText"/>
      </w:pPr>
    </w:p>
  </w:footnote>
  <w:footnote w:id="10">
    <w:p w14:paraId="12CC9127" w14:textId="77777777" w:rsidR="00B45496" w:rsidRPr="00F448CF" w:rsidRDefault="00B45496" w:rsidP="0008370B">
      <w:pPr>
        <w:pStyle w:val="FootnoteText"/>
        <w:rPr>
          <w:sz w:val="14"/>
          <w:szCs w:val="14"/>
        </w:rPr>
      </w:pPr>
      <w:r w:rsidRPr="00F448CF">
        <w:rPr>
          <w:rStyle w:val="FootnoteReference"/>
          <w:sz w:val="14"/>
          <w:szCs w:val="14"/>
        </w:rPr>
        <w:footnoteRef/>
      </w:r>
      <w:r w:rsidRPr="00F448CF">
        <w:rPr>
          <w:sz w:val="14"/>
          <w:szCs w:val="14"/>
        </w:rPr>
        <w:t xml:space="preserve"> </w:t>
      </w:r>
      <w:hyperlink r:id="rId8" w:history="1">
        <w:r w:rsidRPr="00F448CF">
          <w:rPr>
            <w:rStyle w:val="Hyperlink"/>
            <w:sz w:val="14"/>
            <w:szCs w:val="14"/>
          </w:rPr>
          <w:t>https://www.thegef.org/sites/default/files/council-meeting-documents/GEF.A6.07_OPS6.pdf</w:t>
        </w:r>
      </w:hyperlink>
    </w:p>
  </w:footnote>
  <w:footnote w:id="11">
    <w:p w14:paraId="4CE92DC7" w14:textId="77777777" w:rsidR="00B45496" w:rsidRDefault="00B45496" w:rsidP="0008370B">
      <w:pPr>
        <w:pStyle w:val="FootnoteText"/>
      </w:pPr>
      <w:r w:rsidRPr="00F448CF">
        <w:rPr>
          <w:rStyle w:val="FootnoteReference"/>
          <w:sz w:val="14"/>
          <w:szCs w:val="14"/>
        </w:rPr>
        <w:footnoteRef/>
      </w:r>
      <w:r w:rsidRPr="00F448CF">
        <w:rPr>
          <w:sz w:val="14"/>
          <w:szCs w:val="14"/>
        </w:rPr>
        <w:t xml:space="preserve"> </w:t>
      </w:r>
      <w:hyperlink r:id="rId9" w:history="1">
        <w:r w:rsidRPr="00F448CF">
          <w:rPr>
            <w:rStyle w:val="Hyperlink"/>
            <w:rFonts w:ascii="Calibri" w:hAnsi="Calibri"/>
            <w:sz w:val="14"/>
            <w:szCs w:val="14"/>
          </w:rPr>
          <w:t>https://www.thegef.org/sites/default/files/council-meeting-documents/EN_GEF.ME_C56_01_SAER_June_2019_.pdf</w:t>
        </w:r>
      </w:hyperlink>
    </w:p>
  </w:footnote>
  <w:footnote w:id="12">
    <w:p w14:paraId="288E165E" w14:textId="77777777" w:rsidR="00B45496" w:rsidRPr="00F448CF" w:rsidRDefault="00B45496" w:rsidP="0008370B">
      <w:pPr>
        <w:pStyle w:val="FootnoteText"/>
        <w:rPr>
          <w:rFonts w:cs="Arial"/>
          <w:sz w:val="14"/>
          <w:szCs w:val="14"/>
        </w:rPr>
      </w:pPr>
      <w:r w:rsidRPr="00F448CF">
        <w:rPr>
          <w:rStyle w:val="FootnoteReference"/>
          <w:rFonts w:cs="Arial"/>
          <w:sz w:val="14"/>
          <w:szCs w:val="14"/>
        </w:rPr>
        <w:footnoteRef/>
      </w:r>
      <w:r w:rsidRPr="00F448CF">
        <w:rPr>
          <w:rFonts w:cs="Arial"/>
          <w:sz w:val="14"/>
          <w:szCs w:val="14"/>
        </w:rPr>
        <w:t xml:space="preserve"> The GEF2020 Strategy emphasises “strategically generating knowledge” as a priority (GEF 2015a, 32). In 2014, the policy recommendations in the GEF</w:t>
      </w:r>
      <w:r w:rsidRPr="00F448CF">
        <w:rPr>
          <w:rFonts w:ascii="MS Gothic" w:eastAsia="MS Gothic" w:hAnsi="MS Gothic" w:cs="MS Gothic" w:hint="eastAsia"/>
          <w:sz w:val="14"/>
          <w:szCs w:val="14"/>
        </w:rPr>
        <w:t>‑</w:t>
      </w:r>
      <w:r w:rsidRPr="00F448CF">
        <w:rPr>
          <w:rFonts w:cs="Arial"/>
          <w:sz w:val="14"/>
          <w:szCs w:val="14"/>
        </w:rPr>
        <w:t>6 Replenishment Document similarly emphasised “the importance of developing a knowledge”. management (KM) system that aims to improve the GEF partnership’s ability to learn by doing and thereby enhance its impact over time” (GEF 2014c, 6).</w:t>
      </w:r>
    </w:p>
  </w:footnote>
  <w:footnote w:id="13">
    <w:p w14:paraId="6DFCDD47" w14:textId="77777777" w:rsidR="00B45496" w:rsidRPr="00F448CF" w:rsidRDefault="00B45496" w:rsidP="0008370B">
      <w:pPr>
        <w:pStyle w:val="FootnoteText"/>
        <w:rPr>
          <w:rFonts w:cs="Arial"/>
          <w:sz w:val="14"/>
          <w:szCs w:val="14"/>
        </w:rPr>
      </w:pPr>
      <w:r w:rsidRPr="00F448CF">
        <w:rPr>
          <w:rStyle w:val="FootnoteReference"/>
          <w:rFonts w:cs="Arial"/>
          <w:sz w:val="14"/>
          <w:szCs w:val="14"/>
        </w:rPr>
        <w:footnoteRef/>
      </w:r>
      <w:r w:rsidRPr="00F448CF">
        <w:rPr>
          <w:rFonts w:cs="Arial"/>
          <w:sz w:val="14"/>
          <w:szCs w:val="14"/>
        </w:rPr>
        <w:t xml:space="preserve"> </w:t>
      </w:r>
      <w:r w:rsidRPr="00F448CF">
        <w:rPr>
          <w:rFonts w:cs="Arial"/>
          <w:color w:val="000000"/>
          <w:sz w:val="14"/>
          <w:szCs w:val="14"/>
        </w:rPr>
        <w:t xml:space="preserve">GEF 2017. “The Art of Knowledge Exchange Guide: A Results –Based Planning Guide for the GEF Partnership”. </w:t>
      </w:r>
      <w:r w:rsidRPr="00F448CF">
        <w:rPr>
          <w:rStyle w:val="A17"/>
          <w:rFonts w:cs="Arial"/>
        </w:rPr>
        <w:t xml:space="preserve">https://www.thegef.org/news/art-knowledge-exchange-results-focused-planning-guide-gef-partnership </w:t>
      </w:r>
      <w:r w:rsidRPr="00F448CF">
        <w:rPr>
          <w:rFonts w:cs="Arial"/>
          <w:color w:val="000000"/>
          <w:sz w:val="14"/>
          <w:szCs w:val="14"/>
        </w:rPr>
        <w:t xml:space="preserve">Last accessed March 21, 2018. </w:t>
      </w:r>
      <w:r w:rsidRPr="00F448CF">
        <w:rPr>
          <w:rFonts w:cs="Arial"/>
          <w:sz w:val="14"/>
          <w:szCs w:val="14"/>
        </w:rPr>
        <w:t xml:space="preserve"> </w:t>
      </w:r>
    </w:p>
  </w:footnote>
  <w:footnote w:id="14">
    <w:p w14:paraId="18C1D16D" w14:textId="77777777" w:rsidR="00B45496" w:rsidRPr="00F448CF" w:rsidRDefault="00B45496" w:rsidP="0008370B">
      <w:pPr>
        <w:pStyle w:val="FootnoteText"/>
        <w:rPr>
          <w:rFonts w:cs="Arial"/>
          <w:sz w:val="14"/>
          <w:szCs w:val="14"/>
        </w:rPr>
      </w:pPr>
      <w:r w:rsidRPr="00F448CF">
        <w:rPr>
          <w:rStyle w:val="FootnoteReference"/>
          <w:rFonts w:cs="Arial"/>
          <w:sz w:val="14"/>
          <w:szCs w:val="14"/>
        </w:rPr>
        <w:footnoteRef/>
      </w:r>
      <w:r w:rsidRPr="00F448CF">
        <w:rPr>
          <w:rFonts w:cs="Arial"/>
          <w:sz w:val="14"/>
          <w:szCs w:val="14"/>
        </w:rPr>
        <w:t xml:space="preserve"> </w:t>
      </w:r>
      <w:r w:rsidRPr="00F448CF">
        <w:rPr>
          <w:rFonts w:cs="Arial"/>
          <w:color w:val="000000"/>
          <w:sz w:val="14"/>
          <w:szCs w:val="14"/>
        </w:rPr>
        <w:t xml:space="preserve">GEF 2017. “Sixth Overall Performance Study of the GEF: The GEF in the Changing Environmental Finance Landscape” </w:t>
      </w:r>
      <w:r w:rsidRPr="00F448CF">
        <w:rPr>
          <w:rStyle w:val="A17"/>
          <w:rFonts w:cs="Arial"/>
        </w:rPr>
        <w:t xml:space="preserve">http://www.gefieo.org/evaluations/ops-period/ops6the-gef-changing-environmental-finance-landscape </w:t>
      </w:r>
      <w:r w:rsidRPr="00F448CF">
        <w:rPr>
          <w:rFonts w:cs="Arial"/>
          <w:color w:val="000000"/>
          <w:sz w:val="14"/>
          <w:szCs w:val="14"/>
        </w:rPr>
        <w:t xml:space="preserve">Last accessed March 21, 2018. </w:t>
      </w:r>
      <w:r w:rsidRPr="00F448CF">
        <w:rPr>
          <w:rFonts w:cs="Arial"/>
          <w:sz w:val="14"/>
          <w:szCs w:val="14"/>
        </w:rPr>
        <w:t xml:space="preserve"> </w:t>
      </w:r>
    </w:p>
  </w:footnote>
  <w:footnote w:id="15">
    <w:p w14:paraId="5E8BF3F9" w14:textId="77777777" w:rsidR="00B45496" w:rsidRPr="00F448CF" w:rsidRDefault="00B45496" w:rsidP="0008370B">
      <w:pPr>
        <w:pStyle w:val="FootnoteText"/>
        <w:rPr>
          <w:rFonts w:cs="Arial"/>
        </w:rPr>
      </w:pPr>
      <w:r w:rsidRPr="00F448CF">
        <w:rPr>
          <w:rStyle w:val="FootnoteReference"/>
          <w:rFonts w:cs="Arial"/>
          <w:sz w:val="14"/>
          <w:szCs w:val="14"/>
        </w:rPr>
        <w:footnoteRef/>
      </w:r>
      <w:r w:rsidRPr="00F448CF">
        <w:rPr>
          <w:rFonts w:cs="Arial"/>
          <w:sz w:val="14"/>
          <w:szCs w:val="14"/>
        </w:rPr>
        <w:t xml:space="preserve"> https://www.thegef.org/sites/default/files/council-meeting-documents/EN_GEF.STAP_.C.54.Inf_.02_KM.pdf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186"/>
    <w:multiLevelType w:val="hybridMultilevel"/>
    <w:tmpl w:val="0EE0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B6B"/>
    <w:multiLevelType w:val="hybridMultilevel"/>
    <w:tmpl w:val="738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5043D"/>
    <w:multiLevelType w:val="hybridMultilevel"/>
    <w:tmpl w:val="799CF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358DA"/>
    <w:multiLevelType w:val="hybridMultilevel"/>
    <w:tmpl w:val="DE3E6EB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0FE02817"/>
    <w:multiLevelType w:val="hybridMultilevel"/>
    <w:tmpl w:val="85E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36A99"/>
    <w:multiLevelType w:val="hybridMultilevel"/>
    <w:tmpl w:val="7930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E245C"/>
    <w:multiLevelType w:val="hybridMultilevel"/>
    <w:tmpl w:val="881AEE18"/>
    <w:lvl w:ilvl="0" w:tplc="428C491E">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8D0F48"/>
    <w:multiLevelType w:val="hybridMultilevel"/>
    <w:tmpl w:val="EB1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1CF8"/>
    <w:multiLevelType w:val="hybridMultilevel"/>
    <w:tmpl w:val="38FC8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9D04B70"/>
    <w:multiLevelType w:val="hybridMultilevel"/>
    <w:tmpl w:val="868A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E1DD1"/>
    <w:multiLevelType w:val="hybridMultilevel"/>
    <w:tmpl w:val="B49E9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136ADF"/>
    <w:multiLevelType w:val="hybridMultilevel"/>
    <w:tmpl w:val="6BB44D66"/>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8C91BD2"/>
    <w:multiLevelType w:val="hybridMultilevel"/>
    <w:tmpl w:val="ED7A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5828"/>
    <w:multiLevelType w:val="hybridMultilevel"/>
    <w:tmpl w:val="64D6F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0686D"/>
    <w:multiLevelType w:val="hybridMultilevel"/>
    <w:tmpl w:val="E1FC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5642A"/>
    <w:multiLevelType w:val="hybridMultilevel"/>
    <w:tmpl w:val="A13E387A"/>
    <w:lvl w:ilvl="0" w:tplc="85DCEEF4">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2A43FF"/>
    <w:multiLevelType w:val="hybridMultilevel"/>
    <w:tmpl w:val="A0E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05688"/>
    <w:multiLevelType w:val="hybridMultilevel"/>
    <w:tmpl w:val="D5FA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C44D0"/>
    <w:multiLevelType w:val="hybridMultilevel"/>
    <w:tmpl w:val="534A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018C7"/>
    <w:multiLevelType w:val="hybridMultilevel"/>
    <w:tmpl w:val="694E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7405D"/>
    <w:multiLevelType w:val="hybridMultilevel"/>
    <w:tmpl w:val="4ACA953C"/>
    <w:lvl w:ilvl="0" w:tplc="0FFC98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B4DC1"/>
    <w:multiLevelType w:val="hybridMultilevel"/>
    <w:tmpl w:val="38206C78"/>
    <w:lvl w:ilvl="0" w:tplc="6832BEB0">
      <w:start w:val="1"/>
      <w:numFmt w:val="bullet"/>
      <w:lvlText w:val=""/>
      <w:lvlJc w:val="left"/>
      <w:pPr>
        <w:ind w:left="28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F100D9"/>
    <w:multiLevelType w:val="hybridMultilevel"/>
    <w:tmpl w:val="8C52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20"/>
  </w:num>
  <w:num w:numId="11">
    <w:abstractNumId w:val="21"/>
  </w:num>
  <w:num w:numId="12">
    <w:abstractNumId w:val="7"/>
  </w:num>
  <w:num w:numId="13">
    <w:abstractNumId w:val="19"/>
  </w:num>
  <w:num w:numId="14">
    <w:abstractNumId w:val="12"/>
  </w:num>
  <w:num w:numId="15">
    <w:abstractNumId w:val="11"/>
  </w:num>
  <w:num w:numId="16">
    <w:abstractNumId w:val="13"/>
  </w:num>
  <w:num w:numId="17">
    <w:abstractNumId w:val="22"/>
  </w:num>
  <w:num w:numId="18">
    <w:abstractNumId w:val="18"/>
  </w:num>
  <w:num w:numId="19">
    <w:abstractNumId w:val="16"/>
  </w:num>
  <w:num w:numId="20">
    <w:abstractNumId w:val="0"/>
  </w:num>
  <w:num w:numId="21">
    <w:abstractNumId w:val="4"/>
  </w:num>
  <w:num w:numId="22">
    <w:abstractNumId w:val="1"/>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2C"/>
    <w:rsid w:val="00004DD6"/>
    <w:rsid w:val="00004DEF"/>
    <w:rsid w:val="00010D35"/>
    <w:rsid w:val="0001354C"/>
    <w:rsid w:val="00014F34"/>
    <w:rsid w:val="0001526F"/>
    <w:rsid w:val="00015D75"/>
    <w:rsid w:val="00017D6D"/>
    <w:rsid w:val="000204D1"/>
    <w:rsid w:val="000208AB"/>
    <w:rsid w:val="0002448B"/>
    <w:rsid w:val="00024CAB"/>
    <w:rsid w:val="000263E6"/>
    <w:rsid w:val="00026AC7"/>
    <w:rsid w:val="00035E74"/>
    <w:rsid w:val="00040009"/>
    <w:rsid w:val="00045FB0"/>
    <w:rsid w:val="000478AD"/>
    <w:rsid w:val="000514E5"/>
    <w:rsid w:val="000549A5"/>
    <w:rsid w:val="000570F8"/>
    <w:rsid w:val="00057156"/>
    <w:rsid w:val="00063689"/>
    <w:rsid w:val="000638CF"/>
    <w:rsid w:val="000648FA"/>
    <w:rsid w:val="00065091"/>
    <w:rsid w:val="0006589F"/>
    <w:rsid w:val="000670AB"/>
    <w:rsid w:val="00077E3D"/>
    <w:rsid w:val="0008370B"/>
    <w:rsid w:val="00083E7B"/>
    <w:rsid w:val="00086542"/>
    <w:rsid w:val="0009234F"/>
    <w:rsid w:val="00094240"/>
    <w:rsid w:val="000A3A6C"/>
    <w:rsid w:val="000B18B8"/>
    <w:rsid w:val="000B438C"/>
    <w:rsid w:val="000B54AD"/>
    <w:rsid w:val="000C1A1D"/>
    <w:rsid w:val="000C5888"/>
    <w:rsid w:val="000C7DEA"/>
    <w:rsid w:val="000D0FE4"/>
    <w:rsid w:val="000D1245"/>
    <w:rsid w:val="000D13DA"/>
    <w:rsid w:val="000D3394"/>
    <w:rsid w:val="000D3502"/>
    <w:rsid w:val="000D4888"/>
    <w:rsid w:val="000D4E67"/>
    <w:rsid w:val="000D7C7D"/>
    <w:rsid w:val="000E3F39"/>
    <w:rsid w:val="000F2F26"/>
    <w:rsid w:val="00100729"/>
    <w:rsid w:val="00102038"/>
    <w:rsid w:val="00110372"/>
    <w:rsid w:val="001105EB"/>
    <w:rsid w:val="0011250D"/>
    <w:rsid w:val="0012184B"/>
    <w:rsid w:val="00123552"/>
    <w:rsid w:val="0012506C"/>
    <w:rsid w:val="001422C8"/>
    <w:rsid w:val="001436AC"/>
    <w:rsid w:val="00143FB7"/>
    <w:rsid w:val="00144152"/>
    <w:rsid w:val="001441A5"/>
    <w:rsid w:val="00144A54"/>
    <w:rsid w:val="00154CF6"/>
    <w:rsid w:val="00161A74"/>
    <w:rsid w:val="00163F71"/>
    <w:rsid w:val="00166855"/>
    <w:rsid w:val="0017559D"/>
    <w:rsid w:val="00177BD0"/>
    <w:rsid w:val="0018293D"/>
    <w:rsid w:val="00193F0E"/>
    <w:rsid w:val="00195633"/>
    <w:rsid w:val="00196294"/>
    <w:rsid w:val="00197409"/>
    <w:rsid w:val="001A08C7"/>
    <w:rsid w:val="001A7AA8"/>
    <w:rsid w:val="001B14D6"/>
    <w:rsid w:val="001B5B2F"/>
    <w:rsid w:val="001B5E96"/>
    <w:rsid w:val="001B5FF3"/>
    <w:rsid w:val="001B62FE"/>
    <w:rsid w:val="001B6944"/>
    <w:rsid w:val="001B7659"/>
    <w:rsid w:val="001C1A4B"/>
    <w:rsid w:val="001C71D6"/>
    <w:rsid w:val="001C7FF8"/>
    <w:rsid w:val="001D10C3"/>
    <w:rsid w:val="001D39CE"/>
    <w:rsid w:val="001D5514"/>
    <w:rsid w:val="001D5852"/>
    <w:rsid w:val="001D7938"/>
    <w:rsid w:val="001D7986"/>
    <w:rsid w:val="001E05CD"/>
    <w:rsid w:val="001E172E"/>
    <w:rsid w:val="001E1AE3"/>
    <w:rsid w:val="001E1FF4"/>
    <w:rsid w:val="001E2595"/>
    <w:rsid w:val="001E3135"/>
    <w:rsid w:val="001E518C"/>
    <w:rsid w:val="001E5BFD"/>
    <w:rsid w:val="001E64D3"/>
    <w:rsid w:val="001F295E"/>
    <w:rsid w:val="001F4BD1"/>
    <w:rsid w:val="001F5EA6"/>
    <w:rsid w:val="001F7379"/>
    <w:rsid w:val="00202DFF"/>
    <w:rsid w:val="00203208"/>
    <w:rsid w:val="00205A53"/>
    <w:rsid w:val="00206541"/>
    <w:rsid w:val="00214FF2"/>
    <w:rsid w:val="00215A72"/>
    <w:rsid w:val="00221365"/>
    <w:rsid w:val="00230E71"/>
    <w:rsid w:val="00241370"/>
    <w:rsid w:val="002428B6"/>
    <w:rsid w:val="0024517F"/>
    <w:rsid w:val="002477A0"/>
    <w:rsid w:val="00247941"/>
    <w:rsid w:val="00250B60"/>
    <w:rsid w:val="00253289"/>
    <w:rsid w:val="00263493"/>
    <w:rsid w:val="00267BE6"/>
    <w:rsid w:val="002710EC"/>
    <w:rsid w:val="0027175B"/>
    <w:rsid w:val="00271AFE"/>
    <w:rsid w:val="00274D1D"/>
    <w:rsid w:val="002750D0"/>
    <w:rsid w:val="00277BD1"/>
    <w:rsid w:val="00281C11"/>
    <w:rsid w:val="0028310B"/>
    <w:rsid w:val="00283CC4"/>
    <w:rsid w:val="00285273"/>
    <w:rsid w:val="0029025B"/>
    <w:rsid w:val="00295AA6"/>
    <w:rsid w:val="00297E34"/>
    <w:rsid w:val="002A0CFA"/>
    <w:rsid w:val="002A155F"/>
    <w:rsid w:val="002A2C59"/>
    <w:rsid w:val="002A38E7"/>
    <w:rsid w:val="002A5DB4"/>
    <w:rsid w:val="002B06A7"/>
    <w:rsid w:val="002B1F3E"/>
    <w:rsid w:val="002B774E"/>
    <w:rsid w:val="002C2F6D"/>
    <w:rsid w:val="002C3D7A"/>
    <w:rsid w:val="002C685D"/>
    <w:rsid w:val="002C7E42"/>
    <w:rsid w:val="002C7EF2"/>
    <w:rsid w:val="002D1562"/>
    <w:rsid w:val="002D1726"/>
    <w:rsid w:val="002D3B9D"/>
    <w:rsid w:val="002D5368"/>
    <w:rsid w:val="002E13A7"/>
    <w:rsid w:val="002E2652"/>
    <w:rsid w:val="002E36E2"/>
    <w:rsid w:val="002E59CE"/>
    <w:rsid w:val="002E64D6"/>
    <w:rsid w:val="002E6EC4"/>
    <w:rsid w:val="002E6F03"/>
    <w:rsid w:val="002F0703"/>
    <w:rsid w:val="002F2921"/>
    <w:rsid w:val="002F37F2"/>
    <w:rsid w:val="002F3C9A"/>
    <w:rsid w:val="002F5AC3"/>
    <w:rsid w:val="002F70AD"/>
    <w:rsid w:val="002F7BB3"/>
    <w:rsid w:val="003001B3"/>
    <w:rsid w:val="00302D5D"/>
    <w:rsid w:val="00303A86"/>
    <w:rsid w:val="003065F5"/>
    <w:rsid w:val="003106D1"/>
    <w:rsid w:val="00311297"/>
    <w:rsid w:val="0031155E"/>
    <w:rsid w:val="0031665A"/>
    <w:rsid w:val="003259B6"/>
    <w:rsid w:val="00330BDA"/>
    <w:rsid w:val="00335C9C"/>
    <w:rsid w:val="00340D27"/>
    <w:rsid w:val="00345DEC"/>
    <w:rsid w:val="003653CF"/>
    <w:rsid w:val="0036688E"/>
    <w:rsid w:val="00375876"/>
    <w:rsid w:val="00376D83"/>
    <w:rsid w:val="00377D2E"/>
    <w:rsid w:val="003809EB"/>
    <w:rsid w:val="00383D15"/>
    <w:rsid w:val="003960BD"/>
    <w:rsid w:val="0039716B"/>
    <w:rsid w:val="003A0C38"/>
    <w:rsid w:val="003A1A13"/>
    <w:rsid w:val="003A1E31"/>
    <w:rsid w:val="003A6313"/>
    <w:rsid w:val="003A6910"/>
    <w:rsid w:val="003A6A72"/>
    <w:rsid w:val="003B0523"/>
    <w:rsid w:val="003B2C40"/>
    <w:rsid w:val="003B313D"/>
    <w:rsid w:val="003B4745"/>
    <w:rsid w:val="003B51D1"/>
    <w:rsid w:val="003B5B5D"/>
    <w:rsid w:val="003C3AE9"/>
    <w:rsid w:val="003C4BEB"/>
    <w:rsid w:val="003C705F"/>
    <w:rsid w:val="003C7DE5"/>
    <w:rsid w:val="003D1A80"/>
    <w:rsid w:val="003D6661"/>
    <w:rsid w:val="003D6FEE"/>
    <w:rsid w:val="003E0F09"/>
    <w:rsid w:val="003E1A26"/>
    <w:rsid w:val="003E3966"/>
    <w:rsid w:val="003F15D7"/>
    <w:rsid w:val="003F2B98"/>
    <w:rsid w:val="004002F9"/>
    <w:rsid w:val="00411467"/>
    <w:rsid w:val="004129DD"/>
    <w:rsid w:val="00412D92"/>
    <w:rsid w:val="00417BB5"/>
    <w:rsid w:val="00420ABF"/>
    <w:rsid w:val="00432141"/>
    <w:rsid w:val="00434C57"/>
    <w:rsid w:val="00436414"/>
    <w:rsid w:val="00436EB0"/>
    <w:rsid w:val="00436F5A"/>
    <w:rsid w:val="00437EDE"/>
    <w:rsid w:val="00440EA0"/>
    <w:rsid w:val="00441063"/>
    <w:rsid w:val="004433CB"/>
    <w:rsid w:val="0044366B"/>
    <w:rsid w:val="00445E7B"/>
    <w:rsid w:val="0045029A"/>
    <w:rsid w:val="00455986"/>
    <w:rsid w:val="00457641"/>
    <w:rsid w:val="00471712"/>
    <w:rsid w:val="00477A13"/>
    <w:rsid w:val="0048008C"/>
    <w:rsid w:val="004834AC"/>
    <w:rsid w:val="00486B83"/>
    <w:rsid w:val="0048786F"/>
    <w:rsid w:val="0049147D"/>
    <w:rsid w:val="00493621"/>
    <w:rsid w:val="004958DA"/>
    <w:rsid w:val="004A1ABD"/>
    <w:rsid w:val="004A6DBC"/>
    <w:rsid w:val="004A7306"/>
    <w:rsid w:val="004A787D"/>
    <w:rsid w:val="004B1445"/>
    <w:rsid w:val="004C071A"/>
    <w:rsid w:val="004C14A5"/>
    <w:rsid w:val="004C2518"/>
    <w:rsid w:val="004D1775"/>
    <w:rsid w:val="004D302D"/>
    <w:rsid w:val="004E7CA4"/>
    <w:rsid w:val="004F52A7"/>
    <w:rsid w:val="004F66E2"/>
    <w:rsid w:val="004F6EC1"/>
    <w:rsid w:val="00500D44"/>
    <w:rsid w:val="00500E7A"/>
    <w:rsid w:val="00503106"/>
    <w:rsid w:val="0050344A"/>
    <w:rsid w:val="0051331A"/>
    <w:rsid w:val="0051685E"/>
    <w:rsid w:val="00517243"/>
    <w:rsid w:val="00521737"/>
    <w:rsid w:val="005227FE"/>
    <w:rsid w:val="0052355C"/>
    <w:rsid w:val="00526D40"/>
    <w:rsid w:val="00534E41"/>
    <w:rsid w:val="005355ED"/>
    <w:rsid w:val="005373E1"/>
    <w:rsid w:val="00543774"/>
    <w:rsid w:val="00544F34"/>
    <w:rsid w:val="005527BB"/>
    <w:rsid w:val="00554503"/>
    <w:rsid w:val="00560DD3"/>
    <w:rsid w:val="00560EB7"/>
    <w:rsid w:val="00560FA6"/>
    <w:rsid w:val="00563297"/>
    <w:rsid w:val="00564F52"/>
    <w:rsid w:val="00566FEB"/>
    <w:rsid w:val="0056737E"/>
    <w:rsid w:val="00572526"/>
    <w:rsid w:val="0057616E"/>
    <w:rsid w:val="005764BC"/>
    <w:rsid w:val="00580182"/>
    <w:rsid w:val="00580E1C"/>
    <w:rsid w:val="005A100E"/>
    <w:rsid w:val="005A500C"/>
    <w:rsid w:val="005A6077"/>
    <w:rsid w:val="005A63FB"/>
    <w:rsid w:val="005A6C52"/>
    <w:rsid w:val="005A6DF1"/>
    <w:rsid w:val="005B3166"/>
    <w:rsid w:val="005B5490"/>
    <w:rsid w:val="005C37C3"/>
    <w:rsid w:val="005C425F"/>
    <w:rsid w:val="005C4E9F"/>
    <w:rsid w:val="005C5D20"/>
    <w:rsid w:val="005C6991"/>
    <w:rsid w:val="005C7C5B"/>
    <w:rsid w:val="005D0403"/>
    <w:rsid w:val="005D0EF0"/>
    <w:rsid w:val="005D7D4B"/>
    <w:rsid w:val="005E00AA"/>
    <w:rsid w:val="005E0822"/>
    <w:rsid w:val="005E2A40"/>
    <w:rsid w:val="005E5C5D"/>
    <w:rsid w:val="00600FAF"/>
    <w:rsid w:val="00601B34"/>
    <w:rsid w:val="006046A2"/>
    <w:rsid w:val="00605EB9"/>
    <w:rsid w:val="00606020"/>
    <w:rsid w:val="00606123"/>
    <w:rsid w:val="00610CD6"/>
    <w:rsid w:val="0061473B"/>
    <w:rsid w:val="00616D16"/>
    <w:rsid w:val="006175E2"/>
    <w:rsid w:val="006225CC"/>
    <w:rsid w:val="0062355D"/>
    <w:rsid w:val="006263E4"/>
    <w:rsid w:val="00627BA1"/>
    <w:rsid w:val="006319BA"/>
    <w:rsid w:val="0063692A"/>
    <w:rsid w:val="00644971"/>
    <w:rsid w:val="0064600C"/>
    <w:rsid w:val="00651010"/>
    <w:rsid w:val="00651A80"/>
    <w:rsid w:val="00654537"/>
    <w:rsid w:val="006573B5"/>
    <w:rsid w:val="00662C05"/>
    <w:rsid w:val="00664A39"/>
    <w:rsid w:val="0067097D"/>
    <w:rsid w:val="00675AD3"/>
    <w:rsid w:val="00680A30"/>
    <w:rsid w:val="0068615E"/>
    <w:rsid w:val="006902A8"/>
    <w:rsid w:val="00692831"/>
    <w:rsid w:val="006A16D8"/>
    <w:rsid w:val="006A1701"/>
    <w:rsid w:val="006A5F62"/>
    <w:rsid w:val="006A668F"/>
    <w:rsid w:val="006A725E"/>
    <w:rsid w:val="006B2557"/>
    <w:rsid w:val="006B2A91"/>
    <w:rsid w:val="006B70BB"/>
    <w:rsid w:val="006C0B42"/>
    <w:rsid w:val="006C459F"/>
    <w:rsid w:val="006C5AC0"/>
    <w:rsid w:val="006C758D"/>
    <w:rsid w:val="006D4393"/>
    <w:rsid w:val="006E1414"/>
    <w:rsid w:val="006E3CA2"/>
    <w:rsid w:val="006E4B00"/>
    <w:rsid w:val="006E716A"/>
    <w:rsid w:val="006E7AC3"/>
    <w:rsid w:val="006F2792"/>
    <w:rsid w:val="006F4EBB"/>
    <w:rsid w:val="006F68E1"/>
    <w:rsid w:val="00703682"/>
    <w:rsid w:val="00704BFF"/>
    <w:rsid w:val="00705DB8"/>
    <w:rsid w:val="00710B0D"/>
    <w:rsid w:val="00712AC4"/>
    <w:rsid w:val="007148AA"/>
    <w:rsid w:val="0071554A"/>
    <w:rsid w:val="007178B5"/>
    <w:rsid w:val="00724131"/>
    <w:rsid w:val="007271D2"/>
    <w:rsid w:val="00731154"/>
    <w:rsid w:val="00740234"/>
    <w:rsid w:val="00746420"/>
    <w:rsid w:val="00750621"/>
    <w:rsid w:val="00751F5D"/>
    <w:rsid w:val="00752516"/>
    <w:rsid w:val="0075567A"/>
    <w:rsid w:val="0075637E"/>
    <w:rsid w:val="0076147B"/>
    <w:rsid w:val="00765009"/>
    <w:rsid w:val="007770A8"/>
    <w:rsid w:val="00777746"/>
    <w:rsid w:val="00786DBD"/>
    <w:rsid w:val="00793C44"/>
    <w:rsid w:val="00794E46"/>
    <w:rsid w:val="007975A3"/>
    <w:rsid w:val="007A22D4"/>
    <w:rsid w:val="007A2C14"/>
    <w:rsid w:val="007A4586"/>
    <w:rsid w:val="007B5AA4"/>
    <w:rsid w:val="007B7B57"/>
    <w:rsid w:val="007C0349"/>
    <w:rsid w:val="007C5DD4"/>
    <w:rsid w:val="007D15FC"/>
    <w:rsid w:val="007D244B"/>
    <w:rsid w:val="007D31BF"/>
    <w:rsid w:val="007D44E6"/>
    <w:rsid w:val="007D61CB"/>
    <w:rsid w:val="007E1FB6"/>
    <w:rsid w:val="007E2C83"/>
    <w:rsid w:val="007E3967"/>
    <w:rsid w:val="007E495D"/>
    <w:rsid w:val="007E4E6F"/>
    <w:rsid w:val="007E6EA7"/>
    <w:rsid w:val="007F7338"/>
    <w:rsid w:val="007F754B"/>
    <w:rsid w:val="008016D3"/>
    <w:rsid w:val="00804A55"/>
    <w:rsid w:val="00804BD3"/>
    <w:rsid w:val="008068BC"/>
    <w:rsid w:val="00807884"/>
    <w:rsid w:val="00813624"/>
    <w:rsid w:val="00816475"/>
    <w:rsid w:val="0082163B"/>
    <w:rsid w:val="00831632"/>
    <w:rsid w:val="00832264"/>
    <w:rsid w:val="0083247F"/>
    <w:rsid w:val="00832FEA"/>
    <w:rsid w:val="008353F6"/>
    <w:rsid w:val="00842214"/>
    <w:rsid w:val="00850C90"/>
    <w:rsid w:val="0085186A"/>
    <w:rsid w:val="008534D8"/>
    <w:rsid w:val="0085490E"/>
    <w:rsid w:val="00857C7A"/>
    <w:rsid w:val="00865D87"/>
    <w:rsid w:val="0086693E"/>
    <w:rsid w:val="00870CD3"/>
    <w:rsid w:val="008769DC"/>
    <w:rsid w:val="00877985"/>
    <w:rsid w:val="00882F88"/>
    <w:rsid w:val="00885DD5"/>
    <w:rsid w:val="008861EB"/>
    <w:rsid w:val="008865BC"/>
    <w:rsid w:val="0088669E"/>
    <w:rsid w:val="00887420"/>
    <w:rsid w:val="00887A1B"/>
    <w:rsid w:val="00892ADC"/>
    <w:rsid w:val="00892FF2"/>
    <w:rsid w:val="00895971"/>
    <w:rsid w:val="00896E3F"/>
    <w:rsid w:val="00897F14"/>
    <w:rsid w:val="008A129F"/>
    <w:rsid w:val="008A2AE3"/>
    <w:rsid w:val="008A2C81"/>
    <w:rsid w:val="008B6782"/>
    <w:rsid w:val="008C4BD7"/>
    <w:rsid w:val="008D1180"/>
    <w:rsid w:val="008E0EF4"/>
    <w:rsid w:val="008E16AA"/>
    <w:rsid w:val="008E2236"/>
    <w:rsid w:val="008E23EE"/>
    <w:rsid w:val="008E4CE3"/>
    <w:rsid w:val="008E545F"/>
    <w:rsid w:val="008E5984"/>
    <w:rsid w:val="008E7A4C"/>
    <w:rsid w:val="008E7DC7"/>
    <w:rsid w:val="008F1BB3"/>
    <w:rsid w:val="008F704E"/>
    <w:rsid w:val="00900ABA"/>
    <w:rsid w:val="009021ED"/>
    <w:rsid w:val="00902D35"/>
    <w:rsid w:val="0090301E"/>
    <w:rsid w:val="0090380B"/>
    <w:rsid w:val="00904527"/>
    <w:rsid w:val="00912A73"/>
    <w:rsid w:val="009153DE"/>
    <w:rsid w:val="009200F7"/>
    <w:rsid w:val="0092341E"/>
    <w:rsid w:val="0092506F"/>
    <w:rsid w:val="00925C29"/>
    <w:rsid w:val="0093210F"/>
    <w:rsid w:val="009322F8"/>
    <w:rsid w:val="0093559B"/>
    <w:rsid w:val="00936F9E"/>
    <w:rsid w:val="00946489"/>
    <w:rsid w:val="0094725D"/>
    <w:rsid w:val="0095006E"/>
    <w:rsid w:val="00950BCD"/>
    <w:rsid w:val="0095172D"/>
    <w:rsid w:val="00951895"/>
    <w:rsid w:val="0095269F"/>
    <w:rsid w:val="009543D0"/>
    <w:rsid w:val="009558F4"/>
    <w:rsid w:val="00957BC9"/>
    <w:rsid w:val="00963B57"/>
    <w:rsid w:val="009709D5"/>
    <w:rsid w:val="009713DA"/>
    <w:rsid w:val="00976E8F"/>
    <w:rsid w:val="009831FA"/>
    <w:rsid w:val="0098399D"/>
    <w:rsid w:val="00990A20"/>
    <w:rsid w:val="00991C69"/>
    <w:rsid w:val="009921A0"/>
    <w:rsid w:val="00993A6E"/>
    <w:rsid w:val="0099667D"/>
    <w:rsid w:val="009A07F2"/>
    <w:rsid w:val="009A3DFF"/>
    <w:rsid w:val="009A3ED2"/>
    <w:rsid w:val="009A4C02"/>
    <w:rsid w:val="009B15F5"/>
    <w:rsid w:val="009B4AFB"/>
    <w:rsid w:val="009B5CBA"/>
    <w:rsid w:val="009B6192"/>
    <w:rsid w:val="009B68C1"/>
    <w:rsid w:val="009C0E2C"/>
    <w:rsid w:val="009C51D9"/>
    <w:rsid w:val="009C52EC"/>
    <w:rsid w:val="009C615F"/>
    <w:rsid w:val="009C703D"/>
    <w:rsid w:val="009C7A94"/>
    <w:rsid w:val="009C7E86"/>
    <w:rsid w:val="009D05A0"/>
    <w:rsid w:val="009D063C"/>
    <w:rsid w:val="009D112C"/>
    <w:rsid w:val="009D5370"/>
    <w:rsid w:val="009D63BA"/>
    <w:rsid w:val="009E202A"/>
    <w:rsid w:val="009E2FF1"/>
    <w:rsid w:val="009E3B9F"/>
    <w:rsid w:val="009E6F9B"/>
    <w:rsid w:val="009E7A10"/>
    <w:rsid w:val="009F39F6"/>
    <w:rsid w:val="009F3C2E"/>
    <w:rsid w:val="009F42DC"/>
    <w:rsid w:val="009F52F3"/>
    <w:rsid w:val="009F7A18"/>
    <w:rsid w:val="00A00100"/>
    <w:rsid w:val="00A023C6"/>
    <w:rsid w:val="00A0316C"/>
    <w:rsid w:val="00A03383"/>
    <w:rsid w:val="00A060A2"/>
    <w:rsid w:val="00A06DA9"/>
    <w:rsid w:val="00A07B8A"/>
    <w:rsid w:val="00A10ACE"/>
    <w:rsid w:val="00A11635"/>
    <w:rsid w:val="00A133EF"/>
    <w:rsid w:val="00A150E4"/>
    <w:rsid w:val="00A1610E"/>
    <w:rsid w:val="00A22A85"/>
    <w:rsid w:val="00A237B4"/>
    <w:rsid w:val="00A23F74"/>
    <w:rsid w:val="00A2494F"/>
    <w:rsid w:val="00A316EC"/>
    <w:rsid w:val="00A346D1"/>
    <w:rsid w:val="00A41A1D"/>
    <w:rsid w:val="00A45122"/>
    <w:rsid w:val="00A50460"/>
    <w:rsid w:val="00A572E4"/>
    <w:rsid w:val="00A65EB6"/>
    <w:rsid w:val="00A7179F"/>
    <w:rsid w:val="00A71FD2"/>
    <w:rsid w:val="00A73CED"/>
    <w:rsid w:val="00A825E5"/>
    <w:rsid w:val="00A8317D"/>
    <w:rsid w:val="00A929C0"/>
    <w:rsid w:val="00A92ABE"/>
    <w:rsid w:val="00A965CA"/>
    <w:rsid w:val="00A96D10"/>
    <w:rsid w:val="00A96E83"/>
    <w:rsid w:val="00A97E7E"/>
    <w:rsid w:val="00AA2386"/>
    <w:rsid w:val="00AA3051"/>
    <w:rsid w:val="00AA3E6E"/>
    <w:rsid w:val="00AA40E1"/>
    <w:rsid w:val="00AA6D44"/>
    <w:rsid w:val="00AB277F"/>
    <w:rsid w:val="00AB286F"/>
    <w:rsid w:val="00AB2B4F"/>
    <w:rsid w:val="00AB3A9B"/>
    <w:rsid w:val="00AB755D"/>
    <w:rsid w:val="00AC2E59"/>
    <w:rsid w:val="00AC2E98"/>
    <w:rsid w:val="00AC34A9"/>
    <w:rsid w:val="00AC58A5"/>
    <w:rsid w:val="00AD0316"/>
    <w:rsid w:val="00AD1054"/>
    <w:rsid w:val="00AD194A"/>
    <w:rsid w:val="00AD2CF1"/>
    <w:rsid w:val="00AD3353"/>
    <w:rsid w:val="00AD34D1"/>
    <w:rsid w:val="00AD3A2C"/>
    <w:rsid w:val="00AD3FF8"/>
    <w:rsid w:val="00AD4E19"/>
    <w:rsid w:val="00AD649F"/>
    <w:rsid w:val="00AE0806"/>
    <w:rsid w:val="00AE2CDF"/>
    <w:rsid w:val="00AE4406"/>
    <w:rsid w:val="00AF58B6"/>
    <w:rsid w:val="00AF7357"/>
    <w:rsid w:val="00B01439"/>
    <w:rsid w:val="00B01C5D"/>
    <w:rsid w:val="00B034EF"/>
    <w:rsid w:val="00B04650"/>
    <w:rsid w:val="00B05334"/>
    <w:rsid w:val="00B0587D"/>
    <w:rsid w:val="00B0728D"/>
    <w:rsid w:val="00B10B18"/>
    <w:rsid w:val="00B13035"/>
    <w:rsid w:val="00B16FA7"/>
    <w:rsid w:val="00B210CD"/>
    <w:rsid w:val="00B21454"/>
    <w:rsid w:val="00B214F5"/>
    <w:rsid w:val="00B26F17"/>
    <w:rsid w:val="00B270F1"/>
    <w:rsid w:val="00B27D01"/>
    <w:rsid w:val="00B32358"/>
    <w:rsid w:val="00B360B5"/>
    <w:rsid w:val="00B36DE7"/>
    <w:rsid w:val="00B3723A"/>
    <w:rsid w:val="00B3797E"/>
    <w:rsid w:val="00B45496"/>
    <w:rsid w:val="00B5226C"/>
    <w:rsid w:val="00B57EEE"/>
    <w:rsid w:val="00B57F63"/>
    <w:rsid w:val="00B602F0"/>
    <w:rsid w:val="00B612AF"/>
    <w:rsid w:val="00B61A88"/>
    <w:rsid w:val="00B70086"/>
    <w:rsid w:val="00B71C33"/>
    <w:rsid w:val="00B7688A"/>
    <w:rsid w:val="00B81670"/>
    <w:rsid w:val="00B81EB3"/>
    <w:rsid w:val="00B846A4"/>
    <w:rsid w:val="00B9136F"/>
    <w:rsid w:val="00B9433C"/>
    <w:rsid w:val="00B95424"/>
    <w:rsid w:val="00B95FF8"/>
    <w:rsid w:val="00B969B5"/>
    <w:rsid w:val="00B96F0C"/>
    <w:rsid w:val="00B97A37"/>
    <w:rsid w:val="00BA17D8"/>
    <w:rsid w:val="00BA49FF"/>
    <w:rsid w:val="00BA50C4"/>
    <w:rsid w:val="00BB34B5"/>
    <w:rsid w:val="00BB35A9"/>
    <w:rsid w:val="00BB3A5B"/>
    <w:rsid w:val="00BB4346"/>
    <w:rsid w:val="00BB5EDE"/>
    <w:rsid w:val="00BB617D"/>
    <w:rsid w:val="00BB7054"/>
    <w:rsid w:val="00BC4189"/>
    <w:rsid w:val="00BC4A70"/>
    <w:rsid w:val="00BD0D05"/>
    <w:rsid w:val="00BE68D8"/>
    <w:rsid w:val="00BF26F9"/>
    <w:rsid w:val="00BF27CD"/>
    <w:rsid w:val="00BF542F"/>
    <w:rsid w:val="00C05182"/>
    <w:rsid w:val="00C140A7"/>
    <w:rsid w:val="00C152B5"/>
    <w:rsid w:val="00C162CA"/>
    <w:rsid w:val="00C2239E"/>
    <w:rsid w:val="00C22ADD"/>
    <w:rsid w:val="00C24957"/>
    <w:rsid w:val="00C25457"/>
    <w:rsid w:val="00C2681D"/>
    <w:rsid w:val="00C26952"/>
    <w:rsid w:val="00C26CBF"/>
    <w:rsid w:val="00C32CED"/>
    <w:rsid w:val="00C344FB"/>
    <w:rsid w:val="00C366CA"/>
    <w:rsid w:val="00C40423"/>
    <w:rsid w:val="00C421FF"/>
    <w:rsid w:val="00C4314C"/>
    <w:rsid w:val="00C43E30"/>
    <w:rsid w:val="00C4424E"/>
    <w:rsid w:val="00C45355"/>
    <w:rsid w:val="00C45BFF"/>
    <w:rsid w:val="00C50614"/>
    <w:rsid w:val="00C529C4"/>
    <w:rsid w:val="00C53078"/>
    <w:rsid w:val="00C53DDF"/>
    <w:rsid w:val="00C54596"/>
    <w:rsid w:val="00C55894"/>
    <w:rsid w:val="00C57B1F"/>
    <w:rsid w:val="00C60F55"/>
    <w:rsid w:val="00C61B0C"/>
    <w:rsid w:val="00C6240B"/>
    <w:rsid w:val="00C62973"/>
    <w:rsid w:val="00C63B8D"/>
    <w:rsid w:val="00C74D44"/>
    <w:rsid w:val="00C75C21"/>
    <w:rsid w:val="00C77808"/>
    <w:rsid w:val="00C85CBA"/>
    <w:rsid w:val="00C90699"/>
    <w:rsid w:val="00C916E4"/>
    <w:rsid w:val="00C934E6"/>
    <w:rsid w:val="00CA4BEC"/>
    <w:rsid w:val="00CA6B3F"/>
    <w:rsid w:val="00CB57BA"/>
    <w:rsid w:val="00CC11E1"/>
    <w:rsid w:val="00CC2871"/>
    <w:rsid w:val="00CC39ED"/>
    <w:rsid w:val="00CD0FF9"/>
    <w:rsid w:val="00CD6271"/>
    <w:rsid w:val="00CE0979"/>
    <w:rsid w:val="00CE0EEC"/>
    <w:rsid w:val="00CE295D"/>
    <w:rsid w:val="00CE669F"/>
    <w:rsid w:val="00CF1B43"/>
    <w:rsid w:val="00CF20E1"/>
    <w:rsid w:val="00CF2FD3"/>
    <w:rsid w:val="00CF4BAA"/>
    <w:rsid w:val="00CF7900"/>
    <w:rsid w:val="00D011B8"/>
    <w:rsid w:val="00D03E60"/>
    <w:rsid w:val="00D05A44"/>
    <w:rsid w:val="00D115E0"/>
    <w:rsid w:val="00D11618"/>
    <w:rsid w:val="00D11BD1"/>
    <w:rsid w:val="00D15BAF"/>
    <w:rsid w:val="00D16E34"/>
    <w:rsid w:val="00D17A29"/>
    <w:rsid w:val="00D26848"/>
    <w:rsid w:val="00D27194"/>
    <w:rsid w:val="00D3576A"/>
    <w:rsid w:val="00D376AA"/>
    <w:rsid w:val="00D508EB"/>
    <w:rsid w:val="00D54C56"/>
    <w:rsid w:val="00D56621"/>
    <w:rsid w:val="00D56869"/>
    <w:rsid w:val="00D60A81"/>
    <w:rsid w:val="00D6189B"/>
    <w:rsid w:val="00D62DDB"/>
    <w:rsid w:val="00D63BCC"/>
    <w:rsid w:val="00D65427"/>
    <w:rsid w:val="00D667CC"/>
    <w:rsid w:val="00D7089E"/>
    <w:rsid w:val="00D70E79"/>
    <w:rsid w:val="00D73054"/>
    <w:rsid w:val="00D74DA4"/>
    <w:rsid w:val="00D762AD"/>
    <w:rsid w:val="00D77BBF"/>
    <w:rsid w:val="00D804DC"/>
    <w:rsid w:val="00D81013"/>
    <w:rsid w:val="00D821E7"/>
    <w:rsid w:val="00D83047"/>
    <w:rsid w:val="00D83495"/>
    <w:rsid w:val="00D86695"/>
    <w:rsid w:val="00D933F5"/>
    <w:rsid w:val="00DA3FA8"/>
    <w:rsid w:val="00DB42D5"/>
    <w:rsid w:val="00DB6154"/>
    <w:rsid w:val="00DB698D"/>
    <w:rsid w:val="00DC0602"/>
    <w:rsid w:val="00DC6565"/>
    <w:rsid w:val="00DC6D5B"/>
    <w:rsid w:val="00DD1BB6"/>
    <w:rsid w:val="00DD4132"/>
    <w:rsid w:val="00DD7672"/>
    <w:rsid w:val="00DD79D7"/>
    <w:rsid w:val="00DE0055"/>
    <w:rsid w:val="00DE1960"/>
    <w:rsid w:val="00DE4340"/>
    <w:rsid w:val="00DF5DC6"/>
    <w:rsid w:val="00E025DD"/>
    <w:rsid w:val="00E03F39"/>
    <w:rsid w:val="00E04C04"/>
    <w:rsid w:val="00E117C7"/>
    <w:rsid w:val="00E1714E"/>
    <w:rsid w:val="00E1771E"/>
    <w:rsid w:val="00E3246E"/>
    <w:rsid w:val="00E359D2"/>
    <w:rsid w:val="00E3613A"/>
    <w:rsid w:val="00E37C45"/>
    <w:rsid w:val="00E37C5C"/>
    <w:rsid w:val="00E37D19"/>
    <w:rsid w:val="00E408F5"/>
    <w:rsid w:val="00E40C65"/>
    <w:rsid w:val="00E41453"/>
    <w:rsid w:val="00E452AD"/>
    <w:rsid w:val="00E4551A"/>
    <w:rsid w:val="00E50B7E"/>
    <w:rsid w:val="00E553AD"/>
    <w:rsid w:val="00E56AE3"/>
    <w:rsid w:val="00E572A8"/>
    <w:rsid w:val="00E57CEA"/>
    <w:rsid w:val="00E614A2"/>
    <w:rsid w:val="00E63774"/>
    <w:rsid w:val="00E649BE"/>
    <w:rsid w:val="00E67D7B"/>
    <w:rsid w:val="00E70B2C"/>
    <w:rsid w:val="00E7248A"/>
    <w:rsid w:val="00E72A38"/>
    <w:rsid w:val="00E72C3F"/>
    <w:rsid w:val="00E732FE"/>
    <w:rsid w:val="00E80E18"/>
    <w:rsid w:val="00E86345"/>
    <w:rsid w:val="00E913D0"/>
    <w:rsid w:val="00E92185"/>
    <w:rsid w:val="00E921D8"/>
    <w:rsid w:val="00EA7125"/>
    <w:rsid w:val="00EB2D38"/>
    <w:rsid w:val="00EB3359"/>
    <w:rsid w:val="00EB5A96"/>
    <w:rsid w:val="00EC37C2"/>
    <w:rsid w:val="00EC6B21"/>
    <w:rsid w:val="00ED34B9"/>
    <w:rsid w:val="00ED34CA"/>
    <w:rsid w:val="00ED3A4F"/>
    <w:rsid w:val="00EE1B24"/>
    <w:rsid w:val="00EF1A3E"/>
    <w:rsid w:val="00EF2790"/>
    <w:rsid w:val="00F00E11"/>
    <w:rsid w:val="00F02378"/>
    <w:rsid w:val="00F047B8"/>
    <w:rsid w:val="00F11D57"/>
    <w:rsid w:val="00F13D5E"/>
    <w:rsid w:val="00F142B4"/>
    <w:rsid w:val="00F27442"/>
    <w:rsid w:val="00F27D70"/>
    <w:rsid w:val="00F30791"/>
    <w:rsid w:val="00F33F0A"/>
    <w:rsid w:val="00F40399"/>
    <w:rsid w:val="00F40EEB"/>
    <w:rsid w:val="00F44C53"/>
    <w:rsid w:val="00F46599"/>
    <w:rsid w:val="00F47F01"/>
    <w:rsid w:val="00F500F1"/>
    <w:rsid w:val="00F51CBC"/>
    <w:rsid w:val="00F53393"/>
    <w:rsid w:val="00F604FF"/>
    <w:rsid w:val="00F60B92"/>
    <w:rsid w:val="00F6316B"/>
    <w:rsid w:val="00F6500C"/>
    <w:rsid w:val="00F654DB"/>
    <w:rsid w:val="00F71F92"/>
    <w:rsid w:val="00F753B3"/>
    <w:rsid w:val="00F84600"/>
    <w:rsid w:val="00F85FDB"/>
    <w:rsid w:val="00F87A54"/>
    <w:rsid w:val="00F90CD8"/>
    <w:rsid w:val="00F90D30"/>
    <w:rsid w:val="00F952D4"/>
    <w:rsid w:val="00F97C4F"/>
    <w:rsid w:val="00FA1444"/>
    <w:rsid w:val="00FA27CE"/>
    <w:rsid w:val="00FB13B4"/>
    <w:rsid w:val="00FB1F6F"/>
    <w:rsid w:val="00FB5459"/>
    <w:rsid w:val="00FB772F"/>
    <w:rsid w:val="00FC121E"/>
    <w:rsid w:val="00FC4896"/>
    <w:rsid w:val="00FD426F"/>
    <w:rsid w:val="00FD4334"/>
    <w:rsid w:val="00FD6897"/>
    <w:rsid w:val="00FD7A9F"/>
    <w:rsid w:val="00FE27A0"/>
    <w:rsid w:val="00FE78A4"/>
    <w:rsid w:val="00FF1E71"/>
    <w:rsid w:val="00FF3FFA"/>
    <w:rsid w:val="00FF5321"/>
    <w:rsid w:val="00FF5790"/>
    <w:rsid w:val="14D3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81C4B"/>
  <w15:docId w15:val="{42867ED5-FDFF-44E4-9EF3-2D5C2669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B2C"/>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character" w:styleId="CommentReference">
    <w:name w:val="annotation reference"/>
    <w:uiPriority w:val="99"/>
    <w:rsid w:val="00E70B2C"/>
    <w:rPr>
      <w:sz w:val="16"/>
      <w:szCs w:val="16"/>
    </w:rPr>
  </w:style>
  <w:style w:type="paragraph" w:styleId="CommentText">
    <w:name w:val="annotation text"/>
    <w:basedOn w:val="Normal"/>
    <w:link w:val="CommentTextChar"/>
    <w:uiPriority w:val="99"/>
    <w:rsid w:val="00E70B2C"/>
    <w:rPr>
      <w:sz w:val="20"/>
      <w:szCs w:val="20"/>
    </w:rPr>
  </w:style>
  <w:style w:type="character" w:customStyle="1" w:styleId="CommentTextChar">
    <w:name w:val="Comment Text Char"/>
    <w:basedOn w:val="DefaultParagraphFont"/>
    <w:link w:val="CommentText"/>
    <w:uiPriority w:val="99"/>
    <w:rsid w:val="00E70B2C"/>
    <w:rPr>
      <w:rFonts w:ascii="Arial" w:hAnsi="Arial"/>
      <w:lang w:eastAsia="en-US"/>
    </w:rPr>
  </w:style>
  <w:style w:type="table" w:styleId="TableGrid">
    <w:name w:val="Table Grid"/>
    <w:basedOn w:val="TableNormal"/>
    <w:rsid w:val="00E70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0B2C"/>
    <w:pPr>
      <w:tabs>
        <w:tab w:val="center" w:pos="4153"/>
        <w:tab w:val="right" w:pos="8306"/>
      </w:tabs>
    </w:pPr>
  </w:style>
  <w:style w:type="character" w:customStyle="1" w:styleId="FooterChar">
    <w:name w:val="Footer Char"/>
    <w:basedOn w:val="DefaultParagraphFont"/>
    <w:link w:val="Footer"/>
    <w:uiPriority w:val="99"/>
    <w:rsid w:val="00E70B2C"/>
    <w:rPr>
      <w:rFonts w:ascii="Arial" w:hAnsi="Arial"/>
      <w:sz w:val="24"/>
      <w:szCs w:val="24"/>
      <w:lang w:eastAsia="en-US"/>
    </w:rPr>
  </w:style>
  <w:style w:type="paragraph" w:styleId="ListParagraph">
    <w:name w:val="List Paragraph"/>
    <w:aliases w:val="Bullets,Dot pt,No Spacing1,List Paragraph Char Char Char,Indicator Text,Numbered Para 1,List Paragraph12,Bullet Points,MAIN CONTENT,Bullet 1,Colorful List - Accent 11,F5 List Paragraph,List Paragraph11,List Paragraph2,OBC Bullet,L"/>
    <w:basedOn w:val="Normal"/>
    <w:link w:val="ListParagraphChar"/>
    <w:uiPriority w:val="34"/>
    <w:qFormat/>
    <w:rsid w:val="00E70B2C"/>
    <w:pPr>
      <w:ind w:left="720"/>
      <w:contextualSpacing/>
    </w:pPr>
  </w:style>
  <w:style w:type="character" w:customStyle="1" w:styleId="fhb">
    <w:name w:val="fhb"/>
    <w:basedOn w:val="DefaultParagraphFont"/>
    <w:rsid w:val="00E70B2C"/>
  </w:style>
  <w:style w:type="character" w:customStyle="1" w:styleId="fh">
    <w:name w:val="fh"/>
    <w:basedOn w:val="DefaultParagraphFont"/>
    <w:rsid w:val="00E70B2C"/>
  </w:style>
  <w:style w:type="character" w:customStyle="1" w:styleId="ListParagraphChar">
    <w:name w:val="List Paragraph Char"/>
    <w:aliases w:val="Bullets Char,Dot pt Char,No Spacing1 Char,List Paragraph Char Char Char Char,Indicator Text Char,Numbered Para 1 Char,List Paragraph12 Char,Bullet Points Char,MAIN CONTENT Char,Bullet 1 Char,Colorful List - Accent 11 Char,L Char"/>
    <w:link w:val="ListParagraph"/>
    <w:uiPriority w:val="34"/>
    <w:qFormat/>
    <w:rsid w:val="00E70B2C"/>
    <w:rPr>
      <w:rFonts w:ascii="Arial" w:hAnsi="Arial"/>
      <w:sz w:val="24"/>
      <w:szCs w:val="24"/>
      <w:lang w:eastAsia="en-US"/>
    </w:rPr>
  </w:style>
  <w:style w:type="paragraph" w:styleId="BalloonText">
    <w:name w:val="Balloon Text"/>
    <w:basedOn w:val="Normal"/>
    <w:link w:val="BalloonTextChar"/>
    <w:rsid w:val="00E70B2C"/>
    <w:rPr>
      <w:rFonts w:ascii="Tahoma" w:hAnsi="Tahoma" w:cs="Tahoma"/>
      <w:sz w:val="16"/>
      <w:szCs w:val="16"/>
    </w:rPr>
  </w:style>
  <w:style w:type="character" w:customStyle="1" w:styleId="BalloonTextChar">
    <w:name w:val="Balloon Text Char"/>
    <w:basedOn w:val="DefaultParagraphFont"/>
    <w:link w:val="BalloonText"/>
    <w:rsid w:val="00E70B2C"/>
    <w:rPr>
      <w:rFonts w:ascii="Tahoma" w:hAnsi="Tahoma" w:cs="Tahoma"/>
      <w:sz w:val="16"/>
      <w:szCs w:val="16"/>
      <w:lang w:eastAsia="en-US"/>
    </w:rPr>
  </w:style>
  <w:style w:type="paragraph" w:styleId="CommentSubject">
    <w:name w:val="annotation subject"/>
    <w:basedOn w:val="CommentText"/>
    <w:next w:val="CommentText"/>
    <w:link w:val="CommentSubjectChar"/>
    <w:rsid w:val="00493621"/>
    <w:rPr>
      <w:b/>
      <w:bCs/>
    </w:rPr>
  </w:style>
  <w:style w:type="character" w:customStyle="1" w:styleId="CommentSubjectChar">
    <w:name w:val="Comment Subject Char"/>
    <w:basedOn w:val="CommentTextChar"/>
    <w:link w:val="CommentSubject"/>
    <w:rsid w:val="00493621"/>
    <w:rPr>
      <w:rFonts w:ascii="Arial" w:hAnsi="Arial"/>
      <w:b/>
      <w:bCs/>
      <w:lang w:eastAsia="en-US"/>
    </w:rPr>
  </w:style>
  <w:style w:type="paragraph" w:styleId="Header">
    <w:name w:val="header"/>
    <w:basedOn w:val="Normal"/>
    <w:link w:val="HeaderChar"/>
    <w:rsid w:val="00E4551A"/>
    <w:pPr>
      <w:tabs>
        <w:tab w:val="center" w:pos="4513"/>
        <w:tab w:val="right" w:pos="9026"/>
      </w:tabs>
    </w:pPr>
  </w:style>
  <w:style w:type="character" w:customStyle="1" w:styleId="HeaderChar">
    <w:name w:val="Header Char"/>
    <w:basedOn w:val="DefaultParagraphFont"/>
    <w:link w:val="Header"/>
    <w:rsid w:val="00E4551A"/>
    <w:rPr>
      <w:rFonts w:ascii="Arial" w:hAnsi="Arial"/>
      <w:sz w:val="24"/>
      <w:szCs w:val="24"/>
      <w:lang w:eastAsia="en-US"/>
    </w:rPr>
  </w:style>
  <w:style w:type="character" w:styleId="Hyperlink">
    <w:name w:val="Hyperlink"/>
    <w:basedOn w:val="DefaultParagraphFont"/>
    <w:unhideWhenUsed/>
    <w:rsid w:val="00AD3A2C"/>
    <w:rPr>
      <w:color w:val="0000FF" w:themeColor="hyperlink"/>
      <w:u w:val="single"/>
    </w:rPr>
  </w:style>
  <w:style w:type="character" w:customStyle="1" w:styleId="UnresolvedMention1">
    <w:name w:val="Unresolved Mention1"/>
    <w:basedOn w:val="DefaultParagraphFont"/>
    <w:uiPriority w:val="99"/>
    <w:semiHidden/>
    <w:unhideWhenUsed/>
    <w:rsid w:val="00AD3A2C"/>
    <w:rPr>
      <w:color w:val="605E5C"/>
      <w:shd w:val="clear" w:color="auto" w:fill="E1DFDD"/>
    </w:rPr>
  </w:style>
  <w:style w:type="paragraph" w:styleId="FootnoteText">
    <w:name w:val="footnote text"/>
    <w:aliases w:val="single space,footnote text,ft,Footnote Text Char Char Char Char Char Char Char Char Char Char,FOOTNOTES,fn,ADB,WB-Fußnotentext,Footnote,Fußnote,WB-Fuﬂnotentext,Fuﬂnote,ALTS FOOTNOTE,Geneva 9,Font: Geneva 9,Boston 10,f,Footnote Text Char1"/>
    <w:basedOn w:val="Normal"/>
    <w:link w:val="FootnoteTextChar"/>
    <w:qFormat/>
    <w:rsid w:val="009F42DC"/>
    <w:rPr>
      <w:sz w:val="20"/>
      <w:szCs w:val="20"/>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rsid w:val="009F42DC"/>
    <w:rPr>
      <w:rFonts w:ascii="Arial" w:hAnsi="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basedOn w:val="DefaultParagraphFont"/>
    <w:link w:val="BVIfnrChar1CharCharCharCharChar"/>
    <w:qFormat/>
    <w:rsid w:val="009F42DC"/>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rsid w:val="00560EB7"/>
    <w:pPr>
      <w:spacing w:after="160" w:line="240" w:lineRule="exact"/>
    </w:pPr>
    <w:rPr>
      <w:rFonts w:ascii="Times New Roman" w:hAnsi="Times New Roman"/>
      <w:sz w:val="20"/>
      <w:szCs w:val="20"/>
      <w:vertAlign w:val="superscript"/>
      <w:lang w:eastAsia="en-GB"/>
    </w:rPr>
  </w:style>
  <w:style w:type="paragraph" w:customStyle="1" w:styleId="Default">
    <w:name w:val="Default"/>
    <w:rsid w:val="00560EB7"/>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2A5DB4"/>
    <w:rPr>
      <w:color w:val="800080" w:themeColor="followedHyperlink"/>
      <w:u w:val="single"/>
    </w:rPr>
  </w:style>
  <w:style w:type="paragraph" w:styleId="NormalWeb">
    <w:name w:val="Normal (Web)"/>
    <w:basedOn w:val="Normal"/>
    <w:uiPriority w:val="99"/>
    <w:unhideWhenUsed/>
    <w:rsid w:val="00B26F17"/>
    <w:pPr>
      <w:spacing w:before="100" w:beforeAutospacing="1" w:after="100" w:afterAutospacing="1"/>
    </w:pPr>
    <w:rPr>
      <w:rFonts w:ascii="Times New Roman" w:hAnsi="Times New Roman"/>
      <w:lang w:eastAsia="en-GB"/>
    </w:rPr>
  </w:style>
  <w:style w:type="paragraph" w:customStyle="1" w:styleId="Pa14">
    <w:name w:val="Pa14"/>
    <w:basedOn w:val="Default"/>
    <w:next w:val="Default"/>
    <w:uiPriority w:val="99"/>
    <w:rsid w:val="0008370B"/>
    <w:pPr>
      <w:spacing w:line="191" w:lineRule="atLeast"/>
    </w:pPr>
    <w:rPr>
      <w:rFonts w:ascii="Avenir Book" w:hAnsi="Avenir Book" w:cs="Times New Roman"/>
      <w:color w:val="auto"/>
    </w:rPr>
  </w:style>
  <w:style w:type="character" w:customStyle="1" w:styleId="A12">
    <w:name w:val="A12"/>
    <w:uiPriority w:val="99"/>
    <w:rsid w:val="0008370B"/>
    <w:rPr>
      <w:rFonts w:cs="Avenir Book"/>
      <w:color w:val="000000"/>
      <w:sz w:val="11"/>
      <w:szCs w:val="11"/>
    </w:rPr>
  </w:style>
  <w:style w:type="character" w:customStyle="1" w:styleId="A17">
    <w:name w:val="A17"/>
    <w:uiPriority w:val="99"/>
    <w:rsid w:val="0008370B"/>
    <w:rPr>
      <w:rFonts w:cs="Avenir Book"/>
      <w:color w:val="000000"/>
      <w:sz w:val="14"/>
      <w:szCs w:val="14"/>
      <w:u w:val="single"/>
    </w:rPr>
  </w:style>
  <w:style w:type="paragraph" w:styleId="NoSpacing">
    <w:name w:val="No Spacing"/>
    <w:uiPriority w:val="1"/>
    <w:qFormat/>
    <w:rsid w:val="00CF790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7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943">
      <w:bodyDiv w:val="1"/>
      <w:marLeft w:val="0"/>
      <w:marRight w:val="0"/>
      <w:marTop w:val="0"/>
      <w:marBottom w:val="0"/>
      <w:divBdr>
        <w:top w:val="none" w:sz="0" w:space="0" w:color="auto"/>
        <w:left w:val="none" w:sz="0" w:space="0" w:color="auto"/>
        <w:bottom w:val="none" w:sz="0" w:space="0" w:color="auto"/>
        <w:right w:val="none" w:sz="0" w:space="0" w:color="auto"/>
      </w:divBdr>
    </w:div>
    <w:div w:id="177737126">
      <w:bodyDiv w:val="1"/>
      <w:marLeft w:val="0"/>
      <w:marRight w:val="0"/>
      <w:marTop w:val="0"/>
      <w:marBottom w:val="0"/>
      <w:divBdr>
        <w:top w:val="none" w:sz="0" w:space="0" w:color="auto"/>
        <w:left w:val="none" w:sz="0" w:space="0" w:color="auto"/>
        <w:bottom w:val="none" w:sz="0" w:space="0" w:color="auto"/>
        <w:right w:val="none" w:sz="0" w:space="0" w:color="auto"/>
      </w:divBdr>
      <w:divsChild>
        <w:div w:id="1770739905">
          <w:marLeft w:val="-225"/>
          <w:marRight w:val="-225"/>
          <w:marTop w:val="0"/>
          <w:marBottom w:val="0"/>
          <w:divBdr>
            <w:top w:val="none" w:sz="0" w:space="0" w:color="auto"/>
            <w:left w:val="none" w:sz="0" w:space="0" w:color="auto"/>
            <w:bottom w:val="none" w:sz="0" w:space="0" w:color="auto"/>
            <w:right w:val="none" w:sz="0" w:space="0" w:color="auto"/>
          </w:divBdr>
          <w:divsChild>
            <w:div w:id="1404526541">
              <w:marLeft w:val="0"/>
              <w:marRight w:val="0"/>
              <w:marTop w:val="0"/>
              <w:marBottom w:val="0"/>
              <w:divBdr>
                <w:top w:val="none" w:sz="0" w:space="0" w:color="auto"/>
                <w:left w:val="none" w:sz="0" w:space="0" w:color="auto"/>
                <w:bottom w:val="none" w:sz="0" w:space="0" w:color="auto"/>
                <w:right w:val="none" w:sz="0" w:space="0" w:color="auto"/>
              </w:divBdr>
              <w:divsChild>
                <w:div w:id="322777644">
                  <w:marLeft w:val="0"/>
                  <w:marRight w:val="0"/>
                  <w:marTop w:val="0"/>
                  <w:marBottom w:val="0"/>
                  <w:divBdr>
                    <w:top w:val="none" w:sz="0" w:space="0" w:color="auto"/>
                    <w:left w:val="none" w:sz="0" w:space="0" w:color="auto"/>
                    <w:bottom w:val="none" w:sz="0" w:space="0" w:color="auto"/>
                    <w:right w:val="none" w:sz="0" w:space="0" w:color="auto"/>
                  </w:divBdr>
                  <w:divsChild>
                    <w:div w:id="1004474002">
                      <w:marLeft w:val="0"/>
                      <w:marRight w:val="0"/>
                      <w:marTop w:val="0"/>
                      <w:marBottom w:val="0"/>
                      <w:divBdr>
                        <w:top w:val="none" w:sz="0" w:space="0" w:color="auto"/>
                        <w:left w:val="none" w:sz="0" w:space="0" w:color="auto"/>
                        <w:bottom w:val="none" w:sz="0" w:space="0" w:color="auto"/>
                        <w:right w:val="none" w:sz="0" w:space="0" w:color="auto"/>
                      </w:divBdr>
                      <w:divsChild>
                        <w:div w:id="677852452">
                          <w:marLeft w:val="0"/>
                          <w:marRight w:val="0"/>
                          <w:marTop w:val="0"/>
                          <w:marBottom w:val="0"/>
                          <w:divBdr>
                            <w:top w:val="single" w:sz="12" w:space="23" w:color="0B0C0C"/>
                            <w:left w:val="single" w:sz="12" w:space="17" w:color="0B0C0C"/>
                            <w:bottom w:val="single" w:sz="12" w:space="23" w:color="0B0C0C"/>
                            <w:right w:val="single" w:sz="12" w:space="17" w:color="0B0C0C"/>
                          </w:divBdr>
                          <w:divsChild>
                            <w:div w:id="668824428">
                              <w:marLeft w:val="0"/>
                              <w:marRight w:val="0"/>
                              <w:marTop w:val="0"/>
                              <w:marBottom w:val="0"/>
                              <w:divBdr>
                                <w:top w:val="none" w:sz="0" w:space="0" w:color="auto"/>
                                <w:left w:val="none" w:sz="0" w:space="0" w:color="auto"/>
                                <w:bottom w:val="none" w:sz="0" w:space="0" w:color="auto"/>
                                <w:right w:val="none" w:sz="0" w:space="0" w:color="auto"/>
                              </w:divBdr>
                              <w:divsChild>
                                <w:div w:id="1864636515">
                                  <w:marLeft w:val="0"/>
                                  <w:marRight w:val="0"/>
                                  <w:marTop w:val="75"/>
                                  <w:marBottom w:val="75"/>
                                  <w:divBdr>
                                    <w:top w:val="none" w:sz="0" w:space="0" w:color="auto"/>
                                    <w:left w:val="none" w:sz="0" w:space="0" w:color="auto"/>
                                    <w:bottom w:val="none" w:sz="0" w:space="0" w:color="auto"/>
                                    <w:right w:val="none" w:sz="0" w:space="0" w:color="auto"/>
                                  </w:divBdr>
                                  <w:divsChild>
                                    <w:div w:id="2125074573">
                                      <w:marLeft w:val="-225"/>
                                      <w:marRight w:val="-225"/>
                                      <w:marTop w:val="0"/>
                                      <w:marBottom w:val="0"/>
                                      <w:divBdr>
                                        <w:top w:val="none" w:sz="0" w:space="0" w:color="auto"/>
                                        <w:left w:val="none" w:sz="0" w:space="0" w:color="auto"/>
                                        <w:bottom w:val="none" w:sz="0" w:space="0" w:color="auto"/>
                                        <w:right w:val="none" w:sz="0" w:space="0" w:color="auto"/>
                                      </w:divBdr>
                                      <w:divsChild>
                                        <w:div w:id="1880513666">
                                          <w:marLeft w:val="0"/>
                                          <w:marRight w:val="0"/>
                                          <w:marTop w:val="0"/>
                                          <w:marBottom w:val="0"/>
                                          <w:divBdr>
                                            <w:top w:val="none" w:sz="0" w:space="0" w:color="auto"/>
                                            <w:left w:val="none" w:sz="0" w:space="0" w:color="auto"/>
                                            <w:bottom w:val="none" w:sz="0" w:space="0" w:color="auto"/>
                                            <w:right w:val="none" w:sz="0" w:space="0" w:color="auto"/>
                                          </w:divBdr>
                                          <w:divsChild>
                                            <w:div w:id="324432320">
                                              <w:marLeft w:val="0"/>
                                              <w:marRight w:val="0"/>
                                              <w:marTop w:val="75"/>
                                              <w:marBottom w:val="75"/>
                                              <w:divBdr>
                                                <w:top w:val="none" w:sz="0" w:space="0" w:color="auto"/>
                                                <w:left w:val="none" w:sz="0" w:space="0" w:color="auto"/>
                                                <w:bottom w:val="none" w:sz="0" w:space="0" w:color="auto"/>
                                                <w:right w:val="none" w:sz="0" w:space="0" w:color="auto"/>
                                              </w:divBdr>
                                              <w:divsChild>
                                                <w:div w:id="1455443757">
                                                  <w:marLeft w:val="0"/>
                                                  <w:marRight w:val="0"/>
                                                  <w:marTop w:val="0"/>
                                                  <w:marBottom w:val="0"/>
                                                  <w:divBdr>
                                                    <w:top w:val="none" w:sz="0" w:space="0" w:color="auto"/>
                                                    <w:left w:val="none" w:sz="0" w:space="0" w:color="auto"/>
                                                    <w:bottom w:val="none" w:sz="0" w:space="0" w:color="auto"/>
                                                    <w:right w:val="none" w:sz="0" w:space="0" w:color="auto"/>
                                                  </w:divBdr>
                                                  <w:divsChild>
                                                    <w:div w:id="431052171">
                                                      <w:marLeft w:val="0"/>
                                                      <w:marRight w:val="0"/>
                                                      <w:marTop w:val="0"/>
                                                      <w:marBottom w:val="0"/>
                                                      <w:divBdr>
                                                        <w:top w:val="single" w:sz="6" w:space="12" w:color="DDDDDD"/>
                                                        <w:left w:val="none" w:sz="0" w:space="0" w:color="auto"/>
                                                        <w:bottom w:val="none" w:sz="0" w:space="0" w:color="auto"/>
                                                        <w:right w:val="none" w:sz="0" w:space="0" w:color="auto"/>
                                                      </w:divBdr>
                                                      <w:divsChild>
                                                        <w:div w:id="411661297">
                                                          <w:marLeft w:val="0"/>
                                                          <w:marRight w:val="0"/>
                                                          <w:marTop w:val="0"/>
                                                          <w:marBottom w:val="0"/>
                                                          <w:divBdr>
                                                            <w:top w:val="none" w:sz="0" w:space="0" w:color="auto"/>
                                                            <w:left w:val="none" w:sz="0" w:space="0" w:color="auto"/>
                                                            <w:bottom w:val="none" w:sz="0" w:space="0" w:color="auto"/>
                                                            <w:right w:val="none" w:sz="0" w:space="0" w:color="auto"/>
                                                          </w:divBdr>
                                                          <w:divsChild>
                                                            <w:div w:id="762189946">
                                                              <w:marLeft w:val="-225"/>
                                                              <w:marRight w:val="-225"/>
                                                              <w:marTop w:val="0"/>
                                                              <w:marBottom w:val="0"/>
                                                              <w:divBdr>
                                                                <w:top w:val="none" w:sz="0" w:space="0" w:color="auto"/>
                                                                <w:left w:val="none" w:sz="0" w:space="0" w:color="auto"/>
                                                                <w:bottom w:val="none" w:sz="0" w:space="0" w:color="auto"/>
                                                                <w:right w:val="none" w:sz="0" w:space="0" w:color="auto"/>
                                                              </w:divBdr>
                                                              <w:divsChild>
                                                                <w:div w:id="17819551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362870">
      <w:bodyDiv w:val="1"/>
      <w:marLeft w:val="0"/>
      <w:marRight w:val="0"/>
      <w:marTop w:val="0"/>
      <w:marBottom w:val="0"/>
      <w:divBdr>
        <w:top w:val="none" w:sz="0" w:space="0" w:color="auto"/>
        <w:left w:val="none" w:sz="0" w:space="0" w:color="auto"/>
        <w:bottom w:val="none" w:sz="0" w:space="0" w:color="auto"/>
        <w:right w:val="none" w:sz="0" w:space="0" w:color="auto"/>
      </w:divBdr>
    </w:div>
    <w:div w:id="1362634808">
      <w:bodyDiv w:val="1"/>
      <w:marLeft w:val="0"/>
      <w:marRight w:val="0"/>
      <w:marTop w:val="0"/>
      <w:marBottom w:val="0"/>
      <w:divBdr>
        <w:top w:val="none" w:sz="0" w:space="0" w:color="auto"/>
        <w:left w:val="none" w:sz="0" w:space="0" w:color="auto"/>
        <w:bottom w:val="none" w:sz="0" w:space="0" w:color="auto"/>
        <w:right w:val="none" w:sz="0" w:space="0" w:color="auto"/>
      </w:divBdr>
    </w:div>
    <w:div w:id="1373774421">
      <w:bodyDiv w:val="1"/>
      <w:marLeft w:val="0"/>
      <w:marRight w:val="0"/>
      <w:marTop w:val="0"/>
      <w:marBottom w:val="0"/>
      <w:divBdr>
        <w:top w:val="none" w:sz="0" w:space="0" w:color="auto"/>
        <w:left w:val="none" w:sz="0" w:space="0" w:color="auto"/>
        <w:bottom w:val="none" w:sz="0" w:space="0" w:color="auto"/>
        <w:right w:val="none" w:sz="0" w:space="0" w:color="auto"/>
      </w:divBdr>
    </w:div>
    <w:div w:id="1432042570">
      <w:bodyDiv w:val="1"/>
      <w:marLeft w:val="0"/>
      <w:marRight w:val="0"/>
      <w:marTop w:val="0"/>
      <w:marBottom w:val="0"/>
      <w:divBdr>
        <w:top w:val="none" w:sz="0" w:space="0" w:color="auto"/>
        <w:left w:val="none" w:sz="0" w:space="0" w:color="auto"/>
        <w:bottom w:val="none" w:sz="0" w:space="0" w:color="auto"/>
        <w:right w:val="none" w:sz="0" w:space="0" w:color="auto"/>
      </w:divBdr>
    </w:div>
    <w:div w:id="1879321488">
      <w:bodyDiv w:val="1"/>
      <w:marLeft w:val="0"/>
      <w:marRight w:val="0"/>
      <w:marTop w:val="0"/>
      <w:marBottom w:val="0"/>
      <w:divBdr>
        <w:top w:val="none" w:sz="0" w:space="0" w:color="auto"/>
        <w:left w:val="none" w:sz="0" w:space="0" w:color="auto"/>
        <w:bottom w:val="none" w:sz="0" w:space="0" w:color="auto"/>
        <w:right w:val="none" w:sz="0" w:space="0" w:color="auto"/>
      </w:divBdr>
    </w:div>
    <w:div w:id="1885363080">
      <w:bodyDiv w:val="1"/>
      <w:marLeft w:val="0"/>
      <w:marRight w:val="0"/>
      <w:marTop w:val="0"/>
      <w:marBottom w:val="0"/>
      <w:divBdr>
        <w:top w:val="none" w:sz="0" w:space="0" w:color="auto"/>
        <w:left w:val="none" w:sz="0" w:space="0" w:color="auto"/>
        <w:bottom w:val="none" w:sz="0" w:space="0" w:color="auto"/>
        <w:right w:val="none" w:sz="0" w:space="0" w:color="auto"/>
      </w:divBdr>
    </w:div>
    <w:div w:id="21104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vault.dfid.gov.uk/otcs/cs.exe/properties/428955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vault.dfid.gov.uk/otcs/cs.exe/properties/37917779" TargetMode="External"/><Relationship Id="rId5" Type="http://schemas.openxmlformats.org/officeDocument/2006/relationships/numbering" Target="numbering.xml"/><Relationship Id="rId15" Type="http://schemas.openxmlformats.org/officeDocument/2006/relationships/hyperlink" Target="http://www.stapgef.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ef.org/sites/default/files/council-meeting-documents/GEF.A6.07_OPS6.pdf" TargetMode="External"/><Relationship Id="rId3" Type="http://schemas.openxmlformats.org/officeDocument/2006/relationships/hyperlink" Target="http://fiftrustee.worldbank.org/SiteCollectionDocuments/GEF/Trustee%20Reports/GEF_TR_03_19.pdf" TargetMode="External"/><Relationship Id="rId7" Type="http://schemas.openxmlformats.org/officeDocument/2006/relationships/hyperlink" Target="https://www.thegef.org/sites/default/files/council-meeting-documents/GEF-C.56-07%2C%20Status%20of%20Agencies%27%20Compliance.pdf" TargetMode="External"/><Relationship Id="rId2" Type="http://schemas.openxmlformats.org/officeDocument/2006/relationships/hyperlink" Target="https://www.thegef.org/sites/default/files/council-meeting-documents/GEF-C.55-Inf.03-GEF-7-STAR.pdf" TargetMode="External"/><Relationship Id="rId1" Type="http://schemas.openxmlformats.org/officeDocument/2006/relationships/hyperlink" Target="http://www.thegef.org/sites/default/files/council-meeting-documents/EN_GEF.C.54.11.Rev_.02_Results.pdf" TargetMode="External"/><Relationship Id="rId6" Type="http://schemas.openxmlformats.org/officeDocument/2006/relationships/hyperlink" Target="https://www.thegef.org/sites/default/files/council-meeting-documents/GEF-C.56-05%2C%20Informing%20the%20Council%20of%20Possible%20Non-Compliance%20with%20ESS.pdf" TargetMode="External"/><Relationship Id="rId5" Type="http://schemas.openxmlformats.org/officeDocument/2006/relationships/hyperlink" Target="https://www.thegef.org/sites/default/files/council-meeting-documents/EN_GEF.ME_C56_Inf.01_Annual_Performance_Report_May_2019_0.pdf" TargetMode="External"/><Relationship Id="rId4" Type="http://schemas.openxmlformats.org/officeDocument/2006/relationships/hyperlink" Target="https://www.thegef.org/sites/default/files/council-meeting-documents/EN_GEF_C.56_06_GEF%20Business%20Plan%20and%20Corporate%20Budget%20for%20FY20.pdf" TargetMode="External"/><Relationship Id="rId9" Type="http://schemas.openxmlformats.org/officeDocument/2006/relationships/hyperlink" Target="https://www.thegef.org/sites/default/files/council-meeting-documents/EN_GEF.ME_C56_01_SAER_June_2019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8FCDC3265304FA488F69B9DE6E4C9" ma:contentTypeVersion="10" ma:contentTypeDescription="Create a new document." ma:contentTypeScope="" ma:versionID="13a5596a2b82de2842800b35378cbb8a">
  <xsd:schema xmlns:xsd="http://www.w3.org/2001/XMLSchema" xmlns:xs="http://www.w3.org/2001/XMLSchema" xmlns:p="http://schemas.microsoft.com/office/2006/metadata/properties" xmlns:ns3="b7c93d6a-9e7c-4b85-b28f-6ba8b49ce486" xmlns:ns4="0aec54f0-961c-48a6-8d54-50156a989ba7" targetNamespace="http://schemas.microsoft.com/office/2006/metadata/properties" ma:root="true" ma:fieldsID="01a7b9a600170662a0886e680277ea57" ns3:_="" ns4:_="">
    <xsd:import namespace="b7c93d6a-9e7c-4b85-b28f-6ba8b49ce486"/>
    <xsd:import namespace="0aec54f0-961c-48a6-8d54-50156a989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3d6a-9e7c-4b85-b28f-6ba8b49ce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c54f0-961c-48a6-8d54-50156a989b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A9FF-B79A-4E19-8111-19673B8F7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DCEA9-F2C2-4A82-A7C9-CC7B494BA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3d6a-9e7c-4b85-b28f-6ba8b49ce486"/>
    <ds:schemaRef ds:uri="0aec54f0-961c-48a6-8d54-50156a98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B849D-56E6-41F4-8DD9-87D50656F7D7}">
  <ds:schemaRefs>
    <ds:schemaRef ds:uri="http://schemas.microsoft.com/sharepoint/v3/contenttype/forms"/>
  </ds:schemaRefs>
</ds:datastoreItem>
</file>

<file path=customXml/itemProps4.xml><?xml version="1.0" encoding="utf-8"?>
<ds:datastoreItem xmlns:ds="http://schemas.openxmlformats.org/officeDocument/2006/customXml" ds:itemID="{3BAB5B14-046D-49B0-BBDC-8BC9B3AD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7400</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Taylor</dc:creator>
  <cp:lastModifiedBy>Colette O'Neil</cp:lastModifiedBy>
  <cp:revision>16</cp:revision>
  <cp:lastPrinted>2017-11-24T14:54:00Z</cp:lastPrinted>
  <dcterms:created xsi:type="dcterms:W3CDTF">2019-11-12T08:11:00Z</dcterms:created>
  <dcterms:modified xsi:type="dcterms:W3CDTF">2019-11-15T09:58:00Z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0x0101001188FCDC3265304FA488F69B9DE6E4C9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Directorate">
    <vt:lpwstr/>
  </property>
  <property fmtid="{D5CDD505-2E9C-101B-9397-08002B2CF9AE}" pid="7" name="SecurityClassification">
    <vt:lpwstr/>
  </property>
</Properties>
</file>