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B3AE" w14:textId="3B5069A4" w:rsidR="006F3AE7" w:rsidRPr="00227210" w:rsidRDefault="00F17CBE" w:rsidP="372CE9A3">
      <w:pPr>
        <w:pStyle w:val="Heading2"/>
        <w:jc w:val="center"/>
        <w:rPr>
          <w:i w:val="0"/>
        </w:rPr>
      </w:pPr>
      <w:r w:rsidRPr="372CE9A3">
        <w:rPr>
          <w:i w:val="0"/>
        </w:rPr>
        <w:t xml:space="preserve">Land Degradation Neutrality Fund </w:t>
      </w:r>
      <w:r w:rsidR="006F3AE7" w:rsidRPr="372CE9A3">
        <w:rPr>
          <w:i w:val="0"/>
        </w:rPr>
        <w:t xml:space="preserve">Annual Review </w:t>
      </w:r>
      <w:r w:rsidRPr="372CE9A3">
        <w:rPr>
          <w:i w:val="0"/>
        </w:rPr>
        <w:t>–</w:t>
      </w:r>
      <w:r w:rsidR="006F3AE7" w:rsidRPr="372CE9A3">
        <w:rPr>
          <w:i w:val="0"/>
        </w:rPr>
        <w:t xml:space="preserve"> 202</w:t>
      </w:r>
      <w:r w:rsidR="038E2E6E" w:rsidRPr="372CE9A3">
        <w:rPr>
          <w:i w:val="0"/>
        </w:rPr>
        <w:t>3</w:t>
      </w:r>
      <w:r w:rsidRPr="372CE9A3">
        <w:rPr>
          <w:i w:val="0"/>
        </w:rPr>
        <w:t xml:space="preserve"> Performance</w:t>
      </w:r>
    </w:p>
    <w:p w14:paraId="4F1FFEFD" w14:textId="77777777" w:rsidR="006F3AE7" w:rsidRPr="00F70DBE" w:rsidRDefault="006F3AE7" w:rsidP="006F3AE7">
      <w:pPr>
        <w:rPr>
          <w:b/>
          <w:sz w:val="22"/>
          <w:szCs w:val="22"/>
        </w:rPr>
      </w:pPr>
    </w:p>
    <w:tbl>
      <w:tblPr>
        <w:tblStyle w:val="TableGrid"/>
        <w:tblW w:w="0" w:type="auto"/>
        <w:tblLook w:val="04A0" w:firstRow="1" w:lastRow="0" w:firstColumn="1" w:lastColumn="0" w:noHBand="0" w:noVBand="1"/>
      </w:tblPr>
      <w:tblGrid>
        <w:gridCol w:w="3964"/>
        <w:gridCol w:w="2410"/>
        <w:gridCol w:w="2642"/>
      </w:tblGrid>
      <w:tr w:rsidR="006F3AE7" w:rsidRPr="00F70DBE" w14:paraId="47F4281E" w14:textId="77777777" w:rsidTr="372CE9A3">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19861584" w14:textId="732BFC1B" w:rsidR="006F3AE7" w:rsidRPr="00CC6489" w:rsidRDefault="006F3AE7" w:rsidP="00FD6297">
            <w:pPr>
              <w:rPr>
                <w:b/>
                <w:sz w:val="20"/>
                <w:szCs w:val="22"/>
              </w:rPr>
            </w:pPr>
            <w:r w:rsidRPr="00CC6489">
              <w:rPr>
                <w:b/>
                <w:sz w:val="20"/>
                <w:szCs w:val="22"/>
              </w:rPr>
              <w:t xml:space="preserve">Title:  </w:t>
            </w:r>
            <w:r w:rsidR="000B2B57">
              <w:rPr>
                <w:b/>
                <w:sz w:val="20"/>
                <w:szCs w:val="22"/>
              </w:rPr>
              <w:t>The Land Degradation Neutrality (LDN) Fund</w:t>
            </w:r>
          </w:p>
        </w:tc>
      </w:tr>
      <w:tr w:rsidR="006F3AE7" w:rsidRPr="00F70DBE" w14:paraId="0D529975" w14:textId="77777777" w:rsidTr="372CE9A3">
        <w:trPr>
          <w:trHeight w:val="413"/>
        </w:trPr>
        <w:tc>
          <w:tcPr>
            <w:tcW w:w="6374"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7CB3E574" w14:textId="20F634FA" w:rsidR="006F3AE7" w:rsidRPr="00CC6489" w:rsidRDefault="006F3AE7" w:rsidP="00FD6297">
            <w:pPr>
              <w:rPr>
                <w:b/>
                <w:sz w:val="20"/>
                <w:szCs w:val="22"/>
              </w:rPr>
            </w:pPr>
            <w:r w:rsidRPr="00CC6489">
              <w:rPr>
                <w:b/>
                <w:sz w:val="20"/>
                <w:szCs w:val="22"/>
              </w:rPr>
              <w:t xml:space="preserve">Programme Value £ (full life): </w:t>
            </w:r>
            <w:r w:rsidR="000B2B57">
              <w:rPr>
                <w:b/>
                <w:sz w:val="20"/>
                <w:szCs w:val="22"/>
              </w:rPr>
              <w:t>£10m GBP</w:t>
            </w:r>
            <w:r w:rsidR="00BB03E1">
              <w:rPr>
                <w:b/>
                <w:sz w:val="20"/>
                <w:szCs w:val="22"/>
              </w:rPr>
              <w:t xml:space="preserve"> ($13.2m USD)</w:t>
            </w:r>
          </w:p>
        </w:tc>
        <w:tc>
          <w:tcPr>
            <w:tcW w:w="2642"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1C769C30" w14:textId="7690906C" w:rsidR="006F3AE7" w:rsidRPr="00CC6489" w:rsidRDefault="006F3AE7" w:rsidP="372CE9A3">
            <w:pPr>
              <w:rPr>
                <w:b/>
                <w:bCs/>
                <w:sz w:val="20"/>
                <w:szCs w:val="20"/>
              </w:rPr>
            </w:pPr>
            <w:r w:rsidRPr="372CE9A3">
              <w:rPr>
                <w:b/>
                <w:bCs/>
                <w:sz w:val="20"/>
                <w:szCs w:val="20"/>
              </w:rPr>
              <w:t xml:space="preserve">Review </w:t>
            </w:r>
            <w:r w:rsidR="002816BC" w:rsidRPr="372CE9A3">
              <w:rPr>
                <w:b/>
                <w:bCs/>
                <w:sz w:val="20"/>
                <w:szCs w:val="20"/>
              </w:rPr>
              <w:t>d</w:t>
            </w:r>
            <w:r w:rsidRPr="372CE9A3">
              <w:rPr>
                <w:b/>
                <w:bCs/>
                <w:sz w:val="20"/>
                <w:szCs w:val="20"/>
              </w:rPr>
              <w:t xml:space="preserve">ate: </w:t>
            </w:r>
            <w:r w:rsidR="000B2B57" w:rsidRPr="372CE9A3">
              <w:rPr>
                <w:b/>
                <w:bCs/>
                <w:sz w:val="20"/>
                <w:szCs w:val="20"/>
              </w:rPr>
              <w:t>202</w:t>
            </w:r>
            <w:r w:rsidR="4FF8B894" w:rsidRPr="372CE9A3">
              <w:rPr>
                <w:b/>
                <w:bCs/>
                <w:sz w:val="20"/>
                <w:szCs w:val="20"/>
              </w:rPr>
              <w:t>3</w:t>
            </w:r>
          </w:p>
        </w:tc>
      </w:tr>
      <w:tr w:rsidR="006F3AE7" w:rsidRPr="00F70DBE" w14:paraId="7BCDC10B" w14:textId="77777777" w:rsidTr="372CE9A3">
        <w:trPr>
          <w:trHeight w:val="300"/>
        </w:trPr>
        <w:tc>
          <w:tcPr>
            <w:tcW w:w="3964" w:type="dxa"/>
            <w:tcBorders>
              <w:top w:val="dotted" w:sz="2" w:space="0" w:color="000000" w:themeColor="text1"/>
              <w:left w:val="single" w:sz="4" w:space="0" w:color="auto"/>
              <w:bottom w:val="single" w:sz="4" w:space="0" w:color="auto"/>
              <w:right w:val="dotted" w:sz="2" w:space="0" w:color="000000" w:themeColor="text1"/>
            </w:tcBorders>
          </w:tcPr>
          <w:p w14:paraId="34D5E3F0" w14:textId="77777777" w:rsidR="006F3AE7" w:rsidRPr="00CC6489" w:rsidRDefault="006F3AE7" w:rsidP="00FD6297">
            <w:pPr>
              <w:rPr>
                <w:b/>
                <w:sz w:val="20"/>
                <w:szCs w:val="22"/>
              </w:rPr>
            </w:pPr>
            <w:r w:rsidRPr="00CC6489">
              <w:rPr>
                <w:b/>
                <w:sz w:val="20"/>
                <w:szCs w:val="22"/>
              </w:rPr>
              <w:t xml:space="preserve">Programme Code: </w:t>
            </w:r>
            <w:r w:rsidRPr="00CC6489">
              <w:rPr>
                <w:sz w:val="20"/>
                <w:szCs w:val="22"/>
              </w:rPr>
              <w:t>[</w:t>
            </w:r>
            <w:r w:rsidRPr="00CC6489">
              <w:rPr>
                <w:rFonts w:cs="Arial"/>
                <w:sz w:val="20"/>
                <w:szCs w:val="20"/>
              </w:rPr>
              <w:t>AMP ID#]</w:t>
            </w:r>
          </w:p>
          <w:p w14:paraId="0C963E24" w14:textId="77777777" w:rsidR="006F3AE7" w:rsidRPr="00CC6489" w:rsidRDefault="006F3AE7" w:rsidP="00FD6297">
            <w:pPr>
              <w:rPr>
                <w:b/>
                <w:sz w:val="20"/>
                <w:szCs w:val="22"/>
              </w:rPr>
            </w:pP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7ADA9748" w14:textId="4BFB1014" w:rsidR="006F3AE7" w:rsidRPr="00CC6489" w:rsidRDefault="002816BC" w:rsidP="00FD6297">
            <w:pPr>
              <w:rPr>
                <w:b/>
                <w:sz w:val="20"/>
                <w:szCs w:val="22"/>
              </w:rPr>
            </w:pPr>
            <w:r>
              <w:rPr>
                <w:b/>
                <w:sz w:val="20"/>
                <w:szCs w:val="22"/>
              </w:rPr>
              <w:t>AMP start d</w:t>
            </w:r>
            <w:r w:rsidR="006F3AE7" w:rsidRPr="00CC6489">
              <w:rPr>
                <w:b/>
                <w:sz w:val="20"/>
                <w:szCs w:val="22"/>
              </w:rPr>
              <w:t>ate:</w:t>
            </w:r>
            <w:r w:rsidR="006F3AE7" w:rsidRPr="00CC6489">
              <w:rPr>
                <w:sz w:val="20"/>
              </w:rPr>
              <w:t xml:space="preserve"> </w:t>
            </w:r>
            <w:r w:rsidR="000B2B57">
              <w:rPr>
                <w:sz w:val="20"/>
              </w:rPr>
              <w:t>December 2019</w:t>
            </w:r>
          </w:p>
        </w:tc>
        <w:tc>
          <w:tcPr>
            <w:tcW w:w="2642" w:type="dxa"/>
            <w:tcBorders>
              <w:top w:val="dotted" w:sz="2" w:space="0" w:color="000000" w:themeColor="text1"/>
              <w:left w:val="dotted" w:sz="2" w:space="0" w:color="000000" w:themeColor="text1"/>
              <w:bottom w:val="single" w:sz="4" w:space="0" w:color="auto"/>
              <w:right w:val="single" w:sz="4" w:space="0" w:color="auto"/>
            </w:tcBorders>
            <w:hideMark/>
          </w:tcPr>
          <w:p w14:paraId="2EEAABCE" w14:textId="3D7F9B0B" w:rsidR="006F3AE7" w:rsidRPr="00CC6489" w:rsidRDefault="002816BC" w:rsidP="00FD6297">
            <w:pPr>
              <w:rPr>
                <w:b/>
                <w:sz w:val="20"/>
                <w:szCs w:val="22"/>
              </w:rPr>
            </w:pPr>
            <w:r>
              <w:rPr>
                <w:b/>
                <w:sz w:val="20"/>
                <w:szCs w:val="22"/>
              </w:rPr>
              <w:t>AMP end d</w:t>
            </w:r>
            <w:r w:rsidR="006F3AE7" w:rsidRPr="00CC6489">
              <w:rPr>
                <w:b/>
                <w:sz w:val="20"/>
                <w:szCs w:val="22"/>
              </w:rPr>
              <w:t>ate:</w:t>
            </w:r>
            <w:r w:rsidR="006F3AE7" w:rsidRPr="00CC6489">
              <w:rPr>
                <w:sz w:val="20"/>
              </w:rPr>
              <w:t xml:space="preserve"> </w:t>
            </w:r>
            <w:r w:rsidR="007D6609">
              <w:rPr>
                <w:sz w:val="20"/>
              </w:rPr>
              <w:t>2033</w:t>
            </w:r>
          </w:p>
        </w:tc>
      </w:tr>
    </w:tbl>
    <w:p w14:paraId="1F73C094" w14:textId="77777777" w:rsidR="006F3AE7" w:rsidRPr="00F70DBE" w:rsidRDefault="006F3AE7" w:rsidP="006F3AE7">
      <w:pPr>
        <w:rPr>
          <w:b/>
          <w:sz w:val="22"/>
          <w:szCs w:val="22"/>
        </w:rPr>
      </w:pPr>
    </w:p>
    <w:p w14:paraId="36AFB1BA" w14:textId="77777777" w:rsidR="006F3AE7" w:rsidRPr="00CC6489" w:rsidRDefault="006F3AE7" w:rsidP="006F3AE7">
      <w:pPr>
        <w:rPr>
          <w:b/>
          <w:sz w:val="22"/>
          <w:szCs w:val="22"/>
        </w:rPr>
      </w:pPr>
      <w:r w:rsidRPr="00CC6489">
        <w:rPr>
          <w:b/>
          <w:sz w:val="22"/>
          <w:szCs w:val="22"/>
        </w:rPr>
        <w:t xml:space="preserve">Summary of Programme Performance </w:t>
      </w:r>
    </w:p>
    <w:tbl>
      <w:tblPr>
        <w:tblStyle w:val="TableGrid"/>
        <w:tblW w:w="0" w:type="auto"/>
        <w:tblLayout w:type="fixed"/>
        <w:tblLook w:val="04A0" w:firstRow="1" w:lastRow="0" w:firstColumn="1" w:lastColumn="0" w:noHBand="0" w:noVBand="1"/>
      </w:tblPr>
      <w:tblGrid>
        <w:gridCol w:w="2210"/>
        <w:gridCol w:w="1181"/>
        <w:gridCol w:w="1181"/>
        <w:gridCol w:w="1033"/>
        <w:gridCol w:w="1181"/>
        <w:gridCol w:w="737"/>
        <w:gridCol w:w="737"/>
        <w:gridCol w:w="737"/>
      </w:tblGrid>
      <w:tr w:rsidR="001E20E2" w:rsidRPr="00CC6489" w14:paraId="3FAAC49F" w14:textId="77777777" w:rsidTr="001E20E2">
        <w:trPr>
          <w:trHeight w:val="233"/>
        </w:trPr>
        <w:tc>
          <w:tcPr>
            <w:tcW w:w="22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41FCBF" w14:textId="77777777" w:rsidR="001E20E2" w:rsidRPr="00CC6489" w:rsidRDefault="001E20E2" w:rsidP="00FD6297">
            <w:pPr>
              <w:rPr>
                <w:sz w:val="20"/>
                <w:szCs w:val="22"/>
              </w:rPr>
            </w:pPr>
            <w:r w:rsidRPr="00CC6489">
              <w:rPr>
                <w:sz w:val="20"/>
                <w:szCs w:val="22"/>
              </w:rPr>
              <w:t>Year</w:t>
            </w:r>
          </w:p>
        </w:tc>
        <w:tc>
          <w:tcPr>
            <w:tcW w:w="1181" w:type="dxa"/>
            <w:tcBorders>
              <w:top w:val="single" w:sz="4" w:space="0" w:color="auto"/>
              <w:left w:val="single" w:sz="4" w:space="0" w:color="auto"/>
              <w:bottom w:val="single" w:sz="4" w:space="0" w:color="auto"/>
              <w:right w:val="single" w:sz="4" w:space="0" w:color="auto"/>
            </w:tcBorders>
          </w:tcPr>
          <w:p w14:paraId="3789EC80" w14:textId="753D789C" w:rsidR="001E20E2" w:rsidRPr="00CC6489" w:rsidRDefault="001E20E2" w:rsidP="00FD6297">
            <w:pPr>
              <w:rPr>
                <w:b/>
                <w:sz w:val="20"/>
                <w:szCs w:val="22"/>
              </w:rPr>
            </w:pPr>
            <w:r>
              <w:rPr>
                <w:b/>
                <w:sz w:val="20"/>
                <w:szCs w:val="22"/>
              </w:rPr>
              <w:t>2020</w:t>
            </w:r>
          </w:p>
        </w:tc>
        <w:tc>
          <w:tcPr>
            <w:tcW w:w="1181" w:type="dxa"/>
            <w:tcBorders>
              <w:top w:val="single" w:sz="4" w:space="0" w:color="auto"/>
              <w:left w:val="single" w:sz="4" w:space="0" w:color="auto"/>
              <w:bottom w:val="single" w:sz="4" w:space="0" w:color="auto"/>
              <w:right w:val="single" w:sz="4" w:space="0" w:color="auto"/>
            </w:tcBorders>
          </w:tcPr>
          <w:p w14:paraId="4142BE6C" w14:textId="43687FAD" w:rsidR="001E20E2" w:rsidRPr="00CC6489" w:rsidRDefault="001E20E2" w:rsidP="00FD6297">
            <w:pPr>
              <w:rPr>
                <w:b/>
                <w:sz w:val="20"/>
                <w:szCs w:val="22"/>
              </w:rPr>
            </w:pPr>
            <w:r>
              <w:rPr>
                <w:b/>
                <w:sz w:val="20"/>
                <w:szCs w:val="22"/>
              </w:rPr>
              <w:t>2021</w:t>
            </w:r>
          </w:p>
        </w:tc>
        <w:tc>
          <w:tcPr>
            <w:tcW w:w="1033" w:type="dxa"/>
            <w:tcBorders>
              <w:top w:val="single" w:sz="4" w:space="0" w:color="auto"/>
              <w:left w:val="single" w:sz="4" w:space="0" w:color="auto"/>
              <w:bottom w:val="single" w:sz="4" w:space="0" w:color="auto"/>
              <w:right w:val="single" w:sz="4" w:space="0" w:color="auto"/>
            </w:tcBorders>
          </w:tcPr>
          <w:p w14:paraId="388FF97F" w14:textId="6BC7AFAC" w:rsidR="001E20E2" w:rsidRPr="00CC6489" w:rsidRDefault="001E20E2" w:rsidP="00FD6297">
            <w:pPr>
              <w:rPr>
                <w:b/>
                <w:sz w:val="20"/>
                <w:szCs w:val="22"/>
              </w:rPr>
            </w:pPr>
            <w:r>
              <w:rPr>
                <w:b/>
                <w:sz w:val="20"/>
                <w:szCs w:val="22"/>
              </w:rPr>
              <w:t>2022</w:t>
            </w:r>
          </w:p>
        </w:tc>
        <w:tc>
          <w:tcPr>
            <w:tcW w:w="1181" w:type="dxa"/>
            <w:tcBorders>
              <w:top w:val="single" w:sz="4" w:space="0" w:color="auto"/>
              <w:left w:val="single" w:sz="4" w:space="0" w:color="auto"/>
              <w:bottom w:val="single" w:sz="4" w:space="0" w:color="auto"/>
              <w:right w:val="single" w:sz="4" w:space="0" w:color="auto"/>
            </w:tcBorders>
          </w:tcPr>
          <w:p w14:paraId="066342D3" w14:textId="6B46DA5C" w:rsidR="001E20E2" w:rsidRPr="00CC6489" w:rsidRDefault="001E20E2" w:rsidP="372CE9A3">
            <w:pPr>
              <w:rPr>
                <w:b/>
                <w:bCs/>
                <w:sz w:val="20"/>
                <w:szCs w:val="20"/>
              </w:rPr>
            </w:pPr>
            <w:r w:rsidRPr="372CE9A3">
              <w:rPr>
                <w:b/>
                <w:bCs/>
                <w:sz w:val="20"/>
                <w:szCs w:val="20"/>
              </w:rPr>
              <w:t>2023</w:t>
            </w:r>
          </w:p>
        </w:tc>
        <w:tc>
          <w:tcPr>
            <w:tcW w:w="737" w:type="dxa"/>
            <w:tcBorders>
              <w:top w:val="single" w:sz="4" w:space="0" w:color="auto"/>
              <w:left w:val="single" w:sz="4" w:space="0" w:color="auto"/>
              <w:bottom w:val="single" w:sz="4" w:space="0" w:color="auto"/>
              <w:right w:val="single" w:sz="4" w:space="0" w:color="auto"/>
            </w:tcBorders>
          </w:tcPr>
          <w:p w14:paraId="17932494" w14:textId="77777777" w:rsidR="001E20E2" w:rsidRPr="00CC6489" w:rsidRDefault="001E20E2" w:rsidP="00FD6297">
            <w:pPr>
              <w:rPr>
                <w:b/>
                <w:sz w:val="20"/>
                <w:szCs w:val="22"/>
              </w:rPr>
            </w:pPr>
          </w:p>
        </w:tc>
        <w:tc>
          <w:tcPr>
            <w:tcW w:w="737" w:type="dxa"/>
            <w:tcBorders>
              <w:top w:val="single" w:sz="4" w:space="0" w:color="auto"/>
              <w:left w:val="single" w:sz="4" w:space="0" w:color="auto"/>
              <w:bottom w:val="single" w:sz="4" w:space="0" w:color="auto"/>
              <w:right w:val="single" w:sz="4" w:space="0" w:color="auto"/>
            </w:tcBorders>
          </w:tcPr>
          <w:p w14:paraId="02EEF7F1" w14:textId="77777777" w:rsidR="001E20E2" w:rsidRPr="00CC6489" w:rsidRDefault="001E20E2" w:rsidP="00FD6297">
            <w:pPr>
              <w:rPr>
                <w:b/>
                <w:sz w:val="20"/>
                <w:szCs w:val="22"/>
              </w:rPr>
            </w:pPr>
          </w:p>
        </w:tc>
        <w:tc>
          <w:tcPr>
            <w:tcW w:w="737" w:type="dxa"/>
            <w:tcBorders>
              <w:top w:val="single" w:sz="4" w:space="0" w:color="auto"/>
              <w:left w:val="single" w:sz="4" w:space="0" w:color="auto"/>
              <w:bottom w:val="single" w:sz="4" w:space="0" w:color="auto"/>
              <w:right w:val="single" w:sz="4" w:space="0" w:color="auto"/>
            </w:tcBorders>
          </w:tcPr>
          <w:p w14:paraId="24AA988B" w14:textId="77777777" w:rsidR="001E20E2" w:rsidRPr="00CC6489" w:rsidRDefault="001E20E2" w:rsidP="00FD6297">
            <w:pPr>
              <w:rPr>
                <w:b/>
                <w:sz w:val="20"/>
                <w:szCs w:val="22"/>
              </w:rPr>
            </w:pPr>
          </w:p>
        </w:tc>
      </w:tr>
      <w:tr w:rsidR="001E20E2" w:rsidRPr="00CC6489" w14:paraId="07C3274D" w14:textId="77777777" w:rsidTr="001E20E2">
        <w:trPr>
          <w:trHeight w:val="233"/>
        </w:trPr>
        <w:tc>
          <w:tcPr>
            <w:tcW w:w="22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45D41E" w14:textId="2FC46EB2" w:rsidR="001E20E2" w:rsidRPr="00CC6489" w:rsidRDefault="001E20E2" w:rsidP="00FD6297">
            <w:pPr>
              <w:rPr>
                <w:sz w:val="20"/>
                <w:szCs w:val="22"/>
              </w:rPr>
            </w:pPr>
            <w:r w:rsidRPr="00CC6489">
              <w:rPr>
                <w:sz w:val="20"/>
                <w:szCs w:val="22"/>
              </w:rPr>
              <w:t>Overall Output Score</w:t>
            </w:r>
          </w:p>
        </w:tc>
        <w:tc>
          <w:tcPr>
            <w:tcW w:w="1181" w:type="dxa"/>
            <w:tcBorders>
              <w:top w:val="single" w:sz="4" w:space="0" w:color="auto"/>
              <w:left w:val="single" w:sz="4" w:space="0" w:color="auto"/>
              <w:bottom w:val="single" w:sz="4" w:space="0" w:color="auto"/>
              <w:right w:val="single" w:sz="4" w:space="0" w:color="auto"/>
            </w:tcBorders>
          </w:tcPr>
          <w:p w14:paraId="32E739E6" w14:textId="03EF3088" w:rsidR="001E20E2" w:rsidRPr="00CC6489" w:rsidRDefault="001E20E2" w:rsidP="00FD6297">
            <w:pPr>
              <w:rPr>
                <w:b/>
                <w:sz w:val="20"/>
                <w:szCs w:val="22"/>
              </w:rPr>
            </w:pPr>
            <w:r>
              <w:rPr>
                <w:b/>
                <w:sz w:val="20"/>
                <w:szCs w:val="22"/>
              </w:rPr>
              <w:t>A</w:t>
            </w:r>
          </w:p>
        </w:tc>
        <w:tc>
          <w:tcPr>
            <w:tcW w:w="1181" w:type="dxa"/>
            <w:tcBorders>
              <w:top w:val="single" w:sz="4" w:space="0" w:color="auto"/>
              <w:left w:val="single" w:sz="4" w:space="0" w:color="auto"/>
              <w:bottom w:val="single" w:sz="4" w:space="0" w:color="auto"/>
              <w:right w:val="single" w:sz="4" w:space="0" w:color="auto"/>
            </w:tcBorders>
          </w:tcPr>
          <w:p w14:paraId="6BA4EC77" w14:textId="453C11D5" w:rsidR="001E20E2" w:rsidRPr="00CC6489" w:rsidRDefault="001E20E2" w:rsidP="00FD6297">
            <w:pPr>
              <w:rPr>
                <w:b/>
                <w:sz w:val="20"/>
                <w:szCs w:val="22"/>
              </w:rPr>
            </w:pPr>
            <w:r>
              <w:rPr>
                <w:b/>
                <w:sz w:val="20"/>
                <w:szCs w:val="22"/>
              </w:rPr>
              <w:t>A</w:t>
            </w:r>
          </w:p>
        </w:tc>
        <w:tc>
          <w:tcPr>
            <w:tcW w:w="1033" w:type="dxa"/>
            <w:tcBorders>
              <w:top w:val="single" w:sz="4" w:space="0" w:color="auto"/>
              <w:left w:val="single" w:sz="4" w:space="0" w:color="auto"/>
              <w:bottom w:val="single" w:sz="4" w:space="0" w:color="auto"/>
              <w:right w:val="single" w:sz="4" w:space="0" w:color="auto"/>
            </w:tcBorders>
          </w:tcPr>
          <w:p w14:paraId="31108F1C" w14:textId="55367316" w:rsidR="001E20E2" w:rsidRPr="00CC6489" w:rsidRDefault="001E20E2" w:rsidP="4EE900A2">
            <w:pPr>
              <w:rPr>
                <w:b/>
                <w:bCs/>
                <w:sz w:val="20"/>
                <w:szCs w:val="20"/>
              </w:rPr>
            </w:pPr>
            <w:r>
              <w:rPr>
                <w:b/>
                <w:bCs/>
                <w:sz w:val="20"/>
                <w:szCs w:val="20"/>
              </w:rPr>
              <w:t>A</w:t>
            </w:r>
          </w:p>
        </w:tc>
        <w:tc>
          <w:tcPr>
            <w:tcW w:w="1181" w:type="dxa"/>
            <w:tcBorders>
              <w:top w:val="single" w:sz="4" w:space="0" w:color="auto"/>
              <w:left w:val="single" w:sz="4" w:space="0" w:color="auto"/>
              <w:bottom w:val="single" w:sz="4" w:space="0" w:color="auto"/>
              <w:right w:val="single" w:sz="4" w:space="0" w:color="auto"/>
            </w:tcBorders>
          </w:tcPr>
          <w:p w14:paraId="634F0501" w14:textId="381E3CE1" w:rsidR="001E20E2" w:rsidRPr="00CC6489" w:rsidRDefault="001E20E2" w:rsidP="372CE9A3">
            <w:pPr>
              <w:rPr>
                <w:b/>
                <w:bCs/>
                <w:sz w:val="20"/>
                <w:szCs w:val="20"/>
              </w:rPr>
            </w:pPr>
            <w:r>
              <w:rPr>
                <w:b/>
                <w:bCs/>
                <w:sz w:val="20"/>
                <w:szCs w:val="20"/>
              </w:rPr>
              <w:t>A</w:t>
            </w:r>
          </w:p>
        </w:tc>
        <w:tc>
          <w:tcPr>
            <w:tcW w:w="737" w:type="dxa"/>
            <w:tcBorders>
              <w:top w:val="single" w:sz="4" w:space="0" w:color="auto"/>
              <w:left w:val="single" w:sz="4" w:space="0" w:color="auto"/>
              <w:bottom w:val="single" w:sz="4" w:space="0" w:color="auto"/>
              <w:right w:val="single" w:sz="4" w:space="0" w:color="auto"/>
            </w:tcBorders>
          </w:tcPr>
          <w:p w14:paraId="695E147B" w14:textId="77777777" w:rsidR="001E20E2" w:rsidRPr="00CC6489" w:rsidRDefault="001E20E2" w:rsidP="00FD6297">
            <w:pPr>
              <w:rPr>
                <w:b/>
                <w:sz w:val="20"/>
                <w:szCs w:val="22"/>
              </w:rPr>
            </w:pPr>
          </w:p>
        </w:tc>
        <w:tc>
          <w:tcPr>
            <w:tcW w:w="737" w:type="dxa"/>
            <w:tcBorders>
              <w:top w:val="single" w:sz="4" w:space="0" w:color="auto"/>
              <w:left w:val="single" w:sz="4" w:space="0" w:color="auto"/>
              <w:bottom w:val="single" w:sz="4" w:space="0" w:color="auto"/>
              <w:right w:val="single" w:sz="4" w:space="0" w:color="auto"/>
            </w:tcBorders>
          </w:tcPr>
          <w:p w14:paraId="59449EE1" w14:textId="77777777" w:rsidR="001E20E2" w:rsidRPr="00CC6489" w:rsidRDefault="001E20E2" w:rsidP="00FD6297">
            <w:pPr>
              <w:rPr>
                <w:b/>
                <w:sz w:val="20"/>
                <w:szCs w:val="22"/>
              </w:rPr>
            </w:pPr>
          </w:p>
        </w:tc>
        <w:tc>
          <w:tcPr>
            <w:tcW w:w="737" w:type="dxa"/>
            <w:tcBorders>
              <w:top w:val="single" w:sz="4" w:space="0" w:color="auto"/>
              <w:left w:val="single" w:sz="4" w:space="0" w:color="auto"/>
              <w:bottom w:val="single" w:sz="4" w:space="0" w:color="auto"/>
              <w:right w:val="single" w:sz="4" w:space="0" w:color="auto"/>
            </w:tcBorders>
          </w:tcPr>
          <w:p w14:paraId="389002AB" w14:textId="77777777" w:rsidR="001E20E2" w:rsidRPr="00CC6489" w:rsidRDefault="001E20E2" w:rsidP="00FD6297">
            <w:pPr>
              <w:rPr>
                <w:b/>
                <w:sz w:val="20"/>
                <w:szCs w:val="22"/>
              </w:rPr>
            </w:pPr>
          </w:p>
        </w:tc>
      </w:tr>
      <w:tr w:rsidR="001E20E2" w:rsidRPr="00CC6489" w14:paraId="29305AB3" w14:textId="77777777" w:rsidTr="001E20E2">
        <w:trPr>
          <w:trHeight w:val="320"/>
        </w:trPr>
        <w:tc>
          <w:tcPr>
            <w:tcW w:w="22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C76BE5" w14:textId="77777777" w:rsidR="001E20E2" w:rsidRPr="00CC6489" w:rsidRDefault="001E20E2" w:rsidP="00FD6297">
            <w:pPr>
              <w:rPr>
                <w:sz w:val="20"/>
                <w:szCs w:val="22"/>
              </w:rPr>
            </w:pPr>
            <w:r w:rsidRPr="00CC6489">
              <w:rPr>
                <w:sz w:val="20"/>
                <w:szCs w:val="22"/>
              </w:rPr>
              <w:t>Risk Rating</w:t>
            </w:r>
            <w:r w:rsidRPr="00CC6489">
              <w:rPr>
                <w:sz w:val="22"/>
              </w:rPr>
              <w:t xml:space="preserve"> </w:t>
            </w:r>
          </w:p>
        </w:tc>
        <w:tc>
          <w:tcPr>
            <w:tcW w:w="1181" w:type="dxa"/>
            <w:tcBorders>
              <w:top w:val="single" w:sz="4" w:space="0" w:color="auto"/>
              <w:left w:val="single" w:sz="4" w:space="0" w:color="auto"/>
              <w:bottom w:val="single" w:sz="4" w:space="0" w:color="auto"/>
              <w:right w:val="single" w:sz="4" w:space="0" w:color="auto"/>
            </w:tcBorders>
          </w:tcPr>
          <w:p w14:paraId="51830F80" w14:textId="5FBC8953" w:rsidR="001E20E2" w:rsidRPr="00CC6489" w:rsidRDefault="001E20E2" w:rsidP="00FD6297">
            <w:pPr>
              <w:rPr>
                <w:b/>
                <w:sz w:val="20"/>
                <w:szCs w:val="22"/>
              </w:rPr>
            </w:pPr>
            <w:r>
              <w:rPr>
                <w:b/>
                <w:sz w:val="20"/>
                <w:szCs w:val="22"/>
              </w:rPr>
              <w:t>Moderate</w:t>
            </w:r>
          </w:p>
        </w:tc>
        <w:tc>
          <w:tcPr>
            <w:tcW w:w="1181" w:type="dxa"/>
            <w:tcBorders>
              <w:top w:val="single" w:sz="4" w:space="0" w:color="auto"/>
              <w:left w:val="single" w:sz="4" w:space="0" w:color="auto"/>
              <w:bottom w:val="single" w:sz="4" w:space="0" w:color="auto"/>
              <w:right w:val="single" w:sz="4" w:space="0" w:color="auto"/>
            </w:tcBorders>
          </w:tcPr>
          <w:p w14:paraId="2BF67D24" w14:textId="502D07AA" w:rsidR="001E20E2" w:rsidRPr="00CC6489" w:rsidRDefault="001E20E2" w:rsidP="00FD6297">
            <w:pPr>
              <w:rPr>
                <w:b/>
                <w:sz w:val="20"/>
                <w:szCs w:val="22"/>
              </w:rPr>
            </w:pPr>
            <w:r>
              <w:rPr>
                <w:b/>
                <w:sz w:val="20"/>
                <w:szCs w:val="22"/>
              </w:rPr>
              <w:t>Moderate</w:t>
            </w:r>
          </w:p>
        </w:tc>
        <w:tc>
          <w:tcPr>
            <w:tcW w:w="1033" w:type="dxa"/>
            <w:tcBorders>
              <w:top w:val="single" w:sz="4" w:space="0" w:color="auto"/>
              <w:left w:val="single" w:sz="4" w:space="0" w:color="auto"/>
              <w:bottom w:val="single" w:sz="4" w:space="0" w:color="auto"/>
              <w:right w:val="single" w:sz="4" w:space="0" w:color="auto"/>
            </w:tcBorders>
          </w:tcPr>
          <w:p w14:paraId="2A2B872D" w14:textId="34BC4B67" w:rsidR="001E20E2" w:rsidRPr="00CC6489" w:rsidRDefault="001E20E2" w:rsidP="00FD6297">
            <w:pPr>
              <w:rPr>
                <w:b/>
                <w:sz w:val="20"/>
                <w:szCs w:val="22"/>
              </w:rPr>
            </w:pPr>
            <w:r>
              <w:rPr>
                <w:b/>
                <w:sz w:val="20"/>
                <w:szCs w:val="22"/>
              </w:rPr>
              <w:t>Low</w:t>
            </w:r>
          </w:p>
        </w:tc>
        <w:tc>
          <w:tcPr>
            <w:tcW w:w="1181" w:type="dxa"/>
            <w:tcBorders>
              <w:top w:val="single" w:sz="4" w:space="0" w:color="auto"/>
              <w:left w:val="single" w:sz="4" w:space="0" w:color="auto"/>
              <w:bottom w:val="single" w:sz="4" w:space="0" w:color="auto"/>
              <w:right w:val="single" w:sz="4" w:space="0" w:color="auto"/>
            </w:tcBorders>
          </w:tcPr>
          <w:p w14:paraId="62ED8C8E" w14:textId="6893BED8" w:rsidR="001E20E2" w:rsidRPr="00CC6489" w:rsidRDefault="001E20E2" w:rsidP="372CE9A3">
            <w:pPr>
              <w:rPr>
                <w:b/>
                <w:bCs/>
                <w:sz w:val="20"/>
                <w:szCs w:val="20"/>
              </w:rPr>
            </w:pPr>
            <w:r>
              <w:rPr>
                <w:b/>
                <w:bCs/>
                <w:sz w:val="20"/>
                <w:szCs w:val="20"/>
              </w:rPr>
              <w:t>Moderate</w:t>
            </w:r>
          </w:p>
        </w:tc>
        <w:tc>
          <w:tcPr>
            <w:tcW w:w="737" w:type="dxa"/>
            <w:tcBorders>
              <w:top w:val="single" w:sz="4" w:space="0" w:color="auto"/>
              <w:left w:val="single" w:sz="4" w:space="0" w:color="auto"/>
              <w:bottom w:val="single" w:sz="4" w:space="0" w:color="auto"/>
              <w:right w:val="single" w:sz="4" w:space="0" w:color="auto"/>
            </w:tcBorders>
          </w:tcPr>
          <w:p w14:paraId="0DA33296" w14:textId="77777777" w:rsidR="001E20E2" w:rsidRPr="00CC6489" w:rsidRDefault="001E20E2" w:rsidP="00FD6297">
            <w:pPr>
              <w:rPr>
                <w:b/>
                <w:sz w:val="20"/>
                <w:szCs w:val="22"/>
              </w:rPr>
            </w:pPr>
          </w:p>
        </w:tc>
        <w:tc>
          <w:tcPr>
            <w:tcW w:w="737" w:type="dxa"/>
            <w:tcBorders>
              <w:top w:val="single" w:sz="4" w:space="0" w:color="auto"/>
              <w:left w:val="single" w:sz="4" w:space="0" w:color="auto"/>
              <w:bottom w:val="single" w:sz="4" w:space="0" w:color="auto"/>
              <w:right w:val="single" w:sz="4" w:space="0" w:color="auto"/>
            </w:tcBorders>
          </w:tcPr>
          <w:p w14:paraId="48D84E4D" w14:textId="77777777" w:rsidR="001E20E2" w:rsidRPr="00CC6489" w:rsidRDefault="001E20E2" w:rsidP="00FD6297">
            <w:pPr>
              <w:rPr>
                <w:b/>
                <w:sz w:val="20"/>
                <w:szCs w:val="22"/>
              </w:rPr>
            </w:pPr>
          </w:p>
        </w:tc>
        <w:tc>
          <w:tcPr>
            <w:tcW w:w="737" w:type="dxa"/>
            <w:tcBorders>
              <w:top w:val="single" w:sz="4" w:space="0" w:color="auto"/>
              <w:left w:val="single" w:sz="4" w:space="0" w:color="auto"/>
              <w:bottom w:val="single" w:sz="4" w:space="0" w:color="auto"/>
              <w:right w:val="single" w:sz="4" w:space="0" w:color="auto"/>
            </w:tcBorders>
          </w:tcPr>
          <w:p w14:paraId="2D40C773" w14:textId="77777777" w:rsidR="001E20E2" w:rsidRPr="00CC6489" w:rsidRDefault="001E20E2" w:rsidP="00FD6297">
            <w:pPr>
              <w:rPr>
                <w:b/>
                <w:sz w:val="20"/>
                <w:szCs w:val="22"/>
              </w:rPr>
            </w:pPr>
          </w:p>
        </w:tc>
      </w:tr>
    </w:tbl>
    <w:p w14:paraId="3F14494A" w14:textId="77777777" w:rsidR="006F3AE7" w:rsidRDefault="006F3AE7" w:rsidP="006F3AE7">
      <w:pPr>
        <w:rPr>
          <w:b/>
          <w:sz w:val="22"/>
          <w:szCs w:val="22"/>
        </w:rPr>
      </w:pPr>
    </w:p>
    <w:tbl>
      <w:tblPr>
        <w:tblStyle w:val="TableGrid"/>
        <w:tblW w:w="0" w:type="auto"/>
        <w:tblInd w:w="-5" w:type="dxa"/>
        <w:tblLook w:val="04A0" w:firstRow="1" w:lastRow="0" w:firstColumn="1" w:lastColumn="0" w:noHBand="0" w:noVBand="1"/>
      </w:tblPr>
      <w:tblGrid>
        <w:gridCol w:w="3969"/>
        <w:gridCol w:w="5052"/>
      </w:tblGrid>
      <w:tr w:rsidR="001214AB" w:rsidRPr="00F70DBE" w14:paraId="5ED04B8A" w14:textId="77777777" w:rsidTr="3565349E">
        <w:trPr>
          <w:trHeight w:val="355"/>
        </w:trPr>
        <w:tc>
          <w:tcPr>
            <w:tcW w:w="3969" w:type="dxa"/>
            <w:shd w:val="clear" w:color="auto" w:fill="B4C6E7" w:themeFill="accent1" w:themeFillTint="66"/>
            <w:hideMark/>
          </w:tcPr>
          <w:p w14:paraId="084C6192" w14:textId="77777777" w:rsidR="006F3AE7" w:rsidRPr="00F70DBE" w:rsidRDefault="006F3AE7" w:rsidP="00CC6489">
            <w:pPr>
              <w:rPr>
                <w:rFonts w:cs="Arial"/>
                <w:sz w:val="20"/>
                <w:szCs w:val="20"/>
              </w:rPr>
            </w:pPr>
            <w:proofErr w:type="spellStart"/>
            <w:r w:rsidRPr="3565349E">
              <w:rPr>
                <w:rFonts w:cs="Arial"/>
                <w:sz w:val="20"/>
                <w:szCs w:val="20"/>
              </w:rPr>
              <w:t>DevTracker</w:t>
            </w:r>
            <w:proofErr w:type="spellEnd"/>
            <w:r w:rsidRPr="3565349E">
              <w:rPr>
                <w:rFonts w:cs="Arial"/>
                <w:sz w:val="20"/>
                <w:szCs w:val="20"/>
              </w:rPr>
              <w:t xml:space="preserve"> Link to Business Case: </w:t>
            </w:r>
          </w:p>
        </w:tc>
        <w:tc>
          <w:tcPr>
            <w:tcW w:w="5052" w:type="dxa"/>
          </w:tcPr>
          <w:p w14:paraId="7547CEAA" w14:textId="77777777" w:rsidR="006F3AE7" w:rsidRPr="00F70DBE" w:rsidRDefault="006F3AE7" w:rsidP="00FD6297">
            <w:pPr>
              <w:rPr>
                <w:rFonts w:cs="Arial"/>
                <w:b/>
                <w:sz w:val="22"/>
                <w:szCs w:val="22"/>
              </w:rPr>
            </w:pPr>
          </w:p>
        </w:tc>
      </w:tr>
      <w:tr w:rsidR="001214AB" w:rsidRPr="00F70DBE" w14:paraId="1BE27F98" w14:textId="77777777" w:rsidTr="3565349E">
        <w:trPr>
          <w:trHeight w:val="403"/>
        </w:trPr>
        <w:tc>
          <w:tcPr>
            <w:tcW w:w="3969" w:type="dxa"/>
            <w:shd w:val="clear" w:color="auto" w:fill="B4C6E7" w:themeFill="accent1" w:themeFillTint="66"/>
            <w:hideMark/>
          </w:tcPr>
          <w:p w14:paraId="77EEC9AB" w14:textId="21B976EE" w:rsidR="006F3AE7" w:rsidRPr="00F70DBE" w:rsidRDefault="006F3AE7" w:rsidP="00CC6489">
            <w:pPr>
              <w:rPr>
                <w:rFonts w:cs="Arial"/>
                <w:bCs/>
                <w:i/>
                <w:sz w:val="20"/>
                <w:szCs w:val="20"/>
              </w:rPr>
            </w:pPr>
            <w:proofErr w:type="spellStart"/>
            <w:r w:rsidRPr="00F70DBE">
              <w:rPr>
                <w:rFonts w:cs="Arial"/>
                <w:bCs/>
                <w:sz w:val="20"/>
                <w:szCs w:val="20"/>
              </w:rPr>
              <w:t>DevTracker</w:t>
            </w:r>
            <w:proofErr w:type="spellEnd"/>
            <w:r w:rsidRPr="00F70DBE">
              <w:rPr>
                <w:rFonts w:cs="Arial"/>
                <w:bCs/>
                <w:sz w:val="20"/>
                <w:szCs w:val="20"/>
              </w:rPr>
              <w:t xml:space="preserve"> Link to </w:t>
            </w:r>
            <w:r>
              <w:rPr>
                <w:rFonts w:cs="Arial"/>
                <w:bCs/>
                <w:sz w:val="20"/>
                <w:szCs w:val="20"/>
              </w:rPr>
              <w:t>results framework</w:t>
            </w:r>
            <w:r w:rsidRPr="00F70DBE">
              <w:rPr>
                <w:rFonts w:cs="Arial"/>
                <w:bCs/>
                <w:sz w:val="20"/>
                <w:szCs w:val="20"/>
              </w:rPr>
              <w:t xml:space="preserve">: </w:t>
            </w:r>
          </w:p>
        </w:tc>
        <w:tc>
          <w:tcPr>
            <w:tcW w:w="5052" w:type="dxa"/>
          </w:tcPr>
          <w:p w14:paraId="1EBB8B7A" w14:textId="77777777" w:rsidR="006F3AE7" w:rsidRPr="00F70DBE" w:rsidRDefault="006F3AE7" w:rsidP="00FD6297">
            <w:pPr>
              <w:rPr>
                <w:rFonts w:cs="Arial"/>
                <w:b/>
                <w:sz w:val="22"/>
                <w:szCs w:val="22"/>
              </w:rPr>
            </w:pPr>
          </w:p>
        </w:tc>
      </w:tr>
    </w:tbl>
    <w:p w14:paraId="57506ECC" w14:textId="49B3460A" w:rsidR="003507A1" w:rsidRDefault="003507A1" w:rsidP="006F3AE7">
      <w:pPr>
        <w:rPr>
          <w:sz w:val="20"/>
          <w:szCs w:val="22"/>
        </w:rPr>
      </w:pPr>
    </w:p>
    <w:p w14:paraId="22403C63" w14:textId="77777777" w:rsidR="003507A1" w:rsidRDefault="003507A1" w:rsidP="003507A1">
      <w:pPr>
        <w:rPr>
          <w:sz w:val="20"/>
          <w:szCs w:val="22"/>
        </w:rPr>
      </w:pPr>
    </w:p>
    <w:p w14:paraId="2FEBAAA9" w14:textId="6DEE9116" w:rsidR="006F3AE7" w:rsidRPr="00CE0979" w:rsidRDefault="006F3AE7" w:rsidP="006F3AE7">
      <w:pPr>
        <w:pBdr>
          <w:top w:val="single" w:sz="4" w:space="1" w:color="auto"/>
          <w:left w:val="single" w:sz="4" w:space="4" w:color="auto"/>
          <w:bottom w:val="single" w:sz="4" w:space="1" w:color="auto"/>
          <w:right w:val="single" w:sz="4" w:space="4" w:color="auto"/>
        </w:pBdr>
        <w:shd w:val="clear" w:color="auto" w:fill="D9E2F3" w:themeFill="accent1" w:themeFillTint="33"/>
      </w:pPr>
      <w:r w:rsidRPr="00F70DBE">
        <w:rPr>
          <w:b/>
          <w:sz w:val="28"/>
        </w:rPr>
        <w:t xml:space="preserve">A. </w:t>
      </w:r>
      <w:r>
        <w:rPr>
          <w:b/>
          <w:sz w:val="28"/>
        </w:rPr>
        <w:t>SUMMARY AND OVERVIEW</w:t>
      </w:r>
    </w:p>
    <w:p w14:paraId="7EFEDAB3" w14:textId="77777777" w:rsidR="006F3AE7" w:rsidRDefault="006F3AE7" w:rsidP="006F3AE7">
      <w:pPr>
        <w:rPr>
          <w:b/>
          <w:sz w:val="22"/>
          <w:szCs w:val="22"/>
        </w:rPr>
      </w:pPr>
    </w:p>
    <w:p w14:paraId="121905E8" w14:textId="667772D4" w:rsidR="006F3AE7" w:rsidRPr="000F5F51" w:rsidRDefault="006F3AE7" w:rsidP="006F3AE7">
      <w:pPr>
        <w:rPr>
          <w:rFonts w:cs="Arial"/>
          <w:sz w:val="22"/>
          <w:szCs w:val="22"/>
        </w:rPr>
      </w:pPr>
      <w:r w:rsidRPr="000F5F51">
        <w:rPr>
          <w:rFonts w:cs="Arial"/>
          <w:b/>
          <w:sz w:val="22"/>
          <w:szCs w:val="22"/>
        </w:rPr>
        <w:t>Description of programme</w:t>
      </w:r>
    </w:p>
    <w:p w14:paraId="650458F1" w14:textId="77777777" w:rsidR="006F3AE7" w:rsidRPr="000F5F51" w:rsidRDefault="006F3AE7" w:rsidP="006F3AE7">
      <w:pPr>
        <w:rPr>
          <w:rFonts w:cs="Arial"/>
          <w:b/>
          <w:sz w:val="22"/>
          <w:szCs w:val="22"/>
        </w:rPr>
      </w:pPr>
    </w:p>
    <w:p w14:paraId="72D4F036" w14:textId="4B24277E" w:rsidR="006F3AE7" w:rsidRPr="000F5F51" w:rsidRDefault="000B2B57" w:rsidP="006F3AE7">
      <w:pPr>
        <w:rPr>
          <w:rFonts w:cs="Arial"/>
          <w:sz w:val="22"/>
          <w:szCs w:val="22"/>
        </w:rPr>
      </w:pPr>
      <w:r w:rsidRPr="3565349E">
        <w:rPr>
          <w:rFonts w:cs="Arial"/>
          <w:sz w:val="22"/>
          <w:szCs w:val="22"/>
        </w:rPr>
        <w:t xml:space="preserve">The Land Degradation Neutrality (LDN) Fund </w:t>
      </w:r>
      <w:r w:rsidR="00CB5173" w:rsidRPr="3565349E">
        <w:rPr>
          <w:rFonts w:cs="Arial"/>
          <w:sz w:val="22"/>
          <w:szCs w:val="22"/>
        </w:rPr>
        <w:t>brings</w:t>
      </w:r>
      <w:r w:rsidRPr="3565349E">
        <w:rPr>
          <w:rFonts w:cs="Arial"/>
          <w:sz w:val="22"/>
          <w:szCs w:val="22"/>
        </w:rPr>
        <w:t xml:space="preserve"> together public and private investors to fund triple bottom line </w:t>
      </w:r>
      <w:r w:rsidR="00C90797">
        <w:rPr>
          <w:rFonts w:cs="Arial"/>
          <w:sz w:val="22"/>
          <w:szCs w:val="22"/>
        </w:rPr>
        <w:t>(</w:t>
      </w:r>
      <w:r w:rsidR="00EC17F6">
        <w:rPr>
          <w:rFonts w:cs="Arial"/>
          <w:sz w:val="22"/>
          <w:szCs w:val="22"/>
        </w:rPr>
        <w:t xml:space="preserve">people, planet, profit) </w:t>
      </w:r>
      <w:r w:rsidRPr="3565349E">
        <w:rPr>
          <w:rFonts w:cs="Arial"/>
          <w:sz w:val="22"/>
          <w:szCs w:val="22"/>
        </w:rPr>
        <w:t>projects that contribute to land degradation neutrality, a major global challenge that was officially set as part of the United Nations Sustainable Development Goals</w:t>
      </w:r>
      <w:r w:rsidR="0088387E" w:rsidRPr="3565349E">
        <w:rPr>
          <w:rFonts w:cs="Arial"/>
          <w:sz w:val="22"/>
          <w:szCs w:val="22"/>
        </w:rPr>
        <w:t xml:space="preserve"> (SDGs)</w:t>
      </w:r>
      <w:r w:rsidRPr="3565349E">
        <w:rPr>
          <w:rFonts w:cs="Arial"/>
          <w:sz w:val="22"/>
          <w:szCs w:val="22"/>
        </w:rPr>
        <w:t xml:space="preserve"> in September 2015.</w:t>
      </w:r>
      <w:r w:rsidR="002C5785" w:rsidRPr="3565349E">
        <w:rPr>
          <w:rFonts w:cs="Arial"/>
          <w:sz w:val="22"/>
          <w:szCs w:val="22"/>
        </w:rPr>
        <w:t xml:space="preserve"> The LDN </w:t>
      </w:r>
      <w:r w:rsidR="00A46F2D" w:rsidRPr="3565349E">
        <w:rPr>
          <w:rFonts w:cs="Arial"/>
          <w:sz w:val="22"/>
          <w:szCs w:val="22"/>
        </w:rPr>
        <w:t>F</w:t>
      </w:r>
      <w:r w:rsidR="002C5785" w:rsidRPr="3565349E">
        <w:rPr>
          <w:rFonts w:cs="Arial"/>
          <w:sz w:val="22"/>
          <w:szCs w:val="22"/>
        </w:rPr>
        <w:t xml:space="preserve">und was initiated at UNCCD COP 13 in China in </w:t>
      </w:r>
      <w:proofErr w:type="gramStart"/>
      <w:r w:rsidR="002C5785" w:rsidRPr="3565349E">
        <w:rPr>
          <w:rFonts w:cs="Arial"/>
          <w:sz w:val="22"/>
          <w:szCs w:val="22"/>
        </w:rPr>
        <w:t>2017</w:t>
      </w:r>
      <w:r w:rsidR="00ED6D16" w:rsidRPr="3565349E">
        <w:rPr>
          <w:rFonts w:cs="Arial"/>
          <w:sz w:val="22"/>
          <w:szCs w:val="22"/>
        </w:rPr>
        <w:t>, and</w:t>
      </w:r>
      <w:proofErr w:type="gramEnd"/>
      <w:r w:rsidR="00ED6D16" w:rsidRPr="3565349E">
        <w:rPr>
          <w:rFonts w:cs="Arial"/>
          <w:sz w:val="22"/>
          <w:szCs w:val="22"/>
        </w:rPr>
        <w:t xml:space="preserve"> began operations in 2018</w:t>
      </w:r>
      <w:r w:rsidR="002C5785" w:rsidRPr="3565349E">
        <w:rPr>
          <w:rFonts w:cs="Arial"/>
          <w:sz w:val="22"/>
          <w:szCs w:val="22"/>
        </w:rPr>
        <w:t xml:space="preserve"> for a limited period of 15 years.</w:t>
      </w:r>
    </w:p>
    <w:p w14:paraId="702F5368" w14:textId="77777777" w:rsidR="002C5785" w:rsidRPr="000F5F51" w:rsidRDefault="002C5785" w:rsidP="006F3AE7">
      <w:pPr>
        <w:rPr>
          <w:rFonts w:cs="Arial"/>
          <w:sz w:val="22"/>
          <w:szCs w:val="22"/>
        </w:rPr>
      </w:pPr>
    </w:p>
    <w:p w14:paraId="6E103F93" w14:textId="03D82310" w:rsidR="006F3AE7" w:rsidRPr="000F5F51" w:rsidRDefault="002C5785" w:rsidP="04883426">
      <w:pPr>
        <w:rPr>
          <w:rFonts w:cs="Arial"/>
          <w:sz w:val="22"/>
          <w:szCs w:val="22"/>
        </w:rPr>
      </w:pPr>
      <w:r w:rsidRPr="000F5F51">
        <w:rPr>
          <w:rFonts w:cs="Arial"/>
          <w:sz w:val="22"/>
          <w:szCs w:val="22"/>
        </w:rPr>
        <w:t>The Fund focuse</w:t>
      </w:r>
      <w:r w:rsidR="00216699" w:rsidRPr="000F5F51">
        <w:rPr>
          <w:rFonts w:cs="Arial"/>
          <w:sz w:val="22"/>
          <w:szCs w:val="22"/>
        </w:rPr>
        <w:t>s</w:t>
      </w:r>
      <w:r w:rsidRPr="000F5F51">
        <w:rPr>
          <w:rFonts w:cs="Arial"/>
          <w:sz w:val="22"/>
          <w:szCs w:val="22"/>
        </w:rPr>
        <w:t xml:space="preserve"> on supporting land rehabilitation and sustainable land use projects worldwide by providing financing opportunities that comply with high environmental and social standards, demonstrate additionality, and promise sustainable financial returns. The Fund does this through mobilising investment into large</w:t>
      </w:r>
      <w:r w:rsidR="00523080">
        <w:rPr>
          <w:rFonts w:cs="Arial"/>
          <w:sz w:val="22"/>
          <w:szCs w:val="22"/>
        </w:rPr>
        <w:t>-</w:t>
      </w:r>
      <w:r w:rsidRPr="000F5F51">
        <w:rPr>
          <w:rFonts w:cs="Arial"/>
          <w:sz w:val="22"/>
          <w:szCs w:val="22"/>
        </w:rPr>
        <w:t>scale profit generating sustainable land management projects.</w:t>
      </w:r>
    </w:p>
    <w:p w14:paraId="37D56357" w14:textId="487A175A" w:rsidR="04883426" w:rsidRPr="000F5F51" w:rsidRDefault="04883426" w:rsidP="60E67443">
      <w:pPr>
        <w:rPr>
          <w:rFonts w:cs="Arial"/>
          <w:sz w:val="22"/>
          <w:szCs w:val="22"/>
        </w:rPr>
      </w:pPr>
    </w:p>
    <w:p w14:paraId="17A9A246" w14:textId="69D45DD3" w:rsidR="630B2619" w:rsidRPr="000F5F51" w:rsidRDefault="43204D90" w:rsidP="60E67443">
      <w:pPr>
        <w:jc w:val="both"/>
        <w:rPr>
          <w:rFonts w:cs="Arial"/>
          <w:sz w:val="22"/>
          <w:szCs w:val="22"/>
        </w:rPr>
      </w:pPr>
      <w:r w:rsidRPr="03F8A8A1">
        <w:rPr>
          <w:rFonts w:cs="Arial"/>
          <w:sz w:val="22"/>
          <w:szCs w:val="22"/>
        </w:rPr>
        <w:t xml:space="preserve">After three years of preparatory work, the LDN Fund became fully operational in December 2018. </w:t>
      </w:r>
      <w:r w:rsidR="00514469" w:rsidRPr="03F8A8A1">
        <w:rPr>
          <w:rFonts w:cs="Arial"/>
          <w:sz w:val="22"/>
          <w:szCs w:val="22"/>
        </w:rPr>
        <w:t xml:space="preserve">The Fund Manager is </w:t>
      </w:r>
      <w:proofErr w:type="spellStart"/>
      <w:r w:rsidR="00514469" w:rsidRPr="03F8A8A1">
        <w:rPr>
          <w:rFonts w:cs="Arial"/>
          <w:sz w:val="22"/>
          <w:szCs w:val="22"/>
        </w:rPr>
        <w:t>Mirova</w:t>
      </w:r>
      <w:proofErr w:type="spellEnd"/>
      <w:r w:rsidR="00514469" w:rsidRPr="03F8A8A1">
        <w:rPr>
          <w:rFonts w:cs="Arial"/>
          <w:sz w:val="22"/>
          <w:szCs w:val="22"/>
        </w:rPr>
        <w:t xml:space="preserve">, and as </w:t>
      </w:r>
      <w:r w:rsidR="799165F8" w:rsidRPr="03F8A8A1">
        <w:rPr>
          <w:rFonts w:cs="Arial"/>
          <w:sz w:val="22"/>
          <w:szCs w:val="22"/>
        </w:rPr>
        <w:t>of end-year 202</w:t>
      </w:r>
      <w:r w:rsidR="7B7C098B" w:rsidRPr="03F8A8A1">
        <w:rPr>
          <w:rFonts w:cs="Arial"/>
          <w:sz w:val="22"/>
          <w:szCs w:val="22"/>
        </w:rPr>
        <w:t>3</w:t>
      </w:r>
      <w:r w:rsidR="799165F8" w:rsidRPr="03F8A8A1">
        <w:rPr>
          <w:rFonts w:cs="Arial"/>
          <w:sz w:val="22"/>
          <w:szCs w:val="22"/>
        </w:rPr>
        <w:t xml:space="preserve"> the key partners </w:t>
      </w:r>
      <w:r w:rsidR="1C538935" w:rsidRPr="03F8A8A1">
        <w:rPr>
          <w:rFonts w:cs="Arial"/>
          <w:sz w:val="22"/>
          <w:szCs w:val="22"/>
        </w:rPr>
        <w:t>include</w:t>
      </w:r>
      <w:r w:rsidR="799165F8" w:rsidRPr="03F8A8A1">
        <w:rPr>
          <w:rFonts w:cs="Arial"/>
          <w:sz w:val="22"/>
          <w:szCs w:val="22"/>
        </w:rPr>
        <w:t>:</w:t>
      </w:r>
    </w:p>
    <w:p w14:paraId="6E2CEE3E" w14:textId="30AAB295" w:rsidR="04883426" w:rsidRPr="000F5F51" w:rsidRDefault="04883426" w:rsidP="04883426">
      <w:pPr>
        <w:jc w:val="both"/>
        <w:rPr>
          <w:rFonts w:cs="Arial"/>
          <w:b/>
          <w:bCs/>
          <w:color w:val="FF0000"/>
          <w:sz w:val="22"/>
          <w:szCs w:val="22"/>
        </w:rPr>
      </w:pPr>
    </w:p>
    <w:tbl>
      <w:tblPr>
        <w:tblStyle w:val="TableGrid"/>
        <w:tblW w:w="0" w:type="auto"/>
        <w:tblLook w:val="04A0" w:firstRow="1" w:lastRow="0" w:firstColumn="1" w:lastColumn="0" w:noHBand="0" w:noVBand="1"/>
      </w:tblPr>
      <w:tblGrid>
        <w:gridCol w:w="2980"/>
        <w:gridCol w:w="2980"/>
        <w:gridCol w:w="2980"/>
      </w:tblGrid>
      <w:tr w:rsidR="008168EA" w:rsidRPr="000F5F51" w14:paraId="4E31EF9E" w14:textId="77777777" w:rsidTr="00680FA9">
        <w:trPr>
          <w:trHeight w:val="192"/>
        </w:trPr>
        <w:tc>
          <w:tcPr>
            <w:tcW w:w="2980" w:type="dxa"/>
          </w:tcPr>
          <w:p w14:paraId="05841A67" w14:textId="77777777" w:rsidR="008168EA" w:rsidRPr="000F5F51" w:rsidRDefault="008168EA" w:rsidP="00680FA9">
            <w:pPr>
              <w:jc w:val="both"/>
              <w:rPr>
                <w:rFonts w:cs="Arial"/>
                <w:b/>
                <w:bCs/>
                <w:sz w:val="22"/>
                <w:szCs w:val="22"/>
              </w:rPr>
            </w:pPr>
            <w:r w:rsidRPr="000F5F51">
              <w:rPr>
                <w:rFonts w:cs="Arial"/>
                <w:b/>
                <w:bCs/>
                <w:sz w:val="22"/>
                <w:szCs w:val="22"/>
              </w:rPr>
              <w:t>Public investors</w:t>
            </w:r>
          </w:p>
        </w:tc>
        <w:tc>
          <w:tcPr>
            <w:tcW w:w="2980" w:type="dxa"/>
          </w:tcPr>
          <w:p w14:paraId="37F5847C" w14:textId="77777777" w:rsidR="008168EA" w:rsidRPr="000F5F51" w:rsidRDefault="008168EA" w:rsidP="00680FA9">
            <w:pPr>
              <w:jc w:val="both"/>
              <w:rPr>
                <w:rFonts w:cs="Arial"/>
                <w:b/>
                <w:bCs/>
                <w:sz w:val="22"/>
                <w:szCs w:val="22"/>
              </w:rPr>
            </w:pPr>
            <w:r w:rsidRPr="000F5F51">
              <w:rPr>
                <w:rFonts w:cs="Arial"/>
                <w:b/>
                <w:bCs/>
                <w:sz w:val="22"/>
                <w:szCs w:val="22"/>
              </w:rPr>
              <w:t>Private investors</w:t>
            </w:r>
          </w:p>
        </w:tc>
        <w:tc>
          <w:tcPr>
            <w:tcW w:w="2980" w:type="dxa"/>
          </w:tcPr>
          <w:p w14:paraId="60E8632F" w14:textId="77777777" w:rsidR="008168EA" w:rsidRPr="000F5F51" w:rsidRDefault="008168EA" w:rsidP="00680FA9">
            <w:pPr>
              <w:jc w:val="both"/>
              <w:rPr>
                <w:rFonts w:cs="Arial"/>
                <w:b/>
                <w:bCs/>
                <w:sz w:val="22"/>
                <w:szCs w:val="22"/>
              </w:rPr>
            </w:pPr>
            <w:r w:rsidRPr="000F5F51">
              <w:rPr>
                <w:rFonts w:cs="Arial"/>
                <w:b/>
                <w:bCs/>
                <w:sz w:val="22"/>
                <w:szCs w:val="22"/>
              </w:rPr>
              <w:t>Other contributors</w:t>
            </w:r>
          </w:p>
        </w:tc>
      </w:tr>
      <w:tr w:rsidR="008168EA" w:rsidRPr="000F5F51" w14:paraId="5C671278" w14:textId="77777777" w:rsidTr="00680FA9">
        <w:trPr>
          <w:trHeight w:val="2826"/>
        </w:trPr>
        <w:tc>
          <w:tcPr>
            <w:tcW w:w="2980" w:type="dxa"/>
          </w:tcPr>
          <w:p w14:paraId="6CC26FAA" w14:textId="77777777" w:rsidR="008168EA" w:rsidRPr="000F5F51" w:rsidRDefault="008168EA" w:rsidP="009854A1">
            <w:pPr>
              <w:pStyle w:val="ListParagraph"/>
              <w:numPr>
                <w:ilvl w:val="0"/>
                <w:numId w:val="5"/>
              </w:numPr>
              <w:ind w:left="170" w:hanging="170"/>
              <w:rPr>
                <w:rFonts w:eastAsiaTheme="minorEastAsia" w:cs="Arial"/>
                <w:sz w:val="22"/>
                <w:szCs w:val="22"/>
              </w:rPr>
            </w:pPr>
            <w:r w:rsidRPr="000F5F51">
              <w:rPr>
                <w:rFonts w:cs="Arial"/>
                <w:sz w:val="22"/>
                <w:szCs w:val="22"/>
              </w:rPr>
              <w:t>UK Government – Defra</w:t>
            </w:r>
          </w:p>
          <w:p w14:paraId="7A42C2D7" w14:textId="77777777" w:rsidR="008168EA" w:rsidRPr="000F5F51" w:rsidRDefault="008168EA" w:rsidP="009854A1">
            <w:pPr>
              <w:pStyle w:val="ListParagraph"/>
              <w:numPr>
                <w:ilvl w:val="0"/>
                <w:numId w:val="5"/>
              </w:numPr>
              <w:ind w:left="170" w:hanging="170"/>
              <w:rPr>
                <w:rFonts w:cs="Arial"/>
                <w:sz w:val="22"/>
                <w:szCs w:val="22"/>
              </w:rPr>
            </w:pPr>
            <w:r w:rsidRPr="000F5F51">
              <w:rPr>
                <w:rFonts w:cs="Arial"/>
                <w:sz w:val="22"/>
                <w:szCs w:val="22"/>
              </w:rPr>
              <w:t>Canadian Government</w:t>
            </w:r>
          </w:p>
          <w:p w14:paraId="6E39BC7F" w14:textId="77777777" w:rsidR="008168EA" w:rsidRPr="000F5F51" w:rsidRDefault="008168EA" w:rsidP="009854A1">
            <w:pPr>
              <w:pStyle w:val="ListParagraph"/>
              <w:numPr>
                <w:ilvl w:val="0"/>
                <w:numId w:val="5"/>
              </w:numPr>
              <w:ind w:left="170" w:hanging="170"/>
              <w:rPr>
                <w:rFonts w:cs="Arial"/>
                <w:sz w:val="22"/>
                <w:szCs w:val="22"/>
              </w:rPr>
            </w:pPr>
            <w:r w:rsidRPr="000F5F51">
              <w:rPr>
                <w:rFonts w:cs="Arial"/>
                <w:sz w:val="22"/>
                <w:szCs w:val="22"/>
              </w:rPr>
              <w:t>Government of Luxembourg</w:t>
            </w:r>
          </w:p>
          <w:p w14:paraId="380140DC" w14:textId="77777777" w:rsidR="008168EA" w:rsidRPr="000F5F51" w:rsidRDefault="008168EA" w:rsidP="009854A1">
            <w:pPr>
              <w:pStyle w:val="ListParagraph"/>
              <w:numPr>
                <w:ilvl w:val="0"/>
                <w:numId w:val="5"/>
              </w:numPr>
              <w:ind w:left="170" w:hanging="170"/>
              <w:rPr>
                <w:rFonts w:eastAsiaTheme="minorEastAsia" w:cs="Arial"/>
                <w:sz w:val="22"/>
                <w:szCs w:val="22"/>
              </w:rPr>
            </w:pPr>
            <w:r w:rsidRPr="000F5F51">
              <w:rPr>
                <w:rFonts w:cs="Arial"/>
                <w:sz w:val="22"/>
                <w:szCs w:val="22"/>
              </w:rPr>
              <w:t>The French Development Agency</w:t>
            </w:r>
          </w:p>
          <w:p w14:paraId="232200FB" w14:textId="77777777" w:rsidR="008168EA" w:rsidRPr="000F5F51" w:rsidRDefault="008168EA" w:rsidP="009854A1">
            <w:pPr>
              <w:pStyle w:val="ListParagraph"/>
              <w:numPr>
                <w:ilvl w:val="0"/>
                <w:numId w:val="5"/>
              </w:numPr>
              <w:ind w:left="170" w:hanging="170"/>
              <w:rPr>
                <w:rFonts w:cs="Arial"/>
                <w:sz w:val="22"/>
                <w:szCs w:val="22"/>
              </w:rPr>
            </w:pPr>
            <w:r w:rsidRPr="000F5F51">
              <w:rPr>
                <w:rFonts w:cs="Arial"/>
                <w:sz w:val="22"/>
                <w:szCs w:val="22"/>
              </w:rPr>
              <w:t>The European Investment Bank</w:t>
            </w:r>
          </w:p>
          <w:p w14:paraId="6A8C547A" w14:textId="5A6A6E53" w:rsidR="008168EA" w:rsidRPr="000F5F51" w:rsidRDefault="008168EA" w:rsidP="009854A1">
            <w:pPr>
              <w:pStyle w:val="ListParagraph"/>
              <w:numPr>
                <w:ilvl w:val="0"/>
                <w:numId w:val="5"/>
              </w:numPr>
              <w:ind w:left="170" w:hanging="170"/>
              <w:rPr>
                <w:rFonts w:cs="Arial"/>
                <w:sz w:val="22"/>
                <w:szCs w:val="22"/>
              </w:rPr>
            </w:pPr>
            <w:r w:rsidRPr="000F5F51">
              <w:rPr>
                <w:rFonts w:cs="Arial"/>
                <w:sz w:val="22"/>
                <w:szCs w:val="22"/>
              </w:rPr>
              <w:t>The Global Environment Fund</w:t>
            </w:r>
            <w:r w:rsidR="00514F90">
              <w:rPr>
                <w:rFonts w:cs="Arial"/>
                <w:sz w:val="22"/>
                <w:szCs w:val="22"/>
              </w:rPr>
              <w:t xml:space="preserve"> (TA</w:t>
            </w:r>
            <w:r w:rsidR="009713C2">
              <w:rPr>
                <w:rFonts w:cs="Arial"/>
                <w:sz w:val="22"/>
                <w:szCs w:val="22"/>
              </w:rPr>
              <w:t xml:space="preserve"> investor)</w:t>
            </w:r>
          </w:p>
        </w:tc>
        <w:tc>
          <w:tcPr>
            <w:tcW w:w="2980" w:type="dxa"/>
          </w:tcPr>
          <w:p w14:paraId="2491CE79" w14:textId="77777777" w:rsidR="008168EA" w:rsidRPr="000F5F51" w:rsidRDefault="008168EA" w:rsidP="009854A1">
            <w:pPr>
              <w:pStyle w:val="ListParagraph"/>
              <w:numPr>
                <w:ilvl w:val="0"/>
                <w:numId w:val="4"/>
              </w:numPr>
              <w:ind w:left="170" w:hanging="170"/>
              <w:rPr>
                <w:rFonts w:eastAsiaTheme="minorEastAsia" w:cs="Arial"/>
                <w:sz w:val="22"/>
                <w:szCs w:val="22"/>
              </w:rPr>
            </w:pPr>
            <w:r w:rsidRPr="000F5F51">
              <w:rPr>
                <w:rFonts w:cs="Arial"/>
                <w:sz w:val="22"/>
                <w:szCs w:val="22"/>
              </w:rPr>
              <w:t xml:space="preserve">BNP Paribas </w:t>
            </w:r>
            <w:proofErr w:type="spellStart"/>
            <w:r w:rsidRPr="000F5F51">
              <w:rPr>
                <w:rFonts w:cs="Arial"/>
                <w:sz w:val="22"/>
                <w:szCs w:val="22"/>
              </w:rPr>
              <w:t>Cardif</w:t>
            </w:r>
            <w:proofErr w:type="spellEnd"/>
          </w:p>
          <w:p w14:paraId="08AABEFE" w14:textId="77777777" w:rsidR="008168EA" w:rsidRPr="000F5F51" w:rsidRDefault="008168EA" w:rsidP="009854A1">
            <w:pPr>
              <w:pStyle w:val="ListParagraph"/>
              <w:numPr>
                <w:ilvl w:val="0"/>
                <w:numId w:val="4"/>
              </w:numPr>
              <w:ind w:left="170" w:hanging="170"/>
              <w:rPr>
                <w:rFonts w:cs="Arial"/>
                <w:sz w:val="22"/>
                <w:szCs w:val="22"/>
              </w:rPr>
            </w:pPr>
            <w:proofErr w:type="spellStart"/>
            <w:r w:rsidRPr="000F5F51">
              <w:rPr>
                <w:rFonts w:cs="Arial"/>
                <w:sz w:val="22"/>
                <w:szCs w:val="22"/>
              </w:rPr>
              <w:t>Fondaction</w:t>
            </w:r>
            <w:proofErr w:type="spellEnd"/>
          </w:p>
          <w:p w14:paraId="196DD13F" w14:textId="77777777" w:rsidR="008168EA" w:rsidRPr="000F5F51" w:rsidRDefault="008168EA" w:rsidP="009854A1">
            <w:pPr>
              <w:pStyle w:val="ListParagraph"/>
              <w:numPr>
                <w:ilvl w:val="0"/>
                <w:numId w:val="4"/>
              </w:numPr>
              <w:ind w:left="170" w:hanging="170"/>
              <w:rPr>
                <w:rFonts w:cs="Arial"/>
                <w:sz w:val="22"/>
                <w:szCs w:val="22"/>
              </w:rPr>
            </w:pPr>
            <w:r w:rsidRPr="000F5F51">
              <w:rPr>
                <w:rFonts w:cs="Arial"/>
                <w:sz w:val="22"/>
                <w:szCs w:val="22"/>
              </w:rPr>
              <w:t>Natixis Assurances</w:t>
            </w:r>
          </w:p>
          <w:p w14:paraId="25010F7E" w14:textId="77777777" w:rsidR="008168EA" w:rsidRPr="000F5F51" w:rsidRDefault="008168EA" w:rsidP="009854A1">
            <w:pPr>
              <w:pStyle w:val="ListParagraph"/>
              <w:numPr>
                <w:ilvl w:val="0"/>
                <w:numId w:val="4"/>
              </w:numPr>
              <w:ind w:left="170" w:hanging="170"/>
              <w:rPr>
                <w:rFonts w:cs="Arial"/>
                <w:sz w:val="22"/>
                <w:szCs w:val="22"/>
              </w:rPr>
            </w:pPr>
            <w:r w:rsidRPr="000F5F51">
              <w:rPr>
                <w:rFonts w:cs="Arial"/>
                <w:sz w:val="22"/>
                <w:szCs w:val="22"/>
              </w:rPr>
              <w:t>Allianz</w:t>
            </w:r>
          </w:p>
          <w:p w14:paraId="34BC11B1" w14:textId="77777777" w:rsidR="008168EA" w:rsidRPr="000F5F51" w:rsidRDefault="008168EA" w:rsidP="009854A1">
            <w:pPr>
              <w:pStyle w:val="ListParagraph"/>
              <w:numPr>
                <w:ilvl w:val="0"/>
                <w:numId w:val="4"/>
              </w:numPr>
              <w:ind w:left="170" w:hanging="170"/>
              <w:rPr>
                <w:rFonts w:cs="Arial"/>
                <w:sz w:val="22"/>
                <w:szCs w:val="22"/>
              </w:rPr>
            </w:pPr>
            <w:proofErr w:type="spellStart"/>
            <w:r w:rsidRPr="000F5F51">
              <w:rPr>
                <w:rFonts w:cs="Arial"/>
                <w:sz w:val="22"/>
                <w:szCs w:val="22"/>
              </w:rPr>
              <w:t>Fondation</w:t>
            </w:r>
            <w:proofErr w:type="spellEnd"/>
            <w:r w:rsidRPr="000F5F51">
              <w:rPr>
                <w:rFonts w:cs="Arial"/>
                <w:sz w:val="22"/>
                <w:szCs w:val="22"/>
              </w:rPr>
              <w:t xml:space="preserve"> de France</w:t>
            </w:r>
          </w:p>
          <w:p w14:paraId="3DF66559" w14:textId="77777777" w:rsidR="008168EA" w:rsidRPr="000F5F51" w:rsidRDefault="008168EA" w:rsidP="009854A1">
            <w:pPr>
              <w:pStyle w:val="ListParagraph"/>
              <w:numPr>
                <w:ilvl w:val="0"/>
                <w:numId w:val="4"/>
              </w:numPr>
              <w:ind w:left="170" w:hanging="170"/>
              <w:rPr>
                <w:rFonts w:cs="Arial"/>
                <w:sz w:val="22"/>
                <w:szCs w:val="22"/>
              </w:rPr>
            </w:pPr>
            <w:r w:rsidRPr="000F5F51">
              <w:rPr>
                <w:rFonts w:cs="Arial"/>
                <w:sz w:val="22"/>
                <w:szCs w:val="22"/>
              </w:rPr>
              <w:t>Garance</w:t>
            </w:r>
          </w:p>
          <w:p w14:paraId="309ADE66" w14:textId="06F3B7F5" w:rsidR="008168EA" w:rsidRPr="000F5F51" w:rsidRDefault="00A25FE9" w:rsidP="009854A1">
            <w:pPr>
              <w:pStyle w:val="ListParagraph"/>
              <w:numPr>
                <w:ilvl w:val="0"/>
                <w:numId w:val="4"/>
              </w:numPr>
              <w:ind w:left="170" w:hanging="170"/>
              <w:rPr>
                <w:rFonts w:cs="Arial"/>
                <w:sz w:val="22"/>
                <w:szCs w:val="22"/>
              </w:rPr>
            </w:pPr>
            <w:r w:rsidRPr="000F5F51">
              <w:rPr>
                <w:rFonts w:cs="Arial"/>
                <w:sz w:val="22"/>
                <w:szCs w:val="22"/>
              </w:rPr>
              <w:t>L’</w:t>
            </w:r>
            <w:r>
              <w:rPr>
                <w:rFonts w:cs="Arial"/>
                <w:sz w:val="22"/>
                <w:szCs w:val="22"/>
              </w:rPr>
              <w:t>O</w:t>
            </w:r>
            <w:r w:rsidRPr="000F5F51">
              <w:rPr>
                <w:rFonts w:cs="Arial"/>
                <w:sz w:val="22"/>
                <w:szCs w:val="22"/>
              </w:rPr>
              <w:t>réal</w:t>
            </w:r>
          </w:p>
          <w:p w14:paraId="4052CB71" w14:textId="77777777" w:rsidR="008168EA" w:rsidRPr="000F5F51" w:rsidRDefault="008168EA" w:rsidP="009854A1">
            <w:pPr>
              <w:pStyle w:val="ListParagraph"/>
              <w:numPr>
                <w:ilvl w:val="0"/>
                <w:numId w:val="4"/>
              </w:numPr>
              <w:ind w:left="170" w:hanging="170"/>
              <w:rPr>
                <w:rFonts w:cs="Arial"/>
                <w:sz w:val="22"/>
                <w:szCs w:val="22"/>
              </w:rPr>
            </w:pPr>
            <w:r w:rsidRPr="000F5F51">
              <w:rPr>
                <w:rFonts w:cs="Arial"/>
                <w:sz w:val="22"/>
                <w:szCs w:val="22"/>
              </w:rPr>
              <w:t>Concordia University Foundation</w:t>
            </w:r>
          </w:p>
          <w:p w14:paraId="43538677" w14:textId="77777777" w:rsidR="008168EA" w:rsidRPr="000F5F51" w:rsidRDefault="008168EA" w:rsidP="009854A1">
            <w:pPr>
              <w:pStyle w:val="ListParagraph"/>
              <w:numPr>
                <w:ilvl w:val="0"/>
                <w:numId w:val="4"/>
              </w:numPr>
              <w:ind w:left="170" w:hanging="170"/>
              <w:rPr>
                <w:rFonts w:cs="Arial"/>
                <w:sz w:val="22"/>
                <w:szCs w:val="22"/>
              </w:rPr>
            </w:pPr>
            <w:r w:rsidRPr="000F5F51">
              <w:rPr>
                <w:rFonts w:cs="Arial"/>
                <w:sz w:val="22"/>
                <w:szCs w:val="22"/>
              </w:rPr>
              <w:t>Bred Banque Populaire</w:t>
            </w:r>
          </w:p>
        </w:tc>
        <w:tc>
          <w:tcPr>
            <w:tcW w:w="2980" w:type="dxa"/>
          </w:tcPr>
          <w:p w14:paraId="765A69F4" w14:textId="77777777" w:rsidR="008168EA" w:rsidRPr="000F5F51" w:rsidRDefault="008168EA" w:rsidP="00680FA9">
            <w:pPr>
              <w:rPr>
                <w:rFonts w:cs="Arial"/>
                <w:b/>
                <w:bCs/>
                <w:sz w:val="22"/>
                <w:szCs w:val="22"/>
              </w:rPr>
            </w:pPr>
            <w:r w:rsidRPr="000F5F51">
              <w:rPr>
                <w:rFonts w:cs="Arial"/>
                <w:b/>
                <w:bCs/>
                <w:sz w:val="22"/>
                <w:szCs w:val="22"/>
              </w:rPr>
              <w:t xml:space="preserve">Co-promotors: </w:t>
            </w:r>
          </w:p>
          <w:p w14:paraId="059FB6F9" w14:textId="77777777" w:rsidR="008168EA" w:rsidRPr="000F5F51" w:rsidRDefault="008168EA" w:rsidP="009854A1">
            <w:pPr>
              <w:pStyle w:val="ListParagraph"/>
              <w:numPr>
                <w:ilvl w:val="0"/>
                <w:numId w:val="6"/>
              </w:numPr>
              <w:ind w:left="170" w:hanging="170"/>
              <w:rPr>
                <w:rFonts w:eastAsiaTheme="minorEastAsia" w:cs="Arial"/>
                <w:sz w:val="22"/>
                <w:szCs w:val="22"/>
              </w:rPr>
            </w:pPr>
            <w:r w:rsidRPr="000F5F51">
              <w:rPr>
                <w:rFonts w:cs="Arial"/>
                <w:sz w:val="22"/>
                <w:szCs w:val="22"/>
              </w:rPr>
              <w:t>The United Nations Convention to Combat Desertification (UNCCD)</w:t>
            </w:r>
          </w:p>
          <w:p w14:paraId="5B3B0F59" w14:textId="77777777" w:rsidR="008168EA" w:rsidRPr="000F5F51" w:rsidRDefault="008168EA" w:rsidP="009854A1">
            <w:pPr>
              <w:pStyle w:val="ListParagraph"/>
              <w:numPr>
                <w:ilvl w:val="0"/>
                <w:numId w:val="6"/>
              </w:numPr>
              <w:ind w:left="170" w:hanging="170"/>
              <w:rPr>
                <w:rFonts w:cs="Arial"/>
                <w:sz w:val="22"/>
                <w:szCs w:val="22"/>
              </w:rPr>
            </w:pPr>
            <w:proofErr w:type="spellStart"/>
            <w:r w:rsidRPr="000F5F51">
              <w:rPr>
                <w:rFonts w:cs="Arial"/>
                <w:sz w:val="22"/>
                <w:szCs w:val="22"/>
              </w:rPr>
              <w:t>Mirova</w:t>
            </w:r>
            <w:proofErr w:type="spellEnd"/>
          </w:p>
          <w:p w14:paraId="03C8BF93" w14:textId="77777777" w:rsidR="008168EA" w:rsidRPr="000F5F51" w:rsidRDefault="008168EA" w:rsidP="00680FA9">
            <w:pPr>
              <w:rPr>
                <w:rFonts w:cs="Arial"/>
                <w:b/>
                <w:bCs/>
                <w:sz w:val="22"/>
                <w:szCs w:val="22"/>
              </w:rPr>
            </w:pPr>
            <w:r w:rsidRPr="000F5F51">
              <w:rPr>
                <w:rFonts w:cs="Arial"/>
                <w:b/>
                <w:bCs/>
                <w:sz w:val="22"/>
                <w:szCs w:val="22"/>
              </w:rPr>
              <w:t>Sourcing and Impact</w:t>
            </w:r>
          </w:p>
          <w:p w14:paraId="476A0FA4" w14:textId="77777777" w:rsidR="008168EA" w:rsidRPr="000F5F51" w:rsidRDefault="008168EA" w:rsidP="009854A1">
            <w:pPr>
              <w:pStyle w:val="ListParagraph"/>
              <w:numPr>
                <w:ilvl w:val="0"/>
                <w:numId w:val="13"/>
              </w:numPr>
              <w:ind w:left="170" w:hanging="170"/>
              <w:rPr>
                <w:rFonts w:cs="Arial"/>
                <w:b/>
                <w:bCs/>
                <w:sz w:val="22"/>
                <w:szCs w:val="22"/>
              </w:rPr>
            </w:pPr>
            <w:r w:rsidRPr="000F5F51">
              <w:rPr>
                <w:rFonts w:cs="Arial"/>
                <w:sz w:val="22"/>
                <w:szCs w:val="22"/>
              </w:rPr>
              <w:t>WWF</w:t>
            </w:r>
          </w:p>
          <w:p w14:paraId="4AE6EAFB" w14:textId="77777777" w:rsidR="008168EA" w:rsidRPr="000F5F51" w:rsidRDefault="008168EA" w:rsidP="00680FA9">
            <w:pPr>
              <w:rPr>
                <w:rFonts w:cs="Arial"/>
                <w:b/>
                <w:bCs/>
                <w:sz w:val="22"/>
                <w:szCs w:val="22"/>
              </w:rPr>
            </w:pPr>
            <w:r w:rsidRPr="000F5F51">
              <w:rPr>
                <w:rFonts w:cs="Arial"/>
                <w:b/>
                <w:bCs/>
                <w:sz w:val="22"/>
                <w:szCs w:val="22"/>
              </w:rPr>
              <w:t>Technical Assistance</w:t>
            </w:r>
          </w:p>
          <w:p w14:paraId="17D18850" w14:textId="77777777" w:rsidR="008168EA" w:rsidRPr="000F5F51" w:rsidRDefault="008168EA" w:rsidP="009854A1">
            <w:pPr>
              <w:pStyle w:val="ListParagraph"/>
              <w:numPr>
                <w:ilvl w:val="0"/>
                <w:numId w:val="16"/>
              </w:numPr>
              <w:spacing w:after="0"/>
              <w:ind w:left="170" w:hanging="170"/>
              <w:rPr>
                <w:rFonts w:cs="Arial"/>
                <w:sz w:val="22"/>
                <w:szCs w:val="22"/>
              </w:rPr>
            </w:pPr>
            <w:r w:rsidRPr="000F5F51">
              <w:rPr>
                <w:rFonts w:cs="Arial"/>
                <w:sz w:val="22"/>
                <w:szCs w:val="22"/>
              </w:rPr>
              <w:t>IDH – The Sustainable Trade Initiative</w:t>
            </w:r>
          </w:p>
        </w:tc>
      </w:tr>
    </w:tbl>
    <w:p w14:paraId="39E54464" w14:textId="77777777" w:rsidR="008168EA" w:rsidRPr="000F5F51" w:rsidRDefault="008168EA" w:rsidP="60E67443">
      <w:pPr>
        <w:rPr>
          <w:rFonts w:cs="Arial"/>
          <w:sz w:val="22"/>
          <w:szCs w:val="22"/>
          <w:lang w:eastAsia="en-GB"/>
        </w:rPr>
      </w:pPr>
    </w:p>
    <w:p w14:paraId="44474A36" w14:textId="116B6CFA" w:rsidR="00B7669D" w:rsidRPr="000F5F51" w:rsidRDefault="0028413A" w:rsidP="60E67443">
      <w:pPr>
        <w:rPr>
          <w:rFonts w:cs="Arial"/>
          <w:sz w:val="22"/>
          <w:szCs w:val="22"/>
        </w:rPr>
      </w:pPr>
      <w:r>
        <w:rPr>
          <w:rFonts w:cs="Arial"/>
          <w:sz w:val="22"/>
          <w:szCs w:val="22"/>
        </w:rPr>
        <w:t>To date</w:t>
      </w:r>
      <w:r w:rsidR="00B7669D" w:rsidRPr="000F5F51">
        <w:rPr>
          <w:rFonts w:cs="Arial"/>
          <w:sz w:val="22"/>
          <w:szCs w:val="22"/>
        </w:rPr>
        <w:t>, LDN ha</w:t>
      </w:r>
      <w:r>
        <w:rPr>
          <w:rFonts w:cs="Arial"/>
          <w:sz w:val="22"/>
          <w:szCs w:val="22"/>
        </w:rPr>
        <w:t>ve</w:t>
      </w:r>
      <w:r w:rsidR="00B7669D" w:rsidRPr="000F5F51">
        <w:rPr>
          <w:rFonts w:cs="Arial"/>
          <w:sz w:val="22"/>
          <w:szCs w:val="22"/>
        </w:rPr>
        <w:t xml:space="preserve"> invested in the following </w:t>
      </w:r>
      <w:r w:rsidR="00C709D4" w:rsidRPr="000F5F51">
        <w:rPr>
          <w:rFonts w:cs="Arial"/>
          <w:sz w:val="22"/>
          <w:szCs w:val="22"/>
        </w:rPr>
        <w:t>t</w:t>
      </w:r>
      <w:r w:rsidR="00C709D4">
        <w:rPr>
          <w:rFonts w:cs="Arial"/>
          <w:sz w:val="22"/>
          <w:szCs w:val="22"/>
        </w:rPr>
        <w:t>hirteen</w:t>
      </w:r>
      <w:r w:rsidR="00C709D4" w:rsidRPr="000F5F51">
        <w:rPr>
          <w:rFonts w:cs="Arial"/>
          <w:sz w:val="22"/>
          <w:szCs w:val="22"/>
        </w:rPr>
        <w:t xml:space="preserve"> </w:t>
      </w:r>
      <w:r w:rsidR="00B7669D" w:rsidRPr="000F5F51">
        <w:rPr>
          <w:rFonts w:cs="Arial"/>
          <w:sz w:val="22"/>
          <w:szCs w:val="22"/>
        </w:rPr>
        <w:t>projects</w:t>
      </w:r>
      <w:r w:rsidR="00E56F9B">
        <w:rPr>
          <w:rFonts w:cs="Arial"/>
          <w:sz w:val="22"/>
          <w:szCs w:val="22"/>
        </w:rPr>
        <w:t xml:space="preserve"> (* indicates projects using a smallholder model in sourcing materials)</w:t>
      </w:r>
      <w:r w:rsidR="00B7669D" w:rsidRPr="000F5F51">
        <w:rPr>
          <w:rFonts w:cs="Arial"/>
          <w:sz w:val="22"/>
          <w:szCs w:val="22"/>
        </w:rPr>
        <w:t>:</w:t>
      </w:r>
    </w:p>
    <w:p w14:paraId="75DBC1FC" w14:textId="0AADD6A3" w:rsidR="00B7669D" w:rsidRPr="000F5F51" w:rsidRDefault="00B7669D" w:rsidP="60E67443">
      <w:pPr>
        <w:rPr>
          <w:rFonts w:cs="Arial"/>
          <w:sz w:val="22"/>
          <w:szCs w:val="22"/>
        </w:rPr>
      </w:pPr>
    </w:p>
    <w:p w14:paraId="4A0FE8E1" w14:textId="578D39A3" w:rsidR="00B7669D" w:rsidRPr="000F5F51" w:rsidRDefault="00181260" w:rsidP="009854A1">
      <w:pPr>
        <w:pStyle w:val="ListParagraph"/>
        <w:numPr>
          <w:ilvl w:val="0"/>
          <w:numId w:val="13"/>
        </w:numPr>
        <w:rPr>
          <w:rFonts w:cs="Arial"/>
          <w:sz w:val="22"/>
          <w:szCs w:val="22"/>
        </w:rPr>
      </w:pPr>
      <w:r>
        <w:rPr>
          <w:rFonts w:cs="Arial"/>
          <w:sz w:val="22"/>
          <w:szCs w:val="22"/>
        </w:rPr>
        <w:lastRenderedPageBreak/>
        <w:t>*</w:t>
      </w:r>
      <w:r w:rsidR="00B7669D" w:rsidRPr="03F8A8A1">
        <w:rPr>
          <w:rFonts w:cs="Arial"/>
          <w:sz w:val="22"/>
          <w:szCs w:val="22"/>
        </w:rPr>
        <w:t xml:space="preserve">Mountain </w:t>
      </w:r>
      <w:r w:rsidR="00931D25" w:rsidRPr="03F8A8A1">
        <w:rPr>
          <w:rFonts w:cs="Arial"/>
          <w:sz w:val="22"/>
          <w:szCs w:val="22"/>
        </w:rPr>
        <w:t>H</w:t>
      </w:r>
      <w:r w:rsidR="00B7669D" w:rsidRPr="03F8A8A1">
        <w:rPr>
          <w:rFonts w:cs="Arial"/>
          <w:sz w:val="22"/>
          <w:szCs w:val="22"/>
        </w:rPr>
        <w:t>azelnuts (Bhutan;</w:t>
      </w:r>
      <w:r w:rsidR="4ADA4D1D" w:rsidRPr="03F8A8A1">
        <w:rPr>
          <w:rFonts w:cs="Arial"/>
          <w:sz w:val="22"/>
          <w:szCs w:val="22"/>
        </w:rPr>
        <w:t xml:space="preserve"> key product:</w:t>
      </w:r>
      <w:r w:rsidR="00B7669D" w:rsidRPr="03F8A8A1">
        <w:rPr>
          <w:rFonts w:cs="Arial"/>
          <w:sz w:val="22"/>
          <w:szCs w:val="22"/>
        </w:rPr>
        <w:t xml:space="preserve"> hazelnuts)</w:t>
      </w:r>
    </w:p>
    <w:p w14:paraId="6FFC0D8B" w14:textId="7F0CEE5C" w:rsidR="00B7669D" w:rsidRPr="000F5F51" w:rsidRDefault="003653D3" w:rsidP="009854A1">
      <w:pPr>
        <w:pStyle w:val="ListParagraph"/>
        <w:numPr>
          <w:ilvl w:val="0"/>
          <w:numId w:val="13"/>
        </w:numPr>
        <w:rPr>
          <w:rFonts w:cs="Arial"/>
          <w:sz w:val="22"/>
          <w:szCs w:val="22"/>
        </w:rPr>
      </w:pPr>
      <w:r>
        <w:rPr>
          <w:rFonts w:cs="Arial"/>
          <w:sz w:val="22"/>
          <w:szCs w:val="22"/>
        </w:rPr>
        <w:t>*</w:t>
      </w:r>
      <w:proofErr w:type="spellStart"/>
      <w:r w:rsidR="00B7669D" w:rsidRPr="03F8A8A1">
        <w:rPr>
          <w:rFonts w:cs="Arial"/>
          <w:sz w:val="22"/>
          <w:szCs w:val="22"/>
        </w:rPr>
        <w:t>Urapi</w:t>
      </w:r>
      <w:proofErr w:type="spellEnd"/>
      <w:r w:rsidR="00B7669D" w:rsidRPr="03F8A8A1">
        <w:rPr>
          <w:rFonts w:cs="Arial"/>
          <w:sz w:val="22"/>
          <w:szCs w:val="22"/>
        </w:rPr>
        <w:t xml:space="preserve"> Sustainable Land Use (Peru and Colombia;</w:t>
      </w:r>
      <w:r w:rsidR="2F35390A" w:rsidRPr="03F8A8A1">
        <w:rPr>
          <w:rFonts w:cs="Arial"/>
          <w:sz w:val="22"/>
          <w:szCs w:val="22"/>
        </w:rPr>
        <w:t xml:space="preserve"> key product:</w:t>
      </w:r>
      <w:r w:rsidR="00B7669D" w:rsidRPr="03F8A8A1">
        <w:rPr>
          <w:rFonts w:cs="Arial"/>
          <w:sz w:val="22"/>
          <w:szCs w:val="22"/>
        </w:rPr>
        <w:t xml:space="preserve"> coffee, cocoa, nuts)</w:t>
      </w:r>
    </w:p>
    <w:p w14:paraId="59DE8378" w14:textId="5478DDF0" w:rsidR="00B7669D" w:rsidRPr="000F5F51" w:rsidRDefault="00B7669D" w:rsidP="009854A1">
      <w:pPr>
        <w:pStyle w:val="ListParagraph"/>
        <w:numPr>
          <w:ilvl w:val="0"/>
          <w:numId w:val="13"/>
        </w:numPr>
        <w:rPr>
          <w:rFonts w:cs="Arial"/>
          <w:sz w:val="22"/>
          <w:szCs w:val="22"/>
        </w:rPr>
      </w:pPr>
      <w:r w:rsidRPr="03F8A8A1">
        <w:rPr>
          <w:rFonts w:cs="Arial"/>
          <w:sz w:val="22"/>
          <w:szCs w:val="22"/>
        </w:rPr>
        <w:t>Miro Forestry (Ghana and Sierra Leone;</w:t>
      </w:r>
      <w:r w:rsidR="22D1E42C" w:rsidRPr="03F8A8A1">
        <w:rPr>
          <w:rFonts w:cs="Arial"/>
          <w:sz w:val="22"/>
          <w:szCs w:val="22"/>
        </w:rPr>
        <w:t xml:space="preserve"> key product:</w:t>
      </w:r>
      <w:r w:rsidRPr="03F8A8A1">
        <w:rPr>
          <w:rFonts w:cs="Arial"/>
          <w:sz w:val="22"/>
          <w:szCs w:val="22"/>
        </w:rPr>
        <w:t xml:space="preserve"> timber)</w:t>
      </w:r>
    </w:p>
    <w:p w14:paraId="0C543E56" w14:textId="075B6062" w:rsidR="00B7669D" w:rsidRPr="000F5F51" w:rsidRDefault="00181260" w:rsidP="009854A1">
      <w:pPr>
        <w:pStyle w:val="ListParagraph"/>
        <w:numPr>
          <w:ilvl w:val="0"/>
          <w:numId w:val="13"/>
        </w:numPr>
        <w:rPr>
          <w:rFonts w:cs="Arial"/>
          <w:sz w:val="22"/>
          <w:szCs w:val="22"/>
        </w:rPr>
      </w:pPr>
      <w:r>
        <w:rPr>
          <w:rFonts w:cs="Arial"/>
          <w:sz w:val="22"/>
          <w:szCs w:val="22"/>
        </w:rPr>
        <w:t>*</w:t>
      </w:r>
      <w:proofErr w:type="spellStart"/>
      <w:r w:rsidR="00B7669D" w:rsidRPr="03F8A8A1">
        <w:rPr>
          <w:rFonts w:cs="Arial"/>
          <w:sz w:val="22"/>
          <w:szCs w:val="22"/>
        </w:rPr>
        <w:t>Komaza</w:t>
      </w:r>
      <w:proofErr w:type="spellEnd"/>
      <w:r w:rsidR="00B7669D" w:rsidRPr="03F8A8A1">
        <w:rPr>
          <w:rFonts w:cs="Arial"/>
          <w:sz w:val="22"/>
          <w:szCs w:val="22"/>
        </w:rPr>
        <w:t xml:space="preserve"> (Kenya;</w:t>
      </w:r>
      <w:r w:rsidR="7BB99E1D" w:rsidRPr="03F8A8A1">
        <w:rPr>
          <w:rFonts w:cs="Arial"/>
          <w:sz w:val="22"/>
          <w:szCs w:val="22"/>
        </w:rPr>
        <w:t xml:space="preserve"> key product:</w:t>
      </w:r>
      <w:r w:rsidR="00B7669D" w:rsidRPr="03F8A8A1">
        <w:rPr>
          <w:rFonts w:cs="Arial"/>
          <w:sz w:val="22"/>
          <w:szCs w:val="22"/>
        </w:rPr>
        <w:t xml:space="preserve"> timber)</w:t>
      </w:r>
    </w:p>
    <w:p w14:paraId="6D5D85E5" w14:textId="6B9165E1" w:rsidR="00B7669D" w:rsidRPr="000F5F51" w:rsidRDefault="00B7669D" w:rsidP="009854A1">
      <w:pPr>
        <w:pStyle w:val="ListParagraph"/>
        <w:numPr>
          <w:ilvl w:val="0"/>
          <w:numId w:val="13"/>
        </w:numPr>
        <w:rPr>
          <w:rFonts w:cs="Arial"/>
          <w:sz w:val="22"/>
          <w:szCs w:val="22"/>
        </w:rPr>
      </w:pPr>
      <w:r w:rsidRPr="03F8A8A1">
        <w:rPr>
          <w:rFonts w:cs="Arial"/>
          <w:sz w:val="22"/>
          <w:szCs w:val="22"/>
        </w:rPr>
        <w:t>Cacao Oro</w:t>
      </w:r>
      <w:r w:rsidR="00753663" w:rsidRPr="03F8A8A1">
        <w:rPr>
          <w:rFonts w:cs="Arial"/>
          <w:sz w:val="22"/>
          <w:szCs w:val="22"/>
        </w:rPr>
        <w:t xml:space="preserve"> (Nicaragua;</w:t>
      </w:r>
      <w:r w:rsidR="4C0B34E8" w:rsidRPr="03F8A8A1">
        <w:rPr>
          <w:rFonts w:cs="Arial"/>
          <w:sz w:val="22"/>
          <w:szCs w:val="22"/>
        </w:rPr>
        <w:t xml:space="preserve"> key product:</w:t>
      </w:r>
      <w:r w:rsidR="00753663" w:rsidRPr="03F8A8A1">
        <w:rPr>
          <w:rFonts w:cs="Arial"/>
          <w:sz w:val="22"/>
          <w:szCs w:val="22"/>
        </w:rPr>
        <w:t xml:space="preserve"> cocoa)</w:t>
      </w:r>
    </w:p>
    <w:p w14:paraId="6701664F" w14:textId="50475527" w:rsidR="00753663" w:rsidRPr="000F5F51" w:rsidRDefault="00753663" w:rsidP="009854A1">
      <w:pPr>
        <w:pStyle w:val="ListParagraph"/>
        <w:numPr>
          <w:ilvl w:val="0"/>
          <w:numId w:val="13"/>
        </w:numPr>
        <w:rPr>
          <w:rFonts w:cs="Arial"/>
          <w:sz w:val="22"/>
          <w:szCs w:val="22"/>
        </w:rPr>
      </w:pPr>
      <w:proofErr w:type="spellStart"/>
      <w:r w:rsidRPr="03F8A8A1">
        <w:rPr>
          <w:rFonts w:cs="Arial"/>
          <w:sz w:val="22"/>
          <w:szCs w:val="22"/>
        </w:rPr>
        <w:t>Burapha</w:t>
      </w:r>
      <w:proofErr w:type="spellEnd"/>
      <w:r w:rsidRPr="03F8A8A1">
        <w:rPr>
          <w:rFonts w:cs="Arial"/>
          <w:sz w:val="22"/>
          <w:szCs w:val="22"/>
        </w:rPr>
        <w:t xml:space="preserve"> (Laos;</w:t>
      </w:r>
      <w:r w:rsidR="10381CD6" w:rsidRPr="03F8A8A1">
        <w:rPr>
          <w:rFonts w:cs="Arial"/>
          <w:sz w:val="22"/>
          <w:szCs w:val="22"/>
        </w:rPr>
        <w:t xml:space="preserve"> key product:</w:t>
      </w:r>
      <w:r w:rsidRPr="03F8A8A1">
        <w:rPr>
          <w:rFonts w:cs="Arial"/>
          <w:sz w:val="22"/>
          <w:szCs w:val="22"/>
        </w:rPr>
        <w:t xml:space="preserve"> timber)</w:t>
      </w:r>
    </w:p>
    <w:p w14:paraId="0B417384" w14:textId="4A009BBB" w:rsidR="00753663" w:rsidRPr="000F5F51" w:rsidRDefault="00753663" w:rsidP="009854A1">
      <w:pPr>
        <w:pStyle w:val="ListParagraph"/>
        <w:numPr>
          <w:ilvl w:val="0"/>
          <w:numId w:val="17"/>
        </w:numPr>
        <w:rPr>
          <w:rFonts w:cs="Arial"/>
          <w:sz w:val="22"/>
          <w:szCs w:val="22"/>
        </w:rPr>
      </w:pPr>
      <w:r w:rsidRPr="03F8A8A1">
        <w:rPr>
          <w:rFonts w:cs="Arial"/>
          <w:sz w:val="22"/>
          <w:szCs w:val="22"/>
        </w:rPr>
        <w:t>Atlas Fruits (Morocco</w:t>
      </w:r>
      <w:r w:rsidR="564BFC48" w:rsidRPr="03F8A8A1">
        <w:rPr>
          <w:rFonts w:cs="Arial"/>
          <w:sz w:val="22"/>
          <w:szCs w:val="22"/>
        </w:rPr>
        <w:t>; key product:</w:t>
      </w:r>
      <w:r w:rsidRPr="03F8A8A1">
        <w:rPr>
          <w:rFonts w:cs="Arial"/>
          <w:sz w:val="22"/>
          <w:szCs w:val="22"/>
        </w:rPr>
        <w:t xml:space="preserve"> citrus)</w:t>
      </w:r>
    </w:p>
    <w:p w14:paraId="3A0D30FA" w14:textId="22EF4A8C" w:rsidR="00753663" w:rsidRPr="000F5F51" w:rsidRDefault="00753663" w:rsidP="009854A1">
      <w:pPr>
        <w:pStyle w:val="ListParagraph"/>
        <w:numPr>
          <w:ilvl w:val="0"/>
          <w:numId w:val="17"/>
        </w:numPr>
        <w:rPr>
          <w:rFonts w:cs="Arial"/>
          <w:sz w:val="22"/>
          <w:szCs w:val="22"/>
        </w:rPr>
      </w:pPr>
      <w:r w:rsidRPr="03F8A8A1">
        <w:rPr>
          <w:rFonts w:cs="Arial"/>
          <w:sz w:val="22"/>
          <w:szCs w:val="22"/>
        </w:rPr>
        <w:t xml:space="preserve">Aloe </w:t>
      </w:r>
      <w:proofErr w:type="spellStart"/>
      <w:r w:rsidRPr="03F8A8A1">
        <w:rPr>
          <w:rFonts w:cs="Arial"/>
          <w:sz w:val="22"/>
          <w:szCs w:val="22"/>
        </w:rPr>
        <w:t>Agroforestal</w:t>
      </w:r>
      <w:proofErr w:type="spellEnd"/>
      <w:r w:rsidRPr="03F8A8A1">
        <w:rPr>
          <w:rFonts w:cs="Arial"/>
          <w:sz w:val="22"/>
          <w:szCs w:val="22"/>
        </w:rPr>
        <w:t xml:space="preserve"> (Brazil</w:t>
      </w:r>
      <w:r w:rsidR="32A56700" w:rsidRPr="03F8A8A1">
        <w:rPr>
          <w:rFonts w:cs="Arial"/>
          <w:sz w:val="22"/>
          <w:szCs w:val="22"/>
        </w:rPr>
        <w:t>; key product:</w:t>
      </w:r>
      <w:r w:rsidRPr="03F8A8A1">
        <w:rPr>
          <w:rFonts w:cs="Arial"/>
          <w:sz w:val="22"/>
          <w:szCs w:val="22"/>
        </w:rPr>
        <w:t xml:space="preserve"> timber)</w:t>
      </w:r>
    </w:p>
    <w:p w14:paraId="0238DE52" w14:textId="75A2F344" w:rsidR="00753663" w:rsidRPr="000F5F51" w:rsidRDefault="00181260" w:rsidP="009854A1">
      <w:pPr>
        <w:pStyle w:val="ListParagraph"/>
        <w:numPr>
          <w:ilvl w:val="0"/>
          <w:numId w:val="18"/>
        </w:numPr>
        <w:rPr>
          <w:rFonts w:cs="Arial"/>
          <w:sz w:val="22"/>
          <w:szCs w:val="22"/>
        </w:rPr>
      </w:pPr>
      <w:r>
        <w:rPr>
          <w:rFonts w:cs="Arial"/>
          <w:sz w:val="22"/>
          <w:szCs w:val="22"/>
        </w:rPr>
        <w:t>*</w:t>
      </w:r>
      <w:r w:rsidR="0077690E" w:rsidRPr="03F8A8A1">
        <w:rPr>
          <w:rFonts w:cs="Arial"/>
          <w:sz w:val="22"/>
          <w:szCs w:val="22"/>
        </w:rPr>
        <w:t xml:space="preserve">Kennemer </w:t>
      </w:r>
      <w:r w:rsidR="00753663" w:rsidRPr="03F8A8A1">
        <w:rPr>
          <w:rFonts w:cs="Arial"/>
          <w:sz w:val="22"/>
          <w:szCs w:val="22"/>
        </w:rPr>
        <w:t>(Philippines</w:t>
      </w:r>
      <w:r w:rsidR="0077690E" w:rsidRPr="03F8A8A1">
        <w:rPr>
          <w:rFonts w:cs="Arial"/>
          <w:sz w:val="22"/>
          <w:szCs w:val="22"/>
        </w:rPr>
        <w:t>;</w:t>
      </w:r>
      <w:r w:rsidR="0D4CED07" w:rsidRPr="03F8A8A1">
        <w:rPr>
          <w:rFonts w:cs="Arial"/>
          <w:sz w:val="22"/>
          <w:szCs w:val="22"/>
        </w:rPr>
        <w:t xml:space="preserve"> key product:</w:t>
      </w:r>
      <w:r w:rsidR="0077690E" w:rsidRPr="03F8A8A1">
        <w:rPr>
          <w:rFonts w:cs="Arial"/>
          <w:sz w:val="22"/>
          <w:szCs w:val="22"/>
        </w:rPr>
        <w:t xml:space="preserve"> cocoa, bananas</w:t>
      </w:r>
      <w:r w:rsidR="00753663" w:rsidRPr="03F8A8A1">
        <w:rPr>
          <w:rFonts w:cs="Arial"/>
          <w:sz w:val="22"/>
          <w:szCs w:val="22"/>
        </w:rPr>
        <w:t>)</w:t>
      </w:r>
    </w:p>
    <w:p w14:paraId="4487DF38" w14:textId="6CCEFD05" w:rsidR="00753663" w:rsidRDefault="00181260" w:rsidP="009854A1">
      <w:pPr>
        <w:pStyle w:val="ListParagraph"/>
        <w:numPr>
          <w:ilvl w:val="0"/>
          <w:numId w:val="18"/>
        </w:numPr>
        <w:rPr>
          <w:rFonts w:cs="Arial"/>
          <w:sz w:val="22"/>
          <w:szCs w:val="22"/>
        </w:rPr>
      </w:pPr>
      <w:r>
        <w:rPr>
          <w:rFonts w:cs="Arial"/>
          <w:sz w:val="22"/>
          <w:szCs w:val="22"/>
        </w:rPr>
        <w:t>*</w:t>
      </w:r>
      <w:proofErr w:type="spellStart"/>
      <w:r w:rsidR="0077690E" w:rsidRPr="4947B28A">
        <w:rPr>
          <w:rFonts w:cs="Arial"/>
          <w:sz w:val="22"/>
          <w:szCs w:val="22"/>
        </w:rPr>
        <w:t>Aqre</w:t>
      </w:r>
      <w:proofErr w:type="spellEnd"/>
      <w:r w:rsidR="0077690E" w:rsidRPr="4947B28A">
        <w:rPr>
          <w:rFonts w:cs="Arial"/>
          <w:sz w:val="22"/>
          <w:szCs w:val="22"/>
        </w:rPr>
        <w:t xml:space="preserve"> Group</w:t>
      </w:r>
      <w:r w:rsidR="00753663" w:rsidRPr="4947B28A">
        <w:rPr>
          <w:rFonts w:cs="Arial"/>
          <w:sz w:val="22"/>
          <w:szCs w:val="22"/>
        </w:rPr>
        <w:t xml:space="preserve"> (Madagascar</w:t>
      </w:r>
      <w:r w:rsidR="0077690E" w:rsidRPr="4947B28A">
        <w:rPr>
          <w:rFonts w:cs="Arial"/>
          <w:sz w:val="22"/>
          <w:szCs w:val="22"/>
        </w:rPr>
        <w:t xml:space="preserve">; </w:t>
      </w:r>
      <w:r w:rsidR="60C17F72" w:rsidRPr="4947B28A">
        <w:rPr>
          <w:rFonts w:cs="Arial"/>
          <w:sz w:val="22"/>
          <w:szCs w:val="22"/>
        </w:rPr>
        <w:t xml:space="preserve">key product: </w:t>
      </w:r>
      <w:r w:rsidR="0077690E" w:rsidRPr="4947B28A">
        <w:rPr>
          <w:rFonts w:cs="Arial"/>
          <w:sz w:val="22"/>
          <w:szCs w:val="22"/>
        </w:rPr>
        <w:t xml:space="preserve">Quinine, </w:t>
      </w:r>
      <w:proofErr w:type="spellStart"/>
      <w:r w:rsidR="00973F73">
        <w:rPr>
          <w:rFonts w:cs="Arial"/>
          <w:sz w:val="22"/>
          <w:szCs w:val="22"/>
        </w:rPr>
        <w:t>Centella</w:t>
      </w:r>
      <w:proofErr w:type="spellEnd"/>
      <w:r w:rsidR="00973F73">
        <w:rPr>
          <w:rFonts w:cs="Arial"/>
          <w:sz w:val="22"/>
          <w:szCs w:val="22"/>
        </w:rPr>
        <w:t xml:space="preserve">, </w:t>
      </w:r>
      <w:r w:rsidR="0077690E" w:rsidRPr="4947B28A">
        <w:rPr>
          <w:rFonts w:cs="Arial"/>
          <w:sz w:val="22"/>
          <w:szCs w:val="22"/>
        </w:rPr>
        <w:t>Artemisinin</w:t>
      </w:r>
      <w:r w:rsidR="00753663" w:rsidRPr="4947B28A">
        <w:rPr>
          <w:rFonts w:cs="Arial"/>
          <w:sz w:val="22"/>
          <w:szCs w:val="22"/>
        </w:rPr>
        <w:t>)</w:t>
      </w:r>
    </w:p>
    <w:p w14:paraId="62A2F353" w14:textId="28F3BC83" w:rsidR="00C709D4" w:rsidRDefault="007C29BE" w:rsidP="009854A1">
      <w:pPr>
        <w:pStyle w:val="ListParagraph"/>
        <w:numPr>
          <w:ilvl w:val="0"/>
          <w:numId w:val="18"/>
        </w:numPr>
        <w:rPr>
          <w:rFonts w:cs="Arial"/>
          <w:sz w:val="22"/>
          <w:szCs w:val="22"/>
        </w:rPr>
      </w:pPr>
      <w:r>
        <w:rPr>
          <w:rFonts w:cs="Arial"/>
          <w:sz w:val="22"/>
          <w:szCs w:val="22"/>
        </w:rPr>
        <w:t>*</w:t>
      </w:r>
      <w:r w:rsidR="00C709D4">
        <w:rPr>
          <w:rFonts w:cs="Arial"/>
          <w:sz w:val="22"/>
          <w:szCs w:val="22"/>
        </w:rPr>
        <w:t xml:space="preserve">Pamoja (Kenya and Tanzania; key product: </w:t>
      </w:r>
      <w:r w:rsidR="00796DF1">
        <w:rPr>
          <w:rFonts w:cs="Arial"/>
          <w:sz w:val="22"/>
          <w:szCs w:val="22"/>
        </w:rPr>
        <w:t>macadamia nuts)</w:t>
      </w:r>
    </w:p>
    <w:p w14:paraId="6755C5D0" w14:textId="2E9C63E7" w:rsidR="00796DF1" w:rsidRDefault="00E53067" w:rsidP="009854A1">
      <w:pPr>
        <w:pStyle w:val="ListParagraph"/>
        <w:numPr>
          <w:ilvl w:val="0"/>
          <w:numId w:val="18"/>
        </w:numPr>
        <w:rPr>
          <w:rFonts w:cs="Arial"/>
          <w:sz w:val="22"/>
          <w:szCs w:val="22"/>
        </w:rPr>
      </w:pPr>
      <w:r>
        <w:rPr>
          <w:rFonts w:cs="Arial"/>
          <w:sz w:val="22"/>
          <w:szCs w:val="22"/>
        </w:rPr>
        <w:t>*</w:t>
      </w:r>
      <w:r w:rsidR="00796DF1">
        <w:rPr>
          <w:rFonts w:cs="Arial"/>
          <w:sz w:val="22"/>
          <w:szCs w:val="22"/>
        </w:rPr>
        <w:t xml:space="preserve">Koa Impact (Ghana; key product: </w:t>
      </w:r>
      <w:r w:rsidR="00F6206D">
        <w:rPr>
          <w:rFonts w:cs="Arial"/>
          <w:sz w:val="22"/>
          <w:szCs w:val="22"/>
        </w:rPr>
        <w:t>cocoa pulp)</w:t>
      </w:r>
    </w:p>
    <w:p w14:paraId="19B3640D" w14:textId="78BD8732" w:rsidR="00F6206D" w:rsidRPr="000F5F51" w:rsidRDefault="00F6206D" w:rsidP="009854A1">
      <w:pPr>
        <w:pStyle w:val="ListParagraph"/>
        <w:numPr>
          <w:ilvl w:val="0"/>
          <w:numId w:val="18"/>
        </w:numPr>
        <w:rPr>
          <w:rFonts w:cs="Arial"/>
          <w:sz w:val="22"/>
          <w:szCs w:val="22"/>
        </w:rPr>
      </w:pPr>
      <w:proofErr w:type="spellStart"/>
      <w:r>
        <w:rPr>
          <w:rFonts w:cs="Arial"/>
          <w:sz w:val="22"/>
          <w:szCs w:val="22"/>
        </w:rPr>
        <w:t>Terrasos</w:t>
      </w:r>
      <w:proofErr w:type="spellEnd"/>
      <w:r>
        <w:rPr>
          <w:rFonts w:cs="Arial"/>
          <w:sz w:val="22"/>
          <w:szCs w:val="22"/>
        </w:rPr>
        <w:t xml:space="preserve"> (Colombia</w:t>
      </w:r>
      <w:r w:rsidR="00D71991">
        <w:rPr>
          <w:rFonts w:cs="Arial"/>
          <w:sz w:val="22"/>
          <w:szCs w:val="22"/>
        </w:rPr>
        <w:t>; key product: biodiversity credits)</w:t>
      </w:r>
    </w:p>
    <w:p w14:paraId="01E43821" w14:textId="7FB56AB9" w:rsidR="00B7669D" w:rsidRDefault="5BA3A63C" w:rsidP="4947B28A">
      <w:pPr>
        <w:rPr>
          <w:rFonts w:eastAsia="Arial" w:cs="Arial"/>
          <w:sz w:val="22"/>
          <w:szCs w:val="22"/>
        </w:rPr>
      </w:pPr>
      <w:r w:rsidRPr="15A5CF2E">
        <w:rPr>
          <w:rFonts w:cs="Arial"/>
          <w:sz w:val="22"/>
          <w:szCs w:val="22"/>
        </w:rPr>
        <w:t xml:space="preserve">The LDN portfolio </w:t>
      </w:r>
      <w:r w:rsidR="0047235F">
        <w:rPr>
          <w:rFonts w:cs="Arial"/>
          <w:sz w:val="22"/>
          <w:szCs w:val="22"/>
        </w:rPr>
        <w:t>reached capacity</w:t>
      </w:r>
      <w:r w:rsidRPr="15A5CF2E">
        <w:rPr>
          <w:rFonts w:cs="Arial"/>
          <w:sz w:val="22"/>
          <w:szCs w:val="22"/>
        </w:rPr>
        <w:t xml:space="preserve"> </w:t>
      </w:r>
      <w:r w:rsidR="005B1419" w:rsidRPr="15A5CF2E">
        <w:rPr>
          <w:rFonts w:cs="Arial"/>
          <w:sz w:val="22"/>
          <w:szCs w:val="22"/>
        </w:rPr>
        <w:t>in</w:t>
      </w:r>
      <w:r w:rsidR="00FC7538" w:rsidRPr="15A5CF2E">
        <w:rPr>
          <w:rFonts w:cs="Arial"/>
          <w:sz w:val="22"/>
          <w:szCs w:val="22"/>
        </w:rPr>
        <w:t xml:space="preserve"> 2023</w:t>
      </w:r>
      <w:r w:rsidR="00FC10E5" w:rsidRPr="15A5CF2E">
        <w:rPr>
          <w:rFonts w:cs="Arial"/>
          <w:sz w:val="22"/>
          <w:szCs w:val="22"/>
        </w:rPr>
        <w:t xml:space="preserve"> with the addition of three final projects</w:t>
      </w:r>
      <w:r w:rsidR="005B1419" w:rsidRPr="15A5CF2E">
        <w:rPr>
          <w:rFonts w:cs="Arial"/>
          <w:sz w:val="22"/>
          <w:szCs w:val="22"/>
        </w:rPr>
        <w:t>.</w:t>
      </w:r>
      <w:r w:rsidR="00FC7538" w:rsidRPr="15A5CF2E">
        <w:rPr>
          <w:rFonts w:cs="Arial"/>
          <w:sz w:val="22"/>
          <w:szCs w:val="22"/>
        </w:rPr>
        <w:t xml:space="preserve"> LDN operates a thorough due diligence</w:t>
      </w:r>
      <w:r w:rsidR="00B41260" w:rsidRPr="15A5CF2E">
        <w:rPr>
          <w:rFonts w:cs="Arial"/>
          <w:sz w:val="22"/>
          <w:szCs w:val="22"/>
        </w:rPr>
        <w:t xml:space="preserve"> and pre-investment</w:t>
      </w:r>
      <w:r w:rsidR="00FC7538" w:rsidRPr="15A5CF2E">
        <w:rPr>
          <w:rFonts w:cs="Arial"/>
          <w:sz w:val="22"/>
          <w:szCs w:val="22"/>
        </w:rPr>
        <w:t xml:space="preserve"> process</w:t>
      </w:r>
      <w:r w:rsidR="004F320C" w:rsidRPr="15A5CF2E">
        <w:rPr>
          <w:rFonts w:cs="Arial"/>
          <w:sz w:val="22"/>
          <w:szCs w:val="22"/>
        </w:rPr>
        <w:t xml:space="preserve"> which</w:t>
      </w:r>
      <w:r w:rsidR="00B018CD" w:rsidRPr="15A5CF2E">
        <w:rPr>
          <w:rFonts w:cs="Arial"/>
          <w:sz w:val="22"/>
          <w:szCs w:val="22"/>
        </w:rPr>
        <w:t xml:space="preserve"> includes</w:t>
      </w:r>
      <w:r w:rsidR="0003417D" w:rsidRPr="15A5CF2E">
        <w:rPr>
          <w:rFonts w:cs="Arial"/>
          <w:sz w:val="22"/>
          <w:szCs w:val="22"/>
        </w:rPr>
        <w:t xml:space="preserve"> a</w:t>
      </w:r>
      <w:r w:rsidR="00B018CD" w:rsidRPr="15A5CF2E">
        <w:rPr>
          <w:rFonts w:cs="Arial"/>
          <w:sz w:val="22"/>
          <w:szCs w:val="22"/>
        </w:rPr>
        <w:t xml:space="preserve"> </w:t>
      </w:r>
      <w:r w:rsidR="007922D7" w:rsidRPr="15A5CF2E">
        <w:rPr>
          <w:rFonts w:eastAsia="Arial" w:cs="Arial"/>
          <w:sz w:val="22"/>
          <w:szCs w:val="22"/>
        </w:rPr>
        <w:t>Screening Committee,</w:t>
      </w:r>
      <w:r w:rsidR="0003417D" w:rsidRPr="15A5CF2E">
        <w:rPr>
          <w:rFonts w:eastAsia="Arial" w:cs="Arial"/>
          <w:sz w:val="22"/>
          <w:szCs w:val="22"/>
        </w:rPr>
        <w:t xml:space="preserve"> </w:t>
      </w:r>
      <w:r w:rsidR="007922D7" w:rsidRPr="15A5CF2E">
        <w:rPr>
          <w:rFonts w:eastAsia="Arial" w:cs="Arial"/>
          <w:sz w:val="22"/>
          <w:szCs w:val="22"/>
        </w:rPr>
        <w:t>Investment Committee 1</w:t>
      </w:r>
      <w:r w:rsidR="00F5109A" w:rsidRPr="15A5CF2E">
        <w:rPr>
          <w:rFonts w:eastAsia="Arial" w:cs="Arial"/>
          <w:sz w:val="22"/>
          <w:szCs w:val="22"/>
        </w:rPr>
        <w:t>,</w:t>
      </w:r>
      <w:r w:rsidR="007922D7" w:rsidRPr="15A5CF2E">
        <w:rPr>
          <w:rFonts w:eastAsia="Arial" w:cs="Arial"/>
          <w:sz w:val="22"/>
          <w:szCs w:val="22"/>
        </w:rPr>
        <w:t xml:space="preserve"> and Investment Committee</w:t>
      </w:r>
      <w:r w:rsidR="00C51730" w:rsidRPr="15A5CF2E">
        <w:rPr>
          <w:rFonts w:eastAsia="Arial" w:cs="Arial"/>
          <w:sz w:val="22"/>
          <w:szCs w:val="22"/>
        </w:rPr>
        <w:t xml:space="preserve"> 2, with projects being removed</w:t>
      </w:r>
      <w:r w:rsidR="00956BFE" w:rsidRPr="15A5CF2E">
        <w:rPr>
          <w:rFonts w:eastAsia="Arial" w:cs="Arial"/>
          <w:sz w:val="22"/>
          <w:szCs w:val="22"/>
        </w:rPr>
        <w:t xml:space="preserve"> at each level </w:t>
      </w:r>
      <w:r w:rsidR="00CE1B97" w:rsidRPr="15A5CF2E">
        <w:rPr>
          <w:rFonts w:eastAsia="Arial" w:cs="Arial"/>
          <w:sz w:val="22"/>
          <w:szCs w:val="22"/>
        </w:rPr>
        <w:t>so that only the most promising investments</w:t>
      </w:r>
      <w:r w:rsidR="0013713E">
        <w:rPr>
          <w:rFonts w:eastAsia="Arial" w:cs="Arial"/>
          <w:sz w:val="22"/>
          <w:szCs w:val="22"/>
        </w:rPr>
        <w:t xml:space="preserve"> are selected for funding.</w:t>
      </w:r>
    </w:p>
    <w:p w14:paraId="162502A6" w14:textId="77777777" w:rsidR="00FC7538" w:rsidRPr="000F5F51" w:rsidRDefault="00FC7538" w:rsidP="60E67443">
      <w:pPr>
        <w:rPr>
          <w:rFonts w:cs="Arial"/>
          <w:b/>
          <w:bCs/>
          <w:sz w:val="22"/>
          <w:szCs w:val="22"/>
        </w:rPr>
      </w:pPr>
    </w:p>
    <w:p w14:paraId="69294281" w14:textId="7DF6D8B3" w:rsidR="006F3AE7" w:rsidRPr="000F5F51" w:rsidRDefault="25B96BF8" w:rsidP="60E67443">
      <w:pPr>
        <w:rPr>
          <w:rFonts w:cs="Arial"/>
          <w:sz w:val="22"/>
          <w:szCs w:val="22"/>
        </w:rPr>
      </w:pPr>
      <w:r w:rsidRPr="000F5F51">
        <w:rPr>
          <w:rFonts w:cs="Arial"/>
          <w:b/>
          <w:bCs/>
          <w:sz w:val="22"/>
          <w:szCs w:val="22"/>
        </w:rPr>
        <w:t>Summary supporting narrative for the overall score in this review</w:t>
      </w:r>
    </w:p>
    <w:p w14:paraId="0F22678A" w14:textId="59A97289" w:rsidR="006553B5" w:rsidRPr="000F5F51" w:rsidRDefault="006553B5" w:rsidP="60E67443">
      <w:pPr>
        <w:rPr>
          <w:rFonts w:cs="Arial"/>
          <w:sz w:val="22"/>
          <w:szCs w:val="22"/>
        </w:rPr>
      </w:pPr>
    </w:p>
    <w:p w14:paraId="02662155" w14:textId="08350E93" w:rsidR="00E52418" w:rsidRDefault="003203C1" w:rsidP="75169474">
      <w:pPr>
        <w:rPr>
          <w:rFonts w:cs="Arial"/>
          <w:sz w:val="22"/>
          <w:szCs w:val="22"/>
        </w:rPr>
      </w:pPr>
      <w:r>
        <w:rPr>
          <w:rFonts w:cs="Arial"/>
          <w:sz w:val="22"/>
          <w:szCs w:val="22"/>
        </w:rPr>
        <w:t xml:space="preserve">In 2023 </w:t>
      </w:r>
      <w:proofErr w:type="spellStart"/>
      <w:r>
        <w:rPr>
          <w:rFonts w:cs="Arial"/>
          <w:sz w:val="22"/>
          <w:szCs w:val="22"/>
        </w:rPr>
        <w:t>Mirova</w:t>
      </w:r>
      <w:proofErr w:type="spellEnd"/>
      <w:r>
        <w:rPr>
          <w:rFonts w:cs="Arial"/>
          <w:sz w:val="22"/>
          <w:szCs w:val="22"/>
        </w:rPr>
        <w:t xml:space="preserve"> made progress on all the recommendations from the previous A</w:t>
      </w:r>
      <w:r w:rsidR="00A32852">
        <w:rPr>
          <w:rFonts w:cs="Arial"/>
          <w:sz w:val="22"/>
          <w:szCs w:val="22"/>
        </w:rPr>
        <w:t xml:space="preserve">nnual Review (AR) particularly in </w:t>
      </w:r>
      <w:r w:rsidR="004367DF">
        <w:rPr>
          <w:rFonts w:cs="Arial"/>
          <w:sz w:val="22"/>
          <w:szCs w:val="22"/>
        </w:rPr>
        <w:t xml:space="preserve">providing greater detail on the work of the Fund to tackle poverty, land restoration, and </w:t>
      </w:r>
      <w:r w:rsidR="0036026E">
        <w:rPr>
          <w:rFonts w:cs="Arial"/>
          <w:sz w:val="22"/>
          <w:szCs w:val="22"/>
        </w:rPr>
        <w:t xml:space="preserve">biodiversity monitoring. </w:t>
      </w:r>
      <w:r w:rsidR="00CB5D6A">
        <w:rPr>
          <w:rFonts w:cs="Arial"/>
          <w:sz w:val="22"/>
          <w:szCs w:val="22"/>
        </w:rPr>
        <w:t xml:space="preserve">Although only half of Outcome targets were met, </w:t>
      </w:r>
      <w:r w:rsidR="00835DB1">
        <w:rPr>
          <w:rFonts w:cs="Arial"/>
          <w:sz w:val="22"/>
          <w:szCs w:val="22"/>
        </w:rPr>
        <w:t>strong progress was made across all Outcomes in 2023</w:t>
      </w:r>
      <w:r w:rsidR="003E761B">
        <w:rPr>
          <w:rFonts w:cs="Arial"/>
          <w:sz w:val="22"/>
          <w:szCs w:val="22"/>
        </w:rPr>
        <w:t xml:space="preserve">, </w:t>
      </w:r>
      <w:r w:rsidR="001C69E6">
        <w:rPr>
          <w:rFonts w:cs="Arial"/>
          <w:sz w:val="22"/>
          <w:szCs w:val="22"/>
        </w:rPr>
        <w:t xml:space="preserve">which put the Programme in a strong position going into 2024. Output scores were mostly </w:t>
      </w:r>
      <w:r w:rsidR="00AA5FEC">
        <w:rPr>
          <w:rFonts w:cs="Arial"/>
          <w:sz w:val="22"/>
          <w:szCs w:val="22"/>
        </w:rPr>
        <w:t>above target, or only slightly below, with particularly strong results in jobs supported and the gender ratio of end beneficiaries</w:t>
      </w:r>
      <w:r w:rsidR="00A40AED">
        <w:rPr>
          <w:rFonts w:cs="Arial"/>
          <w:sz w:val="22"/>
          <w:szCs w:val="22"/>
        </w:rPr>
        <w:t xml:space="preserve"> (53% female).</w:t>
      </w:r>
    </w:p>
    <w:p w14:paraId="21EC8914" w14:textId="77777777" w:rsidR="00E52418" w:rsidRDefault="00E52418" w:rsidP="75169474">
      <w:pPr>
        <w:rPr>
          <w:rFonts w:cs="Arial"/>
          <w:sz w:val="22"/>
          <w:szCs w:val="22"/>
        </w:rPr>
      </w:pPr>
    </w:p>
    <w:p w14:paraId="40DB52DE" w14:textId="4CE8E39F" w:rsidR="002C20BD" w:rsidRPr="008F1846" w:rsidRDefault="67540273" w:rsidP="75169474">
      <w:pPr>
        <w:rPr>
          <w:rFonts w:cs="Arial"/>
          <w:sz w:val="22"/>
          <w:szCs w:val="22"/>
        </w:rPr>
      </w:pPr>
      <w:r w:rsidRPr="4AB0716F">
        <w:rPr>
          <w:rFonts w:cs="Arial"/>
          <w:sz w:val="22"/>
          <w:szCs w:val="22"/>
        </w:rPr>
        <w:t xml:space="preserve">This is the </w:t>
      </w:r>
      <w:r w:rsidR="56907A96" w:rsidRPr="4AB0716F">
        <w:rPr>
          <w:rFonts w:cs="Arial"/>
          <w:sz w:val="22"/>
          <w:szCs w:val="22"/>
        </w:rPr>
        <w:t xml:space="preserve">fourth </w:t>
      </w:r>
      <w:r w:rsidR="00A32852">
        <w:rPr>
          <w:rFonts w:cs="Arial"/>
          <w:sz w:val="22"/>
          <w:szCs w:val="22"/>
        </w:rPr>
        <w:t>AR</w:t>
      </w:r>
      <w:r w:rsidRPr="4AB0716F">
        <w:rPr>
          <w:rFonts w:cs="Arial"/>
          <w:sz w:val="22"/>
          <w:szCs w:val="22"/>
        </w:rPr>
        <w:t xml:space="preserve"> of the </w:t>
      </w:r>
      <w:r w:rsidR="02EB18F8" w:rsidRPr="4AB0716F">
        <w:rPr>
          <w:rFonts w:cs="Arial"/>
          <w:sz w:val="22"/>
          <w:szCs w:val="22"/>
        </w:rPr>
        <w:t>F</w:t>
      </w:r>
      <w:r w:rsidRPr="4AB0716F">
        <w:rPr>
          <w:rFonts w:cs="Arial"/>
          <w:sz w:val="22"/>
          <w:szCs w:val="22"/>
        </w:rPr>
        <w:t xml:space="preserve">und and the </w:t>
      </w:r>
      <w:r w:rsidR="14C074AF" w:rsidRPr="4AB0716F">
        <w:rPr>
          <w:rFonts w:cs="Arial"/>
          <w:sz w:val="22"/>
          <w:szCs w:val="22"/>
        </w:rPr>
        <w:t xml:space="preserve">fourth </w:t>
      </w:r>
      <w:r w:rsidRPr="4AB0716F">
        <w:rPr>
          <w:rFonts w:cs="Arial"/>
          <w:sz w:val="22"/>
          <w:szCs w:val="22"/>
        </w:rPr>
        <w:t xml:space="preserve">year where </w:t>
      </w:r>
      <w:r w:rsidR="00AC2F8E" w:rsidRPr="4AB0716F">
        <w:rPr>
          <w:rFonts w:cs="Arial"/>
          <w:sz w:val="22"/>
          <w:szCs w:val="22"/>
        </w:rPr>
        <w:t>L</w:t>
      </w:r>
      <w:r w:rsidRPr="4AB0716F">
        <w:rPr>
          <w:rFonts w:cs="Arial"/>
          <w:sz w:val="22"/>
          <w:szCs w:val="22"/>
        </w:rPr>
        <w:t>og</w:t>
      </w:r>
      <w:r w:rsidR="00161792" w:rsidRPr="4AB0716F">
        <w:rPr>
          <w:rFonts w:cs="Arial"/>
          <w:sz w:val="22"/>
          <w:szCs w:val="22"/>
        </w:rPr>
        <w:t xml:space="preserve">ical </w:t>
      </w:r>
      <w:r w:rsidR="00AC2F8E" w:rsidRPr="4AB0716F">
        <w:rPr>
          <w:rFonts w:cs="Arial"/>
          <w:sz w:val="22"/>
          <w:szCs w:val="22"/>
        </w:rPr>
        <w:t>F</w:t>
      </w:r>
      <w:r w:rsidRPr="4AB0716F">
        <w:rPr>
          <w:rFonts w:cs="Arial"/>
          <w:sz w:val="22"/>
          <w:szCs w:val="22"/>
        </w:rPr>
        <w:t>rame</w:t>
      </w:r>
      <w:r w:rsidR="00161792" w:rsidRPr="4AB0716F">
        <w:rPr>
          <w:rFonts w:cs="Arial"/>
          <w:sz w:val="22"/>
          <w:szCs w:val="22"/>
        </w:rPr>
        <w:t>work (</w:t>
      </w:r>
      <w:proofErr w:type="spellStart"/>
      <w:r w:rsidR="00161792" w:rsidRPr="4AB0716F">
        <w:rPr>
          <w:rFonts w:cs="Arial"/>
          <w:sz w:val="22"/>
          <w:szCs w:val="22"/>
        </w:rPr>
        <w:t>logframe</w:t>
      </w:r>
      <w:proofErr w:type="spellEnd"/>
      <w:r w:rsidR="00161792" w:rsidRPr="4AB0716F">
        <w:rPr>
          <w:rFonts w:cs="Arial"/>
          <w:sz w:val="22"/>
          <w:szCs w:val="22"/>
        </w:rPr>
        <w:t>)</w:t>
      </w:r>
      <w:r w:rsidRPr="4AB0716F">
        <w:rPr>
          <w:rFonts w:cs="Arial"/>
          <w:sz w:val="22"/>
          <w:szCs w:val="22"/>
        </w:rPr>
        <w:t xml:space="preserve"> results are reported.</w:t>
      </w:r>
      <w:r w:rsidRPr="4AB0716F">
        <w:rPr>
          <w:rFonts w:cs="Arial"/>
          <w:color w:val="FF0000"/>
          <w:sz w:val="22"/>
          <w:szCs w:val="22"/>
        </w:rPr>
        <w:t xml:space="preserve"> </w:t>
      </w:r>
      <w:r w:rsidR="00041ABB" w:rsidRPr="4AB0716F">
        <w:rPr>
          <w:rFonts w:cs="Arial"/>
          <w:sz w:val="22"/>
          <w:szCs w:val="22"/>
        </w:rPr>
        <w:t xml:space="preserve">This is the </w:t>
      </w:r>
      <w:r w:rsidR="205EAE18" w:rsidRPr="4AB0716F">
        <w:rPr>
          <w:rFonts w:cs="Arial"/>
          <w:sz w:val="22"/>
          <w:szCs w:val="22"/>
        </w:rPr>
        <w:t xml:space="preserve">second </w:t>
      </w:r>
      <w:r w:rsidR="00041ABB" w:rsidRPr="4AB0716F">
        <w:rPr>
          <w:rFonts w:cs="Arial"/>
          <w:sz w:val="22"/>
          <w:szCs w:val="22"/>
        </w:rPr>
        <w:t xml:space="preserve">year </w:t>
      </w:r>
      <w:r w:rsidR="00BE70FF" w:rsidRPr="4AB0716F">
        <w:rPr>
          <w:rFonts w:cs="Arial"/>
          <w:sz w:val="22"/>
          <w:szCs w:val="22"/>
        </w:rPr>
        <w:t xml:space="preserve">where </w:t>
      </w:r>
      <w:r w:rsidR="00041ABB" w:rsidRPr="4AB0716F">
        <w:rPr>
          <w:rFonts w:cs="Arial"/>
          <w:sz w:val="22"/>
          <w:szCs w:val="22"/>
        </w:rPr>
        <w:t xml:space="preserve">milestones </w:t>
      </w:r>
      <w:r w:rsidR="00BE70FF" w:rsidRPr="4AB0716F">
        <w:rPr>
          <w:rFonts w:cs="Arial"/>
          <w:sz w:val="22"/>
          <w:szCs w:val="22"/>
        </w:rPr>
        <w:t xml:space="preserve">were </w:t>
      </w:r>
      <w:r w:rsidR="00041ABB" w:rsidRPr="4AB0716F">
        <w:rPr>
          <w:rFonts w:cs="Arial"/>
          <w:sz w:val="22"/>
          <w:szCs w:val="22"/>
        </w:rPr>
        <w:t>set in advance, though</w:t>
      </w:r>
      <w:r w:rsidR="00DF46EF" w:rsidRPr="4AB0716F">
        <w:rPr>
          <w:rFonts w:cs="Arial"/>
          <w:sz w:val="22"/>
          <w:szCs w:val="22"/>
        </w:rPr>
        <w:t xml:space="preserve"> </w:t>
      </w:r>
      <w:r w:rsidR="003A67D0" w:rsidRPr="00B67F63">
        <w:rPr>
          <w:rFonts w:cs="Arial"/>
          <w:sz w:val="22"/>
          <w:szCs w:val="22"/>
        </w:rPr>
        <w:t xml:space="preserve">because the portfolio </w:t>
      </w:r>
      <w:r w:rsidR="713E15B6" w:rsidRPr="00B67F63">
        <w:rPr>
          <w:rFonts w:cs="Arial"/>
          <w:sz w:val="22"/>
          <w:szCs w:val="22"/>
        </w:rPr>
        <w:t>was only completed in 2023</w:t>
      </w:r>
      <w:r w:rsidR="00C51030" w:rsidRPr="00B67F63">
        <w:rPr>
          <w:rFonts w:cs="Arial"/>
          <w:sz w:val="22"/>
          <w:szCs w:val="22"/>
        </w:rPr>
        <w:t xml:space="preserve"> some </w:t>
      </w:r>
      <w:r w:rsidR="000E0045" w:rsidRPr="00B67F63">
        <w:rPr>
          <w:rFonts w:cs="Arial"/>
          <w:sz w:val="22"/>
          <w:szCs w:val="22"/>
        </w:rPr>
        <w:t xml:space="preserve">context </w:t>
      </w:r>
      <w:r w:rsidR="00C51030" w:rsidRPr="00B67F63">
        <w:rPr>
          <w:rFonts w:cs="Arial"/>
          <w:sz w:val="22"/>
          <w:szCs w:val="22"/>
        </w:rPr>
        <w:t>is required when assessing progress</w:t>
      </w:r>
      <w:r w:rsidR="00B67F63">
        <w:rPr>
          <w:rFonts w:cs="Arial"/>
          <w:sz w:val="22"/>
          <w:szCs w:val="22"/>
        </w:rPr>
        <w:t xml:space="preserve"> and performance against milestones</w:t>
      </w:r>
      <w:r w:rsidR="005D294A" w:rsidRPr="00B67F63">
        <w:rPr>
          <w:rFonts w:cs="Arial"/>
          <w:sz w:val="22"/>
          <w:szCs w:val="22"/>
        </w:rPr>
        <w:t>.</w:t>
      </w:r>
      <w:r w:rsidR="00B67F63">
        <w:rPr>
          <w:rFonts w:cs="Arial"/>
          <w:sz w:val="22"/>
          <w:szCs w:val="22"/>
        </w:rPr>
        <w:t xml:space="preserve"> </w:t>
      </w:r>
      <w:r w:rsidR="005D294A" w:rsidRPr="00B67F63">
        <w:rPr>
          <w:rFonts w:cs="Arial"/>
          <w:sz w:val="22"/>
          <w:szCs w:val="22"/>
        </w:rPr>
        <w:t xml:space="preserve">Overall, progress across most </w:t>
      </w:r>
      <w:r w:rsidR="00E10516" w:rsidRPr="00B67F63">
        <w:rPr>
          <w:rFonts w:cs="Arial"/>
          <w:sz w:val="22"/>
          <w:szCs w:val="22"/>
        </w:rPr>
        <w:t xml:space="preserve">Outcomes and Outputs has been </w:t>
      </w:r>
      <w:r w:rsidR="009976B3" w:rsidRPr="00B67F63">
        <w:rPr>
          <w:rFonts w:cs="Arial"/>
          <w:sz w:val="22"/>
          <w:szCs w:val="22"/>
        </w:rPr>
        <w:t>in line with expectations</w:t>
      </w:r>
      <w:r w:rsidR="002A19B5" w:rsidRPr="00B67F63">
        <w:rPr>
          <w:rFonts w:cs="Arial"/>
          <w:sz w:val="22"/>
          <w:szCs w:val="22"/>
        </w:rPr>
        <w:t>, demonstrating good value for money in environmental outcomes for Defra’s programme.</w:t>
      </w:r>
      <w:r w:rsidR="004F13BC" w:rsidRPr="00B67F63">
        <w:rPr>
          <w:rFonts w:cs="Arial"/>
          <w:sz w:val="22"/>
          <w:szCs w:val="22"/>
        </w:rPr>
        <w:t xml:space="preserve"> Consequently, a score of </w:t>
      </w:r>
      <w:proofErr w:type="gramStart"/>
      <w:r w:rsidR="00B67F63" w:rsidRPr="00B67F63">
        <w:rPr>
          <w:rFonts w:cs="Arial"/>
          <w:sz w:val="22"/>
          <w:szCs w:val="22"/>
        </w:rPr>
        <w:t>A</w:t>
      </w:r>
      <w:proofErr w:type="gramEnd"/>
      <w:r w:rsidR="004F13BC" w:rsidRPr="00B67F63">
        <w:rPr>
          <w:rFonts w:cs="Arial"/>
          <w:sz w:val="22"/>
          <w:szCs w:val="22"/>
        </w:rPr>
        <w:t xml:space="preserve"> has been </w:t>
      </w:r>
      <w:r w:rsidR="00511008" w:rsidRPr="00B67F63">
        <w:rPr>
          <w:rFonts w:cs="Arial"/>
          <w:sz w:val="22"/>
          <w:szCs w:val="22"/>
        </w:rPr>
        <w:t xml:space="preserve">agreed </w:t>
      </w:r>
      <w:r w:rsidR="00946303" w:rsidRPr="00B67F63">
        <w:rPr>
          <w:rFonts w:cs="Arial"/>
          <w:sz w:val="22"/>
          <w:szCs w:val="22"/>
        </w:rPr>
        <w:t xml:space="preserve">with </w:t>
      </w:r>
      <w:proofErr w:type="spellStart"/>
      <w:r w:rsidR="00946303" w:rsidRPr="00B67F63">
        <w:rPr>
          <w:rFonts w:cs="Arial"/>
          <w:sz w:val="22"/>
          <w:szCs w:val="22"/>
        </w:rPr>
        <w:t>Mirova</w:t>
      </w:r>
      <w:proofErr w:type="spellEnd"/>
      <w:r w:rsidR="00946303" w:rsidRPr="00B67F63">
        <w:rPr>
          <w:rFonts w:cs="Arial"/>
          <w:sz w:val="22"/>
          <w:szCs w:val="22"/>
        </w:rPr>
        <w:t xml:space="preserve"> </w:t>
      </w:r>
      <w:r w:rsidR="00511008" w:rsidRPr="00B67F63">
        <w:rPr>
          <w:rFonts w:cs="Arial"/>
          <w:sz w:val="22"/>
          <w:szCs w:val="22"/>
        </w:rPr>
        <w:t>for the Fund’s progress in 202</w:t>
      </w:r>
      <w:r w:rsidR="17F47D6D" w:rsidRPr="00B67F63">
        <w:rPr>
          <w:rFonts w:cs="Arial"/>
          <w:sz w:val="22"/>
          <w:szCs w:val="22"/>
        </w:rPr>
        <w:t>3</w:t>
      </w:r>
      <w:r w:rsidR="00511008" w:rsidRPr="00B67F63">
        <w:rPr>
          <w:rFonts w:cs="Arial"/>
          <w:sz w:val="22"/>
          <w:szCs w:val="22"/>
        </w:rPr>
        <w:t>.</w:t>
      </w:r>
    </w:p>
    <w:p w14:paraId="46FE8E96" w14:textId="77777777" w:rsidR="000F5F51" w:rsidRPr="00AD3E2A" w:rsidRDefault="000F5F51" w:rsidP="000F5F51">
      <w:pPr>
        <w:spacing w:before="40" w:after="40"/>
        <w:rPr>
          <w:rFonts w:cs="Arial"/>
          <w:color w:val="FF0000"/>
          <w:sz w:val="22"/>
          <w:szCs w:val="22"/>
        </w:rPr>
      </w:pPr>
    </w:p>
    <w:p w14:paraId="2EB0F2F3" w14:textId="72CDDD22" w:rsidR="000F5F51" w:rsidRPr="00AD3E2A" w:rsidRDefault="000F5F51" w:rsidP="000F5F51">
      <w:pPr>
        <w:tabs>
          <w:tab w:val="left" w:pos="6915"/>
          <w:tab w:val="left" w:pos="9495"/>
        </w:tabs>
        <w:rPr>
          <w:rFonts w:cs="Arial"/>
          <w:b/>
          <w:bCs/>
          <w:color w:val="000000" w:themeColor="text1"/>
          <w:sz w:val="22"/>
          <w:szCs w:val="22"/>
        </w:rPr>
      </w:pPr>
      <w:r w:rsidRPr="47248147">
        <w:rPr>
          <w:rFonts w:cs="Arial"/>
          <w:b/>
          <w:bCs/>
          <w:color w:val="000000" w:themeColor="text1"/>
          <w:sz w:val="22"/>
          <w:szCs w:val="22"/>
        </w:rPr>
        <w:t>Progress on</w:t>
      </w:r>
      <w:r w:rsidR="007E5AFC" w:rsidRPr="47248147">
        <w:rPr>
          <w:rFonts w:cs="Arial"/>
          <w:b/>
          <w:bCs/>
          <w:color w:val="000000" w:themeColor="text1"/>
          <w:sz w:val="22"/>
          <w:szCs w:val="22"/>
        </w:rPr>
        <w:t xml:space="preserve"> 202</w:t>
      </w:r>
      <w:r w:rsidR="3012BF50" w:rsidRPr="47248147">
        <w:rPr>
          <w:rFonts w:cs="Arial"/>
          <w:b/>
          <w:bCs/>
          <w:color w:val="000000" w:themeColor="text1"/>
          <w:sz w:val="22"/>
          <w:szCs w:val="22"/>
        </w:rPr>
        <w:t>3</w:t>
      </w:r>
      <w:r w:rsidRPr="47248147">
        <w:rPr>
          <w:rFonts w:cs="Arial"/>
          <w:b/>
          <w:bCs/>
          <w:color w:val="000000" w:themeColor="text1"/>
          <w:sz w:val="22"/>
          <w:szCs w:val="22"/>
        </w:rPr>
        <w:t xml:space="preserve"> recommendations from previous AR: </w:t>
      </w:r>
    </w:p>
    <w:p w14:paraId="556521AD" w14:textId="1E20EA78" w:rsidR="000F5F51" w:rsidRPr="00AD3E2A" w:rsidRDefault="000F5F51" w:rsidP="000F5F51">
      <w:pPr>
        <w:tabs>
          <w:tab w:val="left" w:pos="6915"/>
          <w:tab w:val="left" w:pos="9495"/>
        </w:tabs>
        <w:rPr>
          <w:rFonts w:cs="Arial"/>
          <w:color w:val="000000" w:themeColor="text1"/>
          <w:sz w:val="22"/>
          <w:szCs w:val="22"/>
        </w:rPr>
      </w:pPr>
    </w:p>
    <w:p w14:paraId="0AFCCE13" w14:textId="3801EEBD" w:rsidR="74016666" w:rsidRPr="0013713E" w:rsidRDefault="74016666" w:rsidP="7A81D641">
      <w:pPr>
        <w:pStyle w:val="ListParagraph"/>
        <w:numPr>
          <w:ilvl w:val="0"/>
          <w:numId w:val="19"/>
        </w:numPr>
        <w:tabs>
          <w:tab w:val="left" w:pos="6915"/>
          <w:tab w:val="left" w:pos="9495"/>
        </w:tabs>
        <w:rPr>
          <w:rFonts w:eastAsia="Arial" w:cs="Arial"/>
          <w:color w:val="000000" w:themeColor="text1"/>
          <w:sz w:val="22"/>
          <w:szCs w:val="22"/>
        </w:rPr>
      </w:pPr>
      <w:r w:rsidRPr="57ED6F9D">
        <w:rPr>
          <w:rFonts w:eastAsia="Arial" w:cs="Arial"/>
          <w:color w:val="000000" w:themeColor="text1"/>
          <w:sz w:val="22"/>
          <w:szCs w:val="22"/>
        </w:rPr>
        <w:t>Seek more detailed information on who the beneficiaries of the programme are and how supporting them addresses poverty, including to what extent benefits are sustained and equitable within local communities.</w:t>
      </w:r>
      <w:r w:rsidR="0013713E" w:rsidRPr="57ED6F9D">
        <w:rPr>
          <w:rFonts w:eastAsia="Arial" w:cs="Arial"/>
          <w:color w:val="000000" w:themeColor="text1"/>
          <w:sz w:val="22"/>
          <w:szCs w:val="22"/>
        </w:rPr>
        <w:t xml:space="preserve"> </w:t>
      </w:r>
      <w:r w:rsidR="5A00B329" w:rsidRPr="00E52418">
        <w:rPr>
          <w:rFonts w:eastAsia="Arial" w:cs="Arial"/>
          <w:color w:val="000000" w:themeColor="text1"/>
          <w:sz w:val="22"/>
          <w:szCs w:val="22"/>
        </w:rPr>
        <w:t>(Complete).</w:t>
      </w:r>
    </w:p>
    <w:p w14:paraId="4372E2A6" w14:textId="082D5047" w:rsidR="3B76D57F" w:rsidRDefault="3B76D57F" w:rsidP="3B76D57F">
      <w:pPr>
        <w:pStyle w:val="ListParagraph"/>
        <w:tabs>
          <w:tab w:val="left" w:pos="6915"/>
          <w:tab w:val="left" w:pos="9495"/>
        </w:tabs>
        <w:ind w:left="360"/>
      </w:pPr>
    </w:p>
    <w:p w14:paraId="11CE7905" w14:textId="11E82EF5" w:rsidR="009915AE" w:rsidRDefault="00F174CD" w:rsidP="232F4AE3">
      <w:pPr>
        <w:pStyle w:val="ListParagraph"/>
        <w:tabs>
          <w:tab w:val="left" w:pos="6915"/>
          <w:tab w:val="left" w:pos="9495"/>
        </w:tabs>
        <w:ind w:left="360"/>
        <w:rPr>
          <w:i/>
          <w:iCs/>
          <w:color w:val="000000" w:themeColor="text1"/>
          <w:sz w:val="22"/>
          <w:szCs w:val="22"/>
          <w:lang w:eastAsia="en-US"/>
        </w:rPr>
      </w:pPr>
      <w:r w:rsidRPr="232F4AE3">
        <w:rPr>
          <w:i/>
          <w:iCs/>
          <w:color w:val="000000" w:themeColor="text1"/>
          <w:sz w:val="22"/>
          <w:szCs w:val="22"/>
          <w:lang w:eastAsia="en-US"/>
        </w:rPr>
        <w:t xml:space="preserve">The </w:t>
      </w:r>
      <w:r w:rsidR="424C8DD8" w:rsidRPr="232F4AE3">
        <w:rPr>
          <w:i/>
          <w:iCs/>
          <w:color w:val="000000" w:themeColor="text1"/>
          <w:sz w:val="22"/>
          <w:szCs w:val="22"/>
          <w:lang w:eastAsia="en-US"/>
        </w:rPr>
        <w:t>programme’s</w:t>
      </w:r>
      <w:r w:rsidR="00DA1AA3">
        <w:rPr>
          <w:i/>
          <w:iCs/>
          <w:color w:val="000000" w:themeColor="text1"/>
          <w:sz w:val="22"/>
          <w:szCs w:val="22"/>
          <w:lang w:eastAsia="en-US"/>
        </w:rPr>
        <w:t xml:space="preserve"> 106,000</w:t>
      </w:r>
      <w:r w:rsidR="424C8DD8" w:rsidRPr="232F4AE3">
        <w:rPr>
          <w:i/>
          <w:iCs/>
          <w:color w:val="000000" w:themeColor="text1"/>
          <w:sz w:val="22"/>
          <w:szCs w:val="22"/>
          <w:lang w:eastAsia="en-US"/>
        </w:rPr>
        <w:t xml:space="preserve"> </w:t>
      </w:r>
      <w:r w:rsidR="00547F31" w:rsidRPr="232F4AE3">
        <w:rPr>
          <w:i/>
          <w:iCs/>
          <w:color w:val="000000" w:themeColor="text1"/>
          <w:sz w:val="22"/>
          <w:szCs w:val="22"/>
          <w:lang w:eastAsia="en-US"/>
        </w:rPr>
        <w:t>beneficiaries</w:t>
      </w:r>
      <w:r w:rsidRPr="232F4AE3">
        <w:rPr>
          <w:i/>
          <w:iCs/>
          <w:color w:val="000000" w:themeColor="text1"/>
          <w:sz w:val="22"/>
          <w:szCs w:val="22"/>
          <w:lang w:eastAsia="en-US"/>
        </w:rPr>
        <w:t xml:space="preserve"> comprise</w:t>
      </w:r>
      <w:r w:rsidR="00B8AD09" w:rsidRPr="232F4AE3">
        <w:rPr>
          <w:i/>
          <w:iCs/>
          <w:color w:val="000000" w:themeColor="text1"/>
          <w:sz w:val="22"/>
          <w:szCs w:val="22"/>
          <w:lang w:eastAsia="en-US"/>
        </w:rPr>
        <w:t xml:space="preserve"> </w:t>
      </w:r>
      <w:r w:rsidRPr="232F4AE3">
        <w:rPr>
          <w:i/>
          <w:iCs/>
          <w:color w:val="000000" w:themeColor="text1"/>
          <w:sz w:val="22"/>
          <w:szCs w:val="22"/>
          <w:lang w:eastAsia="en-US"/>
        </w:rPr>
        <w:t xml:space="preserve">the </w:t>
      </w:r>
      <w:r w:rsidR="00547F31" w:rsidRPr="232F4AE3">
        <w:rPr>
          <w:i/>
          <w:iCs/>
          <w:color w:val="000000" w:themeColor="text1"/>
          <w:sz w:val="22"/>
          <w:szCs w:val="22"/>
          <w:lang w:eastAsia="en-US"/>
        </w:rPr>
        <w:t>employees</w:t>
      </w:r>
      <w:r w:rsidR="00EF6A8C" w:rsidRPr="232F4AE3">
        <w:rPr>
          <w:i/>
          <w:iCs/>
          <w:color w:val="000000" w:themeColor="text1"/>
          <w:sz w:val="22"/>
          <w:szCs w:val="22"/>
          <w:lang w:eastAsia="en-US"/>
        </w:rPr>
        <w:t xml:space="preserve"> of the invested companies as well as the contracted</w:t>
      </w:r>
      <w:r w:rsidRPr="232F4AE3">
        <w:rPr>
          <w:i/>
          <w:iCs/>
          <w:color w:val="000000" w:themeColor="text1"/>
          <w:sz w:val="22"/>
          <w:szCs w:val="22"/>
          <w:lang w:eastAsia="en-US"/>
        </w:rPr>
        <w:t xml:space="preserve"> farmers</w:t>
      </w:r>
      <w:r w:rsidR="00EF6A8C" w:rsidRPr="232F4AE3">
        <w:rPr>
          <w:i/>
          <w:iCs/>
          <w:color w:val="000000" w:themeColor="text1"/>
          <w:sz w:val="22"/>
          <w:szCs w:val="22"/>
          <w:lang w:eastAsia="en-US"/>
        </w:rPr>
        <w:t xml:space="preserve"> in </w:t>
      </w:r>
      <w:proofErr w:type="spellStart"/>
      <w:r w:rsidR="00EF6A8C" w:rsidRPr="232F4AE3">
        <w:rPr>
          <w:i/>
          <w:iCs/>
          <w:color w:val="000000" w:themeColor="text1"/>
          <w:sz w:val="22"/>
          <w:szCs w:val="22"/>
          <w:lang w:eastAsia="en-US"/>
        </w:rPr>
        <w:t>outgrower</w:t>
      </w:r>
      <w:proofErr w:type="spellEnd"/>
      <w:r w:rsidR="00EF6A8C" w:rsidRPr="232F4AE3">
        <w:rPr>
          <w:i/>
          <w:iCs/>
          <w:color w:val="000000" w:themeColor="text1"/>
          <w:sz w:val="22"/>
          <w:szCs w:val="22"/>
          <w:lang w:eastAsia="en-US"/>
        </w:rPr>
        <w:t xml:space="preserve"> scheme</w:t>
      </w:r>
      <w:r w:rsidR="009E5219" w:rsidRPr="232F4AE3">
        <w:rPr>
          <w:i/>
          <w:iCs/>
          <w:color w:val="000000" w:themeColor="text1"/>
          <w:sz w:val="22"/>
          <w:szCs w:val="22"/>
          <w:lang w:eastAsia="en-US"/>
        </w:rPr>
        <w:t>s</w:t>
      </w:r>
      <w:r w:rsidR="00A0049E">
        <w:rPr>
          <w:i/>
          <w:iCs/>
          <w:color w:val="000000" w:themeColor="text1"/>
          <w:sz w:val="22"/>
          <w:szCs w:val="22"/>
          <w:lang w:eastAsia="en-US"/>
        </w:rPr>
        <w:t xml:space="preserve">; in 2023 53% of </w:t>
      </w:r>
      <w:r w:rsidR="00DA1AA3">
        <w:rPr>
          <w:i/>
          <w:iCs/>
          <w:color w:val="000000" w:themeColor="text1"/>
          <w:sz w:val="22"/>
          <w:szCs w:val="22"/>
          <w:lang w:eastAsia="en-US"/>
        </w:rPr>
        <w:t>beneficiaries</w:t>
      </w:r>
      <w:r w:rsidR="00A0049E">
        <w:rPr>
          <w:i/>
          <w:iCs/>
          <w:color w:val="000000" w:themeColor="text1"/>
          <w:sz w:val="22"/>
          <w:szCs w:val="22"/>
          <w:lang w:eastAsia="en-US"/>
        </w:rPr>
        <w:t xml:space="preserve"> were women</w:t>
      </w:r>
      <w:r w:rsidR="009A07A2" w:rsidRPr="232F4AE3">
        <w:rPr>
          <w:i/>
          <w:iCs/>
          <w:color w:val="000000" w:themeColor="text1"/>
          <w:sz w:val="22"/>
          <w:szCs w:val="22"/>
          <w:lang w:eastAsia="en-US"/>
        </w:rPr>
        <w:t xml:space="preserve">. </w:t>
      </w:r>
      <w:r w:rsidR="007F7928">
        <w:rPr>
          <w:i/>
          <w:iCs/>
          <w:color w:val="000000" w:themeColor="text1"/>
          <w:sz w:val="22"/>
          <w:szCs w:val="22"/>
          <w:lang w:eastAsia="en-US"/>
        </w:rPr>
        <w:t>The number of i</w:t>
      </w:r>
      <w:r w:rsidR="00E6239A">
        <w:rPr>
          <w:i/>
          <w:iCs/>
          <w:color w:val="000000" w:themeColor="text1"/>
          <w:sz w:val="22"/>
          <w:szCs w:val="22"/>
          <w:lang w:eastAsia="en-US"/>
        </w:rPr>
        <w:t xml:space="preserve">ndirect beneficiaries </w:t>
      </w:r>
      <w:r w:rsidR="007F7928">
        <w:rPr>
          <w:i/>
          <w:iCs/>
          <w:color w:val="000000" w:themeColor="text1"/>
          <w:sz w:val="22"/>
          <w:szCs w:val="22"/>
          <w:lang w:eastAsia="en-US"/>
        </w:rPr>
        <w:t>is</w:t>
      </w:r>
      <w:r w:rsidR="00E6239A">
        <w:rPr>
          <w:i/>
          <w:iCs/>
          <w:color w:val="000000" w:themeColor="text1"/>
          <w:sz w:val="22"/>
          <w:szCs w:val="22"/>
          <w:lang w:eastAsia="en-US"/>
        </w:rPr>
        <w:t xml:space="preserve"> not </w:t>
      </w:r>
      <w:proofErr w:type="gramStart"/>
      <w:r w:rsidR="00E6239A">
        <w:rPr>
          <w:i/>
          <w:iCs/>
          <w:color w:val="000000" w:themeColor="text1"/>
          <w:sz w:val="22"/>
          <w:szCs w:val="22"/>
          <w:lang w:eastAsia="en-US"/>
        </w:rPr>
        <w:t>estimated</w:t>
      </w:r>
      <w:r w:rsidR="007F7928">
        <w:rPr>
          <w:i/>
          <w:iCs/>
          <w:color w:val="000000" w:themeColor="text1"/>
          <w:sz w:val="22"/>
          <w:szCs w:val="22"/>
          <w:lang w:eastAsia="en-US"/>
        </w:rPr>
        <w:t>, but</w:t>
      </w:r>
      <w:proofErr w:type="gramEnd"/>
      <w:r w:rsidR="007F7928">
        <w:rPr>
          <w:i/>
          <w:iCs/>
          <w:color w:val="000000" w:themeColor="text1"/>
          <w:sz w:val="22"/>
          <w:szCs w:val="22"/>
          <w:lang w:eastAsia="en-US"/>
        </w:rPr>
        <w:t xml:space="preserve"> would include </w:t>
      </w:r>
      <w:r w:rsidR="00E56F9B">
        <w:rPr>
          <w:i/>
          <w:iCs/>
          <w:color w:val="000000" w:themeColor="text1"/>
          <w:sz w:val="22"/>
          <w:szCs w:val="22"/>
          <w:lang w:eastAsia="en-US"/>
        </w:rPr>
        <w:t xml:space="preserve">all members of </w:t>
      </w:r>
      <w:r w:rsidR="007F7928">
        <w:rPr>
          <w:i/>
          <w:iCs/>
          <w:color w:val="000000" w:themeColor="text1"/>
          <w:sz w:val="22"/>
          <w:szCs w:val="22"/>
          <w:lang w:eastAsia="en-US"/>
        </w:rPr>
        <w:t xml:space="preserve">households where </w:t>
      </w:r>
      <w:r w:rsidR="00C40045">
        <w:rPr>
          <w:i/>
          <w:iCs/>
          <w:color w:val="000000" w:themeColor="text1"/>
          <w:sz w:val="22"/>
          <w:szCs w:val="22"/>
          <w:lang w:eastAsia="en-US"/>
        </w:rPr>
        <w:t>one or more adults are direct beneficiaries</w:t>
      </w:r>
      <w:r w:rsidR="00E91F15">
        <w:rPr>
          <w:i/>
          <w:iCs/>
          <w:color w:val="000000" w:themeColor="text1"/>
          <w:sz w:val="22"/>
          <w:szCs w:val="22"/>
          <w:lang w:eastAsia="en-US"/>
        </w:rPr>
        <w:t>,</w:t>
      </w:r>
      <w:r w:rsidR="00C40045">
        <w:rPr>
          <w:i/>
          <w:iCs/>
          <w:color w:val="000000" w:themeColor="text1"/>
          <w:sz w:val="22"/>
          <w:szCs w:val="22"/>
          <w:lang w:eastAsia="en-US"/>
        </w:rPr>
        <w:t xml:space="preserve"> and</w:t>
      </w:r>
      <w:r w:rsidR="00E91F15">
        <w:rPr>
          <w:i/>
          <w:iCs/>
          <w:color w:val="000000" w:themeColor="text1"/>
          <w:sz w:val="22"/>
          <w:szCs w:val="22"/>
          <w:lang w:eastAsia="en-US"/>
        </w:rPr>
        <w:t xml:space="preserve"> members of</w:t>
      </w:r>
      <w:r w:rsidR="00C40045">
        <w:rPr>
          <w:i/>
          <w:iCs/>
          <w:color w:val="000000" w:themeColor="text1"/>
          <w:sz w:val="22"/>
          <w:szCs w:val="22"/>
          <w:lang w:eastAsia="en-US"/>
        </w:rPr>
        <w:t xml:space="preserve"> the wider communities where projects are based</w:t>
      </w:r>
      <w:r w:rsidR="00E91F15">
        <w:rPr>
          <w:i/>
          <w:iCs/>
          <w:color w:val="000000" w:themeColor="text1"/>
          <w:sz w:val="22"/>
          <w:szCs w:val="22"/>
          <w:lang w:eastAsia="en-US"/>
        </w:rPr>
        <w:t xml:space="preserve"> and wealth is being created</w:t>
      </w:r>
      <w:r w:rsidR="007F7928">
        <w:rPr>
          <w:i/>
          <w:iCs/>
          <w:color w:val="000000" w:themeColor="text1"/>
          <w:sz w:val="22"/>
          <w:szCs w:val="22"/>
          <w:lang w:eastAsia="en-US"/>
        </w:rPr>
        <w:t xml:space="preserve">. </w:t>
      </w:r>
      <w:r w:rsidR="009B7FD4">
        <w:rPr>
          <w:i/>
          <w:iCs/>
          <w:color w:val="000000" w:themeColor="text1"/>
          <w:sz w:val="22"/>
          <w:szCs w:val="22"/>
          <w:lang w:eastAsia="en-US"/>
        </w:rPr>
        <w:t>M</w:t>
      </w:r>
      <w:r w:rsidR="002D12BD">
        <w:rPr>
          <w:i/>
          <w:iCs/>
          <w:color w:val="000000" w:themeColor="text1"/>
          <w:sz w:val="22"/>
          <w:szCs w:val="22"/>
          <w:lang w:eastAsia="en-US"/>
        </w:rPr>
        <w:t xml:space="preserve">ost of the farmers supported by the </w:t>
      </w:r>
      <w:r w:rsidR="006B3EFE">
        <w:rPr>
          <w:i/>
          <w:iCs/>
          <w:color w:val="000000" w:themeColor="text1"/>
          <w:sz w:val="22"/>
          <w:szCs w:val="22"/>
          <w:lang w:eastAsia="en-US"/>
        </w:rPr>
        <w:t xml:space="preserve">seven </w:t>
      </w:r>
      <w:r w:rsidR="002D12BD">
        <w:rPr>
          <w:i/>
          <w:iCs/>
          <w:color w:val="000000" w:themeColor="text1"/>
          <w:sz w:val="22"/>
          <w:szCs w:val="22"/>
          <w:lang w:eastAsia="en-US"/>
        </w:rPr>
        <w:t xml:space="preserve">projects that have a smallholder model are </w:t>
      </w:r>
      <w:r w:rsidR="008B7346">
        <w:rPr>
          <w:i/>
          <w:iCs/>
          <w:color w:val="000000" w:themeColor="text1"/>
          <w:sz w:val="22"/>
          <w:szCs w:val="22"/>
          <w:lang w:eastAsia="en-US"/>
        </w:rPr>
        <w:t>growing produce for sale on tiny areas of around one</w:t>
      </w:r>
      <w:r w:rsidR="009B7FD4">
        <w:rPr>
          <w:i/>
          <w:iCs/>
          <w:color w:val="000000" w:themeColor="text1"/>
          <w:sz w:val="22"/>
          <w:szCs w:val="22"/>
          <w:lang w:eastAsia="en-US"/>
        </w:rPr>
        <w:t>-three</w:t>
      </w:r>
      <w:r w:rsidR="008B7346">
        <w:rPr>
          <w:i/>
          <w:iCs/>
          <w:color w:val="000000" w:themeColor="text1"/>
          <w:sz w:val="22"/>
          <w:szCs w:val="22"/>
          <w:lang w:eastAsia="en-US"/>
        </w:rPr>
        <w:t xml:space="preserve"> hectare</w:t>
      </w:r>
      <w:r w:rsidR="009B7FD4">
        <w:rPr>
          <w:i/>
          <w:iCs/>
          <w:color w:val="000000" w:themeColor="text1"/>
          <w:sz w:val="22"/>
          <w:szCs w:val="22"/>
          <w:lang w:eastAsia="en-US"/>
        </w:rPr>
        <w:t xml:space="preserve">s each, </w:t>
      </w:r>
      <w:r w:rsidR="002B759D">
        <w:rPr>
          <w:i/>
          <w:iCs/>
          <w:color w:val="000000" w:themeColor="text1"/>
          <w:sz w:val="22"/>
          <w:szCs w:val="22"/>
          <w:lang w:eastAsia="en-US"/>
        </w:rPr>
        <w:t>which suggests that the Fund’s benefits are reaching some of</w:t>
      </w:r>
      <w:r w:rsidR="009B7FD4">
        <w:rPr>
          <w:i/>
          <w:iCs/>
          <w:color w:val="000000" w:themeColor="text1"/>
          <w:sz w:val="22"/>
          <w:szCs w:val="22"/>
          <w:lang w:eastAsia="en-US"/>
        </w:rPr>
        <w:t xml:space="preserve"> the poorest</w:t>
      </w:r>
      <w:r w:rsidR="002B759D">
        <w:rPr>
          <w:i/>
          <w:iCs/>
          <w:color w:val="000000" w:themeColor="text1"/>
          <w:sz w:val="22"/>
          <w:szCs w:val="22"/>
          <w:lang w:eastAsia="en-US"/>
        </w:rPr>
        <w:t xml:space="preserve"> households in the world</w:t>
      </w:r>
      <w:r w:rsidR="007E766D">
        <w:rPr>
          <w:i/>
          <w:iCs/>
          <w:color w:val="000000" w:themeColor="text1"/>
          <w:sz w:val="22"/>
          <w:szCs w:val="22"/>
          <w:lang w:eastAsia="en-US"/>
        </w:rPr>
        <w:t xml:space="preserve">, while other projects are creating </w:t>
      </w:r>
      <w:r w:rsidR="007C6925">
        <w:rPr>
          <w:i/>
          <w:iCs/>
          <w:color w:val="000000" w:themeColor="text1"/>
          <w:sz w:val="22"/>
          <w:szCs w:val="22"/>
          <w:lang w:eastAsia="en-US"/>
        </w:rPr>
        <w:t xml:space="preserve">secure </w:t>
      </w:r>
      <w:r w:rsidR="007E766D">
        <w:rPr>
          <w:i/>
          <w:iCs/>
          <w:color w:val="000000" w:themeColor="text1"/>
          <w:sz w:val="22"/>
          <w:szCs w:val="22"/>
          <w:lang w:eastAsia="en-US"/>
        </w:rPr>
        <w:t xml:space="preserve">jobs in </w:t>
      </w:r>
      <w:r w:rsidR="00396B1B">
        <w:rPr>
          <w:i/>
          <w:iCs/>
          <w:color w:val="000000" w:themeColor="text1"/>
          <w:sz w:val="22"/>
          <w:szCs w:val="22"/>
          <w:lang w:eastAsia="en-US"/>
        </w:rPr>
        <w:t>poor,</w:t>
      </w:r>
      <w:r w:rsidR="007C6925">
        <w:rPr>
          <w:i/>
          <w:iCs/>
          <w:color w:val="000000" w:themeColor="text1"/>
          <w:sz w:val="22"/>
          <w:szCs w:val="22"/>
          <w:lang w:eastAsia="en-US"/>
        </w:rPr>
        <w:t xml:space="preserve"> rural areas</w:t>
      </w:r>
      <w:r w:rsidR="002D12BD">
        <w:rPr>
          <w:i/>
          <w:iCs/>
          <w:color w:val="000000" w:themeColor="text1"/>
          <w:sz w:val="22"/>
          <w:szCs w:val="22"/>
          <w:lang w:eastAsia="en-US"/>
        </w:rPr>
        <w:t xml:space="preserve">. </w:t>
      </w:r>
      <w:r w:rsidR="007A13CB" w:rsidRPr="0076177D">
        <w:rPr>
          <w:rFonts w:eastAsia="Arial" w:cs="Arial"/>
          <w:i/>
          <w:iCs/>
          <w:sz w:val="22"/>
          <w:szCs w:val="22"/>
        </w:rPr>
        <w:t>All projects financed by the LDN Fund must identify and mitigate any risks to food security related to the project.</w:t>
      </w:r>
      <w:r w:rsidR="007A13CB">
        <w:rPr>
          <w:rFonts w:eastAsia="Arial" w:cs="Arial"/>
          <w:i/>
          <w:iCs/>
          <w:sz w:val="22"/>
          <w:szCs w:val="22"/>
        </w:rPr>
        <w:t xml:space="preserve"> </w:t>
      </w:r>
      <w:r w:rsidR="00D13A48">
        <w:rPr>
          <w:rFonts w:eastAsia="Arial" w:cs="Arial"/>
          <w:i/>
          <w:iCs/>
          <w:sz w:val="22"/>
          <w:szCs w:val="22"/>
        </w:rPr>
        <w:t>F</w:t>
      </w:r>
      <w:r w:rsidR="009A07A2" w:rsidRPr="232F4AE3">
        <w:rPr>
          <w:i/>
          <w:iCs/>
          <w:color w:val="000000" w:themeColor="text1"/>
          <w:sz w:val="22"/>
          <w:szCs w:val="22"/>
          <w:lang w:eastAsia="en-US"/>
        </w:rPr>
        <w:t xml:space="preserve">armers </w:t>
      </w:r>
      <w:r w:rsidR="00F17A46" w:rsidRPr="232F4AE3">
        <w:rPr>
          <w:i/>
          <w:iCs/>
          <w:color w:val="000000" w:themeColor="text1"/>
          <w:sz w:val="22"/>
          <w:szCs w:val="22"/>
          <w:lang w:eastAsia="en-US"/>
        </w:rPr>
        <w:t>receive</w:t>
      </w:r>
      <w:r w:rsidR="004D52E0" w:rsidRPr="232F4AE3">
        <w:rPr>
          <w:i/>
          <w:iCs/>
          <w:color w:val="000000" w:themeColor="text1"/>
          <w:sz w:val="22"/>
          <w:szCs w:val="22"/>
          <w:lang w:eastAsia="en-US"/>
        </w:rPr>
        <w:t xml:space="preserve"> trainin</w:t>
      </w:r>
      <w:r w:rsidR="001E31BD">
        <w:rPr>
          <w:i/>
          <w:iCs/>
          <w:color w:val="000000" w:themeColor="text1"/>
          <w:sz w:val="22"/>
          <w:szCs w:val="22"/>
          <w:lang w:eastAsia="en-US"/>
        </w:rPr>
        <w:t>g</w:t>
      </w:r>
      <w:r w:rsidR="004D52E0" w:rsidRPr="232F4AE3">
        <w:rPr>
          <w:i/>
          <w:iCs/>
          <w:color w:val="000000" w:themeColor="text1"/>
          <w:sz w:val="22"/>
          <w:szCs w:val="22"/>
          <w:lang w:eastAsia="en-US"/>
        </w:rPr>
        <w:t xml:space="preserve"> and </w:t>
      </w:r>
      <w:r w:rsidR="0048629B" w:rsidRPr="232F4AE3">
        <w:rPr>
          <w:i/>
          <w:iCs/>
          <w:color w:val="000000" w:themeColor="text1"/>
          <w:sz w:val="22"/>
          <w:szCs w:val="22"/>
          <w:lang w:eastAsia="en-US"/>
        </w:rPr>
        <w:t>income which increase</w:t>
      </w:r>
      <w:r w:rsidRPr="232F4AE3">
        <w:rPr>
          <w:i/>
          <w:iCs/>
          <w:color w:val="000000" w:themeColor="text1"/>
          <w:sz w:val="22"/>
          <w:szCs w:val="22"/>
          <w:lang w:eastAsia="en-US"/>
        </w:rPr>
        <w:t xml:space="preserve"> the resilience </w:t>
      </w:r>
      <w:r w:rsidR="00D13A48">
        <w:rPr>
          <w:i/>
          <w:iCs/>
          <w:color w:val="000000" w:themeColor="text1"/>
          <w:sz w:val="22"/>
          <w:szCs w:val="22"/>
          <w:lang w:eastAsia="en-US"/>
        </w:rPr>
        <w:t>of</w:t>
      </w:r>
      <w:r w:rsidRPr="232F4AE3">
        <w:rPr>
          <w:i/>
          <w:iCs/>
          <w:color w:val="000000" w:themeColor="text1"/>
          <w:sz w:val="22"/>
          <w:szCs w:val="22"/>
          <w:lang w:eastAsia="en-US"/>
        </w:rPr>
        <w:t xml:space="preserve"> livelihoods</w:t>
      </w:r>
      <w:r w:rsidR="00D5314D" w:rsidRPr="232F4AE3">
        <w:rPr>
          <w:i/>
          <w:iCs/>
          <w:color w:val="000000" w:themeColor="text1"/>
          <w:sz w:val="22"/>
          <w:szCs w:val="22"/>
          <w:lang w:eastAsia="en-US"/>
        </w:rPr>
        <w:t xml:space="preserve"> </w:t>
      </w:r>
      <w:r w:rsidR="009915AE" w:rsidRPr="232F4AE3">
        <w:rPr>
          <w:i/>
          <w:iCs/>
          <w:color w:val="000000" w:themeColor="text1"/>
          <w:sz w:val="22"/>
          <w:szCs w:val="22"/>
          <w:lang w:eastAsia="en-US"/>
        </w:rPr>
        <w:t xml:space="preserve">facing climate and economic uncertainties, </w:t>
      </w:r>
      <w:r w:rsidR="00747E6A" w:rsidRPr="232F4AE3">
        <w:rPr>
          <w:i/>
          <w:iCs/>
          <w:color w:val="000000" w:themeColor="text1"/>
          <w:sz w:val="22"/>
          <w:szCs w:val="22"/>
          <w:lang w:eastAsia="en-US"/>
        </w:rPr>
        <w:t>as detailed below</w:t>
      </w:r>
      <w:r w:rsidR="009915AE" w:rsidRPr="232F4AE3">
        <w:rPr>
          <w:i/>
          <w:iCs/>
          <w:color w:val="000000" w:themeColor="text1"/>
          <w:sz w:val="22"/>
          <w:szCs w:val="22"/>
          <w:lang w:eastAsia="en-US"/>
        </w:rPr>
        <w:t xml:space="preserve">: </w:t>
      </w:r>
    </w:p>
    <w:p w14:paraId="52A830C3" w14:textId="77777777" w:rsidR="009E5219" w:rsidRPr="00F7082F" w:rsidRDefault="009E5219" w:rsidP="009915AE">
      <w:pPr>
        <w:pStyle w:val="ListParagraph"/>
        <w:tabs>
          <w:tab w:val="left" w:pos="6915"/>
          <w:tab w:val="left" w:pos="9495"/>
        </w:tabs>
        <w:ind w:left="360"/>
        <w:rPr>
          <w:i/>
          <w:iCs/>
          <w:color w:val="000000" w:themeColor="text1"/>
          <w:sz w:val="22"/>
          <w:szCs w:val="22"/>
          <w:lang w:eastAsia="en-US"/>
        </w:rPr>
      </w:pPr>
    </w:p>
    <w:p w14:paraId="39057A80" w14:textId="6D3C87BB" w:rsidR="009915AE" w:rsidRPr="00F7082F" w:rsidRDefault="009915AE" w:rsidP="009915AE">
      <w:pPr>
        <w:pStyle w:val="ListParagraph"/>
        <w:tabs>
          <w:tab w:val="left" w:pos="6915"/>
          <w:tab w:val="left" w:pos="9495"/>
        </w:tabs>
        <w:ind w:left="360"/>
        <w:rPr>
          <w:i/>
          <w:iCs/>
          <w:color w:val="000000" w:themeColor="text1"/>
          <w:sz w:val="22"/>
          <w:szCs w:val="22"/>
          <w:lang w:eastAsia="en-US"/>
        </w:rPr>
      </w:pPr>
      <w:r w:rsidRPr="00F7082F">
        <w:rPr>
          <w:i/>
          <w:iCs/>
          <w:color w:val="000000" w:themeColor="text1"/>
          <w:sz w:val="22"/>
          <w:szCs w:val="22"/>
          <w:lang w:eastAsia="en-US"/>
        </w:rPr>
        <w:t>•</w:t>
      </w:r>
      <w:r>
        <w:rPr>
          <w:i/>
          <w:iCs/>
          <w:color w:val="000000" w:themeColor="text1"/>
          <w:sz w:val="22"/>
          <w:szCs w:val="22"/>
          <w:lang w:eastAsia="en-US"/>
        </w:rPr>
        <w:t xml:space="preserve"> </w:t>
      </w:r>
      <w:r w:rsidRPr="00F7082F">
        <w:rPr>
          <w:i/>
          <w:iCs/>
          <w:color w:val="000000" w:themeColor="text1"/>
          <w:sz w:val="22"/>
          <w:szCs w:val="22"/>
          <w:lang w:eastAsia="en-US"/>
        </w:rPr>
        <w:t xml:space="preserve">Climate-resilient farming methods </w:t>
      </w:r>
    </w:p>
    <w:p w14:paraId="2239577E" w14:textId="08538699" w:rsidR="009915AE" w:rsidRPr="00F7082F" w:rsidRDefault="009915AE" w:rsidP="00F7082F">
      <w:pPr>
        <w:pStyle w:val="ListParagraph"/>
        <w:tabs>
          <w:tab w:val="left" w:pos="6915"/>
          <w:tab w:val="left" w:pos="9495"/>
        </w:tabs>
        <w:rPr>
          <w:i/>
          <w:iCs/>
          <w:color w:val="000000" w:themeColor="text1"/>
          <w:sz w:val="22"/>
          <w:szCs w:val="22"/>
          <w:lang w:eastAsia="en-US"/>
        </w:rPr>
      </w:pPr>
      <w:r w:rsidRPr="00F7082F">
        <w:rPr>
          <w:i/>
          <w:iCs/>
          <w:color w:val="000000" w:themeColor="text1"/>
          <w:sz w:val="22"/>
          <w:szCs w:val="22"/>
          <w:lang w:eastAsia="en-US"/>
        </w:rPr>
        <w:lastRenderedPageBreak/>
        <w:t>o</w:t>
      </w:r>
      <w:r w:rsidR="004D52E0">
        <w:rPr>
          <w:i/>
          <w:iCs/>
          <w:color w:val="000000" w:themeColor="text1"/>
          <w:sz w:val="22"/>
          <w:szCs w:val="22"/>
          <w:lang w:eastAsia="en-US"/>
        </w:rPr>
        <w:t xml:space="preserve"> </w:t>
      </w:r>
      <w:r w:rsidRPr="00F7082F">
        <w:rPr>
          <w:i/>
          <w:iCs/>
          <w:color w:val="000000" w:themeColor="text1"/>
          <w:sz w:val="22"/>
          <w:szCs w:val="22"/>
          <w:lang w:eastAsia="en-US"/>
        </w:rPr>
        <w:t xml:space="preserve">Diversification of agricultural production to reduce climate risk (growing a mix of different crops and different varieties of each crop) </w:t>
      </w:r>
    </w:p>
    <w:p w14:paraId="0CDE5232" w14:textId="198C1468" w:rsidR="009915AE" w:rsidRPr="00F7082F" w:rsidRDefault="009915AE" w:rsidP="00F7082F">
      <w:pPr>
        <w:pStyle w:val="ListParagraph"/>
        <w:tabs>
          <w:tab w:val="left" w:pos="6915"/>
          <w:tab w:val="left" w:pos="9495"/>
        </w:tabs>
        <w:rPr>
          <w:i/>
          <w:iCs/>
          <w:color w:val="000000" w:themeColor="text1"/>
          <w:sz w:val="22"/>
          <w:szCs w:val="22"/>
          <w:lang w:eastAsia="en-US"/>
        </w:rPr>
      </w:pPr>
      <w:r w:rsidRPr="00F7082F">
        <w:rPr>
          <w:i/>
          <w:iCs/>
          <w:color w:val="000000" w:themeColor="text1"/>
          <w:sz w:val="22"/>
          <w:szCs w:val="22"/>
          <w:lang w:eastAsia="en-US"/>
        </w:rPr>
        <w:t>o</w:t>
      </w:r>
      <w:r w:rsidR="00D5314D">
        <w:rPr>
          <w:i/>
          <w:iCs/>
          <w:color w:val="000000" w:themeColor="text1"/>
          <w:sz w:val="22"/>
          <w:szCs w:val="22"/>
          <w:lang w:eastAsia="en-US"/>
        </w:rPr>
        <w:t xml:space="preserve"> </w:t>
      </w:r>
      <w:r w:rsidRPr="00F7082F">
        <w:rPr>
          <w:i/>
          <w:iCs/>
          <w:color w:val="000000" w:themeColor="text1"/>
          <w:sz w:val="22"/>
          <w:szCs w:val="22"/>
          <w:lang w:eastAsia="en-US"/>
        </w:rPr>
        <w:t xml:space="preserve">Promotion of heat- and drought-resistant crops and water saving irrigation methods to withstand climate change </w:t>
      </w:r>
    </w:p>
    <w:p w14:paraId="4803FE56" w14:textId="7D5D424D" w:rsidR="009915AE" w:rsidRDefault="009915AE">
      <w:pPr>
        <w:pStyle w:val="ListParagraph"/>
        <w:tabs>
          <w:tab w:val="left" w:pos="6915"/>
          <w:tab w:val="left" w:pos="9495"/>
        </w:tabs>
        <w:rPr>
          <w:i/>
          <w:iCs/>
          <w:color w:val="000000" w:themeColor="text1"/>
          <w:sz w:val="22"/>
          <w:szCs w:val="22"/>
          <w:lang w:eastAsia="en-US"/>
        </w:rPr>
      </w:pPr>
      <w:r w:rsidRPr="00F7082F">
        <w:rPr>
          <w:i/>
          <w:iCs/>
          <w:color w:val="000000" w:themeColor="text1"/>
          <w:sz w:val="22"/>
          <w:szCs w:val="22"/>
          <w:lang w:eastAsia="en-US"/>
        </w:rPr>
        <w:t>o</w:t>
      </w:r>
      <w:r w:rsidR="00D5314D">
        <w:rPr>
          <w:i/>
          <w:iCs/>
          <w:color w:val="000000" w:themeColor="text1"/>
          <w:sz w:val="22"/>
          <w:szCs w:val="22"/>
          <w:lang w:eastAsia="en-US"/>
        </w:rPr>
        <w:t xml:space="preserve"> </w:t>
      </w:r>
      <w:r w:rsidRPr="00F7082F">
        <w:rPr>
          <w:i/>
          <w:iCs/>
          <w:color w:val="000000" w:themeColor="text1"/>
          <w:sz w:val="22"/>
          <w:szCs w:val="22"/>
          <w:lang w:eastAsia="en-US"/>
        </w:rPr>
        <w:t>Culture and distribution of climate-resilient seeds</w:t>
      </w:r>
      <w:r w:rsidR="0013713E">
        <w:rPr>
          <w:i/>
          <w:iCs/>
          <w:color w:val="000000" w:themeColor="text1"/>
          <w:sz w:val="22"/>
          <w:szCs w:val="22"/>
          <w:lang w:eastAsia="en-US"/>
        </w:rPr>
        <w:t>.</w:t>
      </w:r>
    </w:p>
    <w:p w14:paraId="729A4933" w14:textId="77777777" w:rsidR="009E5219" w:rsidRPr="00F7082F" w:rsidRDefault="009E5219" w:rsidP="009E5219">
      <w:pPr>
        <w:pStyle w:val="ListParagraph"/>
        <w:tabs>
          <w:tab w:val="left" w:pos="6915"/>
          <w:tab w:val="left" w:pos="9495"/>
        </w:tabs>
        <w:rPr>
          <w:i/>
          <w:iCs/>
          <w:color w:val="000000" w:themeColor="text1"/>
          <w:sz w:val="22"/>
          <w:szCs w:val="22"/>
          <w:lang w:eastAsia="en-US"/>
        </w:rPr>
      </w:pPr>
    </w:p>
    <w:p w14:paraId="5C410F98" w14:textId="623AA498" w:rsidR="009915AE" w:rsidRPr="00F7082F" w:rsidRDefault="009915AE" w:rsidP="009915AE">
      <w:pPr>
        <w:pStyle w:val="ListParagraph"/>
        <w:tabs>
          <w:tab w:val="left" w:pos="6915"/>
          <w:tab w:val="left" w:pos="9495"/>
        </w:tabs>
        <w:ind w:left="360"/>
        <w:rPr>
          <w:i/>
          <w:iCs/>
          <w:color w:val="000000" w:themeColor="text1"/>
          <w:sz w:val="22"/>
          <w:szCs w:val="22"/>
          <w:lang w:eastAsia="en-US"/>
        </w:rPr>
      </w:pPr>
      <w:r w:rsidRPr="00F7082F">
        <w:rPr>
          <w:i/>
          <w:iCs/>
          <w:color w:val="000000" w:themeColor="text1"/>
          <w:sz w:val="22"/>
          <w:szCs w:val="22"/>
          <w:lang w:eastAsia="en-US"/>
        </w:rPr>
        <w:t>•</w:t>
      </w:r>
      <w:r w:rsidR="00D5314D">
        <w:rPr>
          <w:i/>
          <w:iCs/>
          <w:color w:val="000000" w:themeColor="text1"/>
          <w:sz w:val="22"/>
          <w:szCs w:val="22"/>
          <w:lang w:eastAsia="en-US"/>
        </w:rPr>
        <w:t xml:space="preserve"> </w:t>
      </w:r>
      <w:r w:rsidRPr="00F7082F">
        <w:rPr>
          <w:i/>
          <w:iCs/>
          <w:color w:val="000000" w:themeColor="text1"/>
          <w:sz w:val="22"/>
          <w:szCs w:val="22"/>
          <w:lang w:eastAsia="en-US"/>
        </w:rPr>
        <w:t xml:space="preserve">Economical resilience </w:t>
      </w:r>
    </w:p>
    <w:p w14:paraId="470018B4" w14:textId="7C23586C" w:rsidR="009915AE" w:rsidRPr="00F7082F" w:rsidRDefault="009915AE" w:rsidP="00F7082F">
      <w:pPr>
        <w:pStyle w:val="ListParagraph"/>
        <w:tabs>
          <w:tab w:val="left" w:pos="6915"/>
          <w:tab w:val="left" w:pos="9495"/>
        </w:tabs>
        <w:rPr>
          <w:i/>
          <w:iCs/>
          <w:color w:val="000000" w:themeColor="text1"/>
          <w:sz w:val="22"/>
          <w:szCs w:val="22"/>
          <w:lang w:eastAsia="en-US"/>
        </w:rPr>
      </w:pPr>
      <w:r w:rsidRPr="00F7082F">
        <w:rPr>
          <w:i/>
          <w:iCs/>
          <w:color w:val="000000" w:themeColor="text1"/>
          <w:sz w:val="22"/>
          <w:szCs w:val="22"/>
          <w:lang w:eastAsia="en-US"/>
        </w:rPr>
        <w:t>o</w:t>
      </w:r>
      <w:r w:rsidR="00D5314D">
        <w:rPr>
          <w:i/>
          <w:iCs/>
          <w:color w:val="000000" w:themeColor="text1"/>
          <w:sz w:val="22"/>
          <w:szCs w:val="22"/>
          <w:lang w:eastAsia="en-US"/>
        </w:rPr>
        <w:t xml:space="preserve"> </w:t>
      </w:r>
      <w:r w:rsidRPr="00F7082F">
        <w:rPr>
          <w:i/>
          <w:iCs/>
          <w:color w:val="000000" w:themeColor="text1"/>
          <w:sz w:val="22"/>
          <w:szCs w:val="22"/>
          <w:lang w:eastAsia="en-US"/>
        </w:rPr>
        <w:t xml:space="preserve">Increase in smallholders' productivity and income </w:t>
      </w:r>
    </w:p>
    <w:p w14:paraId="69C08D1A" w14:textId="715499EB" w:rsidR="009915AE" w:rsidRPr="00F7082F" w:rsidRDefault="009915AE" w:rsidP="00F7082F">
      <w:pPr>
        <w:pStyle w:val="ListParagraph"/>
        <w:tabs>
          <w:tab w:val="left" w:pos="6915"/>
          <w:tab w:val="left" w:pos="9495"/>
        </w:tabs>
        <w:rPr>
          <w:i/>
          <w:iCs/>
          <w:color w:val="000000" w:themeColor="text1"/>
          <w:sz w:val="22"/>
          <w:szCs w:val="22"/>
          <w:lang w:eastAsia="en-US"/>
        </w:rPr>
      </w:pPr>
      <w:r w:rsidRPr="00F7082F">
        <w:rPr>
          <w:i/>
          <w:iCs/>
          <w:color w:val="000000" w:themeColor="text1"/>
          <w:sz w:val="22"/>
          <w:szCs w:val="22"/>
          <w:lang w:eastAsia="en-US"/>
        </w:rPr>
        <w:t>o</w:t>
      </w:r>
      <w:r w:rsidR="00D5314D">
        <w:rPr>
          <w:i/>
          <w:iCs/>
          <w:color w:val="000000" w:themeColor="text1"/>
          <w:sz w:val="22"/>
          <w:szCs w:val="22"/>
          <w:lang w:eastAsia="en-US"/>
        </w:rPr>
        <w:t xml:space="preserve"> </w:t>
      </w:r>
      <w:r w:rsidRPr="00F7082F">
        <w:rPr>
          <w:i/>
          <w:iCs/>
          <w:color w:val="000000" w:themeColor="text1"/>
          <w:sz w:val="22"/>
          <w:szCs w:val="22"/>
          <w:lang w:eastAsia="en-US"/>
        </w:rPr>
        <w:t>Improvement of farmers’ capacity to adapt to ongoing climate change</w:t>
      </w:r>
    </w:p>
    <w:p w14:paraId="17D8CD46" w14:textId="66C02968" w:rsidR="009915AE" w:rsidRDefault="009915AE" w:rsidP="1E15B0E9">
      <w:pPr>
        <w:pStyle w:val="ListParagraph"/>
        <w:tabs>
          <w:tab w:val="left" w:pos="6915"/>
          <w:tab w:val="left" w:pos="9495"/>
        </w:tabs>
        <w:rPr>
          <w:i/>
          <w:iCs/>
          <w:color w:val="000000" w:themeColor="text1"/>
          <w:sz w:val="22"/>
          <w:szCs w:val="22"/>
          <w:lang w:eastAsia="en-US"/>
        </w:rPr>
      </w:pPr>
      <w:r w:rsidRPr="1E15B0E9">
        <w:rPr>
          <w:i/>
          <w:iCs/>
          <w:color w:val="000000" w:themeColor="text1"/>
          <w:sz w:val="22"/>
          <w:szCs w:val="22"/>
          <w:lang w:eastAsia="en-US"/>
        </w:rPr>
        <w:t>o</w:t>
      </w:r>
      <w:r w:rsidR="00D5314D" w:rsidRPr="1E15B0E9">
        <w:rPr>
          <w:i/>
          <w:iCs/>
          <w:color w:val="000000" w:themeColor="text1"/>
          <w:sz w:val="22"/>
          <w:szCs w:val="22"/>
          <w:lang w:eastAsia="en-US"/>
        </w:rPr>
        <w:t xml:space="preserve"> </w:t>
      </w:r>
      <w:r w:rsidRPr="1E15B0E9">
        <w:rPr>
          <w:i/>
          <w:iCs/>
          <w:color w:val="000000" w:themeColor="text1"/>
          <w:sz w:val="22"/>
          <w:szCs w:val="22"/>
          <w:lang w:eastAsia="en-US"/>
        </w:rPr>
        <w:t xml:space="preserve">Facilitating </w:t>
      </w:r>
      <w:r w:rsidR="00126C05">
        <w:rPr>
          <w:i/>
          <w:iCs/>
          <w:color w:val="000000" w:themeColor="text1"/>
          <w:sz w:val="22"/>
          <w:szCs w:val="22"/>
          <w:lang w:eastAsia="en-US"/>
        </w:rPr>
        <w:t xml:space="preserve">market </w:t>
      </w:r>
      <w:r w:rsidRPr="1E15B0E9">
        <w:rPr>
          <w:i/>
          <w:iCs/>
          <w:color w:val="000000" w:themeColor="text1"/>
          <w:sz w:val="22"/>
          <w:szCs w:val="22"/>
          <w:lang w:eastAsia="en-US"/>
        </w:rPr>
        <w:t>access</w:t>
      </w:r>
      <w:r w:rsidR="0013713E" w:rsidRPr="1E15B0E9">
        <w:rPr>
          <w:i/>
          <w:iCs/>
          <w:color w:val="000000" w:themeColor="text1"/>
          <w:sz w:val="22"/>
          <w:szCs w:val="22"/>
          <w:lang w:eastAsia="en-US"/>
        </w:rPr>
        <w:t>.</w:t>
      </w:r>
    </w:p>
    <w:p w14:paraId="59753D11" w14:textId="4877525E" w:rsidR="2520AE62" w:rsidRDefault="2520AE62" w:rsidP="29BB702F">
      <w:pPr>
        <w:ind w:left="363"/>
        <w:rPr>
          <w:rFonts w:eastAsia="Arial" w:cs="Arial"/>
          <w:i/>
          <w:iCs/>
          <w:color w:val="4472C4" w:themeColor="accent1"/>
          <w:sz w:val="22"/>
          <w:szCs w:val="22"/>
        </w:rPr>
      </w:pPr>
      <w:r w:rsidRPr="29BB702F">
        <w:rPr>
          <w:rFonts w:eastAsia="Arial" w:cs="Arial"/>
          <w:i/>
          <w:iCs/>
          <w:sz w:val="22"/>
          <w:szCs w:val="22"/>
        </w:rPr>
        <w:t xml:space="preserve">The capacity building </w:t>
      </w:r>
      <w:r w:rsidR="28AB4C7C" w:rsidRPr="29BB702F">
        <w:rPr>
          <w:rFonts w:eastAsia="Arial" w:cs="Arial"/>
          <w:i/>
          <w:iCs/>
          <w:sz w:val="22"/>
          <w:szCs w:val="22"/>
        </w:rPr>
        <w:t xml:space="preserve">provided by the fund </w:t>
      </w:r>
      <w:r w:rsidRPr="29BB702F">
        <w:rPr>
          <w:rFonts w:eastAsia="Arial" w:cs="Arial"/>
          <w:i/>
          <w:iCs/>
          <w:sz w:val="22"/>
          <w:szCs w:val="22"/>
        </w:rPr>
        <w:t xml:space="preserve">on </w:t>
      </w:r>
      <w:r w:rsidR="438CF419" w:rsidRPr="29BB702F">
        <w:rPr>
          <w:rFonts w:eastAsia="Arial" w:cs="Arial"/>
          <w:i/>
          <w:iCs/>
          <w:sz w:val="22"/>
          <w:szCs w:val="22"/>
        </w:rPr>
        <w:t xml:space="preserve">developing strong </w:t>
      </w:r>
      <w:r w:rsidRPr="29BB702F">
        <w:rPr>
          <w:rFonts w:eastAsia="Arial" w:cs="Arial"/>
          <w:i/>
          <w:iCs/>
          <w:sz w:val="22"/>
          <w:szCs w:val="22"/>
        </w:rPr>
        <w:t xml:space="preserve">agricultural practices and </w:t>
      </w:r>
      <w:r w:rsidR="76A90AFE" w:rsidRPr="29BB702F">
        <w:rPr>
          <w:rFonts w:eastAsia="Arial" w:cs="Arial"/>
          <w:i/>
          <w:iCs/>
          <w:sz w:val="22"/>
          <w:szCs w:val="22"/>
        </w:rPr>
        <w:t xml:space="preserve">securing key </w:t>
      </w:r>
      <w:r w:rsidRPr="29BB702F">
        <w:rPr>
          <w:rFonts w:eastAsia="Arial" w:cs="Arial"/>
          <w:i/>
          <w:iCs/>
          <w:sz w:val="22"/>
          <w:szCs w:val="22"/>
        </w:rPr>
        <w:t xml:space="preserve">certifications will </w:t>
      </w:r>
      <w:r w:rsidR="68019B85" w:rsidRPr="29BB702F">
        <w:rPr>
          <w:rFonts w:eastAsia="Arial" w:cs="Arial"/>
          <w:i/>
          <w:iCs/>
          <w:sz w:val="22"/>
          <w:szCs w:val="22"/>
        </w:rPr>
        <w:t xml:space="preserve">allow for benefits </w:t>
      </w:r>
      <w:r w:rsidR="15B3E92A" w:rsidRPr="29BB702F">
        <w:rPr>
          <w:rFonts w:eastAsia="Arial" w:cs="Arial"/>
          <w:i/>
          <w:iCs/>
          <w:sz w:val="22"/>
          <w:szCs w:val="22"/>
        </w:rPr>
        <w:t xml:space="preserve">to be </w:t>
      </w:r>
      <w:r w:rsidRPr="29BB702F">
        <w:rPr>
          <w:rFonts w:eastAsia="Arial" w:cs="Arial"/>
          <w:i/>
          <w:iCs/>
          <w:sz w:val="22"/>
          <w:szCs w:val="22"/>
        </w:rPr>
        <w:t xml:space="preserve">sustained </w:t>
      </w:r>
      <w:r w:rsidR="4B90A0BD" w:rsidRPr="29BB702F">
        <w:rPr>
          <w:rFonts w:eastAsia="Arial" w:cs="Arial"/>
          <w:i/>
          <w:iCs/>
          <w:sz w:val="22"/>
          <w:szCs w:val="22"/>
        </w:rPr>
        <w:t xml:space="preserve">for </w:t>
      </w:r>
      <w:r w:rsidRPr="29BB702F">
        <w:rPr>
          <w:rFonts w:eastAsia="Arial" w:cs="Arial"/>
          <w:i/>
          <w:iCs/>
          <w:sz w:val="22"/>
          <w:szCs w:val="22"/>
        </w:rPr>
        <w:t xml:space="preserve">at </w:t>
      </w:r>
      <w:r w:rsidR="6BF7A039" w:rsidRPr="29BB702F">
        <w:rPr>
          <w:rFonts w:eastAsia="Arial" w:cs="Arial"/>
          <w:i/>
          <w:iCs/>
          <w:sz w:val="22"/>
          <w:szCs w:val="22"/>
        </w:rPr>
        <w:t xml:space="preserve">a </w:t>
      </w:r>
      <w:r w:rsidR="6DFDBEAE" w:rsidRPr="29BB702F">
        <w:rPr>
          <w:rFonts w:eastAsia="Arial" w:cs="Arial"/>
          <w:i/>
          <w:iCs/>
          <w:sz w:val="22"/>
          <w:szCs w:val="22"/>
        </w:rPr>
        <w:t>m</w:t>
      </w:r>
      <w:r w:rsidR="62339482" w:rsidRPr="29BB702F">
        <w:rPr>
          <w:rFonts w:eastAsia="Arial" w:cs="Arial"/>
          <w:i/>
          <w:iCs/>
          <w:sz w:val="22"/>
          <w:szCs w:val="22"/>
        </w:rPr>
        <w:t>inimum,</w:t>
      </w:r>
      <w:r w:rsidRPr="29BB702F">
        <w:rPr>
          <w:rFonts w:eastAsia="Arial" w:cs="Arial"/>
          <w:i/>
          <w:iCs/>
          <w:sz w:val="22"/>
          <w:szCs w:val="22"/>
        </w:rPr>
        <w:t xml:space="preserve"> the time of the investment</w:t>
      </w:r>
      <w:r w:rsidR="47C66643" w:rsidRPr="29BB702F">
        <w:rPr>
          <w:rFonts w:eastAsia="Arial" w:cs="Arial"/>
          <w:i/>
          <w:iCs/>
          <w:sz w:val="22"/>
          <w:szCs w:val="22"/>
        </w:rPr>
        <w:t xml:space="preserve">. </w:t>
      </w:r>
      <w:r w:rsidR="2F0E51E3" w:rsidRPr="29BB702F">
        <w:rPr>
          <w:rFonts w:eastAsia="Arial" w:cs="Arial"/>
          <w:i/>
          <w:iCs/>
          <w:sz w:val="22"/>
          <w:szCs w:val="22"/>
        </w:rPr>
        <w:t xml:space="preserve">New </w:t>
      </w:r>
      <w:r w:rsidR="49D13785" w:rsidRPr="29BB702F">
        <w:rPr>
          <w:rFonts w:eastAsia="Arial" w:cs="Arial"/>
          <w:i/>
          <w:iCs/>
          <w:sz w:val="22"/>
          <w:szCs w:val="22"/>
        </w:rPr>
        <w:t>a</w:t>
      </w:r>
      <w:r w:rsidRPr="29BB702F">
        <w:rPr>
          <w:rFonts w:eastAsia="Arial" w:cs="Arial"/>
          <w:i/>
          <w:iCs/>
          <w:sz w:val="22"/>
          <w:szCs w:val="22"/>
        </w:rPr>
        <w:t xml:space="preserve">ccess </w:t>
      </w:r>
      <w:r w:rsidR="1422E337" w:rsidRPr="29BB702F">
        <w:rPr>
          <w:rFonts w:eastAsia="Arial" w:cs="Arial"/>
          <w:i/>
          <w:iCs/>
          <w:sz w:val="22"/>
          <w:szCs w:val="22"/>
        </w:rPr>
        <w:t>and</w:t>
      </w:r>
      <w:r w:rsidRPr="29BB702F">
        <w:rPr>
          <w:rFonts w:eastAsia="Arial" w:cs="Arial"/>
          <w:i/>
          <w:iCs/>
          <w:sz w:val="22"/>
          <w:szCs w:val="22"/>
        </w:rPr>
        <w:t xml:space="preserve"> </w:t>
      </w:r>
      <w:r w:rsidR="1422E337" w:rsidRPr="29BB702F">
        <w:rPr>
          <w:rFonts w:eastAsia="Arial" w:cs="Arial"/>
          <w:i/>
          <w:iCs/>
          <w:sz w:val="22"/>
          <w:szCs w:val="22"/>
        </w:rPr>
        <w:t xml:space="preserve">integration within </w:t>
      </w:r>
      <w:r w:rsidRPr="29BB702F">
        <w:rPr>
          <w:rFonts w:eastAsia="Arial" w:cs="Arial"/>
          <w:i/>
          <w:iCs/>
          <w:sz w:val="22"/>
          <w:szCs w:val="22"/>
        </w:rPr>
        <w:t xml:space="preserve">export markets </w:t>
      </w:r>
      <w:r w:rsidR="586AF6C2" w:rsidRPr="29BB702F">
        <w:rPr>
          <w:rFonts w:eastAsia="Arial" w:cs="Arial"/>
          <w:i/>
          <w:iCs/>
          <w:sz w:val="22"/>
          <w:szCs w:val="22"/>
        </w:rPr>
        <w:t>will also allow for</w:t>
      </w:r>
      <w:r w:rsidR="21516055" w:rsidRPr="29BB702F">
        <w:rPr>
          <w:rFonts w:eastAsia="Arial" w:cs="Arial"/>
          <w:i/>
          <w:iCs/>
          <w:sz w:val="22"/>
          <w:szCs w:val="22"/>
        </w:rPr>
        <w:t xml:space="preserve"> programme </w:t>
      </w:r>
      <w:r w:rsidR="586AF6C2" w:rsidRPr="29BB702F">
        <w:rPr>
          <w:rFonts w:eastAsia="Arial" w:cs="Arial"/>
          <w:i/>
          <w:iCs/>
          <w:sz w:val="22"/>
          <w:szCs w:val="22"/>
        </w:rPr>
        <w:t>benefits to be continued forwards</w:t>
      </w:r>
      <w:r w:rsidR="4861540D" w:rsidRPr="29BB702F">
        <w:rPr>
          <w:rFonts w:eastAsia="Arial" w:cs="Arial"/>
          <w:i/>
          <w:iCs/>
          <w:sz w:val="22"/>
          <w:szCs w:val="22"/>
        </w:rPr>
        <w:t xml:space="preserve"> following </w:t>
      </w:r>
      <w:r w:rsidR="579C167A" w:rsidRPr="29BB702F">
        <w:rPr>
          <w:rFonts w:eastAsia="Arial" w:cs="Arial"/>
          <w:i/>
          <w:iCs/>
          <w:sz w:val="22"/>
          <w:szCs w:val="22"/>
        </w:rPr>
        <w:t>pr</w:t>
      </w:r>
      <w:r w:rsidR="4861540D" w:rsidRPr="29BB702F">
        <w:rPr>
          <w:rFonts w:eastAsia="Arial" w:cs="Arial"/>
          <w:i/>
          <w:iCs/>
          <w:sz w:val="22"/>
          <w:szCs w:val="22"/>
        </w:rPr>
        <w:t>ogramme</w:t>
      </w:r>
      <w:r w:rsidR="2D47D0C1" w:rsidRPr="29BB702F">
        <w:rPr>
          <w:rFonts w:eastAsia="Arial" w:cs="Arial"/>
          <w:i/>
          <w:iCs/>
          <w:sz w:val="22"/>
          <w:szCs w:val="22"/>
        </w:rPr>
        <w:t xml:space="preserve"> end date.</w:t>
      </w:r>
    </w:p>
    <w:p w14:paraId="63A8A2A7" w14:textId="52003D6A" w:rsidR="3B76D57F" w:rsidRPr="00083BFC" w:rsidRDefault="2520AE62" w:rsidP="00083BFC">
      <w:pPr>
        <w:ind w:left="363"/>
        <w:rPr>
          <w:rFonts w:eastAsia="Arial" w:cs="Arial"/>
          <w:i/>
          <w:iCs/>
          <w:sz w:val="22"/>
          <w:szCs w:val="22"/>
        </w:rPr>
      </w:pPr>
      <w:r w:rsidRPr="14099025">
        <w:rPr>
          <w:rFonts w:eastAsia="Arial" w:cs="Arial"/>
          <w:i/>
          <w:iCs/>
          <w:sz w:val="22"/>
          <w:szCs w:val="22"/>
        </w:rPr>
        <w:t xml:space="preserve"> </w:t>
      </w:r>
    </w:p>
    <w:p w14:paraId="1ECADC75" w14:textId="0D661827" w:rsidR="007E2C24" w:rsidRPr="007E2C24" w:rsidRDefault="0035028F" w:rsidP="447A80CF">
      <w:pPr>
        <w:pStyle w:val="ListParagraph"/>
        <w:numPr>
          <w:ilvl w:val="0"/>
          <w:numId w:val="19"/>
        </w:numPr>
        <w:tabs>
          <w:tab w:val="left" w:pos="6915"/>
          <w:tab w:val="left" w:pos="9495"/>
        </w:tabs>
        <w:rPr>
          <w:sz w:val="22"/>
          <w:szCs w:val="22"/>
        </w:rPr>
      </w:pPr>
      <w:r w:rsidRPr="5B3DCF10">
        <w:rPr>
          <w:sz w:val="22"/>
          <w:szCs w:val="22"/>
        </w:rPr>
        <w:t xml:space="preserve">Defra should from 2022 onwards record progress against milestones each year for monitoring and transparency </w:t>
      </w:r>
      <w:proofErr w:type="gramStart"/>
      <w:r w:rsidRPr="5B3DCF10">
        <w:rPr>
          <w:sz w:val="22"/>
          <w:szCs w:val="22"/>
        </w:rPr>
        <w:t>reasons, and</w:t>
      </w:r>
      <w:proofErr w:type="gramEnd"/>
      <w:r w:rsidRPr="5B3DCF10">
        <w:rPr>
          <w:sz w:val="22"/>
          <w:szCs w:val="22"/>
        </w:rPr>
        <w:t xml:space="preserve"> keep those milestones under review to ensure they continue to be proportionate and effective</w:t>
      </w:r>
      <w:r w:rsidR="53F9C80A" w:rsidRPr="5B3DCF10">
        <w:rPr>
          <w:sz w:val="22"/>
          <w:szCs w:val="22"/>
        </w:rPr>
        <w:t xml:space="preserve"> when considering previous results and progress.</w:t>
      </w:r>
      <w:r w:rsidR="00B74DE2">
        <w:rPr>
          <w:sz w:val="22"/>
          <w:szCs w:val="22"/>
        </w:rPr>
        <w:t xml:space="preserve"> </w:t>
      </w:r>
      <w:r w:rsidR="00EB6DB3" w:rsidRPr="00E76535">
        <w:rPr>
          <w:color w:val="000000" w:themeColor="text1"/>
          <w:sz w:val="22"/>
          <w:szCs w:val="22"/>
        </w:rPr>
        <w:t>As the Fund has not fully disbursed finances to all projects the baselines and some milestones will need to be recalculated for the 2023 ARs</w:t>
      </w:r>
      <w:r w:rsidR="00EB6DB3" w:rsidRPr="00E52418">
        <w:rPr>
          <w:color w:val="000000" w:themeColor="text1"/>
          <w:sz w:val="22"/>
          <w:szCs w:val="22"/>
        </w:rPr>
        <w:t>.</w:t>
      </w:r>
      <w:r w:rsidR="00EB6DB3" w:rsidRPr="00E52418">
        <w:rPr>
          <w:sz w:val="22"/>
          <w:szCs w:val="22"/>
        </w:rPr>
        <w:t xml:space="preserve"> </w:t>
      </w:r>
      <w:r w:rsidR="00B432AA" w:rsidRPr="00E52418">
        <w:rPr>
          <w:sz w:val="22"/>
          <w:szCs w:val="22"/>
        </w:rPr>
        <w:t>(Complete).</w:t>
      </w:r>
    </w:p>
    <w:p w14:paraId="1E1C7D68" w14:textId="3CE75CA3" w:rsidR="00682386" w:rsidRPr="00682386" w:rsidRDefault="007E2C24" w:rsidP="00595225">
      <w:pPr>
        <w:tabs>
          <w:tab w:val="left" w:pos="6915"/>
          <w:tab w:val="left" w:pos="9495"/>
        </w:tabs>
        <w:ind w:left="363"/>
        <w:rPr>
          <w:i/>
          <w:iCs/>
          <w:color w:val="000000" w:themeColor="text1"/>
          <w:sz w:val="22"/>
          <w:szCs w:val="22"/>
        </w:rPr>
      </w:pPr>
      <w:r w:rsidRPr="29BB702F">
        <w:rPr>
          <w:i/>
          <w:iCs/>
          <w:color w:val="000000" w:themeColor="text1"/>
          <w:sz w:val="22"/>
          <w:szCs w:val="22"/>
        </w:rPr>
        <w:t xml:space="preserve">Milestones were </w:t>
      </w:r>
      <w:r w:rsidR="5C397B73" w:rsidRPr="29BB702F">
        <w:rPr>
          <w:i/>
          <w:iCs/>
          <w:color w:val="000000" w:themeColor="text1"/>
          <w:sz w:val="22"/>
          <w:szCs w:val="22"/>
        </w:rPr>
        <w:t xml:space="preserve">initially </w:t>
      </w:r>
      <w:r w:rsidRPr="29BB702F">
        <w:rPr>
          <w:i/>
          <w:iCs/>
          <w:color w:val="000000" w:themeColor="text1"/>
          <w:sz w:val="22"/>
          <w:szCs w:val="22"/>
        </w:rPr>
        <w:t xml:space="preserve">agreed in late 2022 and </w:t>
      </w:r>
      <w:r w:rsidR="00F03532" w:rsidRPr="29BB702F">
        <w:rPr>
          <w:i/>
          <w:iCs/>
          <w:color w:val="000000" w:themeColor="text1"/>
          <w:sz w:val="22"/>
          <w:szCs w:val="22"/>
        </w:rPr>
        <w:t>are</w:t>
      </w:r>
      <w:r w:rsidRPr="29BB702F">
        <w:rPr>
          <w:i/>
          <w:iCs/>
          <w:color w:val="000000" w:themeColor="text1"/>
          <w:sz w:val="22"/>
          <w:szCs w:val="22"/>
        </w:rPr>
        <w:t xml:space="preserve"> used in this AR. </w:t>
      </w:r>
      <w:r w:rsidR="7059E4E9" w:rsidRPr="29BB702F">
        <w:rPr>
          <w:i/>
          <w:iCs/>
          <w:color w:val="000000" w:themeColor="text1"/>
          <w:sz w:val="22"/>
          <w:szCs w:val="22"/>
        </w:rPr>
        <w:t>Having assessed the results provided for 2023, it has been agreed that the milestones as they stand are suitable.</w:t>
      </w:r>
      <w:r w:rsidR="519199A6" w:rsidRPr="29BB702F">
        <w:rPr>
          <w:i/>
          <w:iCs/>
          <w:color w:val="000000" w:themeColor="text1"/>
          <w:sz w:val="22"/>
          <w:szCs w:val="22"/>
        </w:rPr>
        <w:t xml:space="preserve"> Milestones being exceeded show strong performance and do not need updating for future years</w:t>
      </w:r>
      <w:r w:rsidR="1DEAEF88" w:rsidRPr="29BB702F">
        <w:rPr>
          <w:i/>
          <w:iCs/>
          <w:color w:val="000000" w:themeColor="text1"/>
          <w:sz w:val="22"/>
          <w:szCs w:val="22"/>
        </w:rPr>
        <w:t xml:space="preserve"> unless significantly off/over </w:t>
      </w:r>
      <w:r w:rsidR="00A577A6">
        <w:rPr>
          <w:i/>
          <w:iCs/>
          <w:color w:val="000000" w:themeColor="text1"/>
          <w:sz w:val="22"/>
          <w:szCs w:val="22"/>
        </w:rPr>
        <w:t>expectation</w:t>
      </w:r>
      <w:r w:rsidR="1DEAEF88" w:rsidRPr="29BB702F">
        <w:rPr>
          <w:i/>
          <w:iCs/>
          <w:color w:val="000000" w:themeColor="text1"/>
          <w:sz w:val="22"/>
          <w:szCs w:val="22"/>
        </w:rPr>
        <w:t>.</w:t>
      </w:r>
      <w:r w:rsidR="00595225">
        <w:rPr>
          <w:i/>
          <w:iCs/>
          <w:color w:val="000000" w:themeColor="text1"/>
          <w:sz w:val="22"/>
          <w:szCs w:val="22"/>
        </w:rPr>
        <w:t xml:space="preserve"> </w:t>
      </w:r>
      <w:proofErr w:type="spellStart"/>
      <w:r w:rsidR="0013713E" w:rsidRPr="29BB702F">
        <w:rPr>
          <w:i/>
          <w:iCs/>
          <w:color w:val="000000" w:themeColor="text1"/>
          <w:sz w:val="22"/>
          <w:szCs w:val="22"/>
        </w:rPr>
        <w:t>Mirova</w:t>
      </w:r>
      <w:proofErr w:type="spellEnd"/>
      <w:r w:rsidR="0013713E" w:rsidRPr="29BB702F">
        <w:rPr>
          <w:i/>
          <w:iCs/>
          <w:color w:val="000000" w:themeColor="text1"/>
          <w:sz w:val="22"/>
          <w:szCs w:val="22"/>
        </w:rPr>
        <w:t xml:space="preserve"> expect to complete almost all </w:t>
      </w:r>
      <w:r w:rsidR="00B74DE2" w:rsidRPr="29BB702F">
        <w:rPr>
          <w:i/>
          <w:iCs/>
          <w:color w:val="000000" w:themeColor="text1"/>
          <w:sz w:val="22"/>
          <w:szCs w:val="22"/>
        </w:rPr>
        <w:t>disbursement by</w:t>
      </w:r>
      <w:r w:rsidR="002C702F" w:rsidRPr="29BB702F">
        <w:rPr>
          <w:i/>
          <w:iCs/>
          <w:color w:val="000000" w:themeColor="text1"/>
          <w:sz w:val="22"/>
          <w:szCs w:val="22"/>
        </w:rPr>
        <w:t xml:space="preserve"> </w:t>
      </w:r>
      <w:r w:rsidR="00FD5124" w:rsidRPr="29BB702F">
        <w:rPr>
          <w:i/>
          <w:iCs/>
          <w:color w:val="000000" w:themeColor="text1"/>
          <w:sz w:val="22"/>
          <w:szCs w:val="22"/>
        </w:rPr>
        <w:t>2025</w:t>
      </w:r>
      <w:r w:rsidR="00682386" w:rsidRPr="29BB702F">
        <w:rPr>
          <w:i/>
          <w:iCs/>
          <w:color w:val="000000" w:themeColor="text1"/>
          <w:sz w:val="22"/>
          <w:szCs w:val="22"/>
        </w:rPr>
        <w:t xml:space="preserve">, </w:t>
      </w:r>
      <w:r w:rsidR="00FD5124" w:rsidRPr="29BB702F">
        <w:rPr>
          <w:i/>
          <w:iCs/>
          <w:color w:val="000000" w:themeColor="text1"/>
          <w:sz w:val="22"/>
          <w:szCs w:val="22"/>
        </w:rPr>
        <w:t xml:space="preserve">and </w:t>
      </w:r>
      <w:r w:rsidR="001E674C" w:rsidRPr="29BB702F">
        <w:rPr>
          <w:i/>
          <w:iCs/>
          <w:color w:val="000000" w:themeColor="text1"/>
          <w:sz w:val="22"/>
          <w:szCs w:val="22"/>
        </w:rPr>
        <w:t>with</w:t>
      </w:r>
      <w:r w:rsidR="00682386" w:rsidRPr="29BB702F">
        <w:rPr>
          <w:i/>
          <w:iCs/>
          <w:color w:val="000000" w:themeColor="text1"/>
          <w:sz w:val="22"/>
          <w:szCs w:val="22"/>
        </w:rPr>
        <w:t xml:space="preserve"> allocation of funding </w:t>
      </w:r>
      <w:r w:rsidR="00C72261">
        <w:rPr>
          <w:i/>
          <w:iCs/>
          <w:color w:val="000000" w:themeColor="text1"/>
          <w:sz w:val="22"/>
          <w:szCs w:val="22"/>
        </w:rPr>
        <w:t xml:space="preserve">now </w:t>
      </w:r>
      <w:r w:rsidR="00682386" w:rsidRPr="29BB702F">
        <w:rPr>
          <w:i/>
          <w:iCs/>
          <w:color w:val="000000" w:themeColor="text1"/>
          <w:sz w:val="22"/>
          <w:szCs w:val="22"/>
        </w:rPr>
        <w:t>complete</w:t>
      </w:r>
      <w:r w:rsidR="007A5C89" w:rsidRPr="29BB702F">
        <w:rPr>
          <w:i/>
          <w:iCs/>
          <w:color w:val="000000" w:themeColor="text1"/>
          <w:sz w:val="22"/>
          <w:szCs w:val="22"/>
        </w:rPr>
        <w:t xml:space="preserve"> milestones </w:t>
      </w:r>
      <w:r w:rsidR="000C1D2A">
        <w:rPr>
          <w:i/>
          <w:iCs/>
          <w:color w:val="000000" w:themeColor="text1"/>
          <w:sz w:val="22"/>
          <w:szCs w:val="22"/>
        </w:rPr>
        <w:t>set</w:t>
      </w:r>
      <w:r w:rsidR="00C72261">
        <w:rPr>
          <w:i/>
          <w:iCs/>
          <w:color w:val="000000" w:themeColor="text1"/>
          <w:sz w:val="22"/>
          <w:szCs w:val="22"/>
        </w:rPr>
        <w:t xml:space="preserve"> until 2033 should remain </w:t>
      </w:r>
      <w:r w:rsidR="000C1D2A">
        <w:rPr>
          <w:i/>
          <w:iCs/>
          <w:color w:val="000000" w:themeColor="text1"/>
          <w:sz w:val="22"/>
          <w:szCs w:val="22"/>
        </w:rPr>
        <w:t>relevant and stretching</w:t>
      </w:r>
      <w:r w:rsidR="00682386" w:rsidRPr="29BB702F">
        <w:rPr>
          <w:i/>
          <w:iCs/>
          <w:color w:val="000000" w:themeColor="text1"/>
          <w:sz w:val="22"/>
          <w:szCs w:val="22"/>
        </w:rPr>
        <w:t>.</w:t>
      </w:r>
      <w:r w:rsidR="06BCB5AA" w:rsidRPr="29BB702F">
        <w:rPr>
          <w:i/>
          <w:iCs/>
          <w:color w:val="000000" w:themeColor="text1"/>
          <w:sz w:val="22"/>
          <w:szCs w:val="22"/>
        </w:rPr>
        <w:t xml:space="preserve"> </w:t>
      </w:r>
    </w:p>
    <w:p w14:paraId="126B9A62" w14:textId="5AF21E33" w:rsidR="603A46EC" w:rsidRDefault="603A46EC" w:rsidP="3E487D21">
      <w:pPr>
        <w:tabs>
          <w:tab w:val="left" w:pos="6915"/>
          <w:tab w:val="left" w:pos="9495"/>
        </w:tabs>
        <w:ind w:left="851"/>
        <w:rPr>
          <w:i/>
          <w:iCs/>
          <w:color w:val="000000" w:themeColor="text1"/>
          <w:sz w:val="22"/>
          <w:szCs w:val="22"/>
        </w:rPr>
      </w:pPr>
    </w:p>
    <w:p w14:paraId="0CBDB0E8" w14:textId="3AB1B36E" w:rsidR="0035028F" w:rsidRPr="0035028F" w:rsidRDefault="0035028F" w:rsidP="0035028F">
      <w:pPr>
        <w:pStyle w:val="ListParagraph"/>
        <w:rPr>
          <w:b/>
          <w:bCs/>
          <w:color w:val="000000" w:themeColor="text1"/>
          <w:sz w:val="22"/>
          <w:szCs w:val="22"/>
        </w:rPr>
      </w:pPr>
    </w:p>
    <w:p w14:paraId="0FCFD075" w14:textId="4F6EB493" w:rsidR="603A46EC" w:rsidRDefault="06BCB5AA" w:rsidP="204BC040">
      <w:pPr>
        <w:pStyle w:val="ListParagraph"/>
        <w:numPr>
          <w:ilvl w:val="0"/>
          <w:numId w:val="19"/>
        </w:numPr>
        <w:tabs>
          <w:tab w:val="left" w:pos="6915"/>
          <w:tab w:val="left" w:pos="9495"/>
        </w:tabs>
        <w:rPr>
          <w:sz w:val="22"/>
          <w:szCs w:val="22"/>
        </w:rPr>
      </w:pPr>
      <w:r w:rsidRPr="51BEFD9A">
        <w:rPr>
          <w:sz w:val="22"/>
          <w:szCs w:val="22"/>
        </w:rPr>
        <w:t>Set out in more detail the benefits and limitations of reforestation efforts focused on plantations and commodity crops, and particularly their impact on biodiversity.</w:t>
      </w:r>
      <w:r w:rsidR="2F270E2C" w:rsidRPr="51BEFD9A">
        <w:rPr>
          <w:sz w:val="22"/>
          <w:szCs w:val="22"/>
        </w:rPr>
        <w:t xml:space="preserve"> (Indicator 1</w:t>
      </w:r>
      <w:r w:rsidR="2F270E2C" w:rsidRPr="00E52418">
        <w:rPr>
          <w:sz w:val="22"/>
          <w:szCs w:val="22"/>
        </w:rPr>
        <w:t>).</w:t>
      </w:r>
      <w:r w:rsidR="00CE7A63" w:rsidRPr="00E52418">
        <w:rPr>
          <w:sz w:val="22"/>
          <w:szCs w:val="22"/>
        </w:rPr>
        <w:t xml:space="preserve"> (Complete).</w:t>
      </w:r>
    </w:p>
    <w:p w14:paraId="494CC9F5" w14:textId="77777777" w:rsidR="00B74DE2" w:rsidRDefault="00B74DE2" w:rsidP="00B74DE2">
      <w:pPr>
        <w:pStyle w:val="ListParagraph"/>
        <w:tabs>
          <w:tab w:val="left" w:pos="6915"/>
          <w:tab w:val="left" w:pos="9495"/>
        </w:tabs>
        <w:ind w:left="360"/>
        <w:rPr>
          <w:color w:val="000000" w:themeColor="text1"/>
          <w:sz w:val="22"/>
          <w:szCs w:val="22"/>
        </w:rPr>
      </w:pPr>
    </w:p>
    <w:p w14:paraId="07B62538" w14:textId="59EF3839" w:rsidR="001244F1" w:rsidRPr="00B74DE2" w:rsidRDefault="009E5219" w:rsidP="00B74DE2">
      <w:pPr>
        <w:pStyle w:val="ListParagraph"/>
        <w:tabs>
          <w:tab w:val="left" w:pos="6915"/>
          <w:tab w:val="left" w:pos="9495"/>
        </w:tabs>
        <w:ind w:left="360"/>
        <w:rPr>
          <w:color w:val="000000" w:themeColor="text1"/>
          <w:sz w:val="22"/>
          <w:szCs w:val="22"/>
        </w:rPr>
      </w:pPr>
      <w:r w:rsidRPr="00B74DE2">
        <w:rPr>
          <w:i/>
          <w:iCs/>
          <w:color w:val="000000" w:themeColor="text1"/>
          <w:sz w:val="22"/>
          <w:szCs w:val="22"/>
        </w:rPr>
        <w:t>B</w:t>
      </w:r>
      <w:r w:rsidR="001244F1" w:rsidRPr="00B74DE2">
        <w:rPr>
          <w:i/>
          <w:iCs/>
          <w:color w:val="000000" w:themeColor="text1"/>
          <w:sz w:val="22"/>
          <w:szCs w:val="22"/>
        </w:rPr>
        <w:t>enefits of reforestation efforts on degraded lands include:</w:t>
      </w:r>
    </w:p>
    <w:p w14:paraId="71BE9362" w14:textId="77777777" w:rsidR="001244F1" w:rsidRPr="001244F1" w:rsidRDefault="001244F1" w:rsidP="001244F1">
      <w:pPr>
        <w:pStyle w:val="ListParagraph"/>
        <w:tabs>
          <w:tab w:val="left" w:pos="6915"/>
          <w:tab w:val="left" w:pos="9495"/>
        </w:tabs>
        <w:ind w:left="360" w:firstLine="720"/>
        <w:rPr>
          <w:i/>
          <w:iCs/>
          <w:color w:val="000000" w:themeColor="text1"/>
          <w:sz w:val="22"/>
          <w:szCs w:val="22"/>
        </w:rPr>
      </w:pPr>
    </w:p>
    <w:p w14:paraId="0D6C8027" w14:textId="77777777" w:rsidR="00D0266A" w:rsidRDefault="001244F1" w:rsidP="00D0266A">
      <w:pPr>
        <w:pStyle w:val="ListParagraph"/>
        <w:numPr>
          <w:ilvl w:val="0"/>
          <w:numId w:val="32"/>
        </w:numPr>
        <w:tabs>
          <w:tab w:val="left" w:pos="6915"/>
          <w:tab w:val="left" w:pos="9495"/>
        </w:tabs>
        <w:rPr>
          <w:i/>
          <w:iCs/>
          <w:color w:val="000000" w:themeColor="text1"/>
          <w:sz w:val="22"/>
          <w:szCs w:val="22"/>
        </w:rPr>
      </w:pPr>
      <w:r w:rsidRPr="001244F1">
        <w:rPr>
          <w:i/>
          <w:iCs/>
          <w:color w:val="000000" w:themeColor="text1"/>
          <w:sz w:val="22"/>
          <w:szCs w:val="22"/>
        </w:rPr>
        <w:t>Habitat restoration: Reforestation can help restore degraded habitats and provide important wildlife corridors, which can support the recovery of biodiversity.</w:t>
      </w:r>
      <w:r w:rsidR="00D0266A">
        <w:rPr>
          <w:i/>
          <w:iCs/>
          <w:color w:val="000000" w:themeColor="text1"/>
          <w:sz w:val="22"/>
          <w:szCs w:val="22"/>
        </w:rPr>
        <w:t xml:space="preserve"> </w:t>
      </w:r>
    </w:p>
    <w:p w14:paraId="1FB9801E" w14:textId="77777777" w:rsidR="00D0266A" w:rsidRDefault="001244F1" w:rsidP="00D0266A">
      <w:pPr>
        <w:pStyle w:val="ListParagraph"/>
        <w:numPr>
          <w:ilvl w:val="0"/>
          <w:numId w:val="32"/>
        </w:numPr>
        <w:tabs>
          <w:tab w:val="left" w:pos="6915"/>
          <w:tab w:val="left" w:pos="9495"/>
        </w:tabs>
        <w:rPr>
          <w:i/>
          <w:iCs/>
          <w:color w:val="000000" w:themeColor="text1"/>
          <w:sz w:val="22"/>
          <w:szCs w:val="22"/>
        </w:rPr>
      </w:pPr>
      <w:r w:rsidRPr="00F7082F">
        <w:rPr>
          <w:i/>
          <w:iCs/>
          <w:color w:val="000000" w:themeColor="text1"/>
          <w:sz w:val="22"/>
          <w:szCs w:val="22"/>
        </w:rPr>
        <w:t>Soil and water conservation: Reforestation can help prevent soil erosion, improve water quality, and regulate water flow, creating better conditions for diverse plant and animal species.</w:t>
      </w:r>
    </w:p>
    <w:p w14:paraId="7E7D39C1" w14:textId="77777777" w:rsidR="00D0266A" w:rsidRDefault="001244F1" w:rsidP="00D0266A">
      <w:pPr>
        <w:pStyle w:val="ListParagraph"/>
        <w:numPr>
          <w:ilvl w:val="0"/>
          <w:numId w:val="32"/>
        </w:numPr>
        <w:tabs>
          <w:tab w:val="left" w:pos="6915"/>
          <w:tab w:val="left" w:pos="9495"/>
        </w:tabs>
        <w:rPr>
          <w:i/>
          <w:iCs/>
          <w:color w:val="000000" w:themeColor="text1"/>
          <w:sz w:val="22"/>
          <w:szCs w:val="22"/>
        </w:rPr>
      </w:pPr>
      <w:r w:rsidRPr="00F7082F">
        <w:rPr>
          <w:i/>
          <w:iCs/>
          <w:color w:val="000000" w:themeColor="text1"/>
          <w:sz w:val="22"/>
          <w:szCs w:val="22"/>
        </w:rPr>
        <w:t>Carbon sequestration: Reforestation on degraded lands can help sequester carbon from the atmosphere, contributing to climate change mitigation.</w:t>
      </w:r>
    </w:p>
    <w:p w14:paraId="25D2B5B3" w14:textId="2FDE4EAE" w:rsidR="001244F1" w:rsidRPr="00F7082F" w:rsidRDefault="001244F1" w:rsidP="00F7082F">
      <w:pPr>
        <w:pStyle w:val="ListParagraph"/>
        <w:numPr>
          <w:ilvl w:val="0"/>
          <w:numId w:val="32"/>
        </w:numPr>
        <w:tabs>
          <w:tab w:val="left" w:pos="6915"/>
          <w:tab w:val="left" w:pos="9495"/>
        </w:tabs>
        <w:rPr>
          <w:i/>
          <w:iCs/>
          <w:color w:val="000000" w:themeColor="text1"/>
          <w:sz w:val="22"/>
          <w:szCs w:val="22"/>
        </w:rPr>
      </w:pPr>
      <w:r w:rsidRPr="00F7082F">
        <w:rPr>
          <w:i/>
          <w:iCs/>
          <w:color w:val="000000" w:themeColor="text1"/>
          <w:sz w:val="22"/>
          <w:szCs w:val="22"/>
        </w:rPr>
        <w:t>Biodiversity enhancement: Well-planned reforestation efforts can increase habitat complexity and diversity, providing suitable conditions for a wide range of plant and animal species.</w:t>
      </w:r>
    </w:p>
    <w:p w14:paraId="1F915225" w14:textId="77777777" w:rsidR="001244F1" w:rsidRPr="001244F1" w:rsidRDefault="001244F1" w:rsidP="001244F1">
      <w:pPr>
        <w:pStyle w:val="ListParagraph"/>
        <w:tabs>
          <w:tab w:val="left" w:pos="6915"/>
          <w:tab w:val="left" w:pos="9495"/>
        </w:tabs>
        <w:ind w:left="360" w:firstLine="720"/>
        <w:rPr>
          <w:i/>
          <w:iCs/>
          <w:color w:val="000000" w:themeColor="text1"/>
          <w:sz w:val="22"/>
          <w:szCs w:val="22"/>
        </w:rPr>
      </w:pPr>
    </w:p>
    <w:p w14:paraId="25091F2C" w14:textId="77777777" w:rsidR="001244F1" w:rsidRPr="001244F1" w:rsidRDefault="001244F1" w:rsidP="204BC040">
      <w:pPr>
        <w:pStyle w:val="ListParagraph"/>
        <w:tabs>
          <w:tab w:val="left" w:pos="6915"/>
          <w:tab w:val="left" w:pos="9495"/>
        </w:tabs>
        <w:ind w:left="360"/>
        <w:rPr>
          <w:i/>
          <w:iCs/>
          <w:color w:val="000000" w:themeColor="text1"/>
          <w:sz w:val="22"/>
          <w:szCs w:val="22"/>
        </w:rPr>
      </w:pPr>
      <w:r w:rsidRPr="204BC040">
        <w:rPr>
          <w:i/>
          <w:iCs/>
          <w:color w:val="000000" w:themeColor="text1"/>
          <w:sz w:val="22"/>
          <w:szCs w:val="22"/>
        </w:rPr>
        <w:t>However, there are also limitations to reforestation efforts on degraded lands, particularly in their impact on biodiversity:</w:t>
      </w:r>
    </w:p>
    <w:p w14:paraId="69FDAAA2" w14:textId="77777777" w:rsidR="001244F1" w:rsidRPr="001244F1" w:rsidRDefault="001244F1" w:rsidP="001244F1">
      <w:pPr>
        <w:pStyle w:val="ListParagraph"/>
        <w:tabs>
          <w:tab w:val="left" w:pos="6915"/>
          <w:tab w:val="left" w:pos="9495"/>
        </w:tabs>
        <w:ind w:left="360" w:firstLine="720"/>
        <w:rPr>
          <w:i/>
          <w:iCs/>
          <w:color w:val="000000" w:themeColor="text1"/>
          <w:sz w:val="22"/>
          <w:szCs w:val="22"/>
        </w:rPr>
      </w:pPr>
    </w:p>
    <w:p w14:paraId="6197C488" w14:textId="77777777" w:rsidR="00606E77" w:rsidRDefault="001244F1" w:rsidP="00606E77">
      <w:pPr>
        <w:pStyle w:val="ListParagraph"/>
        <w:numPr>
          <w:ilvl w:val="0"/>
          <w:numId w:val="32"/>
        </w:numPr>
        <w:tabs>
          <w:tab w:val="left" w:pos="6915"/>
          <w:tab w:val="left" w:pos="9495"/>
        </w:tabs>
        <w:rPr>
          <w:i/>
          <w:iCs/>
          <w:color w:val="000000" w:themeColor="text1"/>
          <w:sz w:val="22"/>
          <w:szCs w:val="22"/>
        </w:rPr>
      </w:pPr>
      <w:r w:rsidRPr="001244F1">
        <w:rPr>
          <w:i/>
          <w:iCs/>
          <w:color w:val="000000" w:themeColor="text1"/>
          <w:sz w:val="22"/>
          <w:szCs w:val="22"/>
        </w:rPr>
        <w:t>Invasive species: Reforestation efforts can inadvertently introduce invasive plant species, which can outcompete native vegetation and disrupt ecosystems.</w:t>
      </w:r>
    </w:p>
    <w:p w14:paraId="7D478365" w14:textId="77777777" w:rsidR="00606E77" w:rsidRDefault="001244F1" w:rsidP="00606E77">
      <w:pPr>
        <w:pStyle w:val="ListParagraph"/>
        <w:numPr>
          <w:ilvl w:val="0"/>
          <w:numId w:val="32"/>
        </w:numPr>
        <w:tabs>
          <w:tab w:val="left" w:pos="6915"/>
          <w:tab w:val="left" w:pos="9495"/>
        </w:tabs>
        <w:rPr>
          <w:i/>
          <w:iCs/>
          <w:color w:val="000000" w:themeColor="text1"/>
          <w:sz w:val="22"/>
          <w:szCs w:val="22"/>
        </w:rPr>
      </w:pPr>
      <w:r w:rsidRPr="00F7082F">
        <w:rPr>
          <w:i/>
          <w:iCs/>
          <w:color w:val="000000" w:themeColor="text1"/>
          <w:sz w:val="22"/>
          <w:szCs w:val="22"/>
        </w:rPr>
        <w:t>Genetic diversity: Reforestation projects may use a limited number of tree species, leading to a reduction in genetic diversity and potentially making the ecosystem more vulnerable to disease and environmental changes.</w:t>
      </w:r>
    </w:p>
    <w:p w14:paraId="402791BC" w14:textId="77777777" w:rsidR="00606E77" w:rsidRDefault="001244F1" w:rsidP="00606E77">
      <w:pPr>
        <w:pStyle w:val="ListParagraph"/>
        <w:numPr>
          <w:ilvl w:val="0"/>
          <w:numId w:val="32"/>
        </w:numPr>
        <w:tabs>
          <w:tab w:val="left" w:pos="6915"/>
          <w:tab w:val="left" w:pos="9495"/>
        </w:tabs>
        <w:rPr>
          <w:i/>
          <w:iCs/>
          <w:color w:val="000000" w:themeColor="text1"/>
          <w:sz w:val="22"/>
          <w:szCs w:val="22"/>
        </w:rPr>
      </w:pPr>
      <w:r w:rsidRPr="00F7082F">
        <w:rPr>
          <w:i/>
          <w:iCs/>
          <w:color w:val="000000" w:themeColor="text1"/>
          <w:sz w:val="22"/>
          <w:szCs w:val="22"/>
        </w:rPr>
        <w:lastRenderedPageBreak/>
        <w:t>Habitat quality: Reforestation efforts may not fully replicate the complexity and structure of natural ecosystems, potentially leading to reduced habitat quality for certain species.</w:t>
      </w:r>
    </w:p>
    <w:p w14:paraId="5F7AC1F5" w14:textId="7543F11E" w:rsidR="001244F1" w:rsidRDefault="001244F1" w:rsidP="679F7087">
      <w:pPr>
        <w:pStyle w:val="ListParagraph"/>
        <w:numPr>
          <w:ilvl w:val="0"/>
          <w:numId w:val="32"/>
        </w:numPr>
        <w:tabs>
          <w:tab w:val="left" w:pos="6915"/>
          <w:tab w:val="left" w:pos="9495"/>
        </w:tabs>
        <w:rPr>
          <w:i/>
          <w:iCs/>
          <w:color w:val="000000" w:themeColor="text1"/>
          <w:sz w:val="22"/>
          <w:szCs w:val="22"/>
        </w:rPr>
      </w:pPr>
      <w:r w:rsidRPr="679F7087">
        <w:rPr>
          <w:i/>
          <w:iCs/>
          <w:color w:val="000000" w:themeColor="text1"/>
          <w:sz w:val="22"/>
          <w:szCs w:val="22"/>
        </w:rPr>
        <w:t>Wildlife disturbance: Reforestation activities can disturb wildlife and their habitats, particularly during the initial planting and establishment phases</w:t>
      </w:r>
    </w:p>
    <w:p w14:paraId="58EF1E66" w14:textId="295FA35F" w:rsidR="3AF1B1B5" w:rsidRDefault="3AF1B1B5" w:rsidP="6E6BACEC">
      <w:pPr>
        <w:ind w:left="363"/>
        <w:rPr>
          <w:rFonts w:eastAsia="Arial" w:cs="Arial"/>
          <w:i/>
          <w:iCs/>
          <w:color w:val="4472C4" w:themeColor="accent1"/>
          <w:sz w:val="22"/>
          <w:szCs w:val="22"/>
        </w:rPr>
      </w:pPr>
      <w:r w:rsidRPr="6E6BACEC">
        <w:rPr>
          <w:i/>
          <w:iCs/>
          <w:color w:val="000000" w:themeColor="text1"/>
          <w:sz w:val="22"/>
          <w:szCs w:val="22"/>
        </w:rPr>
        <w:t>The Fund</w:t>
      </w:r>
      <w:r w:rsidRPr="6E6BACEC">
        <w:rPr>
          <w:rFonts w:eastAsia="Arial" w:cs="Arial"/>
          <w:i/>
          <w:iCs/>
          <w:sz w:val="22"/>
          <w:szCs w:val="22"/>
        </w:rPr>
        <w:t xml:space="preserve"> is addressing these limitations through a revision of the biodiversity monitoring approach (detailed </w:t>
      </w:r>
      <w:r w:rsidR="54A58521" w:rsidRPr="6E6BACEC">
        <w:rPr>
          <w:rFonts w:eastAsia="Arial" w:cs="Arial"/>
          <w:i/>
          <w:iCs/>
          <w:sz w:val="22"/>
          <w:szCs w:val="22"/>
        </w:rPr>
        <w:t xml:space="preserve">in recommendation 6 </w:t>
      </w:r>
      <w:r w:rsidRPr="6E6BACEC">
        <w:rPr>
          <w:rFonts w:eastAsia="Arial" w:cs="Arial"/>
          <w:i/>
          <w:iCs/>
          <w:sz w:val="22"/>
          <w:szCs w:val="22"/>
        </w:rPr>
        <w:t>below) to try to better capture both quantitatively and qualitatively the positive impact of reforestation. Several innovative remote sensing and field data collection solutions are being tested.</w:t>
      </w:r>
    </w:p>
    <w:p w14:paraId="1ABD80B8" w14:textId="7AB10D52" w:rsidR="3AF1B1B5" w:rsidRDefault="3AF1B1B5" w:rsidP="75DE375F">
      <w:pPr>
        <w:tabs>
          <w:tab w:val="left" w:pos="6915"/>
          <w:tab w:val="left" w:pos="9495"/>
        </w:tabs>
        <w:ind w:left="363"/>
        <w:rPr>
          <w:i/>
          <w:iCs/>
          <w:color w:val="000000" w:themeColor="text1"/>
          <w:sz w:val="22"/>
          <w:szCs w:val="22"/>
        </w:rPr>
      </w:pPr>
    </w:p>
    <w:p w14:paraId="602B41F7" w14:textId="300598C5" w:rsidR="6BF69DB6" w:rsidRDefault="6BF69DB6" w:rsidP="0287FA13">
      <w:pPr>
        <w:pStyle w:val="ListParagraph"/>
        <w:tabs>
          <w:tab w:val="left" w:pos="6915"/>
          <w:tab w:val="left" w:pos="9495"/>
        </w:tabs>
        <w:ind w:left="360"/>
        <w:rPr>
          <w:i/>
          <w:iCs/>
          <w:color w:val="000000" w:themeColor="text1"/>
          <w:sz w:val="22"/>
          <w:szCs w:val="22"/>
        </w:rPr>
      </w:pPr>
    </w:p>
    <w:p w14:paraId="7B3E8CDD" w14:textId="63734FFA" w:rsidR="00E2F389" w:rsidRPr="00E44CA1" w:rsidRDefault="00E2F389" w:rsidP="0287FA13">
      <w:pPr>
        <w:pStyle w:val="ListParagraph"/>
        <w:numPr>
          <w:ilvl w:val="0"/>
          <w:numId w:val="19"/>
        </w:numPr>
        <w:tabs>
          <w:tab w:val="left" w:pos="6915"/>
          <w:tab w:val="left" w:pos="9495"/>
        </w:tabs>
        <w:rPr>
          <w:color w:val="000000" w:themeColor="text1"/>
          <w:sz w:val="22"/>
          <w:szCs w:val="22"/>
          <w:lang w:val="en-US"/>
        </w:rPr>
      </w:pPr>
      <w:r w:rsidRPr="00E44CA1">
        <w:rPr>
          <w:color w:val="000000" w:themeColor="text1"/>
          <w:sz w:val="22"/>
          <w:szCs w:val="22"/>
          <w:lang w:val="en-US"/>
        </w:rPr>
        <w:t>The 2023 AR should consider dissemination and use of knowledge products as well as the number of products published.</w:t>
      </w:r>
      <w:r w:rsidR="123E0D5E" w:rsidRPr="00E44CA1">
        <w:rPr>
          <w:color w:val="000000" w:themeColor="text1"/>
          <w:sz w:val="22"/>
          <w:szCs w:val="22"/>
          <w:lang w:val="en-US"/>
        </w:rPr>
        <w:t xml:space="preserve"> (Output Indicator 1.5).</w:t>
      </w:r>
      <w:r w:rsidR="00CE7A63">
        <w:rPr>
          <w:color w:val="000000" w:themeColor="text1"/>
          <w:sz w:val="22"/>
          <w:szCs w:val="22"/>
          <w:lang w:val="en-US"/>
        </w:rPr>
        <w:t xml:space="preserve"> </w:t>
      </w:r>
      <w:r w:rsidR="00CE7A63" w:rsidRPr="00E52418">
        <w:rPr>
          <w:color w:val="000000" w:themeColor="text1"/>
          <w:sz w:val="22"/>
          <w:szCs w:val="22"/>
          <w:lang w:val="en-US"/>
        </w:rPr>
        <w:t>(Complete).</w:t>
      </w:r>
    </w:p>
    <w:p w14:paraId="4DE43286" w14:textId="07B66D70" w:rsidR="0287FA13" w:rsidRDefault="0287FA13" w:rsidP="0287FA13">
      <w:pPr>
        <w:pStyle w:val="ListParagraph"/>
        <w:tabs>
          <w:tab w:val="left" w:pos="6915"/>
          <w:tab w:val="left" w:pos="9495"/>
        </w:tabs>
        <w:ind w:left="360"/>
        <w:rPr>
          <w:color w:val="000000" w:themeColor="text1"/>
          <w:sz w:val="22"/>
          <w:szCs w:val="22"/>
          <w:lang w:val="en-US"/>
        </w:rPr>
      </w:pPr>
    </w:p>
    <w:p w14:paraId="7ED0CDF8" w14:textId="5FD438F9" w:rsidR="00E2F389" w:rsidRPr="00F7082F" w:rsidRDefault="00F704A5" w:rsidP="14099025">
      <w:pPr>
        <w:pStyle w:val="ListParagraph"/>
        <w:tabs>
          <w:tab w:val="left" w:pos="6915"/>
          <w:tab w:val="left" w:pos="9495"/>
        </w:tabs>
        <w:ind w:left="360"/>
        <w:rPr>
          <w:rFonts w:eastAsia="Arial" w:cs="Arial"/>
          <w:i/>
          <w:iCs/>
          <w:sz w:val="22"/>
          <w:szCs w:val="22"/>
          <w:lang w:val="en-US"/>
        </w:rPr>
      </w:pPr>
      <w:r w:rsidRPr="14099025">
        <w:rPr>
          <w:i/>
          <w:iCs/>
          <w:color w:val="000000" w:themeColor="text1"/>
          <w:sz w:val="22"/>
          <w:szCs w:val="22"/>
          <w:lang w:val="en-US"/>
        </w:rPr>
        <w:t>I</w:t>
      </w:r>
      <w:r w:rsidR="0090582A">
        <w:rPr>
          <w:i/>
          <w:iCs/>
          <w:color w:val="000000" w:themeColor="text1"/>
          <w:sz w:val="22"/>
          <w:szCs w:val="22"/>
          <w:lang w:val="en-US"/>
        </w:rPr>
        <w:t xml:space="preserve">n </w:t>
      </w:r>
      <w:r w:rsidR="00432C58" w:rsidRPr="14099025">
        <w:rPr>
          <w:rFonts w:eastAsia="Arial" w:cs="Arial"/>
          <w:i/>
          <w:iCs/>
          <w:sz w:val="22"/>
          <w:szCs w:val="22"/>
        </w:rPr>
        <w:t>te</w:t>
      </w:r>
      <w:r w:rsidR="0090582A">
        <w:rPr>
          <w:rFonts w:eastAsia="Arial" w:cs="Arial"/>
          <w:i/>
          <w:iCs/>
          <w:sz w:val="22"/>
          <w:szCs w:val="22"/>
        </w:rPr>
        <w:t>r</w:t>
      </w:r>
      <w:r w:rsidR="00432C58" w:rsidRPr="14099025">
        <w:rPr>
          <w:rFonts w:eastAsia="Arial" w:cs="Arial"/>
          <w:i/>
          <w:iCs/>
          <w:sz w:val="22"/>
          <w:szCs w:val="22"/>
        </w:rPr>
        <w:t xml:space="preserve">ms of knowledge sharing with </w:t>
      </w:r>
      <w:r w:rsidRPr="14099025">
        <w:rPr>
          <w:rFonts w:eastAsia="Arial" w:cs="Arial"/>
          <w:i/>
          <w:iCs/>
          <w:sz w:val="22"/>
          <w:szCs w:val="22"/>
        </w:rPr>
        <w:t xml:space="preserve">the </w:t>
      </w:r>
      <w:r w:rsidR="00432C58" w:rsidRPr="14099025">
        <w:rPr>
          <w:rFonts w:eastAsia="Arial" w:cs="Arial"/>
          <w:i/>
          <w:iCs/>
          <w:sz w:val="22"/>
          <w:szCs w:val="22"/>
        </w:rPr>
        <w:t>wider project developer and investor community, a more continuous approach towards sharing operations and learnings of the LDN TAF has been created by launching the LDN insights website</w:t>
      </w:r>
      <w:r w:rsidR="00905EBC">
        <w:rPr>
          <w:rFonts w:eastAsia="Arial" w:cs="Arial"/>
          <w:i/>
          <w:iCs/>
          <w:sz w:val="22"/>
          <w:szCs w:val="22"/>
        </w:rPr>
        <w:t>,</w:t>
      </w:r>
      <w:r w:rsidR="00432C58" w:rsidRPr="14099025">
        <w:rPr>
          <w:rFonts w:eastAsia="Arial" w:cs="Arial"/>
          <w:i/>
          <w:iCs/>
          <w:sz w:val="22"/>
          <w:szCs w:val="22"/>
        </w:rPr>
        <w:t xml:space="preserve"> www.ldninsights.org. Learning briefs and articles are incorporated on the website as well as information on new LDN TAF projects in the case studies section, which is updated on a regular basis. Project milestones, such as newly added or finali</w:t>
      </w:r>
      <w:r w:rsidR="58BC059B" w:rsidRPr="14099025">
        <w:rPr>
          <w:rFonts w:eastAsia="Arial" w:cs="Arial"/>
          <w:i/>
          <w:iCs/>
          <w:sz w:val="22"/>
          <w:szCs w:val="22"/>
        </w:rPr>
        <w:t>s</w:t>
      </w:r>
      <w:r w:rsidR="00432C58" w:rsidRPr="14099025">
        <w:rPr>
          <w:rFonts w:eastAsia="Arial" w:cs="Arial"/>
          <w:i/>
          <w:iCs/>
          <w:sz w:val="22"/>
          <w:szCs w:val="22"/>
        </w:rPr>
        <w:t xml:space="preserve">ed projects, are regularly posted on the PMU’s and/or IDH social media accounts to create more visibility and attract traffic towards the </w:t>
      </w:r>
      <w:r w:rsidR="297E86F4" w:rsidRPr="14099025">
        <w:rPr>
          <w:rFonts w:eastAsia="Arial" w:cs="Arial"/>
          <w:i/>
          <w:iCs/>
          <w:sz w:val="22"/>
          <w:szCs w:val="22"/>
        </w:rPr>
        <w:t xml:space="preserve">webpage. </w:t>
      </w:r>
    </w:p>
    <w:p w14:paraId="68393B40" w14:textId="17E851CA" w:rsidR="0287FA13" w:rsidRDefault="0287FA13" w:rsidP="0287FA13">
      <w:pPr>
        <w:pStyle w:val="ListParagraph"/>
        <w:tabs>
          <w:tab w:val="left" w:pos="6915"/>
          <w:tab w:val="left" w:pos="9495"/>
        </w:tabs>
        <w:ind w:left="360"/>
        <w:rPr>
          <w:color w:val="000000" w:themeColor="text1"/>
          <w:sz w:val="22"/>
          <w:szCs w:val="22"/>
          <w:lang w:val="en-US"/>
        </w:rPr>
      </w:pPr>
    </w:p>
    <w:p w14:paraId="55B45ECC" w14:textId="5139B73E" w:rsidR="3CE9E338" w:rsidRPr="00E52418" w:rsidRDefault="7A853608" w:rsidP="5D585183">
      <w:pPr>
        <w:pStyle w:val="ListParagraph"/>
        <w:numPr>
          <w:ilvl w:val="0"/>
          <w:numId w:val="19"/>
        </w:numPr>
        <w:tabs>
          <w:tab w:val="left" w:pos="6915"/>
          <w:tab w:val="left" w:pos="9495"/>
        </w:tabs>
        <w:rPr>
          <w:rFonts w:cs="Arial"/>
          <w:sz w:val="22"/>
          <w:szCs w:val="22"/>
          <w:lang w:val="en-US"/>
        </w:rPr>
      </w:pPr>
      <w:r w:rsidRPr="00E52418">
        <w:rPr>
          <w:sz w:val="22"/>
          <w:szCs w:val="22"/>
        </w:rPr>
        <w:t xml:space="preserve">The approach to biodiversity monitoring is under revision at </w:t>
      </w:r>
      <w:proofErr w:type="spellStart"/>
      <w:r w:rsidRPr="00E52418">
        <w:rPr>
          <w:sz w:val="22"/>
          <w:szCs w:val="22"/>
        </w:rPr>
        <w:t>Mirova's</w:t>
      </w:r>
      <w:proofErr w:type="spellEnd"/>
      <w:r w:rsidRPr="00E52418">
        <w:rPr>
          <w:sz w:val="22"/>
          <w:szCs w:val="22"/>
        </w:rPr>
        <w:t xml:space="preserve"> level and will be revised in 2023-4. Further explanation of rationale and methodology behind Indicator 2.1 should be included in 2023 </w:t>
      </w:r>
      <w:proofErr w:type="gramStart"/>
      <w:r w:rsidRPr="00E52418">
        <w:rPr>
          <w:sz w:val="22"/>
          <w:szCs w:val="22"/>
        </w:rPr>
        <w:t>AR, and</w:t>
      </w:r>
      <w:proofErr w:type="gramEnd"/>
      <w:r w:rsidRPr="00E52418">
        <w:rPr>
          <w:sz w:val="22"/>
          <w:szCs w:val="22"/>
        </w:rPr>
        <w:t xml:space="preserve"> moving it to Outcomes should be considered. </w:t>
      </w:r>
      <w:r w:rsidRPr="00E52418">
        <w:rPr>
          <w:rFonts w:cs="Arial"/>
          <w:sz w:val="22"/>
          <w:szCs w:val="22"/>
        </w:rPr>
        <w:t xml:space="preserve">Defra and </w:t>
      </w:r>
      <w:proofErr w:type="spellStart"/>
      <w:r w:rsidRPr="00E52418">
        <w:rPr>
          <w:rFonts w:cs="Arial"/>
          <w:sz w:val="22"/>
          <w:szCs w:val="22"/>
        </w:rPr>
        <w:t>Mirova</w:t>
      </w:r>
      <w:proofErr w:type="spellEnd"/>
      <w:r w:rsidRPr="00E52418">
        <w:rPr>
          <w:rFonts w:cs="Arial"/>
          <w:sz w:val="22"/>
          <w:szCs w:val="22"/>
        </w:rPr>
        <w:t xml:space="preserve"> have agreed that </w:t>
      </w:r>
      <w:r w:rsidR="7B650B27" w:rsidRPr="00E52418">
        <w:rPr>
          <w:rFonts w:cs="Arial"/>
          <w:sz w:val="22"/>
          <w:szCs w:val="22"/>
        </w:rPr>
        <w:t xml:space="preserve">Indicator </w:t>
      </w:r>
      <w:r w:rsidRPr="00E52418">
        <w:rPr>
          <w:rFonts w:cs="Arial"/>
          <w:sz w:val="22"/>
          <w:szCs w:val="22"/>
        </w:rPr>
        <w:t xml:space="preserve">2.3 can be disaggregated further into high level Agroforestry/forestry etc. categories, and that this indicator will be revisited as the methodology is updated – this recommendation should be acted on </w:t>
      </w:r>
      <w:r w:rsidR="00B74DE2" w:rsidRPr="00E52418">
        <w:rPr>
          <w:rFonts w:cs="Arial"/>
          <w:sz w:val="22"/>
          <w:szCs w:val="22"/>
        </w:rPr>
        <w:t>ahead of 2024’s annual review</w:t>
      </w:r>
      <w:r w:rsidR="00CE7A63" w:rsidRPr="00E52418">
        <w:rPr>
          <w:rFonts w:cs="Arial"/>
          <w:sz w:val="22"/>
          <w:szCs w:val="22"/>
        </w:rPr>
        <w:t xml:space="preserve">. (Recommendation </w:t>
      </w:r>
      <w:r w:rsidR="6DC43453" w:rsidRPr="00E52418">
        <w:rPr>
          <w:rFonts w:cs="Arial"/>
          <w:sz w:val="22"/>
          <w:szCs w:val="22"/>
        </w:rPr>
        <w:t>to continue</w:t>
      </w:r>
      <w:r w:rsidR="00CE7A63" w:rsidRPr="00E52418">
        <w:rPr>
          <w:rFonts w:cs="Arial"/>
          <w:sz w:val="22"/>
          <w:szCs w:val="22"/>
        </w:rPr>
        <w:t>).</w:t>
      </w:r>
    </w:p>
    <w:p w14:paraId="6A2392B8" w14:textId="6AD957A8" w:rsidR="2B7D430D" w:rsidRDefault="2B7D430D" w:rsidP="155B83C1">
      <w:pPr>
        <w:ind w:left="363"/>
        <w:rPr>
          <w:rFonts w:eastAsia="Arial" w:cs="Arial"/>
          <w:i/>
          <w:iCs/>
          <w:sz w:val="22"/>
          <w:szCs w:val="22"/>
          <w:lang w:val="en-US"/>
        </w:rPr>
      </w:pPr>
      <w:proofErr w:type="spellStart"/>
      <w:r w:rsidRPr="155B83C1">
        <w:rPr>
          <w:rFonts w:eastAsia="Arial" w:cs="Arial"/>
          <w:i/>
          <w:iCs/>
          <w:sz w:val="22"/>
          <w:szCs w:val="22"/>
          <w:lang w:val="en-US"/>
        </w:rPr>
        <w:t>Mirova</w:t>
      </w:r>
      <w:proofErr w:type="spellEnd"/>
      <w:r w:rsidRPr="155B83C1">
        <w:rPr>
          <w:rFonts w:eastAsia="Arial" w:cs="Arial"/>
          <w:i/>
          <w:iCs/>
          <w:sz w:val="22"/>
          <w:szCs w:val="22"/>
          <w:lang w:val="en-US"/>
        </w:rPr>
        <w:t xml:space="preserve"> has developed a framework for biodiversity monitoring for projects with a significant biodiversity impact potential. A detailed monitoring approach for LDN could be developed in line with </w:t>
      </w:r>
      <w:proofErr w:type="spellStart"/>
      <w:r w:rsidRPr="155B83C1">
        <w:rPr>
          <w:rFonts w:eastAsia="Arial" w:cs="Arial"/>
          <w:i/>
          <w:iCs/>
          <w:sz w:val="22"/>
          <w:szCs w:val="22"/>
          <w:lang w:val="en-US"/>
        </w:rPr>
        <w:t>Mirova’s</w:t>
      </w:r>
      <w:proofErr w:type="spellEnd"/>
      <w:r w:rsidRPr="155B83C1">
        <w:rPr>
          <w:rFonts w:eastAsia="Arial" w:cs="Arial"/>
          <w:i/>
          <w:iCs/>
          <w:sz w:val="22"/>
          <w:szCs w:val="22"/>
          <w:lang w:val="en-US"/>
        </w:rPr>
        <w:t xml:space="preserve"> guidelines for biodiversity monitoring which includes the following key principles:</w:t>
      </w:r>
    </w:p>
    <w:p w14:paraId="5EDEF493" w14:textId="46D6831C" w:rsidR="155B83C1" w:rsidRDefault="155B83C1" w:rsidP="155B83C1">
      <w:pPr>
        <w:ind w:left="363"/>
        <w:rPr>
          <w:rFonts w:eastAsia="Arial" w:cs="Arial"/>
          <w:i/>
          <w:iCs/>
          <w:sz w:val="22"/>
          <w:szCs w:val="22"/>
          <w:lang w:val="en-US"/>
        </w:rPr>
      </w:pPr>
    </w:p>
    <w:p w14:paraId="282536A1" w14:textId="1756E398" w:rsidR="2B7D430D" w:rsidRDefault="2B7D430D" w:rsidP="155B83C1">
      <w:pPr>
        <w:pStyle w:val="ListParagraph"/>
        <w:numPr>
          <w:ilvl w:val="0"/>
          <w:numId w:val="5"/>
        </w:numPr>
        <w:spacing w:after="0"/>
        <w:jc w:val="both"/>
        <w:rPr>
          <w:rFonts w:eastAsia="Arial" w:cs="Arial"/>
          <w:i/>
          <w:iCs/>
          <w:color w:val="4471C4"/>
          <w:sz w:val="22"/>
          <w:szCs w:val="22"/>
          <w:lang w:val="en-US"/>
        </w:rPr>
      </w:pPr>
      <w:r w:rsidRPr="155B83C1">
        <w:rPr>
          <w:rFonts w:eastAsia="Arial" w:cs="Arial"/>
          <w:i/>
          <w:iCs/>
          <w:sz w:val="22"/>
          <w:szCs w:val="22"/>
          <w:lang w:val="en-US"/>
        </w:rPr>
        <w:t>Monitoring must involve at least 5 indicators</w:t>
      </w:r>
    </w:p>
    <w:p w14:paraId="1F45420A" w14:textId="400BD750" w:rsidR="2B7D430D" w:rsidRDefault="2B7D430D" w:rsidP="155B83C1">
      <w:pPr>
        <w:pStyle w:val="ListParagraph"/>
        <w:numPr>
          <w:ilvl w:val="0"/>
          <w:numId w:val="5"/>
        </w:numPr>
        <w:spacing w:after="0"/>
        <w:jc w:val="both"/>
        <w:rPr>
          <w:rFonts w:eastAsia="Arial" w:cs="Arial"/>
          <w:i/>
          <w:iCs/>
          <w:color w:val="4471C4"/>
          <w:sz w:val="22"/>
          <w:szCs w:val="22"/>
          <w:lang w:val="en-US"/>
        </w:rPr>
      </w:pPr>
      <w:r w:rsidRPr="155B83C1">
        <w:rPr>
          <w:rFonts w:eastAsia="Arial" w:cs="Arial"/>
          <w:i/>
          <w:iCs/>
          <w:sz w:val="22"/>
          <w:szCs w:val="22"/>
          <w:lang w:val="en-US"/>
        </w:rPr>
        <w:t>At least 1 of the indicators must reflect ecosystem structure</w:t>
      </w:r>
    </w:p>
    <w:p w14:paraId="501B6748" w14:textId="6A97BFEB" w:rsidR="2B7D430D" w:rsidRDefault="2B7D430D" w:rsidP="155B83C1">
      <w:pPr>
        <w:pStyle w:val="ListParagraph"/>
        <w:numPr>
          <w:ilvl w:val="0"/>
          <w:numId w:val="5"/>
        </w:numPr>
        <w:spacing w:after="0"/>
        <w:jc w:val="both"/>
        <w:rPr>
          <w:rFonts w:eastAsia="Arial" w:cs="Arial"/>
          <w:i/>
          <w:iCs/>
          <w:color w:val="4471C4"/>
          <w:sz w:val="22"/>
          <w:szCs w:val="22"/>
          <w:lang w:val="en-US"/>
        </w:rPr>
      </w:pPr>
      <w:r w:rsidRPr="155B83C1">
        <w:rPr>
          <w:rFonts w:eastAsia="Arial" w:cs="Arial"/>
          <w:i/>
          <w:iCs/>
          <w:sz w:val="22"/>
          <w:szCs w:val="22"/>
          <w:lang w:val="en-US"/>
        </w:rPr>
        <w:t>Selection of indicators must reflect the nature and context of the project</w:t>
      </w:r>
    </w:p>
    <w:p w14:paraId="70B5ED77" w14:textId="7B2DD1AC" w:rsidR="2B7D430D" w:rsidRDefault="2B7D430D" w:rsidP="155B83C1">
      <w:pPr>
        <w:pStyle w:val="ListParagraph"/>
        <w:numPr>
          <w:ilvl w:val="0"/>
          <w:numId w:val="5"/>
        </w:numPr>
        <w:spacing w:after="0"/>
        <w:jc w:val="both"/>
        <w:rPr>
          <w:rFonts w:eastAsia="Arial" w:cs="Arial"/>
          <w:i/>
          <w:iCs/>
          <w:color w:val="4471C4"/>
          <w:sz w:val="22"/>
          <w:szCs w:val="22"/>
          <w:lang w:val="en-US"/>
        </w:rPr>
      </w:pPr>
      <w:r w:rsidRPr="155B83C1">
        <w:rPr>
          <w:rFonts w:eastAsia="Arial" w:cs="Arial"/>
          <w:i/>
          <w:iCs/>
          <w:sz w:val="22"/>
          <w:szCs w:val="22"/>
          <w:lang w:val="en-US"/>
        </w:rPr>
        <w:t xml:space="preserve">A clear methodology must be established prior to the baseline and remain unchanged  </w:t>
      </w:r>
    </w:p>
    <w:p w14:paraId="5918EE01" w14:textId="5595B461" w:rsidR="2B7D430D" w:rsidRDefault="2B7D430D" w:rsidP="155B83C1">
      <w:pPr>
        <w:pStyle w:val="ListParagraph"/>
        <w:numPr>
          <w:ilvl w:val="0"/>
          <w:numId w:val="5"/>
        </w:numPr>
        <w:spacing w:after="0"/>
        <w:jc w:val="both"/>
        <w:rPr>
          <w:rFonts w:eastAsia="Arial" w:cs="Arial"/>
          <w:i/>
          <w:iCs/>
          <w:color w:val="4471C4"/>
          <w:sz w:val="22"/>
          <w:szCs w:val="22"/>
          <w:lang w:val="en-US"/>
        </w:rPr>
      </w:pPr>
      <w:r w:rsidRPr="155B83C1">
        <w:rPr>
          <w:rFonts w:eastAsia="Arial" w:cs="Arial"/>
          <w:i/>
          <w:iCs/>
          <w:sz w:val="22"/>
          <w:szCs w:val="22"/>
          <w:lang w:val="en-US"/>
        </w:rPr>
        <w:t>In addition to a pre-project baseline, monitoring must occur at least every 5 years, but preferably every 3 years. More frequent monitoring may be applicable in some cases.</w:t>
      </w:r>
    </w:p>
    <w:p w14:paraId="10CE27D0" w14:textId="16118264" w:rsidR="155B83C1" w:rsidRDefault="155B83C1" w:rsidP="155B83C1">
      <w:pPr>
        <w:pStyle w:val="ListParagraph"/>
        <w:tabs>
          <w:tab w:val="left" w:pos="6915"/>
          <w:tab w:val="left" w:pos="9495"/>
        </w:tabs>
        <w:ind w:left="360"/>
        <w:rPr>
          <w:color w:val="000000" w:themeColor="text1"/>
          <w:sz w:val="22"/>
          <w:szCs w:val="22"/>
          <w:lang w:val="en-US"/>
        </w:rPr>
      </w:pPr>
    </w:p>
    <w:p w14:paraId="36A6A6E4" w14:textId="37DDEF55" w:rsidR="00DF6792" w:rsidRPr="00DF6792" w:rsidRDefault="00B67F63" w:rsidP="0D2B476A">
      <w:pPr>
        <w:pStyle w:val="ListParagraph"/>
        <w:tabs>
          <w:tab w:val="left" w:pos="6915"/>
          <w:tab w:val="left" w:pos="9495"/>
        </w:tabs>
        <w:ind w:left="360"/>
        <w:jc w:val="both"/>
        <w:rPr>
          <w:i/>
          <w:iCs/>
          <w:color w:val="000000" w:themeColor="text1"/>
          <w:sz w:val="22"/>
          <w:szCs w:val="22"/>
          <w:lang w:val="en-US"/>
        </w:rPr>
      </w:pPr>
      <w:r w:rsidRPr="0D2B476A">
        <w:rPr>
          <w:i/>
          <w:iCs/>
          <w:color w:val="000000" w:themeColor="text1"/>
          <w:sz w:val="22"/>
          <w:szCs w:val="22"/>
          <w:lang w:val="en-US"/>
        </w:rPr>
        <w:t>T</w:t>
      </w:r>
      <w:r w:rsidR="00DF6792" w:rsidRPr="0D2B476A">
        <w:rPr>
          <w:i/>
          <w:iCs/>
          <w:color w:val="000000" w:themeColor="text1"/>
          <w:sz w:val="22"/>
          <w:szCs w:val="22"/>
          <w:lang w:val="en-US"/>
        </w:rPr>
        <w:t>he impact on biodiversity varies depending on each project's specific nature. Biodiversity impact is</w:t>
      </w:r>
      <w:r w:rsidR="003200B6" w:rsidRPr="0D2B476A">
        <w:rPr>
          <w:i/>
          <w:iCs/>
          <w:color w:val="000000" w:themeColor="text1"/>
          <w:sz w:val="22"/>
          <w:szCs w:val="22"/>
          <w:lang w:val="en-US"/>
        </w:rPr>
        <w:t xml:space="preserve"> </w:t>
      </w:r>
      <w:r w:rsidR="00BD5E45" w:rsidRPr="0D2B476A">
        <w:rPr>
          <w:i/>
          <w:iCs/>
          <w:color w:val="000000" w:themeColor="text1"/>
          <w:sz w:val="22"/>
          <w:szCs w:val="22"/>
          <w:lang w:val="en-US"/>
        </w:rPr>
        <w:t>primarily</w:t>
      </w:r>
      <w:r w:rsidR="00DF6792" w:rsidRPr="0D2B476A">
        <w:rPr>
          <w:i/>
          <w:iCs/>
          <w:color w:val="000000" w:themeColor="text1"/>
          <w:sz w:val="22"/>
          <w:szCs w:val="22"/>
          <w:lang w:val="en-US"/>
        </w:rPr>
        <w:t xml:space="preserve"> monitored using a high-level indicator, such as areas under natural vegetation and/or conservation. Specific qualitative field data and associated KPIs to qualify the state of biodiversity could be added</w:t>
      </w:r>
      <w:r w:rsidR="3A17C9C7" w:rsidRPr="0D2B476A">
        <w:rPr>
          <w:i/>
          <w:iCs/>
          <w:color w:val="000000" w:themeColor="text1"/>
          <w:sz w:val="22"/>
          <w:szCs w:val="22"/>
          <w:lang w:val="en-US"/>
        </w:rPr>
        <w:t xml:space="preserve"> to LDN reporting,</w:t>
      </w:r>
      <w:r w:rsidR="00DF6792" w:rsidRPr="0D2B476A">
        <w:rPr>
          <w:i/>
          <w:iCs/>
          <w:color w:val="000000" w:themeColor="text1"/>
          <w:sz w:val="22"/>
          <w:szCs w:val="22"/>
          <w:lang w:val="en-US"/>
        </w:rPr>
        <w:t xml:space="preserve"> according to the specific nature of the projects using</w:t>
      </w:r>
      <w:r w:rsidR="5FB47DBB" w:rsidRPr="0D2B476A">
        <w:rPr>
          <w:i/>
          <w:iCs/>
          <w:color w:val="000000" w:themeColor="text1"/>
          <w:sz w:val="22"/>
          <w:szCs w:val="22"/>
          <w:lang w:val="en-US"/>
        </w:rPr>
        <w:t xml:space="preserve"> the following:</w:t>
      </w:r>
    </w:p>
    <w:p w14:paraId="6108877C" w14:textId="4D30D6C9" w:rsidR="00DF6792" w:rsidRPr="00F7082F" w:rsidRDefault="00DF6792" w:rsidP="479F6A8E">
      <w:pPr>
        <w:pStyle w:val="ListParagraph"/>
        <w:numPr>
          <w:ilvl w:val="0"/>
          <w:numId w:val="31"/>
        </w:numPr>
        <w:tabs>
          <w:tab w:val="left" w:pos="6915"/>
          <w:tab w:val="left" w:pos="9495"/>
        </w:tabs>
        <w:jc w:val="both"/>
        <w:rPr>
          <w:i/>
          <w:iCs/>
          <w:color w:val="000000" w:themeColor="text1"/>
          <w:sz w:val="22"/>
          <w:szCs w:val="22"/>
          <w:lang w:val="en-US"/>
        </w:rPr>
      </w:pPr>
      <w:r w:rsidRPr="479F6A8E">
        <w:rPr>
          <w:i/>
          <w:iCs/>
          <w:color w:val="000000" w:themeColor="text1"/>
          <w:sz w:val="22"/>
          <w:szCs w:val="22"/>
          <w:lang w:val="en-US"/>
        </w:rPr>
        <w:t>Remote sensing: use of satellite imagery to monitor and evaluate landscape-level changes over time, including land use change, primary productivity (</w:t>
      </w:r>
      <w:proofErr w:type="spellStart"/>
      <w:r w:rsidRPr="479F6A8E">
        <w:rPr>
          <w:i/>
          <w:iCs/>
          <w:color w:val="000000" w:themeColor="text1"/>
          <w:sz w:val="22"/>
          <w:szCs w:val="22"/>
          <w:lang w:val="en-US"/>
        </w:rPr>
        <w:t>Normali</w:t>
      </w:r>
      <w:r w:rsidR="7F0984DA" w:rsidRPr="479F6A8E">
        <w:rPr>
          <w:i/>
          <w:iCs/>
          <w:color w:val="000000" w:themeColor="text1"/>
          <w:sz w:val="22"/>
          <w:szCs w:val="22"/>
          <w:lang w:val="en-US"/>
        </w:rPr>
        <w:t>s</w:t>
      </w:r>
      <w:r w:rsidRPr="479F6A8E">
        <w:rPr>
          <w:i/>
          <w:iCs/>
          <w:color w:val="000000" w:themeColor="text1"/>
          <w:sz w:val="22"/>
          <w:szCs w:val="22"/>
          <w:lang w:val="en-US"/>
        </w:rPr>
        <w:t>ed</w:t>
      </w:r>
      <w:proofErr w:type="spellEnd"/>
      <w:r w:rsidRPr="479F6A8E">
        <w:rPr>
          <w:i/>
          <w:iCs/>
          <w:color w:val="000000" w:themeColor="text1"/>
          <w:sz w:val="22"/>
          <w:szCs w:val="22"/>
          <w:lang w:val="en-US"/>
        </w:rPr>
        <w:t xml:space="preserve"> Difference Vegetation Index (NDVI), </w:t>
      </w:r>
      <w:proofErr w:type="spellStart"/>
      <w:r w:rsidRPr="479F6A8E">
        <w:rPr>
          <w:i/>
          <w:iCs/>
          <w:color w:val="000000" w:themeColor="text1"/>
          <w:sz w:val="22"/>
          <w:szCs w:val="22"/>
          <w:lang w:val="en-US"/>
        </w:rPr>
        <w:t>Normali</w:t>
      </w:r>
      <w:r w:rsidR="30B66161" w:rsidRPr="479F6A8E">
        <w:rPr>
          <w:i/>
          <w:iCs/>
          <w:color w:val="000000" w:themeColor="text1"/>
          <w:sz w:val="22"/>
          <w:szCs w:val="22"/>
          <w:lang w:val="en-US"/>
        </w:rPr>
        <w:t>s</w:t>
      </w:r>
      <w:r w:rsidRPr="479F6A8E">
        <w:rPr>
          <w:i/>
          <w:iCs/>
          <w:color w:val="000000" w:themeColor="text1"/>
          <w:sz w:val="22"/>
          <w:szCs w:val="22"/>
          <w:lang w:val="en-US"/>
        </w:rPr>
        <w:t>ed</w:t>
      </w:r>
      <w:proofErr w:type="spellEnd"/>
      <w:r w:rsidRPr="479F6A8E">
        <w:rPr>
          <w:i/>
          <w:iCs/>
          <w:color w:val="000000" w:themeColor="text1"/>
          <w:sz w:val="22"/>
          <w:szCs w:val="22"/>
          <w:lang w:val="en-US"/>
        </w:rPr>
        <w:t xml:space="preserve"> Difference Moisture Index (NDMI), above-ground biomass stock, Shannon-Wiener plant diversity index, etc.</w:t>
      </w:r>
    </w:p>
    <w:p w14:paraId="7F9923EE" w14:textId="06C01237" w:rsidR="00DF6792" w:rsidRPr="00F7082F" w:rsidRDefault="00DF6792" w:rsidP="479F6A8E">
      <w:pPr>
        <w:pStyle w:val="ListParagraph"/>
        <w:numPr>
          <w:ilvl w:val="0"/>
          <w:numId w:val="31"/>
        </w:numPr>
        <w:tabs>
          <w:tab w:val="left" w:pos="6915"/>
          <w:tab w:val="left" w:pos="9495"/>
        </w:tabs>
        <w:jc w:val="both"/>
        <w:rPr>
          <w:i/>
          <w:iCs/>
          <w:color w:val="000000" w:themeColor="text1"/>
          <w:sz w:val="22"/>
          <w:szCs w:val="22"/>
          <w:lang w:val="en-US"/>
        </w:rPr>
      </w:pPr>
      <w:r w:rsidRPr="479F6A8E">
        <w:rPr>
          <w:i/>
          <w:iCs/>
          <w:color w:val="000000" w:themeColor="text1"/>
          <w:sz w:val="22"/>
          <w:szCs w:val="22"/>
          <w:lang w:val="en-US"/>
        </w:rPr>
        <w:t xml:space="preserve">eDNA: analysis of DNA from environmental samples (water, soil, insects, etc.) </w:t>
      </w:r>
    </w:p>
    <w:p w14:paraId="21CD1509" w14:textId="12924D5D" w:rsidR="008F4C84" w:rsidRPr="002544EF" w:rsidRDefault="00DF6792" w:rsidP="00F7082F">
      <w:pPr>
        <w:pStyle w:val="ListParagraph"/>
        <w:numPr>
          <w:ilvl w:val="0"/>
          <w:numId w:val="30"/>
        </w:numPr>
        <w:rPr>
          <w:sz w:val="22"/>
          <w:szCs w:val="22"/>
          <w:lang w:val="en-US"/>
        </w:rPr>
      </w:pPr>
      <w:r w:rsidRPr="479F6A8E">
        <w:rPr>
          <w:i/>
          <w:iCs/>
          <w:color w:val="000000" w:themeColor="text1"/>
          <w:sz w:val="22"/>
          <w:szCs w:val="22"/>
          <w:lang w:val="en-US"/>
        </w:rPr>
        <w:t xml:space="preserve">Acoustic monitoring: collection of data on the types of species </w:t>
      </w:r>
      <w:proofErr w:type="gramStart"/>
      <w:r w:rsidRPr="479F6A8E">
        <w:rPr>
          <w:i/>
          <w:iCs/>
          <w:color w:val="000000" w:themeColor="text1"/>
          <w:sz w:val="22"/>
          <w:szCs w:val="22"/>
          <w:lang w:val="en-US"/>
        </w:rPr>
        <w:t>present</w:t>
      </w:r>
      <w:proofErr w:type="gramEnd"/>
      <w:r w:rsidRPr="479F6A8E">
        <w:rPr>
          <w:i/>
          <w:iCs/>
          <w:color w:val="000000" w:themeColor="text1"/>
          <w:sz w:val="22"/>
          <w:szCs w:val="22"/>
          <w:lang w:val="en-US"/>
        </w:rPr>
        <w:t xml:space="preserve"> in a specific location, gathered by </w:t>
      </w:r>
      <w:proofErr w:type="spellStart"/>
      <w:r w:rsidRPr="479F6A8E">
        <w:rPr>
          <w:i/>
          <w:iCs/>
          <w:color w:val="000000" w:themeColor="text1"/>
          <w:sz w:val="22"/>
          <w:szCs w:val="22"/>
          <w:lang w:val="en-US"/>
        </w:rPr>
        <w:t>analy</w:t>
      </w:r>
      <w:r w:rsidR="0E49F74C" w:rsidRPr="479F6A8E">
        <w:rPr>
          <w:i/>
          <w:iCs/>
          <w:color w:val="000000" w:themeColor="text1"/>
          <w:sz w:val="22"/>
          <w:szCs w:val="22"/>
          <w:lang w:val="en-US"/>
        </w:rPr>
        <w:t>s</w:t>
      </w:r>
      <w:r w:rsidRPr="479F6A8E">
        <w:rPr>
          <w:i/>
          <w:iCs/>
          <w:color w:val="000000" w:themeColor="text1"/>
          <w:sz w:val="22"/>
          <w:szCs w:val="22"/>
          <w:lang w:val="en-US"/>
        </w:rPr>
        <w:t>ing</w:t>
      </w:r>
      <w:proofErr w:type="spellEnd"/>
      <w:r w:rsidRPr="479F6A8E">
        <w:rPr>
          <w:i/>
          <w:iCs/>
          <w:color w:val="000000" w:themeColor="text1"/>
          <w:sz w:val="22"/>
          <w:szCs w:val="22"/>
          <w:lang w:val="en-US"/>
        </w:rPr>
        <w:t xml:space="preserve"> sound recordings</w:t>
      </w:r>
    </w:p>
    <w:p w14:paraId="0F56F6A8" w14:textId="3165BFBE" w:rsidR="2E2A7CF5" w:rsidRDefault="00DF6792" w:rsidP="0D2B476A">
      <w:pPr>
        <w:pStyle w:val="ListParagraph"/>
        <w:numPr>
          <w:ilvl w:val="0"/>
          <w:numId w:val="30"/>
        </w:numPr>
        <w:rPr>
          <w:rFonts w:eastAsia="Arial" w:cs="Arial"/>
          <w:i/>
          <w:iCs/>
          <w:sz w:val="22"/>
          <w:szCs w:val="22"/>
          <w:lang w:val="en-US"/>
        </w:rPr>
      </w:pPr>
      <w:r w:rsidRPr="0D2B476A">
        <w:rPr>
          <w:rFonts w:eastAsia="Arial" w:cs="Arial"/>
          <w:i/>
          <w:iCs/>
          <w:sz w:val="22"/>
          <w:szCs w:val="22"/>
          <w:lang w:val="en-US"/>
        </w:rPr>
        <w:t>Field surveys: traditional observations on the ground by specialists.</w:t>
      </w:r>
    </w:p>
    <w:p w14:paraId="29D846B7" w14:textId="244229F9" w:rsidR="1FEDE5F3" w:rsidRDefault="1FEDE5F3" w:rsidP="1FEDE5F3">
      <w:pPr>
        <w:pStyle w:val="ListParagraph"/>
        <w:spacing w:after="0"/>
        <w:jc w:val="both"/>
        <w:rPr>
          <w:rFonts w:eastAsia="Arial" w:cs="Arial"/>
          <w:i/>
          <w:iCs/>
          <w:sz w:val="22"/>
          <w:szCs w:val="22"/>
          <w:lang w:val="en-US"/>
        </w:rPr>
      </w:pPr>
    </w:p>
    <w:p w14:paraId="07E5C990" w14:textId="1942D5AF" w:rsidR="4704A406" w:rsidRDefault="51698ACE" w:rsidP="729C6577">
      <w:pPr>
        <w:ind w:left="363"/>
        <w:rPr>
          <w:rFonts w:eastAsia="Arial" w:cs="Arial"/>
          <w:i/>
          <w:iCs/>
          <w:sz w:val="22"/>
          <w:szCs w:val="22"/>
          <w:lang w:val="en-US"/>
        </w:rPr>
      </w:pPr>
      <w:r w:rsidRPr="729C6577">
        <w:rPr>
          <w:rFonts w:eastAsia="Arial" w:cs="Arial"/>
          <w:i/>
          <w:iCs/>
          <w:sz w:val="22"/>
          <w:szCs w:val="22"/>
          <w:lang w:val="en-US"/>
        </w:rPr>
        <w:lastRenderedPageBreak/>
        <w:t>T</w:t>
      </w:r>
      <w:r w:rsidR="4704A406" w:rsidRPr="729C6577">
        <w:rPr>
          <w:rFonts w:eastAsia="Arial" w:cs="Arial"/>
          <w:i/>
          <w:iCs/>
          <w:sz w:val="22"/>
          <w:szCs w:val="22"/>
          <w:lang w:val="en-US"/>
        </w:rPr>
        <w:t>esting of remote sensing solutions ha</w:t>
      </w:r>
      <w:r w:rsidR="24CECA3C" w:rsidRPr="729C6577">
        <w:rPr>
          <w:rFonts w:eastAsia="Arial" w:cs="Arial"/>
          <w:i/>
          <w:iCs/>
          <w:sz w:val="22"/>
          <w:szCs w:val="22"/>
          <w:lang w:val="en-US"/>
        </w:rPr>
        <w:t>s</w:t>
      </w:r>
      <w:r w:rsidR="4704A406" w:rsidRPr="729C6577">
        <w:rPr>
          <w:rFonts w:eastAsia="Arial" w:cs="Arial"/>
          <w:i/>
          <w:iCs/>
          <w:sz w:val="22"/>
          <w:szCs w:val="22"/>
          <w:lang w:val="en-US"/>
        </w:rPr>
        <w:t xml:space="preserve"> been explored </w:t>
      </w:r>
      <w:r w:rsidR="2FCE9402" w:rsidRPr="729C6577">
        <w:rPr>
          <w:rFonts w:eastAsia="Arial" w:cs="Arial"/>
          <w:i/>
          <w:iCs/>
          <w:sz w:val="22"/>
          <w:szCs w:val="22"/>
          <w:lang w:val="en-US"/>
        </w:rPr>
        <w:t xml:space="preserve">by </w:t>
      </w:r>
      <w:proofErr w:type="spellStart"/>
      <w:r w:rsidR="2FCE9402" w:rsidRPr="729C6577">
        <w:rPr>
          <w:rFonts w:eastAsia="Arial" w:cs="Arial"/>
          <w:i/>
          <w:iCs/>
          <w:sz w:val="22"/>
          <w:szCs w:val="22"/>
          <w:lang w:val="en-US"/>
        </w:rPr>
        <w:t>Mirova</w:t>
      </w:r>
      <w:proofErr w:type="spellEnd"/>
      <w:r w:rsidR="2FCE9402" w:rsidRPr="729C6577">
        <w:rPr>
          <w:rFonts w:eastAsia="Arial" w:cs="Arial"/>
          <w:i/>
          <w:iCs/>
          <w:sz w:val="22"/>
          <w:szCs w:val="22"/>
          <w:lang w:val="en-US"/>
        </w:rPr>
        <w:t xml:space="preserve"> </w:t>
      </w:r>
      <w:r w:rsidR="4704A406" w:rsidRPr="729C6577">
        <w:rPr>
          <w:rFonts w:eastAsia="Arial" w:cs="Arial"/>
          <w:i/>
          <w:iCs/>
          <w:sz w:val="22"/>
          <w:szCs w:val="22"/>
          <w:lang w:val="en-US"/>
        </w:rPr>
        <w:t>as well as piloting of field data collection (soil and pollen sampling and laboratory analysis).</w:t>
      </w:r>
    </w:p>
    <w:p w14:paraId="6019D925" w14:textId="32EBB3E1" w:rsidR="729C6577" w:rsidRDefault="729C6577" w:rsidP="729C6577">
      <w:pPr>
        <w:ind w:left="363"/>
        <w:rPr>
          <w:rFonts w:eastAsia="Arial" w:cs="Arial"/>
          <w:i/>
          <w:iCs/>
          <w:sz w:val="22"/>
          <w:szCs w:val="22"/>
          <w:lang w:val="en-US"/>
        </w:rPr>
      </w:pPr>
    </w:p>
    <w:p w14:paraId="4CA5E2E9" w14:textId="561476A9" w:rsidR="002544EF" w:rsidRPr="002544EF" w:rsidRDefault="5A8C1F2A" w:rsidP="4E3464E5">
      <w:pPr>
        <w:ind w:left="363"/>
        <w:rPr>
          <w:i/>
          <w:iCs/>
          <w:sz w:val="22"/>
          <w:szCs w:val="22"/>
          <w:lang w:val="en-US"/>
        </w:rPr>
      </w:pPr>
      <w:r w:rsidRPr="4E3464E5">
        <w:rPr>
          <w:rFonts w:eastAsia="Arial" w:cs="Arial"/>
          <w:i/>
          <w:iCs/>
          <w:sz w:val="22"/>
          <w:szCs w:val="22"/>
          <w:lang w:val="en-US"/>
        </w:rPr>
        <w:t xml:space="preserve">The possible use of this data and suggested KPIs should be discussed with </w:t>
      </w:r>
      <w:proofErr w:type="spellStart"/>
      <w:r w:rsidRPr="4E3464E5">
        <w:rPr>
          <w:rFonts w:eastAsia="Arial" w:cs="Arial"/>
          <w:i/>
          <w:iCs/>
          <w:sz w:val="22"/>
          <w:szCs w:val="22"/>
          <w:lang w:val="en-US"/>
        </w:rPr>
        <w:t>Mirova</w:t>
      </w:r>
      <w:proofErr w:type="spellEnd"/>
      <w:r w:rsidRPr="4E3464E5">
        <w:rPr>
          <w:rFonts w:eastAsia="Arial" w:cs="Arial"/>
          <w:i/>
          <w:iCs/>
          <w:sz w:val="22"/>
          <w:szCs w:val="22"/>
          <w:lang w:val="en-US"/>
        </w:rPr>
        <w:t xml:space="preserve"> </w:t>
      </w:r>
      <w:r w:rsidR="00265B9C">
        <w:rPr>
          <w:rFonts w:eastAsia="Arial" w:cs="Arial"/>
          <w:i/>
          <w:iCs/>
          <w:sz w:val="22"/>
          <w:szCs w:val="22"/>
          <w:lang w:val="en-US"/>
        </w:rPr>
        <w:t>by March 2025</w:t>
      </w:r>
      <w:r w:rsidRPr="4E3464E5">
        <w:rPr>
          <w:rFonts w:eastAsia="Arial" w:cs="Arial"/>
          <w:i/>
          <w:iCs/>
          <w:sz w:val="22"/>
          <w:szCs w:val="22"/>
          <w:lang w:val="en-US"/>
        </w:rPr>
        <w:t xml:space="preserve"> </w:t>
      </w:r>
      <w:r w:rsidR="3C69F409" w:rsidRPr="4E3464E5">
        <w:rPr>
          <w:rFonts w:eastAsia="Arial" w:cs="Arial"/>
          <w:i/>
          <w:iCs/>
          <w:sz w:val="22"/>
          <w:szCs w:val="22"/>
          <w:lang w:val="en-US"/>
        </w:rPr>
        <w:t xml:space="preserve">to ensure indicators accurately capture the protection of all nature/biodiversity, rather than just the </w:t>
      </w:r>
      <w:r w:rsidR="0364A84D" w:rsidRPr="4E3464E5">
        <w:rPr>
          <w:rFonts w:eastAsia="Arial" w:cs="Arial"/>
          <w:i/>
          <w:iCs/>
          <w:sz w:val="22"/>
          <w:szCs w:val="22"/>
          <w:lang w:val="en-US"/>
        </w:rPr>
        <w:t xml:space="preserve">habitats of protected species as current. In line with this, </w:t>
      </w:r>
      <w:r w:rsidR="002544EF" w:rsidRPr="4E3464E5">
        <w:rPr>
          <w:i/>
          <w:iCs/>
          <w:sz w:val="22"/>
          <w:szCs w:val="22"/>
          <w:lang w:val="en-US"/>
        </w:rPr>
        <w:t xml:space="preserve">Indicator 2.1 has continued to be troublesome, and a </w:t>
      </w:r>
      <w:r w:rsidR="015F6E4C" w:rsidRPr="4E3464E5">
        <w:rPr>
          <w:i/>
          <w:iCs/>
          <w:sz w:val="22"/>
          <w:szCs w:val="22"/>
          <w:lang w:val="en-US"/>
        </w:rPr>
        <w:t xml:space="preserve">meaningful reporting </w:t>
      </w:r>
      <w:r w:rsidR="002544EF" w:rsidRPr="4E3464E5">
        <w:rPr>
          <w:i/>
          <w:iCs/>
          <w:sz w:val="22"/>
          <w:szCs w:val="22"/>
          <w:lang w:val="en-US"/>
        </w:rPr>
        <w:t xml:space="preserve">methodology has been hard to develop for this </w:t>
      </w:r>
      <w:proofErr w:type="spellStart"/>
      <w:r w:rsidR="002544EF" w:rsidRPr="4E3464E5">
        <w:rPr>
          <w:i/>
          <w:iCs/>
          <w:sz w:val="22"/>
          <w:szCs w:val="22"/>
          <w:lang w:val="en-US"/>
        </w:rPr>
        <w:t>programme</w:t>
      </w:r>
      <w:proofErr w:type="spellEnd"/>
      <w:r w:rsidR="002544EF" w:rsidRPr="4E3464E5">
        <w:rPr>
          <w:i/>
          <w:iCs/>
          <w:sz w:val="22"/>
          <w:szCs w:val="22"/>
          <w:lang w:val="en-US"/>
        </w:rPr>
        <w:t xml:space="preserve">. As discussed further below, </w:t>
      </w:r>
      <w:r w:rsidR="314FB357" w:rsidRPr="4E3464E5">
        <w:rPr>
          <w:i/>
          <w:iCs/>
          <w:sz w:val="22"/>
          <w:szCs w:val="22"/>
          <w:lang w:val="en-US"/>
        </w:rPr>
        <w:t xml:space="preserve">this Indicator’s </w:t>
      </w:r>
      <w:r w:rsidR="002544EF" w:rsidRPr="4E3464E5">
        <w:rPr>
          <w:i/>
          <w:iCs/>
          <w:sz w:val="22"/>
          <w:szCs w:val="22"/>
          <w:lang w:val="en-US"/>
        </w:rPr>
        <w:t>value will be assessed ahead of 2024’s annual review.</w:t>
      </w:r>
    </w:p>
    <w:p w14:paraId="0BD39C0A" w14:textId="63B02B22" w:rsidR="1BFC73FC" w:rsidRPr="00F92DB0" w:rsidRDefault="1BFC73FC" w:rsidP="00F92DB0">
      <w:pPr>
        <w:tabs>
          <w:tab w:val="left" w:pos="6915"/>
          <w:tab w:val="left" w:pos="9495"/>
        </w:tabs>
        <w:rPr>
          <w:color w:val="000000" w:themeColor="text1"/>
          <w:sz w:val="22"/>
          <w:szCs w:val="22"/>
        </w:rPr>
      </w:pPr>
    </w:p>
    <w:p w14:paraId="3E04EFBC" w14:textId="414154F1" w:rsidR="3C7E1264" w:rsidRPr="00E52418" w:rsidRDefault="3C7E1264" w:rsidP="62A63A7F">
      <w:pPr>
        <w:pStyle w:val="ListParagraph"/>
        <w:numPr>
          <w:ilvl w:val="0"/>
          <w:numId w:val="19"/>
        </w:numPr>
        <w:tabs>
          <w:tab w:val="left" w:pos="6915"/>
          <w:tab w:val="left" w:pos="9495"/>
        </w:tabs>
        <w:rPr>
          <w:rFonts w:eastAsia="Arial" w:cs="Arial"/>
          <w:sz w:val="22"/>
          <w:szCs w:val="22"/>
        </w:rPr>
      </w:pPr>
      <w:r w:rsidRPr="72DFC853">
        <w:rPr>
          <w:rFonts w:eastAsia="Arial" w:cs="Arial"/>
          <w:sz w:val="22"/>
          <w:szCs w:val="22"/>
        </w:rPr>
        <w:t>Consider further GESI disaggregation in future reporting and split livelihoods supported by employees and smallholders with clearer definitions.</w:t>
      </w:r>
      <w:r w:rsidR="1573001A" w:rsidRPr="72DFC853">
        <w:rPr>
          <w:rFonts w:eastAsia="Arial" w:cs="Arial"/>
          <w:sz w:val="22"/>
          <w:szCs w:val="22"/>
        </w:rPr>
        <w:t xml:space="preserve"> (Output Indicator 3.1-3.3).</w:t>
      </w:r>
      <w:r w:rsidR="00CE7A63">
        <w:rPr>
          <w:rFonts w:eastAsia="Arial" w:cs="Arial"/>
          <w:sz w:val="22"/>
          <w:szCs w:val="22"/>
        </w:rPr>
        <w:t xml:space="preserve"> </w:t>
      </w:r>
      <w:r w:rsidR="00CE7A63" w:rsidRPr="00E52418">
        <w:rPr>
          <w:rFonts w:eastAsia="Arial" w:cs="Arial"/>
          <w:sz w:val="22"/>
          <w:szCs w:val="22"/>
        </w:rPr>
        <w:t>(Complete).</w:t>
      </w:r>
    </w:p>
    <w:p w14:paraId="16F188F9" w14:textId="47FBD55D" w:rsidR="62A63A7F" w:rsidRPr="00E52418" w:rsidRDefault="62A63A7F" w:rsidP="62A63A7F">
      <w:pPr>
        <w:pStyle w:val="ListParagraph"/>
        <w:tabs>
          <w:tab w:val="left" w:pos="6915"/>
          <w:tab w:val="left" w:pos="9495"/>
        </w:tabs>
        <w:ind w:left="360"/>
        <w:rPr>
          <w:rFonts w:eastAsia="Arial" w:cs="Arial"/>
          <w:sz w:val="22"/>
          <w:szCs w:val="22"/>
        </w:rPr>
      </w:pPr>
    </w:p>
    <w:p w14:paraId="49197A08" w14:textId="60F0F02E" w:rsidR="00F92DB0" w:rsidRPr="00E52418" w:rsidRDefault="00F92DB0" w:rsidP="62A63A7F">
      <w:pPr>
        <w:pStyle w:val="ListParagraph"/>
        <w:tabs>
          <w:tab w:val="left" w:pos="6915"/>
          <w:tab w:val="left" w:pos="9495"/>
        </w:tabs>
        <w:ind w:left="360"/>
        <w:rPr>
          <w:rFonts w:eastAsia="Arial" w:cs="Arial"/>
          <w:i/>
          <w:iCs/>
          <w:sz w:val="22"/>
          <w:szCs w:val="22"/>
        </w:rPr>
      </w:pPr>
      <w:proofErr w:type="spellStart"/>
      <w:r w:rsidRPr="00E52418">
        <w:rPr>
          <w:rFonts w:eastAsia="Arial" w:cs="Arial"/>
          <w:i/>
          <w:iCs/>
          <w:sz w:val="22"/>
          <w:szCs w:val="22"/>
        </w:rPr>
        <w:t>Mirova</w:t>
      </w:r>
      <w:proofErr w:type="spellEnd"/>
      <w:r w:rsidRPr="00E52418">
        <w:rPr>
          <w:rFonts w:eastAsia="Arial" w:cs="Arial"/>
          <w:i/>
          <w:iCs/>
          <w:sz w:val="22"/>
          <w:szCs w:val="22"/>
        </w:rPr>
        <w:t xml:space="preserve"> has met this recommendation</w:t>
      </w:r>
      <w:r w:rsidR="00462976" w:rsidRPr="00E52418">
        <w:rPr>
          <w:rFonts w:eastAsia="Arial" w:cs="Arial"/>
          <w:i/>
          <w:iCs/>
          <w:sz w:val="22"/>
          <w:szCs w:val="22"/>
        </w:rPr>
        <w:t xml:space="preserve"> for gender</w:t>
      </w:r>
      <w:r w:rsidRPr="00E52418">
        <w:rPr>
          <w:rFonts w:eastAsia="Arial" w:cs="Arial"/>
          <w:i/>
          <w:iCs/>
          <w:sz w:val="22"/>
          <w:szCs w:val="22"/>
        </w:rPr>
        <w:t>, providing the data as displayed under output 3</w:t>
      </w:r>
      <w:r w:rsidR="00AF47FD" w:rsidRPr="00E52418">
        <w:rPr>
          <w:rFonts w:eastAsia="Arial" w:cs="Arial"/>
          <w:i/>
          <w:iCs/>
          <w:sz w:val="22"/>
          <w:szCs w:val="22"/>
        </w:rPr>
        <w:t xml:space="preserve">, but does not collect </w:t>
      </w:r>
      <w:r w:rsidR="00DF36BC" w:rsidRPr="00E52418">
        <w:rPr>
          <w:rFonts w:eastAsia="Arial" w:cs="Arial"/>
          <w:i/>
          <w:iCs/>
          <w:sz w:val="22"/>
          <w:szCs w:val="22"/>
        </w:rPr>
        <w:t>disaggregated data beyond gender</w:t>
      </w:r>
      <w:r w:rsidRPr="00E52418">
        <w:rPr>
          <w:rFonts w:eastAsia="Arial" w:cs="Arial"/>
          <w:i/>
          <w:iCs/>
          <w:sz w:val="22"/>
          <w:szCs w:val="22"/>
        </w:rPr>
        <w:t>.</w:t>
      </w:r>
    </w:p>
    <w:p w14:paraId="581D2207" w14:textId="10E30B91" w:rsidR="62A63A7F" w:rsidRPr="00E52418" w:rsidRDefault="62A63A7F" w:rsidP="62A63A7F">
      <w:pPr>
        <w:pStyle w:val="ListParagraph"/>
        <w:tabs>
          <w:tab w:val="left" w:pos="6915"/>
          <w:tab w:val="left" w:pos="9495"/>
        </w:tabs>
        <w:ind w:left="360"/>
        <w:rPr>
          <w:rFonts w:eastAsia="Arial" w:cs="Arial"/>
          <w:sz w:val="22"/>
          <w:szCs w:val="22"/>
        </w:rPr>
      </w:pPr>
    </w:p>
    <w:p w14:paraId="588542D2" w14:textId="4ACA0D11" w:rsidR="5D75F736" w:rsidRPr="00E52418" w:rsidRDefault="007E2C24" w:rsidP="5D75F736">
      <w:pPr>
        <w:pStyle w:val="ListParagraph"/>
        <w:numPr>
          <w:ilvl w:val="0"/>
          <w:numId w:val="19"/>
        </w:numPr>
        <w:tabs>
          <w:tab w:val="left" w:pos="6915"/>
          <w:tab w:val="left" w:pos="9495"/>
        </w:tabs>
        <w:rPr>
          <w:color w:val="000000" w:themeColor="text1"/>
          <w:sz w:val="22"/>
          <w:szCs w:val="22"/>
        </w:rPr>
      </w:pPr>
      <w:r w:rsidRPr="00E52418">
        <w:rPr>
          <w:rFonts w:eastAsia="Arial" w:cs="Arial"/>
          <w:color w:val="000000" w:themeColor="text1"/>
          <w:sz w:val="22"/>
          <w:szCs w:val="22"/>
        </w:rPr>
        <w:t xml:space="preserve">To better quantify the impact of Defra’s investments in sustainable agriculture and support the need for a scaling up of both public and private investment in nature </w:t>
      </w:r>
      <w:r w:rsidR="00B22C30" w:rsidRPr="00E52418">
        <w:rPr>
          <w:color w:val="000000" w:themeColor="text1"/>
          <w:sz w:val="22"/>
          <w:szCs w:val="22"/>
        </w:rPr>
        <w:t>an external evaluation of the programme’s success should be considered in future</w:t>
      </w:r>
      <w:r w:rsidRPr="00E52418">
        <w:rPr>
          <w:rFonts w:eastAsia="Arial" w:cs="Arial"/>
          <w:color w:val="000000" w:themeColor="text1"/>
          <w:sz w:val="22"/>
          <w:szCs w:val="22"/>
        </w:rPr>
        <w:t>.</w:t>
      </w:r>
      <w:r w:rsidR="00CE7A63" w:rsidRPr="00E52418">
        <w:rPr>
          <w:rFonts w:eastAsia="Arial" w:cs="Arial"/>
          <w:color w:val="000000" w:themeColor="text1"/>
          <w:sz w:val="22"/>
          <w:szCs w:val="22"/>
        </w:rPr>
        <w:t xml:space="preserve"> (</w:t>
      </w:r>
      <w:r w:rsidR="00516169" w:rsidRPr="00E52418">
        <w:rPr>
          <w:rFonts w:eastAsia="Arial" w:cs="Arial"/>
          <w:color w:val="000000" w:themeColor="text1"/>
          <w:sz w:val="22"/>
          <w:szCs w:val="22"/>
        </w:rPr>
        <w:t>Recommendation in progress).</w:t>
      </w:r>
    </w:p>
    <w:p w14:paraId="7B6D71C6" w14:textId="2D945817" w:rsidR="00C63733" w:rsidRDefault="00E90E9C" w:rsidP="5D75F736">
      <w:pPr>
        <w:tabs>
          <w:tab w:val="left" w:pos="6915"/>
          <w:tab w:val="left" w:pos="9495"/>
        </w:tabs>
        <w:ind w:left="363"/>
        <w:rPr>
          <w:i/>
          <w:iCs/>
          <w:color w:val="000000" w:themeColor="text1"/>
          <w:sz w:val="22"/>
          <w:szCs w:val="22"/>
        </w:rPr>
      </w:pPr>
      <w:r>
        <w:rPr>
          <w:i/>
          <w:iCs/>
          <w:color w:val="000000" w:themeColor="text1"/>
          <w:sz w:val="22"/>
          <w:szCs w:val="22"/>
        </w:rPr>
        <w:t xml:space="preserve">By March 2025, </w:t>
      </w:r>
      <w:r w:rsidR="002E48A2">
        <w:rPr>
          <w:i/>
          <w:iCs/>
          <w:color w:val="000000" w:themeColor="text1"/>
          <w:sz w:val="22"/>
          <w:szCs w:val="22"/>
        </w:rPr>
        <w:t xml:space="preserve">Defra </w:t>
      </w:r>
      <w:r>
        <w:rPr>
          <w:i/>
          <w:iCs/>
          <w:color w:val="000000" w:themeColor="text1"/>
          <w:sz w:val="22"/>
          <w:szCs w:val="22"/>
        </w:rPr>
        <w:t>will</w:t>
      </w:r>
      <w:r w:rsidR="002E48A2">
        <w:rPr>
          <w:i/>
          <w:iCs/>
          <w:color w:val="000000" w:themeColor="text1"/>
          <w:sz w:val="22"/>
          <w:szCs w:val="22"/>
        </w:rPr>
        <w:t xml:space="preserve"> explore with </w:t>
      </w:r>
      <w:proofErr w:type="spellStart"/>
      <w:r w:rsidR="002E48A2">
        <w:rPr>
          <w:i/>
          <w:iCs/>
          <w:color w:val="000000" w:themeColor="text1"/>
          <w:sz w:val="22"/>
          <w:szCs w:val="22"/>
        </w:rPr>
        <w:t>Mirova</w:t>
      </w:r>
      <w:proofErr w:type="spellEnd"/>
      <w:r w:rsidR="002E48A2">
        <w:rPr>
          <w:i/>
          <w:iCs/>
          <w:color w:val="000000" w:themeColor="text1"/>
          <w:sz w:val="22"/>
          <w:szCs w:val="22"/>
        </w:rPr>
        <w:t xml:space="preserve"> </w:t>
      </w:r>
      <w:r w:rsidR="00061CEF">
        <w:rPr>
          <w:i/>
          <w:iCs/>
          <w:color w:val="000000" w:themeColor="text1"/>
          <w:sz w:val="22"/>
          <w:szCs w:val="22"/>
        </w:rPr>
        <w:t xml:space="preserve">and other investors in the Fund </w:t>
      </w:r>
      <w:r w:rsidR="00AF3A86">
        <w:rPr>
          <w:i/>
          <w:iCs/>
          <w:color w:val="000000" w:themeColor="text1"/>
          <w:sz w:val="22"/>
          <w:szCs w:val="22"/>
        </w:rPr>
        <w:t>the commissioning of an external review of the Fund, while staying cogni</w:t>
      </w:r>
      <w:r w:rsidR="00BD77F1">
        <w:rPr>
          <w:i/>
          <w:iCs/>
          <w:color w:val="000000" w:themeColor="text1"/>
          <w:sz w:val="22"/>
          <w:szCs w:val="22"/>
        </w:rPr>
        <w:t>s</w:t>
      </w:r>
      <w:r w:rsidR="00AF3A86">
        <w:rPr>
          <w:i/>
          <w:iCs/>
          <w:color w:val="000000" w:themeColor="text1"/>
          <w:sz w:val="22"/>
          <w:szCs w:val="22"/>
        </w:rPr>
        <w:t>ant of the</w:t>
      </w:r>
      <w:r w:rsidR="00CB321D">
        <w:rPr>
          <w:i/>
          <w:iCs/>
          <w:color w:val="000000" w:themeColor="text1"/>
          <w:sz w:val="22"/>
          <w:szCs w:val="22"/>
        </w:rPr>
        <w:t xml:space="preserve"> very</w:t>
      </w:r>
      <w:r w:rsidR="00AF3A86">
        <w:rPr>
          <w:i/>
          <w:iCs/>
          <w:color w:val="000000" w:themeColor="text1"/>
          <w:sz w:val="22"/>
          <w:szCs w:val="22"/>
        </w:rPr>
        <w:t xml:space="preserve"> limited</w:t>
      </w:r>
      <w:r w:rsidR="00BD77F1">
        <w:rPr>
          <w:i/>
          <w:iCs/>
          <w:color w:val="000000" w:themeColor="text1"/>
          <w:sz w:val="22"/>
          <w:szCs w:val="22"/>
        </w:rPr>
        <w:t xml:space="preserve"> scope for changing the </w:t>
      </w:r>
      <w:r w:rsidR="00CB321D">
        <w:rPr>
          <w:i/>
          <w:iCs/>
          <w:color w:val="000000" w:themeColor="text1"/>
          <w:sz w:val="22"/>
          <w:szCs w:val="22"/>
        </w:rPr>
        <w:t xml:space="preserve">direction </w:t>
      </w:r>
      <w:r w:rsidR="00FC5549">
        <w:rPr>
          <w:i/>
          <w:iCs/>
          <w:color w:val="000000" w:themeColor="text1"/>
          <w:sz w:val="22"/>
          <w:szCs w:val="22"/>
        </w:rPr>
        <w:t xml:space="preserve">or operation of the Fund </w:t>
      </w:r>
      <w:r w:rsidR="00CB321D">
        <w:rPr>
          <w:i/>
          <w:iCs/>
          <w:color w:val="000000" w:themeColor="text1"/>
          <w:sz w:val="22"/>
          <w:szCs w:val="22"/>
        </w:rPr>
        <w:t xml:space="preserve">held by Defra at any point, or by the </w:t>
      </w:r>
      <w:r w:rsidR="00FC5549">
        <w:rPr>
          <w:i/>
          <w:iCs/>
          <w:color w:val="000000" w:themeColor="text1"/>
          <w:sz w:val="22"/>
          <w:szCs w:val="22"/>
        </w:rPr>
        <w:t>Manager</w:t>
      </w:r>
      <w:r w:rsidR="00CB321D">
        <w:rPr>
          <w:i/>
          <w:iCs/>
          <w:color w:val="000000" w:themeColor="text1"/>
          <w:sz w:val="22"/>
          <w:szCs w:val="22"/>
        </w:rPr>
        <w:t xml:space="preserve"> now the portfolio has been completed</w:t>
      </w:r>
      <w:r w:rsidR="00AF3A86">
        <w:rPr>
          <w:i/>
          <w:iCs/>
          <w:color w:val="000000" w:themeColor="text1"/>
          <w:sz w:val="22"/>
          <w:szCs w:val="22"/>
        </w:rPr>
        <w:t>.</w:t>
      </w:r>
      <w:r w:rsidR="00FC5549">
        <w:rPr>
          <w:i/>
          <w:iCs/>
          <w:color w:val="000000" w:themeColor="text1"/>
          <w:sz w:val="22"/>
          <w:szCs w:val="22"/>
        </w:rPr>
        <w:t xml:space="preserve"> </w:t>
      </w:r>
      <w:r w:rsidR="002B1F59">
        <w:rPr>
          <w:i/>
          <w:iCs/>
          <w:color w:val="000000" w:themeColor="text1"/>
          <w:sz w:val="22"/>
          <w:szCs w:val="22"/>
        </w:rPr>
        <w:t>Considering</w:t>
      </w:r>
      <w:r w:rsidR="00DA5841">
        <w:rPr>
          <w:i/>
          <w:iCs/>
          <w:color w:val="000000" w:themeColor="text1"/>
          <w:sz w:val="22"/>
          <w:szCs w:val="22"/>
        </w:rPr>
        <w:t xml:space="preserve"> that </w:t>
      </w:r>
      <w:r w:rsidR="002B1F59">
        <w:rPr>
          <w:i/>
          <w:iCs/>
          <w:color w:val="000000" w:themeColor="text1"/>
          <w:sz w:val="22"/>
          <w:szCs w:val="22"/>
        </w:rPr>
        <w:t>projects are all selected and funding mostly disbursed</w:t>
      </w:r>
      <w:r w:rsidR="00203985">
        <w:rPr>
          <w:i/>
          <w:iCs/>
          <w:color w:val="000000" w:themeColor="text1"/>
          <w:sz w:val="22"/>
          <w:szCs w:val="22"/>
        </w:rPr>
        <w:t xml:space="preserve">, </w:t>
      </w:r>
      <w:r w:rsidR="00DA5841">
        <w:rPr>
          <w:i/>
          <w:iCs/>
          <w:color w:val="000000" w:themeColor="text1"/>
          <w:sz w:val="22"/>
          <w:szCs w:val="22"/>
        </w:rPr>
        <w:t xml:space="preserve">a review </w:t>
      </w:r>
      <w:r w:rsidR="002B1F59">
        <w:rPr>
          <w:i/>
          <w:iCs/>
          <w:color w:val="000000" w:themeColor="text1"/>
          <w:sz w:val="22"/>
          <w:szCs w:val="22"/>
        </w:rPr>
        <w:t>is not likely to</w:t>
      </w:r>
      <w:r w:rsidR="00DA5841">
        <w:rPr>
          <w:i/>
          <w:iCs/>
          <w:color w:val="000000" w:themeColor="text1"/>
          <w:sz w:val="22"/>
          <w:szCs w:val="22"/>
        </w:rPr>
        <w:t xml:space="preserve"> make a material difference to the operation of the Fund, </w:t>
      </w:r>
      <w:r w:rsidR="00203985">
        <w:rPr>
          <w:i/>
          <w:iCs/>
          <w:color w:val="000000" w:themeColor="text1"/>
          <w:sz w:val="22"/>
          <w:szCs w:val="22"/>
        </w:rPr>
        <w:t>so</w:t>
      </w:r>
      <w:r w:rsidR="00DA5841">
        <w:rPr>
          <w:i/>
          <w:iCs/>
          <w:color w:val="000000" w:themeColor="text1"/>
          <w:sz w:val="22"/>
          <w:szCs w:val="22"/>
        </w:rPr>
        <w:t xml:space="preserve"> the timing of a review</w:t>
      </w:r>
      <w:r w:rsidR="00483CFE">
        <w:rPr>
          <w:i/>
          <w:iCs/>
          <w:color w:val="000000" w:themeColor="text1"/>
          <w:sz w:val="22"/>
          <w:szCs w:val="22"/>
        </w:rPr>
        <w:t xml:space="preserve"> should be late</w:t>
      </w:r>
      <w:r w:rsidR="00313987">
        <w:rPr>
          <w:i/>
          <w:iCs/>
          <w:color w:val="000000" w:themeColor="text1"/>
          <w:sz w:val="22"/>
          <w:szCs w:val="22"/>
        </w:rPr>
        <w:t>r</w:t>
      </w:r>
      <w:r w:rsidR="00483CFE">
        <w:rPr>
          <w:i/>
          <w:iCs/>
          <w:color w:val="000000" w:themeColor="text1"/>
          <w:sz w:val="22"/>
          <w:szCs w:val="22"/>
        </w:rPr>
        <w:t xml:space="preserve"> in the Fund’s lifetime</w:t>
      </w:r>
      <w:r w:rsidR="00313987">
        <w:rPr>
          <w:i/>
          <w:iCs/>
          <w:color w:val="000000" w:themeColor="text1"/>
          <w:sz w:val="22"/>
          <w:szCs w:val="22"/>
        </w:rPr>
        <w:t xml:space="preserve"> to</w:t>
      </w:r>
      <w:r w:rsidR="00634657">
        <w:rPr>
          <w:i/>
          <w:iCs/>
          <w:color w:val="000000" w:themeColor="text1"/>
          <w:sz w:val="22"/>
          <w:szCs w:val="22"/>
        </w:rPr>
        <w:t xml:space="preserve"> better</w:t>
      </w:r>
      <w:r w:rsidR="00313987">
        <w:rPr>
          <w:i/>
          <w:iCs/>
          <w:color w:val="000000" w:themeColor="text1"/>
          <w:sz w:val="22"/>
          <w:szCs w:val="22"/>
        </w:rPr>
        <w:t xml:space="preserve"> capture its </w:t>
      </w:r>
      <w:r w:rsidR="00634657">
        <w:rPr>
          <w:i/>
          <w:iCs/>
          <w:color w:val="000000" w:themeColor="text1"/>
          <w:sz w:val="22"/>
          <w:szCs w:val="22"/>
        </w:rPr>
        <w:t>overall</w:t>
      </w:r>
      <w:r w:rsidR="00313987">
        <w:rPr>
          <w:i/>
          <w:iCs/>
          <w:color w:val="000000" w:themeColor="text1"/>
          <w:sz w:val="22"/>
          <w:szCs w:val="22"/>
        </w:rPr>
        <w:t xml:space="preserve"> impact</w:t>
      </w:r>
      <w:r w:rsidR="00483CFE">
        <w:rPr>
          <w:i/>
          <w:iCs/>
          <w:color w:val="000000" w:themeColor="text1"/>
          <w:sz w:val="22"/>
          <w:szCs w:val="22"/>
        </w:rPr>
        <w:t>.</w:t>
      </w:r>
      <w:r w:rsidR="00DA5841">
        <w:rPr>
          <w:i/>
          <w:iCs/>
          <w:color w:val="000000" w:themeColor="text1"/>
          <w:sz w:val="22"/>
          <w:szCs w:val="22"/>
        </w:rPr>
        <w:t xml:space="preserve"> </w:t>
      </w:r>
      <w:r w:rsidR="00FC5549">
        <w:rPr>
          <w:i/>
          <w:iCs/>
          <w:color w:val="000000" w:themeColor="text1"/>
          <w:sz w:val="22"/>
          <w:szCs w:val="22"/>
        </w:rPr>
        <w:t xml:space="preserve">The main benefits of an external review </w:t>
      </w:r>
      <w:r w:rsidR="00DF0605">
        <w:rPr>
          <w:i/>
          <w:iCs/>
          <w:color w:val="000000" w:themeColor="text1"/>
          <w:sz w:val="22"/>
          <w:szCs w:val="22"/>
        </w:rPr>
        <w:t xml:space="preserve">for Defra </w:t>
      </w:r>
      <w:r w:rsidR="00FC5549">
        <w:rPr>
          <w:i/>
          <w:iCs/>
          <w:color w:val="000000" w:themeColor="text1"/>
          <w:sz w:val="22"/>
          <w:szCs w:val="22"/>
        </w:rPr>
        <w:t xml:space="preserve">will </w:t>
      </w:r>
      <w:r w:rsidR="00BE20A2">
        <w:rPr>
          <w:i/>
          <w:iCs/>
          <w:color w:val="000000" w:themeColor="text1"/>
          <w:sz w:val="22"/>
          <w:szCs w:val="22"/>
        </w:rPr>
        <w:t>be</w:t>
      </w:r>
      <w:r w:rsidR="00FC5549">
        <w:rPr>
          <w:i/>
          <w:iCs/>
          <w:color w:val="000000" w:themeColor="text1"/>
          <w:sz w:val="22"/>
          <w:szCs w:val="22"/>
        </w:rPr>
        <w:t xml:space="preserve"> in determining how to </w:t>
      </w:r>
      <w:r w:rsidR="00EB6223">
        <w:rPr>
          <w:i/>
          <w:iCs/>
          <w:color w:val="000000" w:themeColor="text1"/>
          <w:sz w:val="22"/>
          <w:szCs w:val="22"/>
        </w:rPr>
        <w:t xml:space="preserve">repurpose any </w:t>
      </w:r>
      <w:r w:rsidR="00BE20A2">
        <w:rPr>
          <w:i/>
          <w:iCs/>
          <w:color w:val="000000" w:themeColor="text1"/>
          <w:sz w:val="22"/>
          <w:szCs w:val="22"/>
        </w:rPr>
        <w:t>remaining capital owing to Defra when the Fund winds down</w:t>
      </w:r>
      <w:r w:rsidR="00890971">
        <w:rPr>
          <w:i/>
          <w:iCs/>
          <w:color w:val="000000" w:themeColor="text1"/>
          <w:sz w:val="22"/>
          <w:szCs w:val="22"/>
        </w:rPr>
        <w:t xml:space="preserve">, and </w:t>
      </w:r>
      <w:r w:rsidR="008F532B">
        <w:rPr>
          <w:i/>
          <w:iCs/>
          <w:color w:val="000000" w:themeColor="text1"/>
          <w:sz w:val="22"/>
          <w:szCs w:val="22"/>
        </w:rPr>
        <w:t>for future Spending Reviews</w:t>
      </w:r>
      <w:r w:rsidR="00FC66EF">
        <w:rPr>
          <w:i/>
          <w:iCs/>
          <w:color w:val="000000" w:themeColor="text1"/>
          <w:sz w:val="22"/>
          <w:szCs w:val="22"/>
        </w:rPr>
        <w:t xml:space="preserve"> </w:t>
      </w:r>
      <w:r w:rsidR="008F532B">
        <w:rPr>
          <w:i/>
          <w:iCs/>
          <w:color w:val="000000" w:themeColor="text1"/>
          <w:sz w:val="22"/>
          <w:szCs w:val="22"/>
        </w:rPr>
        <w:t xml:space="preserve">to guide </w:t>
      </w:r>
      <w:r w:rsidR="00890971">
        <w:rPr>
          <w:i/>
          <w:iCs/>
          <w:color w:val="000000" w:themeColor="text1"/>
          <w:sz w:val="22"/>
          <w:szCs w:val="22"/>
        </w:rPr>
        <w:t xml:space="preserve">whether </w:t>
      </w:r>
      <w:r w:rsidR="008742DC">
        <w:rPr>
          <w:i/>
          <w:iCs/>
          <w:color w:val="000000" w:themeColor="text1"/>
          <w:sz w:val="22"/>
          <w:szCs w:val="22"/>
        </w:rPr>
        <w:t>programmes should invest</w:t>
      </w:r>
      <w:r w:rsidR="00890971">
        <w:rPr>
          <w:i/>
          <w:iCs/>
          <w:color w:val="000000" w:themeColor="text1"/>
          <w:sz w:val="22"/>
          <w:szCs w:val="22"/>
        </w:rPr>
        <w:t xml:space="preserve"> </w:t>
      </w:r>
      <w:r w:rsidR="008742DC">
        <w:rPr>
          <w:i/>
          <w:iCs/>
          <w:color w:val="000000" w:themeColor="text1"/>
          <w:sz w:val="22"/>
          <w:szCs w:val="22"/>
        </w:rPr>
        <w:t xml:space="preserve">or reinvest </w:t>
      </w:r>
      <w:r w:rsidR="00890971">
        <w:rPr>
          <w:i/>
          <w:iCs/>
          <w:color w:val="000000" w:themeColor="text1"/>
          <w:sz w:val="22"/>
          <w:szCs w:val="22"/>
        </w:rPr>
        <w:t xml:space="preserve">in similar </w:t>
      </w:r>
      <w:r w:rsidR="008742DC">
        <w:rPr>
          <w:i/>
          <w:iCs/>
          <w:color w:val="000000" w:themeColor="text1"/>
          <w:sz w:val="22"/>
          <w:szCs w:val="22"/>
        </w:rPr>
        <w:t xml:space="preserve">Impact Investment </w:t>
      </w:r>
      <w:r w:rsidR="00890971">
        <w:rPr>
          <w:i/>
          <w:iCs/>
          <w:color w:val="000000" w:themeColor="text1"/>
          <w:sz w:val="22"/>
          <w:szCs w:val="22"/>
        </w:rPr>
        <w:t>Funds.</w:t>
      </w:r>
    </w:p>
    <w:p w14:paraId="14FE64C2" w14:textId="77777777" w:rsidR="008259E5" w:rsidRDefault="008259E5" w:rsidP="008259E5">
      <w:pPr>
        <w:tabs>
          <w:tab w:val="left" w:pos="6915"/>
          <w:tab w:val="left" w:pos="9495"/>
        </w:tabs>
        <w:rPr>
          <w:i/>
          <w:iCs/>
          <w:color w:val="000000" w:themeColor="text1"/>
          <w:sz w:val="22"/>
          <w:szCs w:val="22"/>
        </w:rPr>
      </w:pPr>
    </w:p>
    <w:p w14:paraId="436E28CD" w14:textId="77777777" w:rsidR="008259E5" w:rsidRDefault="008259E5" w:rsidP="008259E5">
      <w:pPr>
        <w:jc w:val="both"/>
        <w:rPr>
          <w:rFonts w:eastAsia="Arial" w:cs="Arial"/>
          <w:color w:val="000000" w:themeColor="text1"/>
          <w:sz w:val="22"/>
          <w:szCs w:val="22"/>
        </w:rPr>
      </w:pPr>
      <w:r>
        <w:rPr>
          <w:rFonts w:eastAsia="Arial" w:cs="Arial"/>
          <w:b/>
          <w:bCs/>
          <w:color w:val="000000" w:themeColor="text1"/>
          <w:sz w:val="22"/>
          <w:szCs w:val="22"/>
        </w:rPr>
        <w:t>GESI update</w:t>
      </w:r>
    </w:p>
    <w:p w14:paraId="742019EF" w14:textId="77777777" w:rsidR="008259E5" w:rsidRDefault="008259E5" w:rsidP="008259E5">
      <w:pPr>
        <w:jc w:val="both"/>
        <w:rPr>
          <w:rFonts w:eastAsia="Arial" w:cs="Arial"/>
          <w:color w:val="000000" w:themeColor="text1"/>
          <w:sz w:val="22"/>
          <w:szCs w:val="22"/>
        </w:rPr>
      </w:pPr>
    </w:p>
    <w:p w14:paraId="4BDC0B4C" w14:textId="05B6BF60" w:rsidR="00083BFC" w:rsidRPr="00083BFC" w:rsidRDefault="008259E5" w:rsidP="00D457E4">
      <w:pPr>
        <w:rPr>
          <w:rFonts w:eastAsia="Arial" w:cs="Arial"/>
          <w:sz w:val="22"/>
          <w:szCs w:val="22"/>
        </w:rPr>
      </w:pPr>
      <w:r>
        <w:rPr>
          <w:rFonts w:eastAsia="Arial" w:cs="Arial"/>
          <w:color w:val="000000" w:themeColor="text1"/>
          <w:sz w:val="22"/>
          <w:szCs w:val="22"/>
        </w:rPr>
        <w:t>In line with our primary GESI Action Plan action, t</w:t>
      </w:r>
      <w:r w:rsidRPr="000E3783">
        <w:rPr>
          <w:rFonts w:eastAsia="Arial" w:cs="Arial"/>
          <w:color w:val="000000" w:themeColor="text1"/>
          <w:sz w:val="22"/>
          <w:szCs w:val="22"/>
        </w:rPr>
        <w:t xml:space="preserve">he programme team continue to engage with </w:t>
      </w:r>
      <w:proofErr w:type="spellStart"/>
      <w:r w:rsidR="002B7878">
        <w:rPr>
          <w:rFonts w:eastAsia="Arial" w:cs="Arial"/>
          <w:color w:val="000000" w:themeColor="text1"/>
          <w:sz w:val="22"/>
          <w:szCs w:val="22"/>
        </w:rPr>
        <w:t>Mirova</w:t>
      </w:r>
      <w:proofErr w:type="spellEnd"/>
      <w:r w:rsidRPr="000E3783">
        <w:rPr>
          <w:rFonts w:eastAsia="Arial" w:cs="Arial"/>
          <w:color w:val="000000" w:themeColor="text1"/>
          <w:sz w:val="22"/>
          <w:szCs w:val="22"/>
        </w:rPr>
        <w:t xml:space="preserve"> on GESI reporting</w:t>
      </w:r>
      <w:r>
        <w:rPr>
          <w:rFonts w:eastAsia="Arial" w:cs="Arial"/>
          <w:color w:val="000000" w:themeColor="text1"/>
          <w:sz w:val="22"/>
          <w:szCs w:val="22"/>
        </w:rPr>
        <w:t xml:space="preserve">. </w:t>
      </w:r>
      <w:r w:rsidR="00083BFC" w:rsidRPr="00083BFC">
        <w:rPr>
          <w:rFonts w:eastAsia="Arial" w:cs="Arial"/>
          <w:sz w:val="22"/>
          <w:szCs w:val="22"/>
        </w:rPr>
        <w:t xml:space="preserve">Fund investees have developed gender assessments and action plans that seek to reduce the gender gap both internally and within their beneficiaries, to ensure that benefits are shared equitably within communities. The Fund carries out a tenure assessment on all projects to determine land ownership and use, including historical use and use by Indigenous People or Sub-Saharan African Historically Underserved Traditional Local Communities. LDN engages with affected people throughout the lifetime of a </w:t>
      </w:r>
      <w:proofErr w:type="gramStart"/>
      <w:r w:rsidR="00083BFC" w:rsidRPr="00083BFC">
        <w:rPr>
          <w:rFonts w:eastAsia="Arial" w:cs="Arial"/>
          <w:sz w:val="22"/>
          <w:szCs w:val="22"/>
        </w:rPr>
        <w:t>project, and</w:t>
      </w:r>
      <w:proofErr w:type="gramEnd"/>
      <w:r w:rsidR="00083BFC" w:rsidRPr="00083BFC">
        <w:rPr>
          <w:rFonts w:eastAsia="Arial" w:cs="Arial"/>
          <w:sz w:val="22"/>
          <w:szCs w:val="22"/>
        </w:rPr>
        <w:t xml:space="preserve"> establishes qualified teams to manage engagement and consultation with people with tenure rights. If a project involves significant changes to tenure rights, the Fund commits to ensuring there is a ‘witness NGO’ or other respected third party to ensure that processes are carried out transparently and fairly and that people affected are fully informed of and able to exercise their rights.</w:t>
      </w:r>
    </w:p>
    <w:p w14:paraId="53AA2D2A" w14:textId="77777777" w:rsidR="00083BFC" w:rsidRPr="00083BFC" w:rsidRDefault="00083BFC" w:rsidP="00083BFC">
      <w:pPr>
        <w:ind w:left="363"/>
        <w:rPr>
          <w:rFonts w:eastAsia="Arial" w:cs="Arial"/>
          <w:sz w:val="22"/>
          <w:szCs w:val="22"/>
        </w:rPr>
      </w:pPr>
    </w:p>
    <w:p w14:paraId="178AD084" w14:textId="127BE1E9" w:rsidR="008259E5" w:rsidRPr="00083BFC" w:rsidRDefault="00083BFC" w:rsidP="00D457E4">
      <w:pPr>
        <w:rPr>
          <w:rFonts w:eastAsia="Arial" w:cs="Arial"/>
          <w:sz w:val="22"/>
          <w:szCs w:val="22"/>
        </w:rPr>
      </w:pPr>
      <w:r w:rsidRPr="00083BFC">
        <w:rPr>
          <w:rFonts w:eastAsia="Arial" w:cs="Arial"/>
          <w:sz w:val="22"/>
          <w:szCs w:val="22"/>
        </w:rPr>
        <w:t xml:space="preserve">Overall GESI progress has been strong, particularly on gender equity, moving the programme from GESI unaware towards GESI empowering status. See further detail in Output and </w:t>
      </w:r>
      <w:proofErr w:type="spellStart"/>
      <w:r w:rsidRPr="00083BFC">
        <w:rPr>
          <w:rFonts w:eastAsia="Arial" w:cs="Arial"/>
          <w:sz w:val="22"/>
          <w:szCs w:val="22"/>
        </w:rPr>
        <w:t>VfM</w:t>
      </w:r>
      <w:proofErr w:type="spellEnd"/>
      <w:r w:rsidRPr="00083BFC">
        <w:rPr>
          <w:rFonts w:eastAsia="Arial" w:cs="Arial"/>
          <w:sz w:val="22"/>
          <w:szCs w:val="22"/>
        </w:rPr>
        <w:t xml:space="preserve"> sections.</w:t>
      </w:r>
    </w:p>
    <w:p w14:paraId="7E227CA9" w14:textId="77777777" w:rsidR="00F7082F" w:rsidRDefault="00F7082F" w:rsidP="00F7082F">
      <w:pPr>
        <w:tabs>
          <w:tab w:val="left" w:pos="6915"/>
          <w:tab w:val="left" w:pos="9495"/>
        </w:tabs>
        <w:rPr>
          <w:i/>
          <w:iCs/>
          <w:color w:val="000000" w:themeColor="text1"/>
          <w:sz w:val="22"/>
          <w:szCs w:val="22"/>
        </w:rPr>
      </w:pPr>
    </w:p>
    <w:p w14:paraId="2912D893" w14:textId="12AF5931" w:rsidR="00F7082F" w:rsidRDefault="00F7082F" w:rsidP="00F7082F">
      <w:pPr>
        <w:tabs>
          <w:tab w:val="left" w:pos="6915"/>
          <w:tab w:val="left" w:pos="9495"/>
        </w:tabs>
        <w:rPr>
          <w:b/>
          <w:bCs/>
          <w:color w:val="000000" w:themeColor="text1"/>
          <w:sz w:val="22"/>
          <w:szCs w:val="22"/>
        </w:rPr>
      </w:pPr>
      <w:r>
        <w:rPr>
          <w:b/>
          <w:bCs/>
          <w:color w:val="000000" w:themeColor="text1"/>
          <w:sz w:val="22"/>
          <w:szCs w:val="22"/>
        </w:rPr>
        <w:t>Recommendations arising from this AR:</w:t>
      </w:r>
    </w:p>
    <w:p w14:paraId="713862E9" w14:textId="77777777" w:rsidR="00F7082F" w:rsidRDefault="00F7082F" w:rsidP="00F7082F">
      <w:pPr>
        <w:tabs>
          <w:tab w:val="left" w:pos="6915"/>
          <w:tab w:val="left" w:pos="9495"/>
        </w:tabs>
        <w:rPr>
          <w:b/>
          <w:bCs/>
          <w:color w:val="000000" w:themeColor="text1"/>
          <w:sz w:val="22"/>
          <w:szCs w:val="22"/>
        </w:rPr>
      </w:pPr>
    </w:p>
    <w:p w14:paraId="3CE1BFB7" w14:textId="7ADF83A6" w:rsidR="00F7082F" w:rsidRDefault="00F7082F" w:rsidP="00F7082F">
      <w:pPr>
        <w:pStyle w:val="ListParagraph"/>
        <w:numPr>
          <w:ilvl w:val="0"/>
          <w:numId w:val="34"/>
        </w:numPr>
        <w:tabs>
          <w:tab w:val="left" w:pos="6915"/>
          <w:tab w:val="left" w:pos="9495"/>
        </w:tabs>
        <w:rPr>
          <w:color w:val="000000" w:themeColor="text1"/>
          <w:sz w:val="22"/>
          <w:szCs w:val="22"/>
        </w:rPr>
      </w:pPr>
      <w:r w:rsidRPr="055BFE74">
        <w:rPr>
          <w:color w:val="000000" w:themeColor="text1"/>
          <w:sz w:val="22"/>
          <w:szCs w:val="22"/>
        </w:rPr>
        <w:t>In 2024’s annual review</w:t>
      </w:r>
      <w:r w:rsidR="0C66615F" w:rsidRPr="055BFE74">
        <w:rPr>
          <w:color w:val="000000" w:themeColor="text1"/>
          <w:sz w:val="22"/>
          <w:szCs w:val="22"/>
        </w:rPr>
        <w:t>,</w:t>
      </w:r>
      <w:r w:rsidRPr="055BFE74">
        <w:rPr>
          <w:color w:val="000000" w:themeColor="text1"/>
          <w:sz w:val="22"/>
          <w:szCs w:val="22"/>
        </w:rPr>
        <w:t xml:space="preserve"> reporting should begin on the </w:t>
      </w:r>
      <w:proofErr w:type="spellStart"/>
      <w:r w:rsidRPr="055BFE74">
        <w:rPr>
          <w:color w:val="000000" w:themeColor="text1"/>
          <w:sz w:val="22"/>
          <w:szCs w:val="22"/>
        </w:rPr>
        <w:t>logframe’s</w:t>
      </w:r>
      <w:proofErr w:type="spellEnd"/>
      <w:r w:rsidRPr="055BFE74">
        <w:rPr>
          <w:color w:val="000000" w:themeColor="text1"/>
          <w:sz w:val="22"/>
          <w:szCs w:val="22"/>
        </w:rPr>
        <w:t xml:space="preserve"> Impact Indicators. Ahead of this review, Defra will discuss with </w:t>
      </w:r>
      <w:proofErr w:type="spellStart"/>
      <w:r w:rsidRPr="055BFE74">
        <w:rPr>
          <w:color w:val="000000" w:themeColor="text1"/>
          <w:sz w:val="22"/>
          <w:szCs w:val="22"/>
        </w:rPr>
        <w:t>Mirova</w:t>
      </w:r>
      <w:proofErr w:type="spellEnd"/>
      <w:r w:rsidRPr="055BFE74">
        <w:rPr>
          <w:color w:val="000000" w:themeColor="text1"/>
          <w:sz w:val="22"/>
          <w:szCs w:val="22"/>
        </w:rPr>
        <w:t xml:space="preserve"> how to ensure the indicators are </w:t>
      </w:r>
      <w:r w:rsidR="00516169">
        <w:rPr>
          <w:color w:val="000000" w:themeColor="text1"/>
          <w:sz w:val="22"/>
          <w:szCs w:val="22"/>
        </w:rPr>
        <w:t xml:space="preserve">relevant, </w:t>
      </w:r>
      <w:r w:rsidRPr="055BFE74">
        <w:rPr>
          <w:color w:val="000000" w:themeColor="text1"/>
          <w:sz w:val="22"/>
          <w:szCs w:val="22"/>
        </w:rPr>
        <w:t>measurable</w:t>
      </w:r>
      <w:r w:rsidR="00516169">
        <w:rPr>
          <w:color w:val="000000" w:themeColor="text1"/>
          <w:sz w:val="22"/>
          <w:szCs w:val="22"/>
        </w:rPr>
        <w:t>, proportionate and robust by</w:t>
      </w:r>
      <w:r w:rsidR="00B67F63" w:rsidRPr="055BFE74">
        <w:rPr>
          <w:color w:val="000000" w:themeColor="text1"/>
          <w:sz w:val="22"/>
          <w:szCs w:val="22"/>
        </w:rPr>
        <w:t xml:space="preserve"> review</w:t>
      </w:r>
      <w:r w:rsidR="00516169">
        <w:rPr>
          <w:color w:val="000000" w:themeColor="text1"/>
          <w:sz w:val="22"/>
          <w:szCs w:val="22"/>
        </w:rPr>
        <w:t>ing</w:t>
      </w:r>
      <w:r w:rsidR="00B67F63" w:rsidRPr="055BFE74">
        <w:rPr>
          <w:color w:val="000000" w:themeColor="text1"/>
          <w:sz w:val="22"/>
          <w:szCs w:val="22"/>
        </w:rPr>
        <w:t xml:space="preserve"> the</w:t>
      </w:r>
      <w:r w:rsidR="00516169">
        <w:rPr>
          <w:color w:val="000000" w:themeColor="text1"/>
          <w:sz w:val="22"/>
          <w:szCs w:val="22"/>
        </w:rPr>
        <w:t>ir</w:t>
      </w:r>
      <w:r w:rsidR="00B67F63" w:rsidRPr="055BFE74">
        <w:rPr>
          <w:color w:val="000000" w:themeColor="text1"/>
          <w:sz w:val="22"/>
          <w:szCs w:val="22"/>
        </w:rPr>
        <w:t xml:space="preserve"> methodologies.</w:t>
      </w:r>
    </w:p>
    <w:p w14:paraId="481EA315" w14:textId="5CCCA376" w:rsidR="00B67F63" w:rsidRPr="0012697C" w:rsidRDefault="00B67F63" w:rsidP="0012697C">
      <w:pPr>
        <w:pStyle w:val="ListParagraph"/>
        <w:tabs>
          <w:tab w:val="left" w:pos="6915"/>
          <w:tab w:val="left" w:pos="9495"/>
        </w:tabs>
        <w:ind w:left="502"/>
        <w:rPr>
          <w:color w:val="000000" w:themeColor="text1"/>
          <w:sz w:val="22"/>
          <w:szCs w:val="22"/>
        </w:rPr>
      </w:pPr>
      <w:r>
        <w:rPr>
          <w:color w:val="000000" w:themeColor="text1"/>
          <w:sz w:val="22"/>
          <w:szCs w:val="22"/>
        </w:rPr>
        <w:t xml:space="preserve"> </w:t>
      </w:r>
    </w:p>
    <w:p w14:paraId="6188505D" w14:textId="74BD792F" w:rsidR="00B67F63" w:rsidRDefault="00C91239" w:rsidP="00F7082F">
      <w:pPr>
        <w:pStyle w:val="ListParagraph"/>
        <w:numPr>
          <w:ilvl w:val="0"/>
          <w:numId w:val="34"/>
        </w:numPr>
        <w:tabs>
          <w:tab w:val="left" w:pos="6915"/>
          <w:tab w:val="left" w:pos="9495"/>
        </w:tabs>
        <w:rPr>
          <w:color w:val="000000" w:themeColor="text1"/>
          <w:sz w:val="22"/>
          <w:szCs w:val="22"/>
        </w:rPr>
      </w:pPr>
      <w:r>
        <w:rPr>
          <w:color w:val="000000" w:themeColor="text1"/>
          <w:sz w:val="22"/>
          <w:szCs w:val="22"/>
        </w:rPr>
        <w:lastRenderedPageBreak/>
        <w:t xml:space="preserve">Defra should work with </w:t>
      </w:r>
      <w:proofErr w:type="spellStart"/>
      <w:r>
        <w:rPr>
          <w:color w:val="000000" w:themeColor="text1"/>
          <w:sz w:val="22"/>
          <w:szCs w:val="22"/>
        </w:rPr>
        <w:t>Mirova</w:t>
      </w:r>
      <w:proofErr w:type="spellEnd"/>
      <w:r>
        <w:rPr>
          <w:color w:val="000000" w:themeColor="text1"/>
          <w:sz w:val="22"/>
          <w:szCs w:val="22"/>
        </w:rPr>
        <w:t xml:space="preserve"> to plug any </w:t>
      </w:r>
      <w:r w:rsidR="00AF3288">
        <w:rPr>
          <w:color w:val="000000" w:themeColor="text1"/>
          <w:sz w:val="22"/>
          <w:szCs w:val="22"/>
        </w:rPr>
        <w:t>gaps in monitoring, particularly for biodiversity</w:t>
      </w:r>
      <w:r w:rsidR="00B67F63" w:rsidRPr="443E94B4">
        <w:rPr>
          <w:color w:val="000000" w:themeColor="text1"/>
          <w:sz w:val="22"/>
          <w:szCs w:val="22"/>
        </w:rPr>
        <w:t xml:space="preserve">. </w:t>
      </w:r>
      <w:r>
        <w:rPr>
          <w:color w:val="000000" w:themeColor="text1"/>
          <w:sz w:val="22"/>
          <w:szCs w:val="22"/>
        </w:rPr>
        <w:t>I</w:t>
      </w:r>
      <w:r w:rsidR="00B67F63" w:rsidRPr="443E94B4">
        <w:rPr>
          <w:color w:val="000000" w:themeColor="text1"/>
          <w:sz w:val="22"/>
          <w:szCs w:val="22"/>
        </w:rPr>
        <w:t>ndicator 2.1 on threatened species in conservation areas has proved very difficult to report upon and provided inconsistent results</w:t>
      </w:r>
      <w:r w:rsidR="0352B14F" w:rsidRPr="443E94B4">
        <w:rPr>
          <w:color w:val="000000" w:themeColor="text1"/>
          <w:sz w:val="22"/>
          <w:szCs w:val="22"/>
        </w:rPr>
        <w:t xml:space="preserve">, and work has been done by </w:t>
      </w:r>
      <w:proofErr w:type="spellStart"/>
      <w:r w:rsidR="0352B14F" w:rsidRPr="443E94B4">
        <w:rPr>
          <w:color w:val="000000" w:themeColor="text1"/>
          <w:sz w:val="22"/>
          <w:szCs w:val="22"/>
        </w:rPr>
        <w:t>Mirova</w:t>
      </w:r>
      <w:proofErr w:type="spellEnd"/>
      <w:r w:rsidR="0352B14F" w:rsidRPr="443E94B4">
        <w:rPr>
          <w:color w:val="000000" w:themeColor="text1"/>
          <w:sz w:val="22"/>
          <w:szCs w:val="22"/>
        </w:rPr>
        <w:t xml:space="preserve"> (discussed in recommendation 6 above) to amend the approach to biodiversity monitoring.</w:t>
      </w:r>
    </w:p>
    <w:p w14:paraId="37ED732E" w14:textId="77777777" w:rsidR="00B67F63" w:rsidRPr="00B67F63" w:rsidRDefault="00B67F63" w:rsidP="00B67F63">
      <w:pPr>
        <w:pStyle w:val="ListParagraph"/>
        <w:rPr>
          <w:color w:val="000000" w:themeColor="text1"/>
          <w:sz w:val="22"/>
          <w:szCs w:val="22"/>
        </w:rPr>
      </w:pPr>
    </w:p>
    <w:p w14:paraId="03B47B73" w14:textId="70C9CC4B" w:rsidR="00BC5C95" w:rsidRPr="0097585A" w:rsidRDefault="00A30245" w:rsidP="0097585A">
      <w:pPr>
        <w:pStyle w:val="ListParagraph"/>
        <w:numPr>
          <w:ilvl w:val="0"/>
          <w:numId w:val="34"/>
        </w:numPr>
        <w:tabs>
          <w:tab w:val="left" w:pos="6915"/>
          <w:tab w:val="left" w:pos="9495"/>
        </w:tabs>
        <w:rPr>
          <w:color w:val="000000" w:themeColor="text1"/>
          <w:sz w:val="22"/>
          <w:szCs w:val="22"/>
        </w:rPr>
      </w:pPr>
      <w:r>
        <w:rPr>
          <w:color w:val="000000" w:themeColor="text1"/>
          <w:sz w:val="22"/>
          <w:szCs w:val="22"/>
        </w:rPr>
        <w:t xml:space="preserve">By </w:t>
      </w:r>
      <w:r w:rsidR="00345311">
        <w:rPr>
          <w:color w:val="000000" w:themeColor="text1"/>
          <w:sz w:val="22"/>
          <w:szCs w:val="22"/>
        </w:rPr>
        <w:t>March</w:t>
      </w:r>
      <w:r>
        <w:rPr>
          <w:color w:val="000000" w:themeColor="text1"/>
          <w:sz w:val="22"/>
          <w:szCs w:val="22"/>
        </w:rPr>
        <w:t xml:space="preserve"> 2025, </w:t>
      </w:r>
      <w:r w:rsidR="00B67F63" w:rsidRPr="5A4C12E7">
        <w:rPr>
          <w:color w:val="000000" w:themeColor="text1"/>
          <w:sz w:val="22"/>
          <w:szCs w:val="22"/>
        </w:rPr>
        <w:t xml:space="preserve">Defra </w:t>
      </w:r>
      <w:r>
        <w:rPr>
          <w:color w:val="000000" w:themeColor="text1"/>
          <w:sz w:val="22"/>
          <w:szCs w:val="22"/>
        </w:rPr>
        <w:t>should</w:t>
      </w:r>
      <w:r w:rsidR="00B67F63" w:rsidRPr="5A4C12E7">
        <w:rPr>
          <w:color w:val="000000" w:themeColor="text1"/>
          <w:sz w:val="22"/>
          <w:szCs w:val="22"/>
        </w:rPr>
        <w:t xml:space="preserve"> </w:t>
      </w:r>
      <w:r w:rsidR="69BEF31A" w:rsidRPr="5A4C12E7">
        <w:rPr>
          <w:color w:val="000000" w:themeColor="text1"/>
          <w:sz w:val="22"/>
          <w:szCs w:val="22"/>
        </w:rPr>
        <w:t xml:space="preserve">consider </w:t>
      </w:r>
      <w:r w:rsidR="005503DE">
        <w:rPr>
          <w:color w:val="000000" w:themeColor="text1"/>
          <w:sz w:val="22"/>
          <w:szCs w:val="22"/>
        </w:rPr>
        <w:t xml:space="preserve">the </w:t>
      </w:r>
      <w:r w:rsidR="00512661">
        <w:rPr>
          <w:color w:val="000000" w:themeColor="text1"/>
          <w:sz w:val="22"/>
          <w:szCs w:val="22"/>
        </w:rPr>
        <w:t>benefits and optimum timing of an</w:t>
      </w:r>
      <w:r w:rsidR="00517475" w:rsidRPr="5A4C12E7">
        <w:rPr>
          <w:color w:val="000000" w:themeColor="text1"/>
          <w:sz w:val="22"/>
          <w:szCs w:val="22"/>
        </w:rPr>
        <w:t xml:space="preserve"> external</w:t>
      </w:r>
      <w:r w:rsidR="00B67F63" w:rsidRPr="5A4C12E7">
        <w:rPr>
          <w:color w:val="000000" w:themeColor="text1"/>
          <w:sz w:val="22"/>
          <w:szCs w:val="22"/>
        </w:rPr>
        <w:t xml:space="preserve"> evaluation of the </w:t>
      </w:r>
      <w:proofErr w:type="gramStart"/>
      <w:r w:rsidR="00B67F63" w:rsidRPr="5A4C12E7">
        <w:rPr>
          <w:color w:val="000000" w:themeColor="text1"/>
          <w:sz w:val="22"/>
          <w:szCs w:val="22"/>
        </w:rPr>
        <w:t>programme</w:t>
      </w:r>
      <w:r w:rsidR="00512661">
        <w:rPr>
          <w:color w:val="000000" w:themeColor="text1"/>
          <w:sz w:val="22"/>
          <w:szCs w:val="22"/>
        </w:rPr>
        <w:t>, and</w:t>
      </w:r>
      <w:proofErr w:type="gramEnd"/>
      <w:r w:rsidR="00512661">
        <w:rPr>
          <w:color w:val="000000" w:themeColor="text1"/>
          <w:sz w:val="22"/>
          <w:szCs w:val="22"/>
        </w:rPr>
        <w:t xml:space="preserve"> explore with </w:t>
      </w:r>
      <w:proofErr w:type="spellStart"/>
      <w:r w:rsidR="00512661">
        <w:rPr>
          <w:color w:val="000000" w:themeColor="text1"/>
          <w:sz w:val="22"/>
          <w:szCs w:val="22"/>
        </w:rPr>
        <w:t>Mirova</w:t>
      </w:r>
      <w:proofErr w:type="spellEnd"/>
      <w:r w:rsidR="00512661">
        <w:rPr>
          <w:color w:val="000000" w:themeColor="text1"/>
          <w:sz w:val="22"/>
          <w:szCs w:val="22"/>
        </w:rPr>
        <w:t xml:space="preserve"> the possibility of a Fund-commissioned review as part of their quality assurance</w:t>
      </w:r>
      <w:r w:rsidR="00B67F63" w:rsidRPr="5A4C12E7">
        <w:rPr>
          <w:color w:val="000000" w:themeColor="text1"/>
          <w:sz w:val="22"/>
          <w:szCs w:val="22"/>
        </w:rPr>
        <w:t xml:space="preserve">. </w:t>
      </w:r>
      <w:r w:rsidR="001513A2">
        <w:rPr>
          <w:color w:val="000000" w:themeColor="text1"/>
          <w:sz w:val="22"/>
          <w:szCs w:val="22"/>
        </w:rPr>
        <w:t>See discussion in Recommendation 7 from previous recommendations above.</w:t>
      </w:r>
      <w:r w:rsidR="0097585A">
        <w:rPr>
          <w:color w:val="000000" w:themeColor="text1"/>
          <w:sz w:val="22"/>
          <w:szCs w:val="22"/>
        </w:rPr>
        <w:t xml:space="preserve"> </w:t>
      </w:r>
      <w:r w:rsidR="00B13380" w:rsidRPr="0097585A">
        <w:rPr>
          <w:color w:val="000000" w:themeColor="text1"/>
          <w:sz w:val="22"/>
          <w:szCs w:val="22"/>
        </w:rPr>
        <w:t>A</w:t>
      </w:r>
      <w:r w:rsidR="00BC5C95" w:rsidRPr="0097585A">
        <w:rPr>
          <w:color w:val="000000" w:themeColor="text1"/>
          <w:sz w:val="22"/>
          <w:szCs w:val="22"/>
        </w:rPr>
        <w:t xml:space="preserve">ssumptions underpinning </w:t>
      </w:r>
      <w:r w:rsidR="009C6B31">
        <w:rPr>
          <w:color w:val="000000" w:themeColor="text1"/>
          <w:sz w:val="22"/>
          <w:szCs w:val="22"/>
        </w:rPr>
        <w:t>the programme</w:t>
      </w:r>
      <w:r w:rsidR="00C4135D">
        <w:rPr>
          <w:color w:val="000000" w:themeColor="text1"/>
          <w:sz w:val="22"/>
          <w:szCs w:val="22"/>
        </w:rPr>
        <w:t>’s</w:t>
      </w:r>
      <w:r w:rsidR="009C6B31">
        <w:rPr>
          <w:color w:val="000000" w:themeColor="text1"/>
          <w:sz w:val="22"/>
          <w:szCs w:val="22"/>
        </w:rPr>
        <w:t xml:space="preserve"> Theory of Change and </w:t>
      </w:r>
      <w:r w:rsidR="00C4135D">
        <w:rPr>
          <w:color w:val="000000" w:themeColor="text1"/>
          <w:sz w:val="22"/>
          <w:szCs w:val="22"/>
        </w:rPr>
        <w:t>expected results</w:t>
      </w:r>
      <w:r w:rsidR="00BC5C95" w:rsidRPr="0097585A">
        <w:rPr>
          <w:color w:val="000000" w:themeColor="text1"/>
          <w:sz w:val="22"/>
          <w:szCs w:val="22"/>
        </w:rPr>
        <w:t xml:space="preserve"> to be tested during </w:t>
      </w:r>
      <w:r w:rsidR="001513A2">
        <w:rPr>
          <w:color w:val="000000" w:themeColor="text1"/>
          <w:sz w:val="22"/>
          <w:szCs w:val="22"/>
        </w:rPr>
        <w:t>any</w:t>
      </w:r>
      <w:r w:rsidR="00BC5C95" w:rsidRPr="0097585A">
        <w:rPr>
          <w:color w:val="000000" w:themeColor="text1"/>
          <w:sz w:val="22"/>
          <w:szCs w:val="22"/>
        </w:rPr>
        <w:t xml:space="preserve"> evaluation.</w:t>
      </w:r>
    </w:p>
    <w:p w14:paraId="110D0613" w14:textId="77777777" w:rsidR="0035028F" w:rsidRPr="0035028F" w:rsidRDefault="0035028F" w:rsidP="0035028F">
      <w:pPr>
        <w:tabs>
          <w:tab w:val="left" w:pos="6915"/>
          <w:tab w:val="left" w:pos="9495"/>
        </w:tabs>
        <w:rPr>
          <w:b/>
          <w:bCs/>
          <w:color w:val="000000" w:themeColor="text1"/>
          <w:sz w:val="22"/>
          <w:szCs w:val="22"/>
        </w:rPr>
      </w:pPr>
    </w:p>
    <w:p w14:paraId="5C759886" w14:textId="77777777" w:rsidR="000F5F51" w:rsidRPr="002055D4" w:rsidRDefault="000F5F51" w:rsidP="000F5F51">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rPr>
          <w:b w:val="0"/>
          <w:i w:val="0"/>
          <w:sz w:val="20"/>
          <w:szCs w:val="20"/>
        </w:rPr>
      </w:pPr>
      <w:r w:rsidRPr="60E67443">
        <w:rPr>
          <w:i w:val="0"/>
        </w:rPr>
        <w:t xml:space="preserve">B: THEORY OF CHANGE AND PROGRESS TOWARDS OUTCOMES </w:t>
      </w:r>
    </w:p>
    <w:p w14:paraId="26694025" w14:textId="68B1EADC" w:rsidR="000F5F51" w:rsidRPr="002055D4" w:rsidRDefault="00F6447B" w:rsidP="000F5F51">
      <w:pPr>
        <w:rPr>
          <w:rFonts w:cs="Arial"/>
          <w:b/>
          <w:color w:val="FF0000"/>
          <w:sz w:val="22"/>
          <w:szCs w:val="22"/>
        </w:rPr>
      </w:pPr>
      <w:r>
        <w:rPr>
          <w:noProof/>
        </w:rPr>
        <w:drawing>
          <wp:anchor distT="0" distB="0" distL="114300" distR="114300" simplePos="0" relativeHeight="251658240" behindDoc="0" locked="0" layoutInCell="1" allowOverlap="1" wp14:anchorId="1BC5E08B" wp14:editId="005AC2FA">
            <wp:simplePos x="0" y="0"/>
            <wp:positionH relativeFrom="column">
              <wp:posOffset>-714375</wp:posOffset>
            </wp:positionH>
            <wp:positionV relativeFrom="paragraph">
              <wp:posOffset>160655</wp:posOffset>
            </wp:positionV>
            <wp:extent cx="7185025" cy="3891915"/>
            <wp:effectExtent l="0" t="0" r="0" b="0"/>
            <wp:wrapTopAndBottom/>
            <wp:docPr id="1150592312" name="Image 115059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185025" cy="3891915"/>
                    </a:xfrm>
                    <a:prstGeom prst="rect">
                      <a:avLst/>
                    </a:prstGeom>
                  </pic:spPr>
                </pic:pic>
              </a:graphicData>
            </a:graphic>
            <wp14:sizeRelH relativeFrom="margin">
              <wp14:pctWidth>0</wp14:pctWidth>
            </wp14:sizeRelH>
            <wp14:sizeRelV relativeFrom="margin">
              <wp14:pctHeight>0</wp14:pctHeight>
            </wp14:sizeRelV>
          </wp:anchor>
        </w:drawing>
      </w:r>
    </w:p>
    <w:p w14:paraId="2ECEA1C3" w14:textId="640D2E31" w:rsidR="000F5F51" w:rsidRPr="002055D4" w:rsidRDefault="000F5F51" w:rsidP="000F5F51"/>
    <w:p w14:paraId="4835900F" w14:textId="27CF9AEA" w:rsidR="000F5F51" w:rsidRPr="00AD3E2A" w:rsidRDefault="000F5F51" w:rsidP="000F5F51">
      <w:pPr>
        <w:rPr>
          <w:rFonts w:eastAsia="Arial" w:cs="Arial"/>
          <w:sz w:val="22"/>
          <w:szCs w:val="22"/>
        </w:rPr>
      </w:pPr>
      <w:r w:rsidRPr="7783E917">
        <w:rPr>
          <w:rFonts w:eastAsia="Arial" w:cs="Arial"/>
          <w:sz w:val="22"/>
          <w:szCs w:val="22"/>
        </w:rPr>
        <w:t>The Theory of Change demonstrates how the fund’s activities are expected to lead to the above intended impact. It was constructed based on a causal analysis, drawing on available evidence</w:t>
      </w:r>
      <w:r w:rsidR="0A1D8CC4" w:rsidRPr="7783E917">
        <w:rPr>
          <w:rFonts w:eastAsia="Arial" w:cs="Arial"/>
          <w:sz w:val="22"/>
          <w:szCs w:val="22"/>
        </w:rPr>
        <w:t>,</w:t>
      </w:r>
      <w:r w:rsidRPr="7783E917">
        <w:rPr>
          <w:rFonts w:eastAsia="Arial" w:cs="Arial"/>
          <w:sz w:val="22"/>
          <w:szCs w:val="22"/>
        </w:rPr>
        <w:t xml:space="preserve"> and is used to frame the fund’s impact measurement and management eﬀorts.</w:t>
      </w:r>
      <w:r w:rsidR="0022708F" w:rsidRPr="7783E917">
        <w:rPr>
          <w:rFonts w:eastAsia="Arial" w:cs="Arial"/>
          <w:sz w:val="22"/>
          <w:szCs w:val="22"/>
        </w:rPr>
        <w:t xml:space="preserve"> </w:t>
      </w:r>
      <w:r w:rsidRPr="7783E917">
        <w:rPr>
          <w:rFonts w:eastAsia="Arial" w:cs="Arial"/>
          <w:sz w:val="22"/>
          <w:szCs w:val="22"/>
        </w:rPr>
        <w:t>The fund’s Theory of Change considers the following levels:</w:t>
      </w:r>
    </w:p>
    <w:p w14:paraId="49E46504" w14:textId="77777777" w:rsidR="000F5F51" w:rsidRPr="00AD3E2A" w:rsidRDefault="000F5F51" w:rsidP="000F5F51">
      <w:pPr>
        <w:rPr>
          <w:rFonts w:eastAsia="Arial" w:cs="Arial"/>
          <w:sz w:val="22"/>
          <w:szCs w:val="22"/>
        </w:rPr>
      </w:pPr>
    </w:p>
    <w:p w14:paraId="3DE53E7D" w14:textId="333514F5" w:rsidR="000F5F51" w:rsidRPr="00697E6B" w:rsidRDefault="000F5F51" w:rsidP="000F5F51">
      <w:pPr>
        <w:rPr>
          <w:rFonts w:eastAsia="Arial" w:cs="Arial"/>
          <w:b/>
          <w:bCs/>
          <w:sz w:val="22"/>
          <w:szCs w:val="22"/>
        </w:rPr>
      </w:pPr>
      <w:r w:rsidRPr="00AD3E2A">
        <w:rPr>
          <w:rFonts w:eastAsia="Arial" w:cs="Arial"/>
          <w:b/>
          <w:bCs/>
          <w:sz w:val="22"/>
          <w:szCs w:val="22"/>
        </w:rPr>
        <w:t>Final impact</w:t>
      </w:r>
      <w:r w:rsidR="00697E6B">
        <w:rPr>
          <w:rFonts w:eastAsia="Arial" w:cs="Arial"/>
          <w:b/>
          <w:bCs/>
          <w:sz w:val="22"/>
          <w:szCs w:val="22"/>
        </w:rPr>
        <w:t xml:space="preserve">: </w:t>
      </w:r>
      <w:r w:rsidRPr="00AD3E2A">
        <w:rPr>
          <w:rFonts w:eastAsia="Arial" w:cs="Arial"/>
          <w:sz w:val="22"/>
          <w:szCs w:val="22"/>
        </w:rPr>
        <w:t>This level contains the ﬁnal impacts at environmental and socio-economic level that the fund aims to contribute to.</w:t>
      </w:r>
    </w:p>
    <w:p w14:paraId="1E9B1628" w14:textId="77777777" w:rsidR="000F5F51" w:rsidRPr="00AD3E2A" w:rsidRDefault="000F5F51" w:rsidP="000F5F51">
      <w:pPr>
        <w:rPr>
          <w:rFonts w:eastAsia="Arial" w:cs="Arial"/>
          <w:b/>
          <w:bCs/>
          <w:sz w:val="22"/>
          <w:szCs w:val="22"/>
        </w:rPr>
      </w:pPr>
    </w:p>
    <w:p w14:paraId="2AC7118F" w14:textId="5C7D0A97" w:rsidR="000F5F51" w:rsidRPr="00697E6B" w:rsidRDefault="000F5F51" w:rsidP="000F5F51">
      <w:pPr>
        <w:rPr>
          <w:rFonts w:eastAsia="Arial" w:cs="Arial"/>
          <w:b/>
          <w:bCs/>
          <w:sz w:val="22"/>
          <w:szCs w:val="22"/>
        </w:rPr>
      </w:pPr>
      <w:r w:rsidRPr="4002ACAC">
        <w:rPr>
          <w:rFonts w:eastAsia="Arial" w:cs="Arial"/>
          <w:b/>
          <w:bCs/>
          <w:sz w:val="22"/>
          <w:szCs w:val="22"/>
        </w:rPr>
        <w:t>Outcomes</w:t>
      </w:r>
      <w:r w:rsidR="00697E6B" w:rsidRPr="4002ACAC">
        <w:rPr>
          <w:rFonts w:eastAsia="Arial" w:cs="Arial"/>
          <w:b/>
          <w:bCs/>
          <w:sz w:val="22"/>
          <w:szCs w:val="22"/>
        </w:rPr>
        <w:t xml:space="preserve">: </w:t>
      </w:r>
      <w:r w:rsidRPr="4002ACAC">
        <w:rPr>
          <w:rFonts w:eastAsia="Arial" w:cs="Arial"/>
          <w:sz w:val="22"/>
          <w:szCs w:val="22"/>
        </w:rPr>
        <w:t xml:space="preserve">This level includes </w:t>
      </w:r>
      <w:r w:rsidR="007E2D66" w:rsidRPr="4002ACAC">
        <w:rPr>
          <w:rFonts w:eastAsia="Arial" w:cs="Arial"/>
          <w:sz w:val="22"/>
          <w:szCs w:val="22"/>
        </w:rPr>
        <w:t xml:space="preserve">long-lasting </w:t>
      </w:r>
      <w:r w:rsidRPr="4002ACAC">
        <w:rPr>
          <w:rFonts w:eastAsia="Arial" w:cs="Arial"/>
          <w:sz w:val="22"/>
          <w:szCs w:val="22"/>
        </w:rPr>
        <w:t>changes</w:t>
      </w:r>
      <w:r w:rsidR="0013713E">
        <w:rPr>
          <w:rFonts w:eastAsia="Arial" w:cs="Arial"/>
          <w:sz w:val="22"/>
          <w:szCs w:val="22"/>
        </w:rPr>
        <w:t xml:space="preserve"> expected to be delivered by the fund.</w:t>
      </w:r>
    </w:p>
    <w:p w14:paraId="31F97610" w14:textId="77777777" w:rsidR="000F5F51" w:rsidRPr="00AD3E2A" w:rsidRDefault="000F5F51" w:rsidP="000F5F51">
      <w:pPr>
        <w:rPr>
          <w:rFonts w:eastAsia="Arial" w:cs="Arial"/>
          <w:b/>
          <w:bCs/>
          <w:sz w:val="22"/>
          <w:szCs w:val="22"/>
        </w:rPr>
      </w:pPr>
    </w:p>
    <w:p w14:paraId="254D699E" w14:textId="6040AF51" w:rsidR="000F5F51" w:rsidRPr="00AD3E2A" w:rsidRDefault="000F5F51" w:rsidP="000F5F51">
      <w:pPr>
        <w:rPr>
          <w:rFonts w:eastAsia="Arial" w:cs="Arial"/>
          <w:sz w:val="22"/>
          <w:szCs w:val="22"/>
        </w:rPr>
      </w:pPr>
      <w:r w:rsidRPr="4002ACAC">
        <w:rPr>
          <w:rFonts w:eastAsia="Arial" w:cs="Arial"/>
          <w:b/>
          <w:bCs/>
          <w:sz w:val="22"/>
          <w:szCs w:val="22"/>
        </w:rPr>
        <w:t>Outputs</w:t>
      </w:r>
      <w:r w:rsidR="00697E6B" w:rsidRPr="4002ACAC">
        <w:rPr>
          <w:rFonts w:eastAsia="Arial" w:cs="Arial"/>
          <w:b/>
          <w:bCs/>
          <w:sz w:val="22"/>
          <w:szCs w:val="22"/>
        </w:rPr>
        <w:t xml:space="preserve">: </w:t>
      </w:r>
      <w:r w:rsidRPr="4002ACAC">
        <w:rPr>
          <w:rFonts w:eastAsia="Arial" w:cs="Arial"/>
          <w:sz w:val="22"/>
          <w:szCs w:val="22"/>
        </w:rPr>
        <w:t>This level summari</w:t>
      </w:r>
      <w:r w:rsidR="5E823DC3" w:rsidRPr="4002ACAC">
        <w:rPr>
          <w:rFonts w:eastAsia="Arial" w:cs="Arial"/>
          <w:sz w:val="22"/>
          <w:szCs w:val="22"/>
        </w:rPr>
        <w:t>s</w:t>
      </w:r>
      <w:r w:rsidRPr="4002ACAC">
        <w:rPr>
          <w:rFonts w:eastAsia="Arial" w:cs="Arial"/>
          <w:sz w:val="22"/>
          <w:szCs w:val="22"/>
        </w:rPr>
        <w:t>es the tangible results that the fund’s activities produce</w:t>
      </w:r>
      <w:r w:rsidR="0013713E">
        <w:rPr>
          <w:rFonts w:eastAsia="Arial" w:cs="Arial"/>
          <w:sz w:val="22"/>
          <w:szCs w:val="22"/>
        </w:rPr>
        <w:t>.</w:t>
      </w:r>
    </w:p>
    <w:p w14:paraId="25D9A6FF" w14:textId="77777777" w:rsidR="000F5F51" w:rsidRPr="00AD3E2A" w:rsidRDefault="000F5F51" w:rsidP="000F5F51">
      <w:pPr>
        <w:rPr>
          <w:rFonts w:eastAsia="Arial" w:cs="Arial"/>
          <w:b/>
          <w:bCs/>
          <w:sz w:val="22"/>
          <w:szCs w:val="22"/>
        </w:rPr>
      </w:pPr>
    </w:p>
    <w:p w14:paraId="4D27DD6C" w14:textId="74B4F018" w:rsidR="000F5F51" w:rsidRPr="00AD3E2A" w:rsidRDefault="000F5F51" w:rsidP="000F5F51">
      <w:pPr>
        <w:rPr>
          <w:rFonts w:eastAsia="Arial" w:cs="Arial"/>
          <w:sz w:val="22"/>
          <w:szCs w:val="22"/>
        </w:rPr>
      </w:pPr>
      <w:r w:rsidRPr="72C938B1">
        <w:rPr>
          <w:rFonts w:eastAsia="Arial" w:cs="Arial"/>
          <w:b/>
          <w:bCs/>
          <w:sz w:val="22"/>
          <w:szCs w:val="22"/>
        </w:rPr>
        <w:t>Activities</w:t>
      </w:r>
      <w:r w:rsidR="00697E6B" w:rsidRPr="72C938B1">
        <w:rPr>
          <w:rFonts w:eastAsia="Arial" w:cs="Arial"/>
          <w:b/>
          <w:bCs/>
          <w:sz w:val="22"/>
          <w:szCs w:val="22"/>
        </w:rPr>
        <w:t xml:space="preserve">: </w:t>
      </w:r>
      <w:r w:rsidRPr="72C938B1">
        <w:rPr>
          <w:rFonts w:eastAsia="Arial" w:cs="Arial"/>
          <w:sz w:val="22"/>
          <w:szCs w:val="22"/>
        </w:rPr>
        <w:t>This level contains the fund’s diﬀerent activities</w:t>
      </w:r>
      <w:r w:rsidR="0013713E">
        <w:rPr>
          <w:rFonts w:eastAsia="Arial" w:cs="Arial"/>
          <w:sz w:val="22"/>
          <w:szCs w:val="22"/>
        </w:rPr>
        <w:t xml:space="preserve">. </w:t>
      </w:r>
      <w:r w:rsidRPr="72C938B1">
        <w:rPr>
          <w:rFonts w:eastAsia="Arial" w:cs="Arial"/>
          <w:sz w:val="22"/>
          <w:szCs w:val="22"/>
        </w:rPr>
        <w:t>These processes are interlinked and reinforce each other to drive transformation and systemic change in the market.</w:t>
      </w:r>
    </w:p>
    <w:p w14:paraId="0D66529A" w14:textId="77777777" w:rsidR="000F5F51" w:rsidRPr="00AD3E2A" w:rsidRDefault="000F5F51" w:rsidP="000F5F51">
      <w:pPr>
        <w:rPr>
          <w:rFonts w:eastAsia="Arial" w:cs="Arial"/>
          <w:sz w:val="22"/>
          <w:szCs w:val="22"/>
        </w:rPr>
      </w:pPr>
      <w:r w:rsidRPr="00AD3E2A">
        <w:rPr>
          <w:rFonts w:eastAsia="Arial" w:cs="Arial"/>
          <w:sz w:val="22"/>
          <w:szCs w:val="22"/>
        </w:rPr>
        <w:t xml:space="preserve"> </w:t>
      </w:r>
    </w:p>
    <w:p w14:paraId="297B93AC" w14:textId="25D9C102" w:rsidR="000F5F51" w:rsidRDefault="000F5F51" w:rsidP="000F5F51">
      <w:pPr>
        <w:rPr>
          <w:rFonts w:eastAsia="Arial" w:cs="Arial"/>
          <w:sz w:val="22"/>
          <w:szCs w:val="22"/>
        </w:rPr>
      </w:pPr>
      <w:r w:rsidRPr="4EE900A2">
        <w:rPr>
          <w:rFonts w:eastAsia="Arial" w:cs="Arial"/>
          <w:sz w:val="22"/>
          <w:szCs w:val="22"/>
        </w:rPr>
        <w:t xml:space="preserve">Elements outlined in the Theory of Change </w:t>
      </w:r>
      <w:r w:rsidR="0093173F">
        <w:rPr>
          <w:rFonts w:eastAsia="Arial" w:cs="Arial"/>
          <w:sz w:val="22"/>
          <w:szCs w:val="22"/>
        </w:rPr>
        <w:t>are either</w:t>
      </w:r>
      <w:r w:rsidRPr="4EE900A2">
        <w:rPr>
          <w:rFonts w:eastAsia="Arial" w:cs="Arial"/>
          <w:sz w:val="22"/>
          <w:szCs w:val="22"/>
        </w:rPr>
        <w:t xml:space="preserve"> directly under the control of the </w:t>
      </w:r>
      <w:r w:rsidR="5D1B3AC9" w:rsidRPr="4EE900A2">
        <w:rPr>
          <w:rFonts w:eastAsia="Arial" w:cs="Arial"/>
          <w:sz w:val="22"/>
          <w:szCs w:val="22"/>
        </w:rPr>
        <w:t>F</w:t>
      </w:r>
      <w:r w:rsidRPr="4EE900A2">
        <w:rPr>
          <w:rFonts w:eastAsia="Arial" w:cs="Arial"/>
          <w:sz w:val="22"/>
          <w:szCs w:val="22"/>
        </w:rPr>
        <w:t xml:space="preserve">und (such as activities and outputs) or inﬂuenced by both the </w:t>
      </w:r>
      <w:r w:rsidR="4A28E326" w:rsidRPr="4EE900A2">
        <w:rPr>
          <w:rFonts w:eastAsia="Arial" w:cs="Arial"/>
          <w:sz w:val="22"/>
          <w:szCs w:val="22"/>
        </w:rPr>
        <w:t>F</w:t>
      </w:r>
      <w:r w:rsidRPr="4EE900A2">
        <w:rPr>
          <w:rFonts w:eastAsia="Arial" w:cs="Arial"/>
          <w:sz w:val="22"/>
          <w:szCs w:val="22"/>
        </w:rPr>
        <w:t xml:space="preserve">und and external factors (such as </w:t>
      </w:r>
      <w:r w:rsidRPr="4EE900A2">
        <w:rPr>
          <w:rFonts w:eastAsia="Arial" w:cs="Arial"/>
          <w:sz w:val="22"/>
          <w:szCs w:val="22"/>
        </w:rPr>
        <w:lastRenderedPageBreak/>
        <w:t xml:space="preserve">outcomes, ﬁnal impacts). Given the nature of the </w:t>
      </w:r>
      <w:r w:rsidR="796D1F66" w:rsidRPr="4EE900A2">
        <w:rPr>
          <w:rFonts w:eastAsia="Arial" w:cs="Arial"/>
          <w:sz w:val="22"/>
          <w:szCs w:val="22"/>
        </w:rPr>
        <w:t>F</w:t>
      </w:r>
      <w:r w:rsidRPr="4EE900A2">
        <w:rPr>
          <w:rFonts w:eastAsia="Arial" w:cs="Arial"/>
          <w:sz w:val="22"/>
          <w:szCs w:val="22"/>
        </w:rPr>
        <w:t xml:space="preserve">und’s work, the </w:t>
      </w:r>
      <w:r w:rsidR="2541C24A" w:rsidRPr="4EE900A2">
        <w:rPr>
          <w:rFonts w:eastAsia="Arial" w:cs="Arial"/>
          <w:sz w:val="22"/>
          <w:szCs w:val="22"/>
        </w:rPr>
        <w:t>F</w:t>
      </w:r>
      <w:r w:rsidRPr="4EE900A2">
        <w:rPr>
          <w:rFonts w:eastAsia="Arial" w:cs="Arial"/>
          <w:sz w:val="22"/>
          <w:szCs w:val="22"/>
        </w:rPr>
        <w:t xml:space="preserve">und does not attribute the absolute change happening at outcome and ﬁnal impact level solely to its contributions. Considering also the complex environments in which the </w:t>
      </w:r>
      <w:r w:rsidR="7076EA0E" w:rsidRPr="4EE900A2">
        <w:rPr>
          <w:rFonts w:eastAsia="Arial" w:cs="Arial"/>
          <w:sz w:val="22"/>
          <w:szCs w:val="22"/>
        </w:rPr>
        <w:t>F</w:t>
      </w:r>
      <w:r w:rsidRPr="4EE900A2">
        <w:rPr>
          <w:rFonts w:eastAsia="Arial" w:cs="Arial"/>
          <w:sz w:val="22"/>
          <w:szCs w:val="22"/>
        </w:rPr>
        <w:t xml:space="preserve">und’s investees and stakeholders operate in, it may be possible to measure whether an intended outcome occurred, but it would be diﬃcult or inaccurate to attribute the change solely to the LDN Fund’s work. The </w:t>
      </w:r>
      <w:r w:rsidRPr="00EE31FA">
        <w:rPr>
          <w:rFonts w:eastAsia="Arial" w:cs="Arial"/>
          <w:sz w:val="22"/>
          <w:szCs w:val="22"/>
        </w:rPr>
        <w:t>Theory of Change, therefore, deﬁnes how the fund contributes to causing the observed outcomes and ﬁnal impacts.</w:t>
      </w:r>
      <w:r w:rsidR="008E0549">
        <w:rPr>
          <w:rFonts w:eastAsia="Arial" w:cs="Arial"/>
          <w:sz w:val="22"/>
          <w:szCs w:val="22"/>
        </w:rPr>
        <w:t xml:space="preserve"> The </w:t>
      </w:r>
      <w:proofErr w:type="gramStart"/>
      <w:r w:rsidR="008E0549">
        <w:rPr>
          <w:rFonts w:eastAsia="Arial" w:cs="Arial"/>
          <w:sz w:val="22"/>
          <w:szCs w:val="22"/>
        </w:rPr>
        <w:t>final results</w:t>
      </w:r>
      <w:proofErr w:type="gramEnd"/>
      <w:r w:rsidR="008E0549">
        <w:rPr>
          <w:rFonts w:eastAsia="Arial" w:cs="Arial"/>
          <w:sz w:val="22"/>
          <w:szCs w:val="22"/>
        </w:rPr>
        <w:t xml:space="preserve"> of the Fund, along with any </w:t>
      </w:r>
      <w:r w:rsidR="00305569">
        <w:rPr>
          <w:rFonts w:eastAsia="Arial" w:cs="Arial"/>
          <w:sz w:val="22"/>
          <w:szCs w:val="22"/>
        </w:rPr>
        <w:t>independent</w:t>
      </w:r>
      <w:r w:rsidR="008E0549">
        <w:rPr>
          <w:rFonts w:eastAsia="Arial" w:cs="Arial"/>
          <w:sz w:val="22"/>
          <w:szCs w:val="22"/>
        </w:rPr>
        <w:t xml:space="preserve"> review of the Fund</w:t>
      </w:r>
      <w:r w:rsidR="003360E8">
        <w:rPr>
          <w:rFonts w:eastAsia="Arial" w:cs="Arial"/>
          <w:sz w:val="22"/>
          <w:szCs w:val="22"/>
        </w:rPr>
        <w:t xml:space="preserve">’s success, will </w:t>
      </w:r>
      <w:r w:rsidR="00AA2E7E">
        <w:rPr>
          <w:rFonts w:eastAsia="Arial" w:cs="Arial"/>
          <w:sz w:val="22"/>
          <w:szCs w:val="22"/>
        </w:rPr>
        <w:t>help test th</w:t>
      </w:r>
      <w:r w:rsidR="000C1299">
        <w:rPr>
          <w:rFonts w:eastAsia="Arial" w:cs="Arial"/>
          <w:sz w:val="22"/>
          <w:szCs w:val="22"/>
        </w:rPr>
        <w:t xml:space="preserve">e </w:t>
      </w:r>
      <w:proofErr w:type="spellStart"/>
      <w:r w:rsidR="000C1299">
        <w:rPr>
          <w:rFonts w:eastAsia="Arial" w:cs="Arial"/>
          <w:sz w:val="22"/>
          <w:szCs w:val="22"/>
        </w:rPr>
        <w:t>ToC’s</w:t>
      </w:r>
      <w:proofErr w:type="spellEnd"/>
      <w:r w:rsidR="000C1299">
        <w:rPr>
          <w:rFonts w:eastAsia="Arial" w:cs="Arial"/>
          <w:sz w:val="22"/>
          <w:szCs w:val="22"/>
        </w:rPr>
        <w:t xml:space="preserve"> assumptions about </w:t>
      </w:r>
      <w:r w:rsidR="00113EC7">
        <w:rPr>
          <w:rFonts w:eastAsia="Arial" w:cs="Arial"/>
          <w:sz w:val="22"/>
          <w:szCs w:val="22"/>
        </w:rPr>
        <w:t>its impact.</w:t>
      </w:r>
      <w:r w:rsidR="003360E8">
        <w:rPr>
          <w:rFonts w:eastAsia="Arial" w:cs="Arial"/>
          <w:sz w:val="22"/>
          <w:szCs w:val="22"/>
        </w:rPr>
        <w:t xml:space="preserve"> </w:t>
      </w:r>
      <w:r w:rsidR="008E7E69">
        <w:rPr>
          <w:rFonts w:eastAsia="Arial" w:cs="Arial"/>
          <w:sz w:val="22"/>
          <w:szCs w:val="22"/>
        </w:rPr>
        <w:t>These assumptions are that</w:t>
      </w:r>
      <w:r w:rsidR="00694622">
        <w:rPr>
          <w:rFonts w:eastAsia="Arial" w:cs="Arial"/>
          <w:sz w:val="22"/>
          <w:szCs w:val="22"/>
        </w:rPr>
        <w:t>:</w:t>
      </w:r>
    </w:p>
    <w:p w14:paraId="5BE93005" w14:textId="77777777" w:rsidR="00694622" w:rsidRDefault="00694622" w:rsidP="000F5F51">
      <w:pPr>
        <w:rPr>
          <w:rFonts w:eastAsia="Arial" w:cs="Arial"/>
          <w:sz w:val="22"/>
          <w:szCs w:val="22"/>
        </w:rPr>
      </w:pPr>
    </w:p>
    <w:p w14:paraId="194A2190" w14:textId="76A093D5" w:rsidR="00694622" w:rsidRDefault="003F6C99" w:rsidP="00694622">
      <w:pPr>
        <w:pStyle w:val="ListParagraph"/>
        <w:numPr>
          <w:ilvl w:val="0"/>
          <w:numId w:val="36"/>
        </w:numPr>
        <w:rPr>
          <w:rFonts w:eastAsia="Arial" w:cs="Arial"/>
          <w:sz w:val="22"/>
          <w:szCs w:val="22"/>
        </w:rPr>
      </w:pPr>
      <w:r>
        <w:rPr>
          <w:rFonts w:eastAsia="Arial" w:cs="Arial"/>
          <w:sz w:val="22"/>
          <w:szCs w:val="22"/>
        </w:rPr>
        <w:t xml:space="preserve">Public investment has a catalytic effect for leveraging private </w:t>
      </w:r>
      <w:proofErr w:type="gramStart"/>
      <w:r>
        <w:rPr>
          <w:rFonts w:eastAsia="Arial" w:cs="Arial"/>
          <w:sz w:val="22"/>
          <w:szCs w:val="22"/>
        </w:rPr>
        <w:t>finance</w:t>
      </w:r>
      <w:r w:rsidR="001C5906">
        <w:rPr>
          <w:rFonts w:eastAsia="Arial" w:cs="Arial"/>
          <w:sz w:val="22"/>
          <w:szCs w:val="22"/>
        </w:rPr>
        <w:t>;</w:t>
      </w:r>
      <w:proofErr w:type="gramEnd"/>
    </w:p>
    <w:p w14:paraId="02897489" w14:textId="169F3292" w:rsidR="001C5906" w:rsidRDefault="001C5906" w:rsidP="00694622">
      <w:pPr>
        <w:pStyle w:val="ListParagraph"/>
        <w:numPr>
          <w:ilvl w:val="0"/>
          <w:numId w:val="36"/>
        </w:numPr>
        <w:rPr>
          <w:rFonts w:eastAsia="Arial" w:cs="Arial"/>
          <w:sz w:val="22"/>
          <w:szCs w:val="22"/>
        </w:rPr>
      </w:pPr>
      <w:r>
        <w:rPr>
          <w:rFonts w:eastAsia="Arial" w:cs="Arial"/>
          <w:sz w:val="22"/>
          <w:szCs w:val="22"/>
        </w:rPr>
        <w:t>Sustainable land management has a measurable impact on biodiversity net gain</w:t>
      </w:r>
      <w:r w:rsidR="00301EC1">
        <w:rPr>
          <w:rFonts w:eastAsia="Arial" w:cs="Arial"/>
          <w:sz w:val="22"/>
          <w:szCs w:val="22"/>
        </w:rPr>
        <w:t xml:space="preserve">, carbon sequestration and reversing land </w:t>
      </w:r>
      <w:proofErr w:type="gramStart"/>
      <w:r w:rsidR="00301EC1">
        <w:rPr>
          <w:rFonts w:eastAsia="Arial" w:cs="Arial"/>
          <w:sz w:val="22"/>
          <w:szCs w:val="22"/>
        </w:rPr>
        <w:t>degradation</w:t>
      </w:r>
      <w:r w:rsidR="00851B44">
        <w:rPr>
          <w:rFonts w:eastAsia="Arial" w:cs="Arial"/>
          <w:sz w:val="22"/>
          <w:szCs w:val="22"/>
        </w:rPr>
        <w:t>;</w:t>
      </w:r>
      <w:proofErr w:type="gramEnd"/>
    </w:p>
    <w:p w14:paraId="0FC73E04" w14:textId="7463D06B" w:rsidR="00301EC1" w:rsidRDefault="00980964" w:rsidP="00694622">
      <w:pPr>
        <w:pStyle w:val="ListParagraph"/>
        <w:numPr>
          <w:ilvl w:val="0"/>
          <w:numId w:val="36"/>
        </w:numPr>
        <w:rPr>
          <w:rFonts w:eastAsia="Arial" w:cs="Arial"/>
          <w:sz w:val="22"/>
          <w:szCs w:val="22"/>
        </w:rPr>
      </w:pPr>
      <w:r>
        <w:rPr>
          <w:rFonts w:eastAsia="Arial" w:cs="Arial"/>
          <w:sz w:val="22"/>
          <w:szCs w:val="22"/>
        </w:rPr>
        <w:t xml:space="preserve">Technical Assistance </w:t>
      </w:r>
      <w:r w:rsidR="00C9200A">
        <w:rPr>
          <w:rFonts w:eastAsia="Arial" w:cs="Arial"/>
          <w:sz w:val="22"/>
          <w:szCs w:val="22"/>
        </w:rPr>
        <w:t xml:space="preserve">improves commercial and ESG outcomes for </w:t>
      </w:r>
      <w:proofErr w:type="gramStart"/>
      <w:r w:rsidR="00C9200A">
        <w:rPr>
          <w:rFonts w:eastAsia="Arial" w:cs="Arial"/>
          <w:sz w:val="22"/>
          <w:szCs w:val="22"/>
        </w:rPr>
        <w:t>projects</w:t>
      </w:r>
      <w:r w:rsidR="00851B44">
        <w:rPr>
          <w:rFonts w:eastAsia="Arial" w:cs="Arial"/>
          <w:sz w:val="22"/>
          <w:szCs w:val="22"/>
        </w:rPr>
        <w:t>;</w:t>
      </w:r>
      <w:proofErr w:type="gramEnd"/>
    </w:p>
    <w:p w14:paraId="64450B00" w14:textId="343FA0B8" w:rsidR="00C9200A" w:rsidRDefault="00A95115" w:rsidP="00694622">
      <w:pPr>
        <w:pStyle w:val="ListParagraph"/>
        <w:numPr>
          <w:ilvl w:val="0"/>
          <w:numId w:val="36"/>
        </w:numPr>
        <w:rPr>
          <w:rFonts w:eastAsia="Arial" w:cs="Arial"/>
          <w:sz w:val="22"/>
          <w:szCs w:val="22"/>
        </w:rPr>
      </w:pPr>
      <w:r>
        <w:rPr>
          <w:rFonts w:eastAsia="Arial" w:cs="Arial"/>
          <w:sz w:val="22"/>
          <w:szCs w:val="22"/>
        </w:rPr>
        <w:t xml:space="preserve">Creation of jobs and improved livelihoods prevents degradation from being exported to other </w:t>
      </w:r>
      <w:proofErr w:type="gramStart"/>
      <w:r>
        <w:rPr>
          <w:rFonts w:eastAsia="Arial" w:cs="Arial"/>
          <w:sz w:val="22"/>
          <w:szCs w:val="22"/>
        </w:rPr>
        <w:t>areas</w:t>
      </w:r>
      <w:r w:rsidR="00851B44">
        <w:rPr>
          <w:rFonts w:eastAsia="Arial" w:cs="Arial"/>
          <w:sz w:val="22"/>
          <w:szCs w:val="22"/>
        </w:rPr>
        <w:t>;</w:t>
      </w:r>
      <w:proofErr w:type="gramEnd"/>
    </w:p>
    <w:p w14:paraId="2574543B" w14:textId="0CB61D50" w:rsidR="002259CD" w:rsidRDefault="000F5F51" w:rsidP="000F5F51">
      <w:pPr>
        <w:rPr>
          <w:rFonts w:eastAsia="Arial" w:cs="Arial"/>
          <w:sz w:val="22"/>
          <w:szCs w:val="22"/>
        </w:rPr>
      </w:pPr>
      <w:r w:rsidRPr="36BF80A6">
        <w:rPr>
          <w:rFonts w:eastAsia="Arial" w:cs="Arial"/>
          <w:sz w:val="22"/>
          <w:szCs w:val="22"/>
        </w:rPr>
        <w:t xml:space="preserve">As the Fund is still in its early stages, it is currently operating within the outputs of the </w:t>
      </w:r>
      <w:proofErr w:type="spellStart"/>
      <w:r w:rsidRPr="36BF80A6">
        <w:rPr>
          <w:rFonts w:eastAsia="Arial" w:cs="Arial"/>
          <w:sz w:val="22"/>
          <w:szCs w:val="22"/>
        </w:rPr>
        <w:t>ToC</w:t>
      </w:r>
      <w:proofErr w:type="spellEnd"/>
      <w:r w:rsidRPr="36BF80A6">
        <w:rPr>
          <w:rFonts w:eastAsia="Arial" w:cs="Arial"/>
          <w:sz w:val="22"/>
          <w:szCs w:val="22"/>
        </w:rPr>
        <w:t xml:space="preserve">. </w:t>
      </w:r>
      <w:r w:rsidR="00D57EAE" w:rsidRPr="36BF80A6">
        <w:rPr>
          <w:rFonts w:eastAsia="Arial" w:cs="Arial"/>
          <w:sz w:val="22"/>
          <w:szCs w:val="22"/>
        </w:rPr>
        <w:t>The fund closed in 2021 at</w:t>
      </w:r>
      <w:r w:rsidRPr="36BF80A6">
        <w:rPr>
          <w:rFonts w:eastAsia="Arial" w:cs="Arial"/>
          <w:sz w:val="22"/>
          <w:szCs w:val="22"/>
        </w:rPr>
        <w:t xml:space="preserve"> $208.</w:t>
      </w:r>
      <w:r w:rsidR="00AD4FB8" w:rsidRPr="36BF80A6">
        <w:rPr>
          <w:rFonts w:eastAsia="Arial" w:cs="Arial"/>
          <w:sz w:val="22"/>
          <w:szCs w:val="22"/>
        </w:rPr>
        <w:t>4m</w:t>
      </w:r>
      <w:r w:rsidRPr="36BF80A6">
        <w:rPr>
          <w:rFonts w:eastAsia="Arial" w:cs="Arial"/>
          <w:sz w:val="22"/>
          <w:szCs w:val="22"/>
        </w:rPr>
        <w:t>, split between $43.</w:t>
      </w:r>
      <w:r w:rsidR="00AD4FB8" w:rsidRPr="36BF80A6">
        <w:rPr>
          <w:rFonts w:eastAsia="Arial" w:cs="Arial"/>
          <w:sz w:val="22"/>
          <w:szCs w:val="22"/>
        </w:rPr>
        <w:t xml:space="preserve">6m </w:t>
      </w:r>
      <w:r w:rsidRPr="36BF80A6">
        <w:rPr>
          <w:rFonts w:eastAsia="Arial" w:cs="Arial"/>
          <w:sz w:val="22"/>
          <w:szCs w:val="22"/>
        </w:rPr>
        <w:t xml:space="preserve">in commitments from Junior LPs </w:t>
      </w:r>
      <w:r w:rsidR="005E184A" w:rsidRPr="36BF80A6">
        <w:rPr>
          <w:rFonts w:eastAsia="Arial" w:cs="Arial"/>
          <w:sz w:val="22"/>
          <w:szCs w:val="22"/>
        </w:rPr>
        <w:t xml:space="preserve">(Limited Partners) </w:t>
      </w:r>
      <w:r w:rsidRPr="36BF80A6">
        <w:rPr>
          <w:rFonts w:eastAsia="Arial" w:cs="Arial"/>
          <w:sz w:val="22"/>
          <w:szCs w:val="22"/>
        </w:rPr>
        <w:t>(21%) and $164.</w:t>
      </w:r>
      <w:r w:rsidR="00AD4FB8" w:rsidRPr="36BF80A6">
        <w:rPr>
          <w:rFonts w:eastAsia="Arial" w:cs="Arial"/>
          <w:sz w:val="22"/>
          <w:szCs w:val="22"/>
        </w:rPr>
        <w:t xml:space="preserve">8m </w:t>
      </w:r>
      <w:r w:rsidRPr="36BF80A6">
        <w:rPr>
          <w:rFonts w:eastAsia="Arial" w:cs="Arial"/>
          <w:sz w:val="22"/>
          <w:szCs w:val="22"/>
        </w:rPr>
        <w:t xml:space="preserve">in commitments from Senior LPs (79%). </w:t>
      </w:r>
      <w:r w:rsidR="00F048EF" w:rsidRPr="36BF80A6">
        <w:rPr>
          <w:rFonts w:eastAsia="Arial" w:cs="Arial"/>
          <w:sz w:val="22"/>
          <w:szCs w:val="22"/>
        </w:rPr>
        <w:t xml:space="preserve">As a Junior </w:t>
      </w:r>
      <w:r w:rsidR="00953A71" w:rsidRPr="36BF80A6">
        <w:rPr>
          <w:rFonts w:eastAsia="Arial" w:cs="Arial"/>
          <w:sz w:val="22"/>
          <w:szCs w:val="22"/>
        </w:rPr>
        <w:t>LP</w:t>
      </w:r>
      <w:r w:rsidR="00F048EF" w:rsidRPr="36BF80A6">
        <w:rPr>
          <w:rFonts w:eastAsia="Arial" w:cs="Arial"/>
          <w:sz w:val="22"/>
          <w:szCs w:val="22"/>
        </w:rPr>
        <w:t xml:space="preserve">, Defra’s investment </w:t>
      </w:r>
      <w:r w:rsidR="006C35E5" w:rsidRPr="36BF80A6">
        <w:rPr>
          <w:rFonts w:eastAsia="Arial" w:cs="Arial"/>
          <w:sz w:val="22"/>
          <w:szCs w:val="22"/>
        </w:rPr>
        <w:t>was aimed at encouraging private inves</w:t>
      </w:r>
      <w:r w:rsidR="00F26841" w:rsidRPr="36BF80A6">
        <w:rPr>
          <w:rFonts w:eastAsia="Arial" w:cs="Arial"/>
          <w:sz w:val="22"/>
          <w:szCs w:val="22"/>
        </w:rPr>
        <w:t xml:space="preserve">tment by </w:t>
      </w:r>
      <w:r w:rsidR="00C10A64" w:rsidRPr="36BF80A6">
        <w:rPr>
          <w:rFonts w:eastAsia="Arial" w:cs="Arial"/>
          <w:sz w:val="22"/>
          <w:szCs w:val="22"/>
        </w:rPr>
        <w:t xml:space="preserve">taking a smaller share of any profit and </w:t>
      </w:r>
      <w:r w:rsidR="009C4082" w:rsidRPr="36BF80A6">
        <w:rPr>
          <w:rFonts w:eastAsia="Arial" w:cs="Arial"/>
          <w:sz w:val="22"/>
          <w:szCs w:val="22"/>
        </w:rPr>
        <w:t xml:space="preserve">being first in line to lose money in the event of </w:t>
      </w:r>
      <w:r w:rsidR="0002322E" w:rsidRPr="36BF80A6">
        <w:rPr>
          <w:rFonts w:eastAsia="Arial" w:cs="Arial"/>
          <w:sz w:val="22"/>
          <w:szCs w:val="22"/>
        </w:rPr>
        <w:t xml:space="preserve">portfolio losses, thereby improving returns and </w:t>
      </w:r>
      <w:r w:rsidR="00F26841" w:rsidRPr="36BF80A6">
        <w:rPr>
          <w:rFonts w:eastAsia="Arial" w:cs="Arial"/>
          <w:sz w:val="22"/>
          <w:szCs w:val="22"/>
        </w:rPr>
        <w:t>reducing risk</w:t>
      </w:r>
      <w:r w:rsidR="00DF0B0C" w:rsidRPr="36BF80A6">
        <w:rPr>
          <w:rFonts w:eastAsia="Arial" w:cs="Arial"/>
          <w:sz w:val="22"/>
          <w:szCs w:val="22"/>
        </w:rPr>
        <w:t xml:space="preserve"> for private investors</w:t>
      </w:r>
      <w:r w:rsidR="00953A71" w:rsidRPr="36BF80A6">
        <w:rPr>
          <w:rFonts w:eastAsia="Arial" w:cs="Arial"/>
          <w:sz w:val="22"/>
          <w:szCs w:val="22"/>
        </w:rPr>
        <w:t xml:space="preserve">. </w:t>
      </w:r>
      <w:r w:rsidR="002259CD" w:rsidRPr="36BF80A6">
        <w:rPr>
          <w:rFonts w:eastAsia="Arial" w:cs="Arial"/>
          <w:sz w:val="22"/>
          <w:szCs w:val="22"/>
        </w:rPr>
        <w:t>Th</w:t>
      </w:r>
      <w:r w:rsidR="00C26689" w:rsidRPr="36BF80A6">
        <w:rPr>
          <w:rFonts w:eastAsia="Arial" w:cs="Arial"/>
          <w:sz w:val="22"/>
          <w:szCs w:val="22"/>
        </w:rPr>
        <w:t xml:space="preserve">is 79:21 split is close to the Fund’s </w:t>
      </w:r>
      <w:r w:rsidR="008512B8" w:rsidRPr="36BF80A6">
        <w:rPr>
          <w:rFonts w:eastAsia="Arial" w:cs="Arial"/>
          <w:sz w:val="22"/>
          <w:szCs w:val="22"/>
        </w:rPr>
        <w:t>Senior</w:t>
      </w:r>
      <w:r w:rsidR="000D291C" w:rsidRPr="36BF80A6">
        <w:rPr>
          <w:rFonts w:eastAsia="Arial" w:cs="Arial"/>
          <w:sz w:val="22"/>
          <w:szCs w:val="22"/>
        </w:rPr>
        <w:t>/</w:t>
      </w:r>
      <w:r w:rsidR="008512B8" w:rsidRPr="36BF80A6">
        <w:rPr>
          <w:rFonts w:eastAsia="Arial" w:cs="Arial"/>
          <w:sz w:val="22"/>
          <w:szCs w:val="22"/>
        </w:rPr>
        <w:t>Ju</w:t>
      </w:r>
      <w:r w:rsidR="00C3744E" w:rsidRPr="36BF80A6">
        <w:rPr>
          <w:rFonts w:eastAsia="Arial" w:cs="Arial"/>
          <w:sz w:val="22"/>
          <w:szCs w:val="22"/>
        </w:rPr>
        <w:t xml:space="preserve">nior </w:t>
      </w:r>
      <w:r w:rsidR="00C26689" w:rsidRPr="36BF80A6">
        <w:rPr>
          <w:rFonts w:eastAsia="Arial" w:cs="Arial"/>
          <w:sz w:val="22"/>
          <w:szCs w:val="22"/>
        </w:rPr>
        <w:t xml:space="preserve">limit of 80:20 and demonstrates the success </w:t>
      </w:r>
      <w:r w:rsidR="008A5FD0" w:rsidRPr="36BF80A6">
        <w:rPr>
          <w:rFonts w:eastAsia="Arial" w:cs="Arial"/>
          <w:sz w:val="22"/>
          <w:szCs w:val="22"/>
        </w:rPr>
        <w:t xml:space="preserve">of the Fund in raising Senior capital from a smaller pool of Junior capital. </w:t>
      </w:r>
      <w:r w:rsidR="00276721" w:rsidRPr="36BF80A6">
        <w:rPr>
          <w:rFonts w:eastAsia="Arial" w:cs="Arial"/>
          <w:sz w:val="22"/>
          <w:szCs w:val="22"/>
        </w:rPr>
        <w:t>38.5</w:t>
      </w:r>
      <w:r w:rsidR="004615E5" w:rsidRPr="36BF80A6">
        <w:rPr>
          <w:rFonts w:eastAsia="Arial" w:cs="Arial"/>
          <w:sz w:val="22"/>
          <w:szCs w:val="22"/>
        </w:rPr>
        <w:t>% of the Fund’s commitments are fr</w:t>
      </w:r>
      <w:r w:rsidR="00100365" w:rsidRPr="36BF80A6">
        <w:rPr>
          <w:rFonts w:eastAsia="Arial" w:cs="Arial"/>
          <w:sz w:val="22"/>
          <w:szCs w:val="22"/>
        </w:rPr>
        <w:t>o</w:t>
      </w:r>
      <w:r w:rsidR="004615E5" w:rsidRPr="36BF80A6">
        <w:rPr>
          <w:rFonts w:eastAsia="Arial" w:cs="Arial"/>
          <w:sz w:val="22"/>
          <w:szCs w:val="22"/>
        </w:rPr>
        <w:t>m public in</w:t>
      </w:r>
      <w:r w:rsidR="00100365" w:rsidRPr="36BF80A6">
        <w:rPr>
          <w:rFonts w:eastAsia="Arial" w:cs="Arial"/>
          <w:sz w:val="22"/>
          <w:szCs w:val="22"/>
        </w:rPr>
        <w:t>v</w:t>
      </w:r>
      <w:r w:rsidR="004615E5" w:rsidRPr="36BF80A6">
        <w:rPr>
          <w:rFonts w:eastAsia="Arial" w:cs="Arial"/>
          <w:sz w:val="22"/>
          <w:szCs w:val="22"/>
        </w:rPr>
        <w:t xml:space="preserve">estors, and </w:t>
      </w:r>
      <w:r w:rsidR="00276721" w:rsidRPr="36BF80A6">
        <w:rPr>
          <w:rFonts w:eastAsia="Arial" w:cs="Arial"/>
          <w:sz w:val="22"/>
          <w:szCs w:val="22"/>
        </w:rPr>
        <w:t>61.5</w:t>
      </w:r>
      <w:r w:rsidR="004615E5" w:rsidRPr="36BF80A6">
        <w:rPr>
          <w:rFonts w:eastAsia="Arial" w:cs="Arial"/>
          <w:sz w:val="22"/>
          <w:szCs w:val="22"/>
        </w:rPr>
        <w:t xml:space="preserve">% from private </w:t>
      </w:r>
      <w:r w:rsidR="00100365" w:rsidRPr="36BF80A6">
        <w:rPr>
          <w:rFonts w:eastAsia="Arial" w:cs="Arial"/>
          <w:sz w:val="22"/>
          <w:szCs w:val="22"/>
        </w:rPr>
        <w:t>investors</w:t>
      </w:r>
      <w:r w:rsidR="004615E5" w:rsidRPr="36BF80A6">
        <w:rPr>
          <w:rFonts w:eastAsia="Arial" w:cs="Arial"/>
          <w:sz w:val="22"/>
          <w:szCs w:val="22"/>
        </w:rPr>
        <w:t>.</w:t>
      </w:r>
    </w:p>
    <w:p w14:paraId="1F6D9D8E" w14:textId="77777777" w:rsidR="002259CD" w:rsidRDefault="002259CD" w:rsidP="000F5F51">
      <w:pPr>
        <w:rPr>
          <w:rFonts w:eastAsia="Arial" w:cs="Arial"/>
          <w:sz w:val="22"/>
          <w:szCs w:val="22"/>
        </w:rPr>
      </w:pPr>
    </w:p>
    <w:p w14:paraId="2A0ADF64" w14:textId="60102AC7" w:rsidR="000F5F51" w:rsidRPr="00AD3E2A" w:rsidRDefault="002A2726" w:rsidP="000F5F51">
      <w:pPr>
        <w:rPr>
          <w:rFonts w:eastAsia="Arial" w:cs="Arial"/>
          <w:color w:val="FF0000"/>
          <w:sz w:val="22"/>
          <w:szCs w:val="22"/>
        </w:rPr>
      </w:pPr>
      <w:r w:rsidRPr="00B67F63">
        <w:rPr>
          <w:rFonts w:eastAsia="Arial" w:cs="Arial"/>
          <w:sz w:val="22"/>
          <w:szCs w:val="22"/>
        </w:rPr>
        <w:t>As of 31 December 202</w:t>
      </w:r>
      <w:r w:rsidR="00D80CE8" w:rsidRPr="00B67F63">
        <w:rPr>
          <w:rFonts w:eastAsia="Arial" w:cs="Arial"/>
          <w:sz w:val="22"/>
          <w:szCs w:val="22"/>
        </w:rPr>
        <w:t>3</w:t>
      </w:r>
      <w:r w:rsidRPr="00B67F63">
        <w:rPr>
          <w:rFonts w:eastAsia="Arial" w:cs="Arial"/>
          <w:sz w:val="22"/>
          <w:szCs w:val="22"/>
        </w:rPr>
        <w:t>, $</w:t>
      </w:r>
      <w:r w:rsidR="00D55C0E" w:rsidRPr="00B67F63">
        <w:rPr>
          <w:rFonts w:eastAsia="Arial" w:cs="Arial"/>
          <w:sz w:val="22"/>
          <w:szCs w:val="22"/>
        </w:rPr>
        <w:t>165</w:t>
      </w:r>
      <w:r w:rsidR="00AD4FB8" w:rsidRPr="00B67F63">
        <w:rPr>
          <w:rFonts w:eastAsia="Arial" w:cs="Arial"/>
          <w:sz w:val="22"/>
          <w:szCs w:val="22"/>
        </w:rPr>
        <w:t>.4m</w:t>
      </w:r>
      <w:r w:rsidR="00FE71B4" w:rsidRPr="00B67F63">
        <w:rPr>
          <w:rFonts w:eastAsia="Arial" w:cs="Arial"/>
          <w:sz w:val="22"/>
          <w:szCs w:val="22"/>
        </w:rPr>
        <w:t xml:space="preserve"> </w:t>
      </w:r>
      <w:r w:rsidRPr="00B67F63">
        <w:rPr>
          <w:rFonts w:eastAsia="Arial" w:cs="Arial"/>
          <w:sz w:val="22"/>
          <w:szCs w:val="22"/>
        </w:rPr>
        <w:t xml:space="preserve">had been committed to </w:t>
      </w:r>
      <w:r w:rsidR="00D80CE8" w:rsidRPr="00B67F63">
        <w:rPr>
          <w:rFonts w:eastAsia="Arial" w:cs="Arial"/>
          <w:sz w:val="22"/>
          <w:szCs w:val="22"/>
        </w:rPr>
        <w:t xml:space="preserve">thirteen </w:t>
      </w:r>
      <w:r w:rsidRPr="00B67F63">
        <w:rPr>
          <w:rFonts w:eastAsia="Arial" w:cs="Arial"/>
          <w:sz w:val="22"/>
          <w:szCs w:val="22"/>
        </w:rPr>
        <w:t>projects</w:t>
      </w:r>
      <w:r w:rsidR="00E44CA1" w:rsidRPr="00B67F63">
        <w:rPr>
          <w:rFonts w:eastAsia="Arial" w:cs="Arial"/>
          <w:sz w:val="22"/>
          <w:szCs w:val="22"/>
        </w:rPr>
        <w:t xml:space="preserve"> </w:t>
      </w:r>
      <w:r w:rsidR="00CD77B6" w:rsidRPr="00B67F63">
        <w:rPr>
          <w:rFonts w:eastAsia="Arial" w:cs="Arial"/>
          <w:sz w:val="22"/>
          <w:szCs w:val="22"/>
        </w:rPr>
        <w:t>and $</w:t>
      </w:r>
      <w:r w:rsidR="0000537C" w:rsidRPr="00B67F63">
        <w:rPr>
          <w:rFonts w:eastAsia="Arial" w:cs="Arial"/>
          <w:sz w:val="22"/>
          <w:szCs w:val="22"/>
        </w:rPr>
        <w:t>129</w:t>
      </w:r>
      <w:r w:rsidR="00CD77B6" w:rsidRPr="00B67F63">
        <w:rPr>
          <w:rFonts w:eastAsia="Arial" w:cs="Arial"/>
          <w:sz w:val="22"/>
          <w:szCs w:val="22"/>
        </w:rPr>
        <w:t>.</w:t>
      </w:r>
      <w:r w:rsidR="0000537C" w:rsidRPr="00B67F63">
        <w:rPr>
          <w:rFonts w:eastAsia="Arial" w:cs="Arial"/>
          <w:sz w:val="22"/>
          <w:szCs w:val="22"/>
        </w:rPr>
        <w:t>1</w:t>
      </w:r>
      <w:r w:rsidR="00CD77B6" w:rsidRPr="00B67F63">
        <w:rPr>
          <w:rFonts w:eastAsia="Arial" w:cs="Arial"/>
          <w:sz w:val="22"/>
          <w:szCs w:val="22"/>
        </w:rPr>
        <w:t>m had been disbursed</w:t>
      </w:r>
      <w:r w:rsidR="00F37752" w:rsidRPr="00B67F63">
        <w:rPr>
          <w:rFonts w:eastAsia="Arial" w:cs="Arial"/>
          <w:sz w:val="22"/>
          <w:szCs w:val="22"/>
        </w:rPr>
        <w:t xml:space="preserve"> to p</w:t>
      </w:r>
      <w:r w:rsidR="005500CF" w:rsidRPr="00B67F63">
        <w:rPr>
          <w:rFonts w:eastAsia="Arial" w:cs="Arial"/>
          <w:sz w:val="22"/>
          <w:szCs w:val="22"/>
        </w:rPr>
        <w:t>r</w:t>
      </w:r>
      <w:r w:rsidR="00F37752" w:rsidRPr="00B67F63">
        <w:rPr>
          <w:rFonts w:eastAsia="Arial" w:cs="Arial"/>
          <w:sz w:val="22"/>
          <w:szCs w:val="22"/>
        </w:rPr>
        <w:t>ojects</w:t>
      </w:r>
      <w:r w:rsidR="00C4320C" w:rsidRPr="00B67F63">
        <w:rPr>
          <w:rFonts w:eastAsia="Arial" w:cs="Arial"/>
          <w:sz w:val="22"/>
          <w:szCs w:val="22"/>
        </w:rPr>
        <w:t>.</w:t>
      </w:r>
      <w:r w:rsidR="009D1363" w:rsidRPr="00B67F63">
        <w:rPr>
          <w:rFonts w:eastAsia="Arial" w:cs="Arial"/>
          <w:sz w:val="22"/>
          <w:szCs w:val="22"/>
        </w:rPr>
        <w:t xml:space="preserve"> </w:t>
      </w:r>
      <w:r w:rsidR="009D1363" w:rsidRPr="00B67F63">
        <w:rPr>
          <w:rFonts w:eastAsia="Calibri"/>
          <w:sz w:val="22"/>
          <w:szCs w:val="22"/>
        </w:rPr>
        <w:t>Examples</w:t>
      </w:r>
      <w:r w:rsidR="009D1363" w:rsidRPr="4E1EF05A">
        <w:rPr>
          <w:rFonts w:eastAsia="Calibri"/>
          <w:sz w:val="22"/>
          <w:szCs w:val="22"/>
        </w:rPr>
        <w:t xml:space="preserve"> of spend that projects have </w:t>
      </w:r>
      <w:r w:rsidR="1D7A9720" w:rsidRPr="4E1EF05A">
        <w:rPr>
          <w:rFonts w:eastAsia="Calibri"/>
          <w:sz w:val="22"/>
          <w:szCs w:val="22"/>
        </w:rPr>
        <w:t xml:space="preserve">already </w:t>
      </w:r>
      <w:r w:rsidR="009D1363" w:rsidRPr="4E1EF05A">
        <w:rPr>
          <w:rFonts w:eastAsia="Calibri"/>
          <w:sz w:val="22"/>
          <w:szCs w:val="22"/>
        </w:rPr>
        <w:t xml:space="preserve">carried out include </w:t>
      </w:r>
      <w:r w:rsidR="000650D6">
        <w:rPr>
          <w:rFonts w:eastAsia="Calibri"/>
          <w:sz w:val="22"/>
          <w:szCs w:val="22"/>
        </w:rPr>
        <w:t xml:space="preserve">operational costs, </w:t>
      </w:r>
      <w:r w:rsidR="009D1363" w:rsidRPr="4E1EF05A">
        <w:rPr>
          <w:rFonts w:eastAsia="Calibri"/>
          <w:sz w:val="22"/>
          <w:szCs w:val="22"/>
        </w:rPr>
        <w:t>construction of processing factories to add value to raw materials</w:t>
      </w:r>
      <w:r w:rsidR="000650D6">
        <w:rPr>
          <w:rFonts w:eastAsia="Calibri"/>
          <w:sz w:val="22"/>
          <w:szCs w:val="22"/>
        </w:rPr>
        <w:t xml:space="preserve"> and</w:t>
      </w:r>
      <w:r w:rsidR="009D1363" w:rsidRPr="4E1EF05A">
        <w:rPr>
          <w:rFonts w:eastAsia="Calibri"/>
          <w:sz w:val="22"/>
          <w:szCs w:val="22"/>
        </w:rPr>
        <w:t xml:space="preserve"> planting and reforesting of degraded </w:t>
      </w:r>
      <w:r w:rsidR="008D6487">
        <w:rPr>
          <w:rFonts w:eastAsia="Calibri"/>
          <w:sz w:val="22"/>
          <w:szCs w:val="22"/>
        </w:rPr>
        <w:t>land</w:t>
      </w:r>
      <w:r w:rsidR="000650D6">
        <w:rPr>
          <w:rFonts w:eastAsia="Calibri"/>
          <w:sz w:val="22"/>
          <w:szCs w:val="22"/>
        </w:rPr>
        <w:t xml:space="preserve"> under sustainable agricultural and forestry practices. </w:t>
      </w:r>
    </w:p>
    <w:p w14:paraId="7E28D8CA" w14:textId="77777777" w:rsidR="000F5F51" w:rsidRPr="00AD3E2A" w:rsidRDefault="000F5F51" w:rsidP="000F5F51">
      <w:pPr>
        <w:rPr>
          <w:rFonts w:eastAsia="Arial" w:cs="Arial"/>
          <w:color w:val="FF0000"/>
          <w:sz w:val="22"/>
          <w:szCs w:val="22"/>
        </w:rPr>
      </w:pPr>
    </w:p>
    <w:p w14:paraId="0011B8F2" w14:textId="4F3592CD" w:rsidR="000F5F51" w:rsidRPr="00AD3E2A" w:rsidRDefault="000F5F51" w:rsidP="000F5F51">
      <w:pPr>
        <w:rPr>
          <w:rFonts w:eastAsia="Arial" w:cs="Arial"/>
          <w:sz w:val="22"/>
          <w:szCs w:val="22"/>
        </w:rPr>
      </w:pPr>
      <w:r w:rsidRPr="535D2027">
        <w:rPr>
          <w:rFonts w:eastAsia="Arial" w:cs="Arial"/>
          <w:sz w:val="22"/>
          <w:szCs w:val="22"/>
        </w:rPr>
        <w:t xml:space="preserve">At the Fund Level, the LDN Fund aims to measure each project’s contribution to Land Degradation Neutrality, in line with the </w:t>
      </w:r>
      <w:hyperlink r:id="rId13">
        <w:r w:rsidRPr="535D2027">
          <w:rPr>
            <w:rStyle w:val="Hyperlink"/>
            <w:rFonts w:eastAsia="Arial" w:cs="Arial"/>
            <w:color w:val="auto"/>
            <w:sz w:val="22"/>
            <w:szCs w:val="22"/>
          </w:rPr>
          <w:t>UNCCD LDN Scientific Conceptual Framework</w:t>
        </w:r>
      </w:hyperlink>
      <w:r w:rsidRPr="535D2027">
        <w:rPr>
          <w:rFonts w:eastAsia="Arial" w:cs="Arial"/>
          <w:sz w:val="22"/>
          <w:szCs w:val="22"/>
        </w:rPr>
        <w:t>. According to this framework, progress towards Land Degradation Neutrality is measured using three indicators</w:t>
      </w:r>
      <w:r w:rsidR="00647598">
        <w:rPr>
          <w:rFonts w:eastAsia="Arial" w:cs="Arial"/>
          <w:sz w:val="22"/>
          <w:szCs w:val="22"/>
        </w:rPr>
        <w:t xml:space="preserve"> that feed into </w:t>
      </w:r>
      <w:r w:rsidR="008046BB">
        <w:rPr>
          <w:rFonts w:eastAsia="Arial" w:cs="Arial"/>
          <w:sz w:val="22"/>
          <w:szCs w:val="22"/>
        </w:rPr>
        <w:t xml:space="preserve">Defra’s programme outcomes for reforestation, </w:t>
      </w:r>
      <w:r w:rsidR="00EC3206">
        <w:rPr>
          <w:rFonts w:eastAsia="Arial" w:cs="Arial"/>
          <w:sz w:val="22"/>
          <w:szCs w:val="22"/>
        </w:rPr>
        <w:t>area</w:t>
      </w:r>
      <w:r w:rsidR="00881411">
        <w:rPr>
          <w:rFonts w:eastAsia="Arial" w:cs="Arial"/>
          <w:sz w:val="22"/>
          <w:szCs w:val="22"/>
        </w:rPr>
        <w:t xml:space="preserve"> contributing to land degradation neutrality, and carbon dioxide sequestration </w:t>
      </w:r>
      <w:r w:rsidR="008046BB">
        <w:rPr>
          <w:rFonts w:eastAsia="Arial" w:cs="Arial"/>
          <w:sz w:val="22"/>
          <w:szCs w:val="22"/>
        </w:rPr>
        <w:t>(see below)</w:t>
      </w:r>
      <w:r w:rsidRPr="535D2027">
        <w:rPr>
          <w:rFonts w:eastAsia="Arial" w:cs="Arial"/>
          <w:sz w:val="22"/>
          <w:szCs w:val="22"/>
        </w:rPr>
        <w:t xml:space="preserve">: </w:t>
      </w:r>
    </w:p>
    <w:p w14:paraId="42F0BD42" w14:textId="77777777" w:rsidR="000F5F51" w:rsidRPr="00AD3E2A" w:rsidRDefault="000F5F51" w:rsidP="009854A1">
      <w:pPr>
        <w:pStyle w:val="ListParagraph"/>
        <w:numPr>
          <w:ilvl w:val="0"/>
          <w:numId w:val="3"/>
        </w:numPr>
        <w:rPr>
          <w:rFonts w:asciiTheme="minorHAnsi" w:eastAsiaTheme="minorEastAsia" w:hAnsiTheme="minorHAnsi" w:cstheme="minorBidi"/>
          <w:sz w:val="22"/>
          <w:szCs w:val="22"/>
        </w:rPr>
      </w:pPr>
      <w:r w:rsidRPr="00AD3E2A">
        <w:rPr>
          <w:rFonts w:eastAsia="Arial" w:cs="Arial"/>
          <w:sz w:val="22"/>
          <w:szCs w:val="22"/>
        </w:rPr>
        <w:t>Land cover (assessed as land cover change)</w:t>
      </w:r>
    </w:p>
    <w:p w14:paraId="2899604D" w14:textId="77777777" w:rsidR="000F5F51" w:rsidRPr="00AD3E2A" w:rsidRDefault="000F5F51" w:rsidP="009854A1">
      <w:pPr>
        <w:pStyle w:val="ListParagraph"/>
        <w:numPr>
          <w:ilvl w:val="0"/>
          <w:numId w:val="3"/>
        </w:numPr>
        <w:rPr>
          <w:sz w:val="22"/>
          <w:szCs w:val="22"/>
        </w:rPr>
      </w:pPr>
      <w:r w:rsidRPr="00AD3E2A">
        <w:rPr>
          <w:rFonts w:eastAsia="Arial" w:cs="Arial"/>
          <w:sz w:val="22"/>
          <w:szCs w:val="22"/>
        </w:rPr>
        <w:t>Land productivity (assessed as net primary productivity)</w:t>
      </w:r>
    </w:p>
    <w:p w14:paraId="1F102A7D" w14:textId="77777777" w:rsidR="000F5F51" w:rsidRPr="00AD3E2A" w:rsidRDefault="000F5F51" w:rsidP="009854A1">
      <w:pPr>
        <w:pStyle w:val="ListParagraph"/>
        <w:numPr>
          <w:ilvl w:val="0"/>
          <w:numId w:val="3"/>
        </w:numPr>
        <w:rPr>
          <w:sz w:val="22"/>
          <w:szCs w:val="22"/>
        </w:rPr>
      </w:pPr>
      <w:r w:rsidRPr="535D2027">
        <w:rPr>
          <w:rFonts w:eastAsia="Arial" w:cs="Arial"/>
          <w:sz w:val="22"/>
          <w:szCs w:val="22"/>
        </w:rPr>
        <w:t xml:space="preserve">Carbon stocks (assessed as soil organic carbon) </w:t>
      </w:r>
    </w:p>
    <w:p w14:paraId="4A3ABFF2" w14:textId="693B2233" w:rsidR="000F5F51" w:rsidRPr="00AD3E2A" w:rsidRDefault="000F5F51" w:rsidP="000F5F51">
      <w:pPr>
        <w:rPr>
          <w:rFonts w:eastAsia="Arial" w:cs="Arial"/>
          <w:sz w:val="22"/>
          <w:szCs w:val="22"/>
        </w:rPr>
      </w:pPr>
      <w:r w:rsidRPr="00AD3E2A">
        <w:rPr>
          <w:rFonts w:eastAsia="Arial" w:cs="Arial"/>
          <w:sz w:val="22"/>
          <w:szCs w:val="22"/>
        </w:rPr>
        <w:t>The Technical Assistance Facility</w:t>
      </w:r>
      <w:r w:rsidR="716860E7" w:rsidRPr="07B02555">
        <w:rPr>
          <w:rFonts w:eastAsia="Arial" w:cs="Arial"/>
          <w:sz w:val="22"/>
          <w:szCs w:val="22"/>
        </w:rPr>
        <w:t xml:space="preserve"> (TAF)</w:t>
      </w:r>
      <w:r w:rsidRPr="07B02555">
        <w:rPr>
          <w:rFonts w:eastAsia="Arial" w:cs="Arial"/>
          <w:sz w:val="22"/>
          <w:szCs w:val="22"/>
        </w:rPr>
        <w:t>,</w:t>
      </w:r>
      <w:r w:rsidRPr="00AD3E2A">
        <w:rPr>
          <w:rFonts w:eastAsia="Arial" w:cs="Arial"/>
          <w:sz w:val="22"/>
          <w:szCs w:val="22"/>
        </w:rPr>
        <w:t xml:space="preserve"> managed by IDH – the Sustainable Trade Initiative - is supporting the Fund with the development of a harmonised approach towards monitoring, based on a methodological framework, in partnership with Conservation International and their Trends.</w:t>
      </w:r>
      <w:r w:rsidR="00C51CA7">
        <w:rPr>
          <w:rFonts w:eastAsia="Arial" w:cs="Arial"/>
          <w:sz w:val="22"/>
          <w:szCs w:val="22"/>
        </w:rPr>
        <w:t xml:space="preserve"> </w:t>
      </w:r>
      <w:r w:rsidRPr="00AD3E2A">
        <w:rPr>
          <w:rFonts w:eastAsia="Arial" w:cs="Arial"/>
          <w:sz w:val="22"/>
          <w:szCs w:val="22"/>
        </w:rPr>
        <w:t xml:space="preserve">Earth platform, and </w:t>
      </w:r>
      <w:proofErr w:type="spellStart"/>
      <w:r w:rsidR="00FA4CAD">
        <w:rPr>
          <w:rFonts w:eastAsia="Arial" w:cs="Arial"/>
          <w:sz w:val="22"/>
          <w:szCs w:val="22"/>
        </w:rPr>
        <w:t>Open</w:t>
      </w:r>
      <w:r w:rsidR="00FA4CAD" w:rsidRPr="00AD3E2A">
        <w:rPr>
          <w:rFonts w:eastAsia="Arial" w:cs="Arial"/>
          <w:sz w:val="22"/>
          <w:szCs w:val="22"/>
        </w:rPr>
        <w:t>GeoHub</w:t>
      </w:r>
      <w:proofErr w:type="spellEnd"/>
      <w:r w:rsidRPr="00AD3E2A">
        <w:rPr>
          <w:rFonts w:eastAsia="Arial" w:cs="Arial"/>
          <w:sz w:val="22"/>
          <w:szCs w:val="22"/>
        </w:rPr>
        <w:t xml:space="preserve">. The work has been undertaken in close consultation with the UNCCD scientific community. Based on a ‘one-out all-out' principle, a positive overall change indicates land increasing in productivity and health, and therefore land degradation being reversed. In terms of monitoring, most indicators are measured using remote sensing (satellite imagery), and in some cases complemented by field-level soil sampling. Alongside this, the </w:t>
      </w:r>
      <w:r w:rsidRPr="07B02555">
        <w:rPr>
          <w:rFonts w:eastAsia="Arial" w:cs="Arial"/>
          <w:sz w:val="22"/>
          <w:szCs w:val="22"/>
        </w:rPr>
        <w:t>TA</w:t>
      </w:r>
      <w:r w:rsidR="05A1C90B" w:rsidRPr="07B02555">
        <w:rPr>
          <w:rFonts w:eastAsia="Arial" w:cs="Arial"/>
          <w:sz w:val="22"/>
          <w:szCs w:val="22"/>
        </w:rPr>
        <w:t>F</w:t>
      </w:r>
      <w:r w:rsidRPr="00AD3E2A">
        <w:rPr>
          <w:rFonts w:eastAsia="Arial" w:cs="Arial"/>
          <w:sz w:val="22"/>
          <w:szCs w:val="22"/>
        </w:rPr>
        <w:t xml:space="preserve"> supports recipients of the LDN Fund in setting a baseline using the above methodology, while building capacity with project developers to integrate continuous monitoring of LDN into their operations, and (where relevant) aligning with national government target-setting units. This enables companies to report on progress and comply with environmental and social action plans, practice adaptive management, and, where possible, optimise positive environmental, social and financial returns resulting from restoring land.</w:t>
      </w:r>
    </w:p>
    <w:p w14:paraId="4AE28C24" w14:textId="77777777" w:rsidR="000F5F51" w:rsidRPr="00AD3E2A" w:rsidRDefault="000F5F51" w:rsidP="000F5F51">
      <w:pPr>
        <w:rPr>
          <w:color w:val="FF0000"/>
          <w:sz w:val="22"/>
          <w:szCs w:val="22"/>
        </w:rPr>
      </w:pPr>
    </w:p>
    <w:p w14:paraId="70272A20" w14:textId="11F50B72" w:rsidR="000F5F51" w:rsidRPr="00AD3E2A" w:rsidRDefault="000F5F51" w:rsidP="0B67412A">
      <w:pPr>
        <w:rPr>
          <w:rFonts w:cs="Arial"/>
          <w:sz w:val="22"/>
          <w:szCs w:val="22"/>
          <w:highlight w:val="yellow"/>
        </w:rPr>
      </w:pPr>
      <w:r w:rsidRPr="00650285">
        <w:rPr>
          <w:rFonts w:cs="Arial"/>
          <w:sz w:val="22"/>
          <w:szCs w:val="22"/>
        </w:rPr>
        <w:lastRenderedPageBreak/>
        <w:t xml:space="preserve">The </w:t>
      </w:r>
      <w:r w:rsidR="00902E27" w:rsidRPr="00650285">
        <w:rPr>
          <w:rFonts w:cs="Arial"/>
          <w:sz w:val="22"/>
          <w:szCs w:val="22"/>
        </w:rPr>
        <w:t xml:space="preserve">following </w:t>
      </w:r>
      <w:r w:rsidRPr="00650285">
        <w:rPr>
          <w:rFonts w:cs="Arial"/>
          <w:sz w:val="22"/>
          <w:szCs w:val="22"/>
        </w:rPr>
        <w:t>four impact indicators have been selected for this programme.</w:t>
      </w:r>
      <w:r w:rsidRPr="00650285">
        <w:rPr>
          <w:sz w:val="22"/>
          <w:szCs w:val="22"/>
        </w:rPr>
        <w:t xml:space="preserve"> </w:t>
      </w:r>
      <w:r w:rsidRPr="00650285">
        <w:rPr>
          <w:rFonts w:cs="Arial"/>
          <w:sz w:val="22"/>
          <w:szCs w:val="22"/>
        </w:rPr>
        <w:t>Due to their longer-term</w:t>
      </w:r>
      <w:r w:rsidRPr="0B67412A">
        <w:rPr>
          <w:rFonts w:cs="Arial"/>
          <w:sz w:val="22"/>
          <w:szCs w:val="22"/>
        </w:rPr>
        <w:t xml:space="preserve"> </w:t>
      </w:r>
      <w:r w:rsidRPr="00F7082F">
        <w:rPr>
          <w:rFonts w:cs="Arial"/>
          <w:sz w:val="22"/>
          <w:szCs w:val="22"/>
        </w:rPr>
        <w:t xml:space="preserve">nature </w:t>
      </w:r>
      <w:r w:rsidR="0030453E">
        <w:rPr>
          <w:rFonts w:cs="Arial"/>
          <w:sz w:val="22"/>
          <w:szCs w:val="22"/>
        </w:rPr>
        <w:t>and wider scope</w:t>
      </w:r>
      <w:r w:rsidR="005D7154">
        <w:rPr>
          <w:rFonts w:cs="Arial"/>
          <w:sz w:val="22"/>
          <w:szCs w:val="22"/>
        </w:rPr>
        <w:t>,</w:t>
      </w:r>
      <w:r w:rsidR="00B176A0">
        <w:rPr>
          <w:rFonts w:cs="Arial"/>
          <w:sz w:val="22"/>
          <w:szCs w:val="22"/>
        </w:rPr>
        <w:t xml:space="preserve"> </w:t>
      </w:r>
      <w:r w:rsidR="000304F3">
        <w:rPr>
          <w:rFonts w:cs="Arial"/>
          <w:sz w:val="22"/>
          <w:szCs w:val="22"/>
        </w:rPr>
        <w:t xml:space="preserve">change is expected to be slow with </w:t>
      </w:r>
      <w:r w:rsidR="005D7154">
        <w:rPr>
          <w:rFonts w:cs="Arial"/>
          <w:sz w:val="22"/>
          <w:szCs w:val="22"/>
        </w:rPr>
        <w:t>many</w:t>
      </w:r>
      <w:r w:rsidR="000304F3">
        <w:rPr>
          <w:rFonts w:cs="Arial"/>
          <w:sz w:val="22"/>
          <w:szCs w:val="22"/>
        </w:rPr>
        <w:t xml:space="preserve"> uncertainties</w:t>
      </w:r>
      <w:r w:rsidR="005D7154">
        <w:rPr>
          <w:rFonts w:cs="Arial"/>
          <w:sz w:val="22"/>
          <w:szCs w:val="22"/>
        </w:rPr>
        <w:t xml:space="preserve"> </w:t>
      </w:r>
      <w:r w:rsidR="00FE2ED3">
        <w:rPr>
          <w:rFonts w:cs="Arial"/>
          <w:sz w:val="22"/>
          <w:szCs w:val="22"/>
        </w:rPr>
        <w:t>involved in linking the</w:t>
      </w:r>
      <w:r w:rsidR="005D7154">
        <w:rPr>
          <w:rFonts w:cs="Arial"/>
          <w:sz w:val="22"/>
          <w:szCs w:val="22"/>
        </w:rPr>
        <w:t xml:space="preserve"> impact of a single Fund </w:t>
      </w:r>
      <w:r w:rsidR="00FE2ED3">
        <w:rPr>
          <w:rFonts w:cs="Arial"/>
          <w:sz w:val="22"/>
          <w:szCs w:val="22"/>
        </w:rPr>
        <w:t>to</w:t>
      </w:r>
      <w:r w:rsidR="005D7154">
        <w:rPr>
          <w:rFonts w:cs="Arial"/>
          <w:sz w:val="22"/>
          <w:szCs w:val="22"/>
        </w:rPr>
        <w:t xml:space="preserve"> the global picture</w:t>
      </w:r>
      <w:r w:rsidRPr="00F7082F">
        <w:rPr>
          <w:rFonts w:cs="Arial"/>
          <w:sz w:val="22"/>
          <w:szCs w:val="22"/>
        </w:rPr>
        <w:t xml:space="preserve">, but </w:t>
      </w:r>
      <w:r w:rsidR="00B176A0">
        <w:rPr>
          <w:rFonts w:cs="Arial"/>
          <w:sz w:val="22"/>
          <w:szCs w:val="22"/>
        </w:rPr>
        <w:t xml:space="preserve">from next year </w:t>
      </w:r>
      <w:r w:rsidR="00FE2ED3">
        <w:rPr>
          <w:rFonts w:cs="Arial"/>
          <w:sz w:val="22"/>
          <w:szCs w:val="22"/>
        </w:rPr>
        <w:t xml:space="preserve">Defra will aim to </w:t>
      </w:r>
      <w:r w:rsidR="00DE594E">
        <w:rPr>
          <w:rFonts w:cs="Arial"/>
          <w:sz w:val="22"/>
          <w:szCs w:val="22"/>
        </w:rPr>
        <w:t>set a baseline for 2019 and begin reporting</w:t>
      </w:r>
      <w:r w:rsidR="00FE2ED3">
        <w:rPr>
          <w:rFonts w:cs="Arial"/>
          <w:sz w:val="22"/>
          <w:szCs w:val="22"/>
        </w:rPr>
        <w:t xml:space="preserve"> on </w:t>
      </w:r>
      <w:r w:rsidR="00B9091B">
        <w:rPr>
          <w:rFonts w:cs="Arial"/>
          <w:sz w:val="22"/>
          <w:szCs w:val="22"/>
        </w:rPr>
        <w:t>indicators 2, 3 and 4</w:t>
      </w:r>
      <w:r w:rsidRPr="00F7082F">
        <w:rPr>
          <w:rFonts w:cs="Arial"/>
          <w:sz w:val="22"/>
          <w:szCs w:val="22"/>
        </w:rPr>
        <w:t>:</w:t>
      </w:r>
    </w:p>
    <w:p w14:paraId="298800CB" w14:textId="640830A7" w:rsidR="000F5F51" w:rsidRPr="001D1D39" w:rsidRDefault="000F5F51" w:rsidP="75F1BDCE">
      <w:pPr>
        <w:pStyle w:val="ListParagraph"/>
        <w:numPr>
          <w:ilvl w:val="0"/>
          <w:numId w:val="9"/>
        </w:numPr>
        <w:rPr>
          <w:rFonts w:cs="Arial"/>
          <w:sz w:val="22"/>
          <w:szCs w:val="22"/>
        </w:rPr>
      </w:pPr>
      <w:r w:rsidRPr="00AD3E2A">
        <w:rPr>
          <w:rFonts w:cs="Arial"/>
          <w:sz w:val="22"/>
          <w:szCs w:val="22"/>
          <w:shd w:val="clear" w:color="auto" w:fill="FFFFFF"/>
        </w:rPr>
        <w:t xml:space="preserve">ICF KPI 15: transformational change – </w:t>
      </w:r>
      <w:r w:rsidR="2DA031C3" w:rsidRPr="00AD3E2A">
        <w:rPr>
          <w:rFonts w:cs="Arial"/>
          <w:sz w:val="22"/>
          <w:szCs w:val="22"/>
          <w:shd w:val="clear" w:color="auto" w:fill="FFFFFF"/>
        </w:rPr>
        <w:t>scored 2</w:t>
      </w:r>
      <w:r w:rsidR="00517475">
        <w:rPr>
          <w:rFonts w:cs="Arial"/>
          <w:sz w:val="22"/>
          <w:szCs w:val="22"/>
          <w:shd w:val="clear" w:color="auto" w:fill="FFFFFF"/>
        </w:rPr>
        <w:t xml:space="preserve"> out of </w:t>
      </w:r>
      <w:r w:rsidR="2DA031C3" w:rsidRPr="00AD3E2A">
        <w:rPr>
          <w:rFonts w:cs="Arial"/>
          <w:sz w:val="22"/>
          <w:szCs w:val="22"/>
          <w:shd w:val="clear" w:color="auto" w:fill="FFFFFF"/>
        </w:rPr>
        <w:t>5</w:t>
      </w:r>
      <w:r w:rsidR="4DBEC34C" w:rsidRPr="00AD3E2A">
        <w:rPr>
          <w:rFonts w:cs="Arial"/>
          <w:sz w:val="22"/>
          <w:szCs w:val="22"/>
          <w:shd w:val="clear" w:color="auto" w:fill="FFFFFF"/>
        </w:rPr>
        <w:t xml:space="preserve"> which is defined as partial evidence that suggests transformational change is unlikely. </w:t>
      </w:r>
      <w:r w:rsidR="536EC7E5" w:rsidRPr="00AD3E2A">
        <w:rPr>
          <w:rFonts w:cs="Arial"/>
          <w:sz w:val="22"/>
          <w:szCs w:val="22"/>
          <w:shd w:val="clear" w:color="auto" w:fill="FFFFFF"/>
        </w:rPr>
        <w:t>This is expected to increase as the fund progresses.</w:t>
      </w:r>
    </w:p>
    <w:p w14:paraId="61932643" w14:textId="5F43CA45" w:rsidR="000F5F51" w:rsidRPr="00AD3E2A" w:rsidRDefault="000F5F51" w:rsidP="009854A1">
      <w:pPr>
        <w:pStyle w:val="ListParagraph"/>
        <w:numPr>
          <w:ilvl w:val="0"/>
          <w:numId w:val="9"/>
        </w:numPr>
        <w:rPr>
          <w:rFonts w:cs="Arial"/>
          <w:b/>
          <w:bCs/>
          <w:sz w:val="22"/>
          <w:szCs w:val="22"/>
        </w:rPr>
      </w:pPr>
      <w:r w:rsidRPr="001D1D39">
        <w:rPr>
          <w:rFonts w:cs="Arial"/>
          <w:sz w:val="22"/>
          <w:szCs w:val="22"/>
          <w:shd w:val="clear" w:color="auto" w:fill="FFFFFF"/>
        </w:rPr>
        <w:t>Contribution to climate change</w:t>
      </w:r>
      <w:r w:rsidRPr="00AD3E2A">
        <w:rPr>
          <w:rFonts w:cs="Arial"/>
          <w:sz w:val="22"/>
          <w:szCs w:val="22"/>
          <w:shd w:val="clear" w:color="auto" w:fill="FFFFFF"/>
        </w:rPr>
        <w:t>, adaptation and relevant SDGs</w:t>
      </w:r>
      <w:r w:rsidR="002025E4">
        <w:rPr>
          <w:rFonts w:cs="Arial"/>
          <w:sz w:val="22"/>
          <w:szCs w:val="22"/>
          <w:shd w:val="clear" w:color="auto" w:fill="FFFFFF"/>
        </w:rPr>
        <w:t>,</w:t>
      </w:r>
      <w:r w:rsidR="00DC4835">
        <w:rPr>
          <w:rFonts w:cs="Arial"/>
          <w:sz w:val="22"/>
          <w:szCs w:val="22"/>
          <w:shd w:val="clear" w:color="auto" w:fill="FFFFFF"/>
        </w:rPr>
        <w:t xml:space="preserve"> including life on land, climate action, poverty, hunger, and gender equity</w:t>
      </w:r>
      <w:r w:rsidR="002025E4">
        <w:rPr>
          <w:rFonts w:cs="Arial"/>
          <w:sz w:val="22"/>
          <w:szCs w:val="22"/>
          <w:shd w:val="clear" w:color="auto" w:fill="FFFFFF"/>
        </w:rPr>
        <w:t xml:space="preserve"> (</w:t>
      </w:r>
      <w:r w:rsidR="00C83AD8">
        <w:rPr>
          <w:rFonts w:cs="Arial"/>
          <w:sz w:val="22"/>
          <w:szCs w:val="22"/>
          <w:shd w:val="clear" w:color="auto" w:fill="FFFFFF"/>
        </w:rPr>
        <w:t xml:space="preserve">SDGs </w:t>
      </w:r>
      <w:r w:rsidR="002025E4">
        <w:rPr>
          <w:rFonts w:cs="Arial"/>
          <w:sz w:val="22"/>
          <w:szCs w:val="22"/>
          <w:shd w:val="clear" w:color="auto" w:fill="FFFFFF"/>
        </w:rPr>
        <w:t xml:space="preserve">1, </w:t>
      </w:r>
      <w:r w:rsidR="00C83AD8">
        <w:rPr>
          <w:rFonts w:cs="Arial"/>
          <w:sz w:val="22"/>
          <w:szCs w:val="22"/>
          <w:shd w:val="clear" w:color="auto" w:fill="FFFFFF"/>
        </w:rPr>
        <w:t>2</w:t>
      </w:r>
      <w:r w:rsidR="002025E4">
        <w:rPr>
          <w:rFonts w:cs="Arial"/>
          <w:sz w:val="22"/>
          <w:szCs w:val="22"/>
          <w:shd w:val="clear" w:color="auto" w:fill="FFFFFF"/>
        </w:rPr>
        <w:t xml:space="preserve">, </w:t>
      </w:r>
      <w:r w:rsidR="00C83AD8">
        <w:rPr>
          <w:rFonts w:cs="Arial"/>
          <w:sz w:val="22"/>
          <w:szCs w:val="22"/>
          <w:shd w:val="clear" w:color="auto" w:fill="FFFFFF"/>
        </w:rPr>
        <w:t>5, 13, 15)</w:t>
      </w:r>
      <w:r w:rsidR="00DC4835">
        <w:rPr>
          <w:rFonts w:cs="Arial"/>
          <w:sz w:val="22"/>
          <w:szCs w:val="22"/>
          <w:shd w:val="clear" w:color="auto" w:fill="FFFFFF"/>
        </w:rPr>
        <w:t>.</w:t>
      </w:r>
      <w:r w:rsidRPr="00AD3E2A">
        <w:rPr>
          <w:rFonts w:cs="Arial"/>
          <w:sz w:val="22"/>
          <w:szCs w:val="22"/>
          <w:shd w:val="clear" w:color="auto" w:fill="FFFFFF"/>
        </w:rPr>
        <w:t xml:space="preserve"> </w:t>
      </w:r>
      <w:r w:rsidR="00016089">
        <w:rPr>
          <w:rFonts w:cs="Arial"/>
          <w:sz w:val="22"/>
          <w:szCs w:val="22"/>
          <w:shd w:val="clear" w:color="auto" w:fill="FFFFFF"/>
        </w:rPr>
        <w:t>T</w:t>
      </w:r>
      <w:r w:rsidRPr="00AD3E2A">
        <w:rPr>
          <w:rFonts w:cs="Arial"/>
          <w:sz w:val="22"/>
          <w:szCs w:val="22"/>
          <w:shd w:val="clear" w:color="auto" w:fill="FFFFFF"/>
        </w:rPr>
        <w:t>his will be a predominantly qualitative and narrative indicator which evaluates the progress of the fund towards these objectives.</w:t>
      </w:r>
      <w:r w:rsidR="45D9EFE7" w:rsidRPr="00AD3E2A">
        <w:rPr>
          <w:rFonts w:cs="Arial"/>
          <w:sz w:val="22"/>
          <w:szCs w:val="22"/>
          <w:shd w:val="clear" w:color="auto" w:fill="FFFFFF"/>
        </w:rPr>
        <w:t xml:space="preserve"> This indicator is currently unscored.</w:t>
      </w:r>
    </w:p>
    <w:p w14:paraId="652FD338" w14:textId="1C009D5A" w:rsidR="000F5F51" w:rsidRPr="00AD3E2A" w:rsidRDefault="000F5F51" w:rsidP="009854A1">
      <w:pPr>
        <w:pStyle w:val="ListParagraph"/>
        <w:numPr>
          <w:ilvl w:val="0"/>
          <w:numId w:val="9"/>
        </w:numPr>
        <w:rPr>
          <w:rFonts w:cs="Arial"/>
          <w:b/>
          <w:bCs/>
          <w:sz w:val="22"/>
          <w:szCs w:val="22"/>
        </w:rPr>
      </w:pPr>
      <w:r w:rsidRPr="00AD3E2A">
        <w:rPr>
          <w:rFonts w:cs="Arial"/>
          <w:sz w:val="22"/>
          <w:szCs w:val="22"/>
          <w:shd w:val="clear" w:color="auto" w:fill="FFFFFF"/>
        </w:rPr>
        <w:t xml:space="preserve">Wider progress towards Land Degradation Neutrality – this will be </w:t>
      </w:r>
      <w:r w:rsidR="439D52F8" w:rsidRPr="00AD3E2A">
        <w:rPr>
          <w:rFonts w:cs="Arial"/>
          <w:sz w:val="22"/>
          <w:szCs w:val="22"/>
          <w:shd w:val="clear" w:color="auto" w:fill="FFFFFF"/>
        </w:rPr>
        <w:t xml:space="preserve">the </w:t>
      </w:r>
      <w:r w:rsidRPr="00AD3E2A">
        <w:rPr>
          <w:rFonts w:cs="Arial"/>
          <w:sz w:val="22"/>
          <w:szCs w:val="22"/>
          <w:shd w:val="clear" w:color="auto" w:fill="FFFFFF"/>
        </w:rPr>
        <w:t>difference between land degradation levels from Year 0 of project, measured in hectares.</w:t>
      </w:r>
      <w:r w:rsidR="36F0400A" w:rsidRPr="00AD3E2A">
        <w:rPr>
          <w:rFonts w:cs="Arial"/>
          <w:sz w:val="22"/>
          <w:szCs w:val="22"/>
          <w:shd w:val="clear" w:color="auto" w:fill="FFFFFF"/>
        </w:rPr>
        <w:t xml:space="preserve"> </w:t>
      </w:r>
      <w:r w:rsidR="36F0400A" w:rsidRPr="6CD4CDC1">
        <w:rPr>
          <w:rFonts w:cs="Arial"/>
          <w:sz w:val="22"/>
          <w:szCs w:val="22"/>
        </w:rPr>
        <w:t>This indicator is currently unscored.</w:t>
      </w:r>
    </w:p>
    <w:p w14:paraId="5BEE9C58" w14:textId="4CFCE7E0" w:rsidR="00036C9D" w:rsidRPr="0043137F" w:rsidRDefault="000F5F51" w:rsidP="6CD4CDC1">
      <w:pPr>
        <w:pStyle w:val="ListParagraph"/>
        <w:numPr>
          <w:ilvl w:val="0"/>
          <w:numId w:val="9"/>
        </w:numPr>
        <w:rPr>
          <w:rFonts w:cs="Arial"/>
          <w:b/>
          <w:bCs/>
          <w:sz w:val="22"/>
          <w:szCs w:val="22"/>
        </w:rPr>
      </w:pPr>
      <w:r w:rsidRPr="00AD3E2A">
        <w:rPr>
          <w:rFonts w:cs="Arial"/>
          <w:sz w:val="22"/>
          <w:szCs w:val="22"/>
          <w:shd w:val="clear" w:color="auto" w:fill="FFFFFF"/>
        </w:rPr>
        <w:t xml:space="preserve">Level of market-level private investment in </w:t>
      </w:r>
      <w:r w:rsidR="61027B23" w:rsidRPr="00AD3E2A">
        <w:rPr>
          <w:rFonts w:cs="Arial"/>
          <w:sz w:val="22"/>
          <w:szCs w:val="22"/>
          <w:shd w:val="clear" w:color="auto" w:fill="FFFFFF"/>
        </w:rPr>
        <w:t>SLM</w:t>
      </w:r>
      <w:r w:rsidRPr="00AD3E2A">
        <w:rPr>
          <w:rFonts w:cs="Arial"/>
          <w:sz w:val="22"/>
          <w:szCs w:val="22"/>
          <w:shd w:val="clear" w:color="auto" w:fill="FFFFFF"/>
        </w:rPr>
        <w:t xml:space="preserve"> – this will be a cumulative result, measured in pounds sterling.</w:t>
      </w:r>
      <w:r w:rsidR="749AAC26" w:rsidRPr="00AD3E2A">
        <w:rPr>
          <w:rFonts w:cs="Arial"/>
          <w:sz w:val="22"/>
          <w:szCs w:val="22"/>
          <w:shd w:val="clear" w:color="auto" w:fill="FFFFFF"/>
        </w:rPr>
        <w:t xml:space="preserve"> </w:t>
      </w:r>
      <w:r w:rsidR="749AAC26" w:rsidRPr="6CD4CDC1">
        <w:rPr>
          <w:rFonts w:cs="Arial"/>
          <w:sz w:val="22"/>
          <w:szCs w:val="22"/>
        </w:rPr>
        <w:t>This indicator is currently unscored.</w:t>
      </w:r>
    </w:p>
    <w:p w14:paraId="65AC7D7A" w14:textId="77777777" w:rsidR="0043137F" w:rsidRPr="0043137F" w:rsidRDefault="0043137F" w:rsidP="0043137F">
      <w:pPr>
        <w:rPr>
          <w:rFonts w:eastAsia="Calibri" w:cs="Arial"/>
          <w:b/>
          <w:sz w:val="22"/>
          <w:szCs w:val="22"/>
        </w:rPr>
      </w:pPr>
    </w:p>
    <w:p w14:paraId="04CE09BA" w14:textId="77777777" w:rsidR="000F5F51" w:rsidRPr="002055D4" w:rsidRDefault="000F5F51" w:rsidP="000F5F51">
      <w:pPr>
        <w:spacing w:after="120"/>
        <w:rPr>
          <w:rFonts w:eastAsia="Calibri"/>
          <w:sz w:val="22"/>
          <w:szCs w:val="22"/>
        </w:rPr>
      </w:pPr>
      <w:r w:rsidRPr="60E67443">
        <w:rPr>
          <w:rFonts w:eastAsia="Calibri"/>
          <w:b/>
          <w:bCs/>
          <w:sz w:val="22"/>
          <w:szCs w:val="22"/>
        </w:rPr>
        <w:t>Annual outcome assessment</w:t>
      </w:r>
    </w:p>
    <w:p w14:paraId="6F57C71C" w14:textId="43565A3A" w:rsidR="000F5F51" w:rsidRPr="00AD3E2A" w:rsidRDefault="000F5F51" w:rsidP="000F5F51">
      <w:pPr>
        <w:pStyle w:val="Normal1"/>
        <w:spacing w:after="120"/>
        <w:jc w:val="both"/>
        <w:rPr>
          <w:color w:val="auto"/>
          <w:sz w:val="22"/>
          <w:szCs w:val="22"/>
        </w:rPr>
      </w:pPr>
      <w:r w:rsidRPr="3F1ACADE">
        <w:rPr>
          <w:color w:val="auto"/>
          <w:sz w:val="22"/>
          <w:szCs w:val="22"/>
        </w:rPr>
        <w:t xml:space="preserve">The overall outcome indicator is defined as: The LDN Fund contributes to achieving Land Degradation Neutrality by increasing private investment in </w:t>
      </w:r>
      <w:r w:rsidR="05A821FF" w:rsidRPr="3F1ACADE">
        <w:rPr>
          <w:color w:val="auto"/>
          <w:sz w:val="22"/>
          <w:szCs w:val="22"/>
        </w:rPr>
        <w:t>SLM</w:t>
      </w:r>
      <w:r w:rsidRPr="3F1ACADE">
        <w:rPr>
          <w:color w:val="auto"/>
          <w:sz w:val="22"/>
          <w:szCs w:val="22"/>
        </w:rPr>
        <w:t xml:space="preserve">, proving the concept of positive financial returns from sustainability projects, mainstreaming SLM practices in </w:t>
      </w:r>
      <w:proofErr w:type="gramStart"/>
      <w:r w:rsidRPr="3F1ACADE">
        <w:rPr>
          <w:color w:val="auto"/>
          <w:sz w:val="22"/>
          <w:szCs w:val="22"/>
        </w:rPr>
        <w:t>a number of</w:t>
      </w:r>
      <w:proofErr w:type="gramEnd"/>
      <w:r w:rsidRPr="3F1ACADE">
        <w:rPr>
          <w:color w:val="auto"/>
          <w:sz w:val="22"/>
          <w:szCs w:val="22"/>
        </w:rPr>
        <w:t xml:space="preserve"> industries and geographies, and sharing best practice with public and private partners across the developing world.</w:t>
      </w:r>
    </w:p>
    <w:p w14:paraId="5C330602" w14:textId="3BA26669" w:rsidR="000F5F51" w:rsidRPr="00AD3E2A" w:rsidRDefault="000F5F51" w:rsidP="000F5F51">
      <w:pPr>
        <w:rPr>
          <w:sz w:val="22"/>
          <w:szCs w:val="22"/>
        </w:rPr>
      </w:pPr>
      <w:r w:rsidRPr="00AD3E2A">
        <w:rPr>
          <w:sz w:val="22"/>
          <w:szCs w:val="22"/>
        </w:rPr>
        <w:t xml:space="preserve">Initial results for all five outcome level indicators are now available and </w:t>
      </w:r>
      <w:r w:rsidR="0024580B">
        <w:rPr>
          <w:sz w:val="22"/>
          <w:szCs w:val="22"/>
        </w:rPr>
        <w:t xml:space="preserve">annual </w:t>
      </w:r>
      <w:r w:rsidRPr="00AD3E2A">
        <w:rPr>
          <w:sz w:val="22"/>
          <w:szCs w:val="22"/>
        </w:rPr>
        <w:t>milestones have been set from 2022 to the end of the Fund.</w:t>
      </w:r>
      <w:r w:rsidR="008D4933">
        <w:rPr>
          <w:sz w:val="22"/>
          <w:szCs w:val="22"/>
        </w:rPr>
        <w:t xml:space="preserve"> </w:t>
      </w:r>
      <w:r w:rsidR="00AC01B0">
        <w:rPr>
          <w:sz w:val="22"/>
          <w:szCs w:val="22"/>
        </w:rPr>
        <w:t>Defra will keep milestones under review</w:t>
      </w:r>
      <w:r w:rsidR="00F60DAB">
        <w:rPr>
          <w:sz w:val="22"/>
          <w:szCs w:val="22"/>
        </w:rPr>
        <w:t xml:space="preserve"> a</w:t>
      </w:r>
      <w:r w:rsidR="008D4933">
        <w:rPr>
          <w:sz w:val="22"/>
          <w:szCs w:val="22"/>
        </w:rPr>
        <w:t xml:space="preserve">s the Fund </w:t>
      </w:r>
      <w:r w:rsidR="00360E20">
        <w:rPr>
          <w:sz w:val="22"/>
          <w:szCs w:val="22"/>
        </w:rPr>
        <w:t xml:space="preserve">completes its portfolio and disburses funding to ensure </w:t>
      </w:r>
      <w:r w:rsidR="00360E20" w:rsidRPr="00AD3E2A">
        <w:rPr>
          <w:sz w:val="22"/>
          <w:szCs w:val="22"/>
        </w:rPr>
        <w:t xml:space="preserve">they </w:t>
      </w:r>
      <w:r w:rsidR="0024580B" w:rsidRPr="0024580B">
        <w:rPr>
          <w:sz w:val="22"/>
          <w:szCs w:val="22"/>
        </w:rPr>
        <w:t>are set at an appropriate level and continue to reflect an ambitious but realistic level of delivery and performance</w:t>
      </w:r>
      <w:r w:rsidR="00360E20">
        <w:rPr>
          <w:sz w:val="22"/>
          <w:szCs w:val="22"/>
        </w:rPr>
        <w:t>.</w:t>
      </w:r>
    </w:p>
    <w:p w14:paraId="2C7A631A" w14:textId="77777777" w:rsidR="000F5F51" w:rsidRPr="002055D4" w:rsidRDefault="000F5F51" w:rsidP="000F5F51">
      <w:pPr>
        <w:rPr>
          <w:color w:val="FF0000"/>
          <w:sz w:val="22"/>
          <w:szCs w:val="22"/>
        </w:rPr>
      </w:pPr>
    </w:p>
    <w:tbl>
      <w:tblPr>
        <w:tblStyle w:val="TableGrid"/>
        <w:tblW w:w="9757" w:type="dxa"/>
        <w:tblInd w:w="-367" w:type="dxa"/>
        <w:tblLayout w:type="fixed"/>
        <w:tblLook w:val="06A0" w:firstRow="1" w:lastRow="0" w:firstColumn="1" w:lastColumn="0" w:noHBand="1" w:noVBand="1"/>
      </w:tblPr>
      <w:tblGrid>
        <w:gridCol w:w="3213"/>
        <w:gridCol w:w="1381"/>
        <w:gridCol w:w="1453"/>
        <w:gridCol w:w="1343"/>
        <w:gridCol w:w="2367"/>
      </w:tblGrid>
      <w:tr w:rsidR="008E7CAF" w:rsidRPr="002055D4" w14:paraId="2CD60893" w14:textId="77777777" w:rsidTr="000C4117">
        <w:trPr>
          <w:trHeight w:val="126"/>
        </w:trPr>
        <w:tc>
          <w:tcPr>
            <w:tcW w:w="3213" w:type="dxa"/>
          </w:tcPr>
          <w:p w14:paraId="035734B0" w14:textId="77777777" w:rsidR="008E7CAF" w:rsidRPr="005901B7" w:rsidRDefault="008E7CAF" w:rsidP="00680FA9">
            <w:pPr>
              <w:rPr>
                <w:rFonts w:cs="Arial"/>
                <w:b/>
                <w:bCs/>
                <w:sz w:val="20"/>
                <w:szCs w:val="20"/>
              </w:rPr>
            </w:pPr>
            <w:r w:rsidRPr="005901B7">
              <w:rPr>
                <w:rFonts w:cs="Arial"/>
                <w:b/>
                <w:bCs/>
                <w:sz w:val="20"/>
                <w:szCs w:val="20"/>
              </w:rPr>
              <w:t>Outcome Indicator</w:t>
            </w:r>
          </w:p>
          <w:p w14:paraId="6E38B742" w14:textId="7400D340" w:rsidR="008E7CAF" w:rsidRPr="005901B7" w:rsidRDefault="008E7CAF" w:rsidP="00680FA9">
            <w:pPr>
              <w:rPr>
                <w:rFonts w:cs="Arial"/>
                <w:b/>
                <w:bCs/>
                <w:sz w:val="20"/>
                <w:szCs w:val="20"/>
              </w:rPr>
            </w:pPr>
            <w:r w:rsidRPr="005901B7">
              <w:rPr>
                <w:rFonts w:cs="Arial"/>
                <w:b/>
                <w:bCs/>
                <w:sz w:val="20"/>
                <w:szCs w:val="20"/>
              </w:rPr>
              <w:t>(all figures are cumulative)</w:t>
            </w:r>
          </w:p>
        </w:tc>
        <w:tc>
          <w:tcPr>
            <w:tcW w:w="1381" w:type="dxa"/>
          </w:tcPr>
          <w:p w14:paraId="55C7A0EE" w14:textId="6B2F4E31" w:rsidR="008E7CAF" w:rsidRPr="005901B7" w:rsidRDefault="008E7CAF" w:rsidP="2F73DC13">
            <w:pPr>
              <w:rPr>
                <w:rFonts w:cs="Arial"/>
                <w:b/>
                <w:bCs/>
                <w:sz w:val="20"/>
                <w:szCs w:val="20"/>
              </w:rPr>
            </w:pPr>
            <w:r w:rsidRPr="005901B7">
              <w:rPr>
                <w:rFonts w:cs="Arial"/>
                <w:b/>
                <w:bCs/>
                <w:sz w:val="20"/>
                <w:szCs w:val="20"/>
              </w:rPr>
              <w:t>2022 (Fund level)</w:t>
            </w:r>
          </w:p>
        </w:tc>
        <w:tc>
          <w:tcPr>
            <w:tcW w:w="1453" w:type="dxa"/>
          </w:tcPr>
          <w:p w14:paraId="7D1D6D05" w14:textId="3ACB6A40" w:rsidR="008E7CAF" w:rsidRPr="005901B7" w:rsidRDefault="008E7CAF" w:rsidP="2F73DC13">
            <w:pPr>
              <w:rPr>
                <w:rFonts w:cs="Arial"/>
                <w:b/>
                <w:bCs/>
                <w:sz w:val="20"/>
                <w:szCs w:val="20"/>
              </w:rPr>
            </w:pPr>
            <w:r w:rsidRPr="005901B7">
              <w:rPr>
                <w:rFonts w:cs="Arial"/>
                <w:b/>
                <w:bCs/>
                <w:sz w:val="20"/>
                <w:szCs w:val="20"/>
              </w:rPr>
              <w:t>2023 targets</w:t>
            </w:r>
          </w:p>
        </w:tc>
        <w:tc>
          <w:tcPr>
            <w:tcW w:w="1343" w:type="dxa"/>
          </w:tcPr>
          <w:p w14:paraId="5C23330E" w14:textId="6530A109" w:rsidR="008E7CAF" w:rsidRPr="005901B7" w:rsidRDefault="008E7CAF" w:rsidP="2F73DC13">
            <w:pPr>
              <w:rPr>
                <w:rFonts w:cs="Arial"/>
                <w:b/>
                <w:bCs/>
                <w:sz w:val="20"/>
                <w:szCs w:val="20"/>
              </w:rPr>
            </w:pPr>
            <w:r w:rsidRPr="005901B7">
              <w:rPr>
                <w:rFonts w:cs="Arial"/>
                <w:b/>
                <w:bCs/>
                <w:sz w:val="20"/>
                <w:szCs w:val="20"/>
              </w:rPr>
              <w:t>2023 (Fund level)</w:t>
            </w:r>
          </w:p>
        </w:tc>
        <w:tc>
          <w:tcPr>
            <w:tcW w:w="2367" w:type="dxa"/>
          </w:tcPr>
          <w:p w14:paraId="7809D8FB" w14:textId="159ECE9C" w:rsidR="008E7CAF" w:rsidRPr="005901B7" w:rsidRDefault="008E7CAF" w:rsidP="00680FA9">
            <w:pPr>
              <w:rPr>
                <w:rFonts w:cs="Arial"/>
                <w:b/>
                <w:bCs/>
                <w:sz w:val="20"/>
                <w:szCs w:val="20"/>
              </w:rPr>
            </w:pPr>
            <w:r w:rsidRPr="005901B7">
              <w:rPr>
                <w:rFonts w:cs="Arial"/>
                <w:b/>
                <w:bCs/>
                <w:sz w:val="20"/>
                <w:szCs w:val="20"/>
              </w:rPr>
              <w:t>Defra attribution</w:t>
            </w:r>
          </w:p>
        </w:tc>
      </w:tr>
      <w:tr w:rsidR="008E7CAF" w:rsidRPr="002055D4" w14:paraId="47AE3480" w14:textId="77777777" w:rsidTr="000C4117">
        <w:trPr>
          <w:trHeight w:val="126"/>
        </w:trPr>
        <w:tc>
          <w:tcPr>
            <w:tcW w:w="3213" w:type="dxa"/>
            <w:vAlign w:val="center"/>
          </w:tcPr>
          <w:p w14:paraId="2A13BEC1" w14:textId="77880FD8" w:rsidR="008E7CAF" w:rsidRPr="005901B7" w:rsidRDefault="008E7CAF" w:rsidP="00C562F4">
            <w:pPr>
              <w:jc w:val="center"/>
              <w:rPr>
                <w:rFonts w:eastAsiaTheme="minorEastAsia" w:cs="Arial"/>
                <w:sz w:val="20"/>
                <w:szCs w:val="20"/>
              </w:rPr>
            </w:pPr>
            <w:r w:rsidRPr="005901B7">
              <w:rPr>
                <w:rFonts w:cs="Arial"/>
                <w:sz w:val="20"/>
                <w:szCs w:val="20"/>
              </w:rPr>
              <w:t>1. Area of reforestation (ha)</w:t>
            </w:r>
          </w:p>
        </w:tc>
        <w:tc>
          <w:tcPr>
            <w:tcW w:w="1381" w:type="dxa"/>
            <w:vAlign w:val="center"/>
          </w:tcPr>
          <w:p w14:paraId="595F2EA7" w14:textId="47803B33" w:rsidR="008E7CAF" w:rsidRPr="005901B7" w:rsidRDefault="008E7CAF" w:rsidP="00C562F4">
            <w:pPr>
              <w:jc w:val="center"/>
              <w:rPr>
                <w:rFonts w:cs="Arial"/>
                <w:sz w:val="20"/>
                <w:szCs w:val="20"/>
              </w:rPr>
            </w:pPr>
            <w:r w:rsidRPr="005901B7">
              <w:rPr>
                <w:rFonts w:cs="Arial"/>
                <w:sz w:val="20"/>
                <w:szCs w:val="20"/>
              </w:rPr>
              <w:t>47,086</w:t>
            </w:r>
          </w:p>
        </w:tc>
        <w:tc>
          <w:tcPr>
            <w:tcW w:w="1453" w:type="dxa"/>
            <w:shd w:val="clear" w:color="auto" w:fill="auto"/>
            <w:vAlign w:val="center"/>
          </w:tcPr>
          <w:p w14:paraId="3A6FBA31" w14:textId="234FC543" w:rsidR="008E7CAF" w:rsidRPr="005901B7" w:rsidRDefault="008E7CAF" w:rsidP="00C562F4">
            <w:pPr>
              <w:jc w:val="center"/>
              <w:rPr>
                <w:rFonts w:eastAsia="Arial" w:cs="Arial"/>
                <w:sz w:val="20"/>
                <w:szCs w:val="20"/>
              </w:rPr>
            </w:pPr>
            <w:r w:rsidRPr="005901B7">
              <w:rPr>
                <w:rFonts w:eastAsia="Arial" w:cs="Arial"/>
                <w:sz w:val="20"/>
                <w:szCs w:val="20"/>
              </w:rPr>
              <w:t>75,000</w:t>
            </w:r>
          </w:p>
        </w:tc>
        <w:tc>
          <w:tcPr>
            <w:tcW w:w="1343" w:type="dxa"/>
            <w:shd w:val="clear" w:color="auto" w:fill="FF5050"/>
            <w:vAlign w:val="center"/>
          </w:tcPr>
          <w:p w14:paraId="0602B03F" w14:textId="52B0A2E5" w:rsidR="008E7CAF" w:rsidRPr="005901B7" w:rsidRDefault="008E7CAF" w:rsidP="00C562F4">
            <w:pPr>
              <w:jc w:val="center"/>
              <w:rPr>
                <w:rFonts w:eastAsia="Arial" w:cs="Arial"/>
                <w:sz w:val="20"/>
                <w:szCs w:val="20"/>
              </w:rPr>
            </w:pPr>
            <w:r w:rsidRPr="005901B7">
              <w:rPr>
                <w:rFonts w:eastAsia="Arial" w:cs="Arial"/>
                <w:sz w:val="20"/>
                <w:szCs w:val="20"/>
              </w:rPr>
              <w:t>65,792</w:t>
            </w:r>
          </w:p>
        </w:tc>
        <w:tc>
          <w:tcPr>
            <w:tcW w:w="2367" w:type="dxa"/>
            <w:shd w:val="clear" w:color="auto" w:fill="FFFFFF" w:themeFill="background1"/>
            <w:vAlign w:val="center"/>
          </w:tcPr>
          <w:p w14:paraId="5B8A7357" w14:textId="69495856" w:rsidR="008E7CAF" w:rsidRDefault="008E7CAF" w:rsidP="00C562F4">
            <w:pPr>
              <w:jc w:val="center"/>
              <w:rPr>
                <w:rFonts w:cs="Arial"/>
                <w:color w:val="000000"/>
                <w:sz w:val="20"/>
                <w:szCs w:val="20"/>
              </w:rPr>
            </w:pPr>
            <w:r>
              <w:rPr>
                <w:rFonts w:cs="Arial"/>
                <w:color w:val="000000"/>
                <w:sz w:val="20"/>
                <w:szCs w:val="20"/>
              </w:rPr>
              <w:t>Direct: 5,019</w:t>
            </w:r>
          </w:p>
          <w:p w14:paraId="32B87629" w14:textId="73CBE1A2" w:rsidR="008E7CAF" w:rsidRPr="005901B7" w:rsidRDefault="008E7CAF" w:rsidP="00C562F4">
            <w:pPr>
              <w:jc w:val="center"/>
              <w:rPr>
                <w:rFonts w:eastAsia="Arial" w:cs="Arial"/>
                <w:color w:val="000000" w:themeColor="text1"/>
                <w:sz w:val="20"/>
                <w:szCs w:val="20"/>
              </w:rPr>
            </w:pPr>
            <w:r>
              <w:rPr>
                <w:rFonts w:cs="Arial"/>
                <w:color w:val="000000"/>
                <w:sz w:val="20"/>
                <w:szCs w:val="20"/>
              </w:rPr>
              <w:t>Leveraged: 3,460</w:t>
            </w:r>
          </w:p>
        </w:tc>
      </w:tr>
      <w:tr w:rsidR="008E7CAF" w:rsidRPr="002055D4" w14:paraId="0FB8742B" w14:textId="77777777" w:rsidTr="000C4117">
        <w:trPr>
          <w:trHeight w:val="126"/>
        </w:trPr>
        <w:tc>
          <w:tcPr>
            <w:tcW w:w="3213" w:type="dxa"/>
            <w:vAlign w:val="center"/>
          </w:tcPr>
          <w:p w14:paraId="0120F9AE" w14:textId="7C6CE443" w:rsidR="008E7CAF" w:rsidRPr="005901B7" w:rsidRDefault="008E7CAF" w:rsidP="00C562F4">
            <w:pPr>
              <w:jc w:val="center"/>
              <w:rPr>
                <w:rFonts w:cs="Arial"/>
                <w:sz w:val="20"/>
                <w:szCs w:val="20"/>
              </w:rPr>
            </w:pPr>
            <w:r w:rsidRPr="005901B7">
              <w:rPr>
                <w:rFonts w:cs="Arial"/>
                <w:sz w:val="20"/>
                <w:szCs w:val="20"/>
              </w:rPr>
              <w:t>2. CO2 emissions avoided (t) – KPI 6</w:t>
            </w:r>
          </w:p>
        </w:tc>
        <w:tc>
          <w:tcPr>
            <w:tcW w:w="1381" w:type="dxa"/>
            <w:vAlign w:val="center"/>
          </w:tcPr>
          <w:p w14:paraId="6C0BA14D" w14:textId="0B1E068C" w:rsidR="008E7CAF" w:rsidRPr="005901B7" w:rsidRDefault="008E7CAF" w:rsidP="00C562F4">
            <w:pPr>
              <w:jc w:val="center"/>
              <w:rPr>
                <w:rFonts w:cs="Arial"/>
                <w:sz w:val="20"/>
                <w:szCs w:val="20"/>
              </w:rPr>
            </w:pPr>
            <w:r w:rsidRPr="005901B7">
              <w:rPr>
                <w:rFonts w:cs="Arial"/>
                <w:sz w:val="20"/>
                <w:szCs w:val="20"/>
              </w:rPr>
              <w:t>1,075,000</w:t>
            </w:r>
          </w:p>
        </w:tc>
        <w:tc>
          <w:tcPr>
            <w:tcW w:w="1453" w:type="dxa"/>
            <w:shd w:val="clear" w:color="auto" w:fill="auto"/>
            <w:vAlign w:val="center"/>
          </w:tcPr>
          <w:p w14:paraId="10574DDA" w14:textId="32AFA864" w:rsidR="008E7CAF" w:rsidRPr="005901B7" w:rsidRDefault="008E7CAF" w:rsidP="00C562F4">
            <w:pPr>
              <w:jc w:val="center"/>
              <w:rPr>
                <w:rFonts w:eastAsia="Arial" w:cs="Arial"/>
                <w:sz w:val="20"/>
                <w:szCs w:val="20"/>
              </w:rPr>
            </w:pPr>
            <w:r w:rsidRPr="005901B7">
              <w:rPr>
                <w:rFonts w:eastAsia="Arial" w:cs="Arial"/>
                <w:sz w:val="20"/>
                <w:szCs w:val="20"/>
              </w:rPr>
              <w:t>2,000,000</w:t>
            </w:r>
          </w:p>
        </w:tc>
        <w:tc>
          <w:tcPr>
            <w:tcW w:w="1343" w:type="dxa"/>
            <w:shd w:val="clear" w:color="auto" w:fill="FF5050"/>
            <w:vAlign w:val="center"/>
          </w:tcPr>
          <w:p w14:paraId="601B0FFF" w14:textId="66844783" w:rsidR="008E7CAF" w:rsidRPr="005901B7" w:rsidRDefault="008E7CAF" w:rsidP="00C562F4">
            <w:pPr>
              <w:jc w:val="center"/>
              <w:rPr>
                <w:rFonts w:eastAsia="Arial" w:cs="Arial"/>
                <w:sz w:val="20"/>
                <w:szCs w:val="20"/>
              </w:rPr>
            </w:pPr>
            <w:r w:rsidRPr="005901B7">
              <w:rPr>
                <w:rFonts w:eastAsia="Arial" w:cs="Arial"/>
                <w:sz w:val="20"/>
                <w:szCs w:val="20"/>
              </w:rPr>
              <w:t>1,687,122</w:t>
            </w:r>
          </w:p>
        </w:tc>
        <w:tc>
          <w:tcPr>
            <w:tcW w:w="2367" w:type="dxa"/>
            <w:shd w:val="clear" w:color="auto" w:fill="FFFFFF" w:themeFill="background1"/>
            <w:vAlign w:val="center"/>
          </w:tcPr>
          <w:p w14:paraId="429E0996" w14:textId="030C916D" w:rsidR="008E7CAF" w:rsidRDefault="008E7CAF" w:rsidP="00C562F4">
            <w:pPr>
              <w:jc w:val="center"/>
              <w:rPr>
                <w:rFonts w:cs="Arial"/>
                <w:color w:val="000000"/>
                <w:sz w:val="20"/>
                <w:szCs w:val="20"/>
              </w:rPr>
            </w:pPr>
            <w:r>
              <w:rPr>
                <w:rFonts w:cs="Arial"/>
                <w:color w:val="000000"/>
                <w:sz w:val="20"/>
                <w:szCs w:val="20"/>
              </w:rPr>
              <w:t xml:space="preserve">Direct: </w:t>
            </w:r>
            <w:r w:rsidR="008D46D3">
              <w:rPr>
                <w:rFonts w:cs="Arial"/>
                <w:color w:val="000000"/>
                <w:sz w:val="20"/>
                <w:szCs w:val="20"/>
              </w:rPr>
              <w:t>109,</w:t>
            </w:r>
            <w:r w:rsidR="001E5069">
              <w:rPr>
                <w:rFonts w:cs="Arial"/>
                <w:color w:val="000000"/>
                <w:sz w:val="20"/>
                <w:szCs w:val="20"/>
              </w:rPr>
              <w:t>138</w:t>
            </w:r>
          </w:p>
          <w:p w14:paraId="732D4399" w14:textId="3CED0465" w:rsidR="008E7CAF" w:rsidRPr="005901B7" w:rsidRDefault="008E7CAF" w:rsidP="00C562F4">
            <w:pPr>
              <w:jc w:val="center"/>
              <w:rPr>
                <w:rFonts w:cs="Arial"/>
                <w:sz w:val="20"/>
                <w:szCs w:val="20"/>
              </w:rPr>
            </w:pPr>
            <w:r>
              <w:rPr>
                <w:rFonts w:cs="Arial"/>
                <w:color w:val="000000"/>
                <w:sz w:val="20"/>
                <w:szCs w:val="20"/>
              </w:rPr>
              <w:t>Leveraged: 91,753</w:t>
            </w:r>
          </w:p>
        </w:tc>
      </w:tr>
      <w:tr w:rsidR="008E7CAF" w:rsidRPr="002055D4" w14:paraId="33997CF0" w14:textId="77777777" w:rsidTr="000C4117">
        <w:trPr>
          <w:trHeight w:val="126"/>
        </w:trPr>
        <w:tc>
          <w:tcPr>
            <w:tcW w:w="3213" w:type="dxa"/>
            <w:vAlign w:val="center"/>
          </w:tcPr>
          <w:p w14:paraId="5F35FD18" w14:textId="04BDFB0A" w:rsidR="008E7CAF" w:rsidRPr="005901B7" w:rsidRDefault="008E7CAF" w:rsidP="00C562F4">
            <w:pPr>
              <w:jc w:val="center"/>
              <w:rPr>
                <w:rFonts w:cs="Arial"/>
                <w:sz w:val="20"/>
                <w:szCs w:val="20"/>
              </w:rPr>
            </w:pPr>
            <w:r w:rsidRPr="005901B7">
              <w:rPr>
                <w:rFonts w:cs="Arial"/>
                <w:sz w:val="20"/>
                <w:szCs w:val="20"/>
              </w:rPr>
              <w:t>3. Private finance leveraged by the LDN Fund ($) – KPI 11</w:t>
            </w:r>
          </w:p>
          <w:p w14:paraId="324D5742" w14:textId="0A9F8E94" w:rsidR="008E7CAF" w:rsidRPr="005901B7" w:rsidRDefault="008E7CAF" w:rsidP="00C562F4">
            <w:pPr>
              <w:pStyle w:val="ListParagraph"/>
              <w:numPr>
                <w:ilvl w:val="0"/>
                <w:numId w:val="20"/>
              </w:numPr>
              <w:jc w:val="center"/>
              <w:rPr>
                <w:rFonts w:cs="Arial"/>
                <w:sz w:val="20"/>
              </w:rPr>
            </w:pPr>
            <w:r w:rsidRPr="005901B7">
              <w:rPr>
                <w:rFonts w:cs="Arial"/>
                <w:sz w:val="20"/>
              </w:rPr>
              <w:t>Fund level</w:t>
            </w:r>
          </w:p>
        </w:tc>
        <w:tc>
          <w:tcPr>
            <w:tcW w:w="1381" w:type="dxa"/>
            <w:vAlign w:val="center"/>
          </w:tcPr>
          <w:p w14:paraId="6AE9D465" w14:textId="067AEBE0" w:rsidR="008E7CAF" w:rsidRPr="005901B7" w:rsidRDefault="008E7CAF" w:rsidP="00C562F4">
            <w:pPr>
              <w:jc w:val="center"/>
              <w:rPr>
                <w:rFonts w:cs="Arial"/>
                <w:sz w:val="20"/>
                <w:szCs w:val="20"/>
              </w:rPr>
            </w:pPr>
            <w:r w:rsidRPr="005901B7">
              <w:rPr>
                <w:rFonts w:eastAsia="Arial" w:cs="Arial"/>
                <w:sz w:val="20"/>
                <w:szCs w:val="20"/>
              </w:rPr>
              <w:t>128,000,000</w:t>
            </w:r>
          </w:p>
        </w:tc>
        <w:tc>
          <w:tcPr>
            <w:tcW w:w="1453" w:type="dxa"/>
            <w:shd w:val="clear" w:color="auto" w:fill="auto"/>
            <w:vAlign w:val="center"/>
          </w:tcPr>
          <w:p w14:paraId="04F005E7" w14:textId="42D520DC" w:rsidR="008E7CAF" w:rsidRPr="005901B7" w:rsidRDefault="008E7CAF" w:rsidP="00C562F4">
            <w:pPr>
              <w:jc w:val="center"/>
              <w:rPr>
                <w:rFonts w:cs="Arial"/>
                <w:sz w:val="20"/>
                <w:szCs w:val="20"/>
              </w:rPr>
            </w:pPr>
            <w:r w:rsidRPr="005901B7">
              <w:rPr>
                <w:rFonts w:cs="Arial"/>
                <w:sz w:val="20"/>
                <w:szCs w:val="20"/>
              </w:rPr>
              <w:t>n/a</w:t>
            </w:r>
          </w:p>
          <w:p w14:paraId="514FC601" w14:textId="77777777" w:rsidR="008E7CAF" w:rsidRPr="005901B7" w:rsidRDefault="008E7CAF" w:rsidP="00C562F4">
            <w:pPr>
              <w:jc w:val="center"/>
              <w:rPr>
                <w:rFonts w:cs="Arial"/>
                <w:sz w:val="20"/>
                <w:szCs w:val="20"/>
              </w:rPr>
            </w:pPr>
          </w:p>
        </w:tc>
        <w:tc>
          <w:tcPr>
            <w:tcW w:w="1343" w:type="dxa"/>
            <w:shd w:val="clear" w:color="auto" w:fill="92D050"/>
            <w:vAlign w:val="center"/>
          </w:tcPr>
          <w:p w14:paraId="5C582D10" w14:textId="2E4EDF8D" w:rsidR="008E7CAF" w:rsidRPr="005901B7" w:rsidRDefault="008E7CAF" w:rsidP="00C562F4">
            <w:pPr>
              <w:jc w:val="center"/>
              <w:rPr>
                <w:rFonts w:eastAsia="Arial" w:cs="Arial"/>
                <w:sz w:val="20"/>
                <w:szCs w:val="20"/>
              </w:rPr>
            </w:pPr>
            <w:r w:rsidRPr="005901B7">
              <w:rPr>
                <w:rFonts w:eastAsia="Arial" w:cs="Arial"/>
                <w:sz w:val="20"/>
                <w:szCs w:val="20"/>
              </w:rPr>
              <w:t>128,000,000</w:t>
            </w:r>
          </w:p>
        </w:tc>
        <w:tc>
          <w:tcPr>
            <w:tcW w:w="2367" w:type="dxa"/>
            <w:shd w:val="clear" w:color="auto" w:fill="FFFFFF" w:themeFill="background1"/>
            <w:vAlign w:val="center"/>
          </w:tcPr>
          <w:p w14:paraId="6228484B" w14:textId="4F2E67EA" w:rsidR="008E7CAF" w:rsidRDefault="008E7CAF" w:rsidP="00C562F4">
            <w:pPr>
              <w:jc w:val="center"/>
              <w:rPr>
                <w:rFonts w:cs="Arial"/>
                <w:color w:val="000000"/>
                <w:sz w:val="20"/>
                <w:szCs w:val="20"/>
              </w:rPr>
            </w:pPr>
            <w:r>
              <w:rPr>
                <w:rFonts w:cs="Arial"/>
                <w:color w:val="000000"/>
                <w:sz w:val="20"/>
                <w:szCs w:val="20"/>
              </w:rPr>
              <w:t>Direct: 6,470,000</w:t>
            </w:r>
          </w:p>
          <w:p w14:paraId="6EBF5E84" w14:textId="7533F69B" w:rsidR="008E7CAF" w:rsidRPr="005901B7" w:rsidRDefault="008E7CAF" w:rsidP="00C562F4">
            <w:pPr>
              <w:jc w:val="center"/>
              <w:rPr>
                <w:rFonts w:cs="Arial"/>
                <w:sz w:val="20"/>
                <w:szCs w:val="20"/>
              </w:rPr>
            </w:pPr>
            <w:r>
              <w:rPr>
                <w:rFonts w:cs="Arial"/>
                <w:color w:val="000000"/>
                <w:sz w:val="20"/>
                <w:szCs w:val="20"/>
              </w:rPr>
              <w:t>Leveraged: 4,094,000</w:t>
            </w:r>
          </w:p>
        </w:tc>
      </w:tr>
      <w:tr w:rsidR="008E7CAF" w:rsidRPr="002055D4" w14:paraId="4F94EED0" w14:textId="77777777" w:rsidTr="000C4117">
        <w:trPr>
          <w:trHeight w:val="126"/>
        </w:trPr>
        <w:tc>
          <w:tcPr>
            <w:tcW w:w="3213" w:type="dxa"/>
            <w:vAlign w:val="center"/>
          </w:tcPr>
          <w:p w14:paraId="256B3194" w14:textId="7B4FB6A9" w:rsidR="008E7CAF" w:rsidRPr="005901B7" w:rsidRDefault="008E7CAF" w:rsidP="00C562F4">
            <w:pPr>
              <w:pStyle w:val="ListParagraph"/>
              <w:numPr>
                <w:ilvl w:val="0"/>
                <w:numId w:val="20"/>
              </w:numPr>
              <w:jc w:val="center"/>
              <w:rPr>
                <w:rFonts w:cs="Arial"/>
                <w:sz w:val="20"/>
              </w:rPr>
            </w:pPr>
            <w:r w:rsidRPr="005901B7">
              <w:rPr>
                <w:rFonts w:cs="Arial"/>
                <w:sz w:val="20"/>
              </w:rPr>
              <w:t>Co-investment level ($)</w:t>
            </w:r>
          </w:p>
        </w:tc>
        <w:tc>
          <w:tcPr>
            <w:tcW w:w="1381" w:type="dxa"/>
            <w:vAlign w:val="center"/>
          </w:tcPr>
          <w:p w14:paraId="4D8B9517" w14:textId="56A32809" w:rsidR="008E7CAF" w:rsidRPr="005901B7" w:rsidRDefault="008E7CAF" w:rsidP="00C562F4">
            <w:pPr>
              <w:jc w:val="center"/>
              <w:rPr>
                <w:rFonts w:cs="Arial"/>
                <w:sz w:val="20"/>
                <w:szCs w:val="20"/>
              </w:rPr>
            </w:pPr>
            <w:r w:rsidRPr="005901B7">
              <w:rPr>
                <w:rFonts w:cs="Arial"/>
                <w:sz w:val="20"/>
                <w:szCs w:val="20"/>
              </w:rPr>
              <w:t>91</w:t>
            </w:r>
            <w:r w:rsidRPr="005901B7">
              <w:rPr>
                <w:rFonts w:eastAsia="Arial" w:cs="Arial"/>
                <w:sz w:val="20"/>
                <w:szCs w:val="20"/>
              </w:rPr>
              <w:t>,</w:t>
            </w:r>
            <w:r>
              <w:rPr>
                <w:rFonts w:eastAsia="Arial" w:cs="Arial"/>
                <w:sz w:val="20"/>
                <w:szCs w:val="20"/>
              </w:rPr>
              <w:t>8</w:t>
            </w:r>
            <w:r w:rsidRPr="005901B7">
              <w:rPr>
                <w:rFonts w:eastAsia="Arial" w:cs="Arial"/>
                <w:sz w:val="20"/>
                <w:szCs w:val="20"/>
              </w:rPr>
              <w:t>00,000</w:t>
            </w:r>
          </w:p>
        </w:tc>
        <w:tc>
          <w:tcPr>
            <w:tcW w:w="1453" w:type="dxa"/>
            <w:shd w:val="clear" w:color="auto" w:fill="auto"/>
            <w:vAlign w:val="center"/>
          </w:tcPr>
          <w:p w14:paraId="6708DAB0" w14:textId="18F25650" w:rsidR="008E7CAF" w:rsidRPr="005901B7" w:rsidRDefault="008E7CAF" w:rsidP="00C562F4">
            <w:pPr>
              <w:jc w:val="center"/>
              <w:rPr>
                <w:rFonts w:cs="Arial"/>
                <w:sz w:val="20"/>
                <w:szCs w:val="20"/>
              </w:rPr>
            </w:pPr>
            <w:r w:rsidRPr="005901B7">
              <w:rPr>
                <w:rFonts w:cs="Arial"/>
                <w:sz w:val="20"/>
                <w:szCs w:val="20"/>
              </w:rPr>
              <w:t>130</w:t>
            </w:r>
            <w:r w:rsidRPr="005901B7">
              <w:rPr>
                <w:rFonts w:eastAsia="Arial" w:cs="Arial"/>
                <w:sz w:val="20"/>
                <w:szCs w:val="20"/>
              </w:rPr>
              <w:t>,000,000</w:t>
            </w:r>
          </w:p>
        </w:tc>
        <w:tc>
          <w:tcPr>
            <w:tcW w:w="1343" w:type="dxa"/>
            <w:shd w:val="clear" w:color="auto" w:fill="92D050"/>
            <w:vAlign w:val="center"/>
          </w:tcPr>
          <w:p w14:paraId="4DCB0470" w14:textId="4A9D6C08" w:rsidR="008E7CAF" w:rsidRPr="005901B7" w:rsidRDefault="008E7CAF" w:rsidP="00C562F4">
            <w:pPr>
              <w:jc w:val="center"/>
              <w:rPr>
                <w:rFonts w:eastAsia="Arial" w:cs="Arial"/>
                <w:sz w:val="20"/>
                <w:szCs w:val="20"/>
              </w:rPr>
            </w:pPr>
            <w:r w:rsidRPr="005901B7">
              <w:rPr>
                <w:rFonts w:eastAsia="Arial" w:cs="Arial"/>
                <w:sz w:val="20"/>
                <w:szCs w:val="20"/>
              </w:rPr>
              <w:t>178,000,000</w:t>
            </w:r>
          </w:p>
        </w:tc>
        <w:tc>
          <w:tcPr>
            <w:tcW w:w="2367" w:type="dxa"/>
            <w:shd w:val="clear" w:color="auto" w:fill="FFFFFF" w:themeFill="background1"/>
            <w:vAlign w:val="center"/>
          </w:tcPr>
          <w:p w14:paraId="103E3B05" w14:textId="7B28D893" w:rsidR="008E7CAF" w:rsidRDefault="008E7CAF" w:rsidP="00C562F4">
            <w:pPr>
              <w:jc w:val="center"/>
              <w:rPr>
                <w:rFonts w:cs="Arial"/>
                <w:color w:val="000000"/>
                <w:sz w:val="20"/>
                <w:szCs w:val="20"/>
              </w:rPr>
            </w:pPr>
            <w:r>
              <w:rPr>
                <w:rFonts w:cs="Arial"/>
                <w:color w:val="000000"/>
                <w:sz w:val="20"/>
                <w:szCs w:val="20"/>
              </w:rPr>
              <w:t>Direct: 12,600,000</w:t>
            </w:r>
          </w:p>
          <w:p w14:paraId="66AF1D0E" w14:textId="2C2F76F4" w:rsidR="008E7CAF" w:rsidRPr="005901B7" w:rsidRDefault="008E7CAF" w:rsidP="00C562F4">
            <w:pPr>
              <w:jc w:val="center"/>
              <w:rPr>
                <w:rFonts w:cs="Arial"/>
                <w:sz w:val="20"/>
                <w:szCs w:val="20"/>
              </w:rPr>
            </w:pPr>
            <w:r>
              <w:rPr>
                <w:rFonts w:cs="Arial"/>
                <w:color w:val="000000"/>
                <w:sz w:val="20"/>
                <w:szCs w:val="20"/>
              </w:rPr>
              <w:t>Leveraged: 9,272</w:t>
            </w:r>
            <w:r w:rsidRPr="005901B7">
              <w:rPr>
                <w:rFonts w:eastAsia="Arial" w:cs="Arial"/>
                <w:sz w:val="20"/>
                <w:szCs w:val="20"/>
              </w:rPr>
              <w:t>,000</w:t>
            </w:r>
          </w:p>
        </w:tc>
      </w:tr>
      <w:tr w:rsidR="008E7CAF" w:rsidRPr="002055D4" w14:paraId="56055016" w14:textId="77777777" w:rsidTr="000C4117">
        <w:trPr>
          <w:trHeight w:val="126"/>
        </w:trPr>
        <w:tc>
          <w:tcPr>
            <w:tcW w:w="3213" w:type="dxa"/>
            <w:vAlign w:val="center"/>
          </w:tcPr>
          <w:p w14:paraId="225AD3BD" w14:textId="462479CF" w:rsidR="008E7CAF" w:rsidRPr="005901B7" w:rsidRDefault="008E7CAF" w:rsidP="00C562F4">
            <w:pPr>
              <w:jc w:val="center"/>
              <w:rPr>
                <w:rFonts w:cs="Arial"/>
                <w:sz w:val="20"/>
                <w:szCs w:val="20"/>
              </w:rPr>
            </w:pPr>
            <w:r w:rsidRPr="005901B7">
              <w:rPr>
                <w:rFonts w:cs="Arial"/>
                <w:sz w:val="20"/>
                <w:szCs w:val="20"/>
              </w:rPr>
              <w:t>4. Public finance leveraged by the LDN Fund ($) – KPI 12</w:t>
            </w:r>
          </w:p>
        </w:tc>
        <w:tc>
          <w:tcPr>
            <w:tcW w:w="1381" w:type="dxa"/>
            <w:shd w:val="clear" w:color="auto" w:fill="auto"/>
            <w:vAlign w:val="center"/>
          </w:tcPr>
          <w:p w14:paraId="6421F836" w14:textId="6968FD78" w:rsidR="008E7CAF" w:rsidRPr="005901B7" w:rsidRDefault="008E7CAF" w:rsidP="00C562F4">
            <w:pPr>
              <w:jc w:val="center"/>
              <w:rPr>
                <w:rFonts w:cs="Arial"/>
                <w:sz w:val="20"/>
                <w:szCs w:val="20"/>
                <w:lang w:val="en-US"/>
              </w:rPr>
            </w:pPr>
            <w:r w:rsidRPr="005901B7">
              <w:rPr>
                <w:rFonts w:cs="Arial"/>
                <w:sz w:val="20"/>
                <w:szCs w:val="20"/>
                <w:lang w:val="en-US"/>
              </w:rPr>
              <w:t>85</w:t>
            </w:r>
            <w:r w:rsidRPr="005901B7">
              <w:rPr>
                <w:rFonts w:eastAsia="Arial" w:cs="Arial"/>
                <w:sz w:val="20"/>
                <w:szCs w:val="20"/>
              </w:rPr>
              <w:t>,</w:t>
            </w:r>
            <w:r>
              <w:rPr>
                <w:rFonts w:eastAsia="Arial" w:cs="Arial"/>
                <w:sz w:val="20"/>
                <w:szCs w:val="20"/>
              </w:rPr>
              <w:t>6</w:t>
            </w:r>
            <w:r w:rsidRPr="005901B7">
              <w:rPr>
                <w:rFonts w:eastAsia="Arial" w:cs="Arial"/>
                <w:sz w:val="20"/>
                <w:szCs w:val="20"/>
              </w:rPr>
              <w:t>00,000</w:t>
            </w:r>
          </w:p>
        </w:tc>
        <w:tc>
          <w:tcPr>
            <w:tcW w:w="1453" w:type="dxa"/>
            <w:shd w:val="clear" w:color="auto" w:fill="auto"/>
            <w:vAlign w:val="center"/>
          </w:tcPr>
          <w:p w14:paraId="0B725843" w14:textId="7CFE0C89" w:rsidR="008E7CAF" w:rsidRPr="005901B7" w:rsidRDefault="008E7CAF" w:rsidP="00C562F4">
            <w:pPr>
              <w:jc w:val="center"/>
              <w:rPr>
                <w:rFonts w:cs="Arial"/>
                <w:sz w:val="20"/>
                <w:szCs w:val="20"/>
                <w:lang w:val="en-US"/>
              </w:rPr>
            </w:pPr>
            <w:r w:rsidRPr="005901B7">
              <w:rPr>
                <w:rFonts w:cs="Arial"/>
                <w:i/>
                <w:iCs/>
                <w:sz w:val="20"/>
                <w:szCs w:val="20"/>
                <w:lang w:val="en-US"/>
              </w:rPr>
              <w:t>n/a</w:t>
            </w:r>
          </w:p>
        </w:tc>
        <w:tc>
          <w:tcPr>
            <w:tcW w:w="1343" w:type="dxa"/>
            <w:shd w:val="clear" w:color="auto" w:fill="92D050"/>
            <w:vAlign w:val="center"/>
          </w:tcPr>
          <w:p w14:paraId="38D47059" w14:textId="79398D8A" w:rsidR="008E7CAF" w:rsidRPr="005901B7" w:rsidRDefault="008E7CAF" w:rsidP="00C562F4">
            <w:pPr>
              <w:jc w:val="center"/>
              <w:rPr>
                <w:rFonts w:eastAsia="Arial" w:cs="Arial"/>
                <w:sz w:val="20"/>
                <w:szCs w:val="20"/>
              </w:rPr>
            </w:pPr>
            <w:r w:rsidRPr="005901B7">
              <w:rPr>
                <w:rFonts w:cs="Arial"/>
                <w:sz w:val="20"/>
                <w:szCs w:val="20"/>
                <w:lang w:val="en-US"/>
              </w:rPr>
              <w:t>85</w:t>
            </w:r>
            <w:r w:rsidRPr="005901B7">
              <w:rPr>
                <w:rFonts w:eastAsia="Arial" w:cs="Arial"/>
                <w:sz w:val="20"/>
                <w:szCs w:val="20"/>
              </w:rPr>
              <w:t>,600,000</w:t>
            </w:r>
          </w:p>
        </w:tc>
        <w:tc>
          <w:tcPr>
            <w:tcW w:w="2367" w:type="dxa"/>
            <w:shd w:val="clear" w:color="auto" w:fill="auto"/>
            <w:vAlign w:val="center"/>
          </w:tcPr>
          <w:p w14:paraId="1C591179" w14:textId="68B92312" w:rsidR="008E7CAF" w:rsidRDefault="008E7CAF" w:rsidP="00C562F4">
            <w:pPr>
              <w:jc w:val="center"/>
              <w:rPr>
                <w:rFonts w:cs="Arial"/>
                <w:color w:val="000000"/>
                <w:sz w:val="20"/>
                <w:szCs w:val="20"/>
              </w:rPr>
            </w:pPr>
            <w:r>
              <w:rPr>
                <w:rFonts w:cs="Arial"/>
                <w:color w:val="000000"/>
                <w:sz w:val="20"/>
                <w:szCs w:val="20"/>
              </w:rPr>
              <w:t>Direct: 2,790,000</w:t>
            </w:r>
          </w:p>
          <w:p w14:paraId="10C6FEB7" w14:textId="362B9E46" w:rsidR="008E7CAF" w:rsidRPr="008E7CAF" w:rsidRDefault="008E7CAF" w:rsidP="00C562F4">
            <w:pPr>
              <w:jc w:val="center"/>
              <w:rPr>
                <w:rFonts w:cs="Arial"/>
                <w:color w:val="000000"/>
                <w:sz w:val="20"/>
                <w:szCs w:val="20"/>
              </w:rPr>
            </w:pPr>
            <w:r>
              <w:rPr>
                <w:rFonts w:cs="Arial"/>
                <w:color w:val="000000"/>
                <w:sz w:val="20"/>
                <w:szCs w:val="20"/>
              </w:rPr>
              <w:t xml:space="preserve">Leveraged: </w:t>
            </w:r>
            <w:r w:rsidR="00490DA1">
              <w:rPr>
                <w:rFonts w:cs="Arial"/>
                <w:color w:val="000000"/>
                <w:sz w:val="20"/>
                <w:szCs w:val="20"/>
              </w:rPr>
              <w:t>3,028</w:t>
            </w:r>
            <w:r w:rsidRPr="005901B7">
              <w:rPr>
                <w:rFonts w:eastAsia="Arial" w:cs="Arial"/>
                <w:sz w:val="20"/>
                <w:szCs w:val="20"/>
              </w:rPr>
              <w:t>,000</w:t>
            </w:r>
          </w:p>
        </w:tc>
      </w:tr>
      <w:tr w:rsidR="008E7CAF" w:rsidRPr="002055D4" w14:paraId="7305E0E9" w14:textId="77777777" w:rsidTr="000C4117">
        <w:trPr>
          <w:trHeight w:val="126"/>
        </w:trPr>
        <w:tc>
          <w:tcPr>
            <w:tcW w:w="3213" w:type="dxa"/>
            <w:vAlign w:val="center"/>
          </w:tcPr>
          <w:p w14:paraId="24DE3AC7" w14:textId="54105542" w:rsidR="008E7CAF" w:rsidRPr="005901B7" w:rsidRDefault="008E7CAF" w:rsidP="00C562F4">
            <w:pPr>
              <w:jc w:val="center"/>
              <w:rPr>
                <w:rFonts w:eastAsiaTheme="minorEastAsia" w:cs="Arial"/>
                <w:sz w:val="20"/>
                <w:szCs w:val="20"/>
              </w:rPr>
            </w:pPr>
            <w:r w:rsidRPr="005901B7">
              <w:rPr>
                <w:rFonts w:cs="Arial"/>
                <w:sz w:val="20"/>
                <w:szCs w:val="20"/>
              </w:rPr>
              <w:t>5. Land contributing towards Land Degradation Neutrality (ha) – KPI 17</w:t>
            </w:r>
          </w:p>
        </w:tc>
        <w:tc>
          <w:tcPr>
            <w:tcW w:w="1381" w:type="dxa"/>
            <w:vAlign w:val="center"/>
          </w:tcPr>
          <w:p w14:paraId="02ABCDD8" w14:textId="2737CE81" w:rsidR="008E7CAF" w:rsidRPr="005901B7" w:rsidRDefault="008E7CAF" w:rsidP="00C562F4">
            <w:pPr>
              <w:jc w:val="center"/>
              <w:rPr>
                <w:rFonts w:cs="Arial"/>
                <w:sz w:val="20"/>
                <w:szCs w:val="20"/>
              </w:rPr>
            </w:pPr>
            <w:r w:rsidRPr="005901B7">
              <w:rPr>
                <w:rFonts w:cs="Arial"/>
                <w:sz w:val="20"/>
                <w:szCs w:val="20"/>
              </w:rPr>
              <w:t>133,301</w:t>
            </w:r>
          </w:p>
        </w:tc>
        <w:tc>
          <w:tcPr>
            <w:tcW w:w="1453" w:type="dxa"/>
            <w:shd w:val="clear" w:color="auto" w:fill="auto"/>
            <w:vAlign w:val="center"/>
          </w:tcPr>
          <w:p w14:paraId="6D33344B" w14:textId="0B172FBC" w:rsidR="008E7CAF" w:rsidRPr="005901B7" w:rsidRDefault="008E7CAF" w:rsidP="00C562F4">
            <w:pPr>
              <w:jc w:val="center"/>
              <w:rPr>
                <w:rFonts w:cs="Arial"/>
                <w:sz w:val="20"/>
                <w:szCs w:val="20"/>
              </w:rPr>
            </w:pPr>
            <w:r w:rsidRPr="005901B7">
              <w:rPr>
                <w:rFonts w:cs="Arial"/>
                <w:sz w:val="20"/>
                <w:szCs w:val="20"/>
              </w:rPr>
              <w:t>150,000</w:t>
            </w:r>
          </w:p>
        </w:tc>
        <w:tc>
          <w:tcPr>
            <w:tcW w:w="1343" w:type="dxa"/>
            <w:shd w:val="clear" w:color="auto" w:fill="FF5050"/>
            <w:vAlign w:val="center"/>
          </w:tcPr>
          <w:p w14:paraId="3BDC82C9" w14:textId="5B22C368" w:rsidR="008E7CAF" w:rsidRPr="005901B7" w:rsidRDefault="008E7CAF" w:rsidP="00C562F4">
            <w:pPr>
              <w:jc w:val="center"/>
              <w:rPr>
                <w:rFonts w:eastAsia="Arial" w:cs="Arial"/>
                <w:sz w:val="20"/>
                <w:szCs w:val="20"/>
              </w:rPr>
            </w:pPr>
            <w:r w:rsidRPr="005901B7">
              <w:rPr>
                <w:rFonts w:eastAsia="Arial" w:cs="Arial"/>
                <w:sz w:val="20"/>
                <w:szCs w:val="20"/>
              </w:rPr>
              <w:t>138,445</w:t>
            </w:r>
          </w:p>
        </w:tc>
        <w:tc>
          <w:tcPr>
            <w:tcW w:w="2367" w:type="dxa"/>
            <w:shd w:val="clear" w:color="auto" w:fill="auto"/>
            <w:vAlign w:val="center"/>
          </w:tcPr>
          <w:p w14:paraId="6DDB6EBC" w14:textId="742B5982" w:rsidR="008E7CAF" w:rsidRDefault="008E7CAF" w:rsidP="00C562F4">
            <w:pPr>
              <w:jc w:val="center"/>
              <w:rPr>
                <w:rFonts w:cs="Arial"/>
                <w:color w:val="000000"/>
                <w:sz w:val="20"/>
                <w:szCs w:val="20"/>
              </w:rPr>
            </w:pPr>
            <w:r>
              <w:rPr>
                <w:rFonts w:cs="Arial"/>
                <w:color w:val="000000"/>
                <w:sz w:val="20"/>
                <w:szCs w:val="20"/>
              </w:rPr>
              <w:t>Direct: 9,733</w:t>
            </w:r>
          </w:p>
          <w:p w14:paraId="1292B011" w14:textId="454F4444" w:rsidR="008E7CAF" w:rsidRPr="005901B7" w:rsidRDefault="008E7CAF" w:rsidP="00C562F4">
            <w:pPr>
              <w:jc w:val="center"/>
              <w:rPr>
                <w:rFonts w:cs="Arial"/>
                <w:sz w:val="20"/>
                <w:szCs w:val="20"/>
              </w:rPr>
            </w:pPr>
            <w:r>
              <w:rPr>
                <w:rFonts w:cs="Arial"/>
                <w:color w:val="000000"/>
                <w:sz w:val="20"/>
                <w:szCs w:val="20"/>
              </w:rPr>
              <w:t>Leveraged: 7,323</w:t>
            </w:r>
          </w:p>
        </w:tc>
      </w:tr>
    </w:tbl>
    <w:p w14:paraId="57E5B427" w14:textId="77777777" w:rsidR="009B570B" w:rsidRPr="002055D4" w:rsidRDefault="009B570B" w:rsidP="000F5F51">
      <w:pPr>
        <w:rPr>
          <w:color w:val="FF0000"/>
        </w:rPr>
      </w:pPr>
    </w:p>
    <w:p w14:paraId="73A73070" w14:textId="55A50B2E" w:rsidR="006D31E7" w:rsidRDefault="00517475" w:rsidP="009854A1">
      <w:pPr>
        <w:pStyle w:val="ListParagraph"/>
        <w:numPr>
          <w:ilvl w:val="0"/>
          <w:numId w:val="2"/>
        </w:numPr>
        <w:rPr>
          <w:sz w:val="22"/>
          <w:szCs w:val="22"/>
          <w:lang w:val="en-US"/>
        </w:rPr>
      </w:pPr>
      <w:r>
        <w:rPr>
          <w:b/>
          <w:bCs/>
          <w:sz w:val="22"/>
          <w:szCs w:val="22"/>
          <w:lang w:val="en-US"/>
        </w:rPr>
        <w:t xml:space="preserve">Outcome </w:t>
      </w:r>
      <w:r w:rsidR="003936A0">
        <w:rPr>
          <w:b/>
          <w:bCs/>
          <w:sz w:val="22"/>
          <w:szCs w:val="22"/>
          <w:lang w:val="en-US"/>
        </w:rPr>
        <w:t xml:space="preserve">Indicator 1: </w:t>
      </w:r>
      <w:r w:rsidR="00EB13C1" w:rsidRPr="704FEB21">
        <w:rPr>
          <w:sz w:val="22"/>
          <w:szCs w:val="22"/>
          <w:lang w:val="en-US"/>
        </w:rPr>
        <w:t xml:space="preserve">Reforestation </w:t>
      </w:r>
      <w:r w:rsidR="00131162" w:rsidRPr="704FEB21">
        <w:rPr>
          <w:sz w:val="22"/>
          <w:szCs w:val="22"/>
          <w:lang w:val="en-US"/>
        </w:rPr>
        <w:t xml:space="preserve">for carbon sequestration </w:t>
      </w:r>
      <w:r w:rsidR="00DE783B" w:rsidRPr="704FEB21">
        <w:rPr>
          <w:sz w:val="22"/>
          <w:szCs w:val="22"/>
          <w:lang w:val="en-US"/>
        </w:rPr>
        <w:t xml:space="preserve">and avoided desertification </w:t>
      </w:r>
      <w:r w:rsidR="00EB13C1" w:rsidRPr="704FEB21">
        <w:rPr>
          <w:sz w:val="22"/>
          <w:szCs w:val="22"/>
          <w:lang w:val="en-US"/>
        </w:rPr>
        <w:t xml:space="preserve">is achieved across the LDN portfolio by the </w:t>
      </w:r>
      <w:r w:rsidR="00863C88" w:rsidRPr="704FEB21">
        <w:rPr>
          <w:sz w:val="22"/>
          <w:szCs w:val="22"/>
          <w:lang w:val="en-US"/>
        </w:rPr>
        <w:t xml:space="preserve">planting of </w:t>
      </w:r>
      <w:r w:rsidR="007B60FF" w:rsidRPr="704FEB21">
        <w:rPr>
          <w:sz w:val="22"/>
          <w:szCs w:val="22"/>
          <w:lang w:val="en-US"/>
        </w:rPr>
        <w:t>trees</w:t>
      </w:r>
      <w:r w:rsidR="00863C88" w:rsidRPr="704FEB21">
        <w:rPr>
          <w:sz w:val="22"/>
          <w:szCs w:val="22"/>
          <w:lang w:val="en-US"/>
        </w:rPr>
        <w:t xml:space="preserve"> on degraded land, typically</w:t>
      </w:r>
      <w:r w:rsidR="007B60FF" w:rsidRPr="704FEB21">
        <w:rPr>
          <w:sz w:val="22"/>
          <w:szCs w:val="22"/>
          <w:lang w:val="en-US"/>
        </w:rPr>
        <w:t xml:space="preserve"> for timber, fruit or nut </w:t>
      </w:r>
      <w:r w:rsidR="00B10934" w:rsidRPr="704FEB21">
        <w:rPr>
          <w:sz w:val="22"/>
          <w:szCs w:val="22"/>
          <w:lang w:val="en-US"/>
        </w:rPr>
        <w:t xml:space="preserve">production. </w:t>
      </w:r>
      <w:r w:rsidR="00CC1393" w:rsidRPr="704FEB21">
        <w:rPr>
          <w:sz w:val="22"/>
          <w:szCs w:val="22"/>
          <w:lang w:val="en-US"/>
        </w:rPr>
        <w:t>As this is land where the natural vegetation has previously been destroyed, t</w:t>
      </w:r>
      <w:r w:rsidR="00B10934" w:rsidRPr="704FEB21">
        <w:rPr>
          <w:sz w:val="22"/>
          <w:szCs w:val="22"/>
          <w:lang w:val="en-US"/>
        </w:rPr>
        <w:t>h</w:t>
      </w:r>
      <w:r w:rsidR="00CC1393" w:rsidRPr="704FEB21">
        <w:rPr>
          <w:sz w:val="22"/>
          <w:szCs w:val="22"/>
          <w:lang w:val="en-US"/>
        </w:rPr>
        <w:t>e goal of thi</w:t>
      </w:r>
      <w:r w:rsidR="00B10934" w:rsidRPr="704FEB21">
        <w:rPr>
          <w:sz w:val="22"/>
          <w:szCs w:val="22"/>
          <w:lang w:val="en-US"/>
        </w:rPr>
        <w:t xml:space="preserve">s </w:t>
      </w:r>
      <w:r w:rsidR="00CC1393" w:rsidRPr="704FEB21">
        <w:rPr>
          <w:sz w:val="22"/>
          <w:szCs w:val="22"/>
          <w:lang w:val="en-US"/>
        </w:rPr>
        <w:t>is</w:t>
      </w:r>
      <w:r w:rsidR="00B10934" w:rsidRPr="704FEB21">
        <w:rPr>
          <w:sz w:val="22"/>
          <w:szCs w:val="22"/>
          <w:lang w:val="en-US"/>
        </w:rPr>
        <w:t xml:space="preserve"> not the restora</w:t>
      </w:r>
      <w:r w:rsidR="00CC1393" w:rsidRPr="704FEB21">
        <w:rPr>
          <w:sz w:val="22"/>
          <w:szCs w:val="22"/>
          <w:lang w:val="en-US"/>
        </w:rPr>
        <w:t>tion</w:t>
      </w:r>
      <w:r w:rsidR="00B10934" w:rsidRPr="704FEB21">
        <w:rPr>
          <w:sz w:val="22"/>
          <w:szCs w:val="22"/>
          <w:lang w:val="en-US"/>
        </w:rPr>
        <w:t xml:space="preserve"> of native forest</w:t>
      </w:r>
      <w:r w:rsidR="00CC1393" w:rsidRPr="704FEB21">
        <w:rPr>
          <w:sz w:val="22"/>
          <w:szCs w:val="22"/>
          <w:lang w:val="en-US"/>
        </w:rPr>
        <w:t>, but the creation of alternative</w:t>
      </w:r>
      <w:r w:rsidR="005708D7" w:rsidRPr="704FEB21">
        <w:rPr>
          <w:sz w:val="22"/>
          <w:szCs w:val="22"/>
          <w:lang w:val="en-US"/>
        </w:rPr>
        <w:t xml:space="preserve"> carbon-negative and nature-friendly incomes</w:t>
      </w:r>
      <w:r w:rsidR="00082B14" w:rsidRPr="704FEB21">
        <w:rPr>
          <w:sz w:val="22"/>
          <w:szCs w:val="22"/>
          <w:lang w:val="en-US"/>
        </w:rPr>
        <w:t xml:space="preserve"> based on sustainable use of natural resources, that in turn lowers </w:t>
      </w:r>
      <w:r w:rsidR="00B10F51" w:rsidRPr="704FEB21">
        <w:rPr>
          <w:sz w:val="22"/>
          <w:szCs w:val="22"/>
          <w:lang w:val="en-US"/>
        </w:rPr>
        <w:t xml:space="preserve">resource </w:t>
      </w:r>
      <w:r w:rsidR="00082B14" w:rsidRPr="704FEB21">
        <w:rPr>
          <w:sz w:val="22"/>
          <w:szCs w:val="22"/>
          <w:lang w:val="en-US"/>
        </w:rPr>
        <w:t>pressure</w:t>
      </w:r>
      <w:r w:rsidR="00B10F51" w:rsidRPr="704FEB21">
        <w:rPr>
          <w:sz w:val="22"/>
          <w:szCs w:val="22"/>
          <w:lang w:val="en-US"/>
        </w:rPr>
        <w:t>s</w:t>
      </w:r>
      <w:r w:rsidR="00082B14" w:rsidRPr="704FEB21">
        <w:rPr>
          <w:sz w:val="22"/>
          <w:szCs w:val="22"/>
          <w:lang w:val="en-US"/>
        </w:rPr>
        <w:t xml:space="preserve"> on </w:t>
      </w:r>
      <w:r w:rsidR="00B06AC7" w:rsidRPr="704FEB21">
        <w:rPr>
          <w:sz w:val="22"/>
          <w:szCs w:val="22"/>
          <w:lang w:val="en-US"/>
        </w:rPr>
        <w:t>any</w:t>
      </w:r>
      <w:r w:rsidR="00082B14" w:rsidRPr="704FEB21">
        <w:rPr>
          <w:sz w:val="22"/>
          <w:szCs w:val="22"/>
          <w:lang w:val="en-US"/>
        </w:rPr>
        <w:t xml:space="preserve"> surviving natural forest</w:t>
      </w:r>
      <w:r w:rsidR="00CC1393" w:rsidRPr="704FEB21">
        <w:rPr>
          <w:sz w:val="22"/>
          <w:szCs w:val="22"/>
          <w:lang w:val="en-US"/>
        </w:rPr>
        <w:t>.</w:t>
      </w:r>
      <w:r w:rsidR="00B10934" w:rsidRPr="704FEB21">
        <w:rPr>
          <w:sz w:val="22"/>
          <w:szCs w:val="22"/>
          <w:lang w:val="en-US"/>
        </w:rPr>
        <w:t xml:space="preserve"> </w:t>
      </w:r>
      <w:r w:rsidR="00EB13C1" w:rsidRPr="704FEB21">
        <w:rPr>
          <w:sz w:val="22"/>
          <w:szCs w:val="22"/>
          <w:lang w:val="en-US"/>
        </w:rPr>
        <w:t>There are</w:t>
      </w:r>
      <w:r w:rsidR="000F5F51" w:rsidRPr="704FEB21">
        <w:rPr>
          <w:sz w:val="22"/>
          <w:szCs w:val="22"/>
          <w:lang w:val="en-US"/>
        </w:rPr>
        <w:t xml:space="preserve"> assumption</w:t>
      </w:r>
      <w:r w:rsidR="00EB13C1" w:rsidRPr="704FEB21">
        <w:rPr>
          <w:sz w:val="22"/>
          <w:szCs w:val="22"/>
          <w:lang w:val="en-US"/>
        </w:rPr>
        <w:t>s</w:t>
      </w:r>
      <w:r w:rsidR="000F5F51" w:rsidRPr="704FEB21">
        <w:rPr>
          <w:sz w:val="22"/>
          <w:szCs w:val="22"/>
          <w:lang w:val="en-US"/>
        </w:rPr>
        <w:t xml:space="preserve"> that a) deforestation and forest degradation prevented by the project is not </w:t>
      </w:r>
      <w:r w:rsidR="0030782E" w:rsidRPr="704FEB21">
        <w:rPr>
          <w:sz w:val="22"/>
          <w:szCs w:val="22"/>
          <w:lang w:val="en-US"/>
        </w:rPr>
        <w:t>genera</w:t>
      </w:r>
      <w:r w:rsidR="000F5F51" w:rsidRPr="704FEB21">
        <w:rPr>
          <w:sz w:val="22"/>
          <w:szCs w:val="22"/>
          <w:lang w:val="en-US"/>
        </w:rPr>
        <w:t>lly displaced into nearby areas; and b) LDN-funded projects successfully prevent deforestation through SLM.</w:t>
      </w:r>
      <w:r w:rsidR="00BC5C95">
        <w:rPr>
          <w:sz w:val="22"/>
          <w:szCs w:val="22"/>
          <w:lang w:val="en-US"/>
        </w:rPr>
        <w:t xml:space="preserve"> It is recommended that these assumptions are further tested in 2024-25.</w:t>
      </w:r>
    </w:p>
    <w:p w14:paraId="34ED26F3" w14:textId="4F680DE5" w:rsidR="006D31E7" w:rsidRDefault="000F5F51" w:rsidP="006D31E7">
      <w:pPr>
        <w:pStyle w:val="ListParagraph"/>
        <w:numPr>
          <w:ilvl w:val="1"/>
          <w:numId w:val="2"/>
        </w:numPr>
        <w:rPr>
          <w:sz w:val="22"/>
          <w:szCs w:val="22"/>
          <w:lang w:val="en-US"/>
        </w:rPr>
      </w:pPr>
      <w:r w:rsidRPr="79CD95D4">
        <w:rPr>
          <w:sz w:val="22"/>
          <w:szCs w:val="22"/>
          <w:lang w:val="en-US"/>
        </w:rPr>
        <w:lastRenderedPageBreak/>
        <w:t xml:space="preserve">The area of reforestation across all projects </w:t>
      </w:r>
      <w:r w:rsidR="3A2A083B" w:rsidRPr="79CD95D4">
        <w:rPr>
          <w:sz w:val="22"/>
          <w:szCs w:val="22"/>
          <w:lang w:val="en-US"/>
        </w:rPr>
        <w:t>in</w:t>
      </w:r>
      <w:r w:rsidRPr="79CD95D4">
        <w:rPr>
          <w:sz w:val="22"/>
          <w:szCs w:val="22"/>
          <w:lang w:val="en-US"/>
        </w:rPr>
        <w:t xml:space="preserve"> 202</w:t>
      </w:r>
      <w:r w:rsidR="4958DF00" w:rsidRPr="79CD95D4">
        <w:rPr>
          <w:sz w:val="22"/>
          <w:szCs w:val="22"/>
          <w:lang w:val="en-US"/>
        </w:rPr>
        <w:t>3</w:t>
      </w:r>
      <w:r w:rsidRPr="79CD95D4">
        <w:rPr>
          <w:sz w:val="22"/>
          <w:szCs w:val="22"/>
          <w:lang w:val="en-US"/>
        </w:rPr>
        <w:t xml:space="preserve"> was </w:t>
      </w:r>
      <w:r w:rsidR="73C08346" w:rsidRPr="79CD95D4">
        <w:rPr>
          <w:sz w:val="22"/>
          <w:szCs w:val="22"/>
          <w:lang w:val="en-US"/>
        </w:rPr>
        <w:t>65</w:t>
      </w:r>
      <w:r w:rsidR="6B78447C" w:rsidRPr="79CD95D4">
        <w:rPr>
          <w:sz w:val="22"/>
          <w:szCs w:val="22"/>
          <w:lang w:val="en-US"/>
        </w:rPr>
        <w:t>,</w:t>
      </w:r>
      <w:r w:rsidR="3C1ED190" w:rsidRPr="79CD95D4">
        <w:rPr>
          <w:sz w:val="22"/>
          <w:szCs w:val="22"/>
          <w:lang w:val="en-US"/>
        </w:rPr>
        <w:t>792</w:t>
      </w:r>
      <w:r w:rsidR="3D49F0F4" w:rsidRPr="79CD95D4">
        <w:rPr>
          <w:sz w:val="22"/>
          <w:szCs w:val="22"/>
          <w:lang w:val="en-US"/>
        </w:rPr>
        <w:t xml:space="preserve"> </w:t>
      </w:r>
      <w:r w:rsidRPr="79CD95D4">
        <w:rPr>
          <w:sz w:val="22"/>
          <w:szCs w:val="22"/>
          <w:lang w:val="en-US"/>
        </w:rPr>
        <w:t>ha</w:t>
      </w:r>
      <w:r w:rsidR="40FE7F14" w:rsidRPr="79CD95D4">
        <w:rPr>
          <w:sz w:val="22"/>
          <w:szCs w:val="22"/>
          <w:lang w:val="en-US"/>
        </w:rPr>
        <w:t>, an</w:t>
      </w:r>
      <w:r w:rsidR="341A5B5C" w:rsidRPr="79CD95D4">
        <w:rPr>
          <w:sz w:val="22"/>
          <w:szCs w:val="22"/>
          <w:lang w:val="en-US"/>
        </w:rPr>
        <w:t xml:space="preserve"> </w:t>
      </w:r>
      <w:r w:rsidRPr="79CD95D4">
        <w:rPr>
          <w:sz w:val="22"/>
          <w:szCs w:val="22"/>
          <w:lang w:val="en-US"/>
        </w:rPr>
        <w:t xml:space="preserve">increase of </w:t>
      </w:r>
      <w:r w:rsidR="46B5E3C6" w:rsidRPr="79CD95D4">
        <w:rPr>
          <w:sz w:val="22"/>
          <w:szCs w:val="22"/>
          <w:lang w:val="en-US"/>
        </w:rPr>
        <w:t>1</w:t>
      </w:r>
      <w:r w:rsidR="1A56BC45" w:rsidRPr="79CD95D4">
        <w:rPr>
          <w:sz w:val="22"/>
          <w:szCs w:val="22"/>
          <w:lang w:val="en-US"/>
        </w:rPr>
        <w:t>8,706</w:t>
      </w:r>
      <w:r w:rsidR="46B5E3C6" w:rsidRPr="79CD95D4">
        <w:rPr>
          <w:sz w:val="22"/>
          <w:szCs w:val="22"/>
          <w:lang w:val="en-US"/>
        </w:rPr>
        <w:t xml:space="preserve"> ha </w:t>
      </w:r>
      <w:r w:rsidR="40FE7F14" w:rsidRPr="79CD95D4">
        <w:rPr>
          <w:sz w:val="22"/>
          <w:szCs w:val="22"/>
          <w:lang w:val="en-US"/>
        </w:rPr>
        <w:t xml:space="preserve">which </w:t>
      </w:r>
      <w:r w:rsidR="341A5B5C" w:rsidRPr="79CD95D4">
        <w:rPr>
          <w:sz w:val="22"/>
          <w:szCs w:val="22"/>
          <w:lang w:val="en-US"/>
        </w:rPr>
        <w:t>represents a s</w:t>
      </w:r>
      <w:r w:rsidR="3E750DEB" w:rsidRPr="79CD95D4">
        <w:rPr>
          <w:sz w:val="22"/>
          <w:szCs w:val="22"/>
          <w:lang w:val="en-US"/>
        </w:rPr>
        <w:t>ignificant increase</w:t>
      </w:r>
      <w:r w:rsidR="341A5B5C" w:rsidRPr="79CD95D4">
        <w:rPr>
          <w:sz w:val="22"/>
          <w:szCs w:val="22"/>
          <w:lang w:val="en-US"/>
        </w:rPr>
        <w:t xml:space="preserve"> </w:t>
      </w:r>
      <w:r w:rsidR="46B5E3C6" w:rsidRPr="79CD95D4">
        <w:rPr>
          <w:sz w:val="22"/>
          <w:szCs w:val="22"/>
          <w:lang w:val="en-US"/>
        </w:rPr>
        <w:t>compared to</w:t>
      </w:r>
      <w:r w:rsidR="3889595F" w:rsidRPr="79CD95D4">
        <w:rPr>
          <w:sz w:val="22"/>
          <w:szCs w:val="22"/>
          <w:lang w:val="en-US"/>
        </w:rPr>
        <w:t xml:space="preserve"> expansion of </w:t>
      </w:r>
      <w:r w:rsidRPr="79CD95D4">
        <w:rPr>
          <w:sz w:val="22"/>
          <w:szCs w:val="22"/>
          <w:lang w:val="en-US"/>
        </w:rPr>
        <w:t>1</w:t>
      </w:r>
      <w:r w:rsidR="202AFF3F" w:rsidRPr="79CD95D4">
        <w:rPr>
          <w:sz w:val="22"/>
          <w:szCs w:val="22"/>
          <w:lang w:val="en-US"/>
        </w:rPr>
        <w:t>,577</w:t>
      </w:r>
      <w:r w:rsidR="3889595F" w:rsidRPr="79CD95D4">
        <w:rPr>
          <w:sz w:val="22"/>
          <w:szCs w:val="22"/>
          <w:lang w:val="en-US"/>
        </w:rPr>
        <w:t xml:space="preserve"> </w:t>
      </w:r>
      <w:r w:rsidRPr="79CD95D4">
        <w:rPr>
          <w:sz w:val="22"/>
          <w:szCs w:val="22"/>
          <w:lang w:val="en-US"/>
        </w:rPr>
        <w:t xml:space="preserve">ha in </w:t>
      </w:r>
      <w:r w:rsidR="3889595F" w:rsidRPr="79CD95D4">
        <w:rPr>
          <w:sz w:val="22"/>
          <w:szCs w:val="22"/>
          <w:lang w:val="en-US"/>
        </w:rPr>
        <w:t>202</w:t>
      </w:r>
      <w:r w:rsidR="35876F35" w:rsidRPr="79CD95D4">
        <w:rPr>
          <w:sz w:val="22"/>
          <w:szCs w:val="22"/>
          <w:lang w:val="en-US"/>
        </w:rPr>
        <w:t>2</w:t>
      </w:r>
      <w:r w:rsidRPr="79CD95D4">
        <w:rPr>
          <w:sz w:val="22"/>
          <w:szCs w:val="22"/>
          <w:lang w:val="en-US"/>
        </w:rPr>
        <w:t xml:space="preserve">. </w:t>
      </w:r>
      <w:r w:rsidR="61AB3AFC" w:rsidRPr="79CD95D4">
        <w:rPr>
          <w:sz w:val="22"/>
          <w:szCs w:val="22"/>
          <w:lang w:val="en-US"/>
        </w:rPr>
        <w:t xml:space="preserve">The milestone </w:t>
      </w:r>
      <w:r w:rsidR="638F6212" w:rsidRPr="79CD95D4">
        <w:rPr>
          <w:sz w:val="22"/>
          <w:szCs w:val="22"/>
          <w:lang w:val="en-US"/>
        </w:rPr>
        <w:t>wa</w:t>
      </w:r>
      <w:r w:rsidR="61AB3AFC" w:rsidRPr="79CD95D4">
        <w:rPr>
          <w:sz w:val="22"/>
          <w:szCs w:val="22"/>
          <w:lang w:val="en-US"/>
        </w:rPr>
        <w:t xml:space="preserve">s missed by over </w:t>
      </w:r>
      <w:r w:rsidR="3F0E1E72" w:rsidRPr="79CD95D4">
        <w:rPr>
          <w:sz w:val="22"/>
          <w:szCs w:val="22"/>
          <w:lang w:val="en-US"/>
        </w:rPr>
        <w:t>9,000</w:t>
      </w:r>
      <w:r w:rsidR="61AB3AFC" w:rsidRPr="79CD95D4">
        <w:rPr>
          <w:sz w:val="22"/>
          <w:szCs w:val="22"/>
          <w:lang w:val="en-US"/>
        </w:rPr>
        <w:t xml:space="preserve"> ha</w:t>
      </w:r>
      <w:r w:rsidR="44694DBB" w:rsidRPr="79CD95D4">
        <w:rPr>
          <w:sz w:val="22"/>
          <w:szCs w:val="22"/>
          <w:lang w:val="en-US"/>
        </w:rPr>
        <w:t xml:space="preserve">, but as </w:t>
      </w:r>
      <w:r w:rsidR="39439807" w:rsidRPr="79CD95D4">
        <w:rPr>
          <w:sz w:val="22"/>
          <w:szCs w:val="22"/>
          <w:lang w:val="en-US"/>
        </w:rPr>
        <w:t xml:space="preserve">milestones were set on a linear basis </w:t>
      </w:r>
      <w:r w:rsidR="52ACBBD3" w:rsidRPr="79CD95D4">
        <w:rPr>
          <w:sz w:val="22"/>
          <w:szCs w:val="22"/>
          <w:lang w:val="en-US"/>
        </w:rPr>
        <w:t xml:space="preserve">up to </w:t>
      </w:r>
      <w:r w:rsidR="795993DC" w:rsidRPr="79CD95D4">
        <w:rPr>
          <w:sz w:val="22"/>
          <w:szCs w:val="22"/>
          <w:lang w:val="en-US"/>
        </w:rPr>
        <w:t xml:space="preserve">an end target in </w:t>
      </w:r>
      <w:r w:rsidR="52ACBBD3" w:rsidRPr="79CD95D4">
        <w:rPr>
          <w:sz w:val="22"/>
          <w:szCs w:val="22"/>
          <w:lang w:val="en-US"/>
        </w:rPr>
        <w:t>2030</w:t>
      </w:r>
      <w:r w:rsidR="5FC73317" w:rsidRPr="79CD95D4">
        <w:rPr>
          <w:sz w:val="22"/>
          <w:szCs w:val="22"/>
          <w:lang w:val="en-US"/>
        </w:rPr>
        <w:t xml:space="preserve">, </w:t>
      </w:r>
      <w:r w:rsidR="52ACBBD3" w:rsidRPr="79CD95D4">
        <w:rPr>
          <w:sz w:val="22"/>
          <w:szCs w:val="22"/>
          <w:lang w:val="en-US"/>
        </w:rPr>
        <w:t xml:space="preserve">it is to be expected that </w:t>
      </w:r>
      <w:r w:rsidR="795993DC" w:rsidRPr="79CD95D4">
        <w:rPr>
          <w:sz w:val="22"/>
          <w:szCs w:val="22"/>
          <w:lang w:val="en-US"/>
        </w:rPr>
        <w:t>progress in the real world will vary year to year</w:t>
      </w:r>
      <w:r w:rsidR="22B0FDF9" w:rsidRPr="79CD95D4">
        <w:rPr>
          <w:sz w:val="22"/>
          <w:szCs w:val="22"/>
          <w:lang w:val="en-US"/>
        </w:rPr>
        <w:t xml:space="preserve"> and be slower </w:t>
      </w:r>
      <w:r w:rsidR="02B3EBC4" w:rsidRPr="79CD95D4">
        <w:rPr>
          <w:sz w:val="22"/>
          <w:szCs w:val="22"/>
          <w:lang w:val="en-US"/>
        </w:rPr>
        <w:t>in the project development phase</w:t>
      </w:r>
      <w:r w:rsidR="4C6777F5" w:rsidRPr="79CD95D4">
        <w:rPr>
          <w:sz w:val="22"/>
          <w:szCs w:val="22"/>
          <w:lang w:val="en-US"/>
        </w:rPr>
        <w:t>.</w:t>
      </w:r>
      <w:r w:rsidR="3DE6608A" w:rsidRPr="79CD95D4">
        <w:rPr>
          <w:sz w:val="22"/>
          <w:szCs w:val="22"/>
          <w:lang w:val="en-US"/>
        </w:rPr>
        <w:t xml:space="preserve"> The significant increase in reforestation also indicates strong progress following the limited progression in 2022.</w:t>
      </w:r>
    </w:p>
    <w:p w14:paraId="5AF59F1E" w14:textId="6EAED276" w:rsidR="000F5F51" w:rsidRDefault="003F0D3A" w:rsidP="25B70DF2">
      <w:pPr>
        <w:pStyle w:val="ListParagraph"/>
        <w:numPr>
          <w:ilvl w:val="1"/>
          <w:numId w:val="2"/>
        </w:numPr>
        <w:rPr>
          <w:sz w:val="22"/>
          <w:szCs w:val="22"/>
          <w:lang w:val="en-US"/>
        </w:rPr>
      </w:pPr>
      <w:proofErr w:type="gramStart"/>
      <w:r w:rsidRPr="1A04022F">
        <w:rPr>
          <w:sz w:val="22"/>
          <w:szCs w:val="22"/>
          <w:lang w:val="en-US"/>
        </w:rPr>
        <w:t>A number of</w:t>
      </w:r>
      <w:proofErr w:type="gramEnd"/>
      <w:r w:rsidRPr="1A04022F">
        <w:rPr>
          <w:sz w:val="22"/>
          <w:szCs w:val="22"/>
          <w:lang w:val="en-US"/>
        </w:rPr>
        <w:t xml:space="preserve"> factors </w:t>
      </w:r>
      <w:r w:rsidR="56B628DD" w:rsidRPr="1A04022F">
        <w:rPr>
          <w:sz w:val="22"/>
          <w:szCs w:val="22"/>
          <w:lang w:val="en-US"/>
        </w:rPr>
        <w:t xml:space="preserve">have </w:t>
      </w:r>
      <w:r w:rsidRPr="1A04022F">
        <w:rPr>
          <w:sz w:val="22"/>
          <w:szCs w:val="22"/>
          <w:lang w:val="en-US"/>
        </w:rPr>
        <w:t>affect</w:t>
      </w:r>
      <w:r w:rsidR="63169DA3" w:rsidRPr="1A04022F">
        <w:rPr>
          <w:sz w:val="22"/>
          <w:szCs w:val="22"/>
          <w:lang w:val="en-US"/>
        </w:rPr>
        <w:t>ed</w:t>
      </w:r>
      <w:r w:rsidRPr="1A04022F">
        <w:rPr>
          <w:sz w:val="22"/>
          <w:szCs w:val="22"/>
          <w:lang w:val="en-US"/>
        </w:rPr>
        <w:t xml:space="preserve"> reforestation rates,</w:t>
      </w:r>
      <w:r w:rsidR="003936A0">
        <w:rPr>
          <w:sz w:val="22"/>
          <w:szCs w:val="22"/>
          <w:lang w:val="en-US"/>
        </w:rPr>
        <w:t xml:space="preserve"> including </w:t>
      </w:r>
      <w:r w:rsidR="00DB1561" w:rsidRPr="1A04022F">
        <w:rPr>
          <w:sz w:val="22"/>
          <w:szCs w:val="22"/>
          <w:lang w:val="en-US"/>
        </w:rPr>
        <w:t xml:space="preserve">the rate of development and expansion of projects, </w:t>
      </w:r>
      <w:r w:rsidR="00CE659B" w:rsidRPr="1A04022F">
        <w:rPr>
          <w:sz w:val="22"/>
          <w:szCs w:val="22"/>
          <w:lang w:val="en-US"/>
        </w:rPr>
        <w:t xml:space="preserve">the </w:t>
      </w:r>
      <w:r w:rsidR="3E2C5811" w:rsidRPr="1A04022F">
        <w:rPr>
          <w:sz w:val="22"/>
          <w:szCs w:val="22"/>
          <w:lang w:val="en-US"/>
        </w:rPr>
        <w:t xml:space="preserve">time taken for </w:t>
      </w:r>
      <w:r w:rsidR="00CE659B" w:rsidRPr="1A04022F">
        <w:rPr>
          <w:sz w:val="22"/>
          <w:szCs w:val="22"/>
          <w:lang w:val="en-US"/>
        </w:rPr>
        <w:t xml:space="preserve">all projects </w:t>
      </w:r>
      <w:r w:rsidR="7548F326" w:rsidRPr="1A04022F">
        <w:rPr>
          <w:sz w:val="22"/>
          <w:szCs w:val="22"/>
          <w:lang w:val="en-US"/>
        </w:rPr>
        <w:t>to be</w:t>
      </w:r>
      <w:r w:rsidR="00CE659B" w:rsidRPr="1A04022F">
        <w:rPr>
          <w:sz w:val="22"/>
          <w:szCs w:val="22"/>
          <w:lang w:val="en-US"/>
        </w:rPr>
        <w:t xml:space="preserve"> selected or disbursed, </w:t>
      </w:r>
      <w:r w:rsidR="00753916" w:rsidRPr="1A04022F">
        <w:rPr>
          <w:sz w:val="22"/>
          <w:szCs w:val="22"/>
          <w:lang w:val="en-US"/>
        </w:rPr>
        <w:t>and</w:t>
      </w:r>
      <w:r w:rsidR="00DB1561" w:rsidRPr="1A04022F">
        <w:rPr>
          <w:sz w:val="22"/>
          <w:szCs w:val="22"/>
          <w:lang w:val="en-US"/>
        </w:rPr>
        <w:t xml:space="preserve"> </w:t>
      </w:r>
      <w:r w:rsidR="008416B9" w:rsidRPr="1A04022F">
        <w:rPr>
          <w:sz w:val="22"/>
          <w:szCs w:val="22"/>
          <w:lang w:val="en-US"/>
        </w:rPr>
        <w:t>also</w:t>
      </w:r>
      <w:r w:rsidRPr="1A04022F">
        <w:rPr>
          <w:sz w:val="22"/>
          <w:szCs w:val="22"/>
          <w:lang w:val="en-US"/>
        </w:rPr>
        <w:t xml:space="preserve"> the type of </w:t>
      </w:r>
      <w:r w:rsidR="00F43A19" w:rsidRPr="1A04022F">
        <w:rPr>
          <w:sz w:val="22"/>
          <w:szCs w:val="22"/>
          <w:lang w:val="en-US"/>
        </w:rPr>
        <w:t>projects entering the portfoli</w:t>
      </w:r>
      <w:r w:rsidR="00DB1561" w:rsidRPr="1A04022F">
        <w:rPr>
          <w:sz w:val="22"/>
          <w:szCs w:val="22"/>
          <w:lang w:val="en-US"/>
        </w:rPr>
        <w:t>o</w:t>
      </w:r>
      <w:r w:rsidR="3205D623" w:rsidRPr="1A04022F">
        <w:rPr>
          <w:sz w:val="22"/>
          <w:szCs w:val="22"/>
          <w:lang w:val="en-US"/>
        </w:rPr>
        <w:t xml:space="preserve">. </w:t>
      </w:r>
      <w:r w:rsidR="004D04D0" w:rsidRPr="1A04022F">
        <w:rPr>
          <w:sz w:val="22"/>
          <w:szCs w:val="22"/>
          <w:lang w:val="en-US"/>
        </w:rPr>
        <w:t>W</w:t>
      </w:r>
      <w:r w:rsidR="002460C9" w:rsidRPr="1A04022F">
        <w:rPr>
          <w:sz w:val="22"/>
          <w:szCs w:val="22"/>
          <w:lang w:val="en-US"/>
        </w:rPr>
        <w:t xml:space="preserve">hile reforestation </w:t>
      </w:r>
      <w:r w:rsidR="004D04D0" w:rsidRPr="1A04022F">
        <w:rPr>
          <w:sz w:val="22"/>
          <w:szCs w:val="22"/>
          <w:lang w:val="en-US"/>
        </w:rPr>
        <w:t xml:space="preserve">is </w:t>
      </w:r>
      <w:r w:rsidR="002460C9" w:rsidRPr="1A04022F">
        <w:rPr>
          <w:sz w:val="22"/>
          <w:szCs w:val="22"/>
          <w:lang w:val="en-US"/>
        </w:rPr>
        <w:t xml:space="preserve">lower than expected, </w:t>
      </w:r>
      <w:r w:rsidR="12CE3BBA" w:rsidRPr="1A04022F">
        <w:rPr>
          <w:sz w:val="22"/>
          <w:szCs w:val="22"/>
          <w:lang w:val="en-US"/>
        </w:rPr>
        <w:t>good progress in 2023 brings confidence that the indicators will be met.</w:t>
      </w:r>
    </w:p>
    <w:p w14:paraId="4E607895" w14:textId="1246CA62" w:rsidR="00A42A2C" w:rsidRPr="00AD3E2A" w:rsidRDefault="00517475" w:rsidP="009854A1">
      <w:pPr>
        <w:pStyle w:val="ListParagraph"/>
        <w:numPr>
          <w:ilvl w:val="0"/>
          <w:numId w:val="2"/>
        </w:numPr>
        <w:rPr>
          <w:sz w:val="22"/>
          <w:szCs w:val="22"/>
          <w:lang w:val="en-US"/>
        </w:rPr>
      </w:pPr>
      <w:r>
        <w:rPr>
          <w:b/>
          <w:bCs/>
          <w:sz w:val="22"/>
          <w:szCs w:val="22"/>
          <w:lang w:val="en-US"/>
        </w:rPr>
        <w:t xml:space="preserve">Outcome </w:t>
      </w:r>
      <w:r w:rsidR="00A42A2C" w:rsidRPr="003936A0">
        <w:rPr>
          <w:b/>
          <w:bCs/>
          <w:sz w:val="22"/>
          <w:szCs w:val="22"/>
          <w:lang w:val="en-US"/>
        </w:rPr>
        <w:t>Indicator 2</w:t>
      </w:r>
      <w:r w:rsidR="003936A0">
        <w:rPr>
          <w:b/>
          <w:bCs/>
          <w:sz w:val="22"/>
          <w:szCs w:val="22"/>
          <w:lang w:val="en-US"/>
        </w:rPr>
        <w:t xml:space="preserve">: </w:t>
      </w:r>
      <w:r w:rsidR="003936A0">
        <w:rPr>
          <w:sz w:val="22"/>
          <w:szCs w:val="22"/>
          <w:lang w:val="en-US"/>
        </w:rPr>
        <w:t>this</w:t>
      </w:r>
      <w:r w:rsidR="00A42A2C" w:rsidRPr="53345B9B">
        <w:rPr>
          <w:sz w:val="22"/>
          <w:szCs w:val="22"/>
          <w:lang w:val="en-US"/>
        </w:rPr>
        <w:t xml:space="preserve"> was </w:t>
      </w:r>
      <w:r w:rsidR="1AFF0EC2" w:rsidRPr="53345B9B">
        <w:rPr>
          <w:sz w:val="22"/>
          <w:szCs w:val="22"/>
          <w:lang w:val="en-US"/>
        </w:rPr>
        <w:t xml:space="preserve">amended in 2022’s Annual Review to account for an expected curved line with slow initial increases while the Fund’s portfolio is built, and more acceleration towards the 25m </w:t>
      </w:r>
      <w:proofErr w:type="spellStart"/>
      <w:r w:rsidR="1AFF0EC2" w:rsidRPr="53345B9B">
        <w:rPr>
          <w:sz w:val="22"/>
          <w:szCs w:val="22"/>
          <w:lang w:val="en-US"/>
        </w:rPr>
        <w:t>tonne</w:t>
      </w:r>
      <w:proofErr w:type="spellEnd"/>
      <w:r w:rsidR="1AFF0EC2" w:rsidRPr="53345B9B">
        <w:rPr>
          <w:sz w:val="22"/>
          <w:szCs w:val="22"/>
          <w:lang w:val="en-US"/>
        </w:rPr>
        <w:t xml:space="preserve"> </w:t>
      </w:r>
      <w:r w:rsidR="13DF6009" w:rsidRPr="53345B9B">
        <w:rPr>
          <w:sz w:val="22"/>
          <w:szCs w:val="22"/>
          <w:lang w:val="en-US"/>
        </w:rPr>
        <w:t xml:space="preserve">overall target later in the Fund’s lifetime as projects reach maturity. </w:t>
      </w:r>
      <w:r w:rsidR="41D70BFF" w:rsidRPr="53345B9B">
        <w:rPr>
          <w:sz w:val="22"/>
          <w:szCs w:val="22"/>
          <w:lang w:val="en-US"/>
        </w:rPr>
        <w:t xml:space="preserve">Indicator 2 was behind the revised milestone by over 300,000 </w:t>
      </w:r>
      <w:proofErr w:type="spellStart"/>
      <w:r w:rsidR="41D70BFF" w:rsidRPr="53345B9B">
        <w:rPr>
          <w:sz w:val="22"/>
          <w:szCs w:val="22"/>
          <w:lang w:val="en-US"/>
        </w:rPr>
        <w:t>tonnes</w:t>
      </w:r>
      <w:proofErr w:type="spellEnd"/>
      <w:r w:rsidR="41D70BFF" w:rsidRPr="53345B9B">
        <w:rPr>
          <w:sz w:val="22"/>
          <w:szCs w:val="22"/>
          <w:lang w:val="en-US"/>
        </w:rPr>
        <w:t xml:space="preserve"> of CO2 emissions </w:t>
      </w:r>
      <w:proofErr w:type="gramStart"/>
      <w:r w:rsidR="41D70BFF" w:rsidRPr="53345B9B">
        <w:rPr>
          <w:sz w:val="22"/>
          <w:szCs w:val="22"/>
          <w:lang w:val="en-US"/>
        </w:rPr>
        <w:t>avoided, but</w:t>
      </w:r>
      <w:proofErr w:type="gramEnd"/>
      <w:r w:rsidR="41D70BFF" w:rsidRPr="53345B9B">
        <w:rPr>
          <w:sz w:val="22"/>
          <w:szCs w:val="22"/>
          <w:lang w:val="en-US"/>
        </w:rPr>
        <w:t xml:space="preserve"> is expected to fall in line with milestones as the Fund progresses. It has been agreed </w:t>
      </w:r>
      <w:r w:rsidR="02AF3C5B" w:rsidRPr="53345B9B">
        <w:rPr>
          <w:sz w:val="22"/>
          <w:szCs w:val="22"/>
          <w:lang w:val="en-US"/>
        </w:rPr>
        <w:t>that no milestone alteration is required here.</w:t>
      </w:r>
    </w:p>
    <w:p w14:paraId="1BE622B5" w14:textId="3FC1CDD3" w:rsidR="000F5F51" w:rsidRPr="00AD3E2A" w:rsidRDefault="00517475" w:rsidP="009854A1">
      <w:pPr>
        <w:pStyle w:val="ListParagraph"/>
        <w:numPr>
          <w:ilvl w:val="0"/>
          <w:numId w:val="2"/>
        </w:numPr>
        <w:rPr>
          <w:sz w:val="22"/>
          <w:szCs w:val="22"/>
          <w:lang w:val="en-US"/>
        </w:rPr>
      </w:pPr>
      <w:r>
        <w:rPr>
          <w:b/>
          <w:bCs/>
          <w:sz w:val="22"/>
          <w:szCs w:val="22"/>
          <w:lang w:val="en-US"/>
        </w:rPr>
        <w:t xml:space="preserve">Outcome </w:t>
      </w:r>
      <w:r w:rsidR="003936A0">
        <w:rPr>
          <w:b/>
          <w:bCs/>
          <w:sz w:val="22"/>
          <w:szCs w:val="22"/>
          <w:lang w:val="en-US"/>
        </w:rPr>
        <w:t xml:space="preserve">Indicator 3 and 4: </w:t>
      </w:r>
      <w:r w:rsidR="000F5F51" w:rsidRPr="00AD3E2A">
        <w:rPr>
          <w:sz w:val="22"/>
          <w:szCs w:val="22"/>
          <w:lang w:val="en-US"/>
        </w:rPr>
        <w:t xml:space="preserve">The </w:t>
      </w:r>
      <w:proofErr w:type="spellStart"/>
      <w:r w:rsidR="000F5F51" w:rsidRPr="00AD3E2A">
        <w:rPr>
          <w:sz w:val="22"/>
          <w:szCs w:val="22"/>
          <w:lang w:val="en-US"/>
        </w:rPr>
        <w:t>mobilisation</w:t>
      </w:r>
      <w:proofErr w:type="spellEnd"/>
      <w:r w:rsidR="000F5F51" w:rsidRPr="00AD3E2A">
        <w:rPr>
          <w:sz w:val="22"/>
          <w:szCs w:val="22"/>
          <w:lang w:val="en-US"/>
        </w:rPr>
        <w:t xml:space="preserve"> of both public and private investors was made possible by the creation of a blended finance structure that aggregates commitments from Junior LPs and Senior LPs. The final size of the fund </w:t>
      </w:r>
      <w:r w:rsidR="0030782E">
        <w:rPr>
          <w:sz w:val="22"/>
          <w:szCs w:val="22"/>
          <w:lang w:val="en-US"/>
        </w:rPr>
        <w:t>since it closed in March 2021 is</w:t>
      </w:r>
      <w:r w:rsidR="000F5F51" w:rsidRPr="00AD3E2A">
        <w:rPr>
          <w:sz w:val="22"/>
          <w:szCs w:val="22"/>
          <w:lang w:val="en-US"/>
        </w:rPr>
        <w:t xml:space="preserve"> $208.4M, split between $43.6M in commitments from Junior LPs (21%) and $164.8M in commitments from Senior LPs (79%).</w:t>
      </w:r>
    </w:p>
    <w:p w14:paraId="39CD4251" w14:textId="0E48F936" w:rsidR="009B23A2" w:rsidRPr="009B23A2" w:rsidRDefault="0030782E" w:rsidP="009854A1">
      <w:pPr>
        <w:pStyle w:val="ListParagraph"/>
        <w:numPr>
          <w:ilvl w:val="0"/>
          <w:numId w:val="2"/>
        </w:numPr>
        <w:rPr>
          <w:color w:val="FF0000"/>
          <w:sz w:val="22"/>
          <w:szCs w:val="22"/>
          <w:lang w:val="en-US"/>
        </w:rPr>
      </w:pPr>
      <w:r w:rsidRPr="380EC976">
        <w:rPr>
          <w:sz w:val="22"/>
          <w:szCs w:val="22"/>
          <w:lang w:val="en-US"/>
        </w:rPr>
        <w:t>While leverage of public and private finance ended when the Fund closed,</w:t>
      </w:r>
      <w:r w:rsidR="000F5F51" w:rsidRPr="380EC976">
        <w:rPr>
          <w:sz w:val="22"/>
          <w:szCs w:val="22"/>
          <w:lang w:val="en-US"/>
        </w:rPr>
        <w:t xml:space="preserve"> </w:t>
      </w:r>
      <w:r w:rsidRPr="380EC976">
        <w:rPr>
          <w:sz w:val="22"/>
          <w:szCs w:val="22"/>
          <w:lang w:val="en-US"/>
        </w:rPr>
        <w:t>c</w:t>
      </w:r>
      <w:r w:rsidR="000F5F51" w:rsidRPr="380EC976">
        <w:rPr>
          <w:sz w:val="22"/>
          <w:szCs w:val="22"/>
          <w:lang w:val="en-US"/>
        </w:rPr>
        <w:t>o-investment (</w:t>
      </w:r>
      <w:r w:rsidR="007775EB" w:rsidRPr="380EC976">
        <w:rPr>
          <w:sz w:val="22"/>
          <w:szCs w:val="22"/>
          <w:lang w:val="en-US"/>
        </w:rPr>
        <w:t>raising money for projects from</w:t>
      </w:r>
      <w:r w:rsidR="000F5F51" w:rsidRPr="380EC976">
        <w:rPr>
          <w:sz w:val="22"/>
          <w:szCs w:val="22"/>
          <w:lang w:val="en-US"/>
        </w:rPr>
        <w:t xml:space="preserve"> other funders) </w:t>
      </w:r>
      <w:r w:rsidRPr="380EC976">
        <w:rPr>
          <w:sz w:val="22"/>
          <w:szCs w:val="22"/>
          <w:lang w:val="en-US"/>
        </w:rPr>
        <w:t>continues as the Fund disburses money and approves new projects for investment. In 202</w:t>
      </w:r>
      <w:r w:rsidR="288A0FD0" w:rsidRPr="380EC976">
        <w:rPr>
          <w:sz w:val="22"/>
          <w:szCs w:val="22"/>
          <w:lang w:val="en-US"/>
        </w:rPr>
        <w:t>3</w:t>
      </w:r>
      <w:r w:rsidRPr="380EC976">
        <w:rPr>
          <w:sz w:val="22"/>
          <w:szCs w:val="22"/>
          <w:lang w:val="en-US"/>
        </w:rPr>
        <w:t xml:space="preserve"> </w:t>
      </w:r>
      <w:r w:rsidR="000F5F51" w:rsidRPr="380EC976">
        <w:rPr>
          <w:sz w:val="22"/>
          <w:szCs w:val="22"/>
          <w:lang w:val="en-US"/>
        </w:rPr>
        <w:t xml:space="preserve">an increase of </w:t>
      </w:r>
      <w:r w:rsidR="00DF128A" w:rsidRPr="380EC976">
        <w:rPr>
          <w:sz w:val="22"/>
          <w:szCs w:val="22"/>
          <w:lang w:val="en-US"/>
        </w:rPr>
        <w:t>$</w:t>
      </w:r>
      <w:r w:rsidR="5D87B2F5" w:rsidRPr="380EC976">
        <w:rPr>
          <w:sz w:val="22"/>
          <w:szCs w:val="22"/>
          <w:lang w:val="en-US"/>
        </w:rPr>
        <w:t>92</w:t>
      </w:r>
      <w:r w:rsidR="00DF128A" w:rsidRPr="380EC976">
        <w:rPr>
          <w:sz w:val="22"/>
          <w:szCs w:val="22"/>
          <w:lang w:val="en-US"/>
        </w:rPr>
        <w:t>m</w:t>
      </w:r>
      <w:r w:rsidR="000F5F51" w:rsidRPr="380EC976">
        <w:rPr>
          <w:sz w:val="22"/>
          <w:szCs w:val="22"/>
          <w:lang w:val="en-US"/>
        </w:rPr>
        <w:t xml:space="preserve"> </w:t>
      </w:r>
      <w:r w:rsidRPr="380EC976">
        <w:rPr>
          <w:sz w:val="22"/>
          <w:szCs w:val="22"/>
          <w:lang w:val="en-US"/>
        </w:rPr>
        <w:t xml:space="preserve">in co-investment </w:t>
      </w:r>
      <w:r w:rsidR="000F5F51" w:rsidRPr="380EC976">
        <w:rPr>
          <w:sz w:val="22"/>
          <w:szCs w:val="22"/>
          <w:lang w:val="en-US"/>
        </w:rPr>
        <w:t xml:space="preserve">was achieved. </w:t>
      </w:r>
      <w:r w:rsidR="292592AD" w:rsidRPr="380EC976">
        <w:rPr>
          <w:sz w:val="22"/>
          <w:szCs w:val="22"/>
          <w:lang w:val="en-US"/>
        </w:rPr>
        <w:t xml:space="preserve">As expected in the 2022 Annual Review, this has brought milestones back on target. </w:t>
      </w:r>
      <w:r w:rsidR="000F5F51" w:rsidRPr="380EC976">
        <w:rPr>
          <w:sz w:val="22"/>
          <w:szCs w:val="22"/>
          <w:lang w:val="en-US"/>
        </w:rPr>
        <w:t xml:space="preserve">Some co-investors </w:t>
      </w:r>
      <w:r w:rsidRPr="380EC976">
        <w:rPr>
          <w:sz w:val="22"/>
          <w:szCs w:val="22"/>
          <w:lang w:val="en-US"/>
        </w:rPr>
        <w:t>are</w:t>
      </w:r>
      <w:r w:rsidR="000F5F51" w:rsidRPr="380EC976">
        <w:rPr>
          <w:sz w:val="22"/>
          <w:szCs w:val="22"/>
          <w:lang w:val="en-US"/>
        </w:rPr>
        <w:t xml:space="preserve"> public development banks, but because it is return-seeking finance for private sector activities this </w:t>
      </w:r>
      <w:r w:rsidR="0079111A" w:rsidRPr="380EC976">
        <w:rPr>
          <w:sz w:val="22"/>
          <w:szCs w:val="22"/>
          <w:lang w:val="en-US"/>
        </w:rPr>
        <w:t>is</w:t>
      </w:r>
      <w:r w:rsidR="000F5F51" w:rsidRPr="380EC976">
        <w:rPr>
          <w:sz w:val="22"/>
          <w:szCs w:val="22"/>
          <w:lang w:val="en-US"/>
        </w:rPr>
        <w:t xml:space="preserve"> counted as private finance.</w:t>
      </w:r>
    </w:p>
    <w:p w14:paraId="575291C0" w14:textId="0D878CC5" w:rsidR="3B508B2F" w:rsidRDefault="3B508B2F" w:rsidP="380EC976">
      <w:pPr>
        <w:pStyle w:val="ListParagraph"/>
        <w:numPr>
          <w:ilvl w:val="1"/>
          <w:numId w:val="2"/>
        </w:numPr>
        <w:rPr>
          <w:sz w:val="22"/>
          <w:szCs w:val="22"/>
          <w:lang w:val="en-US"/>
        </w:rPr>
      </w:pPr>
      <w:proofErr w:type="spellStart"/>
      <w:r w:rsidRPr="380EC976">
        <w:rPr>
          <w:sz w:val="22"/>
          <w:szCs w:val="22"/>
        </w:rPr>
        <w:t>Mirova</w:t>
      </w:r>
      <w:proofErr w:type="spellEnd"/>
      <w:r w:rsidRPr="380EC976">
        <w:rPr>
          <w:sz w:val="22"/>
          <w:szCs w:val="22"/>
        </w:rPr>
        <w:t xml:space="preserve"> facilitates co-investment by supporting projects in their fundraising process and by engaging actively with potential co-investors.</w:t>
      </w:r>
    </w:p>
    <w:p w14:paraId="60FCAFD0" w14:textId="757CEA2B" w:rsidR="5FAD0A17" w:rsidRDefault="5FAD0A17" w:rsidP="061649A6">
      <w:pPr>
        <w:pStyle w:val="ListParagraph"/>
        <w:numPr>
          <w:ilvl w:val="1"/>
          <w:numId w:val="2"/>
        </w:numPr>
        <w:rPr>
          <w:sz w:val="22"/>
          <w:szCs w:val="22"/>
        </w:rPr>
      </w:pPr>
      <w:r w:rsidRPr="2BEB6DCD">
        <w:rPr>
          <w:sz w:val="22"/>
          <w:szCs w:val="22"/>
        </w:rPr>
        <w:t xml:space="preserve">Co-investment </w:t>
      </w:r>
      <w:r w:rsidR="77B7A145" w:rsidRPr="2BEB6DCD">
        <w:rPr>
          <w:sz w:val="22"/>
          <w:szCs w:val="22"/>
        </w:rPr>
        <w:t xml:space="preserve">significantly exceeded its target in 2023 </w:t>
      </w:r>
      <w:r w:rsidR="000C7435">
        <w:rPr>
          <w:sz w:val="22"/>
          <w:szCs w:val="22"/>
        </w:rPr>
        <w:t xml:space="preserve">with </w:t>
      </w:r>
      <w:r w:rsidR="009C7E91">
        <w:rPr>
          <w:sz w:val="22"/>
          <w:szCs w:val="22"/>
        </w:rPr>
        <w:t>s</w:t>
      </w:r>
      <w:r w:rsidR="000C7435">
        <w:rPr>
          <w:sz w:val="22"/>
          <w:szCs w:val="22"/>
        </w:rPr>
        <w:t>everal companies support</w:t>
      </w:r>
      <w:r w:rsidR="009C7E91">
        <w:rPr>
          <w:sz w:val="22"/>
          <w:szCs w:val="22"/>
        </w:rPr>
        <w:t>ed</w:t>
      </w:r>
      <w:r w:rsidR="000C7435">
        <w:rPr>
          <w:sz w:val="22"/>
          <w:szCs w:val="22"/>
        </w:rPr>
        <w:t xml:space="preserve"> by the LDN Fund</w:t>
      </w:r>
      <w:r w:rsidR="009C7E91">
        <w:rPr>
          <w:sz w:val="22"/>
          <w:szCs w:val="22"/>
        </w:rPr>
        <w:t xml:space="preserve"> securing additional financing</w:t>
      </w:r>
      <w:r w:rsidR="009C322C">
        <w:rPr>
          <w:sz w:val="22"/>
          <w:szCs w:val="22"/>
        </w:rPr>
        <w:t xml:space="preserve"> with large investment rounds in some cases.</w:t>
      </w:r>
      <w:r w:rsidR="009C7E91">
        <w:rPr>
          <w:sz w:val="22"/>
          <w:szCs w:val="22"/>
        </w:rPr>
        <w:t xml:space="preserve"> </w:t>
      </w:r>
    </w:p>
    <w:p w14:paraId="3ED532C8" w14:textId="525DB84C" w:rsidR="00F92DB0" w:rsidRDefault="00517475" w:rsidP="00F92DB0">
      <w:pPr>
        <w:pStyle w:val="ListParagraph"/>
        <w:numPr>
          <w:ilvl w:val="0"/>
          <w:numId w:val="2"/>
        </w:numPr>
        <w:rPr>
          <w:sz w:val="22"/>
          <w:szCs w:val="22"/>
        </w:rPr>
      </w:pPr>
      <w:r>
        <w:rPr>
          <w:b/>
          <w:bCs/>
          <w:sz w:val="22"/>
          <w:szCs w:val="22"/>
        </w:rPr>
        <w:t xml:space="preserve">Outcome </w:t>
      </w:r>
      <w:r w:rsidR="00F92DB0">
        <w:rPr>
          <w:b/>
          <w:bCs/>
          <w:sz w:val="22"/>
          <w:szCs w:val="22"/>
        </w:rPr>
        <w:t xml:space="preserve">Indicator 5: </w:t>
      </w:r>
      <w:r w:rsidRPr="0062367F">
        <w:rPr>
          <w:sz w:val="22"/>
          <w:szCs w:val="22"/>
        </w:rPr>
        <w:t xml:space="preserve">the results are cumulative and refer to the total hectares of land under sustainable management (defined as production or conservation/restoration). The assumption is that </w:t>
      </w:r>
      <w:r w:rsidRPr="0062367F">
        <w:rPr>
          <w:rFonts w:cs="Arial"/>
          <w:sz w:val="22"/>
          <w:szCs w:val="22"/>
          <w:shd w:val="clear" w:color="auto" w:fill="FFFFFF"/>
        </w:rPr>
        <w:t xml:space="preserve">sustainable management of land will deliver positive environmental and non-financial benefits. This KPI is </w:t>
      </w:r>
      <w:r>
        <w:rPr>
          <w:rFonts w:cs="Arial"/>
          <w:sz w:val="22"/>
          <w:szCs w:val="22"/>
          <w:shd w:val="clear" w:color="auto" w:fill="FFFFFF"/>
        </w:rPr>
        <w:t>s</w:t>
      </w:r>
      <w:r w:rsidRPr="0062367F">
        <w:rPr>
          <w:rFonts w:cs="Arial"/>
          <w:sz w:val="22"/>
          <w:szCs w:val="22"/>
          <w:shd w:val="clear" w:color="auto" w:fill="FFFFFF"/>
        </w:rPr>
        <w:t>plit into area under SLM (the total project area</w:t>
      </w:r>
      <w:proofErr w:type="gramStart"/>
      <w:r w:rsidRPr="0062367F">
        <w:rPr>
          <w:rFonts w:cs="Arial"/>
          <w:sz w:val="22"/>
          <w:szCs w:val="22"/>
          <w:shd w:val="clear" w:color="auto" w:fill="FFFFFF"/>
        </w:rPr>
        <w:t>);</w:t>
      </w:r>
      <w:proofErr w:type="gramEnd"/>
      <w:r w:rsidRPr="0062367F">
        <w:rPr>
          <w:rFonts w:cs="Arial"/>
          <w:sz w:val="22"/>
          <w:szCs w:val="22"/>
          <w:shd w:val="clear" w:color="auto" w:fill="FFFFFF"/>
        </w:rPr>
        <w:t xml:space="preserve"> area under certification, and area under conservation measures. The </w:t>
      </w:r>
      <w:r w:rsidRPr="0062367F">
        <w:rPr>
          <w:rFonts w:cs="Arial"/>
          <w:sz w:val="22"/>
          <w:szCs w:val="22"/>
        </w:rPr>
        <w:t xml:space="preserve">current baseline includes data from </w:t>
      </w:r>
      <w:proofErr w:type="spellStart"/>
      <w:r w:rsidRPr="0062367F">
        <w:rPr>
          <w:rFonts w:cs="Arial"/>
          <w:sz w:val="22"/>
          <w:szCs w:val="22"/>
        </w:rPr>
        <w:t>Urapi</w:t>
      </w:r>
      <w:proofErr w:type="spellEnd"/>
      <w:r w:rsidRPr="0062367F">
        <w:rPr>
          <w:rFonts w:cs="Arial"/>
          <w:sz w:val="22"/>
          <w:szCs w:val="22"/>
        </w:rPr>
        <w:t xml:space="preserve">, Miro, </w:t>
      </w:r>
      <w:proofErr w:type="spellStart"/>
      <w:r w:rsidRPr="0062367F">
        <w:rPr>
          <w:rFonts w:cs="Arial"/>
          <w:sz w:val="22"/>
          <w:szCs w:val="22"/>
        </w:rPr>
        <w:t>Komaza</w:t>
      </w:r>
      <w:proofErr w:type="spellEnd"/>
      <w:r w:rsidRPr="0062367F">
        <w:rPr>
          <w:rFonts w:cs="Arial"/>
          <w:sz w:val="22"/>
          <w:szCs w:val="22"/>
        </w:rPr>
        <w:t xml:space="preserve">, Cacao Oro and </w:t>
      </w:r>
      <w:proofErr w:type="spellStart"/>
      <w:r w:rsidRPr="0062367F">
        <w:rPr>
          <w:rFonts w:cs="Arial"/>
          <w:sz w:val="22"/>
          <w:szCs w:val="22"/>
        </w:rPr>
        <w:t>Burapha</w:t>
      </w:r>
      <w:proofErr w:type="spellEnd"/>
      <w:r w:rsidRPr="0062367F">
        <w:rPr>
          <w:rFonts w:cs="Arial"/>
          <w:sz w:val="22"/>
          <w:szCs w:val="22"/>
        </w:rPr>
        <w:t xml:space="preserve"> prior to LDN investment. This indicator is below 2023’s milestone due to several </w:t>
      </w:r>
      <w:r w:rsidR="498B5F4A" w:rsidRPr="0062367F">
        <w:rPr>
          <w:rFonts w:cs="Arial"/>
          <w:sz w:val="22"/>
          <w:szCs w:val="22"/>
        </w:rPr>
        <w:t xml:space="preserve">companies in the LDN portfolio </w:t>
      </w:r>
      <w:r w:rsidRPr="0062367F">
        <w:rPr>
          <w:rFonts w:cs="Arial"/>
          <w:sz w:val="22"/>
          <w:szCs w:val="22"/>
        </w:rPr>
        <w:t>having to slow down plantation expansion due to financial c</w:t>
      </w:r>
      <w:r w:rsidR="7E4FA8DA" w:rsidRPr="0062367F">
        <w:rPr>
          <w:rFonts w:cs="Arial"/>
          <w:sz w:val="22"/>
          <w:szCs w:val="22"/>
        </w:rPr>
        <w:t xml:space="preserve">hallenges </w:t>
      </w:r>
      <w:r w:rsidRPr="0062367F">
        <w:rPr>
          <w:rFonts w:cs="Arial"/>
          <w:sz w:val="22"/>
          <w:szCs w:val="22"/>
        </w:rPr>
        <w:t>– it is expected that this will recover in the coming years.</w:t>
      </w:r>
    </w:p>
    <w:p w14:paraId="1475187E" w14:textId="11BE6BBA" w:rsidR="00A67804" w:rsidRDefault="000F5F51" w:rsidP="2BEB6DCD">
      <w:pPr>
        <w:pStyle w:val="ListParagraph"/>
        <w:numPr>
          <w:ilvl w:val="0"/>
          <w:numId w:val="2"/>
        </w:numPr>
        <w:rPr>
          <w:sz w:val="22"/>
          <w:szCs w:val="22"/>
        </w:rPr>
      </w:pPr>
      <w:r w:rsidRPr="2BEB6DCD">
        <w:rPr>
          <w:sz w:val="22"/>
          <w:szCs w:val="22"/>
          <w:lang w:val="en-US"/>
        </w:rPr>
        <w:t xml:space="preserve">Defra’s attribution is based on the </w:t>
      </w:r>
      <w:r w:rsidR="005E4A7A" w:rsidRPr="2BEB6DCD">
        <w:rPr>
          <w:sz w:val="22"/>
          <w:szCs w:val="22"/>
          <w:lang w:val="en-US"/>
        </w:rPr>
        <w:t>percentage</w:t>
      </w:r>
      <w:r w:rsidRPr="2BEB6DCD">
        <w:rPr>
          <w:sz w:val="22"/>
          <w:szCs w:val="22"/>
          <w:lang w:val="en-US"/>
        </w:rPr>
        <w:t xml:space="preserve"> of the Fund</w:t>
      </w:r>
      <w:r w:rsidR="005E4A7A" w:rsidRPr="2BEB6DCD">
        <w:rPr>
          <w:sz w:val="22"/>
          <w:szCs w:val="22"/>
          <w:lang w:val="en-US"/>
        </w:rPr>
        <w:t xml:space="preserve"> </w:t>
      </w:r>
      <w:r w:rsidRPr="2BEB6DCD">
        <w:rPr>
          <w:sz w:val="22"/>
          <w:szCs w:val="22"/>
          <w:lang w:val="en-US"/>
        </w:rPr>
        <w:t>which Defra represent</w:t>
      </w:r>
      <w:r w:rsidR="005E4A7A" w:rsidRPr="2BEB6DCD">
        <w:rPr>
          <w:sz w:val="22"/>
          <w:szCs w:val="22"/>
          <w:lang w:val="en-US"/>
        </w:rPr>
        <w:t>s</w:t>
      </w:r>
      <w:r w:rsidR="002601FF">
        <w:rPr>
          <w:sz w:val="22"/>
          <w:szCs w:val="22"/>
          <w:lang w:val="en-US"/>
        </w:rPr>
        <w:t xml:space="preserve"> </w:t>
      </w:r>
      <w:r w:rsidR="004C7C71">
        <w:rPr>
          <w:sz w:val="22"/>
          <w:szCs w:val="22"/>
          <w:lang w:val="en-US"/>
        </w:rPr>
        <w:t xml:space="preserve">directly as well </w:t>
      </w:r>
      <w:r w:rsidR="002601FF">
        <w:rPr>
          <w:sz w:val="22"/>
          <w:szCs w:val="22"/>
          <w:lang w:val="en-US"/>
        </w:rPr>
        <w:t xml:space="preserve">as </w:t>
      </w:r>
      <w:r w:rsidR="004C7C71">
        <w:rPr>
          <w:sz w:val="22"/>
          <w:szCs w:val="22"/>
          <w:lang w:val="en-US"/>
        </w:rPr>
        <w:t>investment leveraged off Defra’s investment</w:t>
      </w:r>
      <w:r w:rsidRPr="2BEB6DCD">
        <w:rPr>
          <w:sz w:val="22"/>
          <w:szCs w:val="22"/>
          <w:lang w:val="en-US"/>
        </w:rPr>
        <w:t xml:space="preserve">. </w:t>
      </w:r>
      <w:r w:rsidR="18CA1E5D" w:rsidRPr="2BEB6DCD">
        <w:rPr>
          <w:sz w:val="22"/>
          <w:szCs w:val="22"/>
          <w:lang w:val="en-US"/>
        </w:rPr>
        <w:t>The leverage</w:t>
      </w:r>
      <w:r w:rsidRPr="2BEB6DCD">
        <w:rPr>
          <w:sz w:val="22"/>
          <w:szCs w:val="22"/>
          <w:lang w:val="en-US"/>
        </w:rPr>
        <w:t xml:space="preserve"> of public and private finance is calculated from 2020 onwards, as this is when Defra’s investment will have started having an impact on other investors. Attribution of other impacts is calculated from 2019, as Defra’s initial payment represented a catch-up to cover investments in pre-existing projects. </w:t>
      </w:r>
      <w:r w:rsidR="006E3C9A">
        <w:rPr>
          <w:sz w:val="22"/>
          <w:szCs w:val="22"/>
        </w:rPr>
        <w:t>Direct a</w:t>
      </w:r>
      <w:r w:rsidR="00607FDF" w:rsidRPr="2BEB6DCD">
        <w:rPr>
          <w:sz w:val="22"/>
          <w:szCs w:val="22"/>
        </w:rPr>
        <w:t>ttribution is calculated from the percentage of Defra’s share in the Fund each year (in 202</w:t>
      </w:r>
      <w:r w:rsidR="7DBD322E" w:rsidRPr="2BEB6DCD">
        <w:rPr>
          <w:sz w:val="22"/>
          <w:szCs w:val="22"/>
        </w:rPr>
        <w:t xml:space="preserve">3 </w:t>
      </w:r>
      <w:r w:rsidR="00607FDF" w:rsidRPr="2BEB6DCD">
        <w:rPr>
          <w:sz w:val="22"/>
          <w:szCs w:val="22"/>
        </w:rPr>
        <w:t>this was 6.</w:t>
      </w:r>
      <w:r w:rsidR="36B19EA6" w:rsidRPr="2BEB6DCD">
        <w:rPr>
          <w:sz w:val="22"/>
          <w:szCs w:val="22"/>
        </w:rPr>
        <w:t>32</w:t>
      </w:r>
      <w:r w:rsidR="00607FDF" w:rsidRPr="2BEB6DCD">
        <w:rPr>
          <w:sz w:val="22"/>
          <w:szCs w:val="22"/>
        </w:rPr>
        <w:t xml:space="preserve">%) and the increase in Fund level </w:t>
      </w:r>
      <w:proofErr w:type="gramStart"/>
      <w:r w:rsidR="00607FDF" w:rsidRPr="2BEB6DCD">
        <w:rPr>
          <w:sz w:val="22"/>
          <w:szCs w:val="22"/>
        </w:rPr>
        <w:t>results, and</w:t>
      </w:r>
      <w:proofErr w:type="gramEnd"/>
      <w:r w:rsidR="00607FDF" w:rsidRPr="2BEB6DCD">
        <w:rPr>
          <w:sz w:val="22"/>
          <w:szCs w:val="22"/>
        </w:rPr>
        <w:t xml:space="preserve"> added to the previous year’s attribution.</w:t>
      </w:r>
      <w:r w:rsidR="00383E92">
        <w:rPr>
          <w:sz w:val="22"/>
          <w:szCs w:val="22"/>
        </w:rPr>
        <w:t xml:space="preserve"> </w:t>
      </w:r>
      <w:r w:rsidR="00383E92" w:rsidRPr="2BEB6DCD">
        <w:rPr>
          <w:sz w:val="22"/>
          <w:szCs w:val="22"/>
          <w:lang w:val="en-US"/>
        </w:rPr>
        <w:t>Leveraged attribution is based on the impacts of additional finance and co-investment leveraged by Defra’s investment</w:t>
      </w:r>
      <w:r w:rsidR="00383E92">
        <w:rPr>
          <w:sz w:val="22"/>
          <w:szCs w:val="22"/>
          <w:lang w:val="en-US"/>
        </w:rPr>
        <w:t xml:space="preserve"> (5.6% of total Fund size in </w:t>
      </w:r>
      <w:r w:rsidR="005831F7">
        <w:rPr>
          <w:sz w:val="22"/>
          <w:szCs w:val="22"/>
          <w:lang w:val="en-US"/>
        </w:rPr>
        <w:t>2023)</w:t>
      </w:r>
      <w:r w:rsidR="00CA152D">
        <w:rPr>
          <w:sz w:val="22"/>
          <w:szCs w:val="22"/>
          <w:lang w:val="en-US"/>
        </w:rPr>
        <w:t xml:space="preserve"> – see flowchart in </w:t>
      </w:r>
      <w:proofErr w:type="spellStart"/>
      <w:r w:rsidR="00CA152D">
        <w:rPr>
          <w:sz w:val="22"/>
          <w:szCs w:val="22"/>
          <w:lang w:val="en-US"/>
        </w:rPr>
        <w:t>VfM</w:t>
      </w:r>
      <w:proofErr w:type="spellEnd"/>
      <w:r w:rsidR="00CA152D">
        <w:rPr>
          <w:sz w:val="22"/>
          <w:szCs w:val="22"/>
          <w:lang w:val="en-US"/>
        </w:rPr>
        <w:t xml:space="preserve"> section</w:t>
      </w:r>
      <w:r w:rsidR="00383E92" w:rsidRPr="2BEB6DCD">
        <w:rPr>
          <w:sz w:val="22"/>
          <w:szCs w:val="22"/>
          <w:lang w:val="en-US"/>
        </w:rPr>
        <w:t>.</w:t>
      </w:r>
    </w:p>
    <w:p w14:paraId="4E7BEF3A" w14:textId="6C72152B" w:rsidR="223FDA31" w:rsidRDefault="223FDA31" w:rsidP="78408249">
      <w:pPr>
        <w:pStyle w:val="ListParagraph"/>
        <w:numPr>
          <w:ilvl w:val="0"/>
          <w:numId w:val="2"/>
        </w:numPr>
        <w:rPr>
          <w:sz w:val="22"/>
          <w:szCs w:val="22"/>
        </w:rPr>
      </w:pPr>
      <w:r w:rsidRPr="131C81EC">
        <w:rPr>
          <w:sz w:val="22"/>
          <w:szCs w:val="22"/>
        </w:rPr>
        <w:t xml:space="preserve">In previous annual reviews, an additionality rate of 50% </w:t>
      </w:r>
      <w:r w:rsidR="00961834">
        <w:rPr>
          <w:sz w:val="22"/>
          <w:szCs w:val="22"/>
        </w:rPr>
        <w:t>was</w:t>
      </w:r>
      <w:r w:rsidRPr="131C81EC">
        <w:rPr>
          <w:sz w:val="22"/>
          <w:szCs w:val="22"/>
        </w:rPr>
        <w:t xml:space="preserve"> applied to Defra’s attributed figures</w:t>
      </w:r>
      <w:r w:rsidR="181A6A88" w:rsidRPr="131C81EC">
        <w:rPr>
          <w:sz w:val="22"/>
          <w:szCs w:val="22"/>
        </w:rPr>
        <w:t xml:space="preserve"> due to perceived uncertainties in the additional impact of Defra’s investment beyond what might have been expected to occur anyway. Following discussion with Defra’s ODA Hub</w:t>
      </w:r>
      <w:r w:rsidR="0B7DDC04" w:rsidRPr="131C81EC">
        <w:rPr>
          <w:sz w:val="22"/>
          <w:szCs w:val="22"/>
        </w:rPr>
        <w:t>, continued confidence in LDN’s reporting methodologies,</w:t>
      </w:r>
      <w:r w:rsidR="181A6A88" w:rsidRPr="131C81EC">
        <w:rPr>
          <w:sz w:val="22"/>
          <w:szCs w:val="22"/>
        </w:rPr>
        <w:t xml:space="preserve"> and</w:t>
      </w:r>
      <w:r w:rsidR="534C9859" w:rsidRPr="131C81EC">
        <w:rPr>
          <w:sz w:val="22"/>
          <w:szCs w:val="22"/>
        </w:rPr>
        <w:t xml:space="preserve"> in ensuring</w:t>
      </w:r>
      <w:r w:rsidR="181A6A88" w:rsidRPr="131C81EC">
        <w:rPr>
          <w:sz w:val="22"/>
          <w:szCs w:val="22"/>
        </w:rPr>
        <w:t xml:space="preserve"> alignment with the approach of </w:t>
      </w:r>
      <w:r w:rsidR="12617B6A" w:rsidRPr="131C81EC">
        <w:rPr>
          <w:sz w:val="22"/>
          <w:szCs w:val="22"/>
        </w:rPr>
        <w:t>other ODA programm</w:t>
      </w:r>
      <w:r w:rsidR="0AC9DA0B" w:rsidRPr="131C81EC">
        <w:rPr>
          <w:sz w:val="22"/>
          <w:szCs w:val="22"/>
        </w:rPr>
        <w:t>ing</w:t>
      </w:r>
      <w:r w:rsidR="12617B6A" w:rsidRPr="131C81EC">
        <w:rPr>
          <w:sz w:val="22"/>
          <w:szCs w:val="22"/>
        </w:rPr>
        <w:t xml:space="preserve">, it has been decided </w:t>
      </w:r>
      <w:r w:rsidR="12617B6A" w:rsidRPr="131C81EC">
        <w:rPr>
          <w:sz w:val="22"/>
          <w:szCs w:val="22"/>
        </w:rPr>
        <w:lastRenderedPageBreak/>
        <w:t xml:space="preserve">that this 50% reduction will be removed across Defra’s </w:t>
      </w:r>
      <w:r w:rsidR="146D420C" w:rsidRPr="131C81EC">
        <w:rPr>
          <w:sz w:val="22"/>
          <w:szCs w:val="22"/>
        </w:rPr>
        <w:t>attributed</w:t>
      </w:r>
      <w:r w:rsidR="12617B6A" w:rsidRPr="131C81EC">
        <w:rPr>
          <w:sz w:val="22"/>
          <w:szCs w:val="22"/>
        </w:rPr>
        <w:t xml:space="preserve"> figures</w:t>
      </w:r>
      <w:r w:rsidR="09A18AFC" w:rsidRPr="131C81EC">
        <w:rPr>
          <w:sz w:val="22"/>
          <w:szCs w:val="22"/>
        </w:rPr>
        <w:t xml:space="preserve"> from the 2023 annual review onwards</w:t>
      </w:r>
      <w:r w:rsidR="2EAD10F4" w:rsidRPr="131C81EC">
        <w:rPr>
          <w:sz w:val="22"/>
          <w:szCs w:val="22"/>
        </w:rPr>
        <w:t>.</w:t>
      </w:r>
      <w:r w:rsidR="002637A9">
        <w:rPr>
          <w:sz w:val="22"/>
          <w:szCs w:val="22"/>
        </w:rPr>
        <w:t xml:space="preserve"> </w:t>
      </w:r>
      <w:r w:rsidR="000B39AD">
        <w:rPr>
          <w:sz w:val="22"/>
          <w:szCs w:val="22"/>
        </w:rPr>
        <w:t xml:space="preserve">The size of the Fund was limited only by </w:t>
      </w:r>
      <w:r w:rsidR="00961834">
        <w:rPr>
          <w:sz w:val="22"/>
          <w:szCs w:val="22"/>
        </w:rPr>
        <w:t xml:space="preserve">the </w:t>
      </w:r>
      <w:r w:rsidR="000B39AD">
        <w:rPr>
          <w:sz w:val="22"/>
          <w:szCs w:val="22"/>
        </w:rPr>
        <w:t>availability of Junior Capital</w:t>
      </w:r>
      <w:r w:rsidR="00C3478A">
        <w:rPr>
          <w:sz w:val="22"/>
          <w:szCs w:val="22"/>
        </w:rPr>
        <w:t>, so every pound invested by this programme was additional</w:t>
      </w:r>
      <w:r w:rsidR="00F366FD">
        <w:rPr>
          <w:sz w:val="22"/>
          <w:szCs w:val="22"/>
        </w:rPr>
        <w:t xml:space="preserve">, and has allowed the Fund to </w:t>
      </w:r>
      <w:r w:rsidR="00594C46">
        <w:rPr>
          <w:sz w:val="22"/>
          <w:szCs w:val="22"/>
        </w:rPr>
        <w:t xml:space="preserve">raise more senior capital, and to </w:t>
      </w:r>
      <w:r w:rsidR="00F366FD">
        <w:rPr>
          <w:sz w:val="22"/>
          <w:szCs w:val="22"/>
        </w:rPr>
        <w:t>make larger investments to more projects than would otherwise have bee</w:t>
      </w:r>
      <w:r w:rsidR="001C2E97">
        <w:rPr>
          <w:sz w:val="22"/>
          <w:szCs w:val="22"/>
        </w:rPr>
        <w:t>n</w:t>
      </w:r>
      <w:r w:rsidR="00F366FD">
        <w:rPr>
          <w:sz w:val="22"/>
          <w:szCs w:val="22"/>
        </w:rPr>
        <w:t xml:space="preserve"> the case.</w:t>
      </w:r>
      <w:r w:rsidR="001C2E97">
        <w:rPr>
          <w:sz w:val="22"/>
          <w:szCs w:val="22"/>
        </w:rPr>
        <w:t xml:space="preserve"> At project level, the sustainable land use sector is far from saturation in seeking impact investment, so </w:t>
      </w:r>
      <w:r w:rsidR="005869C2">
        <w:rPr>
          <w:sz w:val="22"/>
          <w:szCs w:val="22"/>
        </w:rPr>
        <w:t xml:space="preserve">the additionality of LDN (and Defra’s) loans </w:t>
      </w:r>
      <w:r w:rsidR="00A047F3">
        <w:rPr>
          <w:sz w:val="22"/>
          <w:szCs w:val="22"/>
        </w:rPr>
        <w:t>to projects is also 100%</w:t>
      </w:r>
      <w:r w:rsidR="005869C2">
        <w:rPr>
          <w:sz w:val="22"/>
          <w:szCs w:val="22"/>
        </w:rPr>
        <w:t>.</w:t>
      </w:r>
    </w:p>
    <w:p w14:paraId="589D81D0" w14:textId="77777777" w:rsidR="003E25D3" w:rsidRPr="003F1006" w:rsidRDefault="003E25D3" w:rsidP="003F1006">
      <w:pPr>
        <w:rPr>
          <w:sz w:val="22"/>
          <w:szCs w:val="22"/>
        </w:rPr>
      </w:pPr>
    </w:p>
    <w:p w14:paraId="525EBD47" w14:textId="77777777" w:rsidR="000F5F51" w:rsidRPr="002055D4" w:rsidRDefault="000F5F51" w:rsidP="000F5F51">
      <w:pPr>
        <w:pStyle w:val="Heading2"/>
        <w:pBdr>
          <w:top w:val="single" w:sz="4" w:space="1" w:color="auto"/>
          <w:left w:val="single" w:sz="4" w:space="6" w:color="auto"/>
          <w:bottom w:val="single" w:sz="4" w:space="1" w:color="auto"/>
          <w:right w:val="single" w:sz="4" w:space="4" w:color="auto"/>
        </w:pBdr>
        <w:shd w:val="clear" w:color="auto" w:fill="D9E2F3" w:themeFill="accent1" w:themeFillTint="33"/>
        <w:spacing w:before="0"/>
        <w:rPr>
          <w:b w:val="0"/>
          <w:i w:val="0"/>
          <w:sz w:val="20"/>
          <w:szCs w:val="20"/>
        </w:rPr>
      </w:pPr>
      <w:r w:rsidRPr="60E67443">
        <w:rPr>
          <w:i w:val="0"/>
        </w:rPr>
        <w:t>C. DETAILED OUTPUT SCORING</w:t>
      </w:r>
    </w:p>
    <w:p w14:paraId="17901C25" w14:textId="77777777" w:rsidR="000F5F51" w:rsidRPr="002055D4" w:rsidRDefault="000F5F51" w:rsidP="000F5F51">
      <w:pPr>
        <w:rPr>
          <w:color w:val="FF0000"/>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2C20BD" w:rsidRPr="002055D4" w14:paraId="11D93F4D" w14:textId="77777777" w:rsidTr="0E046191">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E49360" w14:textId="77777777" w:rsidR="000F5F51" w:rsidRPr="002055D4" w:rsidRDefault="000F5F51" w:rsidP="00680FA9">
            <w:pPr>
              <w:rPr>
                <w:b/>
                <w:bCs/>
                <w:sz w:val="20"/>
                <w:szCs w:val="20"/>
              </w:rPr>
            </w:pPr>
            <w:r w:rsidRPr="60E67443">
              <w:rPr>
                <w:b/>
                <w:bCs/>
                <w:sz w:val="20"/>
                <w:szCs w:val="20"/>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F6B061" w14:textId="77777777" w:rsidR="000F5F51" w:rsidRPr="002055D4" w:rsidRDefault="000F5F51" w:rsidP="00680FA9">
            <w:pPr>
              <w:rPr>
                <w:rFonts w:cs="Arial"/>
                <w:i/>
                <w:iCs/>
                <w:sz w:val="20"/>
                <w:szCs w:val="20"/>
              </w:rPr>
            </w:pPr>
            <w:r w:rsidRPr="60E67443">
              <w:rPr>
                <w:rFonts w:cs="Arial"/>
                <w:sz w:val="20"/>
                <w:szCs w:val="20"/>
                <w:shd w:val="clear" w:color="auto" w:fill="FFFFFF"/>
              </w:rPr>
              <w:t>The LDN Fund provides finance and technical assistance to support successful SLM projects which provide financial returns for investors, sustained benefits for local communities and non-financial benefits on a local, national and global scale.</w:t>
            </w:r>
          </w:p>
        </w:tc>
      </w:tr>
      <w:tr w:rsidR="00E909FF" w:rsidRPr="002055D4" w14:paraId="5EB38F4B" w14:textId="77777777" w:rsidTr="0E046191">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5E1A14" w14:textId="77777777" w:rsidR="000F5F51" w:rsidRPr="002055D4" w:rsidRDefault="000F5F51" w:rsidP="00680FA9">
            <w:pPr>
              <w:rPr>
                <w:sz w:val="20"/>
                <w:szCs w:val="20"/>
              </w:rPr>
            </w:pPr>
            <w:r w:rsidRPr="60E67443">
              <w:rPr>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31B5870" w14:textId="77777777" w:rsidR="000F5F51" w:rsidRPr="002055D4" w:rsidRDefault="000F5F51" w:rsidP="00680FA9">
            <w:pPr>
              <w:rPr>
                <w:sz w:val="20"/>
                <w:szCs w:val="20"/>
              </w:rPr>
            </w:pPr>
            <w:r w:rsidRPr="60E67443">
              <w:rPr>
                <w:sz w:val="20"/>
                <w:szCs w:val="20"/>
              </w:rPr>
              <w:t>1</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1CC575" w14:textId="77777777" w:rsidR="000F5F51" w:rsidRPr="002055D4" w:rsidRDefault="000F5F51" w:rsidP="00680FA9">
            <w:pPr>
              <w:rPr>
                <w:sz w:val="20"/>
                <w:szCs w:val="20"/>
              </w:rPr>
            </w:pPr>
            <w:r w:rsidRPr="60E67443">
              <w:rPr>
                <w:sz w:val="20"/>
                <w:szCs w:val="20"/>
              </w:rPr>
              <w:t xml:space="preserve">Output Score: </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19D0149D" w14:textId="77777777" w:rsidR="000F5F51" w:rsidRPr="00621FC2" w:rsidRDefault="000F5F51" w:rsidP="00680FA9">
            <w:pPr>
              <w:rPr>
                <w:sz w:val="20"/>
                <w:szCs w:val="20"/>
              </w:rPr>
            </w:pPr>
            <w:r w:rsidRPr="0E046191">
              <w:rPr>
                <w:sz w:val="20"/>
                <w:szCs w:val="20"/>
              </w:rPr>
              <w:t>A</w:t>
            </w:r>
          </w:p>
        </w:tc>
      </w:tr>
      <w:tr w:rsidR="00E909FF" w:rsidRPr="002055D4" w14:paraId="73F4D352" w14:textId="77777777" w:rsidTr="0E046191">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8D1C4B" w14:textId="77777777" w:rsidR="000F5F51" w:rsidRPr="002055D4" w:rsidRDefault="000F5F51" w:rsidP="00680FA9">
            <w:pPr>
              <w:rPr>
                <w:sz w:val="20"/>
                <w:szCs w:val="20"/>
              </w:rPr>
            </w:pPr>
            <w:r w:rsidRPr="60E67443">
              <w:rPr>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2583403D" w14:textId="3146AE90" w:rsidR="000F5F51" w:rsidRPr="002055D4" w:rsidRDefault="00F81108" w:rsidP="00680FA9">
            <w:pPr>
              <w:rPr>
                <w:sz w:val="20"/>
                <w:szCs w:val="20"/>
              </w:rPr>
            </w:pPr>
            <w:r>
              <w:rPr>
                <w:sz w:val="20"/>
                <w:szCs w:val="20"/>
              </w:rPr>
              <w:t>40</w:t>
            </w:r>
            <w:r w:rsidR="0048417D">
              <w:rPr>
                <w:sz w:val="20"/>
                <w:szCs w:val="20"/>
              </w:rPr>
              <w:t>%</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443994" w14:textId="77777777" w:rsidR="000F5F51" w:rsidRPr="002055D4" w:rsidRDefault="000F5F51" w:rsidP="00680FA9">
            <w:pPr>
              <w:rPr>
                <w:sz w:val="20"/>
                <w:szCs w:val="20"/>
              </w:rPr>
            </w:pPr>
            <w:r w:rsidRPr="60E67443">
              <w:rPr>
                <w:sz w:val="20"/>
                <w:szCs w:val="20"/>
              </w:rPr>
              <w:t xml:space="preserve">Weighting revised since last </w:t>
            </w:r>
            <w:proofErr w:type="gramStart"/>
            <w:r w:rsidRPr="60E67443">
              <w:rPr>
                <w:sz w:val="20"/>
                <w:szCs w:val="20"/>
              </w:rPr>
              <w:t>AR?</w:t>
            </w:r>
            <w:proofErr w:type="gramEnd"/>
            <w:r w:rsidRPr="60E67443">
              <w:rPr>
                <w:sz w:val="20"/>
                <w:szCs w:val="20"/>
              </w:rPr>
              <w:t xml:space="preserve"> </w:t>
            </w:r>
          </w:p>
        </w:tc>
        <w:tc>
          <w:tcPr>
            <w:tcW w:w="2812" w:type="dxa"/>
            <w:tcBorders>
              <w:top w:val="single" w:sz="4" w:space="0" w:color="auto"/>
              <w:left w:val="single" w:sz="4" w:space="0" w:color="auto"/>
              <w:bottom w:val="single" w:sz="4" w:space="0" w:color="auto"/>
              <w:right w:val="single" w:sz="4" w:space="0" w:color="auto"/>
            </w:tcBorders>
          </w:tcPr>
          <w:p w14:paraId="4F61BF4D" w14:textId="77777777" w:rsidR="000F5F51" w:rsidRPr="002055D4" w:rsidRDefault="000F5F51" w:rsidP="00680FA9">
            <w:pPr>
              <w:rPr>
                <w:sz w:val="20"/>
                <w:szCs w:val="20"/>
              </w:rPr>
            </w:pPr>
            <w:r>
              <w:rPr>
                <w:sz w:val="20"/>
                <w:szCs w:val="20"/>
              </w:rPr>
              <w:t>N/A</w:t>
            </w:r>
          </w:p>
        </w:tc>
      </w:tr>
    </w:tbl>
    <w:p w14:paraId="125BF5A4" w14:textId="77777777" w:rsidR="000F5F51" w:rsidRPr="002055D4" w:rsidRDefault="000F5F51" w:rsidP="000F5F51">
      <w:pPr>
        <w:rPr>
          <w:b/>
          <w:color w:val="FF0000"/>
        </w:rPr>
      </w:pPr>
    </w:p>
    <w:tbl>
      <w:tblPr>
        <w:tblStyle w:val="TableGrid"/>
        <w:tblpPr w:leftFromText="180" w:rightFromText="180" w:vertAnchor="text" w:horzAnchor="margin" w:tblpXSpec="right" w:tblpY="-67"/>
        <w:tblOverlap w:val="never"/>
        <w:tblW w:w="9216" w:type="dxa"/>
        <w:tblLook w:val="04A0" w:firstRow="1" w:lastRow="0" w:firstColumn="1" w:lastColumn="0" w:noHBand="0" w:noVBand="1"/>
      </w:tblPr>
      <w:tblGrid>
        <w:gridCol w:w="2640"/>
        <w:gridCol w:w="1306"/>
        <w:gridCol w:w="1306"/>
        <w:gridCol w:w="1306"/>
        <w:gridCol w:w="1329"/>
        <w:gridCol w:w="1329"/>
      </w:tblGrid>
      <w:tr w:rsidR="003936A0" w:rsidRPr="002055D4" w14:paraId="5612A093" w14:textId="77777777" w:rsidTr="0006719C">
        <w:trPr>
          <w:trHeight w:val="239"/>
        </w:trPr>
        <w:tc>
          <w:tcPr>
            <w:tcW w:w="264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A3BF35" w14:textId="77777777" w:rsidR="003936A0" w:rsidRDefault="00517475" w:rsidP="003936A0">
            <w:pPr>
              <w:rPr>
                <w:b/>
                <w:bCs/>
                <w:sz w:val="20"/>
                <w:szCs w:val="20"/>
              </w:rPr>
            </w:pPr>
            <w:r>
              <w:rPr>
                <w:b/>
                <w:bCs/>
                <w:sz w:val="20"/>
                <w:szCs w:val="20"/>
              </w:rPr>
              <w:t xml:space="preserve">Output </w:t>
            </w:r>
            <w:r w:rsidR="003936A0" w:rsidRPr="60E67443">
              <w:rPr>
                <w:b/>
                <w:bCs/>
                <w:sz w:val="20"/>
                <w:szCs w:val="20"/>
              </w:rPr>
              <w:t>Indicator(s)</w:t>
            </w:r>
          </w:p>
          <w:p w14:paraId="153F1793" w14:textId="4A2385B5" w:rsidR="003818A8" w:rsidRPr="003818A8" w:rsidRDefault="003818A8" w:rsidP="003936A0">
            <w:pPr>
              <w:rPr>
                <w:sz w:val="20"/>
                <w:szCs w:val="20"/>
              </w:rPr>
            </w:pPr>
            <w:r>
              <w:rPr>
                <w:sz w:val="20"/>
                <w:szCs w:val="20"/>
              </w:rPr>
              <w:t>(all cumulative)</w:t>
            </w:r>
          </w:p>
        </w:tc>
        <w:tc>
          <w:tcPr>
            <w:tcW w:w="13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781DAC" w14:textId="14319E2F" w:rsidR="003936A0" w:rsidRPr="002055D4" w:rsidRDefault="003936A0" w:rsidP="003936A0">
            <w:pPr>
              <w:jc w:val="center"/>
              <w:rPr>
                <w:b/>
                <w:bCs/>
                <w:sz w:val="20"/>
                <w:szCs w:val="20"/>
              </w:rPr>
            </w:pPr>
            <w:r>
              <w:rPr>
                <w:b/>
                <w:bCs/>
                <w:sz w:val="20"/>
                <w:szCs w:val="20"/>
              </w:rPr>
              <w:t>2020</w:t>
            </w:r>
          </w:p>
        </w:tc>
        <w:tc>
          <w:tcPr>
            <w:tcW w:w="13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171CF7" w14:textId="3EEBFD95" w:rsidR="003936A0" w:rsidRPr="002055D4" w:rsidRDefault="003936A0" w:rsidP="003936A0">
            <w:pPr>
              <w:jc w:val="center"/>
              <w:rPr>
                <w:b/>
                <w:bCs/>
                <w:sz w:val="20"/>
                <w:szCs w:val="20"/>
              </w:rPr>
            </w:pPr>
            <w:r>
              <w:rPr>
                <w:b/>
                <w:bCs/>
                <w:sz w:val="20"/>
                <w:szCs w:val="20"/>
              </w:rPr>
              <w:t>2021</w:t>
            </w:r>
          </w:p>
        </w:tc>
        <w:tc>
          <w:tcPr>
            <w:tcW w:w="13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BEDC2B" w14:textId="152FA8F5" w:rsidR="003936A0" w:rsidRDefault="003936A0" w:rsidP="003936A0">
            <w:pPr>
              <w:jc w:val="center"/>
              <w:rPr>
                <w:b/>
                <w:bCs/>
                <w:sz w:val="20"/>
                <w:szCs w:val="20"/>
              </w:rPr>
            </w:pPr>
            <w:r>
              <w:rPr>
                <w:b/>
                <w:bCs/>
                <w:sz w:val="20"/>
                <w:szCs w:val="20"/>
              </w:rPr>
              <w:t>2022</w:t>
            </w:r>
          </w:p>
        </w:tc>
        <w:tc>
          <w:tcPr>
            <w:tcW w:w="13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110616" w14:textId="77777777" w:rsidR="003936A0" w:rsidRDefault="003936A0" w:rsidP="003936A0">
            <w:pPr>
              <w:jc w:val="center"/>
              <w:rPr>
                <w:b/>
                <w:bCs/>
                <w:sz w:val="20"/>
                <w:szCs w:val="20"/>
              </w:rPr>
            </w:pPr>
            <w:r w:rsidRPr="6991F9F2">
              <w:rPr>
                <w:b/>
                <w:bCs/>
                <w:sz w:val="20"/>
                <w:szCs w:val="20"/>
              </w:rPr>
              <w:t>2023 milestone</w:t>
            </w:r>
          </w:p>
        </w:tc>
        <w:tc>
          <w:tcPr>
            <w:tcW w:w="13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2330C3" w14:textId="7B6428CD" w:rsidR="003936A0" w:rsidRDefault="003936A0" w:rsidP="003936A0">
            <w:pPr>
              <w:jc w:val="center"/>
              <w:rPr>
                <w:sz w:val="20"/>
                <w:szCs w:val="20"/>
              </w:rPr>
            </w:pPr>
            <w:r w:rsidRPr="495999B5">
              <w:rPr>
                <w:b/>
                <w:bCs/>
                <w:sz w:val="20"/>
                <w:szCs w:val="20"/>
              </w:rPr>
              <w:t>2023</w:t>
            </w:r>
          </w:p>
        </w:tc>
      </w:tr>
      <w:tr w:rsidR="003936A0" w:rsidRPr="002055D4" w14:paraId="48609C4E" w14:textId="77777777" w:rsidTr="0006719C">
        <w:trPr>
          <w:trHeight w:val="197"/>
        </w:trPr>
        <w:tc>
          <w:tcPr>
            <w:tcW w:w="2640" w:type="dxa"/>
            <w:tcBorders>
              <w:top w:val="single" w:sz="4" w:space="0" w:color="auto"/>
              <w:left w:val="single" w:sz="4" w:space="0" w:color="auto"/>
              <w:bottom w:val="single" w:sz="4" w:space="0" w:color="auto"/>
              <w:right w:val="single" w:sz="4" w:space="0" w:color="auto"/>
            </w:tcBorders>
          </w:tcPr>
          <w:p w14:paraId="23A70B6F" w14:textId="77777777" w:rsidR="003936A0" w:rsidRPr="002055D4" w:rsidRDefault="003936A0" w:rsidP="003936A0">
            <w:pPr>
              <w:rPr>
                <w:rFonts w:eastAsia="Arial" w:cs="Arial"/>
                <w:sz w:val="20"/>
                <w:szCs w:val="20"/>
              </w:rPr>
            </w:pPr>
            <w:r w:rsidRPr="60E67443">
              <w:rPr>
                <w:rFonts w:eastAsia="Arial" w:cs="Arial"/>
                <w:sz w:val="20"/>
                <w:szCs w:val="20"/>
              </w:rPr>
              <w:t>1.1 Level of TA funding provided</w:t>
            </w:r>
            <w:r>
              <w:rPr>
                <w:rFonts w:eastAsia="Arial" w:cs="Arial"/>
                <w:sz w:val="20"/>
                <w:szCs w:val="20"/>
              </w:rPr>
              <w:t xml:space="preserve"> ($)</w:t>
            </w:r>
          </w:p>
        </w:tc>
        <w:tc>
          <w:tcPr>
            <w:tcW w:w="1306" w:type="dxa"/>
            <w:tcBorders>
              <w:top w:val="single" w:sz="4" w:space="0" w:color="auto"/>
              <w:left w:val="single" w:sz="4" w:space="0" w:color="auto"/>
              <w:bottom w:val="single" w:sz="4" w:space="0" w:color="auto"/>
              <w:right w:val="single" w:sz="4" w:space="0" w:color="auto"/>
            </w:tcBorders>
            <w:vAlign w:val="center"/>
          </w:tcPr>
          <w:p w14:paraId="5A6E679B" w14:textId="77777777" w:rsidR="003936A0" w:rsidRPr="002055D4" w:rsidRDefault="003936A0" w:rsidP="003936A0">
            <w:pPr>
              <w:jc w:val="center"/>
              <w:rPr>
                <w:rFonts w:eastAsia="Arial" w:cs="Arial"/>
                <w:sz w:val="20"/>
                <w:szCs w:val="20"/>
              </w:rPr>
            </w:pPr>
            <w:r>
              <w:rPr>
                <w:rFonts w:eastAsia="Arial" w:cs="Arial"/>
                <w:sz w:val="20"/>
                <w:szCs w:val="20"/>
              </w:rPr>
              <w:t>996,313</w:t>
            </w:r>
          </w:p>
        </w:tc>
        <w:tc>
          <w:tcPr>
            <w:tcW w:w="1306" w:type="dxa"/>
            <w:tcBorders>
              <w:top w:val="single" w:sz="4" w:space="0" w:color="auto"/>
              <w:left w:val="single" w:sz="4" w:space="0" w:color="auto"/>
              <w:bottom w:val="single" w:sz="4" w:space="0" w:color="auto"/>
              <w:right w:val="single" w:sz="4" w:space="0" w:color="auto"/>
            </w:tcBorders>
            <w:vAlign w:val="center"/>
          </w:tcPr>
          <w:p w14:paraId="58898DAF" w14:textId="77777777" w:rsidR="003936A0" w:rsidRPr="002055D4" w:rsidRDefault="003936A0" w:rsidP="003936A0">
            <w:pPr>
              <w:jc w:val="center"/>
              <w:rPr>
                <w:rFonts w:eastAsia="Arial" w:cs="Arial"/>
                <w:sz w:val="20"/>
                <w:szCs w:val="20"/>
              </w:rPr>
            </w:pPr>
            <w:r>
              <w:rPr>
                <w:rFonts w:eastAsia="Arial" w:cs="Arial"/>
                <w:sz w:val="20"/>
                <w:szCs w:val="20"/>
              </w:rPr>
              <w:t>1,384,435</w:t>
            </w:r>
          </w:p>
        </w:tc>
        <w:tc>
          <w:tcPr>
            <w:tcW w:w="1306" w:type="dxa"/>
            <w:tcBorders>
              <w:top w:val="single" w:sz="4" w:space="0" w:color="auto"/>
              <w:left w:val="single" w:sz="4" w:space="0" w:color="auto"/>
              <w:bottom w:val="single" w:sz="4" w:space="0" w:color="auto"/>
              <w:right w:val="single" w:sz="4" w:space="0" w:color="auto"/>
            </w:tcBorders>
            <w:vAlign w:val="center"/>
          </w:tcPr>
          <w:p w14:paraId="300D4D63" w14:textId="77777777" w:rsidR="003936A0" w:rsidRPr="60E67443" w:rsidRDefault="003936A0" w:rsidP="003936A0">
            <w:pPr>
              <w:jc w:val="center"/>
              <w:rPr>
                <w:rFonts w:eastAsia="Arial" w:cs="Arial"/>
                <w:sz w:val="20"/>
                <w:szCs w:val="20"/>
              </w:rPr>
            </w:pPr>
            <w:r>
              <w:rPr>
                <w:rFonts w:eastAsia="Arial" w:cs="Arial"/>
                <w:sz w:val="20"/>
                <w:szCs w:val="20"/>
              </w:rPr>
              <w:t>2,058,692</w:t>
            </w:r>
          </w:p>
        </w:tc>
        <w:tc>
          <w:tcPr>
            <w:tcW w:w="1329" w:type="dxa"/>
            <w:tcBorders>
              <w:top w:val="single" w:sz="4" w:space="0" w:color="auto"/>
              <w:left w:val="single" w:sz="4" w:space="0" w:color="auto"/>
              <w:bottom w:val="single" w:sz="4" w:space="0" w:color="auto"/>
              <w:right w:val="single" w:sz="4" w:space="0" w:color="auto"/>
            </w:tcBorders>
            <w:vAlign w:val="center"/>
          </w:tcPr>
          <w:p w14:paraId="095EAE81" w14:textId="77777777" w:rsidR="003936A0" w:rsidRDefault="003936A0" w:rsidP="003936A0">
            <w:pPr>
              <w:jc w:val="center"/>
              <w:rPr>
                <w:rFonts w:eastAsia="Arial" w:cs="Arial"/>
                <w:sz w:val="20"/>
                <w:szCs w:val="20"/>
              </w:rPr>
            </w:pPr>
            <w:r w:rsidRPr="495999B5">
              <w:rPr>
                <w:rFonts w:eastAsia="Arial" w:cs="Arial"/>
                <w:sz w:val="20"/>
                <w:szCs w:val="20"/>
              </w:rPr>
              <w:t>2,200,000</w:t>
            </w:r>
          </w:p>
        </w:tc>
        <w:tc>
          <w:tcPr>
            <w:tcW w:w="1329" w:type="dxa"/>
            <w:tcBorders>
              <w:top w:val="single" w:sz="4" w:space="0" w:color="auto"/>
              <w:left w:val="single" w:sz="4" w:space="0" w:color="auto"/>
              <w:bottom w:val="single" w:sz="4" w:space="0" w:color="auto"/>
              <w:right w:val="single" w:sz="4" w:space="0" w:color="auto"/>
            </w:tcBorders>
            <w:shd w:val="clear" w:color="auto" w:fill="92D050"/>
            <w:vAlign w:val="center"/>
          </w:tcPr>
          <w:p w14:paraId="10592EAF" w14:textId="77777777" w:rsidR="003936A0" w:rsidRDefault="003936A0" w:rsidP="003936A0">
            <w:pPr>
              <w:jc w:val="center"/>
              <w:rPr>
                <w:rFonts w:eastAsia="Arial" w:cs="Arial"/>
                <w:sz w:val="20"/>
                <w:szCs w:val="20"/>
              </w:rPr>
            </w:pPr>
            <w:r w:rsidRPr="495999B5">
              <w:rPr>
                <w:rFonts w:eastAsia="Arial" w:cs="Arial"/>
                <w:sz w:val="20"/>
                <w:szCs w:val="20"/>
              </w:rPr>
              <w:t>2,400,000</w:t>
            </w:r>
          </w:p>
        </w:tc>
      </w:tr>
      <w:tr w:rsidR="003936A0" w:rsidRPr="002055D4" w14:paraId="542BC565" w14:textId="77777777" w:rsidTr="0006719C">
        <w:trPr>
          <w:trHeight w:val="197"/>
        </w:trPr>
        <w:tc>
          <w:tcPr>
            <w:tcW w:w="2640" w:type="dxa"/>
            <w:tcBorders>
              <w:top w:val="single" w:sz="4" w:space="0" w:color="auto"/>
              <w:left w:val="single" w:sz="4" w:space="0" w:color="auto"/>
              <w:bottom w:val="single" w:sz="4" w:space="0" w:color="auto"/>
              <w:right w:val="single" w:sz="4" w:space="0" w:color="auto"/>
            </w:tcBorders>
          </w:tcPr>
          <w:p w14:paraId="3D594709" w14:textId="77777777" w:rsidR="003936A0" w:rsidRPr="002055D4" w:rsidRDefault="003936A0" w:rsidP="003936A0">
            <w:pPr>
              <w:rPr>
                <w:rFonts w:eastAsia="Arial" w:cs="Arial"/>
                <w:sz w:val="20"/>
                <w:szCs w:val="20"/>
              </w:rPr>
            </w:pPr>
            <w:r w:rsidRPr="60E67443">
              <w:rPr>
                <w:rFonts w:eastAsia="Arial" w:cs="Arial"/>
                <w:sz w:val="20"/>
                <w:szCs w:val="20"/>
              </w:rPr>
              <w:t>1.2 Level of project investment provided</w:t>
            </w:r>
            <w:r>
              <w:rPr>
                <w:rFonts w:eastAsia="Arial" w:cs="Arial"/>
                <w:sz w:val="20"/>
                <w:szCs w:val="20"/>
              </w:rPr>
              <w:t xml:space="preserve"> ($)</w:t>
            </w:r>
          </w:p>
        </w:tc>
        <w:tc>
          <w:tcPr>
            <w:tcW w:w="1306" w:type="dxa"/>
            <w:tcBorders>
              <w:top w:val="single" w:sz="4" w:space="0" w:color="auto"/>
              <w:left w:val="single" w:sz="4" w:space="0" w:color="auto"/>
              <w:bottom w:val="single" w:sz="4" w:space="0" w:color="auto"/>
              <w:right w:val="single" w:sz="4" w:space="0" w:color="auto"/>
            </w:tcBorders>
            <w:vAlign w:val="center"/>
          </w:tcPr>
          <w:p w14:paraId="2506F0EC" w14:textId="2CF1D0E9" w:rsidR="003936A0" w:rsidRPr="002055D4" w:rsidRDefault="003936A0" w:rsidP="003936A0">
            <w:pPr>
              <w:jc w:val="center"/>
              <w:rPr>
                <w:rFonts w:eastAsia="Arial" w:cs="Arial"/>
                <w:color w:val="000000" w:themeColor="text1"/>
                <w:sz w:val="20"/>
                <w:szCs w:val="20"/>
              </w:rPr>
            </w:pPr>
            <w:r>
              <w:rPr>
                <w:rFonts w:eastAsia="Arial" w:cs="Arial"/>
                <w:color w:val="000000" w:themeColor="text1"/>
                <w:sz w:val="20"/>
                <w:szCs w:val="20"/>
              </w:rPr>
              <w:t>60.6</w:t>
            </w:r>
            <w:r w:rsidR="00E52418">
              <w:rPr>
                <w:rFonts w:eastAsia="Arial" w:cs="Arial"/>
                <w:color w:val="000000" w:themeColor="text1"/>
                <w:sz w:val="20"/>
                <w:szCs w:val="20"/>
              </w:rPr>
              <w:t xml:space="preserve"> </w:t>
            </w:r>
            <w:r>
              <w:rPr>
                <w:rFonts w:eastAsia="Arial" w:cs="Arial"/>
                <w:color w:val="000000" w:themeColor="text1"/>
                <w:sz w:val="20"/>
                <w:szCs w:val="20"/>
              </w:rPr>
              <w:t>m</w:t>
            </w:r>
            <w:r w:rsidR="00E52418">
              <w:rPr>
                <w:rFonts w:eastAsia="Arial" w:cs="Arial"/>
                <w:color w:val="000000" w:themeColor="text1"/>
                <w:sz w:val="20"/>
                <w:szCs w:val="20"/>
              </w:rPr>
              <w:t>illion</w:t>
            </w:r>
          </w:p>
        </w:tc>
        <w:tc>
          <w:tcPr>
            <w:tcW w:w="1306" w:type="dxa"/>
            <w:tcBorders>
              <w:top w:val="single" w:sz="4" w:space="0" w:color="auto"/>
              <w:left w:val="single" w:sz="4" w:space="0" w:color="auto"/>
              <w:bottom w:val="single" w:sz="4" w:space="0" w:color="auto"/>
              <w:right w:val="single" w:sz="4" w:space="0" w:color="auto"/>
            </w:tcBorders>
            <w:vAlign w:val="center"/>
          </w:tcPr>
          <w:p w14:paraId="1655609C" w14:textId="6593D0C7" w:rsidR="003936A0" w:rsidRPr="002055D4" w:rsidRDefault="003936A0" w:rsidP="003936A0">
            <w:pPr>
              <w:jc w:val="center"/>
              <w:rPr>
                <w:rFonts w:eastAsia="Arial" w:cs="Arial"/>
                <w:color w:val="000000" w:themeColor="text1"/>
                <w:sz w:val="20"/>
                <w:szCs w:val="20"/>
              </w:rPr>
            </w:pPr>
            <w:r w:rsidRPr="60E67443">
              <w:rPr>
                <w:rFonts w:eastAsia="Arial" w:cs="Arial"/>
                <w:color w:val="000000" w:themeColor="text1"/>
                <w:sz w:val="20"/>
                <w:szCs w:val="20"/>
              </w:rPr>
              <w:t>7</w:t>
            </w:r>
            <w:r>
              <w:rPr>
                <w:rFonts w:eastAsia="Arial" w:cs="Arial"/>
                <w:color w:val="000000" w:themeColor="text1"/>
                <w:sz w:val="20"/>
                <w:szCs w:val="20"/>
              </w:rPr>
              <w:t>4.5</w:t>
            </w:r>
            <w:r w:rsidR="00E52418">
              <w:rPr>
                <w:rFonts w:eastAsia="Arial" w:cs="Arial"/>
                <w:color w:val="000000" w:themeColor="text1"/>
                <w:sz w:val="20"/>
                <w:szCs w:val="20"/>
              </w:rPr>
              <w:t xml:space="preserve"> </w:t>
            </w:r>
            <w:r>
              <w:rPr>
                <w:rFonts w:eastAsia="Arial" w:cs="Arial"/>
                <w:color w:val="000000" w:themeColor="text1"/>
                <w:sz w:val="20"/>
                <w:szCs w:val="20"/>
              </w:rPr>
              <w:t>m</w:t>
            </w:r>
            <w:r w:rsidR="00E52418">
              <w:rPr>
                <w:rFonts w:eastAsia="Arial" w:cs="Arial"/>
                <w:color w:val="000000" w:themeColor="text1"/>
                <w:sz w:val="20"/>
                <w:szCs w:val="20"/>
              </w:rPr>
              <w:t>illion</w:t>
            </w:r>
          </w:p>
        </w:tc>
        <w:tc>
          <w:tcPr>
            <w:tcW w:w="1306" w:type="dxa"/>
            <w:tcBorders>
              <w:top w:val="single" w:sz="4" w:space="0" w:color="auto"/>
              <w:left w:val="single" w:sz="4" w:space="0" w:color="auto"/>
              <w:bottom w:val="single" w:sz="4" w:space="0" w:color="auto"/>
              <w:right w:val="single" w:sz="4" w:space="0" w:color="auto"/>
            </w:tcBorders>
            <w:vAlign w:val="center"/>
          </w:tcPr>
          <w:p w14:paraId="6467F019" w14:textId="06047E98" w:rsidR="003936A0" w:rsidRPr="60E67443" w:rsidRDefault="003936A0" w:rsidP="003936A0">
            <w:pPr>
              <w:jc w:val="center"/>
              <w:rPr>
                <w:rFonts w:eastAsia="Arial" w:cs="Arial"/>
                <w:color w:val="000000" w:themeColor="text1"/>
                <w:sz w:val="20"/>
                <w:szCs w:val="20"/>
              </w:rPr>
            </w:pPr>
            <w:r w:rsidRPr="00A341F7">
              <w:rPr>
                <w:rFonts w:eastAsia="Arial" w:cs="Arial"/>
                <w:color w:val="000000" w:themeColor="text1"/>
                <w:sz w:val="20"/>
                <w:szCs w:val="20"/>
              </w:rPr>
              <w:t>1</w:t>
            </w:r>
            <w:r>
              <w:rPr>
                <w:rFonts w:eastAsia="Arial" w:cs="Arial"/>
                <w:color w:val="000000" w:themeColor="text1"/>
                <w:sz w:val="20"/>
                <w:szCs w:val="20"/>
              </w:rPr>
              <w:t>42.4</w:t>
            </w:r>
            <w:r w:rsidR="00E52418">
              <w:rPr>
                <w:rFonts w:eastAsia="Arial" w:cs="Arial"/>
                <w:color w:val="000000" w:themeColor="text1"/>
                <w:sz w:val="20"/>
                <w:szCs w:val="20"/>
              </w:rPr>
              <w:t xml:space="preserve"> </w:t>
            </w:r>
            <w:r>
              <w:rPr>
                <w:rFonts w:eastAsia="Arial" w:cs="Arial"/>
                <w:color w:val="000000" w:themeColor="text1"/>
                <w:sz w:val="20"/>
                <w:szCs w:val="20"/>
              </w:rPr>
              <w:t>m</w:t>
            </w:r>
            <w:r w:rsidR="00E52418">
              <w:rPr>
                <w:rFonts w:eastAsia="Arial" w:cs="Arial"/>
                <w:color w:val="000000" w:themeColor="text1"/>
                <w:sz w:val="20"/>
                <w:szCs w:val="20"/>
              </w:rPr>
              <w:t>illion</w:t>
            </w:r>
          </w:p>
        </w:tc>
        <w:tc>
          <w:tcPr>
            <w:tcW w:w="1329" w:type="dxa"/>
            <w:tcBorders>
              <w:top w:val="single" w:sz="4" w:space="0" w:color="auto"/>
              <w:left w:val="single" w:sz="4" w:space="0" w:color="auto"/>
              <w:bottom w:val="single" w:sz="4" w:space="0" w:color="auto"/>
              <w:right w:val="single" w:sz="4" w:space="0" w:color="auto"/>
            </w:tcBorders>
            <w:vAlign w:val="center"/>
          </w:tcPr>
          <w:p w14:paraId="0272EE77" w14:textId="52538700" w:rsidR="003936A0" w:rsidRDefault="003936A0" w:rsidP="003936A0">
            <w:pPr>
              <w:jc w:val="center"/>
              <w:rPr>
                <w:rFonts w:eastAsia="Arial" w:cs="Arial"/>
                <w:color w:val="000000" w:themeColor="text1"/>
                <w:sz w:val="20"/>
                <w:szCs w:val="20"/>
              </w:rPr>
            </w:pPr>
            <w:r w:rsidRPr="07486C01">
              <w:rPr>
                <w:rFonts w:eastAsia="Arial" w:cs="Arial"/>
                <w:color w:val="000000" w:themeColor="text1"/>
                <w:sz w:val="20"/>
                <w:szCs w:val="20"/>
              </w:rPr>
              <w:t>180</w:t>
            </w:r>
            <w:r w:rsidR="00E52418">
              <w:rPr>
                <w:rFonts w:eastAsia="Arial" w:cs="Arial"/>
                <w:color w:val="000000" w:themeColor="text1"/>
                <w:sz w:val="20"/>
                <w:szCs w:val="20"/>
              </w:rPr>
              <w:t xml:space="preserve"> </w:t>
            </w:r>
            <w:r w:rsidR="00CD1E5D">
              <w:rPr>
                <w:rFonts w:eastAsia="Arial" w:cs="Arial"/>
                <w:color w:val="000000" w:themeColor="text1"/>
                <w:sz w:val="20"/>
                <w:szCs w:val="20"/>
              </w:rPr>
              <w:t>m</w:t>
            </w:r>
            <w:r w:rsidR="00E52418">
              <w:rPr>
                <w:rFonts w:eastAsia="Arial" w:cs="Arial"/>
                <w:color w:val="000000" w:themeColor="text1"/>
                <w:sz w:val="20"/>
                <w:szCs w:val="20"/>
              </w:rPr>
              <w:t>illion</w:t>
            </w:r>
          </w:p>
        </w:tc>
        <w:tc>
          <w:tcPr>
            <w:tcW w:w="132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E32F69E" w14:textId="06F18B1F" w:rsidR="003936A0" w:rsidRDefault="003936A0" w:rsidP="003936A0">
            <w:pPr>
              <w:jc w:val="center"/>
              <w:rPr>
                <w:rFonts w:eastAsia="Arial" w:cs="Arial"/>
                <w:color w:val="000000" w:themeColor="text1"/>
                <w:sz w:val="20"/>
                <w:szCs w:val="20"/>
              </w:rPr>
            </w:pPr>
            <w:r w:rsidRPr="07486C01">
              <w:rPr>
                <w:rFonts w:eastAsia="Arial" w:cs="Arial"/>
                <w:color w:val="000000" w:themeColor="text1"/>
                <w:sz w:val="20"/>
                <w:szCs w:val="20"/>
              </w:rPr>
              <w:t>165</w:t>
            </w:r>
            <w:r w:rsidR="00CD1E5D">
              <w:rPr>
                <w:rFonts w:eastAsia="Arial" w:cs="Arial"/>
                <w:color w:val="000000" w:themeColor="text1"/>
                <w:sz w:val="20"/>
                <w:szCs w:val="20"/>
              </w:rPr>
              <w:t>.4</w:t>
            </w:r>
            <w:r w:rsidR="00E52418">
              <w:rPr>
                <w:rFonts w:eastAsia="Arial" w:cs="Arial"/>
                <w:color w:val="000000" w:themeColor="text1"/>
                <w:sz w:val="20"/>
                <w:szCs w:val="20"/>
              </w:rPr>
              <w:t xml:space="preserve"> </w:t>
            </w:r>
            <w:r w:rsidR="00CD1E5D">
              <w:rPr>
                <w:rFonts w:eastAsia="Arial" w:cs="Arial"/>
                <w:color w:val="000000" w:themeColor="text1"/>
                <w:sz w:val="20"/>
                <w:szCs w:val="20"/>
              </w:rPr>
              <w:t>m</w:t>
            </w:r>
            <w:r w:rsidR="00E52418">
              <w:rPr>
                <w:rFonts w:eastAsia="Arial" w:cs="Arial"/>
                <w:color w:val="000000" w:themeColor="text1"/>
                <w:sz w:val="20"/>
                <w:szCs w:val="20"/>
              </w:rPr>
              <w:t>illion</w:t>
            </w:r>
          </w:p>
        </w:tc>
      </w:tr>
      <w:tr w:rsidR="003936A0" w:rsidRPr="002055D4" w14:paraId="344289A8" w14:textId="77777777" w:rsidTr="0006719C">
        <w:trPr>
          <w:trHeight w:val="197"/>
        </w:trPr>
        <w:tc>
          <w:tcPr>
            <w:tcW w:w="2640" w:type="dxa"/>
            <w:tcBorders>
              <w:top w:val="single" w:sz="4" w:space="0" w:color="auto"/>
              <w:left w:val="single" w:sz="4" w:space="0" w:color="auto"/>
              <w:bottom w:val="single" w:sz="4" w:space="0" w:color="auto"/>
              <w:right w:val="single" w:sz="4" w:space="0" w:color="auto"/>
            </w:tcBorders>
          </w:tcPr>
          <w:p w14:paraId="2E4094CD" w14:textId="77777777" w:rsidR="003936A0" w:rsidRPr="002055D4" w:rsidRDefault="003936A0" w:rsidP="003936A0">
            <w:pPr>
              <w:rPr>
                <w:rFonts w:eastAsia="Arial" w:cs="Arial"/>
                <w:sz w:val="20"/>
                <w:szCs w:val="20"/>
              </w:rPr>
            </w:pPr>
            <w:r w:rsidRPr="60E67443">
              <w:rPr>
                <w:rFonts w:eastAsia="Arial" w:cs="Arial"/>
                <w:sz w:val="20"/>
                <w:szCs w:val="20"/>
              </w:rPr>
              <w:t xml:space="preserve">1.3 Number of </w:t>
            </w:r>
            <w:r>
              <w:rPr>
                <w:rFonts w:eastAsia="Arial" w:cs="Arial"/>
                <w:sz w:val="20"/>
                <w:szCs w:val="20"/>
              </w:rPr>
              <w:t xml:space="preserve">TA </w:t>
            </w:r>
            <w:r w:rsidRPr="60E67443">
              <w:rPr>
                <w:rFonts w:eastAsia="Arial" w:cs="Arial"/>
                <w:sz w:val="20"/>
                <w:szCs w:val="20"/>
              </w:rPr>
              <w:t>projects funded</w:t>
            </w:r>
          </w:p>
        </w:tc>
        <w:tc>
          <w:tcPr>
            <w:tcW w:w="1306" w:type="dxa"/>
            <w:tcBorders>
              <w:top w:val="single" w:sz="4" w:space="0" w:color="auto"/>
              <w:left w:val="single" w:sz="4" w:space="0" w:color="auto"/>
              <w:bottom w:val="single" w:sz="4" w:space="0" w:color="auto"/>
              <w:right w:val="single" w:sz="4" w:space="0" w:color="auto"/>
            </w:tcBorders>
            <w:vAlign w:val="center"/>
          </w:tcPr>
          <w:p w14:paraId="7E993F88" w14:textId="77777777" w:rsidR="003936A0" w:rsidRPr="002055D4" w:rsidRDefault="003936A0" w:rsidP="003936A0">
            <w:pPr>
              <w:jc w:val="center"/>
              <w:rPr>
                <w:rFonts w:eastAsia="Arial" w:cs="Arial"/>
                <w:sz w:val="20"/>
                <w:szCs w:val="20"/>
              </w:rPr>
            </w:pPr>
            <w:r>
              <w:rPr>
                <w:rFonts w:eastAsia="Arial" w:cs="Arial"/>
                <w:sz w:val="20"/>
                <w:szCs w:val="20"/>
              </w:rPr>
              <w:t>13</w:t>
            </w:r>
          </w:p>
        </w:tc>
        <w:tc>
          <w:tcPr>
            <w:tcW w:w="1306" w:type="dxa"/>
            <w:tcBorders>
              <w:top w:val="single" w:sz="4" w:space="0" w:color="auto"/>
              <w:left w:val="single" w:sz="4" w:space="0" w:color="auto"/>
              <w:bottom w:val="single" w:sz="4" w:space="0" w:color="auto"/>
              <w:right w:val="single" w:sz="4" w:space="0" w:color="auto"/>
            </w:tcBorders>
            <w:vAlign w:val="center"/>
          </w:tcPr>
          <w:p w14:paraId="5827340C" w14:textId="77777777" w:rsidR="003936A0" w:rsidRPr="002055D4" w:rsidRDefault="003936A0" w:rsidP="003936A0">
            <w:pPr>
              <w:jc w:val="center"/>
              <w:rPr>
                <w:rFonts w:eastAsia="Arial" w:cs="Arial"/>
                <w:sz w:val="20"/>
                <w:szCs w:val="20"/>
              </w:rPr>
            </w:pPr>
            <w:r w:rsidRPr="60E67443">
              <w:rPr>
                <w:rFonts w:eastAsia="Arial" w:cs="Arial"/>
                <w:sz w:val="20"/>
                <w:szCs w:val="20"/>
              </w:rPr>
              <w:t>17</w:t>
            </w:r>
          </w:p>
        </w:tc>
        <w:tc>
          <w:tcPr>
            <w:tcW w:w="1306" w:type="dxa"/>
            <w:tcBorders>
              <w:top w:val="single" w:sz="4" w:space="0" w:color="auto"/>
              <w:left w:val="single" w:sz="4" w:space="0" w:color="auto"/>
              <w:bottom w:val="single" w:sz="4" w:space="0" w:color="auto"/>
              <w:right w:val="single" w:sz="4" w:space="0" w:color="auto"/>
            </w:tcBorders>
            <w:vAlign w:val="center"/>
          </w:tcPr>
          <w:p w14:paraId="7304A312" w14:textId="77777777" w:rsidR="003936A0" w:rsidRPr="60E67443" w:rsidRDefault="003936A0" w:rsidP="003936A0">
            <w:pPr>
              <w:jc w:val="center"/>
              <w:rPr>
                <w:rFonts w:eastAsia="Arial" w:cs="Arial"/>
                <w:sz w:val="20"/>
                <w:szCs w:val="20"/>
              </w:rPr>
            </w:pPr>
            <w:r>
              <w:rPr>
                <w:rFonts w:eastAsia="Arial" w:cs="Arial"/>
                <w:sz w:val="20"/>
                <w:szCs w:val="20"/>
              </w:rPr>
              <w:t>22</w:t>
            </w:r>
          </w:p>
        </w:tc>
        <w:tc>
          <w:tcPr>
            <w:tcW w:w="1329" w:type="dxa"/>
            <w:tcBorders>
              <w:top w:val="single" w:sz="4" w:space="0" w:color="auto"/>
              <w:left w:val="single" w:sz="4" w:space="0" w:color="auto"/>
              <w:bottom w:val="single" w:sz="4" w:space="0" w:color="auto"/>
              <w:right w:val="single" w:sz="4" w:space="0" w:color="auto"/>
            </w:tcBorders>
            <w:vAlign w:val="center"/>
          </w:tcPr>
          <w:p w14:paraId="13F0ED44" w14:textId="77777777" w:rsidR="003936A0" w:rsidRDefault="003936A0" w:rsidP="003936A0">
            <w:pPr>
              <w:jc w:val="center"/>
              <w:rPr>
                <w:rFonts w:eastAsia="Arial" w:cs="Arial"/>
                <w:sz w:val="20"/>
                <w:szCs w:val="20"/>
              </w:rPr>
            </w:pPr>
            <w:r w:rsidRPr="07486C01">
              <w:rPr>
                <w:rFonts w:eastAsia="Arial" w:cs="Arial"/>
                <w:sz w:val="20"/>
                <w:szCs w:val="20"/>
              </w:rPr>
              <w:t>27</w:t>
            </w:r>
          </w:p>
        </w:tc>
        <w:tc>
          <w:tcPr>
            <w:tcW w:w="1329" w:type="dxa"/>
            <w:tcBorders>
              <w:top w:val="single" w:sz="4" w:space="0" w:color="auto"/>
              <w:left w:val="single" w:sz="4" w:space="0" w:color="auto"/>
              <w:bottom w:val="single" w:sz="4" w:space="0" w:color="auto"/>
              <w:right w:val="single" w:sz="4" w:space="0" w:color="auto"/>
            </w:tcBorders>
            <w:shd w:val="clear" w:color="auto" w:fill="92D050"/>
            <w:vAlign w:val="center"/>
          </w:tcPr>
          <w:p w14:paraId="1CCB09C5" w14:textId="77777777" w:rsidR="003936A0" w:rsidRDefault="003936A0" w:rsidP="003936A0">
            <w:pPr>
              <w:jc w:val="center"/>
              <w:rPr>
                <w:rFonts w:eastAsia="Arial" w:cs="Arial"/>
                <w:sz w:val="20"/>
                <w:szCs w:val="20"/>
              </w:rPr>
            </w:pPr>
            <w:r w:rsidRPr="07486C01">
              <w:rPr>
                <w:rFonts w:eastAsia="Arial" w:cs="Arial"/>
                <w:sz w:val="20"/>
                <w:szCs w:val="20"/>
              </w:rPr>
              <w:t>30</w:t>
            </w:r>
          </w:p>
        </w:tc>
      </w:tr>
      <w:tr w:rsidR="003936A0" w:rsidRPr="002055D4" w14:paraId="6693EC97" w14:textId="77777777" w:rsidTr="0006719C">
        <w:trPr>
          <w:trHeight w:val="197"/>
        </w:trPr>
        <w:tc>
          <w:tcPr>
            <w:tcW w:w="2640" w:type="dxa"/>
            <w:tcBorders>
              <w:top w:val="single" w:sz="4" w:space="0" w:color="auto"/>
              <w:left w:val="single" w:sz="4" w:space="0" w:color="auto"/>
              <w:bottom w:val="single" w:sz="4" w:space="0" w:color="auto"/>
              <w:right w:val="single" w:sz="4" w:space="0" w:color="auto"/>
            </w:tcBorders>
          </w:tcPr>
          <w:p w14:paraId="77A7C99F" w14:textId="77777777" w:rsidR="003936A0" w:rsidRPr="002055D4" w:rsidRDefault="003936A0" w:rsidP="003936A0">
            <w:pPr>
              <w:rPr>
                <w:rFonts w:eastAsia="Arial" w:cs="Arial"/>
                <w:sz w:val="20"/>
                <w:szCs w:val="20"/>
              </w:rPr>
            </w:pPr>
            <w:r w:rsidRPr="60E67443">
              <w:rPr>
                <w:rFonts w:eastAsia="Arial" w:cs="Arial"/>
                <w:sz w:val="20"/>
                <w:szCs w:val="20"/>
              </w:rPr>
              <w:t>1.4 Number of countries TA is provided</w:t>
            </w:r>
          </w:p>
        </w:tc>
        <w:tc>
          <w:tcPr>
            <w:tcW w:w="1306" w:type="dxa"/>
            <w:tcBorders>
              <w:top w:val="single" w:sz="4" w:space="0" w:color="auto"/>
              <w:left w:val="single" w:sz="4" w:space="0" w:color="auto"/>
              <w:bottom w:val="single" w:sz="4" w:space="0" w:color="auto"/>
              <w:right w:val="single" w:sz="4" w:space="0" w:color="auto"/>
            </w:tcBorders>
            <w:vAlign w:val="center"/>
          </w:tcPr>
          <w:p w14:paraId="7AEEBF8F" w14:textId="77777777" w:rsidR="003936A0" w:rsidRPr="002055D4" w:rsidRDefault="003936A0" w:rsidP="003936A0">
            <w:pPr>
              <w:jc w:val="center"/>
              <w:rPr>
                <w:rFonts w:eastAsia="Arial" w:cs="Arial"/>
                <w:sz w:val="20"/>
                <w:szCs w:val="20"/>
              </w:rPr>
            </w:pPr>
            <w:r>
              <w:rPr>
                <w:rFonts w:eastAsia="Arial" w:cs="Arial"/>
                <w:sz w:val="20"/>
                <w:szCs w:val="20"/>
              </w:rPr>
              <w:t>12</w:t>
            </w:r>
          </w:p>
        </w:tc>
        <w:tc>
          <w:tcPr>
            <w:tcW w:w="1306" w:type="dxa"/>
            <w:tcBorders>
              <w:top w:val="single" w:sz="4" w:space="0" w:color="auto"/>
              <w:left w:val="single" w:sz="4" w:space="0" w:color="auto"/>
              <w:bottom w:val="single" w:sz="4" w:space="0" w:color="auto"/>
              <w:right w:val="single" w:sz="4" w:space="0" w:color="auto"/>
            </w:tcBorders>
            <w:vAlign w:val="center"/>
          </w:tcPr>
          <w:p w14:paraId="3437D93F" w14:textId="77777777" w:rsidR="003936A0" w:rsidRPr="002055D4" w:rsidRDefault="003936A0" w:rsidP="003936A0">
            <w:pPr>
              <w:jc w:val="center"/>
              <w:rPr>
                <w:rFonts w:eastAsia="Arial" w:cs="Arial"/>
                <w:sz w:val="20"/>
                <w:szCs w:val="20"/>
              </w:rPr>
            </w:pPr>
            <w:r w:rsidRPr="60E67443">
              <w:rPr>
                <w:rFonts w:eastAsia="Arial" w:cs="Arial"/>
                <w:sz w:val="20"/>
                <w:szCs w:val="20"/>
              </w:rPr>
              <w:t>14</w:t>
            </w:r>
          </w:p>
        </w:tc>
        <w:tc>
          <w:tcPr>
            <w:tcW w:w="1306" w:type="dxa"/>
            <w:tcBorders>
              <w:top w:val="single" w:sz="4" w:space="0" w:color="auto"/>
              <w:left w:val="single" w:sz="4" w:space="0" w:color="auto"/>
              <w:bottom w:val="single" w:sz="4" w:space="0" w:color="auto"/>
              <w:right w:val="single" w:sz="4" w:space="0" w:color="auto"/>
            </w:tcBorders>
            <w:vAlign w:val="center"/>
          </w:tcPr>
          <w:p w14:paraId="5D9608F2" w14:textId="77777777" w:rsidR="003936A0" w:rsidRPr="60E67443" w:rsidRDefault="003936A0" w:rsidP="003936A0">
            <w:pPr>
              <w:jc w:val="center"/>
              <w:rPr>
                <w:rFonts w:eastAsia="Arial" w:cs="Arial"/>
                <w:sz w:val="20"/>
                <w:szCs w:val="20"/>
              </w:rPr>
            </w:pPr>
            <w:r>
              <w:rPr>
                <w:rFonts w:eastAsia="Arial" w:cs="Arial"/>
                <w:sz w:val="20"/>
                <w:szCs w:val="20"/>
              </w:rPr>
              <w:t>14</w:t>
            </w:r>
          </w:p>
        </w:tc>
        <w:tc>
          <w:tcPr>
            <w:tcW w:w="1329" w:type="dxa"/>
            <w:tcBorders>
              <w:top w:val="single" w:sz="4" w:space="0" w:color="auto"/>
              <w:left w:val="single" w:sz="4" w:space="0" w:color="auto"/>
              <w:bottom w:val="single" w:sz="4" w:space="0" w:color="auto"/>
              <w:right w:val="single" w:sz="4" w:space="0" w:color="auto"/>
            </w:tcBorders>
            <w:vAlign w:val="center"/>
          </w:tcPr>
          <w:p w14:paraId="5FE21B8E" w14:textId="77777777" w:rsidR="003936A0" w:rsidRDefault="003936A0" w:rsidP="003936A0">
            <w:pPr>
              <w:jc w:val="center"/>
              <w:rPr>
                <w:rFonts w:eastAsia="Arial" w:cs="Arial"/>
                <w:sz w:val="20"/>
                <w:szCs w:val="20"/>
              </w:rPr>
            </w:pPr>
            <w:r w:rsidRPr="7E9A2E9B">
              <w:rPr>
                <w:rFonts w:eastAsia="Arial" w:cs="Arial"/>
                <w:sz w:val="20"/>
                <w:szCs w:val="20"/>
              </w:rPr>
              <w:t>18</w:t>
            </w:r>
          </w:p>
        </w:tc>
        <w:tc>
          <w:tcPr>
            <w:tcW w:w="132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480928" w14:textId="77777777" w:rsidR="003936A0" w:rsidRDefault="003936A0" w:rsidP="003936A0">
            <w:pPr>
              <w:jc w:val="center"/>
              <w:rPr>
                <w:rFonts w:eastAsia="Arial" w:cs="Arial"/>
                <w:sz w:val="20"/>
                <w:szCs w:val="20"/>
              </w:rPr>
            </w:pPr>
            <w:r w:rsidRPr="7E9A2E9B">
              <w:rPr>
                <w:rFonts w:eastAsia="Arial" w:cs="Arial"/>
                <w:sz w:val="20"/>
                <w:szCs w:val="20"/>
              </w:rPr>
              <w:t>15</w:t>
            </w:r>
          </w:p>
        </w:tc>
      </w:tr>
      <w:tr w:rsidR="003936A0" w:rsidRPr="00A341F7" w14:paraId="4B7C584B" w14:textId="77777777" w:rsidTr="0006719C">
        <w:trPr>
          <w:trHeight w:val="197"/>
        </w:trPr>
        <w:tc>
          <w:tcPr>
            <w:tcW w:w="2640" w:type="dxa"/>
            <w:tcBorders>
              <w:top w:val="single" w:sz="4" w:space="0" w:color="auto"/>
              <w:left w:val="single" w:sz="4" w:space="0" w:color="auto"/>
              <w:bottom w:val="single" w:sz="4" w:space="0" w:color="auto"/>
              <w:right w:val="single" w:sz="4" w:space="0" w:color="auto"/>
            </w:tcBorders>
          </w:tcPr>
          <w:p w14:paraId="53E84B60" w14:textId="77777777" w:rsidR="003936A0" w:rsidRPr="002055D4" w:rsidRDefault="003936A0" w:rsidP="003936A0">
            <w:pPr>
              <w:rPr>
                <w:rFonts w:eastAsia="Arial" w:cs="Arial"/>
                <w:sz w:val="20"/>
                <w:szCs w:val="20"/>
              </w:rPr>
            </w:pPr>
            <w:r w:rsidRPr="3F1ACADE">
              <w:rPr>
                <w:rFonts w:eastAsia="Arial" w:cs="Arial"/>
                <w:sz w:val="20"/>
                <w:szCs w:val="20"/>
              </w:rPr>
              <w:t>1.5 Number of knowledge products</w:t>
            </w:r>
          </w:p>
        </w:tc>
        <w:tc>
          <w:tcPr>
            <w:tcW w:w="1306" w:type="dxa"/>
            <w:tcBorders>
              <w:top w:val="single" w:sz="4" w:space="0" w:color="auto"/>
              <w:left w:val="single" w:sz="4" w:space="0" w:color="auto"/>
              <w:bottom w:val="single" w:sz="4" w:space="0" w:color="auto"/>
              <w:right w:val="single" w:sz="4" w:space="0" w:color="auto"/>
            </w:tcBorders>
            <w:vAlign w:val="center"/>
          </w:tcPr>
          <w:p w14:paraId="11A08708" w14:textId="77777777" w:rsidR="003936A0" w:rsidRPr="002055D4" w:rsidRDefault="003936A0" w:rsidP="003936A0">
            <w:pPr>
              <w:jc w:val="center"/>
              <w:rPr>
                <w:rFonts w:eastAsia="Arial" w:cs="Arial"/>
                <w:sz w:val="20"/>
                <w:szCs w:val="20"/>
              </w:rPr>
            </w:pPr>
            <w:r>
              <w:rPr>
                <w:rFonts w:eastAsia="Arial" w:cs="Arial"/>
                <w:sz w:val="20"/>
                <w:szCs w:val="20"/>
              </w:rPr>
              <w:t>7</w:t>
            </w:r>
          </w:p>
        </w:tc>
        <w:tc>
          <w:tcPr>
            <w:tcW w:w="1306" w:type="dxa"/>
            <w:tcBorders>
              <w:top w:val="single" w:sz="4" w:space="0" w:color="auto"/>
              <w:left w:val="single" w:sz="4" w:space="0" w:color="auto"/>
              <w:bottom w:val="single" w:sz="4" w:space="0" w:color="auto"/>
              <w:right w:val="single" w:sz="4" w:space="0" w:color="auto"/>
            </w:tcBorders>
            <w:vAlign w:val="center"/>
          </w:tcPr>
          <w:p w14:paraId="5668F9A0" w14:textId="77777777" w:rsidR="003936A0" w:rsidRPr="002055D4" w:rsidRDefault="003936A0" w:rsidP="003936A0">
            <w:pPr>
              <w:jc w:val="center"/>
              <w:rPr>
                <w:rFonts w:eastAsia="Arial" w:cs="Arial"/>
                <w:sz w:val="20"/>
                <w:szCs w:val="20"/>
              </w:rPr>
            </w:pPr>
            <w:r>
              <w:rPr>
                <w:rFonts w:eastAsia="Arial" w:cs="Arial"/>
                <w:sz w:val="20"/>
                <w:szCs w:val="20"/>
              </w:rPr>
              <w:t>10</w:t>
            </w:r>
          </w:p>
        </w:tc>
        <w:tc>
          <w:tcPr>
            <w:tcW w:w="1306" w:type="dxa"/>
            <w:tcBorders>
              <w:top w:val="single" w:sz="4" w:space="0" w:color="auto"/>
              <w:left w:val="single" w:sz="4" w:space="0" w:color="auto"/>
              <w:bottom w:val="single" w:sz="4" w:space="0" w:color="auto"/>
              <w:right w:val="single" w:sz="4" w:space="0" w:color="auto"/>
            </w:tcBorders>
            <w:vAlign w:val="center"/>
          </w:tcPr>
          <w:p w14:paraId="143D400D" w14:textId="77777777" w:rsidR="003936A0" w:rsidRPr="00A341F7" w:rsidRDefault="003936A0" w:rsidP="003936A0">
            <w:pPr>
              <w:jc w:val="center"/>
              <w:rPr>
                <w:rFonts w:eastAsia="Arial" w:cs="Arial"/>
                <w:sz w:val="20"/>
                <w:szCs w:val="20"/>
                <w:highlight w:val="lightGray"/>
              </w:rPr>
            </w:pPr>
            <w:r w:rsidRPr="00425365">
              <w:rPr>
                <w:rFonts w:eastAsia="Arial" w:cs="Arial"/>
                <w:sz w:val="20"/>
                <w:szCs w:val="20"/>
              </w:rPr>
              <w:t>11</w:t>
            </w:r>
          </w:p>
        </w:tc>
        <w:tc>
          <w:tcPr>
            <w:tcW w:w="1329" w:type="dxa"/>
            <w:tcBorders>
              <w:top w:val="single" w:sz="4" w:space="0" w:color="auto"/>
              <w:left w:val="single" w:sz="4" w:space="0" w:color="auto"/>
              <w:bottom w:val="single" w:sz="4" w:space="0" w:color="auto"/>
              <w:right w:val="single" w:sz="4" w:space="0" w:color="auto"/>
            </w:tcBorders>
            <w:vAlign w:val="center"/>
          </w:tcPr>
          <w:p w14:paraId="0CCEECCC" w14:textId="77777777" w:rsidR="003936A0" w:rsidRDefault="003936A0" w:rsidP="003936A0">
            <w:pPr>
              <w:jc w:val="center"/>
              <w:rPr>
                <w:rFonts w:eastAsia="Arial" w:cs="Arial"/>
                <w:sz w:val="20"/>
                <w:szCs w:val="20"/>
              </w:rPr>
            </w:pPr>
            <w:r w:rsidRPr="7E9A2E9B">
              <w:rPr>
                <w:rFonts w:eastAsia="Arial" w:cs="Arial"/>
                <w:sz w:val="20"/>
                <w:szCs w:val="20"/>
              </w:rPr>
              <w:t>11</w:t>
            </w:r>
          </w:p>
        </w:tc>
        <w:tc>
          <w:tcPr>
            <w:tcW w:w="1329" w:type="dxa"/>
            <w:tcBorders>
              <w:top w:val="single" w:sz="4" w:space="0" w:color="auto"/>
              <w:left w:val="single" w:sz="4" w:space="0" w:color="auto"/>
              <w:bottom w:val="single" w:sz="4" w:space="0" w:color="auto"/>
              <w:right w:val="single" w:sz="4" w:space="0" w:color="auto"/>
            </w:tcBorders>
            <w:shd w:val="clear" w:color="auto" w:fill="92D050"/>
            <w:vAlign w:val="center"/>
          </w:tcPr>
          <w:p w14:paraId="795EF8D1" w14:textId="77777777" w:rsidR="003936A0" w:rsidRDefault="003936A0" w:rsidP="003936A0">
            <w:pPr>
              <w:jc w:val="center"/>
              <w:rPr>
                <w:rFonts w:eastAsia="Arial" w:cs="Arial"/>
                <w:sz w:val="20"/>
                <w:szCs w:val="20"/>
              </w:rPr>
            </w:pPr>
            <w:r w:rsidRPr="7E9A2E9B">
              <w:rPr>
                <w:rFonts w:eastAsia="Arial" w:cs="Arial"/>
                <w:sz w:val="20"/>
                <w:szCs w:val="20"/>
              </w:rPr>
              <w:t>14</w:t>
            </w:r>
          </w:p>
        </w:tc>
      </w:tr>
      <w:tr w:rsidR="003936A0" w:rsidRPr="002055D4" w14:paraId="6A00644A" w14:textId="77777777" w:rsidTr="0006719C">
        <w:trPr>
          <w:trHeight w:val="197"/>
        </w:trPr>
        <w:tc>
          <w:tcPr>
            <w:tcW w:w="2640" w:type="dxa"/>
            <w:tcBorders>
              <w:top w:val="single" w:sz="4" w:space="0" w:color="auto"/>
              <w:left w:val="single" w:sz="4" w:space="0" w:color="auto"/>
              <w:bottom w:val="single" w:sz="4" w:space="0" w:color="auto"/>
              <w:right w:val="single" w:sz="4" w:space="0" w:color="auto"/>
            </w:tcBorders>
          </w:tcPr>
          <w:p w14:paraId="7C542483" w14:textId="77777777" w:rsidR="003936A0" w:rsidRPr="002055D4" w:rsidRDefault="003936A0" w:rsidP="003936A0">
            <w:pPr>
              <w:rPr>
                <w:rFonts w:eastAsia="Arial" w:cs="Arial"/>
                <w:sz w:val="20"/>
                <w:szCs w:val="20"/>
              </w:rPr>
            </w:pPr>
            <w:r w:rsidRPr="60E67443">
              <w:rPr>
                <w:rFonts w:eastAsia="Arial" w:cs="Arial"/>
                <w:sz w:val="20"/>
                <w:szCs w:val="20"/>
              </w:rPr>
              <w:t>1.6 Overall return rate on LDN investments</w:t>
            </w:r>
          </w:p>
        </w:tc>
        <w:tc>
          <w:tcPr>
            <w:tcW w:w="1306" w:type="dxa"/>
            <w:tcBorders>
              <w:top w:val="single" w:sz="4" w:space="0" w:color="auto"/>
              <w:left w:val="single" w:sz="4" w:space="0" w:color="auto"/>
              <w:bottom w:val="single" w:sz="4" w:space="0" w:color="auto"/>
              <w:right w:val="single" w:sz="4" w:space="0" w:color="auto"/>
            </w:tcBorders>
            <w:vAlign w:val="center"/>
          </w:tcPr>
          <w:p w14:paraId="4309ABAD" w14:textId="77777777" w:rsidR="003936A0" w:rsidRPr="002055D4" w:rsidRDefault="003936A0" w:rsidP="003936A0">
            <w:pPr>
              <w:jc w:val="center"/>
              <w:rPr>
                <w:rFonts w:eastAsia="Arial" w:cs="Arial"/>
                <w:sz w:val="20"/>
                <w:szCs w:val="20"/>
              </w:rPr>
            </w:pPr>
            <w:r>
              <w:rPr>
                <w:rFonts w:eastAsia="Arial" w:cs="Arial"/>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650BEFE0" w14:textId="77777777" w:rsidR="003936A0" w:rsidRPr="002055D4" w:rsidRDefault="003936A0" w:rsidP="003936A0">
            <w:pPr>
              <w:jc w:val="center"/>
              <w:rPr>
                <w:rFonts w:eastAsia="Arial" w:cs="Arial"/>
                <w:sz w:val="20"/>
                <w:szCs w:val="20"/>
              </w:rPr>
            </w:pPr>
            <w:r>
              <w:rPr>
                <w:rFonts w:eastAsia="Arial" w:cs="Arial"/>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15FE5106" w14:textId="77777777" w:rsidR="003936A0" w:rsidRDefault="003936A0" w:rsidP="003936A0">
            <w:pPr>
              <w:jc w:val="center"/>
              <w:rPr>
                <w:rFonts w:eastAsia="Arial" w:cs="Arial"/>
                <w:sz w:val="20"/>
                <w:szCs w:val="20"/>
              </w:rPr>
            </w:pPr>
            <w:r w:rsidRPr="7E9A2E9B">
              <w:rPr>
                <w:rFonts w:eastAsia="Arial" w:cs="Arial"/>
                <w:sz w:val="20"/>
                <w:szCs w:val="20"/>
              </w:rPr>
              <w:t>n/a</w:t>
            </w:r>
          </w:p>
        </w:tc>
        <w:tc>
          <w:tcPr>
            <w:tcW w:w="1329" w:type="dxa"/>
            <w:tcBorders>
              <w:top w:val="single" w:sz="4" w:space="0" w:color="auto"/>
              <w:left w:val="single" w:sz="4" w:space="0" w:color="auto"/>
              <w:bottom w:val="single" w:sz="4" w:space="0" w:color="auto"/>
              <w:right w:val="single" w:sz="4" w:space="0" w:color="auto"/>
            </w:tcBorders>
            <w:vAlign w:val="center"/>
          </w:tcPr>
          <w:p w14:paraId="58771531" w14:textId="77777777" w:rsidR="003936A0" w:rsidRDefault="003936A0" w:rsidP="003936A0">
            <w:pPr>
              <w:jc w:val="center"/>
              <w:rPr>
                <w:rFonts w:eastAsia="Arial" w:cs="Arial"/>
                <w:sz w:val="20"/>
                <w:szCs w:val="20"/>
              </w:rPr>
            </w:pPr>
            <w:r w:rsidRPr="7E9A2E9B">
              <w:rPr>
                <w:rFonts w:eastAsia="Arial" w:cs="Arial"/>
                <w:sz w:val="20"/>
                <w:szCs w:val="20"/>
              </w:rPr>
              <w:t>n/a</w:t>
            </w:r>
          </w:p>
        </w:tc>
        <w:tc>
          <w:tcPr>
            <w:tcW w:w="1329" w:type="dxa"/>
            <w:tcBorders>
              <w:top w:val="single" w:sz="4" w:space="0" w:color="auto"/>
              <w:left w:val="single" w:sz="4" w:space="0" w:color="auto"/>
              <w:bottom w:val="single" w:sz="4" w:space="0" w:color="auto"/>
              <w:right w:val="single" w:sz="4" w:space="0" w:color="auto"/>
            </w:tcBorders>
            <w:vAlign w:val="center"/>
          </w:tcPr>
          <w:p w14:paraId="7BE70D91" w14:textId="3F71C24D" w:rsidR="003936A0" w:rsidRDefault="003936A0" w:rsidP="0006719C">
            <w:pPr>
              <w:jc w:val="center"/>
              <w:rPr>
                <w:rFonts w:eastAsia="Arial" w:cs="Arial"/>
                <w:sz w:val="20"/>
                <w:szCs w:val="20"/>
              </w:rPr>
            </w:pPr>
            <w:r w:rsidRPr="7E9A2E9B">
              <w:rPr>
                <w:rFonts w:eastAsia="Arial" w:cs="Arial"/>
                <w:sz w:val="20"/>
                <w:szCs w:val="20"/>
              </w:rPr>
              <w:t>Results from 2028</w:t>
            </w:r>
          </w:p>
        </w:tc>
      </w:tr>
    </w:tbl>
    <w:p w14:paraId="22052320" w14:textId="314B97D2" w:rsidR="00F7082F" w:rsidRDefault="14CC5B66" w:rsidP="00036B87">
      <w:pPr>
        <w:pStyle w:val="ListParagraph"/>
        <w:numPr>
          <w:ilvl w:val="0"/>
          <w:numId w:val="7"/>
        </w:numPr>
        <w:spacing w:line="257" w:lineRule="auto"/>
        <w:jc w:val="both"/>
        <w:rPr>
          <w:rFonts w:eastAsia="Arial" w:cs="Arial"/>
          <w:sz w:val="22"/>
          <w:szCs w:val="22"/>
        </w:rPr>
      </w:pPr>
      <w:proofErr w:type="spellStart"/>
      <w:r w:rsidRPr="0CA95893">
        <w:rPr>
          <w:rFonts w:eastAsia="Arial" w:cs="Arial"/>
          <w:sz w:val="22"/>
          <w:szCs w:val="22"/>
        </w:rPr>
        <w:t>Mirova</w:t>
      </w:r>
      <w:proofErr w:type="spellEnd"/>
      <w:r w:rsidR="000F5F51" w:rsidRPr="0CA95893">
        <w:rPr>
          <w:rFonts w:eastAsia="Arial" w:cs="Arial"/>
          <w:sz w:val="22"/>
          <w:szCs w:val="22"/>
        </w:rPr>
        <w:t xml:space="preserve"> identified</w:t>
      </w:r>
      <w:r w:rsidR="316944DB" w:rsidRPr="0CA95893">
        <w:rPr>
          <w:rFonts w:eastAsia="Arial" w:cs="Arial"/>
          <w:sz w:val="22"/>
          <w:szCs w:val="22"/>
        </w:rPr>
        <w:t xml:space="preserve"> and </w:t>
      </w:r>
      <w:r w:rsidR="000F5F51" w:rsidRPr="0CA95893">
        <w:rPr>
          <w:rFonts w:eastAsia="Arial" w:cs="Arial"/>
          <w:sz w:val="22"/>
          <w:szCs w:val="22"/>
        </w:rPr>
        <w:t xml:space="preserve">desk reviewed </w:t>
      </w:r>
      <w:r w:rsidR="00383784" w:rsidRPr="0CA95893">
        <w:rPr>
          <w:rFonts w:eastAsia="Arial" w:cs="Arial"/>
          <w:sz w:val="22"/>
          <w:szCs w:val="22"/>
        </w:rPr>
        <w:t xml:space="preserve">113 </w:t>
      </w:r>
      <w:r w:rsidR="000F5F51" w:rsidRPr="0CA95893">
        <w:rPr>
          <w:rFonts w:eastAsia="Arial" w:cs="Arial"/>
          <w:sz w:val="22"/>
          <w:szCs w:val="22"/>
        </w:rPr>
        <w:t>projects in 202</w:t>
      </w:r>
      <w:r w:rsidR="00383784" w:rsidRPr="0CA95893">
        <w:rPr>
          <w:rFonts w:eastAsia="Arial" w:cs="Arial"/>
          <w:sz w:val="22"/>
          <w:szCs w:val="22"/>
        </w:rPr>
        <w:t>3</w:t>
      </w:r>
      <w:r w:rsidR="000F5F51" w:rsidRPr="0CA95893">
        <w:rPr>
          <w:rFonts w:eastAsia="Arial" w:cs="Arial"/>
          <w:sz w:val="22"/>
          <w:szCs w:val="22"/>
        </w:rPr>
        <w:t>. The</w:t>
      </w:r>
      <w:r w:rsidR="065FEEEE" w:rsidRPr="0CA95893">
        <w:rPr>
          <w:rFonts w:eastAsia="Arial" w:cs="Arial"/>
          <w:sz w:val="22"/>
          <w:szCs w:val="22"/>
        </w:rPr>
        <w:t>y</w:t>
      </w:r>
      <w:r w:rsidR="000F5F51" w:rsidRPr="0CA95893">
        <w:rPr>
          <w:rFonts w:eastAsia="Arial" w:cs="Arial"/>
          <w:sz w:val="22"/>
          <w:szCs w:val="22"/>
        </w:rPr>
        <w:t xml:space="preserve"> presented </w:t>
      </w:r>
      <w:r w:rsidR="003B5755" w:rsidRPr="0CA95893">
        <w:rPr>
          <w:rFonts w:eastAsia="Arial" w:cs="Arial"/>
          <w:sz w:val="22"/>
          <w:szCs w:val="22"/>
        </w:rPr>
        <w:t xml:space="preserve">one </w:t>
      </w:r>
      <w:r w:rsidR="000F5F51" w:rsidRPr="0CA95893">
        <w:rPr>
          <w:rFonts w:eastAsia="Arial" w:cs="Arial"/>
          <w:sz w:val="22"/>
          <w:szCs w:val="22"/>
        </w:rPr>
        <w:t xml:space="preserve">project to the Screening Committee, </w:t>
      </w:r>
      <w:r w:rsidR="00355FE8" w:rsidRPr="0CA95893">
        <w:rPr>
          <w:rFonts w:eastAsia="Arial" w:cs="Arial"/>
          <w:sz w:val="22"/>
          <w:szCs w:val="22"/>
        </w:rPr>
        <w:t xml:space="preserve">three </w:t>
      </w:r>
      <w:r w:rsidR="000F5F51" w:rsidRPr="0CA95893">
        <w:rPr>
          <w:rFonts w:eastAsia="Arial" w:cs="Arial"/>
          <w:sz w:val="22"/>
          <w:szCs w:val="22"/>
        </w:rPr>
        <w:t xml:space="preserve">projects to the Investment Committee 1 and </w:t>
      </w:r>
      <w:r w:rsidR="007406E7" w:rsidRPr="0CA95893">
        <w:rPr>
          <w:rFonts w:eastAsia="Arial" w:cs="Arial"/>
          <w:sz w:val="22"/>
          <w:szCs w:val="22"/>
        </w:rPr>
        <w:t xml:space="preserve">four </w:t>
      </w:r>
      <w:r w:rsidR="000F5F51" w:rsidRPr="0CA95893">
        <w:rPr>
          <w:rFonts w:eastAsia="Arial" w:cs="Arial"/>
          <w:sz w:val="22"/>
          <w:szCs w:val="22"/>
        </w:rPr>
        <w:t>projects to the Investment Committee 2.</w:t>
      </w:r>
      <w:r w:rsidR="065FEEEE" w:rsidRPr="0CA95893">
        <w:rPr>
          <w:rFonts w:eastAsia="Arial" w:cs="Arial"/>
          <w:sz w:val="22"/>
          <w:szCs w:val="22"/>
        </w:rPr>
        <w:t xml:space="preserve"> </w:t>
      </w:r>
      <w:r w:rsidR="00942E92" w:rsidRPr="0CA95893">
        <w:rPr>
          <w:rFonts w:eastAsia="Arial" w:cs="Arial"/>
          <w:sz w:val="22"/>
          <w:szCs w:val="22"/>
        </w:rPr>
        <w:t xml:space="preserve">Three </w:t>
      </w:r>
      <w:r w:rsidR="065FEEEE" w:rsidRPr="0CA95893">
        <w:rPr>
          <w:rFonts w:eastAsia="Arial" w:cs="Arial"/>
          <w:sz w:val="22"/>
          <w:szCs w:val="22"/>
        </w:rPr>
        <w:t xml:space="preserve">new investments were </w:t>
      </w:r>
      <w:r w:rsidR="050A93FA" w:rsidRPr="0CA95893">
        <w:rPr>
          <w:rFonts w:eastAsia="Arial" w:cs="Arial"/>
          <w:sz w:val="22"/>
          <w:szCs w:val="22"/>
        </w:rPr>
        <w:t>closed in 202</w:t>
      </w:r>
      <w:r w:rsidR="00942E92" w:rsidRPr="0CA95893">
        <w:rPr>
          <w:rFonts w:eastAsia="Arial" w:cs="Arial"/>
          <w:sz w:val="22"/>
          <w:szCs w:val="22"/>
        </w:rPr>
        <w:t>3</w:t>
      </w:r>
      <w:r w:rsidR="050A93FA" w:rsidRPr="0CA95893">
        <w:rPr>
          <w:rFonts w:eastAsia="Arial" w:cs="Arial"/>
          <w:sz w:val="22"/>
          <w:szCs w:val="22"/>
        </w:rPr>
        <w:t xml:space="preserve"> (</w:t>
      </w:r>
      <w:r w:rsidR="00942E92" w:rsidRPr="0CA95893">
        <w:rPr>
          <w:rFonts w:eastAsia="Arial" w:cs="Arial"/>
          <w:sz w:val="22"/>
          <w:szCs w:val="22"/>
        </w:rPr>
        <w:t>Pamoja</w:t>
      </w:r>
      <w:r w:rsidR="050A93FA" w:rsidRPr="0CA95893">
        <w:rPr>
          <w:rFonts w:eastAsia="Arial" w:cs="Arial"/>
          <w:sz w:val="22"/>
          <w:szCs w:val="22"/>
        </w:rPr>
        <w:t xml:space="preserve">, </w:t>
      </w:r>
      <w:r w:rsidR="00942E92" w:rsidRPr="0CA95893">
        <w:rPr>
          <w:rFonts w:eastAsia="Arial" w:cs="Arial"/>
          <w:sz w:val="22"/>
          <w:szCs w:val="22"/>
        </w:rPr>
        <w:t xml:space="preserve">Koa Impact and </w:t>
      </w:r>
      <w:proofErr w:type="spellStart"/>
      <w:r w:rsidR="00942E92" w:rsidRPr="0CA95893">
        <w:rPr>
          <w:rFonts w:eastAsia="Arial" w:cs="Arial"/>
          <w:sz w:val="22"/>
          <w:szCs w:val="22"/>
        </w:rPr>
        <w:t>Terrasos</w:t>
      </w:r>
      <w:proofErr w:type="spellEnd"/>
      <w:r w:rsidR="050A93FA" w:rsidRPr="0CA95893">
        <w:rPr>
          <w:rFonts w:eastAsia="Arial" w:cs="Arial"/>
          <w:sz w:val="22"/>
          <w:szCs w:val="22"/>
        </w:rPr>
        <w:t>)</w:t>
      </w:r>
      <w:r w:rsidR="00712EBD" w:rsidRPr="0CA95893">
        <w:rPr>
          <w:rFonts w:eastAsia="Arial" w:cs="Arial"/>
          <w:sz w:val="22"/>
          <w:szCs w:val="22"/>
        </w:rPr>
        <w:t xml:space="preserve">. </w:t>
      </w:r>
      <w:r w:rsidR="007573A2" w:rsidRPr="0CA95893">
        <w:rPr>
          <w:rFonts w:eastAsia="Arial" w:cs="Arial"/>
          <w:sz w:val="22"/>
          <w:szCs w:val="22"/>
        </w:rPr>
        <w:t xml:space="preserve">As allowed by the fund’s documentation, it was decided to </w:t>
      </w:r>
      <w:r w:rsidR="000C28C8" w:rsidRPr="0CA95893">
        <w:rPr>
          <w:rFonts w:eastAsia="Arial" w:cs="Arial"/>
          <w:sz w:val="22"/>
          <w:szCs w:val="22"/>
        </w:rPr>
        <w:t>set-aside</w:t>
      </w:r>
      <w:r w:rsidR="007573A2" w:rsidRPr="0CA95893">
        <w:rPr>
          <w:rFonts w:eastAsia="Arial" w:cs="Arial"/>
          <w:sz w:val="22"/>
          <w:szCs w:val="22"/>
        </w:rPr>
        <w:t xml:space="preserve"> </w:t>
      </w:r>
      <w:r w:rsidR="00AE1C91" w:rsidRPr="0CA95893">
        <w:rPr>
          <w:rFonts w:eastAsia="Arial" w:cs="Arial"/>
          <w:sz w:val="22"/>
          <w:szCs w:val="22"/>
        </w:rPr>
        <w:t>some commitments for</w:t>
      </w:r>
      <w:r w:rsidR="001638D9" w:rsidRPr="0CA95893">
        <w:rPr>
          <w:rFonts w:eastAsia="Arial" w:cs="Arial"/>
          <w:sz w:val="22"/>
          <w:szCs w:val="22"/>
        </w:rPr>
        <w:t xml:space="preserve"> potential</w:t>
      </w:r>
      <w:r w:rsidR="00AE1C91" w:rsidRPr="0CA95893">
        <w:rPr>
          <w:rFonts w:eastAsia="Arial" w:cs="Arial"/>
          <w:sz w:val="22"/>
          <w:szCs w:val="22"/>
        </w:rPr>
        <w:t xml:space="preserve"> </w:t>
      </w:r>
      <w:r w:rsidR="001638D9" w:rsidRPr="0CA95893">
        <w:rPr>
          <w:rFonts w:eastAsia="Arial" w:cs="Arial"/>
          <w:sz w:val="22"/>
          <w:szCs w:val="22"/>
        </w:rPr>
        <w:t>top-up</w:t>
      </w:r>
      <w:r w:rsidR="00AE1C91" w:rsidRPr="0CA95893">
        <w:rPr>
          <w:rFonts w:eastAsia="Arial" w:cs="Arial"/>
          <w:sz w:val="22"/>
          <w:szCs w:val="22"/>
        </w:rPr>
        <w:t xml:space="preserve"> investments in the portfolio in 2024 and 2025</w:t>
      </w:r>
      <w:r w:rsidR="294DC94E" w:rsidRPr="0CA95893">
        <w:rPr>
          <w:rFonts w:eastAsia="Arial" w:cs="Arial"/>
          <w:sz w:val="22"/>
          <w:szCs w:val="22"/>
        </w:rPr>
        <w:t xml:space="preserve">. This </w:t>
      </w:r>
      <w:r w:rsidR="00A005D3" w:rsidRPr="0CA95893">
        <w:rPr>
          <w:rFonts w:eastAsia="Arial" w:cs="Arial"/>
          <w:sz w:val="22"/>
          <w:szCs w:val="22"/>
        </w:rPr>
        <w:t>results in</w:t>
      </w:r>
      <w:r w:rsidR="6AE79F5E" w:rsidRPr="0CA95893">
        <w:rPr>
          <w:rFonts w:eastAsia="Arial" w:cs="Arial"/>
          <w:sz w:val="22"/>
          <w:szCs w:val="22"/>
        </w:rPr>
        <w:t xml:space="preserve"> Indicator 1.2 </w:t>
      </w:r>
      <w:r w:rsidR="00A005D3" w:rsidRPr="0CA95893">
        <w:rPr>
          <w:rFonts w:eastAsia="Arial" w:cs="Arial"/>
          <w:sz w:val="22"/>
          <w:szCs w:val="22"/>
        </w:rPr>
        <w:t xml:space="preserve">being below its target for </w:t>
      </w:r>
      <w:proofErr w:type="gramStart"/>
      <w:r w:rsidR="00A005D3" w:rsidRPr="0CA95893">
        <w:rPr>
          <w:rFonts w:eastAsia="Arial" w:cs="Arial"/>
          <w:sz w:val="22"/>
          <w:szCs w:val="22"/>
        </w:rPr>
        <w:t>2023</w:t>
      </w:r>
      <w:proofErr w:type="gramEnd"/>
      <w:r w:rsidR="00A005D3" w:rsidRPr="0CA95893">
        <w:rPr>
          <w:rFonts w:eastAsia="Arial" w:cs="Arial"/>
          <w:sz w:val="22"/>
          <w:szCs w:val="22"/>
        </w:rPr>
        <w:t xml:space="preserve"> but this </w:t>
      </w:r>
      <w:r w:rsidR="008D3FE2" w:rsidRPr="0CA95893">
        <w:rPr>
          <w:rFonts w:eastAsia="Arial" w:cs="Arial"/>
          <w:sz w:val="22"/>
          <w:szCs w:val="22"/>
        </w:rPr>
        <w:t>indicator</w:t>
      </w:r>
      <w:r w:rsidR="00A005D3" w:rsidRPr="0CA95893">
        <w:rPr>
          <w:rFonts w:eastAsia="Arial" w:cs="Arial"/>
          <w:sz w:val="22"/>
          <w:szCs w:val="22"/>
        </w:rPr>
        <w:t xml:space="preserve"> is expected to be </w:t>
      </w:r>
      <w:r w:rsidR="6AE79F5E" w:rsidRPr="0CA95893">
        <w:rPr>
          <w:rFonts w:eastAsia="Arial" w:cs="Arial"/>
          <w:sz w:val="22"/>
          <w:szCs w:val="22"/>
        </w:rPr>
        <w:t>back on track</w:t>
      </w:r>
      <w:r w:rsidR="00A005D3" w:rsidRPr="0CA95893">
        <w:rPr>
          <w:rFonts w:eastAsia="Arial" w:cs="Arial"/>
          <w:sz w:val="22"/>
          <w:szCs w:val="22"/>
        </w:rPr>
        <w:t xml:space="preserve"> by end 2025.</w:t>
      </w:r>
    </w:p>
    <w:p w14:paraId="2786D8C3" w14:textId="5767617F" w:rsidR="00274B58" w:rsidRPr="00F7082F" w:rsidRDefault="00517475" w:rsidP="00036B87">
      <w:pPr>
        <w:pStyle w:val="ListParagraph"/>
        <w:numPr>
          <w:ilvl w:val="0"/>
          <w:numId w:val="7"/>
        </w:numPr>
        <w:spacing w:line="257" w:lineRule="auto"/>
        <w:jc w:val="both"/>
        <w:rPr>
          <w:rFonts w:eastAsia="Arial" w:cs="Arial"/>
          <w:sz w:val="22"/>
          <w:szCs w:val="22"/>
        </w:rPr>
      </w:pPr>
      <w:r>
        <w:rPr>
          <w:rFonts w:eastAsia="Arial" w:cs="Arial"/>
          <w:b/>
          <w:bCs/>
          <w:sz w:val="22"/>
          <w:szCs w:val="22"/>
        </w:rPr>
        <w:t xml:space="preserve">Output </w:t>
      </w:r>
      <w:r w:rsidR="00C025FA">
        <w:rPr>
          <w:rFonts w:eastAsia="Arial" w:cs="Arial"/>
          <w:b/>
          <w:bCs/>
          <w:sz w:val="22"/>
          <w:szCs w:val="22"/>
        </w:rPr>
        <w:t xml:space="preserve">Indictor 1.3: </w:t>
      </w:r>
      <w:r w:rsidR="000F5F51" w:rsidRPr="00F7082F">
        <w:rPr>
          <w:rFonts w:eastAsia="Arial" w:cs="Arial"/>
          <w:sz w:val="22"/>
          <w:szCs w:val="22"/>
        </w:rPr>
        <w:t>As of the end of 202</w:t>
      </w:r>
      <w:r w:rsidR="330DC551" w:rsidRPr="00F7082F">
        <w:rPr>
          <w:rFonts w:eastAsia="Arial" w:cs="Arial"/>
          <w:sz w:val="22"/>
          <w:szCs w:val="22"/>
        </w:rPr>
        <w:t>3</w:t>
      </w:r>
      <w:r w:rsidR="000F5F51" w:rsidRPr="00F7082F">
        <w:rPr>
          <w:rFonts w:eastAsia="Arial" w:cs="Arial"/>
          <w:sz w:val="22"/>
          <w:szCs w:val="22"/>
        </w:rPr>
        <w:t xml:space="preserve">, the LDN Fund had supported </w:t>
      </w:r>
      <w:r w:rsidR="000E2CCF" w:rsidRPr="00F7082F">
        <w:rPr>
          <w:rFonts w:eastAsia="Arial" w:cs="Arial"/>
          <w:sz w:val="22"/>
          <w:szCs w:val="22"/>
        </w:rPr>
        <w:t>2</w:t>
      </w:r>
      <w:r w:rsidR="543CA25A" w:rsidRPr="00F7082F">
        <w:rPr>
          <w:rFonts w:eastAsia="Arial" w:cs="Arial"/>
          <w:sz w:val="22"/>
          <w:szCs w:val="22"/>
        </w:rPr>
        <w:t>7</w:t>
      </w:r>
      <w:r w:rsidR="000F5F51" w:rsidRPr="00F7082F">
        <w:rPr>
          <w:rFonts w:eastAsia="Arial" w:cs="Arial"/>
          <w:sz w:val="22"/>
          <w:szCs w:val="22"/>
        </w:rPr>
        <w:t xml:space="preserve"> different projects for </w:t>
      </w:r>
      <w:r w:rsidR="002E4482" w:rsidRPr="00F7082F">
        <w:rPr>
          <w:rFonts w:eastAsia="Arial" w:cs="Arial"/>
          <w:sz w:val="22"/>
          <w:szCs w:val="22"/>
        </w:rPr>
        <w:t>pre-</w:t>
      </w:r>
      <w:r w:rsidR="000F5F51" w:rsidRPr="00F7082F">
        <w:rPr>
          <w:rFonts w:eastAsia="Arial" w:cs="Arial"/>
          <w:sz w:val="22"/>
          <w:szCs w:val="22"/>
        </w:rPr>
        <w:t xml:space="preserve">investment preparation </w:t>
      </w:r>
      <w:r w:rsidR="002E4482" w:rsidRPr="00F7082F">
        <w:rPr>
          <w:rFonts w:eastAsia="Arial" w:cs="Arial"/>
          <w:sz w:val="22"/>
          <w:szCs w:val="22"/>
        </w:rPr>
        <w:t xml:space="preserve">and post-investment support </w:t>
      </w:r>
      <w:r w:rsidR="000F5F51" w:rsidRPr="00F7082F">
        <w:rPr>
          <w:rFonts w:eastAsia="Arial" w:cs="Arial"/>
          <w:sz w:val="22"/>
          <w:szCs w:val="22"/>
        </w:rPr>
        <w:t xml:space="preserve">through the </w:t>
      </w:r>
      <w:r w:rsidR="004B750B" w:rsidRPr="00F7082F">
        <w:rPr>
          <w:rFonts w:eastAsia="Arial" w:cs="Arial"/>
          <w:sz w:val="22"/>
          <w:szCs w:val="22"/>
        </w:rPr>
        <w:t>TAF</w:t>
      </w:r>
      <w:r w:rsidR="00274B58" w:rsidRPr="00F7082F">
        <w:rPr>
          <w:rFonts w:eastAsia="Arial" w:cs="Arial"/>
          <w:sz w:val="22"/>
          <w:szCs w:val="22"/>
        </w:rPr>
        <w:t xml:space="preserve">. New projects added in </w:t>
      </w:r>
      <w:r w:rsidR="00623D3B" w:rsidRPr="00F7082F">
        <w:rPr>
          <w:rFonts w:eastAsia="Arial" w:cs="Arial"/>
          <w:sz w:val="22"/>
          <w:szCs w:val="22"/>
        </w:rPr>
        <w:t xml:space="preserve">2023 </w:t>
      </w:r>
      <w:r w:rsidR="00274B58" w:rsidRPr="00F7082F">
        <w:rPr>
          <w:rFonts w:eastAsia="Arial" w:cs="Arial"/>
          <w:sz w:val="22"/>
          <w:szCs w:val="22"/>
        </w:rPr>
        <w:t>are</w:t>
      </w:r>
      <w:r w:rsidR="003155CB" w:rsidRPr="00F7082F">
        <w:rPr>
          <w:rFonts w:eastAsia="Arial" w:cs="Arial"/>
          <w:sz w:val="22"/>
          <w:szCs w:val="22"/>
        </w:rPr>
        <w:t xml:space="preserve">: </w:t>
      </w:r>
      <w:r w:rsidR="000550FC" w:rsidRPr="00F7082F">
        <w:rPr>
          <w:rFonts w:eastAsia="Arial" w:cs="Arial"/>
          <w:sz w:val="22"/>
          <w:szCs w:val="22"/>
        </w:rPr>
        <w:t>BMF (Vietnam</w:t>
      </w:r>
      <w:r w:rsidR="00DD6D81" w:rsidRPr="00F7082F">
        <w:rPr>
          <w:rFonts w:eastAsia="Arial" w:cs="Arial"/>
          <w:sz w:val="22"/>
          <w:szCs w:val="22"/>
        </w:rPr>
        <w:t>, wood bioenergy</w:t>
      </w:r>
      <w:r w:rsidR="000550FC" w:rsidRPr="00F7082F">
        <w:rPr>
          <w:rFonts w:eastAsia="Arial" w:cs="Arial"/>
          <w:sz w:val="22"/>
          <w:szCs w:val="22"/>
        </w:rPr>
        <w:t xml:space="preserve">), </w:t>
      </w:r>
      <w:proofErr w:type="spellStart"/>
      <w:r w:rsidR="000550FC" w:rsidRPr="00F7082F">
        <w:rPr>
          <w:rFonts w:eastAsia="Arial" w:cs="Arial"/>
          <w:sz w:val="22"/>
          <w:szCs w:val="22"/>
        </w:rPr>
        <w:t>Talmond</w:t>
      </w:r>
      <w:proofErr w:type="spellEnd"/>
      <w:r w:rsidR="000550FC" w:rsidRPr="00F7082F">
        <w:rPr>
          <w:rFonts w:eastAsia="Arial" w:cs="Arial"/>
          <w:sz w:val="22"/>
          <w:szCs w:val="22"/>
        </w:rPr>
        <w:t xml:space="preserve"> (Ghana</w:t>
      </w:r>
      <w:r w:rsidR="00916549" w:rsidRPr="00F7082F">
        <w:rPr>
          <w:rFonts w:eastAsia="Arial" w:cs="Arial"/>
          <w:sz w:val="22"/>
          <w:szCs w:val="22"/>
        </w:rPr>
        <w:t>, tropical a</w:t>
      </w:r>
      <w:r w:rsidR="00756168" w:rsidRPr="00F7082F">
        <w:rPr>
          <w:rFonts w:eastAsia="Arial" w:cs="Arial"/>
          <w:sz w:val="22"/>
          <w:szCs w:val="22"/>
        </w:rPr>
        <w:t>lmond agroforestry</w:t>
      </w:r>
      <w:r w:rsidR="000550FC" w:rsidRPr="00F7082F">
        <w:rPr>
          <w:rFonts w:eastAsia="Arial" w:cs="Arial"/>
          <w:sz w:val="22"/>
          <w:szCs w:val="22"/>
        </w:rPr>
        <w:t>), What If Foods (Ghana</w:t>
      </w:r>
      <w:r w:rsidR="00756168" w:rsidRPr="00F7082F">
        <w:rPr>
          <w:rFonts w:eastAsia="Arial" w:cs="Arial"/>
          <w:sz w:val="22"/>
          <w:szCs w:val="22"/>
        </w:rPr>
        <w:t>, Bambara beans</w:t>
      </w:r>
      <w:r w:rsidR="002674B7" w:rsidRPr="00F7082F">
        <w:rPr>
          <w:rFonts w:eastAsia="Arial" w:cs="Arial"/>
          <w:sz w:val="22"/>
          <w:szCs w:val="22"/>
        </w:rPr>
        <w:t xml:space="preserve"> with regenerative agriculture</w:t>
      </w:r>
      <w:r w:rsidR="000550FC" w:rsidRPr="00F7082F">
        <w:rPr>
          <w:rFonts w:eastAsia="Arial" w:cs="Arial"/>
          <w:sz w:val="22"/>
          <w:szCs w:val="22"/>
        </w:rPr>
        <w:t>), Atlas Fruits Company (Morocco</w:t>
      </w:r>
      <w:r w:rsidR="008D02FE" w:rsidRPr="00F7082F">
        <w:rPr>
          <w:rFonts w:eastAsia="Arial" w:cs="Arial"/>
          <w:sz w:val="22"/>
          <w:szCs w:val="22"/>
        </w:rPr>
        <w:t>, sustainable citrus production</w:t>
      </w:r>
      <w:r w:rsidR="000550FC" w:rsidRPr="00F7082F">
        <w:rPr>
          <w:rFonts w:eastAsia="Arial" w:cs="Arial"/>
          <w:sz w:val="22"/>
          <w:szCs w:val="22"/>
        </w:rPr>
        <w:t>) and SLB (Brazil</w:t>
      </w:r>
      <w:r w:rsidR="008D02FE" w:rsidRPr="00F7082F">
        <w:rPr>
          <w:rFonts w:eastAsia="Arial" w:cs="Arial"/>
          <w:sz w:val="22"/>
          <w:szCs w:val="22"/>
        </w:rPr>
        <w:t>, sustainable forestry</w:t>
      </w:r>
      <w:r w:rsidR="000550FC" w:rsidRPr="00F7082F">
        <w:rPr>
          <w:rFonts w:eastAsia="Arial" w:cs="Arial"/>
          <w:sz w:val="22"/>
          <w:szCs w:val="22"/>
        </w:rPr>
        <w:t xml:space="preserve">). </w:t>
      </w:r>
    </w:p>
    <w:p w14:paraId="7171A2AE" w14:textId="43569982" w:rsidR="00117F60" w:rsidRDefault="00517475" w:rsidP="00274B58">
      <w:pPr>
        <w:pStyle w:val="ListParagraph"/>
        <w:numPr>
          <w:ilvl w:val="0"/>
          <w:numId w:val="7"/>
        </w:numPr>
        <w:spacing w:line="257" w:lineRule="auto"/>
        <w:jc w:val="both"/>
        <w:rPr>
          <w:rFonts w:eastAsia="Arial" w:cs="Arial"/>
          <w:sz w:val="22"/>
          <w:szCs w:val="22"/>
        </w:rPr>
      </w:pPr>
      <w:r>
        <w:rPr>
          <w:rFonts w:eastAsia="Arial" w:cs="Arial"/>
          <w:b/>
          <w:bCs/>
          <w:sz w:val="22"/>
          <w:szCs w:val="22"/>
        </w:rPr>
        <w:t xml:space="preserve">Output </w:t>
      </w:r>
      <w:r w:rsidR="00C025FA">
        <w:rPr>
          <w:rFonts w:eastAsia="Arial" w:cs="Arial"/>
          <w:b/>
          <w:bCs/>
          <w:sz w:val="22"/>
          <w:szCs w:val="22"/>
        </w:rPr>
        <w:t xml:space="preserve">Indicator 1.4: </w:t>
      </w:r>
      <w:r w:rsidR="00F25BFB" w:rsidRPr="2A2FC195">
        <w:rPr>
          <w:rFonts w:eastAsia="Arial" w:cs="Arial"/>
          <w:sz w:val="22"/>
          <w:szCs w:val="22"/>
        </w:rPr>
        <w:t xml:space="preserve">The number of countries </w:t>
      </w:r>
      <w:r w:rsidR="001A1311" w:rsidRPr="2A2FC195">
        <w:rPr>
          <w:rFonts w:eastAsia="Arial" w:cs="Arial"/>
          <w:sz w:val="22"/>
          <w:szCs w:val="22"/>
        </w:rPr>
        <w:t>where TA is provided fell below the milest</w:t>
      </w:r>
      <w:r w:rsidR="00D040A0" w:rsidRPr="2A2FC195">
        <w:rPr>
          <w:rFonts w:eastAsia="Arial" w:cs="Arial"/>
          <w:sz w:val="22"/>
          <w:szCs w:val="22"/>
        </w:rPr>
        <w:t>one set for 202</w:t>
      </w:r>
      <w:r w:rsidR="3F57A216" w:rsidRPr="2A2FC195">
        <w:rPr>
          <w:rFonts w:eastAsia="Arial" w:cs="Arial"/>
          <w:sz w:val="22"/>
          <w:szCs w:val="22"/>
        </w:rPr>
        <w:t>3</w:t>
      </w:r>
      <w:r w:rsidR="00D040A0" w:rsidRPr="2A2FC195">
        <w:rPr>
          <w:rFonts w:eastAsia="Arial" w:cs="Arial"/>
          <w:sz w:val="22"/>
          <w:szCs w:val="22"/>
        </w:rPr>
        <w:t xml:space="preserve">, but </w:t>
      </w:r>
      <w:r w:rsidR="00154F51" w:rsidRPr="2A2FC195">
        <w:rPr>
          <w:rFonts w:eastAsia="Arial" w:cs="Arial"/>
          <w:sz w:val="22"/>
          <w:szCs w:val="22"/>
        </w:rPr>
        <w:t>as with other linear targets, some variability on progress should be expected year-to-year</w:t>
      </w:r>
      <w:r w:rsidR="009C75CC" w:rsidRPr="2A2FC195">
        <w:rPr>
          <w:rFonts w:eastAsia="Arial" w:cs="Arial"/>
          <w:sz w:val="22"/>
          <w:szCs w:val="22"/>
        </w:rPr>
        <w:t xml:space="preserve"> as individual </w:t>
      </w:r>
      <w:r w:rsidR="0008429F" w:rsidRPr="2A2FC195">
        <w:rPr>
          <w:rFonts w:eastAsia="Arial" w:cs="Arial"/>
          <w:sz w:val="22"/>
          <w:szCs w:val="22"/>
        </w:rPr>
        <w:t xml:space="preserve">TA </w:t>
      </w:r>
      <w:r w:rsidR="009C75CC" w:rsidRPr="2A2FC195">
        <w:rPr>
          <w:rFonts w:eastAsia="Arial" w:cs="Arial"/>
          <w:sz w:val="22"/>
          <w:szCs w:val="22"/>
        </w:rPr>
        <w:t xml:space="preserve">projects </w:t>
      </w:r>
      <w:r w:rsidR="0008429F" w:rsidRPr="2A2FC195">
        <w:rPr>
          <w:rFonts w:eastAsia="Arial" w:cs="Arial"/>
          <w:sz w:val="22"/>
          <w:szCs w:val="22"/>
        </w:rPr>
        <w:t>are approved/rejected/completed</w:t>
      </w:r>
      <w:r w:rsidR="00154F51" w:rsidRPr="2A2FC195">
        <w:rPr>
          <w:rFonts w:eastAsia="Arial" w:cs="Arial"/>
          <w:sz w:val="22"/>
          <w:szCs w:val="22"/>
        </w:rPr>
        <w:t>. The indication is that in 202</w:t>
      </w:r>
      <w:r w:rsidR="4E78AC5F" w:rsidRPr="2A2FC195">
        <w:rPr>
          <w:rFonts w:eastAsia="Arial" w:cs="Arial"/>
          <w:sz w:val="22"/>
          <w:szCs w:val="22"/>
        </w:rPr>
        <w:t>4</w:t>
      </w:r>
      <w:r w:rsidR="009C75CC" w:rsidRPr="2A2FC195">
        <w:rPr>
          <w:rFonts w:eastAsia="Arial" w:cs="Arial"/>
          <w:sz w:val="22"/>
          <w:szCs w:val="22"/>
        </w:rPr>
        <w:t xml:space="preserve"> this indicator will be back in line with targets.</w:t>
      </w:r>
    </w:p>
    <w:p w14:paraId="4E0D59C9" w14:textId="4B892EB4" w:rsidR="00F032BF" w:rsidRPr="00ED75A8" w:rsidRDefault="00517475" w:rsidP="00ED75A8">
      <w:pPr>
        <w:pStyle w:val="ListParagraph"/>
        <w:tabs>
          <w:tab w:val="left" w:pos="6915"/>
          <w:tab w:val="left" w:pos="9495"/>
        </w:tabs>
        <w:ind w:left="360"/>
        <w:rPr>
          <w:rFonts w:eastAsia="Arial" w:cs="Arial"/>
          <w:i/>
          <w:iCs/>
          <w:sz w:val="22"/>
          <w:szCs w:val="22"/>
          <w:lang w:val="en-US"/>
        </w:rPr>
      </w:pPr>
      <w:r>
        <w:rPr>
          <w:rFonts w:eastAsia="Arial" w:cs="Arial"/>
          <w:b/>
          <w:bCs/>
          <w:sz w:val="22"/>
          <w:szCs w:val="22"/>
        </w:rPr>
        <w:t xml:space="preserve">Output </w:t>
      </w:r>
      <w:r w:rsidR="00C025FA">
        <w:rPr>
          <w:rFonts w:eastAsia="Arial" w:cs="Arial"/>
          <w:b/>
          <w:bCs/>
          <w:sz w:val="22"/>
          <w:szCs w:val="22"/>
        </w:rPr>
        <w:t xml:space="preserve">Indicator 1.5: </w:t>
      </w:r>
      <w:r w:rsidR="00F032BF" w:rsidRPr="0287FA13">
        <w:rPr>
          <w:rFonts w:eastAsia="Arial" w:cs="Arial"/>
          <w:sz w:val="22"/>
          <w:szCs w:val="22"/>
        </w:rPr>
        <w:t>LDN published</w:t>
      </w:r>
      <w:r w:rsidR="00F7082F">
        <w:rPr>
          <w:rFonts w:eastAsia="Arial" w:cs="Arial"/>
          <w:sz w:val="22"/>
          <w:szCs w:val="22"/>
        </w:rPr>
        <w:t xml:space="preserve"> </w:t>
      </w:r>
      <w:r w:rsidR="00432C58">
        <w:rPr>
          <w:rFonts w:eastAsia="Arial" w:cs="Arial"/>
          <w:sz w:val="22"/>
          <w:szCs w:val="22"/>
        </w:rPr>
        <w:t>five</w:t>
      </w:r>
      <w:r w:rsidR="62EE18DF" w:rsidRPr="0287FA13">
        <w:rPr>
          <w:rFonts w:eastAsia="Arial" w:cs="Arial"/>
          <w:sz w:val="22"/>
          <w:szCs w:val="22"/>
        </w:rPr>
        <w:t xml:space="preserve"> new knowledge products</w:t>
      </w:r>
      <w:r w:rsidR="00F35DBA">
        <w:rPr>
          <w:rFonts w:eastAsia="Arial" w:cs="Arial"/>
          <w:sz w:val="22"/>
          <w:szCs w:val="22"/>
        </w:rPr>
        <w:t>:</w:t>
      </w:r>
      <w:r w:rsidR="62EE18DF" w:rsidRPr="0287FA13">
        <w:rPr>
          <w:rFonts w:eastAsia="Arial" w:cs="Arial"/>
          <w:sz w:val="22"/>
          <w:szCs w:val="22"/>
        </w:rPr>
        <w:t xml:space="preserve"> </w:t>
      </w:r>
      <w:r w:rsidR="00CA59C1" w:rsidRPr="00CA59C1">
        <w:rPr>
          <w:rFonts w:eastAsia="Arial" w:cs="Arial"/>
          <w:sz w:val="22"/>
          <w:szCs w:val="22"/>
        </w:rPr>
        <w:t xml:space="preserve"> BMF (Vietnam), </w:t>
      </w:r>
      <w:proofErr w:type="spellStart"/>
      <w:r w:rsidR="00CA59C1" w:rsidRPr="00CA59C1">
        <w:rPr>
          <w:rFonts w:eastAsia="Arial" w:cs="Arial"/>
          <w:sz w:val="22"/>
          <w:szCs w:val="22"/>
        </w:rPr>
        <w:t>Talmond</w:t>
      </w:r>
      <w:proofErr w:type="spellEnd"/>
      <w:r w:rsidR="00CA59C1" w:rsidRPr="00CA59C1">
        <w:rPr>
          <w:rFonts w:eastAsia="Arial" w:cs="Arial"/>
          <w:sz w:val="22"/>
          <w:szCs w:val="22"/>
        </w:rPr>
        <w:t xml:space="preserve"> (Ghana), What If Foods (Ghana), Atlas Fruits Company (Morocco) and SLB (Brazil).</w:t>
      </w:r>
      <w:r w:rsidR="00ED75A8">
        <w:rPr>
          <w:rFonts w:eastAsia="Arial" w:cs="Arial"/>
          <w:sz w:val="22"/>
          <w:szCs w:val="22"/>
        </w:rPr>
        <w:t xml:space="preserve"> </w:t>
      </w:r>
      <w:r w:rsidR="00590049" w:rsidRPr="00C925EC">
        <w:rPr>
          <w:color w:val="000000" w:themeColor="text1"/>
          <w:sz w:val="22"/>
          <w:szCs w:val="22"/>
          <w:lang w:val="en-US"/>
        </w:rPr>
        <w:t>K</w:t>
      </w:r>
      <w:proofErr w:type="spellStart"/>
      <w:r w:rsidR="00ED75A8" w:rsidRPr="00C925EC">
        <w:rPr>
          <w:rFonts w:eastAsia="Arial" w:cs="Arial"/>
          <w:sz w:val="22"/>
          <w:szCs w:val="22"/>
        </w:rPr>
        <w:t>nowledge</w:t>
      </w:r>
      <w:proofErr w:type="spellEnd"/>
      <w:r w:rsidR="00ED75A8" w:rsidRPr="00C925EC">
        <w:rPr>
          <w:rFonts w:eastAsia="Arial" w:cs="Arial"/>
          <w:sz w:val="22"/>
          <w:szCs w:val="22"/>
        </w:rPr>
        <w:t xml:space="preserve"> sharing with the wider project developer and investor community</w:t>
      </w:r>
      <w:r w:rsidR="00590049" w:rsidRPr="00C925EC">
        <w:rPr>
          <w:rFonts w:eastAsia="Arial" w:cs="Arial"/>
          <w:sz w:val="22"/>
          <w:szCs w:val="22"/>
        </w:rPr>
        <w:t xml:space="preserve"> </w:t>
      </w:r>
      <w:r w:rsidR="00FA2AA4" w:rsidRPr="00C925EC">
        <w:rPr>
          <w:rFonts w:eastAsia="Arial" w:cs="Arial"/>
          <w:sz w:val="22"/>
          <w:szCs w:val="22"/>
        </w:rPr>
        <w:t xml:space="preserve">uses </w:t>
      </w:r>
      <w:r w:rsidR="00ED75A8" w:rsidRPr="00C925EC">
        <w:rPr>
          <w:rFonts w:eastAsia="Arial" w:cs="Arial"/>
          <w:sz w:val="22"/>
          <w:szCs w:val="22"/>
        </w:rPr>
        <w:t>the LDN insights website, www.ldninsights.org. Learning briefs and articles are incorporated on the website as well as information on new LDN TAF projects in the case studies section, which is updated on a regular basis. Project milestones, such as newly added or finalised projects, are regularly posted on the PMU’s and/or IDH social media accounts to create more visibility and attract traffic towards the webpage.</w:t>
      </w:r>
    </w:p>
    <w:p w14:paraId="2FCADFAF" w14:textId="27309727" w:rsidR="000F5F51" w:rsidRPr="00AD3F2C" w:rsidRDefault="00517475">
      <w:pPr>
        <w:pStyle w:val="ListParagraph"/>
        <w:numPr>
          <w:ilvl w:val="0"/>
          <w:numId w:val="7"/>
        </w:numPr>
        <w:spacing w:line="257" w:lineRule="auto"/>
        <w:jc w:val="both"/>
        <w:rPr>
          <w:color w:val="000000" w:themeColor="text1"/>
          <w:szCs w:val="24"/>
          <w:lang w:val="en-US"/>
        </w:rPr>
      </w:pPr>
      <w:r>
        <w:rPr>
          <w:b/>
          <w:bCs/>
          <w:sz w:val="22"/>
          <w:szCs w:val="22"/>
        </w:rPr>
        <w:lastRenderedPageBreak/>
        <w:t xml:space="preserve">Output </w:t>
      </w:r>
      <w:r w:rsidR="00C025FA">
        <w:rPr>
          <w:b/>
          <w:bCs/>
          <w:sz w:val="22"/>
          <w:szCs w:val="22"/>
        </w:rPr>
        <w:t>Indi</w:t>
      </w:r>
      <w:r>
        <w:rPr>
          <w:b/>
          <w:bCs/>
          <w:sz w:val="22"/>
          <w:szCs w:val="22"/>
        </w:rPr>
        <w:t>c</w:t>
      </w:r>
      <w:r w:rsidR="00C025FA">
        <w:rPr>
          <w:b/>
          <w:bCs/>
          <w:sz w:val="22"/>
          <w:szCs w:val="22"/>
        </w:rPr>
        <w:t>ator 1.6:</w:t>
      </w:r>
      <w:r w:rsidR="000F5F51" w:rsidRPr="4EE900A2">
        <w:rPr>
          <w:rFonts w:eastAsia="Arial" w:cs="Arial"/>
          <w:sz w:val="22"/>
          <w:szCs w:val="22"/>
          <w:lang w:val="en-US"/>
        </w:rPr>
        <w:t xml:space="preserve"> the LDN Fund team has developed innovative financing instruments adapted to SLM projects, including profit sharing loans </w:t>
      </w:r>
      <w:r w:rsidR="19F93257" w:rsidRPr="4EE900A2">
        <w:rPr>
          <w:sz w:val="22"/>
          <w:szCs w:val="22"/>
        </w:rPr>
        <w:t xml:space="preserve">which </w:t>
      </w:r>
      <w:r w:rsidR="000F5F51" w:rsidRPr="4EE900A2">
        <w:rPr>
          <w:rFonts w:eastAsia="Arial" w:cs="Arial"/>
          <w:sz w:val="22"/>
          <w:szCs w:val="22"/>
          <w:lang w:val="en-US"/>
        </w:rPr>
        <w:t>combine a reasonable interest rate with profit and/or carbon revenue sharing. Such instruments are very appealing to project developers and can provide LDN Fund’s investors with attractive return</w:t>
      </w:r>
      <w:r w:rsidR="00514773" w:rsidRPr="4EE900A2">
        <w:rPr>
          <w:rFonts w:eastAsia="Arial" w:cs="Arial"/>
          <w:sz w:val="22"/>
          <w:szCs w:val="22"/>
          <w:lang w:val="en-US"/>
        </w:rPr>
        <w:t>s</w:t>
      </w:r>
      <w:r w:rsidR="000F5F51" w:rsidRPr="4EE900A2">
        <w:rPr>
          <w:rFonts w:eastAsia="Arial" w:cs="Arial"/>
          <w:sz w:val="22"/>
          <w:szCs w:val="22"/>
          <w:lang w:val="en-US"/>
        </w:rPr>
        <w:t>, should underlying projects perform well.</w:t>
      </w:r>
    </w:p>
    <w:p w14:paraId="7194231E" w14:textId="79D1AAA8" w:rsidR="000F5F51" w:rsidRPr="00DD3402" w:rsidRDefault="000F5F51" w:rsidP="009854A1">
      <w:pPr>
        <w:pStyle w:val="ListParagraph"/>
        <w:numPr>
          <w:ilvl w:val="1"/>
          <w:numId w:val="7"/>
        </w:numPr>
        <w:spacing w:line="257" w:lineRule="auto"/>
        <w:jc w:val="both"/>
        <w:rPr>
          <w:color w:val="000000" w:themeColor="text1"/>
          <w:sz w:val="22"/>
          <w:szCs w:val="22"/>
          <w:lang w:val="en-US"/>
        </w:rPr>
      </w:pPr>
      <w:r w:rsidRPr="27CD0807">
        <w:rPr>
          <w:rFonts w:eastAsia="Arial" w:cs="Arial"/>
          <w:sz w:val="22"/>
          <w:szCs w:val="22"/>
          <w:lang w:val="en-US"/>
        </w:rPr>
        <w:t xml:space="preserve">Many of the successful scale-ups of projects supported through LDN investments are relatively new projects with inclusive approaches, such as engaging with farmers through </w:t>
      </w:r>
      <w:proofErr w:type="spellStart"/>
      <w:r w:rsidRPr="27CD0807">
        <w:rPr>
          <w:rFonts w:eastAsia="Arial" w:cs="Arial"/>
          <w:sz w:val="22"/>
          <w:szCs w:val="22"/>
          <w:lang w:val="en-US"/>
        </w:rPr>
        <w:t>outgrower</w:t>
      </w:r>
      <w:proofErr w:type="spellEnd"/>
      <w:r w:rsidRPr="27CD0807">
        <w:rPr>
          <w:rFonts w:eastAsia="Arial" w:cs="Arial"/>
          <w:sz w:val="22"/>
          <w:szCs w:val="22"/>
          <w:lang w:val="en-US"/>
        </w:rPr>
        <w:t xml:space="preserve"> schemes, or scaling agroforestry systems. These projects often have not yet reached the point of break-even and therefore require a long-term investor that can afford to wait until they are cash-flow positive. In addition to this, </w:t>
      </w:r>
      <w:r w:rsidR="00B577F2" w:rsidRPr="27CD0807">
        <w:rPr>
          <w:rFonts w:eastAsia="Arial" w:cs="Arial"/>
          <w:sz w:val="22"/>
          <w:szCs w:val="22"/>
          <w:lang w:val="en-US"/>
        </w:rPr>
        <w:t>direct</w:t>
      </w:r>
      <w:r w:rsidRPr="27CD0807">
        <w:rPr>
          <w:sz w:val="22"/>
          <w:szCs w:val="22"/>
        </w:rPr>
        <w:t xml:space="preserve"> partnerships with smallholder farmers and local communities are made through the provision of technical, financial and market support to create business propositions that empower them.</w:t>
      </w:r>
    </w:p>
    <w:p w14:paraId="4B6C12DE" w14:textId="77777777" w:rsidR="004F1736" w:rsidRPr="00DD3402" w:rsidRDefault="004F1736" w:rsidP="00DD3402">
      <w:pPr>
        <w:spacing w:line="257" w:lineRule="auto"/>
        <w:jc w:val="both"/>
        <w:rPr>
          <w:color w:val="000000" w:themeColor="text1"/>
          <w:sz w:val="22"/>
          <w:szCs w:val="22"/>
          <w:lang w:val="en-US"/>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2C20BD" w:rsidRPr="002055D4" w14:paraId="7A0F242C" w14:textId="77777777" w:rsidTr="1B54C50C">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C57142" w14:textId="77777777" w:rsidR="000F5F51" w:rsidRPr="002055D4" w:rsidRDefault="000F5F51" w:rsidP="00680FA9">
            <w:pPr>
              <w:rPr>
                <w:b/>
                <w:bCs/>
                <w:sz w:val="20"/>
                <w:szCs w:val="20"/>
              </w:rPr>
            </w:pPr>
            <w:r w:rsidRPr="60E67443">
              <w:rPr>
                <w:b/>
                <w:bCs/>
                <w:sz w:val="20"/>
                <w:szCs w:val="20"/>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96CBA3" w14:textId="77777777" w:rsidR="000F5F51" w:rsidRPr="002055D4" w:rsidRDefault="000F5F51" w:rsidP="00680FA9">
            <w:pPr>
              <w:rPr>
                <w:rFonts w:cs="Arial"/>
                <w:i/>
                <w:iCs/>
                <w:sz w:val="20"/>
                <w:szCs w:val="20"/>
              </w:rPr>
            </w:pPr>
            <w:r w:rsidRPr="60E67443">
              <w:rPr>
                <w:rFonts w:cs="Arial"/>
                <w:sz w:val="20"/>
                <w:szCs w:val="20"/>
                <w:shd w:val="clear" w:color="auto" w:fill="FFFFFF"/>
              </w:rPr>
              <w:t>Projects supported by the LDN Fund to deliver positive environmental outputs on a local, national and global scale.</w:t>
            </w:r>
          </w:p>
        </w:tc>
      </w:tr>
      <w:tr w:rsidR="00E909FF" w:rsidRPr="002055D4" w14:paraId="4BBD0FED" w14:textId="77777777" w:rsidTr="1B54C50C">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EBA4D8" w14:textId="77777777" w:rsidR="000F5F51" w:rsidRPr="002055D4" w:rsidRDefault="000F5F51" w:rsidP="00680FA9">
            <w:pPr>
              <w:rPr>
                <w:sz w:val="20"/>
                <w:szCs w:val="20"/>
              </w:rPr>
            </w:pPr>
            <w:r w:rsidRPr="60E67443">
              <w:rPr>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381FCBDC" w14:textId="77777777" w:rsidR="000F5F51" w:rsidRPr="002055D4" w:rsidRDefault="000F5F51" w:rsidP="00680FA9">
            <w:pPr>
              <w:rPr>
                <w:sz w:val="20"/>
                <w:szCs w:val="20"/>
              </w:rPr>
            </w:pPr>
            <w:r w:rsidRPr="60E67443">
              <w:rPr>
                <w:sz w:val="20"/>
                <w:szCs w:val="20"/>
              </w:rPr>
              <w:t>2</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DC8526" w14:textId="77777777" w:rsidR="000F5F51" w:rsidRPr="002055D4" w:rsidRDefault="000F5F51" w:rsidP="00680FA9">
            <w:pPr>
              <w:rPr>
                <w:sz w:val="20"/>
                <w:szCs w:val="20"/>
              </w:rPr>
            </w:pPr>
            <w:r w:rsidRPr="60E67443">
              <w:rPr>
                <w:sz w:val="20"/>
                <w:szCs w:val="20"/>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44ECCE8F" w14:textId="6837E17C" w:rsidR="000F5F51" w:rsidRPr="002055D4" w:rsidRDefault="42C8904C" w:rsidP="00680FA9">
            <w:pPr>
              <w:rPr>
                <w:sz w:val="20"/>
                <w:szCs w:val="20"/>
              </w:rPr>
            </w:pPr>
            <w:r w:rsidRPr="1B54C50C">
              <w:rPr>
                <w:sz w:val="20"/>
                <w:szCs w:val="20"/>
              </w:rPr>
              <w:t>B</w:t>
            </w:r>
          </w:p>
        </w:tc>
      </w:tr>
      <w:tr w:rsidR="00E909FF" w:rsidRPr="002055D4" w14:paraId="14B68753" w14:textId="77777777" w:rsidTr="1B54C50C">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18D7FB" w14:textId="77777777" w:rsidR="000F5F51" w:rsidRPr="002055D4" w:rsidRDefault="000F5F51" w:rsidP="00680FA9">
            <w:pPr>
              <w:rPr>
                <w:sz w:val="20"/>
                <w:szCs w:val="20"/>
              </w:rPr>
            </w:pPr>
            <w:r w:rsidRPr="60E67443">
              <w:rPr>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67228CB3" w14:textId="4E6A3009" w:rsidR="000F5F51" w:rsidRPr="002055D4" w:rsidRDefault="00F81108" w:rsidP="00680FA9">
            <w:pPr>
              <w:rPr>
                <w:sz w:val="20"/>
                <w:szCs w:val="20"/>
              </w:rPr>
            </w:pPr>
            <w:r>
              <w:rPr>
                <w:sz w:val="20"/>
                <w:szCs w:val="20"/>
              </w:rPr>
              <w:t>25</w:t>
            </w:r>
            <w:r w:rsidR="0048417D">
              <w:rPr>
                <w:sz w:val="20"/>
                <w:szCs w:val="20"/>
              </w:rPr>
              <w:t>%</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7CAB09" w14:textId="77777777" w:rsidR="000F5F51" w:rsidRPr="002055D4" w:rsidRDefault="000F5F51" w:rsidP="00680FA9">
            <w:pPr>
              <w:rPr>
                <w:sz w:val="20"/>
                <w:szCs w:val="20"/>
              </w:rPr>
            </w:pPr>
            <w:r w:rsidRPr="60E67443">
              <w:rPr>
                <w:sz w:val="20"/>
                <w:szCs w:val="20"/>
              </w:rPr>
              <w:t xml:space="preserve">Weighting revised since last </w:t>
            </w:r>
            <w:proofErr w:type="gramStart"/>
            <w:r w:rsidRPr="60E67443">
              <w:rPr>
                <w:sz w:val="20"/>
                <w:szCs w:val="20"/>
              </w:rPr>
              <w:t>AR?</w:t>
            </w:r>
            <w:proofErr w:type="gramEnd"/>
            <w:r w:rsidRPr="60E67443">
              <w:rPr>
                <w:sz w:val="20"/>
                <w:szCs w:val="20"/>
              </w:rPr>
              <w:t xml:space="preserve"> </w:t>
            </w:r>
          </w:p>
        </w:tc>
        <w:tc>
          <w:tcPr>
            <w:tcW w:w="2812" w:type="dxa"/>
            <w:tcBorders>
              <w:top w:val="single" w:sz="4" w:space="0" w:color="auto"/>
              <w:left w:val="single" w:sz="4" w:space="0" w:color="auto"/>
              <w:bottom w:val="single" w:sz="4" w:space="0" w:color="auto"/>
              <w:right w:val="single" w:sz="4" w:space="0" w:color="auto"/>
            </w:tcBorders>
          </w:tcPr>
          <w:p w14:paraId="50BA4359" w14:textId="77777777" w:rsidR="000F5F51" w:rsidRPr="002055D4" w:rsidRDefault="000F5F51" w:rsidP="00680FA9">
            <w:pPr>
              <w:rPr>
                <w:sz w:val="20"/>
                <w:szCs w:val="20"/>
              </w:rPr>
            </w:pPr>
            <w:r>
              <w:rPr>
                <w:sz w:val="20"/>
                <w:szCs w:val="20"/>
              </w:rPr>
              <w:t>N/A</w:t>
            </w:r>
          </w:p>
        </w:tc>
      </w:tr>
    </w:tbl>
    <w:tbl>
      <w:tblPr>
        <w:tblStyle w:val="TableGrid"/>
        <w:tblpPr w:leftFromText="180" w:rightFromText="180" w:vertAnchor="text" w:horzAnchor="margin" w:tblpXSpec="center" w:tblpY="141"/>
        <w:tblOverlap w:val="never"/>
        <w:tblW w:w="9094" w:type="dxa"/>
        <w:jc w:val="center"/>
        <w:tblLook w:val="04A0" w:firstRow="1" w:lastRow="0" w:firstColumn="1" w:lastColumn="0" w:noHBand="0" w:noVBand="1"/>
      </w:tblPr>
      <w:tblGrid>
        <w:gridCol w:w="3114"/>
        <w:gridCol w:w="1134"/>
        <w:gridCol w:w="1123"/>
        <w:gridCol w:w="1136"/>
        <w:gridCol w:w="1285"/>
        <w:gridCol w:w="1302"/>
      </w:tblGrid>
      <w:tr w:rsidR="00F7082F" w:rsidRPr="002055D4" w14:paraId="628D600A" w14:textId="77777777" w:rsidTr="00956A91">
        <w:trPr>
          <w:trHeight w:val="442"/>
          <w:jc w:val="center"/>
        </w:trPr>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51BB2E" w14:textId="77777777" w:rsidR="00F7082F" w:rsidRPr="002055D4" w:rsidRDefault="00F7082F" w:rsidP="00521F90">
            <w:pPr>
              <w:rPr>
                <w:b/>
                <w:bCs/>
                <w:sz w:val="20"/>
                <w:szCs w:val="20"/>
              </w:rPr>
            </w:pPr>
            <w:r w:rsidRPr="60E67443">
              <w:rPr>
                <w:b/>
                <w:bCs/>
                <w:sz w:val="20"/>
                <w:szCs w:val="20"/>
              </w:rPr>
              <w:t>Indicator(s)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86C5FA" w14:textId="2F025D85" w:rsidR="00F7082F" w:rsidRPr="002055D4" w:rsidRDefault="00F7082F" w:rsidP="00521F90">
            <w:pPr>
              <w:jc w:val="center"/>
              <w:rPr>
                <w:b/>
                <w:bCs/>
                <w:sz w:val="20"/>
                <w:szCs w:val="20"/>
              </w:rPr>
            </w:pPr>
            <w:r>
              <w:rPr>
                <w:b/>
                <w:bCs/>
                <w:sz w:val="20"/>
                <w:szCs w:val="20"/>
              </w:rPr>
              <w:t xml:space="preserve">2020 </w:t>
            </w:r>
          </w:p>
        </w:tc>
        <w:tc>
          <w:tcPr>
            <w:tcW w:w="11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65E1BC" w14:textId="2DAEEC67" w:rsidR="00F7082F" w:rsidRPr="002055D4" w:rsidRDefault="00F7082F" w:rsidP="00521F90">
            <w:pPr>
              <w:jc w:val="center"/>
              <w:rPr>
                <w:b/>
                <w:bCs/>
                <w:sz w:val="20"/>
                <w:szCs w:val="20"/>
              </w:rPr>
            </w:pPr>
            <w:r>
              <w:rPr>
                <w:b/>
                <w:bCs/>
                <w:sz w:val="20"/>
                <w:szCs w:val="20"/>
              </w:rPr>
              <w:t>2021</w:t>
            </w:r>
          </w:p>
        </w:tc>
        <w:tc>
          <w:tcPr>
            <w:tcW w:w="11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91C1F1" w14:textId="3C3418C1" w:rsidR="00F7082F" w:rsidRDefault="00F7082F" w:rsidP="00521F90">
            <w:pPr>
              <w:jc w:val="center"/>
              <w:rPr>
                <w:b/>
                <w:bCs/>
                <w:sz w:val="20"/>
                <w:szCs w:val="20"/>
              </w:rPr>
            </w:pPr>
            <w:r>
              <w:rPr>
                <w:b/>
                <w:bCs/>
                <w:sz w:val="20"/>
                <w:szCs w:val="20"/>
              </w:rPr>
              <w:t>2022</w:t>
            </w:r>
          </w:p>
        </w:tc>
        <w:tc>
          <w:tcPr>
            <w:tcW w:w="12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C9E975" w14:textId="77777777" w:rsidR="00F7082F" w:rsidRDefault="00F7082F" w:rsidP="00521F90">
            <w:pPr>
              <w:jc w:val="center"/>
              <w:rPr>
                <w:b/>
                <w:bCs/>
                <w:sz w:val="20"/>
                <w:szCs w:val="20"/>
              </w:rPr>
            </w:pPr>
            <w:r w:rsidRPr="1BEB8757">
              <w:rPr>
                <w:b/>
                <w:bCs/>
                <w:sz w:val="20"/>
                <w:szCs w:val="20"/>
              </w:rPr>
              <w:t xml:space="preserve">2023 </w:t>
            </w:r>
            <w:r w:rsidRPr="1BEB8757">
              <w:rPr>
                <w:b/>
                <w:bCs/>
                <w:i/>
                <w:iCs/>
                <w:sz w:val="20"/>
                <w:szCs w:val="20"/>
              </w:rPr>
              <w:t>milestone</w:t>
            </w:r>
          </w:p>
        </w:tc>
        <w:tc>
          <w:tcPr>
            <w:tcW w:w="13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0DFC1A" w14:textId="170D51DB" w:rsidR="00F7082F" w:rsidRDefault="00F7082F" w:rsidP="00521F90">
            <w:pPr>
              <w:jc w:val="center"/>
              <w:rPr>
                <w:b/>
                <w:bCs/>
                <w:sz w:val="20"/>
                <w:szCs w:val="20"/>
              </w:rPr>
            </w:pPr>
            <w:r w:rsidRPr="2F322462">
              <w:rPr>
                <w:b/>
                <w:bCs/>
                <w:sz w:val="20"/>
                <w:szCs w:val="20"/>
              </w:rPr>
              <w:t>2023</w:t>
            </w:r>
          </w:p>
        </w:tc>
      </w:tr>
      <w:tr w:rsidR="00F7082F" w:rsidRPr="002055D4" w14:paraId="1A8558C3" w14:textId="77777777" w:rsidTr="00956A91">
        <w:trPr>
          <w:trHeight w:val="243"/>
          <w:jc w:val="center"/>
        </w:trPr>
        <w:tc>
          <w:tcPr>
            <w:tcW w:w="3114" w:type="dxa"/>
            <w:tcBorders>
              <w:top w:val="single" w:sz="4" w:space="0" w:color="auto"/>
              <w:left w:val="single" w:sz="4" w:space="0" w:color="auto"/>
              <w:bottom w:val="single" w:sz="4" w:space="0" w:color="auto"/>
              <w:right w:val="single" w:sz="4" w:space="0" w:color="auto"/>
            </w:tcBorders>
          </w:tcPr>
          <w:p w14:paraId="64AA3D5E" w14:textId="1C861BA3" w:rsidR="00F7082F" w:rsidRPr="002055D4" w:rsidRDefault="00F7082F" w:rsidP="00521F90">
            <w:pPr>
              <w:rPr>
                <w:sz w:val="20"/>
                <w:szCs w:val="20"/>
              </w:rPr>
            </w:pPr>
            <w:r w:rsidRPr="3565349E">
              <w:rPr>
                <w:sz w:val="20"/>
                <w:szCs w:val="20"/>
              </w:rPr>
              <w:t>2.1 Number of threatened species (IUCN Red List) in conservation areas</w:t>
            </w:r>
            <w:r w:rsidR="003818A8">
              <w:rPr>
                <w:sz w:val="20"/>
                <w:szCs w:val="20"/>
              </w:rPr>
              <w:t xml:space="preserve"> (annual)</w:t>
            </w:r>
          </w:p>
        </w:tc>
        <w:tc>
          <w:tcPr>
            <w:tcW w:w="1134" w:type="dxa"/>
            <w:tcBorders>
              <w:top w:val="single" w:sz="4" w:space="0" w:color="auto"/>
              <w:left w:val="single" w:sz="4" w:space="0" w:color="auto"/>
              <w:bottom w:val="single" w:sz="4" w:space="0" w:color="auto"/>
              <w:right w:val="single" w:sz="4" w:space="0" w:color="auto"/>
            </w:tcBorders>
            <w:vAlign w:val="center"/>
          </w:tcPr>
          <w:p w14:paraId="720121E7" w14:textId="77777777" w:rsidR="00F7082F" w:rsidRPr="002055D4" w:rsidRDefault="00F7082F" w:rsidP="00521F90">
            <w:pPr>
              <w:jc w:val="center"/>
            </w:pPr>
            <w:r>
              <w:rPr>
                <w:sz w:val="20"/>
                <w:szCs w:val="20"/>
              </w:rPr>
              <w:t>39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07E8432" w14:textId="77777777" w:rsidR="00F7082F" w:rsidRPr="002055D4" w:rsidRDefault="00F7082F" w:rsidP="00521F90">
            <w:pPr>
              <w:jc w:val="center"/>
              <w:rPr>
                <w:sz w:val="20"/>
                <w:szCs w:val="20"/>
              </w:rPr>
            </w:pPr>
            <w:r>
              <w:rPr>
                <w:sz w:val="20"/>
                <w:szCs w:val="20"/>
              </w:rPr>
              <w:t>18</w:t>
            </w:r>
          </w:p>
        </w:tc>
        <w:tc>
          <w:tcPr>
            <w:tcW w:w="1136" w:type="dxa"/>
            <w:tcBorders>
              <w:top w:val="single" w:sz="4" w:space="0" w:color="auto"/>
              <w:left w:val="single" w:sz="4" w:space="0" w:color="auto"/>
              <w:bottom w:val="single" w:sz="4" w:space="0" w:color="auto"/>
              <w:right w:val="single" w:sz="4" w:space="0" w:color="auto"/>
            </w:tcBorders>
            <w:vAlign w:val="center"/>
          </w:tcPr>
          <w:p w14:paraId="00A22D96" w14:textId="77777777" w:rsidR="00F7082F" w:rsidRDefault="00F7082F" w:rsidP="00521F90">
            <w:pPr>
              <w:jc w:val="center"/>
              <w:rPr>
                <w:sz w:val="20"/>
                <w:szCs w:val="20"/>
              </w:rPr>
            </w:pPr>
            <w:r>
              <w:rPr>
                <w:sz w:val="20"/>
                <w:szCs w:val="20"/>
              </w:rPr>
              <w:t>157</w:t>
            </w:r>
          </w:p>
        </w:tc>
        <w:tc>
          <w:tcPr>
            <w:tcW w:w="1285" w:type="dxa"/>
            <w:tcBorders>
              <w:top w:val="single" w:sz="4" w:space="0" w:color="auto"/>
              <w:left w:val="single" w:sz="4" w:space="0" w:color="auto"/>
              <w:bottom w:val="single" w:sz="4" w:space="0" w:color="auto"/>
              <w:right w:val="single" w:sz="4" w:space="0" w:color="auto"/>
            </w:tcBorders>
            <w:vAlign w:val="center"/>
          </w:tcPr>
          <w:p w14:paraId="68BB888A" w14:textId="77777777" w:rsidR="00F7082F" w:rsidRDefault="00F7082F" w:rsidP="00521F90">
            <w:pPr>
              <w:jc w:val="center"/>
              <w:rPr>
                <w:sz w:val="20"/>
                <w:szCs w:val="20"/>
              </w:rPr>
            </w:pPr>
            <w:r w:rsidRPr="1BEB8757">
              <w:rPr>
                <w:sz w:val="20"/>
                <w:szCs w:val="20"/>
              </w:rPr>
              <w:t>n/a</w:t>
            </w:r>
          </w:p>
        </w:tc>
        <w:tc>
          <w:tcPr>
            <w:tcW w:w="1302" w:type="dxa"/>
            <w:tcBorders>
              <w:top w:val="single" w:sz="4" w:space="0" w:color="auto"/>
              <w:left w:val="single" w:sz="4" w:space="0" w:color="auto"/>
              <w:bottom w:val="single" w:sz="4" w:space="0" w:color="auto"/>
              <w:right w:val="single" w:sz="4" w:space="0" w:color="auto"/>
            </w:tcBorders>
            <w:vAlign w:val="center"/>
          </w:tcPr>
          <w:p w14:paraId="7D72070C" w14:textId="77777777" w:rsidR="00F7082F" w:rsidRDefault="00F7082F" w:rsidP="00521F90">
            <w:pPr>
              <w:jc w:val="center"/>
              <w:rPr>
                <w:sz w:val="20"/>
                <w:szCs w:val="20"/>
              </w:rPr>
            </w:pPr>
            <w:r w:rsidRPr="1BEB8757">
              <w:rPr>
                <w:sz w:val="20"/>
                <w:szCs w:val="20"/>
              </w:rPr>
              <w:t>105</w:t>
            </w:r>
          </w:p>
        </w:tc>
      </w:tr>
      <w:tr w:rsidR="00F7082F" w:rsidRPr="002055D4" w14:paraId="30F55B4B" w14:textId="77777777" w:rsidTr="00956A91">
        <w:trPr>
          <w:trHeight w:val="251"/>
          <w:jc w:val="center"/>
        </w:trPr>
        <w:tc>
          <w:tcPr>
            <w:tcW w:w="3114" w:type="dxa"/>
            <w:tcBorders>
              <w:top w:val="single" w:sz="4" w:space="0" w:color="auto"/>
              <w:left w:val="single" w:sz="4" w:space="0" w:color="auto"/>
              <w:bottom w:val="single" w:sz="4" w:space="0" w:color="auto"/>
              <w:right w:val="single" w:sz="4" w:space="0" w:color="auto"/>
            </w:tcBorders>
          </w:tcPr>
          <w:p w14:paraId="08AAFEFE" w14:textId="59F0EE16" w:rsidR="00F7082F" w:rsidRPr="002055D4" w:rsidRDefault="00F7082F" w:rsidP="00521F90">
            <w:pPr>
              <w:rPr>
                <w:sz w:val="20"/>
                <w:szCs w:val="20"/>
              </w:rPr>
            </w:pPr>
            <w:r w:rsidRPr="60E67443">
              <w:rPr>
                <w:sz w:val="20"/>
                <w:szCs w:val="20"/>
              </w:rPr>
              <w:t>2.2 Number of sustainable certifications received by LDN-funded projects</w:t>
            </w:r>
            <w:r w:rsidR="00956A91">
              <w:rPr>
                <w:sz w:val="20"/>
                <w:szCs w:val="20"/>
              </w:rPr>
              <w:t xml:space="preserve"> </w:t>
            </w:r>
            <w:r w:rsidR="00956A91" w:rsidRPr="60E67443">
              <w:rPr>
                <w:rFonts w:eastAsia="Arial" w:cs="Arial"/>
                <w:sz w:val="20"/>
                <w:szCs w:val="20"/>
              </w:rPr>
              <w:t>(cumulative)</w:t>
            </w:r>
          </w:p>
        </w:tc>
        <w:tc>
          <w:tcPr>
            <w:tcW w:w="1134" w:type="dxa"/>
            <w:tcBorders>
              <w:top w:val="single" w:sz="4" w:space="0" w:color="auto"/>
              <w:left w:val="single" w:sz="4" w:space="0" w:color="auto"/>
              <w:bottom w:val="single" w:sz="4" w:space="0" w:color="auto"/>
              <w:right w:val="single" w:sz="4" w:space="0" w:color="auto"/>
            </w:tcBorders>
            <w:vAlign w:val="center"/>
          </w:tcPr>
          <w:p w14:paraId="23051B0F" w14:textId="77777777" w:rsidR="00F7082F" w:rsidRPr="002055D4" w:rsidRDefault="00F7082F" w:rsidP="00521F90">
            <w:pPr>
              <w:jc w:val="center"/>
              <w:rPr>
                <w:sz w:val="20"/>
                <w:szCs w:val="20"/>
              </w:rPr>
            </w:pPr>
            <w:r>
              <w:rPr>
                <w:sz w:val="20"/>
                <w:szCs w:val="20"/>
              </w:rPr>
              <w:t>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5EBDE8D" w14:textId="77777777" w:rsidR="00F7082F" w:rsidRPr="002055D4" w:rsidRDefault="00F7082F" w:rsidP="00521F90">
            <w:pPr>
              <w:jc w:val="center"/>
              <w:rPr>
                <w:sz w:val="20"/>
                <w:szCs w:val="20"/>
              </w:rPr>
            </w:pPr>
            <w:r w:rsidRPr="60E67443">
              <w:rPr>
                <w:sz w:val="20"/>
                <w:szCs w:val="20"/>
              </w:rPr>
              <w:t>5</w:t>
            </w:r>
          </w:p>
        </w:tc>
        <w:tc>
          <w:tcPr>
            <w:tcW w:w="1136" w:type="dxa"/>
            <w:tcBorders>
              <w:top w:val="single" w:sz="4" w:space="0" w:color="auto"/>
              <w:left w:val="single" w:sz="4" w:space="0" w:color="auto"/>
              <w:bottom w:val="single" w:sz="4" w:space="0" w:color="auto"/>
              <w:right w:val="single" w:sz="4" w:space="0" w:color="auto"/>
            </w:tcBorders>
            <w:vAlign w:val="center"/>
          </w:tcPr>
          <w:p w14:paraId="14C5815F" w14:textId="77777777" w:rsidR="00F7082F" w:rsidRPr="60E67443" w:rsidRDefault="00F7082F" w:rsidP="00521F90">
            <w:pPr>
              <w:jc w:val="center"/>
              <w:rPr>
                <w:sz w:val="20"/>
                <w:szCs w:val="20"/>
              </w:rPr>
            </w:pPr>
            <w:r>
              <w:rPr>
                <w:sz w:val="20"/>
                <w:szCs w:val="20"/>
              </w:rPr>
              <w:t>7</w:t>
            </w:r>
          </w:p>
        </w:tc>
        <w:tc>
          <w:tcPr>
            <w:tcW w:w="1285" w:type="dxa"/>
            <w:tcBorders>
              <w:top w:val="single" w:sz="4" w:space="0" w:color="auto"/>
              <w:left w:val="single" w:sz="4" w:space="0" w:color="auto"/>
              <w:bottom w:val="single" w:sz="4" w:space="0" w:color="auto"/>
              <w:right w:val="single" w:sz="4" w:space="0" w:color="auto"/>
            </w:tcBorders>
            <w:vAlign w:val="center"/>
          </w:tcPr>
          <w:p w14:paraId="7800CB30" w14:textId="77777777" w:rsidR="00F7082F" w:rsidRDefault="00F7082F" w:rsidP="00521F90">
            <w:pPr>
              <w:jc w:val="center"/>
              <w:rPr>
                <w:sz w:val="20"/>
                <w:szCs w:val="20"/>
              </w:rPr>
            </w:pPr>
            <w:r w:rsidRPr="1BEB8757">
              <w:rPr>
                <w:sz w:val="20"/>
                <w:szCs w:val="20"/>
              </w:rPr>
              <w:t>7</w:t>
            </w:r>
          </w:p>
        </w:tc>
        <w:tc>
          <w:tcPr>
            <w:tcW w:w="1302" w:type="dxa"/>
            <w:tcBorders>
              <w:top w:val="single" w:sz="4" w:space="0" w:color="auto"/>
              <w:left w:val="single" w:sz="4" w:space="0" w:color="auto"/>
              <w:bottom w:val="single" w:sz="4" w:space="0" w:color="auto"/>
              <w:right w:val="single" w:sz="4" w:space="0" w:color="auto"/>
            </w:tcBorders>
            <w:shd w:val="clear" w:color="auto" w:fill="92D050"/>
            <w:vAlign w:val="center"/>
          </w:tcPr>
          <w:p w14:paraId="517FDAAF" w14:textId="77777777" w:rsidR="00F7082F" w:rsidRDefault="00F7082F" w:rsidP="00521F90">
            <w:pPr>
              <w:jc w:val="center"/>
              <w:rPr>
                <w:sz w:val="20"/>
                <w:szCs w:val="20"/>
              </w:rPr>
            </w:pPr>
            <w:r w:rsidRPr="1BEB8757">
              <w:rPr>
                <w:sz w:val="20"/>
                <w:szCs w:val="20"/>
              </w:rPr>
              <w:t>8</w:t>
            </w:r>
          </w:p>
        </w:tc>
      </w:tr>
      <w:tr w:rsidR="00F7082F" w:rsidRPr="002055D4" w14:paraId="5B5BD2B9" w14:textId="77777777" w:rsidTr="00956A91">
        <w:trPr>
          <w:trHeight w:val="243"/>
          <w:jc w:val="center"/>
        </w:trPr>
        <w:tc>
          <w:tcPr>
            <w:tcW w:w="3114" w:type="dxa"/>
            <w:tcBorders>
              <w:top w:val="single" w:sz="4" w:space="0" w:color="auto"/>
              <w:left w:val="single" w:sz="4" w:space="0" w:color="auto"/>
              <w:bottom w:val="single" w:sz="4" w:space="0" w:color="auto"/>
              <w:right w:val="single" w:sz="4" w:space="0" w:color="auto"/>
            </w:tcBorders>
          </w:tcPr>
          <w:p w14:paraId="4FBC1F6A" w14:textId="68D2E4BC" w:rsidR="00F7082F" w:rsidRPr="002055D4" w:rsidRDefault="00F7082F" w:rsidP="00521F90">
            <w:pPr>
              <w:rPr>
                <w:sz w:val="20"/>
                <w:szCs w:val="20"/>
              </w:rPr>
            </w:pPr>
            <w:r w:rsidRPr="60E67443">
              <w:rPr>
                <w:sz w:val="20"/>
                <w:szCs w:val="20"/>
              </w:rPr>
              <w:t>2.3 Area of land under sustainable management</w:t>
            </w:r>
            <w:r>
              <w:rPr>
                <w:sz w:val="20"/>
                <w:szCs w:val="20"/>
              </w:rPr>
              <w:t xml:space="preserve"> (ha)</w:t>
            </w:r>
            <w:r w:rsidRPr="60E67443">
              <w:rPr>
                <w:sz w:val="20"/>
                <w:szCs w:val="20"/>
              </w:rPr>
              <w:t xml:space="preserve"> [KPI 17]</w:t>
            </w:r>
            <w:r w:rsidR="00956A91">
              <w:rPr>
                <w:sz w:val="20"/>
                <w:szCs w:val="20"/>
              </w:rPr>
              <w:t xml:space="preserve"> </w:t>
            </w:r>
            <w:r w:rsidR="00956A91" w:rsidRPr="60E67443">
              <w:rPr>
                <w:rFonts w:eastAsia="Arial" w:cs="Arial"/>
                <w:sz w:val="20"/>
                <w:szCs w:val="20"/>
              </w:rPr>
              <w:t>(cumulative)</w:t>
            </w:r>
          </w:p>
        </w:tc>
        <w:tc>
          <w:tcPr>
            <w:tcW w:w="1134" w:type="dxa"/>
            <w:tcBorders>
              <w:top w:val="single" w:sz="4" w:space="0" w:color="auto"/>
              <w:left w:val="single" w:sz="4" w:space="0" w:color="auto"/>
              <w:bottom w:val="single" w:sz="4" w:space="0" w:color="auto"/>
              <w:right w:val="single" w:sz="4" w:space="0" w:color="auto"/>
            </w:tcBorders>
            <w:vAlign w:val="center"/>
          </w:tcPr>
          <w:p w14:paraId="7F0E172C" w14:textId="77777777" w:rsidR="00F7082F" w:rsidRPr="002055D4" w:rsidRDefault="00F7082F" w:rsidP="00521F90">
            <w:pPr>
              <w:jc w:val="center"/>
              <w:rPr>
                <w:sz w:val="20"/>
                <w:szCs w:val="20"/>
              </w:rPr>
            </w:pPr>
            <w:r>
              <w:rPr>
                <w:sz w:val="20"/>
                <w:szCs w:val="20"/>
              </w:rPr>
              <w:t>40,753</w:t>
            </w:r>
          </w:p>
        </w:tc>
        <w:tc>
          <w:tcPr>
            <w:tcW w:w="1123" w:type="dxa"/>
            <w:tcBorders>
              <w:top w:val="single" w:sz="4" w:space="0" w:color="auto"/>
              <w:left w:val="single" w:sz="4" w:space="0" w:color="auto"/>
              <w:bottom w:val="single" w:sz="4" w:space="0" w:color="auto"/>
              <w:right w:val="single" w:sz="4" w:space="0" w:color="auto"/>
            </w:tcBorders>
            <w:vAlign w:val="center"/>
          </w:tcPr>
          <w:p w14:paraId="5A9BE1E0" w14:textId="77777777" w:rsidR="00F7082F" w:rsidRPr="002055D4" w:rsidRDefault="00F7082F" w:rsidP="00521F90">
            <w:pPr>
              <w:jc w:val="center"/>
              <w:rPr>
                <w:sz w:val="20"/>
                <w:szCs w:val="20"/>
              </w:rPr>
            </w:pPr>
            <w:r w:rsidRPr="60E67443">
              <w:rPr>
                <w:sz w:val="20"/>
                <w:szCs w:val="20"/>
              </w:rPr>
              <w:t>98,155</w:t>
            </w:r>
          </w:p>
        </w:tc>
        <w:tc>
          <w:tcPr>
            <w:tcW w:w="1136" w:type="dxa"/>
            <w:tcBorders>
              <w:top w:val="single" w:sz="4" w:space="0" w:color="auto"/>
              <w:left w:val="single" w:sz="4" w:space="0" w:color="auto"/>
              <w:bottom w:val="single" w:sz="4" w:space="0" w:color="auto"/>
              <w:right w:val="single" w:sz="4" w:space="0" w:color="auto"/>
            </w:tcBorders>
            <w:vAlign w:val="center"/>
          </w:tcPr>
          <w:p w14:paraId="293547FC" w14:textId="77777777" w:rsidR="00F7082F" w:rsidRPr="60E67443" w:rsidRDefault="00F7082F" w:rsidP="00521F90">
            <w:pPr>
              <w:jc w:val="center"/>
              <w:rPr>
                <w:sz w:val="20"/>
                <w:szCs w:val="20"/>
              </w:rPr>
            </w:pPr>
            <w:r w:rsidRPr="0007195F">
              <w:rPr>
                <w:sz w:val="20"/>
                <w:szCs w:val="20"/>
              </w:rPr>
              <w:t>133</w:t>
            </w:r>
            <w:r>
              <w:rPr>
                <w:sz w:val="20"/>
                <w:szCs w:val="20"/>
              </w:rPr>
              <w:t>,</w:t>
            </w:r>
            <w:r w:rsidRPr="0007195F">
              <w:rPr>
                <w:sz w:val="20"/>
                <w:szCs w:val="20"/>
              </w:rPr>
              <w:t>301</w:t>
            </w:r>
          </w:p>
        </w:tc>
        <w:tc>
          <w:tcPr>
            <w:tcW w:w="1285" w:type="dxa"/>
            <w:tcBorders>
              <w:top w:val="single" w:sz="4" w:space="0" w:color="auto"/>
              <w:left w:val="single" w:sz="4" w:space="0" w:color="auto"/>
              <w:bottom w:val="single" w:sz="4" w:space="0" w:color="auto"/>
              <w:right w:val="single" w:sz="4" w:space="0" w:color="auto"/>
            </w:tcBorders>
            <w:vAlign w:val="center"/>
          </w:tcPr>
          <w:p w14:paraId="7C1760D1" w14:textId="77777777" w:rsidR="00F7082F" w:rsidRDefault="00F7082F" w:rsidP="00521F90">
            <w:pPr>
              <w:jc w:val="center"/>
              <w:rPr>
                <w:sz w:val="20"/>
                <w:szCs w:val="20"/>
              </w:rPr>
            </w:pPr>
            <w:r w:rsidRPr="1BEB8757">
              <w:rPr>
                <w:sz w:val="20"/>
                <w:szCs w:val="20"/>
              </w:rPr>
              <w:t>150,000</w:t>
            </w:r>
          </w:p>
        </w:tc>
        <w:tc>
          <w:tcPr>
            <w:tcW w:w="13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EA1CB3" w14:textId="77777777" w:rsidR="00F7082F" w:rsidRDefault="00F7082F" w:rsidP="00521F90">
            <w:pPr>
              <w:jc w:val="center"/>
              <w:rPr>
                <w:sz w:val="20"/>
                <w:szCs w:val="20"/>
              </w:rPr>
            </w:pPr>
            <w:r w:rsidRPr="181E9BD8">
              <w:rPr>
                <w:sz w:val="20"/>
                <w:szCs w:val="20"/>
              </w:rPr>
              <w:t>138,445</w:t>
            </w:r>
          </w:p>
        </w:tc>
      </w:tr>
    </w:tbl>
    <w:p w14:paraId="5734DFDD" w14:textId="77777777" w:rsidR="000F5F51" w:rsidRPr="002055D4" w:rsidRDefault="000F5F51" w:rsidP="000F5F51">
      <w:pPr>
        <w:rPr>
          <w:sz w:val="20"/>
          <w:szCs w:val="20"/>
        </w:rPr>
      </w:pPr>
    </w:p>
    <w:p w14:paraId="0EF489BB" w14:textId="7523D021" w:rsidR="000F5F51" w:rsidRPr="0062367F" w:rsidRDefault="00517475" w:rsidP="10BE8F76">
      <w:pPr>
        <w:pStyle w:val="ListParagraph"/>
        <w:numPr>
          <w:ilvl w:val="0"/>
          <w:numId w:val="10"/>
        </w:numPr>
        <w:rPr>
          <w:sz w:val="22"/>
          <w:szCs w:val="22"/>
        </w:rPr>
      </w:pPr>
      <w:r w:rsidRPr="443E94B4">
        <w:rPr>
          <w:b/>
          <w:bCs/>
          <w:sz w:val="22"/>
          <w:szCs w:val="22"/>
        </w:rPr>
        <w:t xml:space="preserve">Output </w:t>
      </w:r>
      <w:r w:rsidR="00C025FA" w:rsidRPr="443E94B4">
        <w:rPr>
          <w:b/>
          <w:bCs/>
          <w:sz w:val="22"/>
          <w:szCs w:val="22"/>
        </w:rPr>
        <w:t>Indicator 2.1:</w:t>
      </w:r>
      <w:r w:rsidR="000F5F51" w:rsidRPr="443E94B4">
        <w:rPr>
          <w:sz w:val="22"/>
          <w:szCs w:val="22"/>
        </w:rPr>
        <w:t xml:space="preserve"> the assumption is that </w:t>
      </w:r>
      <w:r w:rsidR="52BBB346" w:rsidRPr="443E94B4">
        <w:rPr>
          <w:sz w:val="22"/>
          <w:szCs w:val="22"/>
        </w:rPr>
        <w:t xml:space="preserve">the </w:t>
      </w:r>
      <w:r w:rsidR="000F5F51" w:rsidRPr="443E94B4">
        <w:rPr>
          <w:sz w:val="22"/>
          <w:szCs w:val="22"/>
        </w:rPr>
        <w:t>LDN project funding and funded projects have a positive impact on the targeted species. In 202</w:t>
      </w:r>
      <w:r w:rsidR="23A91DFF" w:rsidRPr="443E94B4">
        <w:rPr>
          <w:sz w:val="22"/>
          <w:szCs w:val="22"/>
        </w:rPr>
        <w:t>3</w:t>
      </w:r>
      <w:r w:rsidR="000F5F51" w:rsidRPr="443E94B4">
        <w:rPr>
          <w:sz w:val="22"/>
          <w:szCs w:val="22"/>
        </w:rPr>
        <w:t xml:space="preserve"> there were </w:t>
      </w:r>
      <w:r w:rsidR="00A33F46" w:rsidRPr="443E94B4">
        <w:rPr>
          <w:sz w:val="22"/>
          <w:szCs w:val="22"/>
        </w:rPr>
        <w:t>1</w:t>
      </w:r>
      <w:r w:rsidR="7207C983" w:rsidRPr="443E94B4">
        <w:rPr>
          <w:sz w:val="22"/>
          <w:szCs w:val="22"/>
        </w:rPr>
        <w:t xml:space="preserve">05 </w:t>
      </w:r>
      <w:r w:rsidR="000F5F51" w:rsidRPr="443E94B4">
        <w:rPr>
          <w:sz w:val="22"/>
          <w:szCs w:val="22"/>
        </w:rPr>
        <w:t>IUCN Red List species in the overall area of the projects funded at that time</w:t>
      </w:r>
      <w:r w:rsidR="00884DB0" w:rsidRPr="443E94B4">
        <w:rPr>
          <w:sz w:val="22"/>
          <w:szCs w:val="22"/>
        </w:rPr>
        <w:t xml:space="preserve">. The Fund does not actively target </w:t>
      </w:r>
      <w:r w:rsidR="001A760A" w:rsidRPr="443E94B4">
        <w:rPr>
          <w:sz w:val="22"/>
          <w:szCs w:val="22"/>
        </w:rPr>
        <w:t>species protection, so</w:t>
      </w:r>
      <w:r w:rsidR="00ED377F" w:rsidRPr="443E94B4">
        <w:rPr>
          <w:sz w:val="22"/>
          <w:szCs w:val="22"/>
        </w:rPr>
        <w:t xml:space="preserve"> no milestones are set, and</w:t>
      </w:r>
      <w:r w:rsidR="001A760A" w:rsidRPr="443E94B4">
        <w:rPr>
          <w:sz w:val="22"/>
          <w:szCs w:val="22"/>
        </w:rPr>
        <w:t xml:space="preserve"> this indicator primarily gives a sense of the </w:t>
      </w:r>
      <w:r w:rsidR="000B35E7" w:rsidRPr="443E94B4">
        <w:rPr>
          <w:sz w:val="22"/>
          <w:szCs w:val="22"/>
        </w:rPr>
        <w:t xml:space="preserve">habitat importance of the areas where LDN-supported projects are operating, and the potential they </w:t>
      </w:r>
      <w:proofErr w:type="gramStart"/>
      <w:r w:rsidR="000B35E7" w:rsidRPr="443E94B4">
        <w:rPr>
          <w:sz w:val="22"/>
          <w:szCs w:val="22"/>
        </w:rPr>
        <w:t>have to</w:t>
      </w:r>
      <w:proofErr w:type="gramEnd"/>
      <w:r w:rsidR="000B35E7" w:rsidRPr="443E94B4">
        <w:rPr>
          <w:sz w:val="22"/>
          <w:szCs w:val="22"/>
        </w:rPr>
        <w:t xml:space="preserve"> </w:t>
      </w:r>
      <w:r w:rsidR="003C281F" w:rsidRPr="443E94B4">
        <w:rPr>
          <w:sz w:val="22"/>
          <w:szCs w:val="22"/>
        </w:rPr>
        <w:t>make a difference to threatened species</w:t>
      </w:r>
      <w:r w:rsidR="00993958" w:rsidRPr="443E94B4">
        <w:rPr>
          <w:sz w:val="22"/>
          <w:szCs w:val="22"/>
        </w:rPr>
        <w:t xml:space="preserve"> through habitat restoration or reduced footprint</w:t>
      </w:r>
      <w:r w:rsidR="003B17B0" w:rsidRPr="443E94B4">
        <w:rPr>
          <w:sz w:val="22"/>
          <w:szCs w:val="22"/>
        </w:rPr>
        <w:t xml:space="preserve"> in those areas</w:t>
      </w:r>
      <w:r w:rsidR="7DCA9223" w:rsidRPr="443E94B4">
        <w:rPr>
          <w:sz w:val="22"/>
          <w:szCs w:val="22"/>
        </w:rPr>
        <w:t>. The significant reduction in this indicator is due to changes in methodology and surveying – which projects are surveyed in which year impacts the results for this indicator greatly.</w:t>
      </w:r>
      <w:r w:rsidR="00621FC2" w:rsidRPr="443E94B4">
        <w:rPr>
          <w:sz w:val="22"/>
          <w:szCs w:val="22"/>
        </w:rPr>
        <w:t xml:space="preserve"> This indicator has proved extremely tricky to report on and provided inconsistent and un</w:t>
      </w:r>
      <w:r w:rsidR="00F04855">
        <w:rPr>
          <w:sz w:val="22"/>
          <w:szCs w:val="22"/>
        </w:rPr>
        <w:t>clear</w:t>
      </w:r>
      <w:r w:rsidR="00621FC2" w:rsidRPr="443E94B4">
        <w:rPr>
          <w:sz w:val="22"/>
          <w:szCs w:val="22"/>
        </w:rPr>
        <w:t xml:space="preserve"> results. It is suggested that this indicator is removed from the </w:t>
      </w:r>
      <w:proofErr w:type="spellStart"/>
      <w:r w:rsidR="00621FC2" w:rsidRPr="443E94B4">
        <w:rPr>
          <w:sz w:val="22"/>
          <w:szCs w:val="22"/>
        </w:rPr>
        <w:t>logframe</w:t>
      </w:r>
      <w:proofErr w:type="spellEnd"/>
      <w:r w:rsidR="00621FC2" w:rsidRPr="443E94B4">
        <w:rPr>
          <w:sz w:val="22"/>
          <w:szCs w:val="22"/>
        </w:rPr>
        <w:t xml:space="preserve"> for 2024.</w:t>
      </w:r>
    </w:p>
    <w:p w14:paraId="037C6892" w14:textId="05EE4193" w:rsidR="000F5F51" w:rsidRPr="00223BAD" w:rsidRDefault="00517475" w:rsidP="00223BAD">
      <w:pPr>
        <w:pStyle w:val="ListParagraph"/>
        <w:numPr>
          <w:ilvl w:val="0"/>
          <w:numId w:val="10"/>
        </w:numPr>
        <w:rPr>
          <w:rFonts w:eastAsia="Arial" w:cs="Arial"/>
          <w:sz w:val="22"/>
          <w:szCs w:val="22"/>
        </w:rPr>
      </w:pPr>
      <w:r>
        <w:rPr>
          <w:b/>
          <w:bCs/>
          <w:sz w:val="22"/>
          <w:szCs w:val="22"/>
        </w:rPr>
        <w:t xml:space="preserve">Output </w:t>
      </w:r>
      <w:r w:rsidR="00C025FA">
        <w:rPr>
          <w:b/>
          <w:bCs/>
          <w:sz w:val="22"/>
          <w:szCs w:val="22"/>
        </w:rPr>
        <w:t xml:space="preserve">Indicator 2.2: </w:t>
      </w:r>
      <w:r w:rsidR="000F5F51" w:rsidRPr="6889F267">
        <w:rPr>
          <w:sz w:val="22"/>
          <w:szCs w:val="22"/>
        </w:rPr>
        <w:t xml:space="preserve">the results are cumulative and the assumption with using this metric is that sustainable certifications are a suitable proxy for </w:t>
      </w:r>
      <w:r w:rsidR="6BC6A175" w:rsidRPr="6889F267">
        <w:rPr>
          <w:sz w:val="22"/>
          <w:szCs w:val="22"/>
        </w:rPr>
        <w:t xml:space="preserve">SLM </w:t>
      </w:r>
      <w:r w:rsidR="000F5F51" w:rsidRPr="6889F267">
        <w:rPr>
          <w:sz w:val="22"/>
          <w:szCs w:val="22"/>
        </w:rPr>
        <w:t>practices. During 202</w:t>
      </w:r>
      <w:r w:rsidR="5EE90344" w:rsidRPr="6889F267">
        <w:rPr>
          <w:sz w:val="22"/>
          <w:szCs w:val="22"/>
        </w:rPr>
        <w:t>3</w:t>
      </w:r>
      <w:r w:rsidR="000F5F51" w:rsidRPr="6889F267">
        <w:rPr>
          <w:sz w:val="22"/>
          <w:szCs w:val="22"/>
        </w:rPr>
        <w:t xml:space="preserve"> the sustainable certifications gained by LDN funded projects were:</w:t>
      </w:r>
      <w:r w:rsidR="000F5F51" w:rsidRPr="6889F267">
        <w:rPr>
          <w:rFonts w:eastAsia="Arial" w:cs="Arial"/>
          <w:sz w:val="22"/>
          <w:szCs w:val="22"/>
        </w:rPr>
        <w:t xml:space="preserve"> </w:t>
      </w:r>
    </w:p>
    <w:p w14:paraId="2E3F69EC" w14:textId="003A1A1E" w:rsidR="6889F267" w:rsidRDefault="0095497F" w:rsidP="6889F267">
      <w:pPr>
        <w:pStyle w:val="ListParagraph"/>
        <w:numPr>
          <w:ilvl w:val="1"/>
          <w:numId w:val="10"/>
        </w:numPr>
        <w:rPr>
          <w:rFonts w:eastAsia="Arial" w:cs="Arial"/>
          <w:sz w:val="22"/>
          <w:szCs w:val="22"/>
        </w:rPr>
      </w:pPr>
      <w:r>
        <w:rPr>
          <w:rFonts w:eastAsia="Arial" w:cs="Arial"/>
          <w:sz w:val="22"/>
          <w:szCs w:val="22"/>
        </w:rPr>
        <w:t xml:space="preserve">Forest Stewardship Council (FSC): Miro Forestry, </w:t>
      </w:r>
      <w:r w:rsidR="00055B3D">
        <w:rPr>
          <w:rFonts w:eastAsia="Arial" w:cs="Arial"/>
          <w:sz w:val="22"/>
          <w:szCs w:val="22"/>
        </w:rPr>
        <w:t>Al</w:t>
      </w:r>
      <w:r w:rsidR="00DF7A77">
        <w:rPr>
          <w:rFonts w:eastAsia="Arial" w:cs="Arial"/>
          <w:sz w:val="22"/>
          <w:szCs w:val="22"/>
        </w:rPr>
        <w:t>oe</w:t>
      </w:r>
      <w:r w:rsidR="009E56F1">
        <w:rPr>
          <w:rFonts w:eastAsia="Arial" w:cs="Arial"/>
          <w:sz w:val="22"/>
          <w:szCs w:val="22"/>
        </w:rPr>
        <w:t xml:space="preserve"> </w:t>
      </w:r>
      <w:proofErr w:type="spellStart"/>
      <w:r w:rsidR="009E56F1">
        <w:rPr>
          <w:rFonts w:eastAsia="Arial" w:cs="Arial"/>
          <w:sz w:val="22"/>
          <w:szCs w:val="22"/>
        </w:rPr>
        <w:t>Agroforestal</w:t>
      </w:r>
      <w:proofErr w:type="spellEnd"/>
    </w:p>
    <w:p w14:paraId="4FF940B8" w14:textId="74148BBC" w:rsidR="009E56F1" w:rsidRDefault="00B4561F" w:rsidP="6889F267">
      <w:pPr>
        <w:pStyle w:val="ListParagraph"/>
        <w:numPr>
          <w:ilvl w:val="1"/>
          <w:numId w:val="10"/>
        </w:numPr>
        <w:rPr>
          <w:rFonts w:eastAsia="Arial" w:cs="Arial"/>
          <w:sz w:val="22"/>
          <w:szCs w:val="22"/>
        </w:rPr>
      </w:pPr>
      <w:r>
        <w:rPr>
          <w:rFonts w:eastAsia="Arial" w:cs="Arial"/>
          <w:sz w:val="22"/>
          <w:szCs w:val="22"/>
        </w:rPr>
        <w:t>Rainforest Alliance:</w:t>
      </w:r>
      <w:r w:rsidR="00533FC6">
        <w:rPr>
          <w:rFonts w:eastAsia="Arial" w:cs="Arial"/>
          <w:sz w:val="22"/>
          <w:szCs w:val="22"/>
        </w:rPr>
        <w:t xml:space="preserve"> </w:t>
      </w:r>
      <w:proofErr w:type="spellStart"/>
      <w:r w:rsidR="00533FC6">
        <w:rPr>
          <w:rFonts w:eastAsia="Arial" w:cs="Arial"/>
          <w:sz w:val="22"/>
          <w:szCs w:val="22"/>
        </w:rPr>
        <w:t>Urapi</w:t>
      </w:r>
      <w:proofErr w:type="spellEnd"/>
      <w:r w:rsidR="00533FC6">
        <w:rPr>
          <w:rFonts w:eastAsia="Arial" w:cs="Arial"/>
          <w:sz w:val="22"/>
          <w:szCs w:val="22"/>
        </w:rPr>
        <w:t>, Cacao Oro</w:t>
      </w:r>
      <w:r w:rsidR="00D07C1F">
        <w:rPr>
          <w:rFonts w:eastAsia="Arial" w:cs="Arial"/>
          <w:sz w:val="22"/>
          <w:szCs w:val="22"/>
        </w:rPr>
        <w:t>, Kennemer</w:t>
      </w:r>
    </w:p>
    <w:p w14:paraId="4EED8C6C" w14:textId="5CB7C9B3" w:rsidR="00B4561F" w:rsidRDefault="00B4561F" w:rsidP="6889F267">
      <w:pPr>
        <w:pStyle w:val="ListParagraph"/>
        <w:numPr>
          <w:ilvl w:val="1"/>
          <w:numId w:val="10"/>
        </w:numPr>
        <w:rPr>
          <w:rFonts w:eastAsia="Arial" w:cs="Arial"/>
          <w:sz w:val="22"/>
          <w:szCs w:val="22"/>
        </w:rPr>
      </w:pPr>
      <w:r>
        <w:rPr>
          <w:rFonts w:eastAsia="Arial" w:cs="Arial"/>
          <w:sz w:val="22"/>
          <w:szCs w:val="22"/>
        </w:rPr>
        <w:t>Organic:</w:t>
      </w:r>
      <w:r w:rsidR="00DE48A7">
        <w:rPr>
          <w:rFonts w:eastAsia="Arial" w:cs="Arial"/>
          <w:sz w:val="22"/>
          <w:szCs w:val="22"/>
        </w:rPr>
        <w:t xml:space="preserve"> </w:t>
      </w:r>
      <w:proofErr w:type="spellStart"/>
      <w:r w:rsidR="00DE48A7">
        <w:rPr>
          <w:rFonts w:eastAsia="Arial" w:cs="Arial"/>
          <w:sz w:val="22"/>
          <w:szCs w:val="22"/>
        </w:rPr>
        <w:t>Urapi</w:t>
      </w:r>
      <w:proofErr w:type="spellEnd"/>
      <w:r w:rsidR="00DE48A7">
        <w:rPr>
          <w:rFonts w:eastAsia="Arial" w:cs="Arial"/>
          <w:sz w:val="22"/>
          <w:szCs w:val="22"/>
        </w:rPr>
        <w:t>, Pamoja</w:t>
      </w:r>
    </w:p>
    <w:p w14:paraId="39577D27" w14:textId="3B210A27" w:rsidR="00B4561F" w:rsidRDefault="00B4561F" w:rsidP="6889F267">
      <w:pPr>
        <w:pStyle w:val="ListParagraph"/>
        <w:numPr>
          <w:ilvl w:val="1"/>
          <w:numId w:val="10"/>
        </w:numPr>
        <w:rPr>
          <w:rFonts w:eastAsia="Arial" w:cs="Arial"/>
          <w:sz w:val="22"/>
          <w:szCs w:val="22"/>
        </w:rPr>
      </w:pPr>
      <w:r>
        <w:rPr>
          <w:rFonts w:eastAsia="Arial" w:cs="Arial"/>
          <w:sz w:val="22"/>
          <w:szCs w:val="22"/>
        </w:rPr>
        <w:t>Global Good Agri</w:t>
      </w:r>
      <w:r w:rsidR="003B4203">
        <w:rPr>
          <w:rFonts w:eastAsia="Arial" w:cs="Arial"/>
          <w:sz w:val="22"/>
          <w:szCs w:val="22"/>
        </w:rPr>
        <w:t>c</w:t>
      </w:r>
      <w:r>
        <w:rPr>
          <w:rFonts w:eastAsia="Arial" w:cs="Arial"/>
          <w:sz w:val="22"/>
          <w:szCs w:val="22"/>
        </w:rPr>
        <w:t xml:space="preserve">ultural Practice (GAP): </w:t>
      </w:r>
      <w:r w:rsidR="00673913">
        <w:rPr>
          <w:rFonts w:eastAsia="Arial" w:cs="Arial"/>
          <w:sz w:val="22"/>
          <w:szCs w:val="22"/>
        </w:rPr>
        <w:t>Atlas Fruits</w:t>
      </w:r>
    </w:p>
    <w:p w14:paraId="1167C239" w14:textId="763FA9B3" w:rsidR="00673913" w:rsidRDefault="00673913" w:rsidP="6889F267">
      <w:pPr>
        <w:pStyle w:val="ListParagraph"/>
        <w:numPr>
          <w:ilvl w:val="1"/>
          <w:numId w:val="10"/>
        </w:numPr>
        <w:rPr>
          <w:rFonts w:eastAsia="Arial" w:cs="Arial"/>
          <w:sz w:val="22"/>
          <w:szCs w:val="22"/>
        </w:rPr>
      </w:pPr>
      <w:r>
        <w:rPr>
          <w:rFonts w:eastAsia="Arial" w:cs="Arial"/>
          <w:sz w:val="22"/>
          <w:szCs w:val="22"/>
        </w:rPr>
        <w:t xml:space="preserve">Union for Ethical </w:t>
      </w:r>
      <w:proofErr w:type="spellStart"/>
      <w:r>
        <w:rPr>
          <w:rFonts w:eastAsia="Arial" w:cs="Arial"/>
          <w:sz w:val="22"/>
          <w:szCs w:val="22"/>
        </w:rPr>
        <w:t>Bio</w:t>
      </w:r>
      <w:r w:rsidR="009D769F">
        <w:rPr>
          <w:rFonts w:eastAsia="Arial" w:cs="Arial"/>
          <w:sz w:val="22"/>
          <w:szCs w:val="22"/>
        </w:rPr>
        <w:t>Trade</w:t>
      </w:r>
      <w:proofErr w:type="spellEnd"/>
      <w:r w:rsidR="003B4203">
        <w:rPr>
          <w:rFonts w:eastAsia="Arial" w:cs="Arial"/>
          <w:sz w:val="22"/>
          <w:szCs w:val="22"/>
        </w:rPr>
        <w:t xml:space="preserve"> (U</w:t>
      </w:r>
      <w:r>
        <w:rPr>
          <w:rFonts w:eastAsia="Arial" w:cs="Arial"/>
          <w:sz w:val="22"/>
          <w:szCs w:val="22"/>
        </w:rPr>
        <w:t>EBT</w:t>
      </w:r>
      <w:r w:rsidR="003B4203">
        <w:rPr>
          <w:rFonts w:eastAsia="Arial" w:cs="Arial"/>
          <w:sz w:val="22"/>
          <w:szCs w:val="22"/>
        </w:rPr>
        <w:t xml:space="preserve">): </w:t>
      </w:r>
      <w:proofErr w:type="spellStart"/>
      <w:r w:rsidR="00CA1E93">
        <w:rPr>
          <w:rFonts w:eastAsia="Arial" w:cs="Arial"/>
          <w:sz w:val="22"/>
          <w:szCs w:val="22"/>
        </w:rPr>
        <w:t>Aqre</w:t>
      </w:r>
      <w:proofErr w:type="spellEnd"/>
    </w:p>
    <w:p w14:paraId="4521DC40" w14:textId="6062915E" w:rsidR="004A067A" w:rsidRPr="004A067A" w:rsidRDefault="00517475" w:rsidP="6889F267">
      <w:pPr>
        <w:pStyle w:val="ListParagraph"/>
        <w:numPr>
          <w:ilvl w:val="0"/>
          <w:numId w:val="10"/>
        </w:numPr>
        <w:rPr>
          <w:rFonts w:cs="Arial"/>
          <w:sz w:val="22"/>
          <w:szCs w:val="22"/>
        </w:rPr>
      </w:pPr>
      <w:r>
        <w:rPr>
          <w:b/>
          <w:bCs/>
          <w:sz w:val="22"/>
          <w:szCs w:val="22"/>
        </w:rPr>
        <w:t xml:space="preserve">Output </w:t>
      </w:r>
      <w:r w:rsidR="00C025FA">
        <w:rPr>
          <w:b/>
          <w:bCs/>
          <w:sz w:val="22"/>
          <w:szCs w:val="22"/>
        </w:rPr>
        <w:t>Indicator 2.3</w:t>
      </w:r>
      <w:r>
        <w:rPr>
          <w:b/>
          <w:bCs/>
          <w:sz w:val="22"/>
          <w:szCs w:val="22"/>
        </w:rPr>
        <w:t xml:space="preserve">: </w:t>
      </w:r>
      <w:r>
        <w:rPr>
          <w:sz w:val="22"/>
          <w:szCs w:val="22"/>
        </w:rPr>
        <w:t>as discussed at Outcome Indicator 5.</w:t>
      </w:r>
      <w:r w:rsidR="00041F84">
        <w:rPr>
          <w:sz w:val="22"/>
          <w:szCs w:val="22"/>
        </w:rPr>
        <w:t xml:space="preserve"> There is an expectation that </w:t>
      </w:r>
      <w:r w:rsidR="00567022">
        <w:rPr>
          <w:sz w:val="22"/>
          <w:szCs w:val="22"/>
        </w:rPr>
        <w:t>high level disaggregation of this indicator by land use will be included in the 2024 AR.</w:t>
      </w:r>
    </w:p>
    <w:p w14:paraId="0588D513" w14:textId="77777777" w:rsidR="000F5F51" w:rsidRPr="002055D4" w:rsidRDefault="000F5F51" w:rsidP="000F5F51">
      <w:pPr>
        <w:rPr>
          <w:color w:val="FF0000"/>
          <w:sz w:val="20"/>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2C20BD" w:rsidRPr="002055D4" w14:paraId="74E9F4F1" w14:textId="77777777" w:rsidTr="28A82ED1">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62FDEF" w14:textId="77777777" w:rsidR="000F5F51" w:rsidRPr="002055D4" w:rsidRDefault="000F5F51" w:rsidP="00680FA9">
            <w:pPr>
              <w:rPr>
                <w:b/>
                <w:bCs/>
                <w:sz w:val="20"/>
                <w:szCs w:val="20"/>
              </w:rPr>
            </w:pPr>
            <w:r w:rsidRPr="60E67443">
              <w:rPr>
                <w:b/>
                <w:bCs/>
                <w:sz w:val="20"/>
                <w:szCs w:val="20"/>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B4B755" w14:textId="77777777" w:rsidR="000F5F51" w:rsidRPr="002055D4" w:rsidRDefault="000F5F51" w:rsidP="00680FA9">
            <w:pPr>
              <w:rPr>
                <w:rFonts w:cs="Arial"/>
                <w:i/>
                <w:iCs/>
                <w:sz w:val="20"/>
                <w:szCs w:val="20"/>
              </w:rPr>
            </w:pPr>
            <w:r w:rsidRPr="60E67443">
              <w:rPr>
                <w:rFonts w:cs="Arial"/>
                <w:sz w:val="20"/>
                <w:szCs w:val="20"/>
                <w:shd w:val="clear" w:color="auto" w:fill="FFFFFF"/>
              </w:rPr>
              <w:t>The LDN Fund contributes to positive development outcomes in local communities/poor rural individuals in and around each of the project locations, with clear and sustained community engagement in each of the projects</w:t>
            </w:r>
          </w:p>
        </w:tc>
      </w:tr>
      <w:tr w:rsidR="00E909FF" w:rsidRPr="002055D4" w14:paraId="2F55C0AF" w14:textId="77777777" w:rsidTr="28A82ED1">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66C32D" w14:textId="77777777" w:rsidR="000F5F51" w:rsidRPr="002055D4" w:rsidRDefault="000F5F51" w:rsidP="00680FA9">
            <w:pPr>
              <w:rPr>
                <w:sz w:val="20"/>
                <w:szCs w:val="20"/>
              </w:rPr>
            </w:pPr>
            <w:r w:rsidRPr="60E67443">
              <w:rPr>
                <w:sz w:val="20"/>
                <w:szCs w:val="20"/>
              </w:rPr>
              <w:lastRenderedPageBreak/>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575A787A" w14:textId="77777777" w:rsidR="000F5F51" w:rsidRPr="002055D4" w:rsidRDefault="000F5F51" w:rsidP="00680FA9">
            <w:pPr>
              <w:rPr>
                <w:sz w:val="20"/>
                <w:szCs w:val="20"/>
              </w:rPr>
            </w:pPr>
            <w:r w:rsidRPr="60E67443">
              <w:rPr>
                <w:sz w:val="20"/>
                <w:szCs w:val="20"/>
              </w:rPr>
              <w:t>3</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CCC613" w14:textId="77777777" w:rsidR="000F5F51" w:rsidRPr="002055D4" w:rsidRDefault="000F5F51" w:rsidP="00680FA9">
            <w:pPr>
              <w:rPr>
                <w:sz w:val="20"/>
                <w:szCs w:val="20"/>
              </w:rPr>
            </w:pPr>
            <w:r w:rsidRPr="60E67443">
              <w:rPr>
                <w:sz w:val="20"/>
                <w:szCs w:val="20"/>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7ED79400" w14:textId="722E9FA4" w:rsidR="000F5F51" w:rsidRPr="002055D4" w:rsidRDefault="000F5F51" w:rsidP="00680FA9">
            <w:pPr>
              <w:rPr>
                <w:sz w:val="20"/>
                <w:szCs w:val="20"/>
              </w:rPr>
            </w:pPr>
            <w:r w:rsidRPr="28A82ED1">
              <w:rPr>
                <w:sz w:val="20"/>
                <w:szCs w:val="20"/>
              </w:rPr>
              <w:t>A</w:t>
            </w:r>
            <w:r w:rsidR="157F3A17" w:rsidRPr="28A82ED1">
              <w:rPr>
                <w:sz w:val="20"/>
                <w:szCs w:val="20"/>
              </w:rPr>
              <w:t>+</w:t>
            </w:r>
          </w:p>
        </w:tc>
      </w:tr>
      <w:tr w:rsidR="00E909FF" w:rsidRPr="002055D4" w14:paraId="706D6069" w14:textId="77777777" w:rsidTr="28A82ED1">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CDB6A5" w14:textId="77777777" w:rsidR="000F5F51" w:rsidRPr="002055D4" w:rsidRDefault="000F5F51" w:rsidP="00680FA9">
            <w:pPr>
              <w:rPr>
                <w:sz w:val="20"/>
                <w:szCs w:val="20"/>
              </w:rPr>
            </w:pPr>
            <w:r w:rsidRPr="60E67443">
              <w:rPr>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79E48CD6" w14:textId="02393879" w:rsidR="000F5F51" w:rsidRPr="002055D4" w:rsidRDefault="00984B3F" w:rsidP="00680FA9">
            <w:pPr>
              <w:rPr>
                <w:sz w:val="20"/>
                <w:szCs w:val="20"/>
              </w:rPr>
            </w:pPr>
            <w:r>
              <w:rPr>
                <w:sz w:val="20"/>
                <w:szCs w:val="20"/>
              </w:rPr>
              <w:t>25</w:t>
            </w:r>
            <w:r w:rsidR="00DF540C">
              <w:rPr>
                <w:sz w:val="20"/>
                <w:szCs w:val="20"/>
              </w:rPr>
              <w:t>%</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FBF716" w14:textId="77777777" w:rsidR="000F5F51" w:rsidRPr="002055D4" w:rsidRDefault="000F5F51" w:rsidP="00680FA9">
            <w:pPr>
              <w:rPr>
                <w:sz w:val="20"/>
                <w:szCs w:val="20"/>
              </w:rPr>
            </w:pPr>
            <w:r w:rsidRPr="60E67443">
              <w:rPr>
                <w:sz w:val="20"/>
                <w:szCs w:val="20"/>
              </w:rPr>
              <w:t xml:space="preserve">Weighting revised since last </w:t>
            </w:r>
            <w:proofErr w:type="gramStart"/>
            <w:r w:rsidRPr="60E67443">
              <w:rPr>
                <w:sz w:val="20"/>
                <w:szCs w:val="20"/>
              </w:rPr>
              <w:t>AR?</w:t>
            </w:r>
            <w:proofErr w:type="gramEnd"/>
            <w:r w:rsidRPr="60E67443">
              <w:rPr>
                <w:sz w:val="20"/>
                <w:szCs w:val="20"/>
              </w:rPr>
              <w:t xml:space="preserve"> </w:t>
            </w:r>
          </w:p>
        </w:tc>
        <w:tc>
          <w:tcPr>
            <w:tcW w:w="2812" w:type="dxa"/>
            <w:tcBorders>
              <w:top w:val="single" w:sz="4" w:space="0" w:color="auto"/>
              <w:left w:val="single" w:sz="4" w:space="0" w:color="auto"/>
              <w:bottom w:val="single" w:sz="4" w:space="0" w:color="auto"/>
              <w:right w:val="single" w:sz="4" w:space="0" w:color="auto"/>
            </w:tcBorders>
          </w:tcPr>
          <w:p w14:paraId="1042DEE3" w14:textId="29B1807A" w:rsidR="000F5F51" w:rsidRPr="002055D4" w:rsidRDefault="00DE3141" w:rsidP="00680FA9">
            <w:pPr>
              <w:rPr>
                <w:sz w:val="20"/>
                <w:szCs w:val="20"/>
              </w:rPr>
            </w:pPr>
            <w:r>
              <w:rPr>
                <w:sz w:val="20"/>
                <w:szCs w:val="20"/>
              </w:rPr>
              <w:t>N/A</w:t>
            </w:r>
          </w:p>
        </w:tc>
      </w:tr>
    </w:tbl>
    <w:p w14:paraId="2F1893F5" w14:textId="77777777" w:rsidR="000F5F51" w:rsidRPr="002055D4" w:rsidRDefault="000F5F51" w:rsidP="000F5F51">
      <w:pPr>
        <w:rPr>
          <w:sz w:val="20"/>
          <w:szCs w:val="20"/>
        </w:rPr>
      </w:pPr>
    </w:p>
    <w:tbl>
      <w:tblPr>
        <w:tblStyle w:val="TableGrid"/>
        <w:tblpPr w:leftFromText="180" w:rightFromText="180" w:vertAnchor="text" w:horzAnchor="margin" w:tblpX="-147" w:tblpY="53"/>
        <w:tblOverlap w:val="never"/>
        <w:tblW w:w="9464" w:type="dxa"/>
        <w:tblLayout w:type="fixed"/>
        <w:tblLook w:val="04A0" w:firstRow="1" w:lastRow="0" w:firstColumn="1" w:lastColumn="0" w:noHBand="0" w:noVBand="1"/>
      </w:tblPr>
      <w:tblGrid>
        <w:gridCol w:w="3491"/>
        <w:gridCol w:w="1182"/>
        <w:gridCol w:w="1134"/>
        <w:gridCol w:w="1134"/>
        <w:gridCol w:w="1276"/>
        <w:gridCol w:w="1247"/>
      </w:tblGrid>
      <w:tr w:rsidR="003936A0" w:rsidRPr="002055D4" w14:paraId="335CBBE8" w14:textId="77777777" w:rsidTr="00014BED">
        <w:trPr>
          <w:trHeight w:val="139"/>
        </w:trPr>
        <w:tc>
          <w:tcPr>
            <w:tcW w:w="34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2C6604" w14:textId="77777777" w:rsidR="003936A0" w:rsidRPr="002055D4" w:rsidRDefault="003936A0" w:rsidP="00FE2A80">
            <w:pPr>
              <w:rPr>
                <w:b/>
                <w:bCs/>
                <w:sz w:val="20"/>
                <w:szCs w:val="20"/>
              </w:rPr>
            </w:pPr>
            <w:r w:rsidRPr="60E67443">
              <w:rPr>
                <w:b/>
                <w:bCs/>
                <w:sz w:val="20"/>
                <w:szCs w:val="20"/>
              </w:rPr>
              <w:t>Indicator(s)</w:t>
            </w:r>
          </w:p>
        </w:tc>
        <w:tc>
          <w:tcPr>
            <w:tcW w:w="11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52741A" w14:textId="0348DB05" w:rsidR="003936A0" w:rsidRPr="002055D4" w:rsidRDefault="003936A0" w:rsidP="00FE2A80">
            <w:pPr>
              <w:jc w:val="center"/>
              <w:rPr>
                <w:b/>
                <w:bCs/>
                <w:sz w:val="20"/>
                <w:szCs w:val="20"/>
              </w:rPr>
            </w:pPr>
            <w:r>
              <w:rPr>
                <w:b/>
                <w:bCs/>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3D02AE" w14:textId="2EBC6245" w:rsidR="003936A0" w:rsidRPr="002055D4" w:rsidRDefault="003936A0" w:rsidP="00FE2A80">
            <w:pPr>
              <w:jc w:val="center"/>
              <w:rPr>
                <w:b/>
                <w:bCs/>
                <w:sz w:val="20"/>
                <w:szCs w:val="20"/>
              </w:rPr>
            </w:pPr>
            <w:r>
              <w:rPr>
                <w:b/>
                <w:bCs/>
                <w:sz w:val="20"/>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CA301" w14:textId="45F0EF9F" w:rsidR="003936A0" w:rsidRDefault="003936A0" w:rsidP="00FE2A80">
            <w:pPr>
              <w:jc w:val="center"/>
              <w:rPr>
                <w:b/>
                <w:bCs/>
                <w:sz w:val="20"/>
                <w:szCs w:val="20"/>
              </w:rPr>
            </w:pPr>
            <w:r>
              <w:rPr>
                <w:b/>
                <w:bCs/>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263662" w14:textId="77777777" w:rsidR="003936A0" w:rsidRDefault="003936A0" w:rsidP="00FE2A80">
            <w:pPr>
              <w:jc w:val="center"/>
              <w:rPr>
                <w:b/>
                <w:bCs/>
                <w:sz w:val="20"/>
                <w:szCs w:val="20"/>
              </w:rPr>
            </w:pPr>
            <w:r w:rsidRPr="05F467A3">
              <w:rPr>
                <w:b/>
                <w:bCs/>
                <w:sz w:val="20"/>
                <w:szCs w:val="20"/>
              </w:rPr>
              <w:t xml:space="preserve">2023 </w:t>
            </w:r>
            <w:r w:rsidRPr="05F467A3">
              <w:rPr>
                <w:b/>
                <w:bCs/>
                <w:i/>
                <w:iCs/>
                <w:sz w:val="20"/>
                <w:szCs w:val="20"/>
              </w:rPr>
              <w:t>milestone</w:t>
            </w:r>
          </w:p>
        </w:tc>
        <w:tc>
          <w:tcPr>
            <w:tcW w:w="12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00F8FD" w14:textId="02BB1D07" w:rsidR="003936A0" w:rsidRDefault="003936A0" w:rsidP="00FE2A80">
            <w:pPr>
              <w:jc w:val="center"/>
              <w:rPr>
                <w:b/>
                <w:bCs/>
                <w:sz w:val="20"/>
                <w:szCs w:val="20"/>
              </w:rPr>
            </w:pPr>
            <w:r w:rsidRPr="05F467A3">
              <w:rPr>
                <w:b/>
                <w:bCs/>
                <w:sz w:val="20"/>
                <w:szCs w:val="20"/>
              </w:rPr>
              <w:t>2023</w:t>
            </w:r>
          </w:p>
        </w:tc>
      </w:tr>
      <w:tr w:rsidR="003936A0" w:rsidRPr="002055D4" w14:paraId="553ACF54" w14:textId="77777777" w:rsidTr="00014BED">
        <w:trPr>
          <w:trHeight w:val="231"/>
        </w:trPr>
        <w:tc>
          <w:tcPr>
            <w:tcW w:w="3491" w:type="dxa"/>
            <w:tcBorders>
              <w:top w:val="single" w:sz="4" w:space="0" w:color="auto"/>
              <w:left w:val="single" w:sz="4" w:space="0" w:color="auto"/>
              <w:bottom w:val="single" w:sz="4" w:space="0" w:color="auto"/>
              <w:right w:val="single" w:sz="4" w:space="0" w:color="auto"/>
            </w:tcBorders>
          </w:tcPr>
          <w:p w14:paraId="07A19464" w14:textId="4CA1D6E5" w:rsidR="003936A0" w:rsidRPr="002055D4" w:rsidRDefault="003936A0" w:rsidP="00FE2A80">
            <w:pPr>
              <w:rPr>
                <w:sz w:val="20"/>
                <w:szCs w:val="20"/>
              </w:rPr>
            </w:pPr>
            <w:r w:rsidRPr="3565349E">
              <w:rPr>
                <w:sz w:val="20"/>
                <w:szCs w:val="20"/>
              </w:rPr>
              <w:t>3.1 Percentage of women employed by or with main livelihood supported by LDN Fund projects</w:t>
            </w:r>
            <w:r w:rsidR="00D5454B">
              <w:rPr>
                <w:sz w:val="20"/>
                <w:szCs w:val="20"/>
              </w:rPr>
              <w:t xml:space="preserve"> (annual)</w:t>
            </w:r>
          </w:p>
        </w:tc>
        <w:tc>
          <w:tcPr>
            <w:tcW w:w="1182" w:type="dxa"/>
            <w:tcBorders>
              <w:top w:val="single" w:sz="4" w:space="0" w:color="auto"/>
              <w:left w:val="single" w:sz="4" w:space="0" w:color="auto"/>
              <w:bottom w:val="single" w:sz="4" w:space="0" w:color="auto"/>
              <w:right w:val="single" w:sz="4" w:space="0" w:color="auto"/>
            </w:tcBorders>
            <w:vAlign w:val="center"/>
          </w:tcPr>
          <w:p w14:paraId="5CC68363" w14:textId="77777777" w:rsidR="003936A0" w:rsidRPr="0062367F" w:rsidRDefault="003936A0" w:rsidP="00FE2A80">
            <w:pPr>
              <w:jc w:val="center"/>
              <w:rPr>
                <w:sz w:val="20"/>
                <w:szCs w:val="20"/>
              </w:rPr>
            </w:pPr>
            <w:r w:rsidRPr="0062367F">
              <w:rPr>
                <w:sz w:val="20"/>
                <w:szCs w:val="20"/>
              </w:rPr>
              <w:t>45%</w:t>
            </w:r>
          </w:p>
        </w:tc>
        <w:tc>
          <w:tcPr>
            <w:tcW w:w="1134" w:type="dxa"/>
            <w:tcBorders>
              <w:top w:val="single" w:sz="4" w:space="0" w:color="auto"/>
              <w:left w:val="single" w:sz="4" w:space="0" w:color="auto"/>
              <w:bottom w:val="single" w:sz="4" w:space="0" w:color="auto"/>
              <w:right w:val="single" w:sz="4" w:space="0" w:color="auto"/>
            </w:tcBorders>
            <w:vAlign w:val="center"/>
          </w:tcPr>
          <w:p w14:paraId="46AB5C9C" w14:textId="77777777" w:rsidR="003936A0" w:rsidRPr="002055D4" w:rsidRDefault="003936A0" w:rsidP="00FE2A80">
            <w:pPr>
              <w:jc w:val="center"/>
              <w:rPr>
                <w:sz w:val="20"/>
                <w:szCs w:val="20"/>
              </w:rPr>
            </w:pPr>
            <w:r w:rsidRPr="60E67443">
              <w:rPr>
                <w:sz w:val="20"/>
                <w:szCs w:val="20"/>
              </w:rPr>
              <w:t>45%</w:t>
            </w:r>
          </w:p>
        </w:tc>
        <w:tc>
          <w:tcPr>
            <w:tcW w:w="1134" w:type="dxa"/>
            <w:tcBorders>
              <w:top w:val="single" w:sz="4" w:space="0" w:color="auto"/>
              <w:left w:val="single" w:sz="4" w:space="0" w:color="auto"/>
              <w:bottom w:val="single" w:sz="4" w:space="0" w:color="auto"/>
              <w:right w:val="single" w:sz="4" w:space="0" w:color="auto"/>
            </w:tcBorders>
            <w:vAlign w:val="center"/>
          </w:tcPr>
          <w:p w14:paraId="370C98E0" w14:textId="77777777" w:rsidR="003936A0" w:rsidRPr="60E67443" w:rsidRDefault="003936A0" w:rsidP="00FE2A80">
            <w:pPr>
              <w:jc w:val="center"/>
              <w:rPr>
                <w:sz w:val="20"/>
                <w:szCs w:val="20"/>
              </w:rPr>
            </w:pPr>
            <w:r>
              <w:rPr>
                <w:sz w:val="20"/>
                <w:szCs w:val="20"/>
              </w:rPr>
              <w:t>43%</w:t>
            </w:r>
          </w:p>
        </w:tc>
        <w:tc>
          <w:tcPr>
            <w:tcW w:w="1276" w:type="dxa"/>
            <w:tcBorders>
              <w:top w:val="single" w:sz="4" w:space="0" w:color="auto"/>
              <w:left w:val="single" w:sz="4" w:space="0" w:color="auto"/>
              <w:bottom w:val="single" w:sz="4" w:space="0" w:color="auto"/>
              <w:right w:val="single" w:sz="4" w:space="0" w:color="auto"/>
            </w:tcBorders>
            <w:vAlign w:val="center"/>
          </w:tcPr>
          <w:p w14:paraId="795198CC" w14:textId="77777777" w:rsidR="003936A0" w:rsidRDefault="003936A0" w:rsidP="00FE2A80">
            <w:pPr>
              <w:jc w:val="center"/>
              <w:rPr>
                <w:sz w:val="20"/>
                <w:szCs w:val="20"/>
              </w:rPr>
            </w:pPr>
            <w:r w:rsidRPr="35ABD144">
              <w:rPr>
                <w:sz w:val="20"/>
                <w:szCs w:val="20"/>
              </w:rPr>
              <w:t>46%</w:t>
            </w:r>
          </w:p>
        </w:tc>
        <w:tc>
          <w:tcPr>
            <w:tcW w:w="1247" w:type="dxa"/>
            <w:tcBorders>
              <w:top w:val="single" w:sz="4" w:space="0" w:color="auto"/>
              <w:left w:val="single" w:sz="4" w:space="0" w:color="auto"/>
              <w:bottom w:val="single" w:sz="4" w:space="0" w:color="auto"/>
              <w:right w:val="single" w:sz="4" w:space="0" w:color="auto"/>
            </w:tcBorders>
            <w:shd w:val="clear" w:color="auto" w:fill="92D050"/>
            <w:vAlign w:val="center"/>
          </w:tcPr>
          <w:p w14:paraId="3C8303EA" w14:textId="77777777" w:rsidR="003936A0" w:rsidRDefault="003936A0" w:rsidP="00FE2A80">
            <w:pPr>
              <w:jc w:val="center"/>
              <w:rPr>
                <w:sz w:val="20"/>
                <w:szCs w:val="20"/>
              </w:rPr>
            </w:pPr>
            <w:r w:rsidRPr="35ABD144">
              <w:rPr>
                <w:sz w:val="20"/>
                <w:szCs w:val="20"/>
              </w:rPr>
              <w:t>53%</w:t>
            </w:r>
          </w:p>
          <w:p w14:paraId="4A5FB8A1" w14:textId="5D646FEB" w:rsidR="004E7262" w:rsidRDefault="004E7262" w:rsidP="00FE2A80">
            <w:pPr>
              <w:jc w:val="center"/>
              <w:rPr>
                <w:sz w:val="20"/>
                <w:szCs w:val="20"/>
              </w:rPr>
            </w:pPr>
            <w:r>
              <w:rPr>
                <w:sz w:val="20"/>
                <w:szCs w:val="20"/>
              </w:rPr>
              <w:t>(55,778</w:t>
            </w:r>
            <w:r w:rsidR="006544ED">
              <w:rPr>
                <w:sz w:val="20"/>
                <w:szCs w:val="20"/>
              </w:rPr>
              <w:t xml:space="preserve"> women)</w:t>
            </w:r>
          </w:p>
        </w:tc>
      </w:tr>
      <w:tr w:rsidR="003936A0" w:rsidRPr="002055D4" w14:paraId="788FB33E" w14:textId="77777777" w:rsidTr="00014BED">
        <w:trPr>
          <w:trHeight w:val="263"/>
        </w:trPr>
        <w:tc>
          <w:tcPr>
            <w:tcW w:w="3491" w:type="dxa"/>
            <w:tcBorders>
              <w:top w:val="single" w:sz="4" w:space="0" w:color="auto"/>
              <w:left w:val="single" w:sz="4" w:space="0" w:color="auto"/>
              <w:bottom w:val="single" w:sz="4" w:space="0" w:color="auto"/>
              <w:right w:val="single" w:sz="4" w:space="0" w:color="auto"/>
            </w:tcBorders>
          </w:tcPr>
          <w:p w14:paraId="4C30B75C" w14:textId="311A59C2" w:rsidR="003936A0" w:rsidRPr="002055D4" w:rsidRDefault="003936A0" w:rsidP="00FE2A80">
            <w:pPr>
              <w:rPr>
                <w:sz w:val="20"/>
                <w:szCs w:val="20"/>
              </w:rPr>
            </w:pPr>
            <w:r w:rsidRPr="60E67443">
              <w:rPr>
                <w:sz w:val="20"/>
                <w:szCs w:val="20"/>
              </w:rPr>
              <w:t>3.2 Number of community engagement events (attendance in brackets)</w:t>
            </w:r>
            <w:r w:rsidR="00D5454B">
              <w:rPr>
                <w:sz w:val="20"/>
                <w:szCs w:val="20"/>
              </w:rPr>
              <w:t xml:space="preserve"> (cumulative)</w:t>
            </w:r>
          </w:p>
        </w:tc>
        <w:tc>
          <w:tcPr>
            <w:tcW w:w="1182" w:type="dxa"/>
            <w:tcBorders>
              <w:top w:val="single" w:sz="4" w:space="0" w:color="auto"/>
              <w:left w:val="single" w:sz="4" w:space="0" w:color="auto"/>
              <w:bottom w:val="single" w:sz="4" w:space="0" w:color="auto"/>
              <w:right w:val="single" w:sz="4" w:space="0" w:color="auto"/>
            </w:tcBorders>
            <w:vAlign w:val="center"/>
          </w:tcPr>
          <w:p w14:paraId="3BF46F21" w14:textId="672554DE" w:rsidR="003936A0" w:rsidRPr="002379E7" w:rsidRDefault="003936A0" w:rsidP="00FE2A80">
            <w:pPr>
              <w:jc w:val="center"/>
              <w:rPr>
                <w:sz w:val="20"/>
                <w:szCs w:val="20"/>
              </w:rPr>
            </w:pPr>
            <w:r>
              <w:rPr>
                <w:sz w:val="20"/>
                <w:szCs w:val="20"/>
              </w:rPr>
              <w:t>749</w:t>
            </w:r>
          </w:p>
        </w:tc>
        <w:tc>
          <w:tcPr>
            <w:tcW w:w="1134" w:type="dxa"/>
            <w:tcBorders>
              <w:top w:val="single" w:sz="4" w:space="0" w:color="auto"/>
              <w:left w:val="single" w:sz="4" w:space="0" w:color="auto"/>
              <w:bottom w:val="single" w:sz="4" w:space="0" w:color="auto"/>
              <w:right w:val="single" w:sz="4" w:space="0" w:color="auto"/>
            </w:tcBorders>
            <w:vAlign w:val="center"/>
          </w:tcPr>
          <w:p w14:paraId="2B582A85" w14:textId="0C4A4B5F" w:rsidR="003936A0" w:rsidRPr="002055D4" w:rsidRDefault="003936A0" w:rsidP="00FE2A80">
            <w:pPr>
              <w:jc w:val="center"/>
              <w:rPr>
                <w:sz w:val="20"/>
                <w:szCs w:val="20"/>
              </w:rPr>
            </w:pPr>
            <w:r>
              <w:rPr>
                <w:sz w:val="20"/>
                <w:szCs w:val="20"/>
              </w:rPr>
              <w:t>1</w:t>
            </w:r>
            <w:r w:rsidR="00454436">
              <w:rPr>
                <w:sz w:val="20"/>
                <w:szCs w:val="20"/>
              </w:rPr>
              <w:t>,</w:t>
            </w:r>
            <w:r>
              <w:rPr>
                <w:sz w:val="20"/>
                <w:szCs w:val="20"/>
              </w:rPr>
              <w:t>403</w:t>
            </w:r>
          </w:p>
        </w:tc>
        <w:tc>
          <w:tcPr>
            <w:tcW w:w="1134" w:type="dxa"/>
            <w:tcBorders>
              <w:top w:val="single" w:sz="4" w:space="0" w:color="auto"/>
              <w:left w:val="single" w:sz="4" w:space="0" w:color="auto"/>
              <w:bottom w:val="single" w:sz="4" w:space="0" w:color="auto"/>
              <w:right w:val="single" w:sz="4" w:space="0" w:color="auto"/>
            </w:tcBorders>
            <w:vAlign w:val="center"/>
          </w:tcPr>
          <w:p w14:paraId="43DBCC45" w14:textId="12D830DC" w:rsidR="003936A0" w:rsidRDefault="003936A0" w:rsidP="00FE2A80">
            <w:pPr>
              <w:jc w:val="center"/>
              <w:rPr>
                <w:sz w:val="20"/>
                <w:szCs w:val="20"/>
              </w:rPr>
            </w:pPr>
            <w:r>
              <w:rPr>
                <w:sz w:val="20"/>
                <w:szCs w:val="20"/>
              </w:rPr>
              <w:t>2</w:t>
            </w:r>
            <w:r w:rsidR="00073F67">
              <w:rPr>
                <w:sz w:val="20"/>
                <w:szCs w:val="20"/>
              </w:rPr>
              <w:t>,</w:t>
            </w:r>
            <w:r>
              <w:rPr>
                <w:sz w:val="20"/>
                <w:szCs w:val="20"/>
              </w:rPr>
              <w:t>189</w:t>
            </w:r>
          </w:p>
        </w:tc>
        <w:tc>
          <w:tcPr>
            <w:tcW w:w="1276" w:type="dxa"/>
            <w:tcBorders>
              <w:top w:val="single" w:sz="4" w:space="0" w:color="auto"/>
              <w:left w:val="single" w:sz="4" w:space="0" w:color="auto"/>
              <w:bottom w:val="single" w:sz="4" w:space="0" w:color="auto"/>
              <w:right w:val="single" w:sz="4" w:space="0" w:color="auto"/>
            </w:tcBorders>
            <w:vAlign w:val="center"/>
          </w:tcPr>
          <w:p w14:paraId="62385572" w14:textId="77777777" w:rsidR="003936A0" w:rsidRDefault="003936A0" w:rsidP="00FE2A80">
            <w:pPr>
              <w:jc w:val="center"/>
              <w:rPr>
                <w:sz w:val="20"/>
                <w:szCs w:val="20"/>
              </w:rPr>
            </w:pPr>
            <w:r w:rsidRPr="35ABD144">
              <w:rPr>
                <w:sz w:val="20"/>
                <w:szCs w:val="20"/>
              </w:rPr>
              <w:t>n/a</w:t>
            </w:r>
          </w:p>
        </w:tc>
        <w:tc>
          <w:tcPr>
            <w:tcW w:w="1247" w:type="dxa"/>
            <w:tcBorders>
              <w:top w:val="single" w:sz="4" w:space="0" w:color="auto"/>
              <w:left w:val="single" w:sz="4" w:space="0" w:color="auto"/>
              <w:bottom w:val="single" w:sz="4" w:space="0" w:color="auto"/>
              <w:right w:val="single" w:sz="4" w:space="0" w:color="auto"/>
            </w:tcBorders>
            <w:vAlign w:val="center"/>
          </w:tcPr>
          <w:p w14:paraId="2632E336" w14:textId="3C9FD04A" w:rsidR="003936A0" w:rsidRDefault="003936A0" w:rsidP="00FE2A80">
            <w:pPr>
              <w:jc w:val="center"/>
              <w:rPr>
                <w:sz w:val="20"/>
                <w:szCs w:val="20"/>
              </w:rPr>
            </w:pPr>
            <w:r w:rsidRPr="3F2B018B">
              <w:rPr>
                <w:sz w:val="20"/>
                <w:szCs w:val="20"/>
              </w:rPr>
              <w:t>3</w:t>
            </w:r>
            <w:r w:rsidR="005F3CE1">
              <w:rPr>
                <w:sz w:val="20"/>
                <w:szCs w:val="20"/>
              </w:rPr>
              <w:t>,</w:t>
            </w:r>
            <w:r w:rsidRPr="3F2B018B">
              <w:rPr>
                <w:sz w:val="20"/>
                <w:szCs w:val="20"/>
              </w:rPr>
              <w:t>696</w:t>
            </w:r>
          </w:p>
          <w:p w14:paraId="09435E92" w14:textId="77777777" w:rsidR="003936A0" w:rsidRDefault="003936A0" w:rsidP="00FE2A80">
            <w:pPr>
              <w:jc w:val="center"/>
              <w:rPr>
                <w:sz w:val="20"/>
                <w:szCs w:val="20"/>
              </w:rPr>
            </w:pPr>
            <w:r>
              <w:rPr>
                <w:sz w:val="20"/>
                <w:szCs w:val="20"/>
              </w:rPr>
              <w:t>(38,669)</w:t>
            </w:r>
          </w:p>
        </w:tc>
      </w:tr>
      <w:tr w:rsidR="003936A0" w:rsidRPr="002055D4" w14:paraId="043DFB87" w14:textId="77777777" w:rsidTr="00014BED">
        <w:trPr>
          <w:trHeight w:val="465"/>
        </w:trPr>
        <w:tc>
          <w:tcPr>
            <w:tcW w:w="3491" w:type="dxa"/>
            <w:tcBorders>
              <w:top w:val="single" w:sz="4" w:space="0" w:color="auto"/>
              <w:left w:val="single" w:sz="4" w:space="0" w:color="auto"/>
              <w:bottom w:val="single" w:sz="4" w:space="0" w:color="auto"/>
              <w:right w:val="single" w:sz="4" w:space="0" w:color="auto"/>
            </w:tcBorders>
          </w:tcPr>
          <w:p w14:paraId="3BDC582C" w14:textId="29FAA28C" w:rsidR="003936A0" w:rsidRPr="002055D4" w:rsidRDefault="003936A0" w:rsidP="00FE2A80">
            <w:pPr>
              <w:rPr>
                <w:sz w:val="20"/>
                <w:szCs w:val="20"/>
              </w:rPr>
            </w:pPr>
            <w:r w:rsidRPr="3F1ACADE">
              <w:rPr>
                <w:sz w:val="20"/>
                <w:szCs w:val="20"/>
              </w:rPr>
              <w:t>3.3 Jobs created/supported by LDN Fund (employees and smallholders supported; employees only in brackets)</w:t>
            </w:r>
            <w:r w:rsidR="00FE2A80">
              <w:rPr>
                <w:sz w:val="20"/>
                <w:szCs w:val="20"/>
              </w:rPr>
              <w:t xml:space="preserve"> (</w:t>
            </w:r>
            <w:r w:rsidR="007B7B32">
              <w:rPr>
                <w:sz w:val="20"/>
                <w:szCs w:val="20"/>
              </w:rPr>
              <w:t>cumulative</w:t>
            </w:r>
            <w:r w:rsidR="00FE2A80">
              <w:rPr>
                <w:sz w:val="20"/>
                <w:szCs w:val="20"/>
              </w:rPr>
              <w:t>)</w:t>
            </w:r>
          </w:p>
        </w:tc>
        <w:tc>
          <w:tcPr>
            <w:tcW w:w="1182" w:type="dxa"/>
            <w:tcBorders>
              <w:top w:val="single" w:sz="4" w:space="0" w:color="auto"/>
              <w:left w:val="single" w:sz="4" w:space="0" w:color="auto"/>
              <w:bottom w:val="single" w:sz="4" w:space="0" w:color="auto"/>
              <w:right w:val="single" w:sz="4" w:space="0" w:color="auto"/>
            </w:tcBorders>
            <w:vAlign w:val="center"/>
          </w:tcPr>
          <w:p w14:paraId="0F2F5333" w14:textId="77777777" w:rsidR="003936A0" w:rsidRDefault="003936A0" w:rsidP="00FE2A80">
            <w:pPr>
              <w:jc w:val="center"/>
              <w:rPr>
                <w:sz w:val="20"/>
                <w:szCs w:val="20"/>
              </w:rPr>
            </w:pPr>
            <w:r>
              <w:rPr>
                <w:sz w:val="20"/>
                <w:szCs w:val="20"/>
              </w:rPr>
              <w:t>35,801</w:t>
            </w:r>
          </w:p>
          <w:p w14:paraId="3F8B7F90" w14:textId="14DD729D" w:rsidR="003936A0" w:rsidRPr="00FE2A80" w:rsidRDefault="003936A0" w:rsidP="00FE2A80">
            <w:pPr>
              <w:jc w:val="center"/>
              <w:rPr>
                <w:sz w:val="20"/>
                <w:szCs w:val="20"/>
              </w:rPr>
            </w:pPr>
            <w:r>
              <w:rPr>
                <w:sz w:val="20"/>
                <w:szCs w:val="20"/>
              </w:rPr>
              <w:t>(2,714)</w:t>
            </w:r>
          </w:p>
        </w:tc>
        <w:tc>
          <w:tcPr>
            <w:tcW w:w="1134" w:type="dxa"/>
            <w:tcBorders>
              <w:top w:val="single" w:sz="4" w:space="0" w:color="auto"/>
              <w:left w:val="single" w:sz="4" w:space="0" w:color="auto"/>
              <w:bottom w:val="single" w:sz="4" w:space="0" w:color="auto"/>
              <w:right w:val="single" w:sz="4" w:space="0" w:color="auto"/>
            </w:tcBorders>
            <w:vAlign w:val="center"/>
          </w:tcPr>
          <w:p w14:paraId="65A9877C" w14:textId="77777777" w:rsidR="003936A0" w:rsidRDefault="003936A0" w:rsidP="00FE2A80">
            <w:pPr>
              <w:jc w:val="center"/>
              <w:rPr>
                <w:sz w:val="20"/>
                <w:szCs w:val="20"/>
              </w:rPr>
            </w:pPr>
            <w:r>
              <w:rPr>
                <w:sz w:val="20"/>
                <w:szCs w:val="20"/>
              </w:rPr>
              <w:t>31,995</w:t>
            </w:r>
          </w:p>
          <w:p w14:paraId="33BF8786" w14:textId="77777777" w:rsidR="003936A0" w:rsidRPr="002055D4" w:rsidRDefault="003936A0" w:rsidP="00FE2A80">
            <w:pPr>
              <w:jc w:val="center"/>
              <w:rPr>
                <w:sz w:val="20"/>
                <w:szCs w:val="20"/>
              </w:rPr>
            </w:pPr>
            <w:r>
              <w:rPr>
                <w:bCs/>
                <w:sz w:val="20"/>
                <w:szCs w:val="22"/>
              </w:rPr>
              <w:t>(4,151)</w:t>
            </w:r>
          </w:p>
        </w:tc>
        <w:tc>
          <w:tcPr>
            <w:tcW w:w="1134" w:type="dxa"/>
            <w:tcBorders>
              <w:top w:val="single" w:sz="4" w:space="0" w:color="auto"/>
              <w:left w:val="single" w:sz="4" w:space="0" w:color="auto"/>
              <w:bottom w:val="single" w:sz="4" w:space="0" w:color="auto"/>
              <w:right w:val="single" w:sz="4" w:space="0" w:color="auto"/>
            </w:tcBorders>
            <w:vAlign w:val="center"/>
          </w:tcPr>
          <w:p w14:paraId="55BEF399" w14:textId="77777777" w:rsidR="003936A0" w:rsidRDefault="003936A0" w:rsidP="00FE2A80">
            <w:pPr>
              <w:jc w:val="center"/>
              <w:rPr>
                <w:sz w:val="20"/>
                <w:szCs w:val="20"/>
              </w:rPr>
            </w:pPr>
            <w:r w:rsidRPr="0007195F">
              <w:rPr>
                <w:sz w:val="20"/>
                <w:szCs w:val="20"/>
              </w:rPr>
              <w:t>73,421</w:t>
            </w:r>
          </w:p>
          <w:p w14:paraId="19941F35" w14:textId="3615DD16" w:rsidR="003936A0" w:rsidRDefault="003936A0" w:rsidP="00FE2A80">
            <w:pPr>
              <w:jc w:val="center"/>
              <w:rPr>
                <w:sz w:val="20"/>
                <w:szCs w:val="20"/>
              </w:rPr>
            </w:pPr>
            <w:r>
              <w:rPr>
                <w:bCs/>
                <w:sz w:val="20"/>
                <w:szCs w:val="22"/>
              </w:rPr>
              <w:t>(5,581)</w:t>
            </w:r>
          </w:p>
        </w:tc>
        <w:tc>
          <w:tcPr>
            <w:tcW w:w="1276" w:type="dxa"/>
            <w:tcBorders>
              <w:top w:val="single" w:sz="4" w:space="0" w:color="auto"/>
              <w:left w:val="single" w:sz="4" w:space="0" w:color="auto"/>
              <w:bottom w:val="single" w:sz="4" w:space="0" w:color="auto"/>
              <w:right w:val="single" w:sz="4" w:space="0" w:color="auto"/>
            </w:tcBorders>
            <w:vAlign w:val="center"/>
          </w:tcPr>
          <w:p w14:paraId="627DF9EF" w14:textId="77777777" w:rsidR="003936A0" w:rsidRDefault="003936A0" w:rsidP="00FE2A80">
            <w:pPr>
              <w:jc w:val="center"/>
              <w:rPr>
                <w:sz w:val="20"/>
                <w:szCs w:val="20"/>
              </w:rPr>
            </w:pPr>
            <w:r w:rsidRPr="18D240CB">
              <w:rPr>
                <w:sz w:val="20"/>
                <w:szCs w:val="20"/>
              </w:rPr>
              <w:t>75,000</w:t>
            </w:r>
          </w:p>
        </w:tc>
        <w:tc>
          <w:tcPr>
            <w:tcW w:w="1247" w:type="dxa"/>
            <w:tcBorders>
              <w:top w:val="single" w:sz="4" w:space="0" w:color="auto"/>
              <w:left w:val="single" w:sz="4" w:space="0" w:color="auto"/>
              <w:bottom w:val="single" w:sz="4" w:space="0" w:color="auto"/>
              <w:right w:val="single" w:sz="4" w:space="0" w:color="auto"/>
            </w:tcBorders>
            <w:shd w:val="clear" w:color="auto" w:fill="92D050"/>
            <w:vAlign w:val="center"/>
          </w:tcPr>
          <w:p w14:paraId="15EA432F" w14:textId="77777777" w:rsidR="003936A0" w:rsidRDefault="003936A0" w:rsidP="00FE2A80">
            <w:pPr>
              <w:jc w:val="center"/>
              <w:rPr>
                <w:sz w:val="20"/>
                <w:szCs w:val="20"/>
              </w:rPr>
            </w:pPr>
            <w:r w:rsidRPr="2B77CC01">
              <w:rPr>
                <w:sz w:val="20"/>
                <w:szCs w:val="20"/>
              </w:rPr>
              <w:t>106,299</w:t>
            </w:r>
          </w:p>
          <w:p w14:paraId="57201121" w14:textId="6E5B4475" w:rsidR="003936A0" w:rsidRDefault="003936A0" w:rsidP="00FE2A80">
            <w:pPr>
              <w:jc w:val="center"/>
              <w:rPr>
                <w:sz w:val="20"/>
                <w:szCs w:val="20"/>
              </w:rPr>
            </w:pPr>
            <w:r>
              <w:rPr>
                <w:bCs/>
                <w:sz w:val="20"/>
                <w:szCs w:val="22"/>
              </w:rPr>
              <w:t>(5,419)</w:t>
            </w:r>
          </w:p>
        </w:tc>
      </w:tr>
    </w:tbl>
    <w:p w14:paraId="6A478B7E" w14:textId="77777777" w:rsidR="00E340D6" w:rsidRPr="00E340D6" w:rsidRDefault="00E340D6" w:rsidP="00E340D6">
      <w:pPr>
        <w:rPr>
          <w:sz w:val="22"/>
          <w:szCs w:val="22"/>
        </w:rPr>
      </w:pPr>
    </w:p>
    <w:p w14:paraId="62BDA724" w14:textId="6B816294" w:rsidR="000F5F51" w:rsidRDefault="00517475" w:rsidP="002837F7">
      <w:pPr>
        <w:pStyle w:val="ListParagraph"/>
        <w:numPr>
          <w:ilvl w:val="0"/>
          <w:numId w:val="21"/>
        </w:numPr>
        <w:rPr>
          <w:sz w:val="22"/>
          <w:szCs w:val="22"/>
        </w:rPr>
      </w:pPr>
      <w:r>
        <w:rPr>
          <w:b/>
          <w:bCs/>
          <w:sz w:val="22"/>
          <w:szCs w:val="22"/>
        </w:rPr>
        <w:t xml:space="preserve">Output </w:t>
      </w:r>
      <w:r w:rsidR="00C025FA">
        <w:rPr>
          <w:b/>
          <w:bCs/>
          <w:sz w:val="22"/>
          <w:szCs w:val="22"/>
        </w:rPr>
        <w:t>Indicator 3.1</w:t>
      </w:r>
      <w:r w:rsidR="000F5F51" w:rsidRPr="002837F7">
        <w:rPr>
          <w:sz w:val="22"/>
          <w:szCs w:val="22"/>
        </w:rPr>
        <w:t xml:space="preserve"> the figure covers all people employed by or with a main livelihood supported by the LDN Fund (inclu</w:t>
      </w:r>
      <w:r w:rsidR="00D86E04">
        <w:rPr>
          <w:sz w:val="22"/>
          <w:szCs w:val="22"/>
        </w:rPr>
        <w:t>ding</w:t>
      </w:r>
      <w:r w:rsidR="000F5F51" w:rsidRPr="002837F7">
        <w:rPr>
          <w:sz w:val="22"/>
          <w:szCs w:val="22"/>
        </w:rPr>
        <w:t xml:space="preserve"> direct project beneficiaries)</w:t>
      </w:r>
      <w:r w:rsidR="006174BD" w:rsidRPr="002837F7">
        <w:rPr>
          <w:sz w:val="22"/>
          <w:szCs w:val="22"/>
        </w:rPr>
        <w:t xml:space="preserve">. It </w:t>
      </w:r>
      <w:r w:rsidR="00E72EBF" w:rsidRPr="002837F7">
        <w:rPr>
          <w:sz w:val="22"/>
          <w:szCs w:val="22"/>
        </w:rPr>
        <w:t xml:space="preserve">only considers direct beneficiaries, either female employees </w:t>
      </w:r>
      <w:r w:rsidR="008C3264">
        <w:rPr>
          <w:sz w:val="22"/>
          <w:szCs w:val="22"/>
        </w:rPr>
        <w:t>or</w:t>
      </w:r>
      <w:r w:rsidR="00E72EBF" w:rsidRPr="002837F7">
        <w:rPr>
          <w:sz w:val="22"/>
          <w:szCs w:val="22"/>
        </w:rPr>
        <w:t xml:space="preserve"> female farmers contracted/supported by the projects, and not any indirect beneficiaries, household members </w:t>
      </w:r>
      <w:r w:rsidR="006174BD" w:rsidRPr="002837F7">
        <w:rPr>
          <w:sz w:val="22"/>
          <w:szCs w:val="22"/>
        </w:rPr>
        <w:t>or</w:t>
      </w:r>
      <w:r w:rsidR="00E72EBF" w:rsidRPr="002837F7">
        <w:rPr>
          <w:sz w:val="22"/>
          <w:szCs w:val="22"/>
        </w:rPr>
        <w:t xml:space="preserve"> others</w:t>
      </w:r>
      <w:r w:rsidR="000F5F51" w:rsidRPr="002837F7">
        <w:rPr>
          <w:sz w:val="22"/>
          <w:szCs w:val="22"/>
        </w:rPr>
        <w:t xml:space="preserve">. This </w:t>
      </w:r>
      <w:r w:rsidR="000F5F51" w:rsidRPr="009A50A9">
        <w:rPr>
          <w:sz w:val="22"/>
          <w:szCs w:val="22"/>
        </w:rPr>
        <w:t>metric assumes that an increased ratio of women will provide empowerment to women in affected communities</w:t>
      </w:r>
      <w:r w:rsidR="007A57E1" w:rsidRPr="009A50A9">
        <w:rPr>
          <w:sz w:val="22"/>
          <w:szCs w:val="22"/>
        </w:rPr>
        <w:t xml:space="preserve"> and covers the whole portfolio</w:t>
      </w:r>
      <w:r w:rsidR="009A2DBD" w:rsidRPr="009A50A9">
        <w:rPr>
          <w:sz w:val="22"/>
          <w:szCs w:val="22"/>
        </w:rPr>
        <w:t xml:space="preserve"> at the end of the year</w:t>
      </w:r>
      <w:r w:rsidR="000F5F51" w:rsidRPr="009A50A9">
        <w:rPr>
          <w:sz w:val="22"/>
          <w:szCs w:val="22"/>
        </w:rPr>
        <w:t>.</w:t>
      </w:r>
    </w:p>
    <w:p w14:paraId="3BD8A410" w14:textId="77777777" w:rsidR="00F90CDF" w:rsidRPr="00F44ED9" w:rsidRDefault="00F90CDF" w:rsidP="00F90CDF">
      <w:pPr>
        <w:pStyle w:val="ListParagraph"/>
        <w:numPr>
          <w:ilvl w:val="0"/>
          <w:numId w:val="21"/>
        </w:numPr>
        <w:spacing w:line="257" w:lineRule="auto"/>
        <w:rPr>
          <w:rFonts w:eastAsia="Arial" w:cs="Arial"/>
          <w:sz w:val="22"/>
          <w:szCs w:val="22"/>
        </w:rPr>
      </w:pPr>
      <w:r w:rsidRPr="00A730DC">
        <w:rPr>
          <w:b/>
          <w:bCs/>
          <w:color w:val="000000" w:themeColor="text1"/>
          <w:sz w:val="22"/>
          <w:szCs w:val="22"/>
          <w:lang w:val="en-US"/>
        </w:rPr>
        <w:t>Gender-disaggregated data</w:t>
      </w:r>
      <w:r w:rsidRPr="00F44ED9">
        <w:rPr>
          <w:color w:val="000000" w:themeColor="text1"/>
          <w:sz w:val="22"/>
          <w:szCs w:val="22"/>
          <w:lang w:val="en-US"/>
        </w:rPr>
        <w:t xml:space="preserve"> has been collected for employees supported and smallholders contracted separately with the 2023 figures as follows:</w:t>
      </w:r>
    </w:p>
    <w:p w14:paraId="011ABB3B" w14:textId="77777777" w:rsidR="00F90CDF" w:rsidRPr="00F44ED9" w:rsidRDefault="00F90CDF" w:rsidP="00F90CDF">
      <w:pPr>
        <w:pStyle w:val="ListParagraph"/>
        <w:numPr>
          <w:ilvl w:val="1"/>
          <w:numId w:val="21"/>
        </w:numPr>
        <w:tabs>
          <w:tab w:val="left" w:pos="6915"/>
          <w:tab w:val="left" w:pos="9495"/>
        </w:tabs>
        <w:jc w:val="both"/>
        <w:rPr>
          <w:color w:val="000000" w:themeColor="text1"/>
          <w:sz w:val="22"/>
          <w:szCs w:val="22"/>
          <w:lang w:val="en-US"/>
        </w:rPr>
      </w:pPr>
      <w:r w:rsidRPr="00F44ED9">
        <w:rPr>
          <w:color w:val="000000" w:themeColor="text1"/>
          <w:sz w:val="22"/>
          <w:szCs w:val="22"/>
          <w:lang w:val="en-US"/>
        </w:rPr>
        <w:t>Employees: 5,419 including 1,584 women</w:t>
      </w:r>
    </w:p>
    <w:p w14:paraId="798D697F" w14:textId="77777777" w:rsidR="00F90CDF" w:rsidRPr="00F44ED9" w:rsidRDefault="00F90CDF" w:rsidP="00F90CDF">
      <w:pPr>
        <w:pStyle w:val="ListParagraph"/>
        <w:numPr>
          <w:ilvl w:val="1"/>
          <w:numId w:val="21"/>
        </w:numPr>
        <w:tabs>
          <w:tab w:val="left" w:pos="6915"/>
          <w:tab w:val="left" w:pos="9495"/>
        </w:tabs>
        <w:jc w:val="both"/>
        <w:rPr>
          <w:color w:val="000000" w:themeColor="text1"/>
          <w:sz w:val="22"/>
          <w:szCs w:val="22"/>
          <w:lang w:val="en-US"/>
        </w:rPr>
      </w:pPr>
      <w:r w:rsidRPr="00F44ED9">
        <w:rPr>
          <w:color w:val="000000" w:themeColor="text1"/>
          <w:sz w:val="22"/>
          <w:szCs w:val="22"/>
          <w:lang w:val="en-US"/>
        </w:rPr>
        <w:t>Smallholders: 100,880 including 54,194 women</w:t>
      </w:r>
    </w:p>
    <w:p w14:paraId="392782FB" w14:textId="38502CEB" w:rsidR="00F90CDF" w:rsidRPr="00F90CDF" w:rsidRDefault="00F90CDF" w:rsidP="00F90CDF">
      <w:pPr>
        <w:pStyle w:val="ListParagraph"/>
        <w:tabs>
          <w:tab w:val="left" w:pos="6915"/>
          <w:tab w:val="left" w:pos="9495"/>
        </w:tabs>
        <w:ind w:left="360"/>
        <w:jc w:val="both"/>
        <w:rPr>
          <w:color w:val="000000" w:themeColor="text1"/>
          <w:sz w:val="22"/>
          <w:szCs w:val="22"/>
          <w:lang w:val="en-US"/>
        </w:rPr>
      </w:pPr>
      <w:r w:rsidRPr="00F44ED9">
        <w:rPr>
          <w:color w:val="000000" w:themeColor="text1"/>
          <w:sz w:val="22"/>
          <w:szCs w:val="22"/>
          <w:lang w:val="en-US"/>
        </w:rPr>
        <w:t>No other disaggregation of beneficiaries is possible at this stage.</w:t>
      </w:r>
    </w:p>
    <w:p w14:paraId="0F81AF7B" w14:textId="26D77E76" w:rsidR="000F5F51" w:rsidRPr="009A50A9" w:rsidRDefault="000F5F51" w:rsidP="006C1D8A">
      <w:pPr>
        <w:pStyle w:val="ListParagraph"/>
        <w:numPr>
          <w:ilvl w:val="1"/>
          <w:numId w:val="11"/>
        </w:numPr>
        <w:rPr>
          <w:sz w:val="22"/>
          <w:szCs w:val="22"/>
        </w:rPr>
      </w:pPr>
      <w:r w:rsidRPr="009A50A9">
        <w:rPr>
          <w:sz w:val="22"/>
          <w:szCs w:val="22"/>
        </w:rPr>
        <w:t xml:space="preserve">The ambition of the LDN Fund to address gender equality in the land-use sector has been reinforced by the integration of specific gender equality objectives and milestones in the Fund’s </w:t>
      </w:r>
      <w:r w:rsidR="00B131EC" w:rsidRPr="009A50A9">
        <w:rPr>
          <w:sz w:val="22"/>
          <w:szCs w:val="22"/>
        </w:rPr>
        <w:t>ESG Policy Annex</w:t>
      </w:r>
      <w:r w:rsidRPr="009A50A9">
        <w:rPr>
          <w:sz w:val="22"/>
          <w:szCs w:val="22"/>
        </w:rPr>
        <w:t>.</w:t>
      </w:r>
      <w:r w:rsidR="00AD130D" w:rsidRPr="009A50A9">
        <w:rPr>
          <w:sz w:val="22"/>
          <w:szCs w:val="22"/>
        </w:rPr>
        <w:t xml:space="preserve"> </w:t>
      </w:r>
      <w:r w:rsidRPr="009A50A9">
        <w:rPr>
          <w:rFonts w:eastAsia="Arial" w:cs="Arial"/>
          <w:sz w:val="22"/>
          <w:szCs w:val="22"/>
        </w:rPr>
        <w:t>The ambition of the LDN Fund is to further address gender-related issues at portfolio level and promote investment opportunities that contribute to gender equality.</w:t>
      </w:r>
    </w:p>
    <w:p w14:paraId="7D35BF32" w14:textId="09EF3C3F" w:rsidR="000F5F51" w:rsidRPr="009A50A9" w:rsidRDefault="00EF0C33" w:rsidP="006C1D8A">
      <w:pPr>
        <w:pStyle w:val="ListParagraph"/>
        <w:numPr>
          <w:ilvl w:val="1"/>
          <w:numId w:val="11"/>
        </w:numPr>
        <w:spacing w:line="257" w:lineRule="auto"/>
        <w:rPr>
          <w:rFonts w:eastAsia="Arial" w:cs="Arial"/>
          <w:sz w:val="22"/>
          <w:szCs w:val="22"/>
        </w:rPr>
      </w:pPr>
      <w:r w:rsidRPr="009A50A9">
        <w:rPr>
          <w:rFonts w:eastAsia="Arial" w:cs="Arial"/>
          <w:sz w:val="22"/>
          <w:szCs w:val="22"/>
        </w:rPr>
        <w:t>LDN looks specifically</w:t>
      </w:r>
      <w:r w:rsidR="000F5F51" w:rsidRPr="009A50A9">
        <w:rPr>
          <w:rFonts w:eastAsia="Arial" w:cs="Arial"/>
          <w:sz w:val="22"/>
          <w:szCs w:val="22"/>
        </w:rPr>
        <w:t xml:space="preserve"> for proposals for projects with strong gender equality ambitions and core activities combating land degradation. Through the LDN Fund’s </w:t>
      </w:r>
      <w:r w:rsidR="4AEC07CA" w:rsidRPr="009A50A9">
        <w:rPr>
          <w:rFonts w:eastAsia="Arial" w:cs="Arial"/>
          <w:sz w:val="22"/>
          <w:szCs w:val="22"/>
        </w:rPr>
        <w:t>TAF</w:t>
      </w:r>
      <w:r w:rsidR="000F5F51" w:rsidRPr="009A50A9">
        <w:rPr>
          <w:rFonts w:eastAsia="Arial" w:cs="Arial"/>
          <w:sz w:val="22"/>
          <w:szCs w:val="22"/>
        </w:rPr>
        <w:t xml:space="preserve">, the LDN Fund aims to </w:t>
      </w:r>
      <w:r w:rsidR="000267F7" w:rsidRPr="009A50A9">
        <w:rPr>
          <w:rFonts w:eastAsia="Arial" w:cs="Arial"/>
          <w:sz w:val="22"/>
          <w:szCs w:val="22"/>
        </w:rPr>
        <w:t>assist</w:t>
      </w:r>
      <w:r w:rsidR="000F5F51" w:rsidRPr="009A50A9">
        <w:rPr>
          <w:rFonts w:eastAsia="Arial" w:cs="Arial"/>
          <w:sz w:val="22"/>
          <w:szCs w:val="22"/>
        </w:rPr>
        <w:t xml:space="preserve"> entrepreneurs, companies, green and social business, young or mature, with strong gender equality ambitions that are looking to scale up and strengthen their business model.</w:t>
      </w:r>
    </w:p>
    <w:p w14:paraId="2E64351B" w14:textId="20C67771" w:rsidR="00562055" w:rsidRPr="009A50A9" w:rsidRDefault="00562055" w:rsidP="006C1D8A">
      <w:pPr>
        <w:pStyle w:val="ListParagraph"/>
        <w:numPr>
          <w:ilvl w:val="1"/>
          <w:numId w:val="11"/>
        </w:numPr>
        <w:spacing w:line="257" w:lineRule="auto"/>
        <w:rPr>
          <w:rFonts w:eastAsia="Arial" w:cs="Arial"/>
          <w:sz w:val="22"/>
          <w:szCs w:val="22"/>
        </w:rPr>
      </w:pPr>
      <w:r w:rsidRPr="009A50A9">
        <w:rPr>
          <w:rFonts w:eastAsia="Arial" w:cs="Arial"/>
          <w:sz w:val="22"/>
          <w:szCs w:val="22"/>
        </w:rPr>
        <w:t xml:space="preserve">In September 2022, </w:t>
      </w:r>
      <w:proofErr w:type="spellStart"/>
      <w:r w:rsidRPr="009A50A9">
        <w:rPr>
          <w:rFonts w:eastAsia="Arial" w:cs="Arial"/>
          <w:sz w:val="22"/>
          <w:szCs w:val="22"/>
        </w:rPr>
        <w:t>Mirova</w:t>
      </w:r>
      <w:proofErr w:type="spellEnd"/>
      <w:r w:rsidRPr="009A50A9">
        <w:rPr>
          <w:rFonts w:eastAsia="Arial" w:cs="Arial"/>
          <w:sz w:val="22"/>
          <w:szCs w:val="22"/>
        </w:rPr>
        <w:t xml:space="preserve"> became a member of the 2X Collaborative initiative.</w:t>
      </w:r>
      <w:r w:rsidR="00103779" w:rsidRPr="009A50A9">
        <w:rPr>
          <w:rFonts w:eastAsia="Arial" w:cs="Arial"/>
          <w:sz w:val="22"/>
          <w:szCs w:val="22"/>
        </w:rPr>
        <w:t xml:space="preserve"> </w:t>
      </w:r>
      <w:r w:rsidRPr="009A50A9">
        <w:rPr>
          <w:rFonts w:eastAsia="Arial" w:cs="Arial"/>
          <w:sz w:val="22"/>
          <w:szCs w:val="22"/>
        </w:rPr>
        <w:t>Launched at the UN Generation Equality Forum 2021 in partnership with</w:t>
      </w:r>
      <w:r w:rsidR="00103779" w:rsidRPr="009A50A9">
        <w:rPr>
          <w:rFonts w:eastAsia="Arial" w:cs="Arial"/>
          <w:sz w:val="22"/>
          <w:szCs w:val="22"/>
        </w:rPr>
        <w:t xml:space="preserve"> </w:t>
      </w:r>
      <w:proofErr w:type="spellStart"/>
      <w:r w:rsidRPr="009A50A9">
        <w:rPr>
          <w:rFonts w:eastAsia="Arial" w:cs="Arial"/>
          <w:sz w:val="22"/>
          <w:szCs w:val="22"/>
        </w:rPr>
        <w:t>GenderSmart</w:t>
      </w:r>
      <w:proofErr w:type="spellEnd"/>
      <w:r w:rsidRPr="009A50A9">
        <w:rPr>
          <w:rFonts w:eastAsia="Arial" w:cs="Arial"/>
          <w:sz w:val="22"/>
          <w:szCs w:val="22"/>
        </w:rPr>
        <w:t xml:space="preserve"> and the Investor Leadership Network (ILN), the 2X Collaborative is a leading industry body for gender lens investing. Its mission is to convene and equip investors to increase the volume and impact of capital flowing towards women’s economic empowerment.</w:t>
      </w:r>
    </w:p>
    <w:p w14:paraId="5556089A" w14:textId="73D103D2" w:rsidR="00562055" w:rsidRPr="009A50A9" w:rsidRDefault="00562055" w:rsidP="006C1D8A">
      <w:pPr>
        <w:pStyle w:val="ListParagraph"/>
        <w:numPr>
          <w:ilvl w:val="1"/>
          <w:numId w:val="11"/>
        </w:numPr>
        <w:spacing w:line="257" w:lineRule="auto"/>
        <w:rPr>
          <w:rFonts w:eastAsia="Arial" w:cs="Arial"/>
          <w:sz w:val="22"/>
          <w:szCs w:val="22"/>
        </w:rPr>
      </w:pPr>
      <w:proofErr w:type="spellStart"/>
      <w:r w:rsidRPr="009A50A9">
        <w:rPr>
          <w:rFonts w:eastAsia="Arial" w:cs="Arial"/>
          <w:sz w:val="22"/>
          <w:szCs w:val="22"/>
        </w:rPr>
        <w:t>Mirova’s</w:t>
      </w:r>
      <w:proofErr w:type="spellEnd"/>
      <w:r w:rsidRPr="009A50A9">
        <w:rPr>
          <w:rFonts w:eastAsia="Arial" w:cs="Arial"/>
          <w:sz w:val="22"/>
          <w:szCs w:val="22"/>
        </w:rPr>
        <w:t xml:space="preserve"> membership </w:t>
      </w:r>
      <w:r w:rsidR="00034B4B" w:rsidRPr="009A50A9">
        <w:rPr>
          <w:rFonts w:eastAsia="Arial" w:cs="Arial"/>
          <w:sz w:val="22"/>
          <w:szCs w:val="22"/>
        </w:rPr>
        <w:t>of</w:t>
      </w:r>
      <w:r w:rsidRPr="009A50A9">
        <w:rPr>
          <w:rFonts w:eastAsia="Arial" w:cs="Arial"/>
          <w:sz w:val="22"/>
          <w:szCs w:val="22"/>
        </w:rPr>
        <w:t xml:space="preserve"> 2X Collaborative </w:t>
      </w:r>
      <w:r w:rsidR="00E21146" w:rsidRPr="009A50A9">
        <w:rPr>
          <w:rFonts w:eastAsia="Arial" w:cs="Arial"/>
          <w:sz w:val="22"/>
          <w:szCs w:val="22"/>
        </w:rPr>
        <w:t>gives</w:t>
      </w:r>
      <w:r w:rsidRPr="009A50A9">
        <w:rPr>
          <w:rFonts w:eastAsia="Arial" w:cs="Arial"/>
          <w:sz w:val="22"/>
          <w:szCs w:val="22"/>
        </w:rPr>
        <w:t xml:space="preserve"> access to peer learning networks, knowledge, co-investment platforms, partnership and training opportunities, and innovative investment tools. These benefits </w:t>
      </w:r>
      <w:r w:rsidR="004E09D6" w:rsidRPr="009A50A9">
        <w:rPr>
          <w:rFonts w:eastAsia="Arial" w:cs="Arial"/>
          <w:sz w:val="22"/>
          <w:szCs w:val="22"/>
        </w:rPr>
        <w:t>help</w:t>
      </w:r>
      <w:r w:rsidRPr="009A50A9">
        <w:rPr>
          <w:rFonts w:eastAsia="Arial" w:cs="Arial"/>
          <w:sz w:val="22"/>
          <w:szCs w:val="22"/>
        </w:rPr>
        <w:t xml:space="preserve"> </w:t>
      </w:r>
      <w:proofErr w:type="spellStart"/>
      <w:r w:rsidRPr="009A50A9">
        <w:rPr>
          <w:rFonts w:eastAsia="Arial" w:cs="Arial"/>
          <w:sz w:val="22"/>
          <w:szCs w:val="22"/>
        </w:rPr>
        <w:t>Mirova</w:t>
      </w:r>
      <w:proofErr w:type="spellEnd"/>
      <w:r w:rsidRPr="009A50A9">
        <w:rPr>
          <w:rFonts w:eastAsia="Arial" w:cs="Arial"/>
          <w:sz w:val="22"/>
          <w:szCs w:val="22"/>
        </w:rPr>
        <w:t xml:space="preserve"> apply a gender lens </w:t>
      </w:r>
      <w:r w:rsidR="00C817A4" w:rsidRPr="009A50A9">
        <w:rPr>
          <w:rFonts w:eastAsia="Arial" w:cs="Arial"/>
          <w:sz w:val="22"/>
          <w:szCs w:val="22"/>
        </w:rPr>
        <w:t xml:space="preserve">to its </w:t>
      </w:r>
      <w:r w:rsidRPr="009A50A9">
        <w:rPr>
          <w:rFonts w:eastAsia="Arial" w:cs="Arial"/>
          <w:sz w:val="22"/>
          <w:szCs w:val="22"/>
        </w:rPr>
        <w:t xml:space="preserve">investing framework </w:t>
      </w:r>
      <w:r w:rsidR="00C817A4" w:rsidRPr="009A50A9">
        <w:rPr>
          <w:rFonts w:eastAsia="Arial" w:cs="Arial"/>
          <w:sz w:val="22"/>
          <w:szCs w:val="22"/>
        </w:rPr>
        <w:t>and</w:t>
      </w:r>
      <w:r w:rsidRPr="009A50A9">
        <w:rPr>
          <w:rFonts w:eastAsia="Arial" w:cs="Arial"/>
          <w:sz w:val="22"/>
          <w:szCs w:val="22"/>
        </w:rPr>
        <w:t xml:space="preserve"> investments, especially for the LDN</w:t>
      </w:r>
      <w:r w:rsidR="00063E1E" w:rsidRPr="009A50A9">
        <w:rPr>
          <w:rFonts w:eastAsia="Arial" w:cs="Arial"/>
          <w:sz w:val="22"/>
          <w:szCs w:val="22"/>
        </w:rPr>
        <w:t xml:space="preserve"> Fund</w:t>
      </w:r>
      <w:r w:rsidRPr="009A50A9">
        <w:rPr>
          <w:rFonts w:eastAsia="Arial" w:cs="Arial"/>
          <w:sz w:val="22"/>
          <w:szCs w:val="22"/>
        </w:rPr>
        <w:t>.</w:t>
      </w:r>
    </w:p>
    <w:p w14:paraId="3D1481F6" w14:textId="3D3DD80E" w:rsidR="00562055" w:rsidRPr="009A50A9" w:rsidRDefault="00562055" w:rsidP="006C1D8A">
      <w:pPr>
        <w:pStyle w:val="ListParagraph"/>
        <w:numPr>
          <w:ilvl w:val="1"/>
          <w:numId w:val="11"/>
        </w:numPr>
        <w:spacing w:line="257" w:lineRule="auto"/>
        <w:rPr>
          <w:rFonts w:eastAsia="Arial" w:cs="Arial"/>
          <w:sz w:val="22"/>
          <w:szCs w:val="22"/>
        </w:rPr>
      </w:pPr>
      <w:r w:rsidRPr="4F7D4E74">
        <w:rPr>
          <w:rFonts w:eastAsia="Arial" w:cs="Arial"/>
          <w:sz w:val="22"/>
          <w:szCs w:val="22"/>
        </w:rPr>
        <w:t>All LDN</w:t>
      </w:r>
      <w:r w:rsidR="00063E1E" w:rsidRPr="4F7D4E74">
        <w:rPr>
          <w:rFonts w:eastAsia="Arial" w:cs="Arial"/>
          <w:sz w:val="22"/>
          <w:szCs w:val="22"/>
        </w:rPr>
        <w:t xml:space="preserve">’s </w:t>
      </w:r>
      <w:r w:rsidRPr="4F7D4E74">
        <w:rPr>
          <w:rFonts w:eastAsia="Arial" w:cs="Arial"/>
          <w:sz w:val="22"/>
          <w:szCs w:val="22"/>
        </w:rPr>
        <w:t xml:space="preserve">portfolio projects are intended to generate positive impact in terms of gender equality. </w:t>
      </w:r>
      <w:r w:rsidR="006F198F" w:rsidRPr="4F7D4E74">
        <w:rPr>
          <w:rFonts w:eastAsia="Arial" w:cs="Arial"/>
          <w:sz w:val="22"/>
          <w:szCs w:val="22"/>
        </w:rPr>
        <w:t>Currently s</w:t>
      </w:r>
      <w:r w:rsidR="084DE8EE" w:rsidRPr="4F7D4E74">
        <w:rPr>
          <w:rFonts w:eastAsia="Arial" w:cs="Arial"/>
          <w:sz w:val="22"/>
          <w:szCs w:val="22"/>
        </w:rPr>
        <w:t xml:space="preserve">even </w:t>
      </w:r>
      <w:r w:rsidRPr="4F7D4E74">
        <w:rPr>
          <w:rFonts w:eastAsia="Arial" w:cs="Arial"/>
          <w:sz w:val="22"/>
          <w:szCs w:val="22"/>
        </w:rPr>
        <w:t>projects in the LDN Fund portfolio (</w:t>
      </w:r>
      <w:proofErr w:type="spellStart"/>
      <w:r w:rsidRPr="4F7D4E74">
        <w:rPr>
          <w:rFonts w:eastAsia="Arial" w:cs="Arial"/>
          <w:sz w:val="22"/>
          <w:szCs w:val="22"/>
        </w:rPr>
        <w:t>Urapi</w:t>
      </w:r>
      <w:proofErr w:type="spellEnd"/>
      <w:r w:rsidRPr="4F7D4E74">
        <w:rPr>
          <w:rFonts w:eastAsia="Arial" w:cs="Arial"/>
          <w:sz w:val="22"/>
          <w:szCs w:val="22"/>
        </w:rPr>
        <w:t>,</w:t>
      </w:r>
      <w:r w:rsidR="00034B4B" w:rsidRPr="4F7D4E74">
        <w:rPr>
          <w:rFonts w:eastAsia="Arial" w:cs="Arial"/>
          <w:sz w:val="22"/>
          <w:szCs w:val="22"/>
        </w:rPr>
        <w:t xml:space="preserve"> </w:t>
      </w:r>
      <w:r w:rsidR="7C8863D3" w:rsidRPr="4F7D4E74">
        <w:rPr>
          <w:rFonts w:eastAsia="Arial" w:cs="Arial"/>
          <w:sz w:val="22"/>
          <w:szCs w:val="22"/>
        </w:rPr>
        <w:t>Atlas Fruits</w:t>
      </w:r>
      <w:r w:rsidRPr="4F7D4E74">
        <w:rPr>
          <w:rFonts w:eastAsia="Arial" w:cs="Arial"/>
          <w:sz w:val="22"/>
          <w:szCs w:val="22"/>
        </w:rPr>
        <w:t>,</w:t>
      </w:r>
      <w:r w:rsidR="734C5FD9" w:rsidRPr="4F7D4E74">
        <w:rPr>
          <w:rFonts w:eastAsia="Arial" w:cs="Arial"/>
          <w:sz w:val="22"/>
          <w:szCs w:val="22"/>
        </w:rPr>
        <w:t xml:space="preserve"> Aloe Forestal, </w:t>
      </w:r>
      <w:proofErr w:type="spellStart"/>
      <w:r w:rsidR="734C5FD9" w:rsidRPr="4F7D4E74">
        <w:rPr>
          <w:rFonts w:eastAsia="Arial" w:cs="Arial"/>
          <w:sz w:val="22"/>
          <w:szCs w:val="22"/>
        </w:rPr>
        <w:t>Terrasos</w:t>
      </w:r>
      <w:proofErr w:type="spellEnd"/>
      <w:r w:rsidR="734C5FD9" w:rsidRPr="4F7D4E74">
        <w:rPr>
          <w:rFonts w:eastAsia="Arial" w:cs="Arial"/>
          <w:sz w:val="22"/>
          <w:szCs w:val="22"/>
        </w:rPr>
        <w:t>,</w:t>
      </w:r>
      <w:r w:rsidRPr="4F7D4E74">
        <w:rPr>
          <w:rFonts w:eastAsia="Arial" w:cs="Arial"/>
          <w:sz w:val="22"/>
          <w:szCs w:val="22"/>
        </w:rPr>
        <w:t xml:space="preserve"> Cacao Oro, Kennemer and </w:t>
      </w:r>
      <w:proofErr w:type="spellStart"/>
      <w:r w:rsidRPr="4F7D4E74">
        <w:rPr>
          <w:rFonts w:eastAsia="Arial" w:cs="Arial"/>
          <w:sz w:val="22"/>
          <w:szCs w:val="22"/>
        </w:rPr>
        <w:t>Aqre</w:t>
      </w:r>
      <w:proofErr w:type="spellEnd"/>
      <w:r w:rsidRPr="4F7D4E74">
        <w:rPr>
          <w:rFonts w:eastAsia="Arial" w:cs="Arial"/>
          <w:sz w:val="22"/>
          <w:szCs w:val="22"/>
        </w:rPr>
        <w:t xml:space="preserve"> Group) are meeting the 2X criteria on leadership, qualifying the LDN Fund for the initiative’s 5</w:t>
      </w:r>
      <w:r w:rsidR="00C817A4" w:rsidRPr="4F7D4E74">
        <w:rPr>
          <w:rFonts w:eastAsia="Arial" w:cs="Arial"/>
          <w:sz w:val="22"/>
          <w:szCs w:val="22"/>
          <w:vertAlign w:val="superscript"/>
        </w:rPr>
        <w:t>th</w:t>
      </w:r>
      <w:r w:rsidR="00C817A4" w:rsidRPr="4F7D4E74">
        <w:rPr>
          <w:rFonts w:eastAsia="Arial" w:cs="Arial"/>
          <w:sz w:val="22"/>
          <w:szCs w:val="22"/>
        </w:rPr>
        <w:t xml:space="preserve"> </w:t>
      </w:r>
      <w:r w:rsidRPr="4F7D4E74">
        <w:rPr>
          <w:rFonts w:eastAsia="Arial" w:cs="Arial"/>
          <w:sz w:val="22"/>
          <w:szCs w:val="22"/>
        </w:rPr>
        <w:t>criterion.</w:t>
      </w:r>
      <w:r w:rsidR="00F7082F" w:rsidRPr="4F7D4E74">
        <w:rPr>
          <w:rFonts w:eastAsia="Arial" w:cs="Arial"/>
          <w:sz w:val="22"/>
          <w:szCs w:val="22"/>
        </w:rPr>
        <w:t xml:space="preserve"> In 2022, the </w:t>
      </w:r>
      <w:proofErr w:type="spellStart"/>
      <w:r w:rsidR="00F7082F" w:rsidRPr="4F7D4E74">
        <w:rPr>
          <w:rFonts w:eastAsia="Arial" w:cs="Arial"/>
          <w:sz w:val="22"/>
          <w:szCs w:val="22"/>
        </w:rPr>
        <w:t>Komaza</w:t>
      </w:r>
      <w:proofErr w:type="spellEnd"/>
      <w:r w:rsidR="00F7082F" w:rsidRPr="4F7D4E74">
        <w:rPr>
          <w:rFonts w:eastAsia="Arial" w:cs="Arial"/>
          <w:sz w:val="22"/>
          <w:szCs w:val="22"/>
        </w:rPr>
        <w:t xml:space="preserve"> and Mountain Hazelnut projects were reported as meeting the 2X criteria. </w:t>
      </w:r>
      <w:r w:rsidR="00F92DB0">
        <w:rPr>
          <w:rFonts w:eastAsia="Arial" w:cs="Arial"/>
          <w:sz w:val="22"/>
          <w:szCs w:val="22"/>
        </w:rPr>
        <w:t>However, f</w:t>
      </w:r>
      <w:r w:rsidR="00F7082F" w:rsidRPr="4F7D4E74">
        <w:rPr>
          <w:rFonts w:eastAsia="Arial" w:cs="Arial"/>
          <w:sz w:val="22"/>
          <w:szCs w:val="22"/>
        </w:rPr>
        <w:t xml:space="preserve">or 2023, detailed figures have not been received for </w:t>
      </w:r>
      <w:proofErr w:type="spellStart"/>
      <w:r w:rsidR="00F7082F" w:rsidRPr="4F7D4E74">
        <w:rPr>
          <w:rFonts w:eastAsia="Arial" w:cs="Arial"/>
          <w:sz w:val="22"/>
          <w:szCs w:val="22"/>
        </w:rPr>
        <w:t>Komaza</w:t>
      </w:r>
      <w:proofErr w:type="spellEnd"/>
      <w:r w:rsidR="00F7082F" w:rsidRPr="4F7D4E74">
        <w:rPr>
          <w:rFonts w:eastAsia="Arial" w:cs="Arial"/>
          <w:sz w:val="22"/>
          <w:szCs w:val="22"/>
        </w:rPr>
        <w:t>, and Mountain Hazelnuts has seen a reduction in the share of women in senior management positions</w:t>
      </w:r>
      <w:r w:rsidR="00F92DB0">
        <w:rPr>
          <w:rFonts w:eastAsia="Arial" w:cs="Arial"/>
          <w:sz w:val="22"/>
          <w:szCs w:val="22"/>
        </w:rPr>
        <w:t>, meaning they no longer meet the 2X criteria.</w:t>
      </w:r>
    </w:p>
    <w:p w14:paraId="4B0865CC" w14:textId="00D46EE5" w:rsidR="003B0563" w:rsidRDefault="00517475" w:rsidP="009854A1">
      <w:pPr>
        <w:pStyle w:val="ListParagraph"/>
        <w:numPr>
          <w:ilvl w:val="0"/>
          <w:numId w:val="11"/>
        </w:numPr>
        <w:spacing w:line="257" w:lineRule="auto"/>
        <w:rPr>
          <w:rFonts w:eastAsia="Arial" w:cs="Arial"/>
          <w:sz w:val="22"/>
          <w:szCs w:val="22"/>
        </w:rPr>
      </w:pPr>
      <w:r>
        <w:rPr>
          <w:rFonts w:eastAsia="Arial" w:cs="Arial"/>
          <w:b/>
          <w:bCs/>
          <w:sz w:val="22"/>
          <w:szCs w:val="22"/>
        </w:rPr>
        <w:lastRenderedPageBreak/>
        <w:t xml:space="preserve">Output </w:t>
      </w:r>
      <w:r w:rsidR="00C025FA">
        <w:rPr>
          <w:rFonts w:eastAsia="Arial" w:cs="Arial"/>
          <w:b/>
          <w:bCs/>
          <w:sz w:val="22"/>
          <w:szCs w:val="22"/>
        </w:rPr>
        <w:t xml:space="preserve">Indicator 3.2: </w:t>
      </w:r>
      <w:r w:rsidR="000F5F51" w:rsidRPr="3F965746">
        <w:rPr>
          <w:rFonts w:eastAsia="Arial" w:cs="Arial"/>
          <w:sz w:val="22"/>
          <w:szCs w:val="22"/>
        </w:rPr>
        <w:t xml:space="preserve">Community engagement through events continues to be strong. </w:t>
      </w:r>
      <w:r w:rsidR="006C1D8A" w:rsidRPr="3F965746">
        <w:rPr>
          <w:rFonts w:eastAsia="Arial" w:cs="Arial"/>
          <w:sz w:val="22"/>
          <w:szCs w:val="22"/>
        </w:rPr>
        <w:t xml:space="preserve">Community engagement is conducted at project level as part of specific stakeholder engagement plans. The events usually consist of regular project updates and collection of potential grievances with </w:t>
      </w:r>
      <w:r w:rsidR="006778AC" w:rsidRPr="3F965746">
        <w:rPr>
          <w:rFonts w:eastAsia="Arial" w:cs="Arial"/>
          <w:sz w:val="22"/>
          <w:szCs w:val="22"/>
        </w:rPr>
        <w:t xml:space="preserve">nearby </w:t>
      </w:r>
      <w:proofErr w:type="gramStart"/>
      <w:r w:rsidR="006778AC" w:rsidRPr="3F965746">
        <w:rPr>
          <w:rFonts w:eastAsia="Arial" w:cs="Arial"/>
          <w:sz w:val="22"/>
          <w:szCs w:val="22"/>
        </w:rPr>
        <w:t>residents</w:t>
      </w:r>
      <w:r w:rsidR="001856BB" w:rsidRPr="3F965746">
        <w:rPr>
          <w:rFonts w:eastAsia="Arial" w:cs="Arial"/>
          <w:sz w:val="22"/>
          <w:szCs w:val="22"/>
        </w:rPr>
        <w:t>,</w:t>
      </w:r>
      <w:r w:rsidR="006C1D8A" w:rsidRPr="3F965746">
        <w:rPr>
          <w:rFonts w:eastAsia="Arial" w:cs="Arial"/>
          <w:sz w:val="22"/>
          <w:szCs w:val="22"/>
        </w:rPr>
        <w:t xml:space="preserve"> but</w:t>
      </w:r>
      <w:proofErr w:type="gramEnd"/>
      <w:r w:rsidR="006C1D8A" w:rsidRPr="3F965746">
        <w:rPr>
          <w:rFonts w:eastAsia="Arial" w:cs="Arial"/>
          <w:sz w:val="22"/>
          <w:szCs w:val="22"/>
        </w:rPr>
        <w:t xml:space="preserve"> could also be focused </w:t>
      </w:r>
      <w:r w:rsidR="001856BB" w:rsidRPr="3F965746">
        <w:rPr>
          <w:rFonts w:eastAsia="Arial" w:cs="Arial"/>
          <w:sz w:val="22"/>
          <w:szCs w:val="22"/>
        </w:rPr>
        <w:t xml:space="preserve">on </w:t>
      </w:r>
      <w:r w:rsidR="006C1D8A" w:rsidRPr="3F965746">
        <w:rPr>
          <w:rFonts w:eastAsia="Arial" w:cs="Arial"/>
          <w:sz w:val="22"/>
          <w:szCs w:val="22"/>
        </w:rPr>
        <w:t xml:space="preserve">capacity building </w:t>
      </w:r>
      <w:r w:rsidR="001856BB" w:rsidRPr="3F965746">
        <w:rPr>
          <w:rFonts w:eastAsia="Arial" w:cs="Arial"/>
          <w:sz w:val="22"/>
          <w:szCs w:val="22"/>
        </w:rPr>
        <w:t>for</w:t>
      </w:r>
      <w:r w:rsidR="006C1D8A" w:rsidRPr="3F965746">
        <w:rPr>
          <w:rFonts w:eastAsia="Arial" w:cs="Arial"/>
          <w:sz w:val="22"/>
          <w:szCs w:val="22"/>
        </w:rPr>
        <w:t xml:space="preserve"> farmers or celebration events with local communities. </w:t>
      </w:r>
    </w:p>
    <w:p w14:paraId="31479AAA" w14:textId="57979DE2" w:rsidR="00F92DB0" w:rsidRPr="00B72E9A" w:rsidRDefault="00517475" w:rsidP="00B72E9A">
      <w:pPr>
        <w:pStyle w:val="ListParagraph"/>
        <w:numPr>
          <w:ilvl w:val="0"/>
          <w:numId w:val="11"/>
        </w:numPr>
        <w:spacing w:line="257" w:lineRule="auto"/>
        <w:rPr>
          <w:rFonts w:eastAsia="Arial" w:cs="Arial"/>
          <w:sz w:val="22"/>
          <w:szCs w:val="22"/>
        </w:rPr>
      </w:pPr>
      <w:r>
        <w:rPr>
          <w:rFonts w:eastAsia="Arial" w:cs="Arial"/>
          <w:b/>
          <w:bCs/>
          <w:sz w:val="22"/>
          <w:szCs w:val="22"/>
        </w:rPr>
        <w:t xml:space="preserve">Output </w:t>
      </w:r>
      <w:r w:rsidR="00C025FA">
        <w:rPr>
          <w:rFonts w:eastAsia="Arial" w:cs="Arial"/>
          <w:b/>
          <w:bCs/>
          <w:sz w:val="22"/>
          <w:szCs w:val="22"/>
        </w:rPr>
        <w:t xml:space="preserve">Indicator 3.3: </w:t>
      </w:r>
      <w:r w:rsidR="000F5F51" w:rsidRPr="4F7D4E74">
        <w:rPr>
          <w:rFonts w:eastAsia="Arial" w:cs="Arial"/>
          <w:sz w:val="22"/>
          <w:szCs w:val="22"/>
        </w:rPr>
        <w:t xml:space="preserve">The total number of jobs supported has </w:t>
      </w:r>
      <w:r w:rsidR="00DA6478" w:rsidRPr="4F7D4E74">
        <w:rPr>
          <w:rFonts w:eastAsia="Arial" w:cs="Arial"/>
          <w:sz w:val="22"/>
          <w:szCs w:val="22"/>
        </w:rPr>
        <w:t>in</w:t>
      </w:r>
      <w:r w:rsidR="000F5F51" w:rsidRPr="4F7D4E74">
        <w:rPr>
          <w:rFonts w:eastAsia="Arial" w:cs="Arial"/>
          <w:sz w:val="22"/>
          <w:szCs w:val="22"/>
        </w:rPr>
        <w:t xml:space="preserve">creased </w:t>
      </w:r>
      <w:r w:rsidR="00DA6478" w:rsidRPr="4F7D4E74">
        <w:rPr>
          <w:rFonts w:eastAsia="Arial" w:cs="Arial"/>
          <w:sz w:val="22"/>
          <w:szCs w:val="22"/>
        </w:rPr>
        <w:t>substantially</w:t>
      </w:r>
      <w:r w:rsidR="377941B7" w:rsidRPr="4F7D4E74">
        <w:rPr>
          <w:rFonts w:eastAsia="Arial" w:cs="Arial"/>
          <w:sz w:val="22"/>
          <w:szCs w:val="22"/>
        </w:rPr>
        <w:t xml:space="preserve"> year o</w:t>
      </w:r>
      <w:r w:rsidR="35CB37E5" w:rsidRPr="4F7D4E74">
        <w:rPr>
          <w:rFonts w:eastAsia="Arial" w:cs="Arial"/>
          <w:sz w:val="22"/>
          <w:szCs w:val="22"/>
        </w:rPr>
        <w:t>n</w:t>
      </w:r>
      <w:r w:rsidR="377941B7" w:rsidRPr="4F7D4E74">
        <w:rPr>
          <w:rFonts w:eastAsia="Arial" w:cs="Arial"/>
          <w:sz w:val="22"/>
          <w:szCs w:val="22"/>
        </w:rPr>
        <w:t xml:space="preserve"> year</w:t>
      </w:r>
      <w:r w:rsidR="00DA6478" w:rsidRPr="4F7D4E74">
        <w:rPr>
          <w:rFonts w:eastAsia="Arial" w:cs="Arial"/>
          <w:sz w:val="22"/>
          <w:szCs w:val="22"/>
        </w:rPr>
        <w:t xml:space="preserve"> </w:t>
      </w:r>
      <w:r w:rsidR="000F5F51" w:rsidRPr="4F7D4E74">
        <w:rPr>
          <w:rFonts w:eastAsia="Arial" w:cs="Arial"/>
          <w:sz w:val="22"/>
          <w:szCs w:val="22"/>
        </w:rPr>
        <w:t>since 202</w:t>
      </w:r>
      <w:r w:rsidR="00DA6478" w:rsidRPr="4F7D4E74">
        <w:rPr>
          <w:rFonts w:eastAsia="Arial" w:cs="Arial"/>
          <w:sz w:val="22"/>
          <w:szCs w:val="22"/>
        </w:rPr>
        <w:t>1</w:t>
      </w:r>
      <w:r w:rsidR="000F5F51" w:rsidRPr="4F7D4E74">
        <w:rPr>
          <w:rFonts w:eastAsia="Arial" w:cs="Arial"/>
          <w:sz w:val="22"/>
          <w:szCs w:val="22"/>
        </w:rPr>
        <w:t>, including both direct employees of projects funded and smallholders benefitting indirectly.</w:t>
      </w:r>
      <w:r w:rsidR="00DA6478" w:rsidRPr="4F7D4E74">
        <w:rPr>
          <w:rFonts w:eastAsia="Arial" w:cs="Arial"/>
          <w:sz w:val="22"/>
          <w:szCs w:val="22"/>
        </w:rPr>
        <w:t xml:space="preserve"> L</w:t>
      </w:r>
      <w:r w:rsidR="000F5F51" w:rsidRPr="4F7D4E74">
        <w:rPr>
          <w:rFonts w:eastAsia="Arial" w:cs="Arial"/>
          <w:sz w:val="22"/>
          <w:szCs w:val="22"/>
        </w:rPr>
        <w:t xml:space="preserve">ooking only at direct employees, this figure has increased </w:t>
      </w:r>
      <w:r w:rsidR="00DA6478" w:rsidRPr="4F7D4E74">
        <w:rPr>
          <w:rFonts w:eastAsia="Arial" w:cs="Arial"/>
          <w:sz w:val="22"/>
          <w:szCs w:val="22"/>
        </w:rPr>
        <w:t>to</w:t>
      </w:r>
      <w:r w:rsidR="00496ECF" w:rsidRPr="4F7D4E74">
        <w:rPr>
          <w:rFonts w:eastAsia="Arial" w:cs="Arial"/>
          <w:sz w:val="22"/>
          <w:szCs w:val="22"/>
        </w:rPr>
        <w:t xml:space="preserve"> </w:t>
      </w:r>
      <w:r w:rsidR="003611D5" w:rsidRPr="4F7D4E74">
        <w:rPr>
          <w:rFonts w:eastAsia="Arial" w:cs="Arial"/>
          <w:sz w:val="22"/>
          <w:szCs w:val="22"/>
        </w:rPr>
        <w:t>5,</w:t>
      </w:r>
      <w:r w:rsidR="00D90808" w:rsidRPr="4F7D4E74">
        <w:rPr>
          <w:rFonts w:eastAsia="Arial" w:cs="Arial"/>
          <w:sz w:val="22"/>
          <w:szCs w:val="22"/>
        </w:rPr>
        <w:t xml:space="preserve">419 </w:t>
      </w:r>
      <w:r w:rsidR="000F5F51" w:rsidRPr="4F7D4E74">
        <w:rPr>
          <w:rFonts w:eastAsia="Arial" w:cs="Arial"/>
          <w:sz w:val="22"/>
          <w:szCs w:val="22"/>
        </w:rPr>
        <w:t xml:space="preserve">from </w:t>
      </w:r>
      <w:r w:rsidR="00DA6478" w:rsidRPr="4F7D4E74">
        <w:rPr>
          <w:rFonts w:eastAsia="Arial" w:cs="Arial"/>
          <w:sz w:val="22"/>
          <w:szCs w:val="22"/>
        </w:rPr>
        <w:t>4,151</w:t>
      </w:r>
      <w:r w:rsidR="000F5F51" w:rsidRPr="4F7D4E74">
        <w:rPr>
          <w:rFonts w:eastAsia="Arial" w:cs="Arial"/>
          <w:sz w:val="22"/>
          <w:szCs w:val="22"/>
        </w:rPr>
        <w:t xml:space="preserve"> in 202</w:t>
      </w:r>
      <w:r w:rsidR="00DA6478" w:rsidRPr="4F7D4E74">
        <w:rPr>
          <w:rFonts w:eastAsia="Arial" w:cs="Arial"/>
          <w:sz w:val="22"/>
          <w:szCs w:val="22"/>
        </w:rPr>
        <w:t>1</w:t>
      </w:r>
      <w:r w:rsidR="006B22DB" w:rsidRPr="4F7D4E74">
        <w:rPr>
          <w:rFonts w:eastAsia="Arial" w:cs="Arial"/>
          <w:sz w:val="22"/>
          <w:szCs w:val="22"/>
        </w:rPr>
        <w:t>.</w:t>
      </w:r>
      <w:r w:rsidR="0010553F" w:rsidRPr="0010553F">
        <w:rPr>
          <w:i/>
          <w:iCs/>
          <w:color w:val="000000" w:themeColor="text1"/>
          <w:sz w:val="22"/>
          <w:szCs w:val="22"/>
          <w:lang w:eastAsia="en-US"/>
        </w:rPr>
        <w:t xml:space="preserve"> </w:t>
      </w:r>
      <w:r w:rsidR="0010553F" w:rsidRPr="0010553F">
        <w:rPr>
          <w:color w:val="000000" w:themeColor="text1"/>
          <w:sz w:val="22"/>
          <w:szCs w:val="22"/>
          <w:lang w:eastAsia="en-US"/>
        </w:rPr>
        <w:t xml:space="preserve">Most of the farmers supported by the seven projects that have a smallholder model are growing produce for sale on tiny areas of around one-three hectares each, which suggests that the Fund’s benefits are reaching some of the poorest households in the world, while other projects are creating secure jobs </w:t>
      </w:r>
      <w:r w:rsidR="0010553F">
        <w:rPr>
          <w:color w:val="000000" w:themeColor="text1"/>
          <w:sz w:val="22"/>
          <w:szCs w:val="22"/>
          <w:lang w:eastAsia="en-US"/>
        </w:rPr>
        <w:t xml:space="preserve">with decent living wages </w:t>
      </w:r>
      <w:r w:rsidR="0010553F" w:rsidRPr="0010553F">
        <w:rPr>
          <w:color w:val="000000" w:themeColor="text1"/>
          <w:sz w:val="22"/>
          <w:szCs w:val="22"/>
          <w:lang w:eastAsia="en-US"/>
        </w:rPr>
        <w:t>in poor, rural areas</w:t>
      </w:r>
      <w:r w:rsidR="0010553F">
        <w:rPr>
          <w:color w:val="000000" w:themeColor="text1"/>
          <w:sz w:val="22"/>
          <w:szCs w:val="22"/>
          <w:lang w:eastAsia="en-US"/>
        </w:rPr>
        <w:t xml:space="preserve">, </w:t>
      </w:r>
      <w:r w:rsidR="0010553F" w:rsidRPr="4F7D4E74">
        <w:rPr>
          <w:rFonts w:eastAsia="Arial" w:cs="Arial"/>
          <w:sz w:val="22"/>
          <w:szCs w:val="22"/>
        </w:rPr>
        <w:t>following LDN’s ESG guidance</w:t>
      </w:r>
      <w:r w:rsidR="0010553F" w:rsidRPr="0010553F">
        <w:rPr>
          <w:color w:val="000000" w:themeColor="text1"/>
          <w:sz w:val="22"/>
          <w:szCs w:val="22"/>
          <w:lang w:eastAsia="en-US"/>
        </w:rPr>
        <w:t>.</w:t>
      </w:r>
    </w:p>
    <w:p w14:paraId="7B317C69" w14:textId="77777777" w:rsidR="000F5F51" w:rsidRPr="002055D4" w:rsidRDefault="000F5F51" w:rsidP="000F5F51">
      <w:pPr>
        <w:rPr>
          <w:color w:val="FF0000"/>
          <w:sz w:val="20"/>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2C20BD" w:rsidRPr="002055D4" w14:paraId="29898D2B" w14:textId="77777777" w:rsidTr="00680FA9">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7EC893" w14:textId="77777777" w:rsidR="000F5F51" w:rsidRPr="002055D4" w:rsidRDefault="000F5F51" w:rsidP="00680FA9">
            <w:pPr>
              <w:rPr>
                <w:b/>
                <w:bCs/>
                <w:sz w:val="20"/>
                <w:szCs w:val="20"/>
              </w:rPr>
            </w:pPr>
            <w:r w:rsidRPr="60E67443">
              <w:rPr>
                <w:b/>
                <w:bCs/>
                <w:sz w:val="20"/>
                <w:szCs w:val="20"/>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E16FC3" w14:textId="77777777" w:rsidR="000F5F51" w:rsidRPr="002055D4" w:rsidRDefault="000F5F51" w:rsidP="00680FA9">
            <w:pPr>
              <w:rPr>
                <w:sz w:val="20"/>
                <w:szCs w:val="20"/>
              </w:rPr>
            </w:pPr>
            <w:r w:rsidRPr="60E67443">
              <w:rPr>
                <w:sz w:val="20"/>
                <w:szCs w:val="20"/>
              </w:rPr>
              <w:t>The LDN Fund shares best practice with public and private actors focused on a) expanding SLM practices in developing countries, or b) utilising the impact investment fund approach to contribute to meeting SDG, climate change or environmental targets</w:t>
            </w:r>
          </w:p>
        </w:tc>
      </w:tr>
      <w:tr w:rsidR="00E909FF" w:rsidRPr="002055D4" w14:paraId="1A444987" w14:textId="77777777" w:rsidTr="00680FA9">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F971E1" w14:textId="77777777" w:rsidR="000F5F51" w:rsidRPr="002055D4" w:rsidRDefault="000F5F51" w:rsidP="00680FA9">
            <w:pPr>
              <w:rPr>
                <w:sz w:val="20"/>
                <w:szCs w:val="20"/>
              </w:rPr>
            </w:pPr>
            <w:r w:rsidRPr="60E67443">
              <w:rPr>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2892949D" w14:textId="77777777" w:rsidR="000F5F51" w:rsidRPr="002055D4" w:rsidRDefault="000F5F51" w:rsidP="00680FA9">
            <w:pPr>
              <w:rPr>
                <w:sz w:val="20"/>
                <w:szCs w:val="20"/>
              </w:rPr>
            </w:pPr>
            <w:r w:rsidRPr="60E67443">
              <w:rPr>
                <w:sz w:val="20"/>
                <w:szCs w:val="20"/>
              </w:rPr>
              <w:t>4</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5C16A4" w14:textId="77777777" w:rsidR="000F5F51" w:rsidRPr="002055D4" w:rsidRDefault="000F5F51" w:rsidP="00680FA9">
            <w:pPr>
              <w:rPr>
                <w:sz w:val="20"/>
                <w:szCs w:val="20"/>
              </w:rPr>
            </w:pPr>
            <w:r w:rsidRPr="60E67443">
              <w:rPr>
                <w:sz w:val="20"/>
                <w:szCs w:val="20"/>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59DD4F9E" w14:textId="64BC2ECC" w:rsidR="000F5F51" w:rsidRPr="002055D4" w:rsidRDefault="000F5F51" w:rsidP="00680FA9">
            <w:pPr>
              <w:rPr>
                <w:sz w:val="20"/>
                <w:szCs w:val="20"/>
              </w:rPr>
            </w:pPr>
            <w:r w:rsidRPr="00DE3141">
              <w:rPr>
                <w:sz w:val="20"/>
                <w:szCs w:val="20"/>
              </w:rPr>
              <w:t>A</w:t>
            </w:r>
            <w:r w:rsidR="00FE7568">
              <w:rPr>
                <w:sz w:val="20"/>
                <w:szCs w:val="20"/>
              </w:rPr>
              <w:t>+</w:t>
            </w:r>
          </w:p>
        </w:tc>
      </w:tr>
      <w:tr w:rsidR="00E909FF" w:rsidRPr="002055D4" w14:paraId="0D3DFC65" w14:textId="77777777" w:rsidTr="00680FA9">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C56D73" w14:textId="77777777" w:rsidR="000F5F51" w:rsidRPr="002055D4" w:rsidRDefault="000F5F51" w:rsidP="00680FA9">
            <w:pPr>
              <w:rPr>
                <w:sz w:val="20"/>
                <w:szCs w:val="20"/>
              </w:rPr>
            </w:pPr>
            <w:r w:rsidRPr="60E67443">
              <w:rPr>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5904B176" w14:textId="48C74ED8" w:rsidR="000F5F51" w:rsidRPr="002055D4" w:rsidRDefault="00DF540C" w:rsidP="00680FA9">
            <w:pPr>
              <w:rPr>
                <w:sz w:val="20"/>
                <w:szCs w:val="20"/>
              </w:rPr>
            </w:pPr>
            <w:r>
              <w:rPr>
                <w:sz w:val="20"/>
                <w:szCs w:val="20"/>
              </w:rPr>
              <w:t>10%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18F028" w14:textId="77777777" w:rsidR="000F5F51" w:rsidRPr="002055D4" w:rsidRDefault="000F5F51" w:rsidP="00680FA9">
            <w:pPr>
              <w:rPr>
                <w:sz w:val="20"/>
                <w:szCs w:val="20"/>
              </w:rPr>
            </w:pPr>
            <w:r w:rsidRPr="60E67443">
              <w:rPr>
                <w:sz w:val="20"/>
                <w:szCs w:val="20"/>
              </w:rPr>
              <w:t xml:space="preserve">Weighting revised since last </w:t>
            </w:r>
            <w:proofErr w:type="gramStart"/>
            <w:r w:rsidRPr="60E67443">
              <w:rPr>
                <w:sz w:val="20"/>
                <w:szCs w:val="20"/>
              </w:rPr>
              <w:t>AR?</w:t>
            </w:r>
            <w:proofErr w:type="gramEnd"/>
            <w:r w:rsidRPr="60E67443">
              <w:rPr>
                <w:sz w:val="20"/>
                <w:szCs w:val="20"/>
              </w:rPr>
              <w:t xml:space="preserve"> </w:t>
            </w:r>
          </w:p>
        </w:tc>
        <w:tc>
          <w:tcPr>
            <w:tcW w:w="2812" w:type="dxa"/>
            <w:tcBorders>
              <w:top w:val="single" w:sz="4" w:space="0" w:color="auto"/>
              <w:left w:val="single" w:sz="4" w:space="0" w:color="auto"/>
              <w:bottom w:val="single" w:sz="4" w:space="0" w:color="auto"/>
              <w:right w:val="single" w:sz="4" w:space="0" w:color="auto"/>
            </w:tcBorders>
          </w:tcPr>
          <w:p w14:paraId="6BC204C5" w14:textId="77777777" w:rsidR="000F5F51" w:rsidRPr="002055D4" w:rsidRDefault="000F5F51" w:rsidP="00680FA9">
            <w:pPr>
              <w:rPr>
                <w:sz w:val="20"/>
                <w:szCs w:val="20"/>
              </w:rPr>
            </w:pPr>
            <w:r>
              <w:rPr>
                <w:sz w:val="20"/>
                <w:szCs w:val="20"/>
              </w:rPr>
              <w:t>N/A</w:t>
            </w:r>
          </w:p>
        </w:tc>
      </w:tr>
    </w:tbl>
    <w:p w14:paraId="1E0867DD" w14:textId="77777777" w:rsidR="000F5F51" w:rsidRPr="002055D4" w:rsidRDefault="000F5F51" w:rsidP="000F5F51">
      <w:pPr>
        <w:rPr>
          <w:sz w:val="20"/>
          <w:szCs w:val="20"/>
        </w:rPr>
      </w:pPr>
    </w:p>
    <w:tbl>
      <w:tblPr>
        <w:tblStyle w:val="TableGrid"/>
        <w:tblpPr w:leftFromText="180" w:rightFromText="180" w:vertAnchor="text" w:horzAnchor="page" w:tblpX="1178" w:tblpY="-10"/>
        <w:tblOverlap w:val="never"/>
        <w:tblW w:w="9449" w:type="dxa"/>
        <w:tblLook w:val="04A0" w:firstRow="1" w:lastRow="0" w:firstColumn="1" w:lastColumn="0" w:noHBand="0" w:noVBand="1"/>
      </w:tblPr>
      <w:tblGrid>
        <w:gridCol w:w="4253"/>
        <w:gridCol w:w="992"/>
        <w:gridCol w:w="993"/>
        <w:gridCol w:w="966"/>
        <w:gridCol w:w="1160"/>
        <w:gridCol w:w="1085"/>
      </w:tblGrid>
      <w:tr w:rsidR="00612A08" w:rsidRPr="002055D4" w14:paraId="5F4BB0D8" w14:textId="05732F4C" w:rsidTr="007B7B32">
        <w:trPr>
          <w:trHeight w:val="167"/>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220624" w14:textId="77777777" w:rsidR="00612A08" w:rsidRDefault="00612A08" w:rsidP="007B7B32">
            <w:pPr>
              <w:rPr>
                <w:sz w:val="20"/>
                <w:szCs w:val="20"/>
              </w:rPr>
            </w:pPr>
            <w:r w:rsidRPr="60E67443">
              <w:rPr>
                <w:b/>
                <w:bCs/>
                <w:sz w:val="20"/>
                <w:szCs w:val="20"/>
              </w:rPr>
              <w:t>Indicator(s)</w:t>
            </w:r>
          </w:p>
          <w:p w14:paraId="43855377" w14:textId="01F5CA49" w:rsidR="007B7B32" w:rsidRPr="007B7B32" w:rsidRDefault="007B7B32" w:rsidP="007B7B32">
            <w:pPr>
              <w:rPr>
                <w:sz w:val="20"/>
                <w:szCs w:val="20"/>
              </w:rPr>
            </w:pPr>
            <w:r>
              <w:rPr>
                <w:sz w:val="20"/>
                <w:szCs w:val="20"/>
              </w:rPr>
              <w:t>(all cumulative)</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DFCF53" w14:textId="29A04A41" w:rsidR="00612A08" w:rsidRPr="002055D4" w:rsidRDefault="00612A08" w:rsidP="007B7B32">
            <w:pPr>
              <w:rPr>
                <w:b/>
                <w:bCs/>
                <w:sz w:val="20"/>
                <w:szCs w:val="20"/>
              </w:rPr>
            </w:pPr>
            <w:r>
              <w:rPr>
                <w:b/>
                <w:bCs/>
                <w:sz w:val="20"/>
                <w:szCs w:val="20"/>
              </w:rPr>
              <w:t>2020</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218DD9" w14:textId="0644FF52" w:rsidR="00612A08" w:rsidRPr="002055D4" w:rsidRDefault="00612A08" w:rsidP="007B7B32">
            <w:pPr>
              <w:rPr>
                <w:b/>
                <w:bCs/>
                <w:sz w:val="20"/>
                <w:szCs w:val="20"/>
              </w:rPr>
            </w:pPr>
            <w:r>
              <w:rPr>
                <w:b/>
                <w:bCs/>
                <w:sz w:val="20"/>
                <w:szCs w:val="20"/>
              </w:rPr>
              <w:t>2021</w:t>
            </w:r>
          </w:p>
        </w:tc>
        <w:tc>
          <w:tcPr>
            <w:tcW w:w="96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EA1CF9" w14:textId="4450B796" w:rsidR="00612A08" w:rsidRDefault="00612A08" w:rsidP="007B7B32">
            <w:pPr>
              <w:rPr>
                <w:b/>
                <w:bCs/>
                <w:sz w:val="20"/>
                <w:szCs w:val="20"/>
              </w:rPr>
            </w:pPr>
            <w:r>
              <w:rPr>
                <w:b/>
                <w:bCs/>
                <w:sz w:val="20"/>
                <w:szCs w:val="20"/>
              </w:rPr>
              <w:t>2022</w:t>
            </w:r>
          </w:p>
        </w:tc>
        <w:tc>
          <w:tcPr>
            <w:tcW w:w="11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E3FCEF" w14:textId="4C46E019" w:rsidR="2CBAC46D" w:rsidRDefault="2CBAC46D" w:rsidP="007B7B32">
            <w:pPr>
              <w:rPr>
                <w:b/>
                <w:bCs/>
                <w:sz w:val="20"/>
                <w:szCs w:val="20"/>
              </w:rPr>
            </w:pPr>
            <w:r w:rsidRPr="348B2ACE">
              <w:rPr>
                <w:b/>
                <w:bCs/>
                <w:sz w:val="20"/>
                <w:szCs w:val="20"/>
              </w:rPr>
              <w:t xml:space="preserve">2023 </w:t>
            </w:r>
            <w:r w:rsidRPr="348B2ACE">
              <w:rPr>
                <w:b/>
                <w:bCs/>
                <w:i/>
                <w:iCs/>
                <w:sz w:val="20"/>
                <w:szCs w:val="20"/>
              </w:rPr>
              <w:t>milestone</w:t>
            </w:r>
          </w:p>
        </w:tc>
        <w:tc>
          <w:tcPr>
            <w:tcW w:w="10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33CB71" w14:textId="769D1BAC" w:rsidR="2CBAC46D" w:rsidRDefault="2CBAC46D" w:rsidP="007B7B32">
            <w:pPr>
              <w:rPr>
                <w:b/>
                <w:bCs/>
                <w:sz w:val="20"/>
                <w:szCs w:val="20"/>
              </w:rPr>
            </w:pPr>
            <w:r w:rsidRPr="348B2ACE">
              <w:rPr>
                <w:b/>
                <w:bCs/>
                <w:sz w:val="20"/>
                <w:szCs w:val="20"/>
              </w:rPr>
              <w:t>2023</w:t>
            </w:r>
          </w:p>
        </w:tc>
      </w:tr>
      <w:tr w:rsidR="00612A08" w:rsidRPr="002055D4" w14:paraId="511FE9B1" w14:textId="28986A8C" w:rsidTr="007B7B32">
        <w:trPr>
          <w:trHeight w:val="303"/>
        </w:trPr>
        <w:tc>
          <w:tcPr>
            <w:tcW w:w="4253" w:type="dxa"/>
            <w:tcBorders>
              <w:top w:val="single" w:sz="4" w:space="0" w:color="auto"/>
              <w:left w:val="single" w:sz="4" w:space="0" w:color="auto"/>
              <w:bottom w:val="single" w:sz="4" w:space="0" w:color="auto"/>
              <w:right w:val="single" w:sz="4" w:space="0" w:color="auto"/>
            </w:tcBorders>
          </w:tcPr>
          <w:p w14:paraId="75CC47B3" w14:textId="77777777" w:rsidR="00612A08" w:rsidRPr="002055D4" w:rsidRDefault="00612A08" w:rsidP="007B7B32">
            <w:pPr>
              <w:rPr>
                <w:sz w:val="20"/>
                <w:szCs w:val="20"/>
              </w:rPr>
            </w:pPr>
            <w:r w:rsidRPr="60E67443">
              <w:rPr>
                <w:sz w:val="20"/>
                <w:szCs w:val="20"/>
              </w:rPr>
              <w:t>4.1 Reports on LDN Fund results shared in public domain</w:t>
            </w:r>
          </w:p>
        </w:tc>
        <w:tc>
          <w:tcPr>
            <w:tcW w:w="992" w:type="dxa"/>
            <w:tcBorders>
              <w:top w:val="single" w:sz="4" w:space="0" w:color="auto"/>
              <w:left w:val="single" w:sz="4" w:space="0" w:color="auto"/>
              <w:bottom w:val="single" w:sz="4" w:space="0" w:color="auto"/>
              <w:right w:val="single" w:sz="4" w:space="0" w:color="auto"/>
            </w:tcBorders>
          </w:tcPr>
          <w:p w14:paraId="38E79A2F" w14:textId="77777777" w:rsidR="00612A08" w:rsidRPr="002055D4" w:rsidRDefault="00612A08" w:rsidP="007B7B32">
            <w:pPr>
              <w:rPr>
                <w:sz w:val="20"/>
                <w:szCs w:val="20"/>
              </w:rPr>
            </w:pPr>
            <w:r>
              <w:rPr>
                <w:sz w:val="20"/>
                <w:szCs w:val="20"/>
              </w:rPr>
              <w:t>3</w:t>
            </w:r>
          </w:p>
          <w:p w14:paraId="2812D62A" w14:textId="77777777" w:rsidR="00612A08" w:rsidRPr="002055D4" w:rsidRDefault="00612A08" w:rsidP="007B7B32"/>
        </w:tc>
        <w:tc>
          <w:tcPr>
            <w:tcW w:w="993" w:type="dxa"/>
            <w:tcBorders>
              <w:top w:val="single" w:sz="4" w:space="0" w:color="auto"/>
              <w:left w:val="single" w:sz="4" w:space="0" w:color="auto"/>
              <w:bottom w:val="single" w:sz="4" w:space="0" w:color="auto"/>
              <w:right w:val="single" w:sz="4" w:space="0" w:color="auto"/>
            </w:tcBorders>
          </w:tcPr>
          <w:p w14:paraId="75AEE1F8" w14:textId="77C0A8F5" w:rsidR="00612A08" w:rsidRPr="002055D4" w:rsidRDefault="00244EB2" w:rsidP="007B7B32">
            <w:pPr>
              <w:rPr>
                <w:sz w:val="20"/>
                <w:szCs w:val="20"/>
              </w:rPr>
            </w:pPr>
            <w:r>
              <w:rPr>
                <w:sz w:val="20"/>
                <w:szCs w:val="20"/>
              </w:rPr>
              <w:t>5</w:t>
            </w:r>
          </w:p>
        </w:tc>
        <w:tc>
          <w:tcPr>
            <w:tcW w:w="966" w:type="dxa"/>
            <w:tcBorders>
              <w:top w:val="single" w:sz="4" w:space="0" w:color="auto"/>
              <w:left w:val="single" w:sz="4" w:space="0" w:color="auto"/>
              <w:bottom w:val="single" w:sz="4" w:space="0" w:color="auto"/>
              <w:right w:val="single" w:sz="4" w:space="0" w:color="auto"/>
            </w:tcBorders>
          </w:tcPr>
          <w:p w14:paraId="7A3C4B28" w14:textId="55AFA2C9" w:rsidR="00612A08" w:rsidRPr="60E67443" w:rsidRDefault="00112A81" w:rsidP="007B7B32">
            <w:pPr>
              <w:rPr>
                <w:sz w:val="20"/>
                <w:szCs w:val="20"/>
              </w:rPr>
            </w:pPr>
            <w:r>
              <w:rPr>
                <w:sz w:val="20"/>
                <w:szCs w:val="20"/>
              </w:rPr>
              <w:t>6</w:t>
            </w:r>
          </w:p>
        </w:tc>
        <w:tc>
          <w:tcPr>
            <w:tcW w:w="1160" w:type="dxa"/>
            <w:tcBorders>
              <w:top w:val="single" w:sz="4" w:space="0" w:color="auto"/>
              <w:left w:val="single" w:sz="4" w:space="0" w:color="auto"/>
              <w:bottom w:val="single" w:sz="4" w:space="0" w:color="auto"/>
              <w:right w:val="single" w:sz="4" w:space="0" w:color="auto"/>
            </w:tcBorders>
          </w:tcPr>
          <w:p w14:paraId="5082EF6C" w14:textId="0DE1CD33" w:rsidR="348B2ACE" w:rsidRDefault="080EEA00" w:rsidP="007B7B32">
            <w:pPr>
              <w:rPr>
                <w:sz w:val="20"/>
                <w:szCs w:val="20"/>
              </w:rPr>
            </w:pPr>
            <w:r w:rsidRPr="5D1AA0D4">
              <w:rPr>
                <w:sz w:val="20"/>
                <w:szCs w:val="20"/>
              </w:rPr>
              <w:t>7</w:t>
            </w:r>
          </w:p>
        </w:tc>
        <w:tc>
          <w:tcPr>
            <w:tcW w:w="1085" w:type="dxa"/>
            <w:tcBorders>
              <w:top w:val="single" w:sz="4" w:space="0" w:color="auto"/>
              <w:left w:val="single" w:sz="4" w:space="0" w:color="auto"/>
              <w:bottom w:val="single" w:sz="4" w:space="0" w:color="auto"/>
              <w:right w:val="single" w:sz="4" w:space="0" w:color="auto"/>
            </w:tcBorders>
            <w:shd w:val="clear" w:color="auto" w:fill="92D050"/>
          </w:tcPr>
          <w:p w14:paraId="0866BC10" w14:textId="39A6A8EC" w:rsidR="348B2ACE" w:rsidRDefault="080EEA00" w:rsidP="007B7B32">
            <w:pPr>
              <w:rPr>
                <w:sz w:val="20"/>
                <w:szCs w:val="20"/>
              </w:rPr>
            </w:pPr>
            <w:r w:rsidRPr="5D1AA0D4">
              <w:rPr>
                <w:sz w:val="20"/>
                <w:szCs w:val="20"/>
              </w:rPr>
              <w:t>7</w:t>
            </w:r>
          </w:p>
        </w:tc>
      </w:tr>
      <w:tr w:rsidR="00612A08" w:rsidRPr="002055D4" w14:paraId="3856F3D5" w14:textId="3AB785F2" w:rsidTr="007B7B32">
        <w:trPr>
          <w:trHeight w:val="276"/>
        </w:trPr>
        <w:tc>
          <w:tcPr>
            <w:tcW w:w="4253" w:type="dxa"/>
            <w:tcBorders>
              <w:top w:val="single" w:sz="4" w:space="0" w:color="auto"/>
              <w:left w:val="single" w:sz="4" w:space="0" w:color="auto"/>
              <w:bottom w:val="single" w:sz="4" w:space="0" w:color="auto"/>
              <w:right w:val="single" w:sz="4" w:space="0" w:color="auto"/>
            </w:tcBorders>
          </w:tcPr>
          <w:p w14:paraId="50551C38" w14:textId="77777777" w:rsidR="00612A08" w:rsidRPr="002055D4" w:rsidRDefault="00612A08" w:rsidP="007B7B32">
            <w:pPr>
              <w:rPr>
                <w:sz w:val="20"/>
                <w:szCs w:val="20"/>
              </w:rPr>
            </w:pPr>
            <w:r w:rsidRPr="60E67443">
              <w:rPr>
                <w:sz w:val="20"/>
                <w:szCs w:val="20"/>
              </w:rPr>
              <w:t>4.2 Number of external events hosted by LDN Fund, LDN Facility and project partners.</w:t>
            </w:r>
          </w:p>
        </w:tc>
        <w:tc>
          <w:tcPr>
            <w:tcW w:w="992" w:type="dxa"/>
            <w:tcBorders>
              <w:top w:val="single" w:sz="4" w:space="0" w:color="auto"/>
              <w:left w:val="single" w:sz="4" w:space="0" w:color="auto"/>
              <w:bottom w:val="single" w:sz="4" w:space="0" w:color="auto"/>
              <w:right w:val="single" w:sz="4" w:space="0" w:color="auto"/>
            </w:tcBorders>
          </w:tcPr>
          <w:p w14:paraId="6C285FEA" w14:textId="77777777" w:rsidR="00612A08" w:rsidRPr="002055D4" w:rsidRDefault="00612A08" w:rsidP="007B7B32">
            <w:pPr>
              <w:rPr>
                <w:sz w:val="20"/>
                <w:szCs w:val="20"/>
              </w:rPr>
            </w:pPr>
            <w:r>
              <w:rPr>
                <w:sz w:val="20"/>
                <w:szCs w:val="20"/>
              </w:rPr>
              <w:t>4</w:t>
            </w:r>
          </w:p>
        </w:tc>
        <w:tc>
          <w:tcPr>
            <w:tcW w:w="993" w:type="dxa"/>
            <w:tcBorders>
              <w:top w:val="single" w:sz="4" w:space="0" w:color="auto"/>
              <w:left w:val="single" w:sz="4" w:space="0" w:color="auto"/>
              <w:bottom w:val="single" w:sz="4" w:space="0" w:color="auto"/>
              <w:right w:val="single" w:sz="4" w:space="0" w:color="auto"/>
            </w:tcBorders>
          </w:tcPr>
          <w:p w14:paraId="63F49076" w14:textId="77777777" w:rsidR="00612A08" w:rsidRPr="002055D4" w:rsidRDefault="00612A08" w:rsidP="007B7B32">
            <w:pPr>
              <w:rPr>
                <w:sz w:val="20"/>
                <w:szCs w:val="20"/>
              </w:rPr>
            </w:pPr>
            <w:r w:rsidRPr="60E67443">
              <w:rPr>
                <w:sz w:val="20"/>
                <w:szCs w:val="20"/>
              </w:rPr>
              <w:t>6</w:t>
            </w:r>
          </w:p>
        </w:tc>
        <w:tc>
          <w:tcPr>
            <w:tcW w:w="966" w:type="dxa"/>
            <w:tcBorders>
              <w:top w:val="single" w:sz="4" w:space="0" w:color="auto"/>
              <w:left w:val="single" w:sz="4" w:space="0" w:color="auto"/>
              <w:bottom w:val="single" w:sz="4" w:space="0" w:color="auto"/>
              <w:right w:val="single" w:sz="4" w:space="0" w:color="auto"/>
            </w:tcBorders>
          </w:tcPr>
          <w:p w14:paraId="2D9A6CE2" w14:textId="4E04CD2A" w:rsidR="00612A08" w:rsidRPr="60E67443" w:rsidRDefault="00112A81" w:rsidP="007B7B32">
            <w:pPr>
              <w:rPr>
                <w:sz w:val="20"/>
                <w:szCs w:val="20"/>
              </w:rPr>
            </w:pPr>
            <w:r>
              <w:rPr>
                <w:sz w:val="20"/>
                <w:szCs w:val="20"/>
              </w:rPr>
              <w:t>8</w:t>
            </w:r>
          </w:p>
        </w:tc>
        <w:tc>
          <w:tcPr>
            <w:tcW w:w="1160" w:type="dxa"/>
            <w:tcBorders>
              <w:top w:val="single" w:sz="4" w:space="0" w:color="auto"/>
              <w:left w:val="single" w:sz="4" w:space="0" w:color="auto"/>
              <w:bottom w:val="single" w:sz="4" w:space="0" w:color="auto"/>
              <w:right w:val="single" w:sz="4" w:space="0" w:color="auto"/>
            </w:tcBorders>
          </w:tcPr>
          <w:p w14:paraId="7C68D30C" w14:textId="751CD004" w:rsidR="348B2ACE" w:rsidRDefault="461E4A6A" w:rsidP="007B7B32">
            <w:pPr>
              <w:rPr>
                <w:sz w:val="20"/>
                <w:szCs w:val="20"/>
              </w:rPr>
            </w:pPr>
            <w:r w:rsidRPr="5D1AA0D4">
              <w:rPr>
                <w:sz w:val="20"/>
                <w:szCs w:val="20"/>
              </w:rPr>
              <w:t>10</w:t>
            </w:r>
          </w:p>
        </w:tc>
        <w:tc>
          <w:tcPr>
            <w:tcW w:w="1085" w:type="dxa"/>
            <w:tcBorders>
              <w:top w:val="single" w:sz="4" w:space="0" w:color="auto"/>
              <w:left w:val="single" w:sz="4" w:space="0" w:color="auto"/>
              <w:bottom w:val="single" w:sz="4" w:space="0" w:color="auto"/>
              <w:right w:val="single" w:sz="4" w:space="0" w:color="auto"/>
            </w:tcBorders>
            <w:shd w:val="clear" w:color="auto" w:fill="92D050"/>
          </w:tcPr>
          <w:p w14:paraId="028E4929" w14:textId="1F5A9F6F" w:rsidR="348B2ACE" w:rsidRDefault="461E4A6A" w:rsidP="007B7B32">
            <w:pPr>
              <w:rPr>
                <w:sz w:val="20"/>
                <w:szCs w:val="20"/>
              </w:rPr>
            </w:pPr>
            <w:r w:rsidRPr="5D1AA0D4">
              <w:rPr>
                <w:sz w:val="20"/>
                <w:szCs w:val="20"/>
              </w:rPr>
              <w:t>10</w:t>
            </w:r>
          </w:p>
        </w:tc>
      </w:tr>
    </w:tbl>
    <w:p w14:paraId="579F1068" w14:textId="4CFF70DB" w:rsidR="000F5F51" w:rsidRPr="002837F7" w:rsidRDefault="002F4ADA" w:rsidP="1899ED2C">
      <w:pPr>
        <w:pStyle w:val="ListParagraph"/>
        <w:numPr>
          <w:ilvl w:val="0"/>
          <w:numId w:val="26"/>
        </w:numPr>
        <w:rPr>
          <w:rFonts w:eastAsiaTheme="minorEastAsia" w:cs="Arial"/>
          <w:sz w:val="22"/>
          <w:szCs w:val="22"/>
        </w:rPr>
      </w:pPr>
      <w:r w:rsidRPr="1899ED2C">
        <w:rPr>
          <w:rFonts w:eastAsiaTheme="minorEastAsia" w:cs="Arial"/>
          <w:sz w:val="22"/>
          <w:szCs w:val="22"/>
        </w:rPr>
        <w:t>As in previous years, t</w:t>
      </w:r>
      <w:r w:rsidR="000F5F51" w:rsidRPr="1899ED2C">
        <w:rPr>
          <w:rFonts w:eastAsiaTheme="minorEastAsia" w:cs="Arial"/>
          <w:sz w:val="22"/>
          <w:szCs w:val="22"/>
        </w:rPr>
        <w:t>he LDN Fund team were involved in several initiatives, conferences, and publications with a view to raising awareness and sharing experience on investment in sustainable land use throughout 202</w:t>
      </w:r>
      <w:r w:rsidR="10E9C28E" w:rsidRPr="1899ED2C">
        <w:rPr>
          <w:rFonts w:eastAsiaTheme="minorEastAsia" w:cs="Arial"/>
          <w:sz w:val="22"/>
          <w:szCs w:val="22"/>
        </w:rPr>
        <w:t>3</w:t>
      </w:r>
      <w:r w:rsidR="000F5F51" w:rsidRPr="1899ED2C">
        <w:rPr>
          <w:rFonts w:eastAsiaTheme="minorEastAsia" w:cs="Arial"/>
          <w:sz w:val="22"/>
          <w:szCs w:val="22"/>
        </w:rPr>
        <w:t>.</w:t>
      </w:r>
    </w:p>
    <w:p w14:paraId="2BD9FF63" w14:textId="3AAC7D4C" w:rsidR="00461334" w:rsidRPr="00461334" w:rsidRDefault="00517475" w:rsidP="1899ED2C">
      <w:pPr>
        <w:pStyle w:val="ListParagraph"/>
        <w:numPr>
          <w:ilvl w:val="0"/>
          <w:numId w:val="12"/>
        </w:numPr>
        <w:rPr>
          <w:rFonts w:eastAsiaTheme="minorEastAsia" w:cs="Arial"/>
          <w:color w:val="FF0000"/>
          <w:sz w:val="22"/>
          <w:szCs w:val="22"/>
        </w:rPr>
      </w:pPr>
      <w:r>
        <w:rPr>
          <w:rFonts w:cs="Arial"/>
          <w:b/>
          <w:bCs/>
          <w:sz w:val="22"/>
          <w:szCs w:val="22"/>
        </w:rPr>
        <w:t xml:space="preserve">Output </w:t>
      </w:r>
      <w:r w:rsidR="00C025FA">
        <w:rPr>
          <w:rFonts w:cs="Arial"/>
          <w:b/>
          <w:bCs/>
          <w:sz w:val="22"/>
          <w:szCs w:val="22"/>
        </w:rPr>
        <w:t xml:space="preserve">Indicator 4.1: </w:t>
      </w:r>
      <w:r w:rsidR="00BB70B7" w:rsidRPr="1899ED2C">
        <w:rPr>
          <w:rFonts w:cs="Arial"/>
          <w:sz w:val="22"/>
          <w:szCs w:val="22"/>
        </w:rPr>
        <w:t>for 202</w:t>
      </w:r>
      <w:r w:rsidR="35E42B29" w:rsidRPr="1899ED2C">
        <w:rPr>
          <w:rFonts w:cs="Arial"/>
          <w:sz w:val="22"/>
          <w:szCs w:val="22"/>
        </w:rPr>
        <w:t>3</w:t>
      </w:r>
      <w:r w:rsidR="00BB70B7" w:rsidRPr="1899ED2C">
        <w:rPr>
          <w:rFonts w:cs="Arial"/>
          <w:sz w:val="22"/>
          <w:szCs w:val="22"/>
        </w:rPr>
        <w:t xml:space="preserve"> the report was the Fund’s </w:t>
      </w:r>
      <w:r w:rsidR="00152612" w:rsidRPr="1899ED2C">
        <w:rPr>
          <w:rFonts w:cs="Arial"/>
          <w:sz w:val="22"/>
          <w:szCs w:val="22"/>
        </w:rPr>
        <w:t>202</w:t>
      </w:r>
      <w:r w:rsidR="00152612">
        <w:rPr>
          <w:rFonts w:cs="Arial"/>
          <w:sz w:val="22"/>
          <w:szCs w:val="22"/>
        </w:rPr>
        <w:t>2</w:t>
      </w:r>
      <w:r w:rsidR="00152612" w:rsidRPr="1899ED2C">
        <w:rPr>
          <w:rFonts w:cs="Arial"/>
          <w:sz w:val="22"/>
          <w:szCs w:val="22"/>
        </w:rPr>
        <w:t xml:space="preserve"> </w:t>
      </w:r>
      <w:r w:rsidR="00BB70B7" w:rsidRPr="1899ED2C">
        <w:rPr>
          <w:rFonts w:cs="Arial"/>
          <w:sz w:val="22"/>
          <w:szCs w:val="22"/>
        </w:rPr>
        <w:t>Impact report.</w:t>
      </w:r>
    </w:p>
    <w:p w14:paraId="21AB6D30" w14:textId="41B555F3" w:rsidR="00F27D1D" w:rsidRPr="00F7082F" w:rsidRDefault="00517475" w:rsidP="00F7082F">
      <w:pPr>
        <w:pStyle w:val="ListParagraph"/>
        <w:numPr>
          <w:ilvl w:val="0"/>
          <w:numId w:val="12"/>
        </w:numPr>
        <w:rPr>
          <w:sz w:val="22"/>
          <w:szCs w:val="22"/>
        </w:rPr>
      </w:pPr>
      <w:r w:rsidRPr="30E77440">
        <w:rPr>
          <w:rFonts w:cs="Arial"/>
          <w:b/>
          <w:bCs/>
          <w:sz w:val="22"/>
          <w:szCs w:val="22"/>
        </w:rPr>
        <w:t xml:space="preserve">Output </w:t>
      </w:r>
      <w:r w:rsidR="00C025FA" w:rsidRPr="30E77440">
        <w:rPr>
          <w:rFonts w:cs="Arial"/>
          <w:b/>
          <w:bCs/>
          <w:sz w:val="22"/>
          <w:szCs w:val="22"/>
        </w:rPr>
        <w:t xml:space="preserve">Indicator 4.2: </w:t>
      </w:r>
      <w:r w:rsidR="006778AC" w:rsidRPr="30E77440">
        <w:rPr>
          <w:rFonts w:cs="Arial"/>
          <w:sz w:val="22"/>
          <w:szCs w:val="22"/>
        </w:rPr>
        <w:t xml:space="preserve">events </w:t>
      </w:r>
      <w:r w:rsidR="00CD0BF5" w:rsidRPr="30E77440">
        <w:rPr>
          <w:rFonts w:cs="Arial"/>
          <w:sz w:val="22"/>
          <w:szCs w:val="22"/>
        </w:rPr>
        <w:t>are seen as opportunities to share knowledge and spread best-practices based on the experience of the Fund</w:t>
      </w:r>
      <w:r w:rsidR="008E75CB" w:rsidRPr="30E77440">
        <w:rPr>
          <w:rFonts w:cs="Arial"/>
          <w:sz w:val="22"/>
          <w:szCs w:val="22"/>
        </w:rPr>
        <w:t>, and to demonstrate its leadership in the sector</w:t>
      </w:r>
      <w:r w:rsidR="00CD0BF5" w:rsidRPr="30E77440">
        <w:rPr>
          <w:rFonts w:cs="Arial"/>
          <w:sz w:val="22"/>
          <w:szCs w:val="22"/>
        </w:rPr>
        <w:t>.</w:t>
      </w:r>
      <w:r w:rsidR="00BB70B7" w:rsidRPr="30E77440">
        <w:rPr>
          <w:rFonts w:cs="Arial"/>
          <w:sz w:val="22"/>
          <w:szCs w:val="22"/>
        </w:rPr>
        <w:t xml:space="preserve"> </w:t>
      </w:r>
      <w:r w:rsidR="00BB70B7" w:rsidRPr="30E77440">
        <w:rPr>
          <w:sz w:val="22"/>
          <w:szCs w:val="22"/>
        </w:rPr>
        <w:t>In 202</w:t>
      </w:r>
      <w:r w:rsidR="71710F64" w:rsidRPr="30E77440">
        <w:rPr>
          <w:sz w:val="22"/>
          <w:szCs w:val="22"/>
        </w:rPr>
        <w:t>3</w:t>
      </w:r>
      <w:r w:rsidR="00BB70B7" w:rsidRPr="30E77440">
        <w:rPr>
          <w:sz w:val="22"/>
          <w:szCs w:val="22"/>
        </w:rPr>
        <w:t xml:space="preserve"> the events comprised</w:t>
      </w:r>
      <w:r w:rsidR="00F51924" w:rsidRPr="30E77440">
        <w:rPr>
          <w:sz w:val="22"/>
          <w:szCs w:val="22"/>
        </w:rPr>
        <w:t xml:space="preserve"> the organi</w:t>
      </w:r>
      <w:r w:rsidR="2721E614" w:rsidRPr="30E77440">
        <w:rPr>
          <w:sz w:val="22"/>
          <w:szCs w:val="22"/>
        </w:rPr>
        <w:t>s</w:t>
      </w:r>
      <w:r w:rsidR="00F51924" w:rsidRPr="30E77440">
        <w:rPr>
          <w:sz w:val="22"/>
          <w:szCs w:val="22"/>
        </w:rPr>
        <w:t xml:space="preserve">ation </w:t>
      </w:r>
      <w:r w:rsidR="00DD7717" w:rsidRPr="30E77440">
        <w:rPr>
          <w:sz w:val="22"/>
          <w:szCs w:val="22"/>
        </w:rPr>
        <w:t>of t</w:t>
      </w:r>
      <w:r w:rsidR="00F27D1D" w:rsidRPr="30E77440">
        <w:rPr>
          <w:sz w:val="22"/>
          <w:szCs w:val="22"/>
        </w:rPr>
        <w:t xml:space="preserve">wo learning hubs for </w:t>
      </w:r>
      <w:r w:rsidR="00DD7717" w:rsidRPr="30E77440">
        <w:rPr>
          <w:sz w:val="22"/>
          <w:szCs w:val="22"/>
        </w:rPr>
        <w:t xml:space="preserve">LDN Fund </w:t>
      </w:r>
      <w:r w:rsidR="00B34450" w:rsidRPr="30E77440">
        <w:rPr>
          <w:sz w:val="22"/>
          <w:szCs w:val="22"/>
        </w:rPr>
        <w:t>portfolio companies,</w:t>
      </w:r>
      <w:r w:rsidR="00B34450">
        <w:t xml:space="preserve"> the “</w:t>
      </w:r>
      <w:r w:rsidR="00B34450" w:rsidRPr="30E77440">
        <w:rPr>
          <w:sz w:val="22"/>
          <w:szCs w:val="22"/>
        </w:rPr>
        <w:t>LDNF Investee Knowledge Exchange Sessions”</w:t>
      </w:r>
      <w:r w:rsidR="00F27D1D" w:rsidRPr="30E77440">
        <w:rPr>
          <w:sz w:val="22"/>
          <w:szCs w:val="22"/>
        </w:rPr>
        <w:t xml:space="preserve">, </w:t>
      </w:r>
      <w:r w:rsidR="00AC5111" w:rsidRPr="30E77440">
        <w:rPr>
          <w:sz w:val="22"/>
          <w:szCs w:val="22"/>
        </w:rPr>
        <w:t>in</w:t>
      </w:r>
      <w:r w:rsidR="00CD2E67" w:rsidRPr="30E77440">
        <w:rPr>
          <w:sz w:val="22"/>
          <w:szCs w:val="22"/>
        </w:rPr>
        <w:t xml:space="preserve"> </w:t>
      </w:r>
      <w:r w:rsidR="00AC5111" w:rsidRPr="30E77440">
        <w:rPr>
          <w:sz w:val="22"/>
          <w:szCs w:val="22"/>
        </w:rPr>
        <w:t xml:space="preserve">collaboration with the </w:t>
      </w:r>
      <w:r w:rsidR="4D709D58" w:rsidRPr="30E77440">
        <w:rPr>
          <w:sz w:val="22"/>
          <w:szCs w:val="22"/>
        </w:rPr>
        <w:t>TAF</w:t>
      </w:r>
      <w:r w:rsidR="00F27D1D" w:rsidRPr="30E77440">
        <w:rPr>
          <w:sz w:val="22"/>
          <w:szCs w:val="22"/>
        </w:rPr>
        <w:t>:</w:t>
      </w:r>
    </w:p>
    <w:p w14:paraId="24E4E37E" w14:textId="19866AE2" w:rsidR="00DD513A" w:rsidRPr="00DD513A" w:rsidRDefault="00CD2E67" w:rsidP="00DD513A">
      <w:pPr>
        <w:pStyle w:val="ListParagraph"/>
        <w:numPr>
          <w:ilvl w:val="1"/>
          <w:numId w:val="12"/>
        </w:numPr>
        <w:rPr>
          <w:sz w:val="22"/>
          <w:szCs w:val="22"/>
        </w:rPr>
      </w:pPr>
      <w:r w:rsidRPr="00DD513A">
        <w:rPr>
          <w:sz w:val="22"/>
          <w:szCs w:val="22"/>
        </w:rPr>
        <w:t>The first one</w:t>
      </w:r>
      <w:r w:rsidR="00DD513A">
        <w:rPr>
          <w:sz w:val="22"/>
          <w:szCs w:val="22"/>
        </w:rPr>
        <w:t xml:space="preserve"> was dedicated to g</w:t>
      </w:r>
      <w:r w:rsidR="00DD513A" w:rsidRPr="00DD513A">
        <w:rPr>
          <w:sz w:val="22"/>
          <w:szCs w:val="22"/>
        </w:rPr>
        <w:t xml:space="preserve">ender equality, in partnership with the 2X Challenge (April 2023) </w:t>
      </w:r>
    </w:p>
    <w:p w14:paraId="59A63342" w14:textId="27888840" w:rsidR="00B428B6" w:rsidRPr="00F7082F" w:rsidRDefault="00021579" w:rsidP="00B428B6">
      <w:pPr>
        <w:pStyle w:val="ListParagraph"/>
        <w:numPr>
          <w:ilvl w:val="1"/>
          <w:numId w:val="12"/>
        </w:numPr>
        <w:jc w:val="both"/>
        <w:rPr>
          <w:sz w:val="22"/>
          <w:szCs w:val="22"/>
        </w:rPr>
      </w:pPr>
      <w:r w:rsidRPr="30E77440">
        <w:rPr>
          <w:sz w:val="22"/>
          <w:szCs w:val="22"/>
        </w:rPr>
        <w:t xml:space="preserve">The second one </w:t>
      </w:r>
      <w:r w:rsidR="00B428B6" w:rsidRPr="30E77440">
        <w:rPr>
          <w:sz w:val="22"/>
          <w:szCs w:val="22"/>
        </w:rPr>
        <w:t>was dedicated to sustainable certification and offtake agreements, with a focus on how EU regulation on deforestation and certifications can help optimi</w:t>
      </w:r>
      <w:r w:rsidR="64EED673" w:rsidRPr="30E77440">
        <w:rPr>
          <w:sz w:val="22"/>
          <w:szCs w:val="22"/>
        </w:rPr>
        <w:t>s</w:t>
      </w:r>
      <w:r w:rsidR="00B428B6" w:rsidRPr="30E77440">
        <w:rPr>
          <w:sz w:val="22"/>
          <w:szCs w:val="22"/>
        </w:rPr>
        <w:t>e sales (December 2023)</w:t>
      </w:r>
    </w:p>
    <w:p w14:paraId="1D0E4A0A" w14:textId="67300548" w:rsidR="000F5F51" w:rsidRPr="00461334" w:rsidRDefault="00AC5111" w:rsidP="0D96ABB3">
      <w:pPr>
        <w:pStyle w:val="ListParagraph"/>
        <w:rPr>
          <w:sz w:val="22"/>
          <w:szCs w:val="22"/>
        </w:rPr>
      </w:pPr>
      <w:r w:rsidRPr="0D96ABB3">
        <w:rPr>
          <w:sz w:val="22"/>
          <w:szCs w:val="22"/>
        </w:rPr>
        <w:t xml:space="preserve">The main goal of those exchanges is to bring together portfolio companies and allow them to </w:t>
      </w:r>
      <w:r w:rsidR="00236BE4" w:rsidRPr="0D96ABB3">
        <w:rPr>
          <w:sz w:val="22"/>
          <w:szCs w:val="22"/>
        </w:rPr>
        <w:t>share</w:t>
      </w:r>
      <w:r w:rsidRPr="0D96ABB3">
        <w:rPr>
          <w:sz w:val="22"/>
          <w:szCs w:val="22"/>
        </w:rPr>
        <w:t xml:space="preserve"> their various experiences and expertise. </w:t>
      </w:r>
    </w:p>
    <w:p w14:paraId="324DF357" w14:textId="77777777" w:rsidR="000F5F51" w:rsidRPr="002055D4" w:rsidRDefault="000F5F51" w:rsidP="000F5F51">
      <w:pPr>
        <w:rPr>
          <w:color w:val="FF0000"/>
          <w:sz w:val="20"/>
          <w:szCs w:val="22"/>
        </w:rPr>
      </w:pPr>
    </w:p>
    <w:p w14:paraId="737D1F5B" w14:textId="77777777" w:rsidR="000F5F51" w:rsidRPr="002055D4" w:rsidRDefault="000F5F51" w:rsidP="000F5F51">
      <w:pPr>
        <w:pBdr>
          <w:top w:val="single" w:sz="4" w:space="1" w:color="auto"/>
          <w:left w:val="single" w:sz="4" w:space="4" w:color="auto"/>
          <w:bottom w:val="single" w:sz="4" w:space="1" w:color="auto"/>
          <w:right w:val="single" w:sz="4" w:space="4" w:color="auto"/>
        </w:pBdr>
        <w:shd w:val="clear" w:color="auto" w:fill="D9E2F3" w:themeFill="accent1" w:themeFillTint="33"/>
        <w:rPr>
          <w:rFonts w:cs="Arial"/>
          <w:sz w:val="20"/>
          <w:szCs w:val="20"/>
        </w:rPr>
      </w:pPr>
      <w:r w:rsidRPr="60E67443">
        <w:rPr>
          <w:rFonts w:cs="Arial"/>
          <w:b/>
          <w:bCs/>
          <w:sz w:val="28"/>
          <w:szCs w:val="28"/>
        </w:rPr>
        <w:t xml:space="preserve">D: RISK </w:t>
      </w:r>
    </w:p>
    <w:p w14:paraId="2228D33B" w14:textId="77777777" w:rsidR="000F5F51" w:rsidRPr="002055D4" w:rsidRDefault="000F5F51" w:rsidP="000F5F51">
      <w:pPr>
        <w:rPr>
          <w:b/>
          <w:bCs/>
          <w:sz w:val="22"/>
          <w:szCs w:val="22"/>
        </w:rPr>
      </w:pPr>
    </w:p>
    <w:p w14:paraId="133C4AF0" w14:textId="77777777" w:rsidR="000F5F51" w:rsidRPr="002055D4" w:rsidRDefault="000F5F51" w:rsidP="000F5F51">
      <w:pPr>
        <w:rPr>
          <w:rFonts w:cs="Arial"/>
          <w:sz w:val="20"/>
          <w:szCs w:val="20"/>
        </w:rPr>
      </w:pPr>
      <w:r w:rsidRPr="60E67443">
        <w:rPr>
          <w:b/>
          <w:bCs/>
          <w:sz w:val="22"/>
          <w:szCs w:val="22"/>
        </w:rPr>
        <w:t>Overview of risk management</w:t>
      </w:r>
    </w:p>
    <w:p w14:paraId="0B139E20" w14:textId="77777777" w:rsidR="000F5F51" w:rsidRPr="002055D4" w:rsidRDefault="000F5F51" w:rsidP="000F5F51"/>
    <w:p w14:paraId="0AA5E94D" w14:textId="7DBE526B" w:rsidR="000F5F51" w:rsidRDefault="000F5F51" w:rsidP="000F5F51">
      <w:pPr>
        <w:tabs>
          <w:tab w:val="left" w:pos="720"/>
        </w:tabs>
        <w:rPr>
          <w:rFonts w:eastAsia="Arial" w:cs="Arial"/>
          <w:sz w:val="22"/>
          <w:szCs w:val="22"/>
        </w:rPr>
      </w:pPr>
      <w:r w:rsidRPr="4F7D4E74">
        <w:rPr>
          <w:rFonts w:eastAsia="Arial" w:cs="Arial"/>
          <w:sz w:val="22"/>
          <w:szCs w:val="22"/>
          <w:u w:val="single"/>
          <w:lang w:val="en-US"/>
        </w:rPr>
        <w:t>Project identification / Risk assessment</w:t>
      </w:r>
      <w:r w:rsidRPr="4F7D4E74">
        <w:rPr>
          <w:rFonts w:eastAsia="Arial" w:cs="Arial"/>
          <w:sz w:val="22"/>
          <w:szCs w:val="22"/>
          <w:lang w:val="en-US"/>
        </w:rPr>
        <w:t xml:space="preserve">: </w:t>
      </w:r>
      <w:r w:rsidR="00CB1158" w:rsidRPr="4F7D4E74">
        <w:rPr>
          <w:rFonts w:eastAsia="Arial" w:cs="Arial"/>
          <w:sz w:val="22"/>
          <w:szCs w:val="22"/>
          <w:lang w:val="en-US"/>
        </w:rPr>
        <w:t xml:space="preserve">the Fund Manager </w:t>
      </w:r>
      <w:proofErr w:type="spellStart"/>
      <w:r w:rsidRPr="4F7D4E74">
        <w:rPr>
          <w:rFonts w:eastAsia="Arial" w:cs="Arial"/>
          <w:sz w:val="22"/>
          <w:szCs w:val="22"/>
          <w:lang w:val="en-US"/>
        </w:rPr>
        <w:t>Mirova</w:t>
      </w:r>
      <w:proofErr w:type="spellEnd"/>
      <w:r w:rsidRPr="4F7D4E74">
        <w:rPr>
          <w:rFonts w:eastAsia="Arial" w:cs="Arial"/>
          <w:sz w:val="22"/>
          <w:szCs w:val="22"/>
          <w:lang w:val="en-US"/>
        </w:rPr>
        <w:t xml:space="preserve"> has developed an investment process to screen projects and assess the corresponding risks and opportunities. Specifically, </w:t>
      </w:r>
      <w:proofErr w:type="spellStart"/>
      <w:r w:rsidRPr="4F7D4E74">
        <w:rPr>
          <w:rFonts w:eastAsia="Arial" w:cs="Arial"/>
          <w:sz w:val="22"/>
          <w:szCs w:val="22"/>
          <w:lang w:val="en-US"/>
        </w:rPr>
        <w:t>Mirova</w:t>
      </w:r>
      <w:proofErr w:type="spellEnd"/>
      <w:r w:rsidRPr="4F7D4E74">
        <w:rPr>
          <w:rFonts w:eastAsia="Arial" w:cs="Arial"/>
          <w:sz w:val="22"/>
          <w:szCs w:val="22"/>
          <w:lang w:val="en-US"/>
        </w:rPr>
        <w:t xml:space="preserve"> has developed a risk rating tool, specific to SLM and land restoration projects. The rating is used at </w:t>
      </w:r>
      <w:proofErr w:type="gramStart"/>
      <w:r w:rsidR="007922D7" w:rsidRPr="4F7D4E74">
        <w:rPr>
          <w:rFonts w:eastAsia="Arial" w:cs="Arial"/>
          <w:sz w:val="22"/>
          <w:szCs w:val="22"/>
          <w:lang w:val="en-US"/>
        </w:rPr>
        <w:t>I</w:t>
      </w:r>
      <w:r w:rsidRPr="4F7D4E74">
        <w:rPr>
          <w:rFonts w:eastAsia="Arial" w:cs="Arial"/>
          <w:sz w:val="22"/>
          <w:szCs w:val="22"/>
          <w:lang w:val="en-US"/>
        </w:rPr>
        <w:t>nvestment</w:t>
      </w:r>
      <w:proofErr w:type="gramEnd"/>
      <w:r w:rsidRPr="4F7D4E74">
        <w:rPr>
          <w:rFonts w:eastAsia="Arial" w:cs="Arial"/>
          <w:sz w:val="22"/>
          <w:szCs w:val="22"/>
          <w:lang w:val="en-US"/>
        </w:rPr>
        <w:t xml:space="preserve"> </w:t>
      </w:r>
      <w:r w:rsidR="007922D7" w:rsidRPr="4F7D4E74">
        <w:rPr>
          <w:rFonts w:eastAsia="Arial" w:cs="Arial"/>
          <w:sz w:val="22"/>
          <w:szCs w:val="22"/>
          <w:lang w:val="en-US"/>
        </w:rPr>
        <w:t>C</w:t>
      </w:r>
      <w:r w:rsidRPr="4F7D4E74">
        <w:rPr>
          <w:rFonts w:eastAsia="Arial" w:cs="Arial"/>
          <w:sz w:val="22"/>
          <w:szCs w:val="22"/>
          <w:lang w:val="en-US"/>
        </w:rPr>
        <w:t>ommittee level before the investment is made, but also after the investment is made for the valuation of the corresponding investment. Discussions took place with the fund auditors (PwC) to refine the parameters.</w:t>
      </w:r>
      <w:r w:rsidRPr="4F7D4E74">
        <w:rPr>
          <w:rFonts w:eastAsia="Arial" w:cs="Arial"/>
          <w:sz w:val="22"/>
          <w:szCs w:val="22"/>
        </w:rPr>
        <w:t xml:space="preserve"> The Fund </w:t>
      </w:r>
      <w:r w:rsidRPr="4F7D4E74">
        <w:rPr>
          <w:rFonts w:eastAsia="Arial" w:cs="Arial"/>
          <w:sz w:val="22"/>
          <w:szCs w:val="22"/>
        </w:rPr>
        <w:lastRenderedPageBreak/>
        <w:t xml:space="preserve">itself assesses each potential investment project against ESG risk and minimal performance criteria. ESG assessments are based on the </w:t>
      </w:r>
      <w:hyperlink r:id="rId14">
        <w:proofErr w:type="spellStart"/>
        <w:r w:rsidRPr="4F7D4E74">
          <w:rPr>
            <w:rStyle w:val="Hyperlink"/>
            <w:rFonts w:eastAsia="Arial" w:cs="Arial"/>
            <w:color w:val="auto"/>
            <w:sz w:val="22"/>
            <w:szCs w:val="22"/>
          </w:rPr>
          <w:t>Mirova</w:t>
        </w:r>
        <w:proofErr w:type="spellEnd"/>
        <w:r w:rsidRPr="4F7D4E74">
          <w:rPr>
            <w:rStyle w:val="Hyperlink"/>
            <w:rFonts w:eastAsia="Arial" w:cs="Arial"/>
            <w:color w:val="auto"/>
            <w:sz w:val="22"/>
            <w:szCs w:val="22"/>
          </w:rPr>
          <w:t xml:space="preserve"> Natural Capital ESG Policy</w:t>
        </w:r>
      </w:hyperlink>
      <w:r w:rsidRPr="4F7D4E74">
        <w:rPr>
          <w:rFonts w:eastAsia="Arial" w:cs="Arial"/>
          <w:sz w:val="22"/>
          <w:szCs w:val="22"/>
        </w:rPr>
        <w:t xml:space="preserve"> and the </w:t>
      </w:r>
      <w:hyperlink r:id="rId15">
        <w:r w:rsidRPr="4F7D4E74">
          <w:rPr>
            <w:rStyle w:val="Hyperlink"/>
            <w:rFonts w:eastAsia="Arial" w:cs="Arial"/>
            <w:color w:val="auto"/>
            <w:sz w:val="22"/>
            <w:szCs w:val="22"/>
          </w:rPr>
          <w:t>LDN Fund ESG Annex</w:t>
        </w:r>
      </w:hyperlink>
      <w:r w:rsidRPr="4F7D4E74">
        <w:rPr>
          <w:rFonts w:eastAsia="Arial" w:cs="Arial"/>
          <w:sz w:val="22"/>
          <w:szCs w:val="22"/>
        </w:rPr>
        <w:t xml:space="preserve"> that state the Fund’s commitments in terms of ESG performance. More information on the selection and investment process of the Fund can be found </w:t>
      </w:r>
      <w:hyperlink r:id="rId16">
        <w:r w:rsidRPr="4F7D4E74">
          <w:rPr>
            <w:rStyle w:val="Hyperlink"/>
            <w:rFonts w:eastAsia="Arial" w:cs="Arial"/>
            <w:color w:val="auto"/>
            <w:sz w:val="22"/>
            <w:szCs w:val="22"/>
          </w:rPr>
          <w:t>here</w:t>
        </w:r>
      </w:hyperlink>
      <w:r w:rsidRPr="4F7D4E74">
        <w:rPr>
          <w:rFonts w:eastAsia="Arial" w:cs="Arial"/>
          <w:sz w:val="22"/>
          <w:szCs w:val="22"/>
        </w:rPr>
        <w:t xml:space="preserve">. These policies state that all projects should comply with </w:t>
      </w:r>
      <w:hyperlink r:id="rId17">
        <w:r w:rsidRPr="4F7D4E74">
          <w:rPr>
            <w:rStyle w:val="Hyperlink"/>
            <w:rFonts w:eastAsia="Arial" w:cs="Arial"/>
            <w:color w:val="auto"/>
            <w:sz w:val="22"/>
            <w:szCs w:val="22"/>
          </w:rPr>
          <w:t>IFC Performance Standards</w:t>
        </w:r>
      </w:hyperlink>
      <w:r w:rsidRPr="4F7D4E74">
        <w:rPr>
          <w:rFonts w:eastAsia="Arial" w:cs="Arial"/>
          <w:sz w:val="22"/>
          <w:szCs w:val="22"/>
        </w:rPr>
        <w:t>, as well as achieving E&amp;S certifications when relevant, and some complementary requirements including a safeguarding policy and compliance mechanism. An exclusion list also clarifies the activities that will not be supported by the LDN Fund.</w:t>
      </w:r>
    </w:p>
    <w:p w14:paraId="7385ACB4" w14:textId="77777777" w:rsidR="00D92229" w:rsidRDefault="00D92229" w:rsidP="000F5F51">
      <w:pPr>
        <w:tabs>
          <w:tab w:val="left" w:pos="720"/>
        </w:tabs>
        <w:rPr>
          <w:rFonts w:eastAsia="Arial" w:cs="Arial"/>
          <w:sz w:val="22"/>
          <w:szCs w:val="22"/>
        </w:rPr>
      </w:pPr>
    </w:p>
    <w:p w14:paraId="7FC32BCE" w14:textId="3E6E1F0E" w:rsidR="00D92229" w:rsidRDefault="00D92229" w:rsidP="000F5F51">
      <w:pPr>
        <w:tabs>
          <w:tab w:val="left" w:pos="720"/>
        </w:tabs>
        <w:rPr>
          <w:rFonts w:eastAsia="Arial" w:cs="Arial"/>
          <w:sz w:val="22"/>
          <w:szCs w:val="22"/>
        </w:rPr>
      </w:pPr>
      <w:r>
        <w:rPr>
          <w:rFonts w:eastAsia="Arial" w:cs="Arial"/>
          <w:sz w:val="22"/>
          <w:szCs w:val="22"/>
        </w:rPr>
        <w:t xml:space="preserve">Ongoing risks for the Fund after project approval are also managed by </w:t>
      </w:r>
      <w:proofErr w:type="spellStart"/>
      <w:r>
        <w:rPr>
          <w:rFonts w:eastAsia="Arial" w:cs="Arial"/>
          <w:sz w:val="22"/>
          <w:szCs w:val="22"/>
        </w:rPr>
        <w:t>Mirova</w:t>
      </w:r>
      <w:proofErr w:type="spellEnd"/>
      <w:r>
        <w:rPr>
          <w:rFonts w:eastAsia="Arial" w:cs="Arial"/>
          <w:sz w:val="22"/>
          <w:szCs w:val="22"/>
        </w:rPr>
        <w:t xml:space="preserve">, who have a strong team and processes in place to identify, assess and mitigate risks following these policies. </w:t>
      </w:r>
      <w:r w:rsidR="00757E9A">
        <w:rPr>
          <w:rFonts w:eastAsia="Arial" w:cs="Arial"/>
          <w:sz w:val="22"/>
          <w:szCs w:val="22"/>
        </w:rPr>
        <w:t>We can therefore consider that r</w:t>
      </w:r>
      <w:r>
        <w:rPr>
          <w:rFonts w:eastAsia="Arial" w:cs="Arial"/>
          <w:sz w:val="22"/>
          <w:szCs w:val="22"/>
        </w:rPr>
        <w:t xml:space="preserve">isk management </w:t>
      </w:r>
      <w:r w:rsidR="00BF19DE">
        <w:rPr>
          <w:rFonts w:eastAsia="Arial" w:cs="Arial"/>
          <w:sz w:val="22"/>
          <w:szCs w:val="22"/>
        </w:rPr>
        <w:t xml:space="preserve">of the programme </w:t>
      </w:r>
      <w:r>
        <w:rPr>
          <w:rFonts w:eastAsia="Arial" w:cs="Arial"/>
          <w:sz w:val="22"/>
          <w:szCs w:val="22"/>
        </w:rPr>
        <w:t xml:space="preserve">is </w:t>
      </w:r>
      <w:r w:rsidR="00BF19DE">
        <w:rPr>
          <w:rFonts w:eastAsia="Arial" w:cs="Arial"/>
          <w:sz w:val="22"/>
          <w:szCs w:val="22"/>
        </w:rPr>
        <w:t xml:space="preserve">essentially </w:t>
      </w:r>
      <w:r>
        <w:rPr>
          <w:rFonts w:eastAsia="Arial" w:cs="Arial"/>
          <w:sz w:val="22"/>
          <w:szCs w:val="22"/>
        </w:rPr>
        <w:t xml:space="preserve">outsourced to </w:t>
      </w:r>
      <w:proofErr w:type="spellStart"/>
      <w:r>
        <w:rPr>
          <w:rFonts w:eastAsia="Arial" w:cs="Arial"/>
          <w:sz w:val="22"/>
          <w:szCs w:val="22"/>
        </w:rPr>
        <w:t>Mirova</w:t>
      </w:r>
      <w:proofErr w:type="spellEnd"/>
      <w:r w:rsidR="00EB2300">
        <w:rPr>
          <w:rFonts w:eastAsia="Arial" w:cs="Arial"/>
          <w:sz w:val="22"/>
          <w:szCs w:val="22"/>
        </w:rPr>
        <w:t xml:space="preserve">, including the </w:t>
      </w:r>
      <w:r w:rsidR="008C3BD8">
        <w:rPr>
          <w:rFonts w:eastAsia="Arial" w:cs="Arial"/>
          <w:sz w:val="22"/>
          <w:szCs w:val="22"/>
        </w:rPr>
        <w:t xml:space="preserve">financial </w:t>
      </w:r>
      <w:r w:rsidR="00EB2300">
        <w:rPr>
          <w:rFonts w:eastAsia="Arial" w:cs="Arial"/>
          <w:sz w:val="22"/>
          <w:szCs w:val="22"/>
        </w:rPr>
        <w:t>success of the Fund</w:t>
      </w:r>
      <w:r w:rsidR="008C3BD8">
        <w:rPr>
          <w:rFonts w:eastAsia="Arial" w:cs="Arial"/>
          <w:sz w:val="22"/>
          <w:szCs w:val="22"/>
        </w:rPr>
        <w:t xml:space="preserve">, GESI, </w:t>
      </w:r>
      <w:r w:rsidR="006B69E1">
        <w:rPr>
          <w:rFonts w:eastAsia="Arial" w:cs="Arial"/>
          <w:sz w:val="22"/>
          <w:szCs w:val="22"/>
        </w:rPr>
        <w:t xml:space="preserve">fraud, </w:t>
      </w:r>
      <w:r w:rsidR="008C3BD8">
        <w:rPr>
          <w:rFonts w:eastAsia="Arial" w:cs="Arial"/>
          <w:sz w:val="22"/>
          <w:szCs w:val="22"/>
        </w:rPr>
        <w:t>safe-guarding and impact</w:t>
      </w:r>
      <w:r>
        <w:rPr>
          <w:rFonts w:eastAsia="Arial" w:cs="Arial"/>
          <w:sz w:val="22"/>
          <w:szCs w:val="22"/>
        </w:rPr>
        <w:t xml:space="preserve"> (see examples of these risks and </w:t>
      </w:r>
      <w:proofErr w:type="spellStart"/>
      <w:r>
        <w:rPr>
          <w:rFonts w:eastAsia="Arial" w:cs="Arial"/>
          <w:sz w:val="22"/>
          <w:szCs w:val="22"/>
        </w:rPr>
        <w:t>Mirova’s</w:t>
      </w:r>
      <w:proofErr w:type="spellEnd"/>
      <w:r>
        <w:rPr>
          <w:rFonts w:eastAsia="Arial" w:cs="Arial"/>
          <w:sz w:val="22"/>
          <w:szCs w:val="22"/>
        </w:rPr>
        <w:t xml:space="preserve"> mitigations included in the table below).</w:t>
      </w:r>
    </w:p>
    <w:p w14:paraId="4D5B0FE3" w14:textId="77777777" w:rsidR="00924D11" w:rsidRDefault="00924D11" w:rsidP="00025404">
      <w:pPr>
        <w:tabs>
          <w:tab w:val="left" w:pos="720"/>
        </w:tabs>
        <w:rPr>
          <w:rFonts w:eastAsia="Arial" w:cs="Arial"/>
          <w:sz w:val="22"/>
          <w:szCs w:val="22"/>
        </w:rPr>
      </w:pPr>
    </w:p>
    <w:p w14:paraId="2819C8A4" w14:textId="7F50FB20" w:rsidR="00025404" w:rsidRDefault="00025404" w:rsidP="00025404">
      <w:pPr>
        <w:tabs>
          <w:tab w:val="left" w:pos="720"/>
        </w:tabs>
        <w:rPr>
          <w:rFonts w:eastAsia="Arial" w:cs="Arial"/>
          <w:sz w:val="22"/>
          <w:szCs w:val="22"/>
        </w:rPr>
      </w:pPr>
      <w:r w:rsidRPr="646CFA6F">
        <w:rPr>
          <w:rFonts w:eastAsia="Arial" w:cs="Arial"/>
          <w:sz w:val="22"/>
          <w:szCs w:val="22"/>
        </w:rPr>
        <w:t xml:space="preserve">However, some residual risks remain for Defra, </w:t>
      </w:r>
      <w:r w:rsidR="0060211E" w:rsidRPr="646CFA6F">
        <w:rPr>
          <w:rFonts w:eastAsia="Arial" w:cs="Arial"/>
          <w:sz w:val="22"/>
          <w:szCs w:val="22"/>
        </w:rPr>
        <w:t>mainly</w:t>
      </w:r>
      <w:r w:rsidRPr="646CFA6F">
        <w:rPr>
          <w:rFonts w:eastAsia="Arial" w:cs="Arial"/>
          <w:sz w:val="22"/>
          <w:szCs w:val="22"/>
        </w:rPr>
        <w:t xml:space="preserve"> the risk of the programme overall not delivering the impact projected in the Business Case</w:t>
      </w:r>
      <w:r w:rsidR="00C210F8" w:rsidRPr="646CFA6F">
        <w:rPr>
          <w:rFonts w:eastAsia="Arial" w:cs="Arial"/>
          <w:sz w:val="22"/>
          <w:szCs w:val="22"/>
        </w:rPr>
        <w:t xml:space="preserve">, and the risk of a breakdown in the relationship with </w:t>
      </w:r>
      <w:proofErr w:type="spellStart"/>
      <w:r w:rsidR="00C210F8" w:rsidRPr="646CFA6F">
        <w:rPr>
          <w:rFonts w:eastAsia="Arial" w:cs="Arial"/>
          <w:sz w:val="22"/>
          <w:szCs w:val="22"/>
        </w:rPr>
        <w:t>Mirova</w:t>
      </w:r>
      <w:proofErr w:type="spellEnd"/>
      <w:r w:rsidRPr="646CFA6F">
        <w:rPr>
          <w:rFonts w:eastAsia="Arial" w:cs="Arial"/>
          <w:sz w:val="22"/>
          <w:szCs w:val="22"/>
        </w:rPr>
        <w:t xml:space="preserve">. It is still early in the Fund’s life to assess </w:t>
      </w:r>
      <w:r w:rsidR="00BF05B1" w:rsidRPr="646CFA6F">
        <w:rPr>
          <w:rFonts w:eastAsia="Arial" w:cs="Arial"/>
          <w:sz w:val="22"/>
          <w:szCs w:val="22"/>
        </w:rPr>
        <w:t>overall impact delivery</w:t>
      </w:r>
      <w:r w:rsidRPr="646CFA6F">
        <w:rPr>
          <w:rFonts w:eastAsia="Arial" w:cs="Arial"/>
          <w:sz w:val="22"/>
          <w:szCs w:val="22"/>
        </w:rPr>
        <w:t xml:space="preserve">, but as this Annual Review demonstrates, across most targets progress has been good, </w:t>
      </w:r>
      <w:r w:rsidR="00BC1AF7" w:rsidRPr="646CFA6F">
        <w:rPr>
          <w:rFonts w:eastAsia="Arial" w:cs="Arial"/>
          <w:sz w:val="22"/>
          <w:szCs w:val="22"/>
        </w:rPr>
        <w:t>making</w:t>
      </w:r>
      <w:r w:rsidRPr="646CFA6F">
        <w:rPr>
          <w:rFonts w:eastAsia="Arial" w:cs="Arial"/>
          <w:sz w:val="22"/>
          <w:szCs w:val="22"/>
        </w:rPr>
        <w:t xml:space="preserve"> this risk Low</w:t>
      </w:r>
      <w:r w:rsidR="007836C1" w:rsidRPr="646CFA6F">
        <w:rPr>
          <w:rFonts w:eastAsia="Arial" w:cs="Arial"/>
          <w:sz w:val="22"/>
          <w:szCs w:val="22"/>
        </w:rPr>
        <w:t>, with good oversight provided by Defra’s role on the Fund’s Advisory Committee</w:t>
      </w:r>
      <w:r w:rsidRPr="646CFA6F">
        <w:rPr>
          <w:rFonts w:eastAsia="Arial" w:cs="Arial"/>
          <w:sz w:val="22"/>
          <w:szCs w:val="22"/>
        </w:rPr>
        <w:t>.</w:t>
      </w:r>
      <w:r w:rsidR="00C3082D" w:rsidRPr="646CFA6F">
        <w:rPr>
          <w:rFonts w:eastAsia="Arial" w:cs="Arial"/>
          <w:sz w:val="22"/>
          <w:szCs w:val="22"/>
        </w:rPr>
        <w:t xml:space="preserve"> </w:t>
      </w:r>
      <w:r w:rsidR="007836C1" w:rsidRPr="646CFA6F">
        <w:rPr>
          <w:rFonts w:eastAsia="Arial" w:cs="Arial"/>
          <w:sz w:val="22"/>
          <w:szCs w:val="22"/>
        </w:rPr>
        <w:t xml:space="preserve">The relationship with </w:t>
      </w:r>
      <w:proofErr w:type="spellStart"/>
      <w:r w:rsidR="007836C1" w:rsidRPr="646CFA6F">
        <w:rPr>
          <w:rFonts w:eastAsia="Arial" w:cs="Arial"/>
          <w:sz w:val="22"/>
          <w:szCs w:val="22"/>
        </w:rPr>
        <w:t>Mirova</w:t>
      </w:r>
      <w:proofErr w:type="spellEnd"/>
      <w:r w:rsidR="007836C1" w:rsidRPr="646CFA6F">
        <w:rPr>
          <w:rFonts w:eastAsia="Arial" w:cs="Arial"/>
          <w:sz w:val="22"/>
          <w:szCs w:val="22"/>
        </w:rPr>
        <w:t xml:space="preserve"> has continued to be good despite </w:t>
      </w:r>
      <w:r w:rsidR="00115EEF" w:rsidRPr="646CFA6F">
        <w:rPr>
          <w:rFonts w:eastAsia="Arial" w:cs="Arial"/>
          <w:sz w:val="22"/>
          <w:szCs w:val="22"/>
        </w:rPr>
        <w:t xml:space="preserve">some </w:t>
      </w:r>
      <w:r w:rsidR="00E16148" w:rsidRPr="646CFA6F">
        <w:rPr>
          <w:rFonts w:eastAsia="Arial" w:cs="Arial"/>
          <w:sz w:val="22"/>
          <w:szCs w:val="22"/>
        </w:rPr>
        <w:t>changes in the Defra team</w:t>
      </w:r>
      <w:r w:rsidR="00C3082D" w:rsidRPr="646CFA6F">
        <w:rPr>
          <w:rFonts w:eastAsia="Arial" w:cs="Arial"/>
          <w:sz w:val="22"/>
          <w:szCs w:val="22"/>
        </w:rPr>
        <w:t>.</w:t>
      </w:r>
      <w:r w:rsidR="00C3082D" w:rsidRPr="646CFA6F">
        <w:rPr>
          <w:rFonts w:eastAsia="Arial" w:cs="Arial"/>
          <w:b/>
          <w:bCs/>
          <w:sz w:val="22"/>
          <w:szCs w:val="22"/>
        </w:rPr>
        <w:t xml:space="preserve"> No Defra-level risks were raised or required management in 202</w:t>
      </w:r>
      <w:r w:rsidR="6DEA3425" w:rsidRPr="646CFA6F">
        <w:rPr>
          <w:rFonts w:eastAsia="Arial" w:cs="Arial"/>
          <w:b/>
          <w:bCs/>
          <w:sz w:val="22"/>
          <w:szCs w:val="22"/>
        </w:rPr>
        <w:t>3</w:t>
      </w:r>
      <w:r w:rsidR="00C3082D" w:rsidRPr="646CFA6F">
        <w:rPr>
          <w:rFonts w:eastAsia="Arial" w:cs="Arial"/>
          <w:sz w:val="22"/>
          <w:szCs w:val="22"/>
        </w:rPr>
        <w:t>.</w:t>
      </w:r>
    </w:p>
    <w:p w14:paraId="19F3E0E1" w14:textId="77777777" w:rsidR="000F5F51" w:rsidRDefault="000F5F51" w:rsidP="000F5F51">
      <w:pPr>
        <w:tabs>
          <w:tab w:val="left" w:pos="720"/>
        </w:tabs>
        <w:rPr>
          <w:rFonts w:eastAsia="Arial" w:cs="Arial"/>
          <w:sz w:val="22"/>
          <w:szCs w:val="22"/>
        </w:rPr>
      </w:pPr>
    </w:p>
    <w:p w14:paraId="3C06CA2A" w14:textId="74A72B12" w:rsidR="000F5F51" w:rsidRDefault="0022061C" w:rsidP="000F5F51">
      <w:pPr>
        <w:tabs>
          <w:tab w:val="left" w:pos="720"/>
        </w:tabs>
        <w:rPr>
          <w:rFonts w:eastAsia="Arial" w:cs="Arial"/>
          <w:sz w:val="22"/>
          <w:szCs w:val="22"/>
        </w:rPr>
      </w:pPr>
      <w:r>
        <w:rPr>
          <w:rFonts w:eastAsia="Arial" w:cs="Arial"/>
          <w:sz w:val="22"/>
          <w:szCs w:val="22"/>
        </w:rPr>
        <w:t>Following a revision of what to consider in setting t</w:t>
      </w:r>
      <w:r w:rsidR="000F5F51" w:rsidRPr="646CFA6F">
        <w:rPr>
          <w:rFonts w:eastAsia="Arial" w:cs="Arial"/>
          <w:sz w:val="22"/>
          <w:szCs w:val="22"/>
        </w:rPr>
        <w:t>he Risk Rating for the programme</w:t>
      </w:r>
      <w:r>
        <w:rPr>
          <w:rFonts w:eastAsia="Arial" w:cs="Arial"/>
          <w:sz w:val="22"/>
          <w:szCs w:val="22"/>
        </w:rPr>
        <w:t xml:space="preserve"> since 2022, it</w:t>
      </w:r>
      <w:r w:rsidR="000F5F51" w:rsidRPr="646CFA6F">
        <w:rPr>
          <w:rFonts w:eastAsia="Arial" w:cs="Arial"/>
          <w:sz w:val="22"/>
          <w:szCs w:val="22"/>
        </w:rPr>
        <w:t xml:space="preserve"> is </w:t>
      </w:r>
      <w:r w:rsidR="00025404" w:rsidRPr="646CFA6F">
        <w:rPr>
          <w:rFonts w:eastAsia="Arial" w:cs="Arial"/>
          <w:sz w:val="22"/>
          <w:szCs w:val="22"/>
        </w:rPr>
        <w:t xml:space="preserve">therefore </w:t>
      </w:r>
      <w:r w:rsidR="000F5F51" w:rsidRPr="646CFA6F">
        <w:rPr>
          <w:rFonts w:eastAsia="Arial" w:cs="Arial"/>
          <w:sz w:val="22"/>
          <w:szCs w:val="22"/>
        </w:rPr>
        <w:t>assessed at ‘</w:t>
      </w:r>
      <w:r w:rsidR="0024598F">
        <w:rPr>
          <w:rFonts w:eastAsia="Arial" w:cs="Arial"/>
          <w:sz w:val="22"/>
          <w:szCs w:val="22"/>
        </w:rPr>
        <w:t>Medium</w:t>
      </w:r>
      <w:r w:rsidR="00396991" w:rsidRPr="646CFA6F">
        <w:rPr>
          <w:rFonts w:eastAsia="Arial" w:cs="Arial"/>
          <w:sz w:val="22"/>
          <w:szCs w:val="22"/>
        </w:rPr>
        <w:t>’</w:t>
      </w:r>
      <w:r w:rsidR="000F5F51" w:rsidRPr="646CFA6F">
        <w:rPr>
          <w:rFonts w:eastAsia="Arial" w:cs="Arial"/>
          <w:sz w:val="22"/>
          <w:szCs w:val="22"/>
        </w:rPr>
        <w:t xml:space="preserve"> for 202</w:t>
      </w:r>
      <w:r w:rsidR="294F2C87" w:rsidRPr="646CFA6F">
        <w:rPr>
          <w:rFonts w:eastAsia="Arial" w:cs="Arial"/>
          <w:sz w:val="22"/>
          <w:szCs w:val="22"/>
        </w:rPr>
        <w:t>3</w:t>
      </w:r>
      <w:r w:rsidR="000F5F51" w:rsidRPr="646CFA6F">
        <w:rPr>
          <w:rFonts w:eastAsia="Arial" w:cs="Arial"/>
          <w:sz w:val="22"/>
          <w:szCs w:val="22"/>
        </w:rPr>
        <w:t xml:space="preserve">, as </w:t>
      </w:r>
      <w:r w:rsidR="00396991" w:rsidRPr="646CFA6F">
        <w:rPr>
          <w:rFonts w:eastAsia="Arial" w:cs="Arial"/>
          <w:sz w:val="22"/>
          <w:szCs w:val="22"/>
        </w:rPr>
        <w:t xml:space="preserve">the programme is </w:t>
      </w:r>
      <w:r w:rsidR="00D70883">
        <w:rPr>
          <w:rFonts w:eastAsia="Arial" w:cs="Arial"/>
          <w:sz w:val="22"/>
          <w:szCs w:val="22"/>
        </w:rPr>
        <w:t>continuing</w:t>
      </w:r>
      <w:r w:rsidR="00396991" w:rsidRPr="646CFA6F">
        <w:rPr>
          <w:rFonts w:eastAsia="Arial" w:cs="Arial"/>
          <w:sz w:val="22"/>
          <w:szCs w:val="22"/>
        </w:rPr>
        <w:t xml:space="preserve"> to show early results for climate and nature impacts</w:t>
      </w:r>
      <w:r w:rsidR="000F5F51" w:rsidRPr="646CFA6F">
        <w:rPr>
          <w:rFonts w:eastAsia="Arial" w:cs="Arial"/>
          <w:sz w:val="22"/>
          <w:szCs w:val="22"/>
        </w:rPr>
        <w:t xml:space="preserve">, </w:t>
      </w:r>
      <w:r w:rsidR="00396991" w:rsidRPr="646CFA6F">
        <w:rPr>
          <w:rFonts w:eastAsia="Arial" w:cs="Arial"/>
          <w:sz w:val="22"/>
          <w:szCs w:val="22"/>
        </w:rPr>
        <w:t xml:space="preserve">following the </w:t>
      </w:r>
      <w:r w:rsidR="000F5F51" w:rsidRPr="646CFA6F">
        <w:rPr>
          <w:rFonts w:eastAsia="Arial" w:cs="Arial"/>
          <w:sz w:val="22"/>
          <w:szCs w:val="22"/>
        </w:rPr>
        <w:t xml:space="preserve">successful raising </w:t>
      </w:r>
      <w:r w:rsidR="00396991" w:rsidRPr="646CFA6F">
        <w:rPr>
          <w:rFonts w:eastAsia="Arial" w:cs="Arial"/>
          <w:sz w:val="22"/>
          <w:szCs w:val="22"/>
        </w:rPr>
        <w:t xml:space="preserve">and investment </w:t>
      </w:r>
      <w:r w:rsidR="000F5F51" w:rsidRPr="646CFA6F">
        <w:rPr>
          <w:rFonts w:eastAsia="Arial" w:cs="Arial"/>
          <w:sz w:val="22"/>
          <w:szCs w:val="22"/>
        </w:rPr>
        <w:t>of private and public capital</w:t>
      </w:r>
      <w:r w:rsidR="00BD6DEE">
        <w:rPr>
          <w:rFonts w:eastAsia="Arial" w:cs="Arial"/>
          <w:sz w:val="22"/>
          <w:szCs w:val="22"/>
        </w:rPr>
        <w:t xml:space="preserve"> for the portfolio overall.</w:t>
      </w:r>
      <w:r w:rsidR="001E20E2">
        <w:rPr>
          <w:rFonts w:eastAsia="Arial" w:cs="Arial"/>
          <w:sz w:val="22"/>
          <w:szCs w:val="22"/>
        </w:rPr>
        <w:t xml:space="preserve"> However, the Fund is still</w:t>
      </w:r>
      <w:r w:rsidR="00A1274D" w:rsidRPr="646CFA6F">
        <w:rPr>
          <w:rFonts w:eastAsia="Arial" w:cs="Arial"/>
          <w:sz w:val="22"/>
          <w:szCs w:val="22"/>
        </w:rPr>
        <w:t xml:space="preserve"> </w:t>
      </w:r>
      <w:r w:rsidR="00813407">
        <w:rPr>
          <w:rFonts w:eastAsia="Arial" w:cs="Arial"/>
          <w:sz w:val="22"/>
          <w:szCs w:val="22"/>
        </w:rPr>
        <w:t xml:space="preserve">early in its impact journey, with </w:t>
      </w:r>
      <w:r w:rsidR="005F630E">
        <w:rPr>
          <w:rFonts w:eastAsia="Arial" w:cs="Arial"/>
          <w:sz w:val="22"/>
          <w:szCs w:val="22"/>
        </w:rPr>
        <w:t xml:space="preserve">much still to be achieved and </w:t>
      </w:r>
      <w:r w:rsidR="00BD6DEE">
        <w:rPr>
          <w:rFonts w:eastAsia="Arial" w:cs="Arial"/>
          <w:sz w:val="22"/>
          <w:szCs w:val="22"/>
        </w:rPr>
        <w:t>risks</w:t>
      </w:r>
      <w:r w:rsidR="005F630E">
        <w:rPr>
          <w:rFonts w:eastAsia="Arial" w:cs="Arial"/>
          <w:sz w:val="22"/>
          <w:szCs w:val="22"/>
        </w:rPr>
        <w:t xml:space="preserve"> </w:t>
      </w:r>
      <w:r w:rsidR="001E20E2">
        <w:rPr>
          <w:rFonts w:eastAsia="Arial" w:cs="Arial"/>
          <w:sz w:val="22"/>
          <w:szCs w:val="22"/>
        </w:rPr>
        <w:t>to</w:t>
      </w:r>
      <w:r w:rsidR="005F630E">
        <w:rPr>
          <w:rFonts w:eastAsia="Arial" w:cs="Arial"/>
          <w:sz w:val="22"/>
          <w:szCs w:val="22"/>
        </w:rPr>
        <w:t xml:space="preserve"> the success of individual projects</w:t>
      </w:r>
      <w:r w:rsidR="00813407">
        <w:rPr>
          <w:rFonts w:eastAsia="Arial" w:cs="Arial"/>
          <w:sz w:val="22"/>
          <w:szCs w:val="22"/>
        </w:rPr>
        <w:t xml:space="preserve">. </w:t>
      </w:r>
      <w:r w:rsidR="008A5CDA">
        <w:rPr>
          <w:rFonts w:eastAsia="Arial" w:cs="Arial"/>
          <w:sz w:val="22"/>
          <w:szCs w:val="22"/>
        </w:rPr>
        <w:t xml:space="preserve">This rating is also influenced by </w:t>
      </w:r>
      <w:r w:rsidR="00A1274D" w:rsidRPr="646CFA6F">
        <w:rPr>
          <w:rFonts w:eastAsia="Arial" w:cs="Arial"/>
          <w:sz w:val="22"/>
          <w:szCs w:val="22"/>
        </w:rPr>
        <w:t xml:space="preserve">the high confidence we have in </w:t>
      </w:r>
      <w:proofErr w:type="spellStart"/>
      <w:r w:rsidR="00A1274D" w:rsidRPr="646CFA6F">
        <w:rPr>
          <w:rFonts w:eastAsia="Arial" w:cs="Arial"/>
          <w:sz w:val="22"/>
          <w:szCs w:val="22"/>
        </w:rPr>
        <w:t>Mirova</w:t>
      </w:r>
      <w:proofErr w:type="spellEnd"/>
      <w:r w:rsidR="00A1274D" w:rsidRPr="646CFA6F">
        <w:rPr>
          <w:rFonts w:eastAsia="Arial" w:cs="Arial"/>
          <w:sz w:val="22"/>
          <w:szCs w:val="22"/>
        </w:rPr>
        <w:t xml:space="preserve">, to whom </w:t>
      </w:r>
      <w:r w:rsidR="001F3EEB" w:rsidRPr="646CFA6F">
        <w:rPr>
          <w:rFonts w:eastAsia="Arial" w:cs="Arial"/>
          <w:sz w:val="22"/>
          <w:szCs w:val="22"/>
        </w:rPr>
        <w:t xml:space="preserve">fund (and </w:t>
      </w:r>
      <w:r w:rsidR="00A1274D" w:rsidRPr="646CFA6F">
        <w:rPr>
          <w:rFonts w:eastAsia="Arial" w:cs="Arial"/>
          <w:sz w:val="22"/>
          <w:szCs w:val="22"/>
        </w:rPr>
        <w:t>risk</w:t>
      </w:r>
      <w:r w:rsidR="001F3EEB" w:rsidRPr="646CFA6F">
        <w:rPr>
          <w:rFonts w:eastAsia="Arial" w:cs="Arial"/>
          <w:sz w:val="22"/>
          <w:szCs w:val="22"/>
        </w:rPr>
        <w:t>)</w:t>
      </w:r>
      <w:r w:rsidR="00A1274D" w:rsidRPr="646CFA6F">
        <w:rPr>
          <w:rFonts w:eastAsia="Arial" w:cs="Arial"/>
          <w:sz w:val="22"/>
          <w:szCs w:val="22"/>
        </w:rPr>
        <w:t xml:space="preserve"> management is outsourced</w:t>
      </w:r>
      <w:r w:rsidR="008478F2">
        <w:rPr>
          <w:rFonts w:eastAsia="Arial" w:cs="Arial"/>
          <w:sz w:val="22"/>
          <w:szCs w:val="22"/>
        </w:rPr>
        <w:t xml:space="preserve">, and who are themselves an </w:t>
      </w:r>
      <w:r w:rsidR="006E5B44">
        <w:rPr>
          <w:rFonts w:eastAsia="Arial" w:cs="Arial"/>
          <w:sz w:val="22"/>
          <w:szCs w:val="22"/>
        </w:rPr>
        <w:t>independently</w:t>
      </w:r>
      <w:r w:rsidR="008478F2">
        <w:rPr>
          <w:rFonts w:eastAsia="Arial" w:cs="Arial"/>
          <w:sz w:val="22"/>
          <w:szCs w:val="22"/>
        </w:rPr>
        <w:t xml:space="preserve"> certified B-Corp</w:t>
      </w:r>
      <w:r w:rsidR="00A1274D" w:rsidRPr="646CFA6F">
        <w:rPr>
          <w:rFonts w:eastAsia="Arial" w:cs="Arial"/>
          <w:sz w:val="22"/>
          <w:szCs w:val="22"/>
        </w:rPr>
        <w:t>.</w:t>
      </w:r>
    </w:p>
    <w:p w14:paraId="525816A4" w14:textId="77777777" w:rsidR="00E824F6" w:rsidRDefault="00E824F6" w:rsidP="000F5F51">
      <w:pPr>
        <w:tabs>
          <w:tab w:val="left" w:pos="720"/>
        </w:tabs>
        <w:rPr>
          <w:rFonts w:eastAsia="Arial" w:cs="Arial"/>
          <w:sz w:val="22"/>
          <w:szCs w:val="22"/>
        </w:rPr>
      </w:pPr>
    </w:p>
    <w:p w14:paraId="0E540C83" w14:textId="3E076FB4" w:rsidR="004E481D" w:rsidRPr="0070451F" w:rsidRDefault="00BB48CA" w:rsidP="000F5F51">
      <w:pPr>
        <w:tabs>
          <w:tab w:val="left" w:pos="720"/>
        </w:tabs>
        <w:rPr>
          <w:rFonts w:eastAsia="Arial" w:cs="Arial"/>
          <w:sz w:val="22"/>
          <w:szCs w:val="22"/>
          <w:u w:val="single"/>
        </w:rPr>
      </w:pPr>
      <w:r w:rsidRPr="0070451F">
        <w:rPr>
          <w:rFonts w:eastAsia="Arial" w:cs="Arial"/>
          <w:sz w:val="22"/>
          <w:szCs w:val="22"/>
          <w:u w:val="single"/>
        </w:rPr>
        <w:t>Examples of Fund-level risks</w:t>
      </w:r>
      <w:r w:rsidR="00BE697F" w:rsidRPr="0070451F">
        <w:rPr>
          <w:rFonts w:eastAsia="Arial" w:cs="Arial"/>
          <w:sz w:val="22"/>
          <w:szCs w:val="22"/>
          <w:u w:val="single"/>
        </w:rPr>
        <w:t xml:space="preserve"> managed by </w:t>
      </w:r>
      <w:proofErr w:type="spellStart"/>
      <w:r w:rsidR="00BE697F" w:rsidRPr="0070451F">
        <w:rPr>
          <w:rFonts w:eastAsia="Arial" w:cs="Arial"/>
          <w:sz w:val="22"/>
          <w:szCs w:val="22"/>
          <w:u w:val="single"/>
        </w:rPr>
        <w:t>Mirova</w:t>
      </w:r>
      <w:proofErr w:type="spellEnd"/>
      <w:r w:rsidR="00BE697F" w:rsidRPr="0070451F">
        <w:rPr>
          <w:rFonts w:eastAsia="Arial" w:cs="Arial"/>
          <w:sz w:val="22"/>
          <w:szCs w:val="22"/>
          <w:u w:val="single"/>
        </w:rPr>
        <w:t>:</w:t>
      </w:r>
    </w:p>
    <w:p w14:paraId="0E74C39A" w14:textId="77777777" w:rsidR="00BE697F" w:rsidRDefault="00BE697F" w:rsidP="000F5F51">
      <w:pPr>
        <w:tabs>
          <w:tab w:val="left" w:pos="720"/>
        </w:tabs>
        <w:rPr>
          <w:rFonts w:eastAsia="Arial" w:cs="Arial"/>
          <w:sz w:val="22"/>
          <w:szCs w:val="22"/>
        </w:rPr>
      </w:pPr>
    </w:p>
    <w:tbl>
      <w:tblPr>
        <w:tblStyle w:val="TableGrid"/>
        <w:tblW w:w="10348" w:type="dxa"/>
        <w:tblInd w:w="-719" w:type="dxa"/>
        <w:tblLayout w:type="fixed"/>
        <w:tblLook w:val="06A0" w:firstRow="1" w:lastRow="0" w:firstColumn="1" w:lastColumn="0" w:noHBand="1" w:noVBand="1"/>
      </w:tblPr>
      <w:tblGrid>
        <w:gridCol w:w="2694"/>
        <w:gridCol w:w="7654"/>
      </w:tblGrid>
      <w:tr w:rsidR="001217E0" w:rsidRPr="00A54B18" w14:paraId="14693727"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290CAD93" w14:textId="77777777" w:rsidR="001217E0" w:rsidRPr="00A54B18" w:rsidRDefault="001217E0" w:rsidP="00680FA9">
            <w:pPr>
              <w:rPr>
                <w:rFonts w:eastAsia="Arial" w:cs="Arial"/>
                <w:b/>
                <w:bCs/>
                <w:sz w:val="22"/>
                <w:szCs w:val="22"/>
              </w:rPr>
            </w:pPr>
            <w:r w:rsidRPr="00A54B18">
              <w:rPr>
                <w:rFonts w:eastAsia="Arial" w:cs="Arial"/>
                <w:b/>
                <w:bCs/>
                <w:sz w:val="22"/>
                <w:szCs w:val="22"/>
              </w:rPr>
              <w:t xml:space="preserve">Description of risk  </w:t>
            </w:r>
          </w:p>
        </w:tc>
        <w:tc>
          <w:tcPr>
            <w:tcW w:w="7654" w:type="dxa"/>
            <w:tcBorders>
              <w:top w:val="single" w:sz="8" w:space="0" w:color="auto"/>
              <w:left w:val="single" w:sz="8" w:space="0" w:color="auto"/>
              <w:bottom w:val="single" w:sz="8" w:space="0" w:color="auto"/>
              <w:right w:val="single" w:sz="8" w:space="0" w:color="auto"/>
            </w:tcBorders>
          </w:tcPr>
          <w:p w14:paraId="542E6F1B" w14:textId="77777777" w:rsidR="001217E0" w:rsidRPr="00A54B18" w:rsidRDefault="001217E0" w:rsidP="00680FA9">
            <w:pPr>
              <w:rPr>
                <w:rFonts w:eastAsia="Arial" w:cs="Arial"/>
                <w:b/>
                <w:bCs/>
                <w:sz w:val="22"/>
                <w:szCs w:val="22"/>
              </w:rPr>
            </w:pPr>
            <w:r w:rsidRPr="00A54B18">
              <w:rPr>
                <w:rFonts w:eastAsia="Arial" w:cs="Arial"/>
                <w:b/>
                <w:bCs/>
                <w:sz w:val="22"/>
                <w:szCs w:val="22"/>
              </w:rPr>
              <w:t>Mitigation activities</w:t>
            </w:r>
          </w:p>
        </w:tc>
      </w:tr>
      <w:tr w:rsidR="001217E0" w:rsidRPr="00A54B18" w14:paraId="747C5ABC" w14:textId="77777777" w:rsidTr="101AB9BE">
        <w:trPr>
          <w:trHeight w:val="1406"/>
        </w:trPr>
        <w:tc>
          <w:tcPr>
            <w:tcW w:w="2694" w:type="dxa"/>
            <w:tcBorders>
              <w:top w:val="single" w:sz="8" w:space="0" w:color="auto"/>
              <w:left w:val="single" w:sz="8" w:space="0" w:color="auto"/>
              <w:bottom w:val="single" w:sz="8" w:space="0" w:color="auto"/>
              <w:right w:val="single" w:sz="8" w:space="0" w:color="auto"/>
            </w:tcBorders>
          </w:tcPr>
          <w:p w14:paraId="1F7C7DBA" w14:textId="77777777" w:rsidR="001217E0" w:rsidRDefault="001217E0" w:rsidP="00680FA9">
            <w:pPr>
              <w:rPr>
                <w:rFonts w:eastAsia="Arial" w:cs="Arial"/>
                <w:sz w:val="22"/>
                <w:szCs w:val="22"/>
              </w:rPr>
            </w:pPr>
            <w:r>
              <w:rPr>
                <w:rFonts w:eastAsia="Arial" w:cs="Arial"/>
                <w:sz w:val="22"/>
                <w:szCs w:val="22"/>
              </w:rPr>
              <w:t>Political and economic risk in target countries.</w:t>
            </w:r>
          </w:p>
          <w:p w14:paraId="6479B4F3" w14:textId="77777777" w:rsidR="001217E0" w:rsidRDefault="001217E0" w:rsidP="00680FA9">
            <w:pPr>
              <w:rPr>
                <w:rFonts w:eastAsia="Arial" w:cs="Arial"/>
                <w:sz w:val="22"/>
                <w:szCs w:val="22"/>
              </w:rPr>
            </w:pPr>
          </w:p>
          <w:p w14:paraId="2758C2CA" w14:textId="7EFC9109" w:rsidR="001217E0" w:rsidRPr="00A54B18" w:rsidRDefault="001217E0" w:rsidP="00680FA9">
            <w:pPr>
              <w:rPr>
                <w:rFonts w:eastAsia="Arial" w:cs="Arial"/>
                <w:sz w:val="22"/>
                <w:szCs w:val="22"/>
              </w:rPr>
            </w:pPr>
            <w:r>
              <w:rPr>
                <w:rFonts w:eastAsia="Arial" w:cs="Arial"/>
                <w:sz w:val="22"/>
                <w:szCs w:val="22"/>
              </w:rPr>
              <w:t xml:space="preserve">Some less developed countries have higher risk factors for political and economic instability, for example foreign debts, loss of currency value, wealth inequality and less established systems for the democratic transfer of power. </w:t>
            </w:r>
          </w:p>
        </w:tc>
        <w:tc>
          <w:tcPr>
            <w:tcW w:w="7654" w:type="dxa"/>
            <w:tcBorders>
              <w:top w:val="single" w:sz="8" w:space="0" w:color="auto"/>
              <w:left w:val="single" w:sz="8" w:space="0" w:color="auto"/>
              <w:bottom w:val="single" w:sz="8" w:space="0" w:color="auto"/>
              <w:right w:val="single" w:sz="8" w:space="0" w:color="auto"/>
            </w:tcBorders>
          </w:tcPr>
          <w:p w14:paraId="0EB563A5" w14:textId="31D551A2" w:rsidR="001217E0" w:rsidRPr="002365B1" w:rsidRDefault="001217E0" w:rsidP="7AC85400">
            <w:pPr>
              <w:pStyle w:val="ListParagraph"/>
              <w:numPr>
                <w:ilvl w:val="0"/>
                <w:numId w:val="8"/>
              </w:numPr>
              <w:spacing w:before="60" w:after="0"/>
              <w:ind w:left="357" w:hanging="357"/>
              <w:rPr>
                <w:rFonts w:eastAsia="Arial" w:cs="Arial"/>
                <w:sz w:val="22"/>
                <w:szCs w:val="22"/>
              </w:rPr>
            </w:pPr>
            <w:r w:rsidRPr="786997B8">
              <w:rPr>
                <w:rFonts w:eastAsia="Arial" w:cs="Arial"/>
                <w:sz w:val="22"/>
                <w:szCs w:val="22"/>
              </w:rPr>
              <w:t>LDN has a maximum investment size of 15% of the Fund in any single country, limiting country exposure through portfolio diversification. There are currently no countries with more than one project, and some projects are spread across multiple countries. There is also a regional split across Africa (</w:t>
            </w:r>
            <w:r w:rsidR="00B34020" w:rsidRPr="786997B8">
              <w:rPr>
                <w:rFonts w:eastAsia="Arial" w:cs="Arial"/>
                <w:sz w:val="22"/>
                <w:szCs w:val="22"/>
              </w:rPr>
              <w:t>4</w:t>
            </w:r>
            <w:r w:rsidR="00370BD1">
              <w:rPr>
                <w:rFonts w:eastAsia="Arial" w:cs="Arial"/>
                <w:sz w:val="22"/>
                <w:szCs w:val="22"/>
              </w:rPr>
              <w:t>1</w:t>
            </w:r>
            <w:r w:rsidRPr="786997B8">
              <w:rPr>
                <w:rFonts w:eastAsia="Arial" w:cs="Arial"/>
                <w:sz w:val="22"/>
                <w:szCs w:val="22"/>
              </w:rPr>
              <w:t>%), Latin America (</w:t>
            </w:r>
            <w:r w:rsidR="00B34020">
              <w:rPr>
                <w:rFonts w:eastAsia="Arial" w:cs="Arial"/>
                <w:sz w:val="22"/>
                <w:szCs w:val="22"/>
              </w:rPr>
              <w:t>36</w:t>
            </w:r>
            <w:r w:rsidRPr="786997B8">
              <w:rPr>
                <w:rFonts w:eastAsia="Arial" w:cs="Arial"/>
                <w:sz w:val="22"/>
                <w:szCs w:val="22"/>
              </w:rPr>
              <w:t>%) and Asia (2</w:t>
            </w:r>
            <w:r w:rsidR="7B03FB9D" w:rsidRPr="786997B8">
              <w:rPr>
                <w:rFonts w:eastAsia="Arial" w:cs="Arial"/>
                <w:sz w:val="22"/>
                <w:szCs w:val="22"/>
              </w:rPr>
              <w:t>3</w:t>
            </w:r>
            <w:r w:rsidRPr="786997B8">
              <w:rPr>
                <w:rFonts w:eastAsia="Arial" w:cs="Arial"/>
                <w:sz w:val="22"/>
                <w:szCs w:val="22"/>
              </w:rPr>
              <w:t>%).</w:t>
            </w:r>
          </w:p>
          <w:p w14:paraId="367E2AB5" w14:textId="77777777" w:rsidR="001217E0" w:rsidRDefault="001217E0" w:rsidP="009854A1">
            <w:pPr>
              <w:pStyle w:val="ListParagraph"/>
              <w:numPr>
                <w:ilvl w:val="0"/>
                <w:numId w:val="8"/>
              </w:numPr>
              <w:spacing w:before="60" w:after="0"/>
              <w:ind w:left="357" w:hanging="357"/>
              <w:contextualSpacing w:val="0"/>
              <w:rPr>
                <w:rFonts w:eastAsia="Arial" w:cs="Arial"/>
                <w:sz w:val="22"/>
                <w:szCs w:val="22"/>
              </w:rPr>
            </w:pPr>
            <w:r w:rsidRPr="003F4631">
              <w:rPr>
                <w:rFonts w:eastAsia="Arial" w:cs="Arial"/>
                <w:sz w:val="22"/>
                <w:szCs w:val="22"/>
              </w:rPr>
              <w:t xml:space="preserve">The Investment Team </w:t>
            </w:r>
            <w:r>
              <w:rPr>
                <w:rFonts w:eastAsia="Arial" w:cs="Arial"/>
                <w:sz w:val="22"/>
                <w:szCs w:val="22"/>
              </w:rPr>
              <w:t>works</w:t>
            </w:r>
            <w:r w:rsidRPr="003F4631">
              <w:rPr>
                <w:rFonts w:eastAsia="Arial" w:cs="Arial"/>
                <w:sz w:val="22"/>
                <w:szCs w:val="22"/>
              </w:rPr>
              <w:t xml:space="preserve"> with Natixis’s Country Risk department, which is consulted for every investment appraisal. Political risk insurance policies can be purchased if deemed necessary.</w:t>
            </w:r>
          </w:p>
          <w:p w14:paraId="591E24F3" w14:textId="31A8DEF5" w:rsidR="001217E0" w:rsidRPr="002365B1" w:rsidRDefault="001217E0" w:rsidP="009854A1">
            <w:pPr>
              <w:pStyle w:val="ListParagraph"/>
              <w:numPr>
                <w:ilvl w:val="0"/>
                <w:numId w:val="8"/>
              </w:numPr>
              <w:spacing w:before="60" w:after="0"/>
              <w:ind w:left="357" w:hanging="357"/>
              <w:contextualSpacing w:val="0"/>
              <w:rPr>
                <w:rFonts w:eastAsia="Arial" w:cs="Arial"/>
                <w:sz w:val="22"/>
                <w:szCs w:val="22"/>
              </w:rPr>
            </w:pPr>
            <w:r w:rsidRPr="002365B1">
              <w:rPr>
                <w:rFonts w:eastAsia="Arial" w:cs="Arial"/>
                <w:sz w:val="22"/>
                <w:szCs w:val="22"/>
              </w:rPr>
              <w:t>Financing in local currencies is limited. The Fund limits its currency exposure to 15% in unhedged positions in currencies other than USD and EUR.</w:t>
            </w:r>
          </w:p>
        </w:tc>
      </w:tr>
      <w:tr w:rsidR="001217E0" w:rsidRPr="00A54B18" w14:paraId="13336483" w14:textId="77777777" w:rsidTr="101AB9BE">
        <w:trPr>
          <w:trHeight w:val="576"/>
        </w:trPr>
        <w:tc>
          <w:tcPr>
            <w:tcW w:w="2694" w:type="dxa"/>
            <w:tcBorders>
              <w:top w:val="single" w:sz="8" w:space="0" w:color="auto"/>
              <w:left w:val="single" w:sz="8" w:space="0" w:color="auto"/>
              <w:bottom w:val="single" w:sz="8" w:space="0" w:color="auto"/>
              <w:right w:val="single" w:sz="8" w:space="0" w:color="auto"/>
            </w:tcBorders>
          </w:tcPr>
          <w:p w14:paraId="07E432A2" w14:textId="234A5EAE" w:rsidR="001217E0" w:rsidRPr="00A54B18" w:rsidRDefault="001217E0" w:rsidP="00680FA9">
            <w:pPr>
              <w:rPr>
                <w:rFonts w:eastAsia="Arial" w:cs="Arial"/>
                <w:sz w:val="22"/>
                <w:szCs w:val="22"/>
              </w:rPr>
            </w:pPr>
            <w:r w:rsidRPr="00A54B18">
              <w:rPr>
                <w:rFonts w:eastAsia="Arial" w:cs="Arial"/>
                <w:sz w:val="22"/>
                <w:szCs w:val="22"/>
              </w:rPr>
              <w:t xml:space="preserve">Difficulties associated with measuring </w:t>
            </w:r>
            <w:r>
              <w:rPr>
                <w:rFonts w:eastAsia="Arial" w:cs="Arial"/>
                <w:sz w:val="22"/>
                <w:szCs w:val="22"/>
              </w:rPr>
              <w:t xml:space="preserve">and verifying </w:t>
            </w:r>
            <w:r w:rsidRPr="00A54B18">
              <w:rPr>
                <w:rFonts w:eastAsia="Arial" w:cs="Arial"/>
                <w:sz w:val="22"/>
                <w:szCs w:val="22"/>
              </w:rPr>
              <w:t>impacts</w:t>
            </w:r>
          </w:p>
        </w:tc>
        <w:tc>
          <w:tcPr>
            <w:tcW w:w="7654" w:type="dxa"/>
            <w:tcBorders>
              <w:top w:val="single" w:sz="8" w:space="0" w:color="auto"/>
              <w:left w:val="single" w:sz="8" w:space="0" w:color="auto"/>
              <w:bottom w:val="single" w:sz="8" w:space="0" w:color="auto"/>
              <w:right w:val="single" w:sz="8" w:space="0" w:color="auto"/>
            </w:tcBorders>
          </w:tcPr>
          <w:p w14:paraId="05F358A8" w14:textId="200EAE67" w:rsidR="001217E0" w:rsidRPr="00A54B18" w:rsidRDefault="001217E0" w:rsidP="009854A1">
            <w:pPr>
              <w:pStyle w:val="ListParagraph"/>
              <w:numPr>
                <w:ilvl w:val="0"/>
                <w:numId w:val="8"/>
              </w:numPr>
              <w:spacing w:before="60" w:after="0"/>
              <w:ind w:left="357" w:hanging="357"/>
              <w:contextualSpacing w:val="0"/>
              <w:rPr>
                <w:sz w:val="22"/>
                <w:szCs w:val="22"/>
              </w:rPr>
            </w:pPr>
            <w:r>
              <w:rPr>
                <w:sz w:val="22"/>
                <w:szCs w:val="22"/>
              </w:rPr>
              <w:t>LDN</w:t>
            </w:r>
            <w:r w:rsidRPr="00A54B18">
              <w:rPr>
                <w:sz w:val="22"/>
                <w:szCs w:val="22"/>
              </w:rPr>
              <w:t xml:space="preserve"> </w:t>
            </w:r>
            <w:r>
              <w:rPr>
                <w:sz w:val="22"/>
                <w:szCs w:val="22"/>
              </w:rPr>
              <w:t xml:space="preserve">are working </w:t>
            </w:r>
            <w:r w:rsidRPr="00A54B18">
              <w:rPr>
                <w:sz w:val="22"/>
                <w:szCs w:val="22"/>
              </w:rPr>
              <w:t>to secure increasingly robust data to underpin results assessment.</w:t>
            </w:r>
          </w:p>
          <w:p w14:paraId="639CD8BB" w14:textId="5F90B482" w:rsidR="001217E0" w:rsidRPr="00A54B18" w:rsidRDefault="001217E0" w:rsidP="009854A1">
            <w:pPr>
              <w:pStyle w:val="ListParagraph"/>
              <w:numPr>
                <w:ilvl w:val="0"/>
                <w:numId w:val="8"/>
              </w:numPr>
              <w:spacing w:before="60" w:after="0"/>
              <w:ind w:left="357" w:hanging="357"/>
              <w:contextualSpacing w:val="0"/>
              <w:rPr>
                <w:sz w:val="22"/>
                <w:szCs w:val="22"/>
              </w:rPr>
            </w:pPr>
            <w:r>
              <w:rPr>
                <w:sz w:val="22"/>
                <w:szCs w:val="22"/>
              </w:rPr>
              <w:t xml:space="preserve">The LDN team within </w:t>
            </w:r>
            <w:proofErr w:type="spellStart"/>
            <w:r>
              <w:rPr>
                <w:sz w:val="22"/>
                <w:szCs w:val="22"/>
              </w:rPr>
              <w:t>Mirova</w:t>
            </w:r>
            <w:proofErr w:type="spellEnd"/>
            <w:r>
              <w:rPr>
                <w:sz w:val="22"/>
                <w:szCs w:val="22"/>
              </w:rPr>
              <w:t xml:space="preserve"> make regular site visits to existing and potential investment projects for assurance that projects are operating and creating impacts in line with their reporting.</w:t>
            </w:r>
          </w:p>
        </w:tc>
      </w:tr>
      <w:tr w:rsidR="001217E0" w:rsidRPr="00A54B18" w14:paraId="36A54F94"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35A3C29E" w14:textId="77777777" w:rsidR="001217E0" w:rsidRPr="00A54B18" w:rsidRDefault="001217E0" w:rsidP="00680FA9">
            <w:pPr>
              <w:rPr>
                <w:rFonts w:eastAsia="Arial" w:cs="Arial"/>
                <w:sz w:val="22"/>
                <w:szCs w:val="22"/>
              </w:rPr>
            </w:pPr>
            <w:r w:rsidRPr="00A54B18">
              <w:rPr>
                <w:rFonts w:eastAsia="Arial" w:cs="Arial"/>
                <w:sz w:val="22"/>
                <w:szCs w:val="22"/>
              </w:rPr>
              <w:t>Lack of recorded impact specifically on biodiversity</w:t>
            </w:r>
          </w:p>
        </w:tc>
        <w:tc>
          <w:tcPr>
            <w:tcW w:w="7654" w:type="dxa"/>
            <w:tcBorders>
              <w:top w:val="single" w:sz="8" w:space="0" w:color="auto"/>
              <w:left w:val="single" w:sz="8" w:space="0" w:color="auto"/>
              <w:bottom w:val="single" w:sz="8" w:space="0" w:color="auto"/>
              <w:right w:val="single" w:sz="8" w:space="0" w:color="auto"/>
            </w:tcBorders>
          </w:tcPr>
          <w:p w14:paraId="5AD60D67" w14:textId="734A0105" w:rsidR="001217E0" w:rsidRDefault="001217E0" w:rsidP="009854A1">
            <w:pPr>
              <w:pStyle w:val="ListParagraph"/>
              <w:numPr>
                <w:ilvl w:val="0"/>
                <w:numId w:val="8"/>
              </w:numPr>
              <w:spacing w:before="60" w:after="0"/>
              <w:ind w:left="357" w:hanging="357"/>
              <w:contextualSpacing w:val="0"/>
              <w:rPr>
                <w:rFonts w:eastAsia="Arial" w:cs="Arial"/>
                <w:sz w:val="22"/>
                <w:szCs w:val="22"/>
              </w:rPr>
            </w:pPr>
            <w:r>
              <w:rPr>
                <w:rFonts w:eastAsia="Arial" w:cs="Arial"/>
                <w:sz w:val="22"/>
                <w:szCs w:val="22"/>
              </w:rPr>
              <w:t>LDN</w:t>
            </w:r>
            <w:r w:rsidRPr="00A54B18">
              <w:rPr>
                <w:rFonts w:eastAsia="Arial" w:cs="Arial"/>
                <w:sz w:val="22"/>
                <w:szCs w:val="22"/>
              </w:rPr>
              <w:t xml:space="preserve"> </w:t>
            </w:r>
            <w:r>
              <w:rPr>
                <w:rFonts w:eastAsia="Arial" w:cs="Arial"/>
                <w:sz w:val="22"/>
                <w:szCs w:val="22"/>
              </w:rPr>
              <w:t>are working towards expanding</w:t>
            </w:r>
            <w:r w:rsidRPr="00A54B18">
              <w:rPr>
                <w:rFonts w:eastAsia="Arial" w:cs="Arial"/>
                <w:sz w:val="22"/>
                <w:szCs w:val="22"/>
              </w:rPr>
              <w:t xml:space="preserve"> Outcome monitoring to cover biodiversity</w:t>
            </w:r>
            <w:r>
              <w:rPr>
                <w:rFonts w:eastAsia="Arial" w:cs="Arial"/>
                <w:sz w:val="22"/>
                <w:szCs w:val="22"/>
              </w:rPr>
              <w:t>.</w:t>
            </w:r>
          </w:p>
          <w:p w14:paraId="60CD14D6" w14:textId="3F03541A" w:rsidR="001217E0" w:rsidRPr="00A54B18" w:rsidRDefault="001217E0" w:rsidP="101AB9BE">
            <w:pPr>
              <w:pStyle w:val="ListParagraph"/>
              <w:numPr>
                <w:ilvl w:val="0"/>
                <w:numId w:val="8"/>
              </w:numPr>
              <w:spacing w:before="60" w:after="0"/>
              <w:ind w:left="357" w:hanging="357"/>
              <w:rPr>
                <w:rFonts w:eastAsia="Arial" w:cs="Arial"/>
                <w:sz w:val="22"/>
                <w:szCs w:val="22"/>
              </w:rPr>
            </w:pPr>
            <w:r w:rsidRPr="101AB9BE">
              <w:rPr>
                <w:rFonts w:eastAsia="Arial" w:cs="Arial"/>
                <w:sz w:val="22"/>
                <w:szCs w:val="22"/>
              </w:rPr>
              <w:lastRenderedPageBreak/>
              <w:t xml:space="preserve">LDN are piloting new biodiversity monitoring methods such as pollen sampling. Capacity for monitoring through remote sensing is also being enhanced. </w:t>
            </w:r>
          </w:p>
        </w:tc>
      </w:tr>
      <w:tr w:rsidR="001217E0" w:rsidRPr="00A54B18" w14:paraId="6BA0E30D"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1F6C5838" w14:textId="5870FE35" w:rsidR="001217E0" w:rsidRPr="00A54B18" w:rsidRDefault="001217E0" w:rsidP="1ADDD671">
            <w:pPr>
              <w:rPr>
                <w:rFonts w:eastAsia="Arial" w:cs="Arial"/>
                <w:sz w:val="22"/>
                <w:szCs w:val="22"/>
              </w:rPr>
            </w:pPr>
            <w:r>
              <w:rPr>
                <w:rFonts w:eastAsia="Arial" w:cs="Arial"/>
                <w:sz w:val="22"/>
                <w:szCs w:val="22"/>
              </w:rPr>
              <w:lastRenderedPageBreak/>
              <w:t>Risk of poor Gender Equality and Social Inclusion (GESI).</w:t>
            </w:r>
          </w:p>
          <w:p w14:paraId="2CEC0808" w14:textId="7C6CD1D4" w:rsidR="001217E0" w:rsidRPr="00A54B18" w:rsidRDefault="001217E0" w:rsidP="1ADDD671">
            <w:pPr>
              <w:rPr>
                <w:rFonts w:eastAsia="Arial" w:cs="Arial"/>
                <w:sz w:val="22"/>
                <w:szCs w:val="22"/>
              </w:rPr>
            </w:pPr>
          </w:p>
          <w:p w14:paraId="5C971503" w14:textId="0FBC8386" w:rsidR="001217E0" w:rsidRPr="00A54B18" w:rsidRDefault="001217E0" w:rsidP="00881A95">
            <w:pPr>
              <w:rPr>
                <w:rFonts w:eastAsia="Arial" w:cs="Arial"/>
                <w:sz w:val="22"/>
                <w:szCs w:val="22"/>
              </w:rPr>
            </w:pPr>
            <w:r w:rsidRPr="71816BF0">
              <w:rPr>
                <w:rFonts w:eastAsia="Arial" w:cs="Arial"/>
                <w:sz w:val="22"/>
                <w:szCs w:val="22"/>
              </w:rPr>
              <w:t xml:space="preserve">For example, Atlas Fruits in Morocco is based in a very </w:t>
            </w:r>
            <w:r w:rsidR="33183034" w:rsidRPr="71816BF0">
              <w:rPr>
                <w:rFonts w:eastAsia="Arial" w:cs="Arial"/>
                <w:sz w:val="22"/>
                <w:szCs w:val="22"/>
              </w:rPr>
              <w:t>u</w:t>
            </w:r>
            <w:r w:rsidRPr="71816BF0">
              <w:rPr>
                <w:rFonts w:eastAsia="Arial" w:cs="Arial"/>
                <w:sz w:val="22"/>
                <w:szCs w:val="22"/>
              </w:rPr>
              <w:t>nequal gender context.</w:t>
            </w:r>
          </w:p>
        </w:tc>
        <w:tc>
          <w:tcPr>
            <w:tcW w:w="7654" w:type="dxa"/>
            <w:tcBorders>
              <w:top w:val="single" w:sz="8" w:space="0" w:color="auto"/>
              <w:left w:val="single" w:sz="8" w:space="0" w:color="auto"/>
              <w:bottom w:val="single" w:sz="8" w:space="0" w:color="auto"/>
              <w:right w:val="single" w:sz="8" w:space="0" w:color="auto"/>
            </w:tcBorders>
          </w:tcPr>
          <w:p w14:paraId="7E82D24B" w14:textId="751B9A82" w:rsidR="001217E0" w:rsidRPr="00B93358" w:rsidRDefault="001217E0" w:rsidP="00B93358">
            <w:pPr>
              <w:pStyle w:val="ListParagraph"/>
              <w:numPr>
                <w:ilvl w:val="0"/>
                <w:numId w:val="8"/>
              </w:numPr>
              <w:spacing w:before="60" w:after="0"/>
              <w:ind w:left="357" w:hanging="357"/>
              <w:rPr>
                <w:rFonts w:eastAsia="Arial" w:cs="Arial"/>
                <w:sz w:val="22"/>
                <w:szCs w:val="22"/>
              </w:rPr>
            </w:pPr>
            <w:r w:rsidRPr="55CDC327">
              <w:rPr>
                <w:rFonts w:eastAsia="Arial" w:cs="Arial"/>
                <w:sz w:val="22"/>
                <w:szCs w:val="22"/>
              </w:rPr>
              <w:t xml:space="preserve">All projects are assessed before investment and then annually against the </w:t>
            </w:r>
            <w:hyperlink r:id="rId18">
              <w:r w:rsidRPr="55CDC327">
                <w:rPr>
                  <w:rStyle w:val="Hyperlink"/>
                  <w:rFonts w:eastAsia="Arial" w:cs="Arial"/>
                  <w:sz w:val="22"/>
                  <w:szCs w:val="22"/>
                </w:rPr>
                <w:t>2X criteria</w:t>
              </w:r>
            </w:hyperlink>
            <w:r w:rsidRPr="55CDC327">
              <w:rPr>
                <w:rFonts w:eastAsia="Arial" w:cs="Arial"/>
                <w:sz w:val="22"/>
                <w:szCs w:val="22"/>
              </w:rPr>
              <w:t xml:space="preserve">. Currently, </w:t>
            </w:r>
            <w:r w:rsidR="003936A0">
              <w:rPr>
                <w:rFonts w:eastAsia="Arial" w:cs="Arial"/>
                <w:sz w:val="22"/>
                <w:szCs w:val="22"/>
              </w:rPr>
              <w:t>seven</w:t>
            </w:r>
            <w:r w:rsidRPr="55CDC327">
              <w:rPr>
                <w:rFonts w:eastAsia="Arial" w:cs="Arial"/>
                <w:sz w:val="22"/>
                <w:szCs w:val="22"/>
              </w:rPr>
              <w:t xml:space="preserve"> projects are meeting the 2x criteria on leadership, which is a promising start, but means there is room for the remaining projects to improve on that criteria, and all projects to attain other 2x criteria beyond leadership.</w:t>
            </w:r>
          </w:p>
          <w:p w14:paraId="1E903D0C" w14:textId="77777777" w:rsidR="001217E0" w:rsidRDefault="001217E0" w:rsidP="002215E7">
            <w:pPr>
              <w:pStyle w:val="ListParagraph"/>
              <w:numPr>
                <w:ilvl w:val="0"/>
                <w:numId w:val="8"/>
              </w:numPr>
              <w:spacing w:before="60" w:after="0"/>
              <w:ind w:left="357" w:hanging="357"/>
              <w:rPr>
                <w:rFonts w:eastAsia="Arial" w:cs="Arial"/>
                <w:sz w:val="22"/>
                <w:szCs w:val="22"/>
              </w:rPr>
            </w:pPr>
            <w:r>
              <w:rPr>
                <w:rFonts w:eastAsia="Arial" w:cs="Arial"/>
                <w:sz w:val="22"/>
                <w:szCs w:val="22"/>
              </w:rPr>
              <w:t>A gender assessment and action plan (GAP) are requested to be developed by all projects, with the support of the TAF if needed,</w:t>
            </w:r>
            <w:r w:rsidRPr="1ADDD671">
              <w:rPr>
                <w:rFonts w:eastAsia="Arial" w:cs="Arial"/>
                <w:sz w:val="22"/>
                <w:szCs w:val="22"/>
              </w:rPr>
              <w:t xml:space="preserve"> such as for Kennemer, Atlas Fruits and SLB</w:t>
            </w:r>
            <w:r>
              <w:rPr>
                <w:rFonts w:eastAsia="Arial" w:cs="Arial"/>
                <w:sz w:val="22"/>
                <w:szCs w:val="22"/>
              </w:rPr>
              <w:t>,</w:t>
            </w:r>
            <w:r w:rsidRPr="1ADDD671">
              <w:rPr>
                <w:rFonts w:eastAsia="Arial" w:cs="Arial"/>
                <w:sz w:val="22"/>
                <w:szCs w:val="22"/>
              </w:rPr>
              <w:t xml:space="preserve"> leading</w:t>
            </w:r>
            <w:r>
              <w:rPr>
                <w:rFonts w:eastAsia="Arial" w:cs="Arial"/>
                <w:sz w:val="22"/>
                <w:szCs w:val="22"/>
              </w:rPr>
              <w:t xml:space="preserve"> for example</w:t>
            </w:r>
            <w:r w:rsidRPr="1ADDD671">
              <w:rPr>
                <w:rFonts w:eastAsia="Arial" w:cs="Arial"/>
                <w:sz w:val="22"/>
                <w:szCs w:val="22"/>
              </w:rPr>
              <w:t xml:space="preserve"> to a pilot of </w:t>
            </w:r>
            <w:r>
              <w:rPr>
                <w:rFonts w:eastAsia="Arial" w:cs="Arial"/>
                <w:sz w:val="22"/>
                <w:szCs w:val="22"/>
              </w:rPr>
              <w:t>women</w:t>
            </w:r>
            <w:r w:rsidRPr="1ADDD671">
              <w:rPr>
                <w:rFonts w:eastAsia="Arial" w:cs="Arial"/>
                <w:sz w:val="22"/>
                <w:szCs w:val="22"/>
              </w:rPr>
              <w:t xml:space="preserve"> contracted for harvesting in Morocco</w:t>
            </w:r>
            <w:r>
              <w:rPr>
                <w:rFonts w:eastAsia="Arial" w:cs="Arial"/>
                <w:sz w:val="22"/>
                <w:szCs w:val="22"/>
              </w:rPr>
              <w:t>.</w:t>
            </w:r>
          </w:p>
          <w:p w14:paraId="6FBE1E64" w14:textId="5C79698C" w:rsidR="001217E0" w:rsidRPr="002215E7" w:rsidRDefault="001217E0" w:rsidP="002215E7">
            <w:pPr>
              <w:pStyle w:val="ListParagraph"/>
              <w:numPr>
                <w:ilvl w:val="0"/>
                <w:numId w:val="8"/>
              </w:numPr>
              <w:spacing w:before="60" w:after="0"/>
              <w:ind w:left="357" w:hanging="357"/>
              <w:rPr>
                <w:rFonts w:eastAsia="Arial" w:cs="Arial"/>
                <w:sz w:val="22"/>
                <w:szCs w:val="22"/>
              </w:rPr>
            </w:pPr>
            <w:r>
              <w:rPr>
                <w:rFonts w:eastAsia="Arial" w:cs="Arial"/>
                <w:sz w:val="22"/>
                <w:szCs w:val="22"/>
              </w:rPr>
              <w:t xml:space="preserve">Defra has been engaging with the Fund on gender equity and emphasising its importance to our ODA </w:t>
            </w:r>
            <w:proofErr w:type="gramStart"/>
            <w:r>
              <w:rPr>
                <w:rFonts w:eastAsia="Arial" w:cs="Arial"/>
                <w:sz w:val="22"/>
                <w:szCs w:val="22"/>
              </w:rPr>
              <w:t>programmes, and</w:t>
            </w:r>
            <w:proofErr w:type="gramEnd"/>
            <w:r>
              <w:rPr>
                <w:rFonts w:eastAsia="Arial" w:cs="Arial"/>
                <w:sz w:val="22"/>
                <w:szCs w:val="22"/>
              </w:rPr>
              <w:t xml:space="preserve"> will step up this engagement in 2024.</w:t>
            </w:r>
          </w:p>
        </w:tc>
      </w:tr>
      <w:tr w:rsidR="001217E0" w:rsidRPr="00A54B18" w14:paraId="1504B06E"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0CDAAB97" w14:textId="78BBD1EA" w:rsidR="001217E0" w:rsidRDefault="001217E0" w:rsidP="1ADDD671">
            <w:pPr>
              <w:rPr>
                <w:rFonts w:eastAsia="Arial" w:cs="Arial"/>
                <w:sz w:val="22"/>
                <w:szCs w:val="22"/>
              </w:rPr>
            </w:pPr>
            <w:r>
              <w:rPr>
                <w:rFonts w:eastAsia="Arial" w:cs="Arial"/>
                <w:sz w:val="22"/>
                <w:szCs w:val="22"/>
              </w:rPr>
              <w:t>Risk of safe-guarding issues.</w:t>
            </w:r>
          </w:p>
        </w:tc>
        <w:tc>
          <w:tcPr>
            <w:tcW w:w="7654" w:type="dxa"/>
            <w:tcBorders>
              <w:top w:val="single" w:sz="8" w:space="0" w:color="auto"/>
              <w:left w:val="single" w:sz="8" w:space="0" w:color="auto"/>
              <w:bottom w:val="single" w:sz="8" w:space="0" w:color="auto"/>
              <w:right w:val="single" w:sz="8" w:space="0" w:color="auto"/>
            </w:tcBorders>
          </w:tcPr>
          <w:p w14:paraId="5A534BD1" w14:textId="605B1862" w:rsidR="002F0BD8" w:rsidRPr="00E22658" w:rsidRDefault="002F0BD8" w:rsidP="1ADDD671">
            <w:pPr>
              <w:pStyle w:val="ListParagraph"/>
              <w:numPr>
                <w:ilvl w:val="0"/>
                <w:numId w:val="8"/>
              </w:numPr>
              <w:spacing w:before="60" w:after="0"/>
              <w:ind w:left="357" w:hanging="357"/>
              <w:rPr>
                <w:sz w:val="22"/>
                <w:szCs w:val="22"/>
              </w:rPr>
            </w:pPr>
            <w:r w:rsidRPr="00E22658">
              <w:rPr>
                <w:sz w:val="22"/>
                <w:szCs w:val="22"/>
              </w:rPr>
              <w:t xml:space="preserve">Safeguarding is managed by </w:t>
            </w:r>
            <w:proofErr w:type="spellStart"/>
            <w:r w:rsidRPr="00E22658">
              <w:rPr>
                <w:sz w:val="22"/>
                <w:szCs w:val="22"/>
              </w:rPr>
              <w:t>Mirova</w:t>
            </w:r>
            <w:proofErr w:type="spellEnd"/>
            <w:r w:rsidR="00E22658" w:rsidRPr="00E22658">
              <w:rPr>
                <w:sz w:val="22"/>
                <w:szCs w:val="22"/>
              </w:rPr>
              <w:t>, which has a safe-guarding policy for LDN and a dedicated reporting mechanism</w:t>
            </w:r>
            <w:r w:rsidR="00E10522">
              <w:rPr>
                <w:sz w:val="22"/>
                <w:szCs w:val="22"/>
              </w:rPr>
              <w:t xml:space="preserve">. </w:t>
            </w:r>
            <w:r w:rsidR="00F2207E">
              <w:rPr>
                <w:sz w:val="22"/>
                <w:szCs w:val="22"/>
              </w:rPr>
              <w:t>Defra’s</w:t>
            </w:r>
            <w:r w:rsidR="00E10522">
              <w:rPr>
                <w:sz w:val="22"/>
                <w:szCs w:val="22"/>
              </w:rPr>
              <w:t xml:space="preserve"> programme team </w:t>
            </w:r>
            <w:proofErr w:type="gramStart"/>
            <w:r w:rsidR="00E10522">
              <w:rPr>
                <w:sz w:val="22"/>
                <w:szCs w:val="22"/>
              </w:rPr>
              <w:t>has no involvement</w:t>
            </w:r>
            <w:proofErr w:type="gramEnd"/>
            <w:r w:rsidR="00E10522">
              <w:rPr>
                <w:sz w:val="22"/>
                <w:szCs w:val="22"/>
              </w:rPr>
              <w:t xml:space="preserve"> in </w:t>
            </w:r>
            <w:r w:rsidR="00F2207E">
              <w:rPr>
                <w:sz w:val="22"/>
                <w:szCs w:val="22"/>
              </w:rPr>
              <w:t>any areas where there might be safeguarding risks.</w:t>
            </w:r>
          </w:p>
          <w:p w14:paraId="6669275C" w14:textId="20398941" w:rsidR="001217E0" w:rsidRPr="007759E8" w:rsidRDefault="001217E0" w:rsidP="1ADDD671">
            <w:pPr>
              <w:pStyle w:val="ListParagraph"/>
              <w:numPr>
                <w:ilvl w:val="0"/>
                <w:numId w:val="8"/>
              </w:numPr>
              <w:spacing w:before="60" w:after="0"/>
              <w:ind w:left="357" w:hanging="357"/>
            </w:pPr>
            <w:r>
              <w:rPr>
                <w:rFonts w:eastAsia="Arial" w:cs="Arial"/>
                <w:sz w:val="22"/>
                <w:szCs w:val="22"/>
              </w:rPr>
              <w:t>Safeguarding is part of all Environmental and Social Due Diligence (ESDD) and if any gap in LDN policy is identified, a corrective action is added in the project’s Environmental and Social Action Plan (ESAP).</w:t>
            </w:r>
          </w:p>
          <w:p w14:paraId="2D9DAD0E" w14:textId="2CE310C6" w:rsidR="001217E0" w:rsidRDefault="001217E0" w:rsidP="1ADDD671">
            <w:pPr>
              <w:pStyle w:val="ListParagraph"/>
              <w:numPr>
                <w:ilvl w:val="0"/>
                <w:numId w:val="8"/>
              </w:numPr>
              <w:spacing w:before="60" w:after="0"/>
              <w:ind w:left="357" w:hanging="357"/>
            </w:pPr>
            <w:r>
              <w:rPr>
                <w:rFonts w:eastAsia="Arial" w:cs="Arial"/>
                <w:sz w:val="22"/>
                <w:szCs w:val="22"/>
              </w:rPr>
              <w:t>The Fund maintains good oversight over all projects, with positions on most Boards or equivalents, and is therefore well-placed to monitor and mitigate such risks.</w:t>
            </w:r>
          </w:p>
        </w:tc>
      </w:tr>
      <w:tr w:rsidR="00D70883" w:rsidRPr="00A54B18" w14:paraId="1ED4015C"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6C15B7D7" w14:textId="70D1CD47" w:rsidR="00D70883" w:rsidRDefault="006B69E1" w:rsidP="1ADDD671">
            <w:pPr>
              <w:rPr>
                <w:rFonts w:eastAsia="Arial" w:cs="Arial"/>
                <w:sz w:val="22"/>
                <w:szCs w:val="22"/>
              </w:rPr>
            </w:pPr>
            <w:r>
              <w:rPr>
                <w:rFonts w:eastAsia="Arial" w:cs="Arial"/>
                <w:sz w:val="22"/>
                <w:szCs w:val="22"/>
              </w:rPr>
              <w:t>Risk of Fraud</w:t>
            </w:r>
          </w:p>
        </w:tc>
        <w:tc>
          <w:tcPr>
            <w:tcW w:w="7654" w:type="dxa"/>
            <w:tcBorders>
              <w:top w:val="single" w:sz="8" w:space="0" w:color="auto"/>
              <w:left w:val="single" w:sz="8" w:space="0" w:color="auto"/>
              <w:bottom w:val="single" w:sz="8" w:space="0" w:color="auto"/>
              <w:right w:val="single" w:sz="8" w:space="0" w:color="auto"/>
            </w:tcBorders>
          </w:tcPr>
          <w:p w14:paraId="183AB239" w14:textId="3F701728" w:rsidR="00D70883" w:rsidRPr="00E22658" w:rsidRDefault="006B69E1" w:rsidP="1ADDD671">
            <w:pPr>
              <w:pStyle w:val="ListParagraph"/>
              <w:numPr>
                <w:ilvl w:val="0"/>
                <w:numId w:val="8"/>
              </w:numPr>
              <w:spacing w:before="60" w:after="0"/>
              <w:ind w:left="357" w:hanging="357"/>
              <w:rPr>
                <w:sz w:val="22"/>
                <w:szCs w:val="22"/>
              </w:rPr>
            </w:pPr>
            <w:r>
              <w:rPr>
                <w:sz w:val="22"/>
                <w:szCs w:val="22"/>
              </w:rPr>
              <w:t xml:space="preserve">Fraud risks are managed by </w:t>
            </w:r>
            <w:proofErr w:type="spellStart"/>
            <w:r>
              <w:rPr>
                <w:sz w:val="22"/>
                <w:szCs w:val="22"/>
              </w:rPr>
              <w:t>Mirova</w:t>
            </w:r>
            <w:proofErr w:type="spellEnd"/>
            <w:r>
              <w:rPr>
                <w:sz w:val="22"/>
                <w:szCs w:val="22"/>
              </w:rPr>
              <w:t xml:space="preserve">, </w:t>
            </w:r>
            <w:r w:rsidR="00935384">
              <w:rPr>
                <w:sz w:val="22"/>
                <w:szCs w:val="22"/>
              </w:rPr>
              <w:t>who</w:t>
            </w:r>
            <w:r>
              <w:rPr>
                <w:sz w:val="22"/>
                <w:szCs w:val="22"/>
              </w:rPr>
              <w:t xml:space="preserve"> </w:t>
            </w:r>
            <w:r w:rsidR="00463EA7">
              <w:rPr>
                <w:sz w:val="22"/>
                <w:szCs w:val="22"/>
              </w:rPr>
              <w:t xml:space="preserve">have robust internal investment controls, and </w:t>
            </w:r>
            <w:r w:rsidR="00935384">
              <w:rPr>
                <w:sz w:val="22"/>
                <w:szCs w:val="22"/>
              </w:rPr>
              <w:t>carry out extensive due diligence on their investors and investees.</w:t>
            </w:r>
            <w:r w:rsidR="001B0404">
              <w:rPr>
                <w:sz w:val="22"/>
                <w:szCs w:val="22"/>
              </w:rPr>
              <w:t xml:space="preserve"> No fraud cases have been reported to the Fund’s Advisory Committee.</w:t>
            </w:r>
          </w:p>
        </w:tc>
      </w:tr>
      <w:tr w:rsidR="001217E0" w:rsidRPr="00A54B18" w14:paraId="29D45DAA"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7EEAA193" w14:textId="494BE795" w:rsidR="001217E0" w:rsidRDefault="001217E0" w:rsidP="00881A95">
            <w:pPr>
              <w:rPr>
                <w:rFonts w:eastAsia="Arial" w:cs="Arial"/>
                <w:sz w:val="22"/>
                <w:szCs w:val="22"/>
              </w:rPr>
            </w:pPr>
            <w:r>
              <w:rPr>
                <w:rFonts w:eastAsia="Arial" w:cs="Arial"/>
                <w:sz w:val="22"/>
                <w:szCs w:val="22"/>
              </w:rPr>
              <w:t>Concentration of investments by sector, making the portfolio vulnerable to global commodity markets.</w:t>
            </w:r>
          </w:p>
        </w:tc>
        <w:tc>
          <w:tcPr>
            <w:tcW w:w="7654" w:type="dxa"/>
            <w:tcBorders>
              <w:top w:val="single" w:sz="8" w:space="0" w:color="auto"/>
              <w:left w:val="single" w:sz="8" w:space="0" w:color="auto"/>
              <w:bottom w:val="single" w:sz="8" w:space="0" w:color="auto"/>
              <w:right w:val="single" w:sz="8" w:space="0" w:color="auto"/>
            </w:tcBorders>
          </w:tcPr>
          <w:p w14:paraId="1239FB9C" w14:textId="3854E2CC" w:rsidR="001217E0" w:rsidRDefault="001217E0" w:rsidP="009854A1">
            <w:pPr>
              <w:pStyle w:val="ListParagraph"/>
              <w:numPr>
                <w:ilvl w:val="0"/>
                <w:numId w:val="8"/>
              </w:numPr>
              <w:spacing w:before="60" w:after="0"/>
              <w:ind w:left="357" w:hanging="357"/>
              <w:contextualSpacing w:val="0"/>
              <w:rPr>
                <w:rFonts w:eastAsia="Arial" w:cs="Arial"/>
                <w:sz w:val="22"/>
                <w:szCs w:val="22"/>
              </w:rPr>
            </w:pPr>
            <w:r>
              <w:rPr>
                <w:rFonts w:eastAsia="Arial" w:cs="Arial"/>
                <w:sz w:val="22"/>
                <w:szCs w:val="22"/>
              </w:rPr>
              <w:t>LDN</w:t>
            </w:r>
            <w:r w:rsidRPr="002365B1">
              <w:rPr>
                <w:rFonts w:eastAsia="Arial" w:cs="Arial"/>
                <w:sz w:val="22"/>
                <w:szCs w:val="22"/>
              </w:rPr>
              <w:t xml:space="preserve"> </w:t>
            </w:r>
            <w:r>
              <w:rPr>
                <w:rFonts w:eastAsia="Arial" w:cs="Arial"/>
                <w:sz w:val="22"/>
                <w:szCs w:val="22"/>
              </w:rPr>
              <w:t>aims</w:t>
            </w:r>
            <w:r w:rsidRPr="002365B1">
              <w:rPr>
                <w:rFonts w:eastAsia="Arial" w:cs="Arial"/>
                <w:sz w:val="22"/>
                <w:szCs w:val="22"/>
              </w:rPr>
              <w:t xml:space="preserve"> to invest into projects which generate revenues that are decorrelated from main-stream commodity markets.</w:t>
            </w:r>
          </w:p>
          <w:p w14:paraId="78A33FD2" w14:textId="7D6F91A1" w:rsidR="001217E0" w:rsidRPr="00A54B18" w:rsidRDefault="001217E0" w:rsidP="7AC85400">
            <w:pPr>
              <w:pStyle w:val="ListParagraph"/>
              <w:numPr>
                <w:ilvl w:val="0"/>
                <w:numId w:val="8"/>
              </w:numPr>
              <w:spacing w:before="60" w:after="0"/>
              <w:ind w:left="357" w:hanging="357"/>
              <w:rPr>
                <w:rFonts w:eastAsia="Arial" w:cs="Arial"/>
                <w:sz w:val="22"/>
                <w:szCs w:val="22"/>
              </w:rPr>
            </w:pPr>
            <w:r w:rsidRPr="3C5E6617">
              <w:rPr>
                <w:rFonts w:eastAsia="Arial" w:cs="Arial"/>
                <w:sz w:val="22"/>
                <w:szCs w:val="22"/>
              </w:rPr>
              <w:t>Timber is the biggest investment sector for LDN, with four of 1</w:t>
            </w:r>
            <w:r w:rsidR="391F7B95" w:rsidRPr="3C5E6617">
              <w:rPr>
                <w:rFonts w:eastAsia="Arial" w:cs="Arial"/>
                <w:sz w:val="22"/>
                <w:szCs w:val="22"/>
              </w:rPr>
              <w:t>3</w:t>
            </w:r>
            <w:r w:rsidRPr="3C5E6617">
              <w:rPr>
                <w:rFonts w:eastAsia="Arial" w:cs="Arial"/>
                <w:sz w:val="22"/>
                <w:szCs w:val="22"/>
              </w:rPr>
              <w:t xml:space="preserve"> projects in planted forests (</w:t>
            </w:r>
            <w:r w:rsidR="337579CF" w:rsidRPr="3C5E6617">
              <w:rPr>
                <w:rFonts w:eastAsia="Arial" w:cs="Arial"/>
                <w:sz w:val="22"/>
                <w:szCs w:val="22"/>
              </w:rPr>
              <w:t>30</w:t>
            </w:r>
            <w:r w:rsidRPr="3C5E6617">
              <w:rPr>
                <w:rFonts w:eastAsia="Arial" w:cs="Arial"/>
                <w:sz w:val="22"/>
                <w:szCs w:val="22"/>
              </w:rPr>
              <w:t>%). This has come down from four of seven in late 2021, making the portfolio more diverse and resilient.</w:t>
            </w:r>
          </w:p>
        </w:tc>
      </w:tr>
      <w:tr w:rsidR="001217E0" w:rsidRPr="00A54B18" w14:paraId="2DFB170A" w14:textId="77777777" w:rsidTr="101AB9BE">
        <w:trPr>
          <w:trHeight w:val="207"/>
        </w:trPr>
        <w:tc>
          <w:tcPr>
            <w:tcW w:w="2694" w:type="dxa"/>
            <w:tcBorders>
              <w:top w:val="single" w:sz="8" w:space="0" w:color="auto"/>
              <w:left w:val="single" w:sz="8" w:space="0" w:color="auto"/>
              <w:bottom w:val="single" w:sz="8" w:space="0" w:color="auto"/>
              <w:right w:val="single" w:sz="8" w:space="0" w:color="auto"/>
            </w:tcBorders>
          </w:tcPr>
          <w:p w14:paraId="531A1EB2" w14:textId="1AA7CB2D" w:rsidR="001217E0" w:rsidRDefault="001217E0" w:rsidP="00881A95">
            <w:pPr>
              <w:rPr>
                <w:rFonts w:eastAsia="Arial" w:cs="Arial"/>
                <w:sz w:val="22"/>
                <w:szCs w:val="22"/>
              </w:rPr>
            </w:pPr>
            <w:r>
              <w:rPr>
                <w:rFonts w:eastAsia="Arial" w:cs="Arial"/>
                <w:sz w:val="22"/>
                <w:szCs w:val="22"/>
              </w:rPr>
              <w:t>Ri</w:t>
            </w:r>
            <w:r w:rsidRPr="00A54B18">
              <w:rPr>
                <w:rFonts w:eastAsia="Arial" w:cs="Arial"/>
                <w:sz w:val="22"/>
                <w:szCs w:val="22"/>
              </w:rPr>
              <w:t xml:space="preserve">sk of </w:t>
            </w:r>
            <w:r>
              <w:rPr>
                <w:rFonts w:eastAsia="Arial" w:cs="Arial"/>
                <w:sz w:val="22"/>
                <w:szCs w:val="22"/>
              </w:rPr>
              <w:t>project</w:t>
            </w:r>
            <w:r w:rsidRPr="00A54B18">
              <w:rPr>
                <w:rFonts w:eastAsia="Arial" w:cs="Arial"/>
                <w:sz w:val="22"/>
                <w:szCs w:val="22"/>
              </w:rPr>
              <w:t xml:space="preserve">s </w:t>
            </w:r>
            <w:r>
              <w:rPr>
                <w:rFonts w:eastAsia="Arial" w:cs="Arial"/>
                <w:sz w:val="22"/>
                <w:szCs w:val="22"/>
              </w:rPr>
              <w:t xml:space="preserve">failing or </w:t>
            </w:r>
            <w:r w:rsidRPr="00A54B18">
              <w:rPr>
                <w:rFonts w:eastAsia="Arial" w:cs="Arial"/>
                <w:sz w:val="22"/>
                <w:szCs w:val="22"/>
              </w:rPr>
              <w:t>defaulting on loans, particularly in less regulated environments</w:t>
            </w:r>
            <w:r>
              <w:rPr>
                <w:rFonts w:eastAsia="Arial" w:cs="Arial"/>
                <w:sz w:val="22"/>
                <w:szCs w:val="22"/>
              </w:rPr>
              <w:t>.</w:t>
            </w:r>
          </w:p>
          <w:p w14:paraId="2C1867A2" w14:textId="77777777" w:rsidR="001217E0" w:rsidRDefault="001217E0" w:rsidP="00881A95">
            <w:pPr>
              <w:rPr>
                <w:rFonts w:eastAsia="Arial" w:cs="Arial"/>
                <w:sz w:val="22"/>
                <w:szCs w:val="22"/>
              </w:rPr>
            </w:pPr>
          </w:p>
          <w:p w14:paraId="3F4C8AF1" w14:textId="31BB5813" w:rsidR="001217E0" w:rsidRPr="00A54B18" w:rsidRDefault="001217E0" w:rsidP="00881A95">
            <w:pPr>
              <w:rPr>
                <w:rFonts w:eastAsia="Arial" w:cs="Arial"/>
                <w:sz w:val="22"/>
                <w:szCs w:val="22"/>
              </w:rPr>
            </w:pPr>
            <w:r>
              <w:rPr>
                <w:rFonts w:eastAsia="Arial" w:cs="Arial"/>
                <w:sz w:val="22"/>
                <w:szCs w:val="22"/>
              </w:rPr>
              <w:t>LDN’s investment in Mountain Hazelnuts in Bhutan has stalled due to issues with the financial viability of the project.</w:t>
            </w:r>
          </w:p>
        </w:tc>
        <w:tc>
          <w:tcPr>
            <w:tcW w:w="7654" w:type="dxa"/>
            <w:tcBorders>
              <w:top w:val="single" w:sz="8" w:space="0" w:color="auto"/>
              <w:left w:val="single" w:sz="8" w:space="0" w:color="auto"/>
              <w:bottom w:val="single" w:sz="8" w:space="0" w:color="auto"/>
              <w:right w:val="single" w:sz="8" w:space="0" w:color="auto"/>
            </w:tcBorders>
          </w:tcPr>
          <w:p w14:paraId="3E610775" w14:textId="22D236F4" w:rsidR="001217E0" w:rsidRPr="00A54B18" w:rsidRDefault="001217E0" w:rsidP="009854A1">
            <w:pPr>
              <w:pStyle w:val="ListParagraph"/>
              <w:numPr>
                <w:ilvl w:val="0"/>
                <w:numId w:val="8"/>
              </w:numPr>
              <w:spacing w:before="60" w:after="0"/>
              <w:ind w:left="357" w:hanging="357"/>
              <w:contextualSpacing w:val="0"/>
              <w:rPr>
                <w:rFonts w:eastAsia="Arial" w:cs="Arial"/>
                <w:sz w:val="22"/>
                <w:szCs w:val="22"/>
              </w:rPr>
            </w:pPr>
            <w:r w:rsidRPr="00A54B18">
              <w:rPr>
                <w:rFonts w:eastAsia="Arial" w:cs="Arial"/>
                <w:sz w:val="22"/>
                <w:szCs w:val="22"/>
              </w:rPr>
              <w:t xml:space="preserve">Maintaining a diversified portfolio and carrying out thorough and regular due diligence on </w:t>
            </w:r>
            <w:r>
              <w:rPr>
                <w:rFonts w:eastAsia="Arial" w:cs="Arial"/>
                <w:sz w:val="22"/>
                <w:szCs w:val="22"/>
              </w:rPr>
              <w:t>project</w:t>
            </w:r>
            <w:r w:rsidRPr="00A54B18">
              <w:rPr>
                <w:rFonts w:eastAsia="Arial" w:cs="Arial"/>
                <w:sz w:val="22"/>
                <w:szCs w:val="22"/>
              </w:rPr>
              <w:t>s</w:t>
            </w:r>
            <w:r>
              <w:rPr>
                <w:rFonts w:eastAsia="Arial" w:cs="Arial"/>
                <w:sz w:val="22"/>
                <w:szCs w:val="22"/>
              </w:rPr>
              <w:t>. Limiting loan size to any one project.</w:t>
            </w:r>
          </w:p>
          <w:p w14:paraId="2B67F091" w14:textId="4448F8A7" w:rsidR="001217E0" w:rsidRDefault="001217E0" w:rsidP="009854A1">
            <w:pPr>
              <w:pStyle w:val="ListParagraph"/>
              <w:numPr>
                <w:ilvl w:val="0"/>
                <w:numId w:val="8"/>
              </w:numPr>
              <w:spacing w:before="60" w:after="0"/>
              <w:ind w:left="357" w:hanging="357"/>
              <w:contextualSpacing w:val="0"/>
              <w:rPr>
                <w:rFonts w:eastAsia="Arial" w:cs="Arial"/>
                <w:sz w:val="22"/>
                <w:szCs w:val="22"/>
              </w:rPr>
            </w:pPr>
            <w:r>
              <w:rPr>
                <w:rFonts w:eastAsia="Arial" w:cs="Arial"/>
                <w:sz w:val="22"/>
                <w:szCs w:val="22"/>
              </w:rPr>
              <w:t xml:space="preserve">LDN has governance roles in all the projects it invests in through seats (active or observer) on the Boards or other forms of control and </w:t>
            </w:r>
            <w:proofErr w:type="gramStart"/>
            <w:r>
              <w:rPr>
                <w:rFonts w:eastAsia="Arial" w:cs="Arial"/>
                <w:sz w:val="22"/>
                <w:szCs w:val="22"/>
              </w:rPr>
              <w:t>influence, and</w:t>
            </w:r>
            <w:proofErr w:type="gramEnd"/>
            <w:r>
              <w:rPr>
                <w:rFonts w:eastAsia="Arial" w:cs="Arial"/>
                <w:sz w:val="22"/>
                <w:szCs w:val="22"/>
              </w:rPr>
              <w:t xml:space="preserve"> is able to stay up to date and guide decision making.</w:t>
            </w:r>
          </w:p>
          <w:p w14:paraId="7723A843" w14:textId="209CA675" w:rsidR="001217E0" w:rsidRPr="00A54B18" w:rsidRDefault="001217E0" w:rsidP="009854A1">
            <w:pPr>
              <w:pStyle w:val="ListParagraph"/>
              <w:numPr>
                <w:ilvl w:val="0"/>
                <w:numId w:val="8"/>
              </w:numPr>
              <w:spacing w:before="60" w:after="0"/>
              <w:ind w:left="357" w:hanging="357"/>
              <w:contextualSpacing w:val="0"/>
              <w:rPr>
                <w:rFonts w:eastAsia="Arial" w:cs="Arial"/>
                <w:sz w:val="22"/>
                <w:szCs w:val="22"/>
              </w:rPr>
            </w:pPr>
            <w:r>
              <w:rPr>
                <w:rFonts w:eastAsia="Arial" w:cs="Arial"/>
                <w:sz w:val="22"/>
                <w:szCs w:val="22"/>
              </w:rPr>
              <w:t>The Fund makes an overall commitment, but only releases capital gradually, subject to successful implementation of the project, allowing them to reduce risk following commitment as well as during due diligence before.</w:t>
            </w:r>
          </w:p>
        </w:tc>
      </w:tr>
    </w:tbl>
    <w:p w14:paraId="0608CB0A" w14:textId="77777777" w:rsidR="004E481D" w:rsidRPr="00742C51" w:rsidRDefault="004E481D" w:rsidP="000F5F51">
      <w:pPr>
        <w:tabs>
          <w:tab w:val="left" w:pos="720"/>
        </w:tabs>
        <w:rPr>
          <w:rFonts w:eastAsia="Arial" w:cs="Arial"/>
          <w:sz w:val="22"/>
          <w:szCs w:val="22"/>
        </w:rPr>
      </w:pPr>
    </w:p>
    <w:p w14:paraId="6B869076" w14:textId="77777777" w:rsidR="000F5F51" w:rsidRPr="002055D4" w:rsidRDefault="000F5F51" w:rsidP="000F5F51">
      <w:pPr>
        <w:rPr>
          <w:rFonts w:cs="Arial"/>
          <w:color w:val="FF0000"/>
          <w:sz w:val="20"/>
          <w:szCs w:val="20"/>
        </w:rPr>
      </w:pPr>
    </w:p>
    <w:p w14:paraId="06CCC421" w14:textId="77777777" w:rsidR="00476976" w:rsidRDefault="00476976" w:rsidP="000F5F51">
      <w:pPr>
        <w:pBdr>
          <w:top w:val="single" w:sz="4" w:space="1" w:color="auto"/>
          <w:left w:val="single" w:sz="4" w:space="4" w:color="auto"/>
          <w:bottom w:val="single" w:sz="4" w:space="1" w:color="auto"/>
          <w:right w:val="single" w:sz="4" w:space="4" w:color="auto"/>
        </w:pBdr>
        <w:shd w:val="clear" w:color="auto" w:fill="D9E2F3" w:themeFill="accent1" w:themeFillTint="33"/>
        <w:rPr>
          <w:rFonts w:cs="Arial"/>
          <w:b/>
          <w:bCs/>
          <w:sz w:val="28"/>
          <w:szCs w:val="28"/>
        </w:rPr>
        <w:sectPr w:rsidR="00476976" w:rsidSect="00C87438">
          <w:headerReference w:type="default" r:id="rId19"/>
          <w:footerReference w:type="default" r:id="rId20"/>
          <w:type w:val="continuous"/>
          <w:pgSz w:w="11906" w:h="16838"/>
          <w:pgMar w:top="709" w:right="1440" w:bottom="709" w:left="1440" w:header="708" w:footer="708" w:gutter="0"/>
          <w:cols w:space="708"/>
          <w:docGrid w:linePitch="360"/>
        </w:sectPr>
      </w:pPr>
    </w:p>
    <w:p w14:paraId="2460EB97" w14:textId="77777777" w:rsidR="000F5F51" w:rsidRPr="002055D4" w:rsidRDefault="000F5F51" w:rsidP="000F5F51">
      <w:pPr>
        <w:pBdr>
          <w:top w:val="single" w:sz="4" w:space="1" w:color="auto"/>
          <w:left w:val="single" w:sz="4" w:space="4" w:color="auto"/>
          <w:bottom w:val="single" w:sz="4" w:space="1" w:color="auto"/>
          <w:right w:val="single" w:sz="4" w:space="4" w:color="auto"/>
        </w:pBdr>
        <w:shd w:val="clear" w:color="auto" w:fill="D9E2F3" w:themeFill="accent1" w:themeFillTint="33"/>
        <w:rPr>
          <w:rFonts w:cs="Arial"/>
          <w:sz w:val="20"/>
          <w:szCs w:val="20"/>
        </w:rPr>
      </w:pPr>
      <w:r>
        <w:rPr>
          <w:rFonts w:cs="Arial"/>
          <w:b/>
          <w:bCs/>
          <w:sz w:val="28"/>
          <w:szCs w:val="28"/>
        </w:rPr>
        <w:lastRenderedPageBreak/>
        <w:t>E</w:t>
      </w:r>
      <w:r w:rsidRPr="00742C51">
        <w:rPr>
          <w:b/>
          <w:bCs/>
          <w:sz w:val="28"/>
          <w:szCs w:val="28"/>
        </w:rPr>
        <w:t>: PROGRAMME MANAGEMENT: DELIVERY, COMMERCIAL &amp; FINANCIAL PERFORMANCE</w:t>
      </w:r>
    </w:p>
    <w:p w14:paraId="7D57E15F" w14:textId="77777777" w:rsidR="00AE70E5" w:rsidRDefault="00AE70E5" w:rsidP="000F5F51">
      <w:pPr>
        <w:pStyle w:val="Normal1"/>
        <w:spacing w:after="120"/>
        <w:rPr>
          <w:rFonts w:eastAsia="Calibri"/>
          <w:b/>
          <w:bCs/>
          <w:sz w:val="22"/>
          <w:szCs w:val="22"/>
          <w:u w:val="single"/>
        </w:rPr>
      </w:pPr>
      <w:bookmarkStart w:id="0" w:name="_Hlk117002439"/>
    </w:p>
    <w:p w14:paraId="79DB50D5" w14:textId="77777777" w:rsidR="00476976" w:rsidRDefault="00476976" w:rsidP="00476976">
      <w:pPr>
        <w:rPr>
          <w:rFonts w:cs="Arial"/>
          <w:b/>
          <w:bCs/>
          <w:sz w:val="22"/>
          <w:szCs w:val="22"/>
        </w:rPr>
      </w:pPr>
      <w:r w:rsidRPr="69AE3331">
        <w:rPr>
          <w:rFonts w:cs="Arial"/>
          <w:b/>
          <w:bCs/>
          <w:sz w:val="22"/>
          <w:szCs w:val="22"/>
        </w:rPr>
        <w:t xml:space="preserve">E2. Assess the </w:t>
      </w:r>
      <w:proofErr w:type="spellStart"/>
      <w:r w:rsidRPr="69AE3331">
        <w:rPr>
          <w:rFonts w:cs="Arial"/>
          <w:b/>
          <w:bCs/>
          <w:sz w:val="22"/>
          <w:szCs w:val="22"/>
        </w:rPr>
        <w:t>VfM</w:t>
      </w:r>
      <w:proofErr w:type="spellEnd"/>
      <w:r w:rsidRPr="69AE3331">
        <w:rPr>
          <w:rFonts w:cs="Arial"/>
          <w:b/>
          <w:bCs/>
          <w:sz w:val="22"/>
          <w:szCs w:val="22"/>
        </w:rPr>
        <w:t xml:space="preserve"> of this output compared to the proposition in the Business Case, based on performance over the past year</w:t>
      </w:r>
    </w:p>
    <w:p w14:paraId="4E1520B0" w14:textId="77777777" w:rsidR="00795431" w:rsidRDefault="00795431" w:rsidP="00795431">
      <w:pPr>
        <w:spacing w:after="160" w:line="259" w:lineRule="auto"/>
        <w:rPr>
          <w:rFonts w:eastAsia="Arial" w:cs="Arial"/>
          <w:color w:val="000000" w:themeColor="text1"/>
          <w:sz w:val="20"/>
          <w:szCs w:val="20"/>
        </w:rPr>
      </w:pPr>
    </w:p>
    <w:p w14:paraId="1791AC1D" w14:textId="12FF53CA" w:rsidR="00795431" w:rsidRPr="00A657D5" w:rsidRDefault="00795431" w:rsidP="00795431">
      <w:pPr>
        <w:spacing w:after="160" w:line="259" w:lineRule="auto"/>
        <w:rPr>
          <w:rFonts w:eastAsia="Arial" w:cs="Arial"/>
          <w:color w:val="000000" w:themeColor="text1"/>
          <w:sz w:val="22"/>
          <w:szCs w:val="22"/>
        </w:rPr>
      </w:pPr>
      <w:r w:rsidRPr="00A657D5">
        <w:rPr>
          <w:rFonts w:eastAsia="Arial" w:cs="Arial"/>
          <w:color w:val="000000" w:themeColor="text1"/>
          <w:sz w:val="22"/>
          <w:szCs w:val="22"/>
        </w:rPr>
        <w:t xml:space="preserve">A </w:t>
      </w:r>
      <w:proofErr w:type="spellStart"/>
      <w:r w:rsidRPr="00A657D5">
        <w:rPr>
          <w:rFonts w:eastAsia="Arial" w:cs="Arial"/>
          <w:color w:val="000000" w:themeColor="text1"/>
          <w:sz w:val="22"/>
          <w:szCs w:val="22"/>
        </w:rPr>
        <w:t>VfM</w:t>
      </w:r>
      <w:proofErr w:type="spellEnd"/>
      <w:r w:rsidRPr="00A657D5">
        <w:rPr>
          <w:rFonts w:eastAsia="Arial" w:cs="Arial"/>
          <w:color w:val="000000" w:themeColor="text1"/>
          <w:sz w:val="22"/>
          <w:szCs w:val="22"/>
        </w:rPr>
        <w:t xml:space="preserve"> assessment identifies whether the costs of the programme are proportional to the benefits achieved in terms of reaching the programme’s desired outcomes and objectives derived from the business case. The assessment uses the FCDO’s recommended structure which consists of the 5Es approach. These are economy, efficiency, effectiveness, equity and cost-effectiveness and are described below.</w:t>
      </w:r>
    </w:p>
    <w:p w14:paraId="4A848E01" w14:textId="77777777" w:rsidR="00795431" w:rsidRPr="00A657D5" w:rsidRDefault="00795431" w:rsidP="00795431">
      <w:pPr>
        <w:pStyle w:val="ListParagraph"/>
        <w:spacing w:after="160" w:line="259" w:lineRule="auto"/>
        <w:rPr>
          <w:rFonts w:eastAsia="Arial" w:cs="Arial"/>
          <w:color w:val="000000" w:themeColor="text1"/>
          <w:sz w:val="22"/>
          <w:szCs w:val="22"/>
        </w:rPr>
      </w:pPr>
      <w:r w:rsidRPr="00A657D5">
        <w:rPr>
          <w:rFonts w:eastAsia="Arial" w:cs="Arial"/>
          <w:b/>
          <w:bCs/>
          <w:i/>
          <w:iCs/>
          <w:color w:val="000000" w:themeColor="text1"/>
          <w:sz w:val="22"/>
          <w:szCs w:val="22"/>
        </w:rPr>
        <w:t xml:space="preserve">Economy - </w:t>
      </w:r>
      <w:r w:rsidRPr="00A657D5">
        <w:rPr>
          <w:rFonts w:eastAsia="Arial" w:cs="Arial"/>
          <w:color w:val="000000" w:themeColor="text1"/>
          <w:sz w:val="22"/>
          <w:szCs w:val="22"/>
        </w:rPr>
        <w:t>Are we (or our agents) buying inputs of the appropriate quality at the right price?</w:t>
      </w:r>
    </w:p>
    <w:p w14:paraId="5A48A26A" w14:textId="77777777" w:rsidR="00795431" w:rsidRPr="00A657D5" w:rsidRDefault="00795431" w:rsidP="00795431">
      <w:pPr>
        <w:pStyle w:val="ListParagraph"/>
        <w:spacing w:after="160" w:line="259" w:lineRule="auto"/>
        <w:rPr>
          <w:rFonts w:eastAsia="Arial" w:cs="Arial"/>
          <w:color w:val="000000" w:themeColor="text1"/>
          <w:sz w:val="22"/>
          <w:szCs w:val="22"/>
        </w:rPr>
      </w:pPr>
      <w:r w:rsidRPr="00A657D5">
        <w:rPr>
          <w:rFonts w:eastAsia="Arial" w:cs="Arial"/>
          <w:b/>
          <w:bCs/>
          <w:i/>
          <w:iCs/>
          <w:color w:val="000000" w:themeColor="text1"/>
          <w:sz w:val="22"/>
          <w:szCs w:val="22"/>
        </w:rPr>
        <w:t>Efficiency -</w:t>
      </w:r>
      <w:r w:rsidRPr="00A657D5">
        <w:rPr>
          <w:rFonts w:eastAsia="Arial" w:cs="Arial"/>
          <w:color w:val="000000" w:themeColor="text1"/>
          <w:sz w:val="22"/>
          <w:szCs w:val="22"/>
        </w:rPr>
        <w:t xml:space="preserve"> How well are we (or our agents) converting inputs into outputs? (‘Spending well’) </w:t>
      </w:r>
    </w:p>
    <w:p w14:paraId="2F8BA57C" w14:textId="77777777" w:rsidR="00795431" w:rsidRPr="00A657D5" w:rsidRDefault="00795431" w:rsidP="00795431">
      <w:pPr>
        <w:pStyle w:val="ListParagraph"/>
        <w:spacing w:after="160" w:line="259" w:lineRule="auto"/>
        <w:rPr>
          <w:rFonts w:eastAsia="Arial" w:cs="Arial"/>
          <w:color w:val="000000" w:themeColor="text1"/>
          <w:sz w:val="22"/>
          <w:szCs w:val="22"/>
        </w:rPr>
      </w:pPr>
      <w:r w:rsidRPr="00A657D5">
        <w:rPr>
          <w:rFonts w:eastAsia="Arial" w:cs="Arial"/>
          <w:b/>
          <w:bCs/>
          <w:i/>
          <w:iCs/>
          <w:color w:val="000000" w:themeColor="text1"/>
          <w:sz w:val="22"/>
          <w:szCs w:val="22"/>
        </w:rPr>
        <w:t>Effectiveness -</w:t>
      </w:r>
      <w:r w:rsidRPr="00A657D5">
        <w:rPr>
          <w:rFonts w:eastAsia="Arial" w:cs="Arial"/>
          <w:color w:val="000000" w:themeColor="text1"/>
          <w:sz w:val="22"/>
          <w:szCs w:val="22"/>
        </w:rPr>
        <w:t xml:space="preserve"> How well are the outputs produced by an intervention having the intended effect? (‘Spending wisely’) </w:t>
      </w:r>
    </w:p>
    <w:p w14:paraId="1B584BE2" w14:textId="77777777" w:rsidR="00795431" w:rsidRPr="00A657D5" w:rsidRDefault="00795431" w:rsidP="00795431">
      <w:pPr>
        <w:pStyle w:val="ListParagraph"/>
        <w:spacing w:after="160" w:line="259" w:lineRule="auto"/>
        <w:rPr>
          <w:rFonts w:eastAsia="Arial" w:cs="Arial"/>
          <w:color w:val="000000" w:themeColor="text1"/>
          <w:sz w:val="22"/>
          <w:szCs w:val="22"/>
        </w:rPr>
      </w:pPr>
      <w:r w:rsidRPr="00A657D5">
        <w:rPr>
          <w:rFonts w:eastAsia="Arial" w:cs="Arial"/>
          <w:b/>
          <w:bCs/>
          <w:i/>
          <w:iCs/>
          <w:color w:val="000000" w:themeColor="text1"/>
          <w:sz w:val="22"/>
          <w:szCs w:val="22"/>
        </w:rPr>
        <w:t>Equity -</w:t>
      </w:r>
      <w:r w:rsidRPr="00A657D5">
        <w:rPr>
          <w:rFonts w:eastAsia="Arial" w:cs="Arial"/>
          <w:color w:val="000000" w:themeColor="text1"/>
          <w:sz w:val="22"/>
          <w:szCs w:val="22"/>
        </w:rPr>
        <w:t xml:space="preserve"> How fairly are the benefits distributed? To what extent will we reach marginalised groups? (“spending fairly”) </w:t>
      </w:r>
    </w:p>
    <w:p w14:paraId="2563DBAB" w14:textId="77777777" w:rsidR="00795431" w:rsidRDefault="00795431" w:rsidP="00795431">
      <w:pPr>
        <w:pStyle w:val="ListParagraph"/>
        <w:spacing w:after="160" w:line="259" w:lineRule="auto"/>
        <w:rPr>
          <w:rFonts w:eastAsia="Arial" w:cs="Arial"/>
          <w:color w:val="000000" w:themeColor="text1"/>
          <w:sz w:val="22"/>
          <w:szCs w:val="22"/>
        </w:rPr>
      </w:pPr>
      <w:r w:rsidRPr="00A657D5">
        <w:rPr>
          <w:rFonts w:eastAsia="Arial" w:cs="Arial"/>
          <w:b/>
          <w:bCs/>
          <w:i/>
          <w:iCs/>
          <w:color w:val="000000" w:themeColor="text1"/>
          <w:sz w:val="22"/>
          <w:szCs w:val="22"/>
        </w:rPr>
        <w:t>Cost-effectiveness -</w:t>
      </w:r>
      <w:r w:rsidRPr="00A657D5">
        <w:rPr>
          <w:rFonts w:eastAsia="Arial" w:cs="Arial"/>
          <w:color w:val="000000" w:themeColor="text1"/>
          <w:sz w:val="22"/>
          <w:szCs w:val="22"/>
        </w:rPr>
        <w:t xml:space="preserve"> What is the intervention’s ultimate impact on the long-term transformational change, relative to the inputs that our agents or we invest in it?</w:t>
      </w:r>
    </w:p>
    <w:p w14:paraId="58907463" w14:textId="5D831E1F" w:rsidR="00B230D1" w:rsidRDefault="00B230D1" w:rsidP="00E41A4C">
      <w:pPr>
        <w:rPr>
          <w:sz w:val="22"/>
          <w:szCs w:val="22"/>
        </w:rPr>
      </w:pPr>
      <w:r>
        <w:rPr>
          <w:sz w:val="22"/>
          <w:szCs w:val="22"/>
        </w:rPr>
        <w:t>As a source of finance for adaptation and mitigation in more vulnerable countries, this programme is aligned with the Paris Agreement to pursue efforts to limit warming to 1.5</w:t>
      </w:r>
      <w:r w:rsidRPr="00F749A8">
        <w:rPr>
          <w:sz w:val="22"/>
          <w:szCs w:val="22"/>
          <w:shd w:val="clear" w:color="auto" w:fill="F5F7F6"/>
        </w:rPr>
        <w:t>°C</w:t>
      </w:r>
      <w:r w:rsidRPr="00F749A8">
        <w:rPr>
          <w:sz w:val="22"/>
          <w:szCs w:val="22"/>
        </w:rPr>
        <w:t xml:space="preserve"> </w:t>
      </w:r>
      <w:r>
        <w:rPr>
          <w:sz w:val="22"/>
          <w:szCs w:val="22"/>
        </w:rPr>
        <w:t>by the end of this century.</w:t>
      </w:r>
    </w:p>
    <w:p w14:paraId="4D0F42D1" w14:textId="77777777" w:rsidR="00B230D1" w:rsidRDefault="00B230D1" w:rsidP="00E41A4C">
      <w:pPr>
        <w:rPr>
          <w:sz w:val="22"/>
          <w:szCs w:val="22"/>
        </w:rPr>
      </w:pPr>
    </w:p>
    <w:p w14:paraId="7C7647A6" w14:textId="38CDDFCB" w:rsidR="00E41A4C" w:rsidRDefault="00E41A4C" w:rsidP="00E41A4C">
      <w:r w:rsidRPr="428F1934">
        <w:rPr>
          <w:rFonts w:eastAsia="Arial" w:cs="Arial"/>
          <w:b/>
          <w:bCs/>
          <w:color w:val="000000" w:themeColor="text1"/>
          <w:sz w:val="22"/>
          <w:szCs w:val="22"/>
        </w:rPr>
        <w:t>Economy</w:t>
      </w:r>
    </w:p>
    <w:p w14:paraId="60A7ACB4" w14:textId="77777777" w:rsidR="00E41A4C" w:rsidRDefault="00E41A4C" w:rsidP="00E41A4C">
      <w:pPr>
        <w:jc w:val="both"/>
      </w:pPr>
      <w:r w:rsidRPr="428F1934">
        <w:rPr>
          <w:rFonts w:eastAsia="Arial" w:cs="Arial"/>
          <w:b/>
          <w:bCs/>
          <w:sz w:val="22"/>
          <w:szCs w:val="22"/>
        </w:rPr>
        <w:t xml:space="preserve"> </w:t>
      </w:r>
    </w:p>
    <w:p w14:paraId="1B9969E8" w14:textId="77777777" w:rsidR="00E41A4C" w:rsidRDefault="00E41A4C" w:rsidP="00E41A4C">
      <w:pPr>
        <w:jc w:val="both"/>
      </w:pPr>
      <w:r w:rsidRPr="1B3B62D8">
        <w:rPr>
          <w:rFonts w:eastAsia="Arial" w:cs="Arial"/>
          <w:sz w:val="22"/>
          <w:szCs w:val="22"/>
        </w:rPr>
        <w:t>As defined in the Theory of Change, the inputs into the fund consist of:</w:t>
      </w:r>
    </w:p>
    <w:p w14:paraId="6780AE10" w14:textId="77777777" w:rsidR="00E41A4C" w:rsidRDefault="00E41A4C" w:rsidP="00E41A4C">
      <w:pPr>
        <w:pStyle w:val="ListParagraph"/>
        <w:numPr>
          <w:ilvl w:val="0"/>
          <w:numId w:val="26"/>
        </w:numPr>
        <w:spacing w:after="0"/>
        <w:jc w:val="both"/>
        <w:rPr>
          <w:rFonts w:eastAsia="Arial" w:cs="Arial"/>
          <w:sz w:val="22"/>
          <w:szCs w:val="22"/>
        </w:rPr>
      </w:pPr>
      <w:r w:rsidRPr="428F1934">
        <w:rPr>
          <w:rFonts w:eastAsia="Arial" w:cs="Arial"/>
          <w:sz w:val="22"/>
          <w:szCs w:val="22"/>
        </w:rPr>
        <w:t>Public finance to catalyse the fund’s operational size by mobilising private investors.</w:t>
      </w:r>
    </w:p>
    <w:p w14:paraId="4EA29246" w14:textId="77777777" w:rsidR="00E41A4C" w:rsidRDefault="00E41A4C" w:rsidP="00E41A4C">
      <w:pPr>
        <w:pStyle w:val="ListParagraph"/>
        <w:numPr>
          <w:ilvl w:val="0"/>
          <w:numId w:val="26"/>
        </w:numPr>
        <w:spacing w:after="0"/>
        <w:jc w:val="both"/>
        <w:rPr>
          <w:rFonts w:eastAsia="Arial" w:cs="Arial"/>
          <w:sz w:val="22"/>
          <w:szCs w:val="22"/>
        </w:rPr>
      </w:pPr>
      <w:r w:rsidRPr="428F1934">
        <w:rPr>
          <w:rFonts w:eastAsia="Arial" w:cs="Arial"/>
          <w:sz w:val="22"/>
          <w:szCs w:val="22"/>
        </w:rPr>
        <w:t>Complementary grant finance for TA to support SLM business models.</w:t>
      </w:r>
    </w:p>
    <w:p w14:paraId="4DD267F0" w14:textId="77777777" w:rsidR="00E41A4C" w:rsidRDefault="00E41A4C" w:rsidP="00E41A4C">
      <w:pPr>
        <w:pStyle w:val="ListParagraph"/>
        <w:numPr>
          <w:ilvl w:val="0"/>
          <w:numId w:val="26"/>
        </w:numPr>
        <w:spacing w:after="0"/>
        <w:jc w:val="both"/>
        <w:rPr>
          <w:rFonts w:eastAsia="Arial" w:cs="Arial"/>
          <w:sz w:val="22"/>
          <w:szCs w:val="22"/>
        </w:rPr>
      </w:pPr>
      <w:r w:rsidRPr="428F1934">
        <w:rPr>
          <w:rFonts w:eastAsia="Arial" w:cs="Arial"/>
          <w:sz w:val="22"/>
          <w:szCs w:val="22"/>
        </w:rPr>
        <w:t>Learning and knowledge sharing activities.</w:t>
      </w:r>
    </w:p>
    <w:p w14:paraId="1BEA3A3B" w14:textId="77777777" w:rsidR="00E41A4C" w:rsidRDefault="00E41A4C" w:rsidP="00E41A4C">
      <w:pPr>
        <w:jc w:val="both"/>
      </w:pPr>
      <w:r w:rsidRPr="428F1934">
        <w:rPr>
          <w:rFonts w:eastAsia="Arial" w:cs="Arial"/>
          <w:sz w:val="22"/>
          <w:szCs w:val="22"/>
        </w:rPr>
        <w:t xml:space="preserve"> </w:t>
      </w:r>
    </w:p>
    <w:p w14:paraId="03C8AD53" w14:textId="4F8D9517" w:rsidR="00E41A4C" w:rsidRDefault="00E41A4C" w:rsidP="00E41A4C">
      <w:pPr>
        <w:jc w:val="both"/>
        <w:rPr>
          <w:rFonts w:eastAsia="Arial" w:cs="Arial"/>
          <w:sz w:val="22"/>
          <w:szCs w:val="22"/>
        </w:rPr>
      </w:pPr>
      <w:r w:rsidRPr="428F1934">
        <w:rPr>
          <w:rFonts w:eastAsia="Arial" w:cs="Arial"/>
          <w:sz w:val="22"/>
          <w:szCs w:val="22"/>
        </w:rPr>
        <w:t xml:space="preserve">Whilst costs for each of the inputs cannot be individually calculated, the overall size of Defra’s investment has been £10m. The inputs which DEFRA invest in have been designed so that they can have the maximum effect on the long-term outcomes to increase investment of SLM and sustainable supply chains, reduce GHG emissions, improve biodiversity and environmental conditions, and improve livelihoods of local communities. </w:t>
      </w:r>
    </w:p>
    <w:p w14:paraId="01BCA3EE" w14:textId="77777777" w:rsidR="00D229EE" w:rsidRDefault="00D229EE" w:rsidP="00E41A4C">
      <w:pPr>
        <w:jc w:val="both"/>
        <w:rPr>
          <w:rFonts w:eastAsia="Arial" w:cs="Arial"/>
          <w:sz w:val="22"/>
          <w:szCs w:val="22"/>
        </w:rPr>
      </w:pPr>
    </w:p>
    <w:p w14:paraId="502D0A83" w14:textId="69E2D21A" w:rsidR="004E428C" w:rsidRDefault="00CA609E" w:rsidP="00E41A4C">
      <w:pPr>
        <w:jc w:val="both"/>
        <w:rPr>
          <w:rFonts w:eastAsia="Arial" w:cs="Arial"/>
          <w:sz w:val="22"/>
          <w:szCs w:val="22"/>
        </w:rPr>
      </w:pPr>
      <w:r>
        <w:rPr>
          <w:rFonts w:eastAsia="Arial" w:cs="Arial"/>
          <w:sz w:val="22"/>
          <w:szCs w:val="22"/>
        </w:rPr>
        <w:t>The LDNF</w:t>
      </w:r>
      <w:r w:rsidR="00D229EE" w:rsidRPr="00D229EE">
        <w:rPr>
          <w:rFonts w:eastAsia="Arial" w:cs="Arial"/>
          <w:sz w:val="22"/>
          <w:szCs w:val="22"/>
        </w:rPr>
        <w:t xml:space="preserve"> </w:t>
      </w:r>
      <w:r w:rsidR="008A0297">
        <w:rPr>
          <w:rFonts w:eastAsia="Arial" w:cs="Arial"/>
          <w:sz w:val="22"/>
          <w:szCs w:val="22"/>
        </w:rPr>
        <w:t xml:space="preserve">was designed by the UN Global Mechanism </w:t>
      </w:r>
      <w:r w:rsidR="001A7A99">
        <w:rPr>
          <w:rFonts w:eastAsia="Arial" w:cs="Arial"/>
          <w:sz w:val="22"/>
          <w:szCs w:val="22"/>
        </w:rPr>
        <w:t xml:space="preserve">with the delivery partner </w:t>
      </w:r>
      <w:proofErr w:type="spellStart"/>
      <w:r w:rsidR="001A7A99">
        <w:rPr>
          <w:rFonts w:eastAsia="Arial" w:cs="Arial"/>
          <w:sz w:val="22"/>
          <w:szCs w:val="22"/>
        </w:rPr>
        <w:t>Mirova</w:t>
      </w:r>
      <w:proofErr w:type="spellEnd"/>
      <w:r w:rsidR="001A7A99">
        <w:rPr>
          <w:rFonts w:eastAsia="Arial" w:cs="Arial"/>
          <w:sz w:val="22"/>
          <w:szCs w:val="22"/>
        </w:rPr>
        <w:t xml:space="preserve"> selected competitively to </w:t>
      </w:r>
      <w:r w:rsidR="00FF4181">
        <w:rPr>
          <w:rFonts w:eastAsia="Arial" w:cs="Arial"/>
          <w:sz w:val="22"/>
          <w:szCs w:val="22"/>
        </w:rPr>
        <w:t>manage</w:t>
      </w:r>
      <w:r w:rsidR="001A7A99">
        <w:rPr>
          <w:rFonts w:eastAsia="Arial" w:cs="Arial"/>
          <w:sz w:val="22"/>
          <w:szCs w:val="22"/>
        </w:rPr>
        <w:t xml:space="preserve"> the fund.</w:t>
      </w:r>
      <w:r w:rsidR="00FF4181">
        <w:rPr>
          <w:rFonts w:eastAsia="Arial" w:cs="Arial"/>
          <w:sz w:val="22"/>
          <w:szCs w:val="22"/>
        </w:rPr>
        <w:t xml:space="preserve"> </w:t>
      </w:r>
      <w:proofErr w:type="spellStart"/>
      <w:r w:rsidR="00FF4181">
        <w:rPr>
          <w:rFonts w:eastAsia="Arial" w:cs="Arial"/>
          <w:sz w:val="22"/>
          <w:szCs w:val="22"/>
        </w:rPr>
        <w:t>Mirova</w:t>
      </w:r>
      <w:proofErr w:type="spellEnd"/>
      <w:r w:rsidR="00FF4181">
        <w:rPr>
          <w:rFonts w:eastAsia="Arial" w:cs="Arial"/>
          <w:sz w:val="22"/>
          <w:szCs w:val="22"/>
        </w:rPr>
        <w:t xml:space="preserve"> are</w:t>
      </w:r>
      <w:r w:rsidR="00E5299D">
        <w:rPr>
          <w:rFonts w:eastAsia="Arial" w:cs="Arial"/>
          <w:sz w:val="22"/>
          <w:szCs w:val="22"/>
        </w:rPr>
        <w:t xml:space="preserve"> B-Corp </w:t>
      </w:r>
      <w:r w:rsidR="00C417CC">
        <w:rPr>
          <w:rFonts w:eastAsia="Arial" w:cs="Arial"/>
          <w:sz w:val="22"/>
          <w:szCs w:val="22"/>
        </w:rPr>
        <w:t>certified</w:t>
      </w:r>
      <w:r w:rsidR="00E5299D">
        <w:rPr>
          <w:rFonts w:eastAsia="Arial" w:cs="Arial"/>
          <w:sz w:val="22"/>
          <w:szCs w:val="22"/>
        </w:rPr>
        <w:t>,</w:t>
      </w:r>
      <w:r w:rsidR="00966E85">
        <w:rPr>
          <w:rFonts w:eastAsia="Arial" w:cs="Arial"/>
          <w:sz w:val="22"/>
          <w:szCs w:val="22"/>
        </w:rPr>
        <w:t xml:space="preserve"> meaning they meet high standards of social and environmental performance, transparency and accountability. </w:t>
      </w:r>
      <w:r w:rsidR="00D229EE" w:rsidRPr="00D229EE">
        <w:rPr>
          <w:rFonts w:eastAsia="Arial" w:cs="Arial"/>
          <w:sz w:val="22"/>
          <w:szCs w:val="22"/>
        </w:rPr>
        <w:t xml:space="preserve">The uptake of </w:t>
      </w:r>
      <w:r w:rsidR="00505CDA">
        <w:rPr>
          <w:rFonts w:eastAsia="Arial" w:cs="Arial"/>
          <w:sz w:val="22"/>
          <w:szCs w:val="22"/>
        </w:rPr>
        <w:t xml:space="preserve">investment and consequent projects </w:t>
      </w:r>
      <w:r w:rsidR="00D229EE" w:rsidRPr="00D229EE">
        <w:rPr>
          <w:rFonts w:eastAsia="Arial" w:cs="Arial"/>
          <w:sz w:val="22"/>
          <w:szCs w:val="22"/>
        </w:rPr>
        <w:t xml:space="preserve">generated using Defra’s funding </w:t>
      </w:r>
      <w:r w:rsidR="006B2F6C">
        <w:rPr>
          <w:rFonts w:eastAsia="Arial" w:cs="Arial"/>
          <w:sz w:val="22"/>
          <w:szCs w:val="22"/>
        </w:rPr>
        <w:t>through th</w:t>
      </w:r>
      <w:r w:rsidR="004E428C">
        <w:rPr>
          <w:rFonts w:eastAsia="Arial" w:cs="Arial"/>
          <w:sz w:val="22"/>
          <w:szCs w:val="22"/>
        </w:rPr>
        <w:t>is multilateral fund</w:t>
      </w:r>
      <w:r w:rsidR="00DF12A8">
        <w:rPr>
          <w:rFonts w:eastAsia="Arial" w:cs="Arial"/>
          <w:sz w:val="22"/>
          <w:szCs w:val="22"/>
        </w:rPr>
        <w:t xml:space="preserve">, </w:t>
      </w:r>
      <w:r w:rsidR="00D229EE" w:rsidRPr="00D229EE">
        <w:rPr>
          <w:rFonts w:eastAsia="Arial" w:cs="Arial"/>
          <w:sz w:val="22"/>
          <w:szCs w:val="22"/>
        </w:rPr>
        <w:t>compared to if Defra were to lead bilateral projects working directly with a few countries is likely higher and achieved at lower cost.</w:t>
      </w:r>
      <w:r w:rsidR="004E428C">
        <w:rPr>
          <w:rFonts w:eastAsia="Arial" w:cs="Arial"/>
          <w:sz w:val="22"/>
          <w:szCs w:val="22"/>
        </w:rPr>
        <w:t xml:space="preserve"> </w:t>
      </w:r>
      <w:r w:rsidR="00355E39">
        <w:rPr>
          <w:rFonts w:eastAsia="Arial" w:cs="Arial"/>
          <w:sz w:val="22"/>
          <w:szCs w:val="22"/>
        </w:rPr>
        <w:t xml:space="preserve">While Defra’s investment has been limited to £10m, </w:t>
      </w:r>
      <w:r w:rsidR="00AE3F57">
        <w:rPr>
          <w:rFonts w:eastAsia="Arial" w:cs="Arial"/>
          <w:sz w:val="22"/>
          <w:szCs w:val="22"/>
        </w:rPr>
        <w:t xml:space="preserve">this has helped catalyse significant wider investment </w:t>
      </w:r>
      <w:r w:rsidR="00E32423">
        <w:rPr>
          <w:rFonts w:eastAsia="Arial" w:cs="Arial"/>
          <w:sz w:val="22"/>
          <w:szCs w:val="22"/>
        </w:rPr>
        <w:t>(Outcomes 3 &amp; 4, Section B</w:t>
      </w:r>
      <w:r w:rsidR="00086771">
        <w:rPr>
          <w:rFonts w:eastAsia="Arial" w:cs="Arial"/>
          <w:sz w:val="22"/>
          <w:szCs w:val="22"/>
        </w:rPr>
        <w:t xml:space="preserve">), </w:t>
      </w:r>
      <w:r w:rsidR="00AE3F57">
        <w:rPr>
          <w:rFonts w:eastAsia="Arial" w:cs="Arial"/>
          <w:sz w:val="22"/>
          <w:szCs w:val="22"/>
        </w:rPr>
        <w:t xml:space="preserve">which substantially scale up the potential for larger scale outcomes and impacts that drive transformational change, at no additional cost to Defra. </w:t>
      </w:r>
    </w:p>
    <w:p w14:paraId="6102496C" w14:textId="77777777" w:rsidR="00DD57A6" w:rsidRDefault="00DD57A6" w:rsidP="00E41A4C">
      <w:pPr>
        <w:jc w:val="both"/>
        <w:rPr>
          <w:rFonts w:eastAsia="Arial" w:cs="Arial"/>
          <w:sz w:val="22"/>
          <w:szCs w:val="22"/>
        </w:rPr>
      </w:pPr>
    </w:p>
    <w:p w14:paraId="1956ECE7" w14:textId="54EB09F4" w:rsidR="00DD57A6" w:rsidRPr="00D229EE" w:rsidRDefault="00DD57A6" w:rsidP="00E41A4C">
      <w:pPr>
        <w:jc w:val="both"/>
        <w:rPr>
          <w:rFonts w:eastAsia="Arial" w:cs="Arial"/>
          <w:sz w:val="22"/>
          <w:szCs w:val="22"/>
        </w:rPr>
      </w:pPr>
      <w:r>
        <w:rPr>
          <w:rFonts w:eastAsia="Arial" w:cs="Arial"/>
          <w:sz w:val="22"/>
          <w:szCs w:val="22"/>
        </w:rPr>
        <w:t xml:space="preserve">As set out in Section A, </w:t>
      </w:r>
      <w:r w:rsidRPr="00DD57A6">
        <w:rPr>
          <w:rFonts w:eastAsia="Arial" w:cs="Arial"/>
          <w:sz w:val="22"/>
          <w:szCs w:val="22"/>
        </w:rPr>
        <w:t xml:space="preserve">LDN </w:t>
      </w:r>
      <w:r w:rsidR="003962D3">
        <w:rPr>
          <w:rFonts w:eastAsia="Arial" w:cs="Arial"/>
          <w:sz w:val="22"/>
          <w:szCs w:val="22"/>
        </w:rPr>
        <w:t xml:space="preserve">has a strict governance process in place to ensure </w:t>
      </w:r>
      <w:r w:rsidR="00031293">
        <w:rPr>
          <w:rFonts w:eastAsia="Arial" w:cs="Arial"/>
          <w:sz w:val="22"/>
          <w:szCs w:val="22"/>
        </w:rPr>
        <w:t xml:space="preserve">only quality projects are invested in. LDN </w:t>
      </w:r>
      <w:r w:rsidRPr="00DD57A6">
        <w:rPr>
          <w:rFonts w:eastAsia="Arial" w:cs="Arial"/>
          <w:sz w:val="22"/>
          <w:szCs w:val="22"/>
        </w:rPr>
        <w:t xml:space="preserve">operates a thorough due diligence and pre-investment </w:t>
      </w:r>
      <w:proofErr w:type="gramStart"/>
      <w:r w:rsidRPr="00DD57A6">
        <w:rPr>
          <w:rFonts w:eastAsia="Arial" w:cs="Arial"/>
          <w:sz w:val="22"/>
          <w:szCs w:val="22"/>
        </w:rPr>
        <w:t>process</w:t>
      </w:r>
      <w:proofErr w:type="gramEnd"/>
      <w:r w:rsidRPr="00DD57A6">
        <w:rPr>
          <w:rFonts w:eastAsia="Arial" w:cs="Arial"/>
          <w:sz w:val="22"/>
          <w:szCs w:val="22"/>
        </w:rPr>
        <w:t xml:space="preserve"> </w:t>
      </w:r>
      <w:r w:rsidR="00031293">
        <w:rPr>
          <w:rFonts w:eastAsia="Arial" w:cs="Arial"/>
          <w:sz w:val="22"/>
          <w:szCs w:val="22"/>
        </w:rPr>
        <w:t xml:space="preserve">and each project must pass through </w:t>
      </w:r>
      <w:r w:rsidR="00DF7C83">
        <w:rPr>
          <w:rFonts w:eastAsia="Arial" w:cs="Arial"/>
          <w:sz w:val="22"/>
          <w:szCs w:val="22"/>
        </w:rPr>
        <w:t>three scrutiny committee stages</w:t>
      </w:r>
      <w:r w:rsidRPr="00DD57A6">
        <w:rPr>
          <w:rFonts w:eastAsia="Arial" w:cs="Arial"/>
          <w:sz w:val="22"/>
          <w:szCs w:val="22"/>
        </w:rPr>
        <w:t xml:space="preserve">, with </w:t>
      </w:r>
      <w:r w:rsidR="00DF7C83">
        <w:rPr>
          <w:rFonts w:eastAsia="Arial" w:cs="Arial"/>
          <w:sz w:val="22"/>
          <w:szCs w:val="22"/>
        </w:rPr>
        <w:t xml:space="preserve">only </w:t>
      </w:r>
      <w:r w:rsidR="00031293">
        <w:rPr>
          <w:rFonts w:eastAsia="Arial" w:cs="Arial"/>
          <w:sz w:val="22"/>
          <w:szCs w:val="22"/>
        </w:rPr>
        <w:t xml:space="preserve">those </w:t>
      </w:r>
      <w:r w:rsidR="003962D3">
        <w:rPr>
          <w:rFonts w:eastAsia="Arial" w:cs="Arial"/>
          <w:sz w:val="22"/>
          <w:szCs w:val="22"/>
        </w:rPr>
        <w:t>that best demonstrate value for money and impact progressing to investment</w:t>
      </w:r>
      <w:r w:rsidRPr="00DD57A6">
        <w:rPr>
          <w:rFonts w:eastAsia="Arial" w:cs="Arial"/>
          <w:sz w:val="22"/>
          <w:szCs w:val="22"/>
        </w:rPr>
        <w:t>.</w:t>
      </w:r>
    </w:p>
    <w:p w14:paraId="754542E2" w14:textId="77777777" w:rsidR="004E452A" w:rsidRDefault="004E452A" w:rsidP="00E41A4C">
      <w:pPr>
        <w:jc w:val="both"/>
        <w:rPr>
          <w:rFonts w:eastAsia="Arial" w:cs="Arial"/>
          <w:sz w:val="22"/>
          <w:szCs w:val="22"/>
        </w:rPr>
      </w:pPr>
    </w:p>
    <w:p w14:paraId="44ADEBFE" w14:textId="36A60645" w:rsidR="00E41A4C" w:rsidRDefault="004E452A" w:rsidP="00E41A4C">
      <w:pPr>
        <w:jc w:val="both"/>
      </w:pPr>
      <w:r>
        <w:rPr>
          <w:rFonts w:eastAsia="Arial" w:cs="Arial"/>
          <w:sz w:val="22"/>
          <w:szCs w:val="22"/>
        </w:rPr>
        <w:t xml:space="preserve">Management fees and organisational expenses are within </w:t>
      </w:r>
      <w:r w:rsidR="00664FEC">
        <w:rPr>
          <w:rFonts w:eastAsia="Arial" w:cs="Arial"/>
          <w:sz w:val="22"/>
          <w:szCs w:val="22"/>
        </w:rPr>
        <w:t>the requirements for ODA funding.</w:t>
      </w:r>
    </w:p>
    <w:p w14:paraId="6CCDBDB8" w14:textId="77777777" w:rsidR="00C025FA" w:rsidRDefault="00C025FA" w:rsidP="700B178E">
      <w:pPr>
        <w:jc w:val="both"/>
        <w:rPr>
          <w:rFonts w:eastAsia="Arial" w:cs="Arial"/>
          <w:color w:val="000000" w:themeColor="text1"/>
          <w:sz w:val="22"/>
          <w:szCs w:val="22"/>
        </w:rPr>
      </w:pPr>
    </w:p>
    <w:p w14:paraId="143F61E8" w14:textId="77777777" w:rsidR="001B75C2" w:rsidRDefault="001B75C2" w:rsidP="001B75C2">
      <w:pPr>
        <w:jc w:val="both"/>
      </w:pPr>
      <w:r w:rsidRPr="428F1934">
        <w:rPr>
          <w:rFonts w:eastAsia="Arial" w:cs="Arial"/>
          <w:b/>
          <w:bCs/>
          <w:sz w:val="22"/>
          <w:szCs w:val="22"/>
        </w:rPr>
        <w:t>Efficiency</w:t>
      </w:r>
    </w:p>
    <w:p w14:paraId="5E9BCF6E" w14:textId="0649553B" w:rsidR="001B75C2" w:rsidRDefault="001B75C2" w:rsidP="00D94B83">
      <w:pPr>
        <w:tabs>
          <w:tab w:val="left" w:pos="6936"/>
          <w:tab w:val="right" w:pos="9026"/>
        </w:tabs>
        <w:jc w:val="both"/>
      </w:pPr>
      <w:r w:rsidRPr="428F1934">
        <w:rPr>
          <w:rFonts w:eastAsia="Arial" w:cs="Arial"/>
          <w:sz w:val="22"/>
          <w:szCs w:val="22"/>
        </w:rPr>
        <w:t xml:space="preserve"> </w:t>
      </w:r>
      <w:r w:rsidR="00D94B83">
        <w:rPr>
          <w:rFonts w:eastAsia="Arial" w:cs="Arial"/>
          <w:sz w:val="22"/>
          <w:szCs w:val="22"/>
        </w:rPr>
        <w:tab/>
      </w:r>
      <w:r w:rsidR="00D94B83">
        <w:rPr>
          <w:rFonts w:eastAsia="Arial" w:cs="Arial"/>
          <w:sz w:val="22"/>
          <w:szCs w:val="22"/>
        </w:rPr>
        <w:tab/>
      </w:r>
    </w:p>
    <w:p w14:paraId="7FBD888D" w14:textId="7DEAC4B2" w:rsidR="00EE6621" w:rsidRDefault="001B75C2" w:rsidP="001B75C2">
      <w:pPr>
        <w:jc w:val="both"/>
        <w:rPr>
          <w:rFonts w:eastAsia="Arial" w:cs="Arial"/>
          <w:color w:val="000000" w:themeColor="text1"/>
          <w:sz w:val="22"/>
          <w:szCs w:val="22"/>
        </w:rPr>
      </w:pPr>
      <w:r w:rsidRPr="428F1934">
        <w:rPr>
          <w:rFonts w:eastAsia="Arial" w:cs="Arial"/>
          <w:color w:val="000000" w:themeColor="text1"/>
          <w:sz w:val="22"/>
          <w:szCs w:val="22"/>
        </w:rPr>
        <w:t xml:space="preserve">As the fund disperses loans to several different projects, the way in which the investment is being spent will differ significantly across projects. Similarly, each project will spend the money at different rates, therefore making it difficult to calculate standalone rates of efficiency for this year. </w:t>
      </w:r>
      <w:r w:rsidR="00FD0A5D">
        <w:rPr>
          <w:rFonts w:eastAsia="Arial" w:cs="Arial"/>
          <w:color w:val="000000" w:themeColor="text1"/>
          <w:sz w:val="22"/>
          <w:szCs w:val="22"/>
        </w:rPr>
        <w:t xml:space="preserve">However, </w:t>
      </w:r>
      <w:r w:rsidR="0098325F">
        <w:rPr>
          <w:rFonts w:eastAsia="Arial" w:cs="Arial"/>
          <w:color w:val="000000" w:themeColor="text1"/>
          <w:sz w:val="22"/>
          <w:szCs w:val="22"/>
        </w:rPr>
        <w:t>projects receive loans in staggered stages (usually annually or quarterly)</w:t>
      </w:r>
      <w:r w:rsidR="00FD0A5D">
        <w:rPr>
          <w:rFonts w:eastAsia="Arial" w:cs="Arial"/>
          <w:color w:val="000000" w:themeColor="text1"/>
          <w:sz w:val="22"/>
          <w:szCs w:val="22"/>
        </w:rPr>
        <w:t xml:space="preserve"> and are required to have spent (or nearly spent) their</w:t>
      </w:r>
      <w:r w:rsidR="00003E6F">
        <w:rPr>
          <w:rFonts w:eastAsia="Arial" w:cs="Arial"/>
          <w:color w:val="000000" w:themeColor="text1"/>
          <w:sz w:val="22"/>
          <w:szCs w:val="22"/>
        </w:rPr>
        <w:t xml:space="preserve"> current loan </w:t>
      </w:r>
      <w:proofErr w:type="gramStart"/>
      <w:r w:rsidR="00003E6F">
        <w:rPr>
          <w:rFonts w:eastAsia="Arial" w:cs="Arial"/>
          <w:color w:val="000000" w:themeColor="text1"/>
          <w:sz w:val="22"/>
          <w:szCs w:val="22"/>
        </w:rPr>
        <w:t>in order to</w:t>
      </w:r>
      <w:proofErr w:type="gramEnd"/>
      <w:r w:rsidR="00003E6F">
        <w:rPr>
          <w:rFonts w:eastAsia="Arial" w:cs="Arial"/>
          <w:color w:val="000000" w:themeColor="text1"/>
          <w:sz w:val="22"/>
          <w:szCs w:val="22"/>
        </w:rPr>
        <w:t xml:space="preserve"> receive the next disbursement. It can therefore be assumed </w:t>
      </w:r>
      <w:r w:rsidR="00003E6F" w:rsidRPr="428F1934">
        <w:rPr>
          <w:rFonts w:eastAsia="Arial" w:cs="Arial"/>
          <w:color w:val="000000" w:themeColor="text1"/>
          <w:sz w:val="22"/>
          <w:szCs w:val="22"/>
        </w:rPr>
        <w:t xml:space="preserve">that </w:t>
      </w:r>
      <w:proofErr w:type="gramStart"/>
      <w:r w:rsidR="00003E6F" w:rsidRPr="428F1934">
        <w:rPr>
          <w:rFonts w:eastAsia="Arial" w:cs="Arial"/>
          <w:color w:val="000000" w:themeColor="text1"/>
          <w:sz w:val="22"/>
          <w:szCs w:val="22"/>
        </w:rPr>
        <w:t>the majority of</w:t>
      </w:r>
      <w:proofErr w:type="gramEnd"/>
      <w:r w:rsidR="00003E6F" w:rsidRPr="428F1934">
        <w:rPr>
          <w:rFonts w:eastAsia="Arial" w:cs="Arial"/>
          <w:color w:val="000000" w:themeColor="text1"/>
          <w:sz w:val="22"/>
          <w:szCs w:val="22"/>
        </w:rPr>
        <w:t xml:space="preserve"> the investment for this year has been spent and is likely that inputs have efficiently been converted into outputs</w:t>
      </w:r>
      <w:r w:rsidR="004B0B7F">
        <w:rPr>
          <w:rFonts w:eastAsia="Arial" w:cs="Arial"/>
          <w:color w:val="000000" w:themeColor="text1"/>
          <w:sz w:val="22"/>
          <w:szCs w:val="22"/>
        </w:rPr>
        <w:t xml:space="preserve">, as, of the </w:t>
      </w:r>
      <w:r w:rsidR="004B0B7F" w:rsidRPr="00B67F63">
        <w:rPr>
          <w:rFonts w:eastAsia="Arial" w:cs="Arial"/>
          <w:sz w:val="22"/>
          <w:szCs w:val="22"/>
        </w:rPr>
        <w:t>$165.4m</w:t>
      </w:r>
      <w:r w:rsidR="004B0B7F">
        <w:rPr>
          <w:rFonts w:eastAsia="Arial" w:cs="Arial"/>
          <w:sz w:val="22"/>
          <w:szCs w:val="22"/>
        </w:rPr>
        <w:t xml:space="preserve"> that has</w:t>
      </w:r>
      <w:r w:rsidR="004B0B7F" w:rsidRPr="00B67F63">
        <w:rPr>
          <w:rFonts w:eastAsia="Arial" w:cs="Arial"/>
          <w:sz w:val="22"/>
          <w:szCs w:val="22"/>
        </w:rPr>
        <w:t xml:space="preserve"> been committed </w:t>
      </w:r>
      <w:r w:rsidR="004B0B7F">
        <w:rPr>
          <w:rFonts w:eastAsia="Arial" w:cs="Arial"/>
          <w:sz w:val="22"/>
          <w:szCs w:val="22"/>
        </w:rPr>
        <w:t xml:space="preserve">up to the end of 2023, </w:t>
      </w:r>
      <w:r w:rsidR="004B0B7F" w:rsidRPr="00B67F63">
        <w:rPr>
          <w:rFonts w:eastAsia="Arial" w:cs="Arial"/>
          <w:sz w:val="22"/>
          <w:szCs w:val="22"/>
        </w:rPr>
        <w:t>$129.1m ha</w:t>
      </w:r>
      <w:r w:rsidR="004B0B7F">
        <w:rPr>
          <w:rFonts w:eastAsia="Arial" w:cs="Arial"/>
          <w:sz w:val="22"/>
          <w:szCs w:val="22"/>
        </w:rPr>
        <w:t>s</w:t>
      </w:r>
      <w:r w:rsidR="004B0B7F" w:rsidRPr="00B67F63">
        <w:rPr>
          <w:rFonts w:eastAsia="Arial" w:cs="Arial"/>
          <w:sz w:val="22"/>
          <w:szCs w:val="22"/>
        </w:rPr>
        <w:t xml:space="preserve"> been disbursed to projects</w:t>
      </w:r>
      <w:r w:rsidR="00116C91">
        <w:rPr>
          <w:rFonts w:eastAsia="Arial" w:cs="Arial"/>
          <w:sz w:val="22"/>
          <w:szCs w:val="22"/>
        </w:rPr>
        <w:t xml:space="preserve">, and most </w:t>
      </w:r>
      <w:r w:rsidR="00914E5E">
        <w:rPr>
          <w:rFonts w:eastAsia="Arial" w:cs="Arial"/>
          <w:sz w:val="22"/>
          <w:szCs w:val="22"/>
        </w:rPr>
        <w:t>outcome and output indicators are meeting or close to target</w:t>
      </w:r>
      <w:r w:rsidR="004B0B7F">
        <w:rPr>
          <w:rFonts w:eastAsia="Arial" w:cs="Arial"/>
          <w:sz w:val="22"/>
          <w:szCs w:val="22"/>
        </w:rPr>
        <w:t xml:space="preserve">. </w:t>
      </w:r>
    </w:p>
    <w:p w14:paraId="3986E200" w14:textId="77777777" w:rsidR="00EE6621" w:rsidRDefault="00EE6621" w:rsidP="001B75C2">
      <w:pPr>
        <w:jc w:val="both"/>
        <w:rPr>
          <w:rFonts w:eastAsia="Arial" w:cs="Arial"/>
          <w:color w:val="000000" w:themeColor="text1"/>
          <w:sz w:val="22"/>
          <w:szCs w:val="22"/>
        </w:rPr>
      </w:pPr>
    </w:p>
    <w:p w14:paraId="6FF094AF" w14:textId="50B0EC8F" w:rsidR="00A43492" w:rsidRDefault="00A43492" w:rsidP="00A43492">
      <w:pPr>
        <w:spacing w:after="120"/>
        <w:jc w:val="both"/>
      </w:pPr>
      <w:r w:rsidRPr="428F1934">
        <w:rPr>
          <w:rFonts w:eastAsia="Arial" w:cs="Arial"/>
          <w:color w:val="000000" w:themeColor="text1"/>
          <w:sz w:val="22"/>
          <w:szCs w:val="22"/>
        </w:rPr>
        <w:t xml:space="preserve">Table </w:t>
      </w:r>
      <w:r w:rsidR="00C025FA">
        <w:rPr>
          <w:rFonts w:eastAsia="Arial" w:cs="Arial"/>
          <w:color w:val="000000" w:themeColor="text1"/>
          <w:sz w:val="22"/>
          <w:szCs w:val="22"/>
        </w:rPr>
        <w:t>1</w:t>
      </w:r>
      <w:r w:rsidRPr="428F1934">
        <w:rPr>
          <w:rFonts w:eastAsia="Arial" w:cs="Arial"/>
          <w:color w:val="000000" w:themeColor="text1"/>
          <w:sz w:val="22"/>
          <w:szCs w:val="22"/>
        </w:rPr>
        <w:t xml:space="preserve"> sets out two metrics summarising the ratio of external finance mobilised </w:t>
      </w:r>
      <w:proofErr w:type="gramStart"/>
      <w:r w:rsidRPr="428F1934">
        <w:rPr>
          <w:rFonts w:eastAsia="Arial" w:cs="Arial"/>
          <w:color w:val="000000" w:themeColor="text1"/>
          <w:sz w:val="22"/>
          <w:szCs w:val="22"/>
        </w:rPr>
        <w:t>as a result of</w:t>
      </w:r>
      <w:proofErr w:type="gramEnd"/>
      <w:r w:rsidRPr="428F1934">
        <w:rPr>
          <w:rFonts w:eastAsia="Arial" w:cs="Arial"/>
          <w:color w:val="000000" w:themeColor="text1"/>
          <w:sz w:val="22"/>
          <w:szCs w:val="22"/>
        </w:rPr>
        <w:t xml:space="preserve"> ICF support. While these will not change now the fund has closed, the extent of leveraged external finance from Defra inputs also indicates efficient use of funding to maximise outputs.</w:t>
      </w:r>
    </w:p>
    <w:p w14:paraId="467965C7" w14:textId="2E701D7D" w:rsidR="00975C38" w:rsidRPr="00975C38" w:rsidRDefault="00975C38" w:rsidP="00975C38">
      <w:pPr>
        <w:pStyle w:val="Caption"/>
        <w:keepNext/>
        <w:rPr>
          <w:sz w:val="22"/>
          <w:szCs w:val="22"/>
        </w:rPr>
      </w:pPr>
      <w:r w:rsidRPr="00975C38">
        <w:rPr>
          <w:sz w:val="22"/>
          <w:szCs w:val="22"/>
        </w:rPr>
        <w:t xml:space="preserve">Table </w:t>
      </w:r>
      <w:r w:rsidRPr="00975C38">
        <w:rPr>
          <w:sz w:val="22"/>
          <w:szCs w:val="22"/>
        </w:rPr>
        <w:fldChar w:fldCharType="begin"/>
      </w:r>
      <w:r w:rsidRPr="00975C38">
        <w:rPr>
          <w:sz w:val="22"/>
          <w:szCs w:val="22"/>
        </w:rPr>
        <w:instrText xml:space="preserve"> SEQ Table \* ARABIC </w:instrText>
      </w:r>
      <w:r w:rsidRPr="00975C38">
        <w:rPr>
          <w:sz w:val="22"/>
          <w:szCs w:val="22"/>
        </w:rPr>
        <w:fldChar w:fldCharType="separate"/>
      </w:r>
      <w:r w:rsidRPr="00975C38">
        <w:rPr>
          <w:noProof/>
          <w:sz w:val="22"/>
          <w:szCs w:val="22"/>
        </w:rPr>
        <w:t>1</w:t>
      </w:r>
      <w:r w:rsidRPr="00975C38">
        <w:rPr>
          <w:sz w:val="22"/>
          <w:szCs w:val="22"/>
        </w:rPr>
        <w:fldChar w:fldCharType="end"/>
      </w:r>
      <w:r w:rsidRPr="00975C38">
        <w:rPr>
          <w:sz w:val="22"/>
          <w:szCs w:val="22"/>
        </w:rPr>
        <w:t xml:space="preserve"> </w:t>
      </w:r>
      <w:r w:rsidR="005D3AC3">
        <w:rPr>
          <w:sz w:val="22"/>
          <w:szCs w:val="22"/>
        </w:rPr>
        <w:t>–</w:t>
      </w:r>
      <w:r w:rsidRPr="00975C38">
        <w:rPr>
          <w:sz w:val="22"/>
          <w:szCs w:val="22"/>
        </w:rPr>
        <w:t xml:space="preserve"> </w:t>
      </w:r>
      <w:r w:rsidR="005D3AC3">
        <w:rPr>
          <w:sz w:val="22"/>
          <w:szCs w:val="22"/>
        </w:rPr>
        <w:t>Ratio of public and private finance mobilised</w:t>
      </w:r>
      <w:r w:rsidR="006C42EC">
        <w:rPr>
          <w:sz w:val="22"/>
          <w:szCs w:val="22"/>
        </w:rPr>
        <w:t xml:space="preserve"> </w:t>
      </w:r>
      <w:proofErr w:type="gramStart"/>
      <w:r w:rsidR="006C42EC">
        <w:rPr>
          <w:sz w:val="22"/>
          <w:szCs w:val="22"/>
        </w:rPr>
        <w:t>as a result of</w:t>
      </w:r>
      <w:proofErr w:type="gramEnd"/>
      <w:r w:rsidR="006C42EC">
        <w:rPr>
          <w:sz w:val="22"/>
          <w:szCs w:val="22"/>
        </w:rPr>
        <w:t xml:space="preserve"> Defra’s investment</w:t>
      </w:r>
    </w:p>
    <w:tbl>
      <w:tblPr>
        <w:tblStyle w:val="TableGrid"/>
        <w:tblW w:w="9924" w:type="dxa"/>
        <w:tblInd w:w="-436" w:type="dxa"/>
        <w:tblLayout w:type="fixed"/>
        <w:tblLook w:val="04A0" w:firstRow="1" w:lastRow="0" w:firstColumn="1" w:lastColumn="0" w:noHBand="0" w:noVBand="1"/>
      </w:tblPr>
      <w:tblGrid>
        <w:gridCol w:w="6522"/>
        <w:gridCol w:w="1275"/>
        <w:gridCol w:w="2127"/>
      </w:tblGrid>
      <w:tr w:rsidR="00E757C8" w14:paraId="0FC1DB78" w14:textId="424BBF55" w:rsidTr="00E85691">
        <w:trPr>
          <w:trHeight w:val="328"/>
        </w:trPr>
        <w:tc>
          <w:tcPr>
            <w:tcW w:w="6522"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333A4464" w14:textId="77777777" w:rsidR="00D03F47" w:rsidRPr="004658B8" w:rsidRDefault="00D03F47" w:rsidP="00E85691">
            <w:pPr>
              <w:jc w:val="center"/>
            </w:pPr>
            <w:proofErr w:type="spellStart"/>
            <w:r w:rsidRPr="004658B8">
              <w:rPr>
                <w:rFonts w:eastAsia="Arial" w:cs="Arial"/>
                <w:b/>
                <w:bCs/>
                <w:color w:val="000000" w:themeColor="text1"/>
                <w:sz w:val="20"/>
                <w:szCs w:val="20"/>
              </w:rPr>
              <w:t>VfM</w:t>
            </w:r>
            <w:proofErr w:type="spellEnd"/>
            <w:r w:rsidRPr="004658B8">
              <w:rPr>
                <w:rFonts w:eastAsia="Arial" w:cs="Arial"/>
                <w:b/>
                <w:bCs/>
                <w:color w:val="000000" w:themeColor="text1"/>
                <w:sz w:val="20"/>
                <w:szCs w:val="20"/>
              </w:rPr>
              <w:t xml:space="preserve"> Metric</w:t>
            </w:r>
          </w:p>
        </w:tc>
        <w:tc>
          <w:tcPr>
            <w:tcW w:w="1275"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5D5E8FDC" w14:textId="7F6A5142" w:rsidR="00D03F47" w:rsidRPr="004658B8" w:rsidRDefault="00D03F47" w:rsidP="00E85691">
            <w:pPr>
              <w:jc w:val="center"/>
            </w:pPr>
            <w:r w:rsidRPr="004658B8">
              <w:rPr>
                <w:rFonts w:eastAsia="Arial" w:cs="Arial"/>
                <w:b/>
                <w:bCs/>
                <w:color w:val="000000" w:themeColor="text1"/>
                <w:sz w:val="20"/>
                <w:szCs w:val="20"/>
              </w:rPr>
              <w:t>Result</w:t>
            </w:r>
            <w:r>
              <w:rPr>
                <w:rFonts w:eastAsia="Arial" w:cs="Arial"/>
                <w:b/>
                <w:bCs/>
                <w:color w:val="000000" w:themeColor="text1"/>
                <w:sz w:val="20"/>
                <w:szCs w:val="20"/>
              </w:rPr>
              <w:t xml:space="preserve"> (direct)</w:t>
            </w:r>
          </w:p>
        </w:tc>
        <w:tc>
          <w:tcPr>
            <w:tcW w:w="2127"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6EF7F525" w14:textId="335912DC" w:rsidR="00D03F47" w:rsidRPr="004658B8" w:rsidRDefault="00D03F47" w:rsidP="00E85691">
            <w:pPr>
              <w:jc w:val="center"/>
              <w:rPr>
                <w:rFonts w:eastAsia="Arial" w:cs="Arial"/>
                <w:b/>
                <w:bCs/>
                <w:color w:val="000000" w:themeColor="text1"/>
                <w:sz w:val="20"/>
                <w:szCs w:val="20"/>
              </w:rPr>
            </w:pPr>
            <w:r>
              <w:rPr>
                <w:rFonts w:eastAsia="Arial" w:cs="Arial"/>
                <w:b/>
                <w:bCs/>
                <w:color w:val="000000" w:themeColor="text1"/>
                <w:sz w:val="20"/>
                <w:szCs w:val="20"/>
              </w:rPr>
              <w:t xml:space="preserve">Result </w:t>
            </w:r>
            <w:r w:rsidR="005A4C4E">
              <w:rPr>
                <w:rFonts w:eastAsia="Arial" w:cs="Arial"/>
                <w:b/>
                <w:bCs/>
                <w:color w:val="000000" w:themeColor="text1"/>
                <w:sz w:val="20"/>
                <w:szCs w:val="20"/>
              </w:rPr>
              <w:t>incl. compound leverage</w:t>
            </w:r>
          </w:p>
        </w:tc>
      </w:tr>
      <w:tr w:rsidR="00D03F47" w14:paraId="4C71A6D3" w14:textId="60D5E35D" w:rsidTr="00E85691">
        <w:trPr>
          <w:trHeight w:val="328"/>
        </w:trPr>
        <w:tc>
          <w:tcPr>
            <w:tcW w:w="6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4E9401E" w14:textId="13ED80A5" w:rsidR="00D03F47" w:rsidRPr="004658B8" w:rsidRDefault="00D03F47" w:rsidP="00E85691">
            <w:pPr>
              <w:jc w:val="center"/>
            </w:pPr>
            <w:r w:rsidRPr="428F1934">
              <w:rPr>
                <w:rFonts w:eastAsia="Arial" w:cs="Arial"/>
                <w:color w:val="000000" w:themeColor="text1"/>
                <w:sz w:val="20"/>
                <w:szCs w:val="20"/>
              </w:rPr>
              <w:t xml:space="preserve">Ratio of </w:t>
            </w:r>
            <w:r w:rsidRPr="004A1EAA">
              <w:rPr>
                <w:rFonts w:eastAsia="Arial" w:cs="Arial"/>
                <w:b/>
                <w:bCs/>
                <w:color w:val="000000" w:themeColor="text1"/>
                <w:sz w:val="20"/>
                <w:szCs w:val="20"/>
                <w:u w:val="single"/>
              </w:rPr>
              <w:t>private</w:t>
            </w:r>
            <w:r w:rsidRPr="428F1934">
              <w:rPr>
                <w:rFonts w:eastAsia="Arial" w:cs="Arial"/>
                <w:color w:val="000000" w:themeColor="text1"/>
                <w:sz w:val="20"/>
                <w:szCs w:val="20"/>
              </w:rPr>
              <w:t xml:space="preserve"> finance mobilised </w:t>
            </w:r>
            <w:proofErr w:type="gramStart"/>
            <w:r w:rsidRPr="428F1934">
              <w:rPr>
                <w:rFonts w:eastAsia="Arial" w:cs="Arial"/>
                <w:color w:val="000000" w:themeColor="text1"/>
                <w:sz w:val="20"/>
                <w:szCs w:val="20"/>
              </w:rPr>
              <w:t>as a result of</w:t>
            </w:r>
            <w:proofErr w:type="gramEnd"/>
            <w:r w:rsidRPr="428F1934">
              <w:rPr>
                <w:rFonts w:eastAsia="Arial" w:cs="Arial"/>
                <w:color w:val="000000" w:themeColor="text1"/>
                <w:sz w:val="20"/>
                <w:szCs w:val="20"/>
              </w:rPr>
              <w:t xml:space="preserve"> every £ of ICF support</w:t>
            </w:r>
          </w:p>
        </w:tc>
        <w:tc>
          <w:tcPr>
            <w:tcW w:w="12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34D6D95" w14:textId="655BB6B0" w:rsidR="00D03F47" w:rsidRPr="004658B8" w:rsidRDefault="00D03F47" w:rsidP="00E85691">
            <w:pPr>
              <w:jc w:val="center"/>
            </w:pPr>
            <w:r w:rsidRPr="14EB546F">
              <w:rPr>
                <w:rFonts w:eastAsia="Arial" w:cs="Arial"/>
                <w:sz w:val="20"/>
                <w:szCs w:val="20"/>
              </w:rPr>
              <w:t>0.49</w:t>
            </w:r>
          </w:p>
        </w:tc>
        <w:tc>
          <w:tcPr>
            <w:tcW w:w="2127" w:type="dxa"/>
            <w:tcBorders>
              <w:top w:val="single" w:sz="8" w:space="0" w:color="auto"/>
              <w:left w:val="single" w:sz="8" w:space="0" w:color="auto"/>
              <w:bottom w:val="single" w:sz="8" w:space="0" w:color="auto"/>
              <w:right w:val="single" w:sz="8" w:space="0" w:color="auto"/>
            </w:tcBorders>
            <w:vAlign w:val="center"/>
          </w:tcPr>
          <w:p w14:paraId="08804AF8" w14:textId="22690215" w:rsidR="00D03F47" w:rsidRPr="14EB546F" w:rsidRDefault="0079119D" w:rsidP="00E85691">
            <w:pPr>
              <w:jc w:val="center"/>
              <w:rPr>
                <w:rFonts w:eastAsia="Arial" w:cs="Arial"/>
                <w:sz w:val="20"/>
                <w:szCs w:val="20"/>
              </w:rPr>
            </w:pPr>
            <w:r>
              <w:rPr>
                <w:rFonts w:eastAsia="Arial" w:cs="Arial"/>
                <w:sz w:val="20"/>
                <w:szCs w:val="20"/>
              </w:rPr>
              <w:t>0.</w:t>
            </w:r>
            <w:r w:rsidR="00CA37D7">
              <w:rPr>
                <w:rFonts w:eastAsia="Arial" w:cs="Arial"/>
                <w:sz w:val="20"/>
                <w:szCs w:val="20"/>
              </w:rPr>
              <w:t>80</w:t>
            </w:r>
          </w:p>
        </w:tc>
      </w:tr>
      <w:tr w:rsidR="00D03F47" w14:paraId="12BDC07F" w14:textId="3E2EBAB5" w:rsidTr="00E85691">
        <w:trPr>
          <w:trHeight w:val="328"/>
        </w:trPr>
        <w:tc>
          <w:tcPr>
            <w:tcW w:w="652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1639BB9" w14:textId="2731561E" w:rsidR="00D03F47" w:rsidRPr="428F1934" w:rsidRDefault="00D03F47" w:rsidP="00E85691">
            <w:pPr>
              <w:jc w:val="center"/>
              <w:rPr>
                <w:rFonts w:eastAsia="Arial" w:cs="Arial"/>
                <w:b/>
                <w:bCs/>
                <w:i/>
                <w:iCs/>
                <w:color w:val="000000" w:themeColor="text1"/>
                <w:sz w:val="20"/>
                <w:szCs w:val="20"/>
              </w:rPr>
            </w:pPr>
            <w:r w:rsidRPr="428F1934">
              <w:rPr>
                <w:rFonts w:eastAsia="Arial" w:cs="Arial"/>
                <w:color w:val="000000" w:themeColor="text1"/>
                <w:sz w:val="20"/>
                <w:szCs w:val="20"/>
              </w:rPr>
              <w:t xml:space="preserve">Ratio of </w:t>
            </w:r>
            <w:r w:rsidRPr="004A1EAA">
              <w:rPr>
                <w:rFonts w:eastAsia="Arial" w:cs="Arial"/>
                <w:b/>
                <w:bCs/>
                <w:color w:val="000000" w:themeColor="text1"/>
                <w:sz w:val="20"/>
                <w:szCs w:val="20"/>
                <w:u w:val="single"/>
              </w:rPr>
              <w:t>public</w:t>
            </w:r>
            <w:r w:rsidRPr="428F1934">
              <w:rPr>
                <w:rFonts w:eastAsia="Arial" w:cs="Arial"/>
                <w:color w:val="000000" w:themeColor="text1"/>
                <w:sz w:val="20"/>
                <w:szCs w:val="20"/>
              </w:rPr>
              <w:t xml:space="preserve"> finance mobilised </w:t>
            </w:r>
            <w:proofErr w:type="gramStart"/>
            <w:r w:rsidRPr="428F1934">
              <w:rPr>
                <w:rFonts w:eastAsia="Arial" w:cs="Arial"/>
                <w:color w:val="000000" w:themeColor="text1"/>
                <w:sz w:val="20"/>
                <w:szCs w:val="20"/>
              </w:rPr>
              <w:t>as a result of</w:t>
            </w:r>
            <w:proofErr w:type="gramEnd"/>
            <w:r w:rsidRPr="428F1934">
              <w:rPr>
                <w:rFonts w:eastAsia="Arial" w:cs="Arial"/>
                <w:color w:val="000000" w:themeColor="text1"/>
                <w:sz w:val="20"/>
                <w:szCs w:val="20"/>
              </w:rPr>
              <w:t xml:space="preserve"> every £ of ICF support</w:t>
            </w:r>
          </w:p>
        </w:tc>
        <w:tc>
          <w:tcPr>
            <w:tcW w:w="12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559D7EE" w14:textId="0A7C7DFE" w:rsidR="00D03F47" w:rsidRPr="428F1934" w:rsidRDefault="00D03F47" w:rsidP="00E85691">
            <w:pPr>
              <w:jc w:val="center"/>
              <w:rPr>
                <w:rFonts w:eastAsia="Arial" w:cs="Arial"/>
                <w:b/>
                <w:bCs/>
                <w:color w:val="000000" w:themeColor="text1"/>
                <w:sz w:val="20"/>
                <w:szCs w:val="20"/>
              </w:rPr>
            </w:pPr>
            <w:r w:rsidRPr="14EB546F">
              <w:rPr>
                <w:rFonts w:eastAsia="Arial" w:cs="Arial"/>
                <w:sz w:val="20"/>
                <w:szCs w:val="20"/>
              </w:rPr>
              <w:t>0.21</w:t>
            </w:r>
          </w:p>
        </w:tc>
        <w:tc>
          <w:tcPr>
            <w:tcW w:w="2127" w:type="dxa"/>
            <w:tcBorders>
              <w:top w:val="single" w:sz="8" w:space="0" w:color="auto"/>
              <w:left w:val="single" w:sz="8" w:space="0" w:color="auto"/>
              <w:bottom w:val="single" w:sz="8" w:space="0" w:color="auto"/>
              <w:right w:val="single" w:sz="8" w:space="0" w:color="auto"/>
            </w:tcBorders>
            <w:vAlign w:val="center"/>
          </w:tcPr>
          <w:p w14:paraId="21BD8A65" w14:textId="1C13D91D" w:rsidR="00D03F47" w:rsidRPr="14EB546F" w:rsidRDefault="00930435" w:rsidP="00E85691">
            <w:pPr>
              <w:jc w:val="center"/>
              <w:rPr>
                <w:rFonts w:eastAsia="Arial" w:cs="Arial"/>
                <w:sz w:val="20"/>
                <w:szCs w:val="20"/>
              </w:rPr>
            </w:pPr>
            <w:r>
              <w:rPr>
                <w:rFonts w:eastAsia="Arial" w:cs="Arial"/>
                <w:sz w:val="20"/>
                <w:szCs w:val="20"/>
              </w:rPr>
              <w:t>0.</w:t>
            </w:r>
            <w:r w:rsidR="00CA37D7">
              <w:rPr>
                <w:rFonts w:eastAsia="Arial" w:cs="Arial"/>
                <w:sz w:val="20"/>
                <w:szCs w:val="20"/>
              </w:rPr>
              <w:t>44</w:t>
            </w:r>
          </w:p>
        </w:tc>
      </w:tr>
    </w:tbl>
    <w:p w14:paraId="649B2A1A" w14:textId="24B101C0" w:rsidR="00A43492" w:rsidRDefault="00A43492" w:rsidP="00A43492">
      <w:pPr>
        <w:spacing w:after="120"/>
        <w:jc w:val="both"/>
      </w:pPr>
      <w:r w:rsidRPr="14EB546F">
        <w:rPr>
          <w:rFonts w:eastAsia="Arial" w:cs="Arial"/>
          <w:i/>
          <w:iCs/>
          <w:color w:val="000000" w:themeColor="text1"/>
          <w:sz w:val="22"/>
          <w:szCs w:val="22"/>
        </w:rPr>
        <w:t>Note: the calculations for finance mobilised are based on growth in the fund following Defra’s investment, multiplied by Defra’s percentage share of the fund in each year.</w:t>
      </w:r>
    </w:p>
    <w:p w14:paraId="6ADF3AA8" w14:textId="6A1AEC96" w:rsidR="00E85691" w:rsidRDefault="004E0439" w:rsidP="00A43492">
      <w:pPr>
        <w:jc w:val="both"/>
        <w:rPr>
          <w:rFonts w:eastAsia="Arial" w:cs="Arial"/>
          <w:color w:val="000000" w:themeColor="text1"/>
          <w:sz w:val="22"/>
          <w:szCs w:val="22"/>
        </w:rPr>
      </w:pPr>
      <w:r>
        <w:rPr>
          <w:rFonts w:eastAsia="Arial" w:cs="Arial"/>
          <w:color w:val="000000" w:themeColor="text1"/>
          <w:sz w:val="22"/>
          <w:szCs w:val="22"/>
        </w:rPr>
        <w:t xml:space="preserve">Compound leverage includes the </w:t>
      </w:r>
      <w:r w:rsidR="006C458B">
        <w:rPr>
          <w:rFonts w:eastAsia="Arial" w:cs="Arial"/>
          <w:color w:val="000000" w:themeColor="text1"/>
          <w:sz w:val="22"/>
          <w:szCs w:val="22"/>
        </w:rPr>
        <w:t xml:space="preserve">mobilisation due directly to Defra’s investment (first column), as well as </w:t>
      </w:r>
      <w:r>
        <w:rPr>
          <w:rFonts w:eastAsia="Arial" w:cs="Arial"/>
          <w:color w:val="000000" w:themeColor="text1"/>
          <w:sz w:val="22"/>
          <w:szCs w:val="22"/>
        </w:rPr>
        <w:t xml:space="preserve">subsequent </w:t>
      </w:r>
      <w:r w:rsidR="006C458B">
        <w:rPr>
          <w:rFonts w:eastAsia="Arial" w:cs="Arial"/>
          <w:color w:val="000000" w:themeColor="text1"/>
          <w:sz w:val="22"/>
          <w:szCs w:val="22"/>
        </w:rPr>
        <w:t xml:space="preserve">leverage </w:t>
      </w:r>
      <w:r w:rsidR="00F561BD">
        <w:rPr>
          <w:rFonts w:eastAsia="Arial" w:cs="Arial"/>
          <w:color w:val="000000" w:themeColor="text1"/>
          <w:sz w:val="22"/>
          <w:szCs w:val="22"/>
        </w:rPr>
        <w:t>from that direct mobilisation</w:t>
      </w:r>
      <w:r w:rsidR="00D363BC">
        <w:rPr>
          <w:rFonts w:eastAsia="Arial" w:cs="Arial"/>
          <w:color w:val="000000" w:themeColor="text1"/>
          <w:sz w:val="22"/>
          <w:szCs w:val="22"/>
        </w:rPr>
        <w:t>, capturing the ‘snowball effect’ of driving early growth in the Fund</w:t>
      </w:r>
      <w:r w:rsidR="00F561BD">
        <w:rPr>
          <w:rFonts w:eastAsia="Arial" w:cs="Arial"/>
          <w:color w:val="000000" w:themeColor="text1"/>
          <w:sz w:val="22"/>
          <w:szCs w:val="22"/>
        </w:rPr>
        <w:t>.</w:t>
      </w:r>
      <w:r w:rsidR="00E757C8">
        <w:rPr>
          <w:rFonts w:eastAsia="Arial" w:cs="Arial"/>
          <w:color w:val="000000" w:themeColor="text1"/>
          <w:sz w:val="22"/>
          <w:szCs w:val="22"/>
        </w:rPr>
        <w:t xml:space="preserve"> As a </w:t>
      </w:r>
      <w:r w:rsidR="0082473F">
        <w:rPr>
          <w:rFonts w:eastAsia="Arial" w:cs="Arial"/>
          <w:color w:val="000000" w:themeColor="text1"/>
          <w:sz w:val="22"/>
          <w:szCs w:val="22"/>
        </w:rPr>
        <w:t>visualis</w:t>
      </w:r>
      <w:r w:rsidR="00E757C8">
        <w:rPr>
          <w:rFonts w:eastAsia="Arial" w:cs="Arial"/>
          <w:color w:val="000000" w:themeColor="text1"/>
          <w:sz w:val="22"/>
          <w:szCs w:val="22"/>
        </w:rPr>
        <w:t xml:space="preserve">ation of how investment leverages </w:t>
      </w:r>
      <w:r w:rsidR="001B5408">
        <w:rPr>
          <w:rFonts w:eastAsia="Arial" w:cs="Arial"/>
          <w:color w:val="000000" w:themeColor="text1"/>
          <w:sz w:val="22"/>
          <w:szCs w:val="22"/>
        </w:rPr>
        <w:t>further investment,</w:t>
      </w:r>
      <w:r w:rsidR="00E757C8">
        <w:rPr>
          <w:rFonts w:eastAsia="Arial" w:cs="Arial"/>
          <w:color w:val="000000" w:themeColor="text1"/>
          <w:sz w:val="22"/>
          <w:szCs w:val="22"/>
        </w:rPr>
        <w:t xml:space="preserve"> which leverages further </w:t>
      </w:r>
      <w:r w:rsidR="001B5408">
        <w:rPr>
          <w:rFonts w:eastAsia="Arial" w:cs="Arial"/>
          <w:color w:val="000000" w:themeColor="text1"/>
          <w:sz w:val="22"/>
          <w:szCs w:val="22"/>
        </w:rPr>
        <w:t xml:space="preserve">investment in turn, </w:t>
      </w:r>
      <w:r w:rsidR="00604E6B">
        <w:rPr>
          <w:rFonts w:eastAsia="Arial" w:cs="Arial"/>
          <w:color w:val="000000" w:themeColor="text1"/>
          <w:sz w:val="22"/>
          <w:szCs w:val="22"/>
        </w:rPr>
        <w:t>this</w:t>
      </w:r>
      <w:r w:rsidR="001B5408">
        <w:rPr>
          <w:rFonts w:eastAsia="Arial" w:cs="Arial"/>
          <w:color w:val="000000" w:themeColor="text1"/>
          <w:sz w:val="22"/>
          <w:szCs w:val="22"/>
        </w:rPr>
        <w:t xml:space="preserve"> chart </w:t>
      </w:r>
      <w:r w:rsidR="00604E6B">
        <w:rPr>
          <w:rFonts w:eastAsia="Arial" w:cs="Arial"/>
          <w:color w:val="000000" w:themeColor="text1"/>
          <w:sz w:val="22"/>
          <w:szCs w:val="22"/>
        </w:rPr>
        <w:t>shows</w:t>
      </w:r>
      <w:r w:rsidR="001B5408">
        <w:rPr>
          <w:rFonts w:eastAsia="Arial" w:cs="Arial"/>
          <w:color w:val="000000" w:themeColor="text1"/>
          <w:sz w:val="22"/>
          <w:szCs w:val="22"/>
        </w:rPr>
        <w:t xml:space="preserve"> how Defra’s original investment scales up </w:t>
      </w:r>
      <w:r w:rsidR="001D5AD2">
        <w:rPr>
          <w:rFonts w:eastAsia="Arial" w:cs="Arial"/>
          <w:color w:val="000000" w:themeColor="text1"/>
          <w:sz w:val="22"/>
          <w:szCs w:val="22"/>
        </w:rPr>
        <w:t>in the Fund and in co-investment</w:t>
      </w:r>
      <w:r w:rsidR="001D23A7">
        <w:rPr>
          <w:rFonts w:eastAsia="Arial" w:cs="Arial"/>
          <w:color w:val="000000" w:themeColor="text1"/>
          <w:sz w:val="22"/>
          <w:szCs w:val="22"/>
        </w:rPr>
        <w:t>, leading to greater impact overall</w:t>
      </w:r>
      <w:r w:rsidR="001D5AD2">
        <w:rPr>
          <w:rFonts w:eastAsia="Arial" w:cs="Arial"/>
          <w:color w:val="000000" w:themeColor="text1"/>
          <w:sz w:val="22"/>
          <w:szCs w:val="22"/>
        </w:rPr>
        <w:t>:</w:t>
      </w:r>
    </w:p>
    <w:p w14:paraId="1F3A383C" w14:textId="25F32490" w:rsidR="00E85691" w:rsidRDefault="00FF4A5E" w:rsidP="00A43492">
      <w:pPr>
        <w:jc w:val="both"/>
        <w:rPr>
          <w:rFonts w:eastAsia="Arial" w:cs="Arial"/>
          <w:color w:val="000000" w:themeColor="text1"/>
          <w:sz w:val="22"/>
          <w:szCs w:val="22"/>
        </w:rPr>
      </w:pPr>
      <w:r w:rsidRPr="00460AC0">
        <w:rPr>
          <w:rFonts w:eastAsia="Arial" w:cs="Arial"/>
          <w:noProof/>
          <w:color w:val="000000" w:themeColor="text1"/>
          <w:sz w:val="22"/>
          <w:szCs w:val="22"/>
        </w:rPr>
        <w:drawing>
          <wp:anchor distT="0" distB="0" distL="114300" distR="114300" simplePos="0" relativeHeight="251658241" behindDoc="1" locked="0" layoutInCell="1" allowOverlap="1" wp14:anchorId="64D3ADC5" wp14:editId="7BCE7BA1">
            <wp:simplePos x="0" y="0"/>
            <wp:positionH relativeFrom="margin">
              <wp:align>center</wp:align>
            </wp:positionH>
            <wp:positionV relativeFrom="paragraph">
              <wp:posOffset>157480</wp:posOffset>
            </wp:positionV>
            <wp:extent cx="7084695" cy="2047875"/>
            <wp:effectExtent l="0" t="0" r="1905" b="9525"/>
            <wp:wrapTight wrapText="bothSides">
              <wp:wrapPolygon edited="0">
                <wp:start x="0" y="0"/>
                <wp:lineTo x="0" y="21500"/>
                <wp:lineTo x="21548" y="21500"/>
                <wp:lineTo x="21548" y="0"/>
                <wp:lineTo x="0" y="0"/>
              </wp:wrapPolygon>
            </wp:wrapTight>
            <wp:docPr id="1239936621" name="Picture 1" descr="A black and white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36621" name="Picture 1" descr="A black and white diagram of a graph&#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084695" cy="2047875"/>
                    </a:xfrm>
                    <a:prstGeom prst="rect">
                      <a:avLst/>
                    </a:prstGeom>
                  </pic:spPr>
                </pic:pic>
              </a:graphicData>
            </a:graphic>
            <wp14:sizeRelH relativeFrom="page">
              <wp14:pctWidth>0</wp14:pctWidth>
            </wp14:sizeRelH>
            <wp14:sizeRelV relativeFrom="page">
              <wp14:pctHeight>0</wp14:pctHeight>
            </wp14:sizeRelV>
          </wp:anchor>
        </w:drawing>
      </w:r>
    </w:p>
    <w:p w14:paraId="2FAB07E1" w14:textId="6369A9F4" w:rsidR="00A43492" w:rsidRDefault="00A43492" w:rsidP="00A43492">
      <w:pPr>
        <w:jc w:val="both"/>
        <w:rPr>
          <w:rFonts w:eastAsia="Arial" w:cs="Arial"/>
          <w:color w:val="000000" w:themeColor="text1"/>
          <w:sz w:val="22"/>
          <w:szCs w:val="22"/>
        </w:rPr>
      </w:pPr>
      <w:r w:rsidRPr="1B54C50C">
        <w:rPr>
          <w:rFonts w:eastAsia="Arial" w:cs="Arial"/>
          <w:color w:val="000000" w:themeColor="text1"/>
          <w:sz w:val="22"/>
          <w:szCs w:val="22"/>
        </w:rPr>
        <w:t>When looking at the ratio of private finance leveraged through co-investment</w:t>
      </w:r>
      <w:r w:rsidR="003B1008">
        <w:rPr>
          <w:rFonts w:eastAsia="Arial" w:cs="Arial"/>
          <w:color w:val="000000" w:themeColor="text1"/>
          <w:sz w:val="22"/>
          <w:szCs w:val="22"/>
        </w:rPr>
        <w:t xml:space="preserve"> (third party lenders investing </w:t>
      </w:r>
      <w:r w:rsidR="0080256B">
        <w:rPr>
          <w:rFonts w:eastAsia="Arial" w:cs="Arial"/>
          <w:color w:val="000000" w:themeColor="text1"/>
          <w:sz w:val="22"/>
          <w:szCs w:val="22"/>
        </w:rPr>
        <w:t>in projects already supported by LDN)</w:t>
      </w:r>
      <w:r w:rsidRPr="1B54C50C">
        <w:rPr>
          <w:rFonts w:eastAsia="Arial" w:cs="Arial"/>
          <w:color w:val="000000" w:themeColor="text1"/>
          <w:sz w:val="22"/>
          <w:szCs w:val="22"/>
        </w:rPr>
        <w:t>, the ratio is 0.9</w:t>
      </w:r>
      <w:r w:rsidR="002A6F69">
        <w:rPr>
          <w:rFonts w:eastAsia="Arial" w:cs="Arial"/>
          <w:color w:val="000000" w:themeColor="text1"/>
          <w:sz w:val="22"/>
          <w:szCs w:val="22"/>
        </w:rPr>
        <w:t>6</w:t>
      </w:r>
      <w:r w:rsidRPr="1B54C50C">
        <w:rPr>
          <w:rFonts w:eastAsia="Arial" w:cs="Arial"/>
          <w:color w:val="000000" w:themeColor="text1"/>
          <w:sz w:val="22"/>
          <w:szCs w:val="22"/>
        </w:rPr>
        <w:t xml:space="preserve"> compared to a ratio of 0.</w:t>
      </w:r>
      <w:r w:rsidR="004B1D98" w:rsidRPr="1B54C50C">
        <w:rPr>
          <w:rFonts w:eastAsia="Arial" w:cs="Arial"/>
          <w:color w:val="000000" w:themeColor="text1"/>
          <w:sz w:val="22"/>
          <w:szCs w:val="22"/>
        </w:rPr>
        <w:t>62</w:t>
      </w:r>
      <w:r w:rsidRPr="1B54C50C">
        <w:rPr>
          <w:rFonts w:eastAsia="Arial" w:cs="Arial"/>
          <w:color w:val="000000" w:themeColor="text1"/>
          <w:sz w:val="22"/>
          <w:szCs w:val="22"/>
        </w:rPr>
        <w:t xml:space="preserve"> in 2022</w:t>
      </w:r>
      <w:r w:rsidR="00483FB7">
        <w:rPr>
          <w:rFonts w:eastAsia="Arial" w:cs="Arial"/>
          <w:color w:val="000000" w:themeColor="text1"/>
          <w:sz w:val="22"/>
          <w:szCs w:val="22"/>
        </w:rPr>
        <w:t xml:space="preserve"> (and the compound leverage ratio for co-investment is </w:t>
      </w:r>
      <w:r w:rsidR="004E0439">
        <w:rPr>
          <w:rFonts w:eastAsia="Arial" w:cs="Arial"/>
          <w:color w:val="000000" w:themeColor="text1"/>
          <w:sz w:val="22"/>
          <w:szCs w:val="22"/>
        </w:rPr>
        <w:t>1.6</w:t>
      </w:r>
      <w:r w:rsidR="00F55BAE">
        <w:rPr>
          <w:rFonts w:eastAsia="Arial" w:cs="Arial"/>
          <w:color w:val="000000" w:themeColor="text1"/>
          <w:sz w:val="22"/>
          <w:szCs w:val="22"/>
        </w:rPr>
        <w:t>6</w:t>
      </w:r>
      <w:r w:rsidR="004E0439">
        <w:rPr>
          <w:rFonts w:eastAsia="Arial" w:cs="Arial"/>
          <w:color w:val="000000" w:themeColor="text1"/>
          <w:sz w:val="22"/>
          <w:szCs w:val="22"/>
        </w:rPr>
        <w:t>)</w:t>
      </w:r>
      <w:r w:rsidRPr="1B54C50C">
        <w:rPr>
          <w:rFonts w:eastAsia="Arial" w:cs="Arial"/>
          <w:color w:val="000000" w:themeColor="text1"/>
          <w:sz w:val="22"/>
          <w:szCs w:val="22"/>
        </w:rPr>
        <w:t>, showing a significant increase in the ratio of co-investment over the last year. By mobilising greater co-investment, it shows that both public and private businesses are willing to invest, consequently, suggesting that the programme is operating efficiently. Please note that the significant increases</w:t>
      </w:r>
      <w:r w:rsidR="00D50B72" w:rsidRPr="1B54C50C">
        <w:rPr>
          <w:rFonts w:eastAsia="Arial" w:cs="Arial"/>
          <w:color w:val="000000" w:themeColor="text1"/>
          <w:sz w:val="22"/>
          <w:szCs w:val="22"/>
        </w:rPr>
        <w:t xml:space="preserve"> to the 2022 annual review</w:t>
      </w:r>
      <w:r w:rsidRPr="1B54C50C">
        <w:rPr>
          <w:rFonts w:eastAsia="Arial" w:cs="Arial"/>
          <w:color w:val="000000" w:themeColor="text1"/>
          <w:sz w:val="22"/>
          <w:szCs w:val="22"/>
        </w:rPr>
        <w:t xml:space="preserve"> are partly due to the removal of the 50% additionality reduction as previously mentioned</w:t>
      </w:r>
      <w:r w:rsidR="00DA35B9">
        <w:rPr>
          <w:rFonts w:eastAsia="Arial" w:cs="Arial"/>
          <w:color w:val="000000" w:themeColor="text1"/>
          <w:sz w:val="22"/>
          <w:szCs w:val="22"/>
        </w:rPr>
        <w:t xml:space="preserve"> – as set out in the Outcomes section, </w:t>
      </w:r>
      <w:r w:rsidR="00EC7396">
        <w:rPr>
          <w:rFonts w:eastAsia="Arial" w:cs="Arial"/>
          <w:color w:val="000000" w:themeColor="text1"/>
          <w:sz w:val="22"/>
          <w:szCs w:val="22"/>
        </w:rPr>
        <w:t>the Fund’s growth was limited only by availability of Junior capital, so every pound of Defra’s investment was additional</w:t>
      </w:r>
      <w:r w:rsidR="00B35720">
        <w:rPr>
          <w:rFonts w:eastAsia="Arial" w:cs="Arial"/>
          <w:color w:val="000000" w:themeColor="text1"/>
          <w:sz w:val="22"/>
          <w:szCs w:val="22"/>
        </w:rPr>
        <w:t>, and at project level there is a huge investment gap for the sustainable land use sector</w:t>
      </w:r>
      <w:r w:rsidR="00512237">
        <w:rPr>
          <w:rFonts w:eastAsia="Arial" w:cs="Arial"/>
          <w:color w:val="000000" w:themeColor="text1"/>
          <w:sz w:val="22"/>
          <w:szCs w:val="22"/>
        </w:rPr>
        <w:t>, so every investment and co-investment is additional</w:t>
      </w:r>
      <w:r w:rsidRPr="1B54C50C">
        <w:rPr>
          <w:rFonts w:eastAsia="Arial" w:cs="Arial"/>
          <w:color w:val="000000" w:themeColor="text1"/>
          <w:sz w:val="22"/>
          <w:szCs w:val="22"/>
        </w:rPr>
        <w:t>.</w:t>
      </w:r>
    </w:p>
    <w:p w14:paraId="69C96FB0" w14:textId="77777777" w:rsidR="004A6083" w:rsidRDefault="004A6083" w:rsidP="00A43492">
      <w:pPr>
        <w:jc w:val="both"/>
        <w:rPr>
          <w:rFonts w:eastAsia="Arial" w:cs="Arial"/>
          <w:color w:val="000000" w:themeColor="text1"/>
          <w:sz w:val="22"/>
          <w:szCs w:val="22"/>
        </w:rPr>
      </w:pPr>
    </w:p>
    <w:p w14:paraId="5870DE26" w14:textId="52A0BF55" w:rsidR="00B06E88" w:rsidRDefault="00B72CDE" w:rsidP="00A43492">
      <w:pPr>
        <w:jc w:val="both"/>
        <w:rPr>
          <w:rFonts w:eastAsia="Arial" w:cs="Arial"/>
          <w:sz w:val="22"/>
          <w:szCs w:val="22"/>
        </w:rPr>
      </w:pPr>
      <w:r>
        <w:rPr>
          <w:rFonts w:eastAsia="Arial" w:cs="Arial"/>
          <w:color w:val="000000" w:themeColor="text1"/>
          <w:sz w:val="22"/>
          <w:szCs w:val="22"/>
        </w:rPr>
        <w:lastRenderedPageBreak/>
        <w:t xml:space="preserve">Reporting against output indicators for 2023 demonstrates relatively strong conversion of </w:t>
      </w:r>
      <w:r w:rsidR="004531E3">
        <w:rPr>
          <w:rFonts w:eastAsia="Arial" w:cs="Arial"/>
          <w:color w:val="000000" w:themeColor="text1"/>
          <w:sz w:val="22"/>
          <w:szCs w:val="22"/>
        </w:rPr>
        <w:t>inputs into outputs, with 73% of indicators</w:t>
      </w:r>
      <w:r w:rsidR="00902053">
        <w:rPr>
          <w:rFonts w:eastAsia="Arial" w:cs="Arial"/>
          <w:color w:val="000000" w:themeColor="text1"/>
          <w:sz w:val="22"/>
          <w:szCs w:val="22"/>
        </w:rPr>
        <w:t xml:space="preserve">, meeting or exceeding their targets for 2023. </w:t>
      </w:r>
      <w:r w:rsidR="00C1576A">
        <w:rPr>
          <w:rFonts w:eastAsia="Arial" w:cs="Arial"/>
          <w:color w:val="000000" w:themeColor="text1"/>
          <w:sz w:val="22"/>
          <w:szCs w:val="22"/>
        </w:rPr>
        <w:t xml:space="preserve">Outputs 3 and 4 have met or exceeded </w:t>
      </w:r>
      <w:proofErr w:type="gramStart"/>
      <w:r w:rsidR="002F4481">
        <w:rPr>
          <w:rFonts w:eastAsia="Arial" w:cs="Arial"/>
          <w:color w:val="000000" w:themeColor="text1"/>
          <w:sz w:val="22"/>
          <w:szCs w:val="22"/>
        </w:rPr>
        <w:t>both</w:t>
      </w:r>
      <w:r w:rsidR="00C1576A">
        <w:rPr>
          <w:rFonts w:eastAsia="Arial" w:cs="Arial"/>
          <w:color w:val="000000" w:themeColor="text1"/>
          <w:sz w:val="22"/>
          <w:szCs w:val="22"/>
        </w:rPr>
        <w:t xml:space="preserve"> of the</w:t>
      </w:r>
      <w:r w:rsidR="002F4481">
        <w:rPr>
          <w:rFonts w:eastAsia="Arial" w:cs="Arial"/>
          <w:color w:val="000000" w:themeColor="text1"/>
          <w:sz w:val="22"/>
          <w:szCs w:val="22"/>
        </w:rPr>
        <w:t xml:space="preserve"> </w:t>
      </w:r>
      <w:r w:rsidR="00C3181E">
        <w:rPr>
          <w:rFonts w:eastAsia="Arial" w:cs="Arial"/>
          <w:color w:val="000000" w:themeColor="text1"/>
          <w:sz w:val="22"/>
          <w:szCs w:val="22"/>
        </w:rPr>
        <w:t>two</w:t>
      </w:r>
      <w:proofErr w:type="gramEnd"/>
      <w:r w:rsidR="00C3181E">
        <w:rPr>
          <w:rFonts w:eastAsia="Arial" w:cs="Arial"/>
          <w:color w:val="000000" w:themeColor="text1"/>
          <w:sz w:val="22"/>
          <w:szCs w:val="22"/>
        </w:rPr>
        <w:t xml:space="preserve"> </w:t>
      </w:r>
      <w:r w:rsidR="002F4481">
        <w:rPr>
          <w:rFonts w:eastAsia="Arial" w:cs="Arial"/>
          <w:color w:val="000000" w:themeColor="text1"/>
          <w:sz w:val="22"/>
          <w:szCs w:val="22"/>
        </w:rPr>
        <w:t xml:space="preserve">indicators </w:t>
      </w:r>
      <w:r w:rsidR="00C3181E">
        <w:rPr>
          <w:rFonts w:eastAsia="Arial" w:cs="Arial"/>
          <w:color w:val="000000" w:themeColor="text1"/>
          <w:sz w:val="22"/>
          <w:szCs w:val="22"/>
        </w:rPr>
        <w:t xml:space="preserve">reported against for each, </w:t>
      </w:r>
      <w:r w:rsidR="002F4481">
        <w:rPr>
          <w:rFonts w:eastAsia="Arial" w:cs="Arial"/>
          <w:color w:val="000000" w:themeColor="text1"/>
          <w:sz w:val="22"/>
          <w:szCs w:val="22"/>
        </w:rPr>
        <w:t xml:space="preserve">demonstrating </w:t>
      </w:r>
      <w:r w:rsidR="0008370E">
        <w:rPr>
          <w:rFonts w:eastAsia="Arial" w:cs="Arial"/>
          <w:color w:val="000000" w:themeColor="text1"/>
          <w:sz w:val="22"/>
          <w:szCs w:val="22"/>
        </w:rPr>
        <w:t>str</w:t>
      </w:r>
      <w:r w:rsidR="00F84953">
        <w:rPr>
          <w:rFonts w:eastAsia="Arial" w:cs="Arial"/>
          <w:color w:val="000000" w:themeColor="text1"/>
          <w:sz w:val="22"/>
          <w:szCs w:val="22"/>
        </w:rPr>
        <w:t xml:space="preserve">ong progress on </w:t>
      </w:r>
      <w:r w:rsidR="00236270">
        <w:rPr>
          <w:rFonts w:eastAsia="Arial" w:cs="Arial"/>
          <w:color w:val="000000" w:themeColor="text1"/>
          <w:sz w:val="22"/>
          <w:szCs w:val="22"/>
        </w:rPr>
        <w:t>social and knowledge sharing outputs</w:t>
      </w:r>
      <w:r w:rsidR="0036083A">
        <w:rPr>
          <w:rFonts w:eastAsia="Arial" w:cs="Arial"/>
          <w:color w:val="000000" w:themeColor="text1"/>
          <w:sz w:val="22"/>
          <w:szCs w:val="22"/>
        </w:rPr>
        <w:t>, with</w:t>
      </w:r>
      <w:r w:rsidR="00236270">
        <w:rPr>
          <w:rFonts w:eastAsia="Arial" w:cs="Arial"/>
          <w:color w:val="000000" w:themeColor="text1"/>
          <w:sz w:val="22"/>
          <w:szCs w:val="22"/>
        </w:rPr>
        <w:t xml:space="preserve"> </w:t>
      </w:r>
      <w:r w:rsidR="00D504EF" w:rsidRPr="428F1934">
        <w:rPr>
          <w:rFonts w:eastAsia="Arial" w:cs="Arial"/>
          <w:sz w:val="22"/>
          <w:szCs w:val="22"/>
        </w:rPr>
        <w:t>106,299 jobs created or supported through the LDN fund</w:t>
      </w:r>
      <w:r w:rsidR="002B0580">
        <w:rPr>
          <w:rFonts w:eastAsia="Arial" w:cs="Arial"/>
          <w:sz w:val="22"/>
          <w:szCs w:val="22"/>
        </w:rPr>
        <w:t xml:space="preserve"> –</w:t>
      </w:r>
      <w:r w:rsidR="00B06E88">
        <w:rPr>
          <w:rFonts w:eastAsia="Arial" w:cs="Arial"/>
          <w:sz w:val="22"/>
          <w:szCs w:val="22"/>
        </w:rPr>
        <w:t xml:space="preserve"> a notable overachievement at this stage.</w:t>
      </w:r>
    </w:p>
    <w:p w14:paraId="197041F0" w14:textId="77777777" w:rsidR="00B06E88" w:rsidRDefault="00B06E88" w:rsidP="00A43492">
      <w:pPr>
        <w:jc w:val="both"/>
        <w:rPr>
          <w:rFonts w:eastAsia="Arial" w:cs="Arial"/>
          <w:color w:val="000000" w:themeColor="text1"/>
          <w:sz w:val="22"/>
          <w:szCs w:val="22"/>
        </w:rPr>
      </w:pPr>
    </w:p>
    <w:p w14:paraId="658AB6F7" w14:textId="661D15D3" w:rsidR="004A6083" w:rsidRDefault="00236270" w:rsidP="00A43492">
      <w:pPr>
        <w:jc w:val="both"/>
        <w:rPr>
          <w:rFonts w:eastAsia="Arial" w:cs="Arial"/>
          <w:color w:val="000000" w:themeColor="text1"/>
          <w:sz w:val="22"/>
          <w:szCs w:val="22"/>
        </w:rPr>
      </w:pPr>
      <w:r>
        <w:rPr>
          <w:rFonts w:eastAsia="Arial" w:cs="Arial"/>
          <w:color w:val="000000" w:themeColor="text1"/>
          <w:sz w:val="22"/>
          <w:szCs w:val="22"/>
        </w:rPr>
        <w:t xml:space="preserve">Output 1 met </w:t>
      </w:r>
      <w:r w:rsidR="00EB6ADB">
        <w:rPr>
          <w:rFonts w:eastAsia="Arial" w:cs="Arial"/>
          <w:color w:val="000000" w:themeColor="text1"/>
          <w:sz w:val="22"/>
          <w:szCs w:val="22"/>
        </w:rPr>
        <w:t xml:space="preserve">three </w:t>
      </w:r>
      <w:r>
        <w:rPr>
          <w:rFonts w:eastAsia="Arial" w:cs="Arial"/>
          <w:color w:val="000000" w:themeColor="text1"/>
          <w:sz w:val="22"/>
          <w:szCs w:val="22"/>
        </w:rPr>
        <w:t xml:space="preserve">of the </w:t>
      </w:r>
      <w:r w:rsidR="00EB6ADB">
        <w:rPr>
          <w:rFonts w:eastAsia="Arial" w:cs="Arial"/>
          <w:color w:val="000000" w:themeColor="text1"/>
          <w:sz w:val="22"/>
          <w:szCs w:val="22"/>
        </w:rPr>
        <w:t>five</w:t>
      </w:r>
      <w:r>
        <w:rPr>
          <w:rFonts w:eastAsia="Arial" w:cs="Arial"/>
          <w:color w:val="000000" w:themeColor="text1"/>
          <w:sz w:val="22"/>
          <w:szCs w:val="22"/>
        </w:rPr>
        <w:t xml:space="preserve"> indicators</w:t>
      </w:r>
      <w:r w:rsidR="004C7C81">
        <w:rPr>
          <w:rFonts w:eastAsia="Arial" w:cs="Arial"/>
          <w:color w:val="000000" w:themeColor="text1"/>
          <w:sz w:val="22"/>
          <w:szCs w:val="22"/>
        </w:rPr>
        <w:t xml:space="preserve"> reported against</w:t>
      </w:r>
      <w:r w:rsidR="00F52C13">
        <w:rPr>
          <w:rFonts w:eastAsia="Arial" w:cs="Arial"/>
          <w:color w:val="000000" w:themeColor="text1"/>
          <w:sz w:val="22"/>
          <w:szCs w:val="22"/>
        </w:rPr>
        <w:t xml:space="preserve"> </w:t>
      </w:r>
      <w:r w:rsidR="00CC6817">
        <w:rPr>
          <w:rFonts w:eastAsia="Arial" w:cs="Arial"/>
          <w:color w:val="000000" w:themeColor="text1"/>
          <w:sz w:val="22"/>
          <w:szCs w:val="22"/>
        </w:rPr>
        <w:t xml:space="preserve">(60%) </w:t>
      </w:r>
      <w:r w:rsidR="00F52C13">
        <w:rPr>
          <w:rFonts w:eastAsia="Arial" w:cs="Arial"/>
          <w:color w:val="000000" w:themeColor="text1"/>
          <w:sz w:val="22"/>
          <w:szCs w:val="22"/>
        </w:rPr>
        <w:t>and output 2</w:t>
      </w:r>
      <w:r w:rsidR="00CC6817">
        <w:rPr>
          <w:rFonts w:eastAsia="Arial" w:cs="Arial"/>
          <w:color w:val="000000" w:themeColor="text1"/>
          <w:sz w:val="22"/>
          <w:szCs w:val="22"/>
        </w:rPr>
        <w:t xml:space="preserve"> one of the two (50%)</w:t>
      </w:r>
      <w:r w:rsidR="0042494E">
        <w:rPr>
          <w:rFonts w:eastAsia="Arial" w:cs="Arial"/>
          <w:color w:val="000000" w:themeColor="text1"/>
          <w:sz w:val="22"/>
          <w:szCs w:val="22"/>
        </w:rPr>
        <w:t>, demonstrating slightly lower performance with regards to financing and technical assistance and environmental targets</w:t>
      </w:r>
      <w:r w:rsidR="00CC6817">
        <w:rPr>
          <w:rFonts w:eastAsia="Arial" w:cs="Arial"/>
          <w:color w:val="000000" w:themeColor="text1"/>
          <w:sz w:val="22"/>
          <w:szCs w:val="22"/>
        </w:rPr>
        <w:t xml:space="preserve">. </w:t>
      </w:r>
      <w:r w:rsidR="00F037A2">
        <w:rPr>
          <w:rFonts w:eastAsia="Arial" w:cs="Arial"/>
          <w:color w:val="000000" w:themeColor="text1"/>
          <w:sz w:val="22"/>
          <w:szCs w:val="22"/>
        </w:rPr>
        <w:t>However</w:t>
      </w:r>
      <w:r w:rsidR="00B06E88">
        <w:rPr>
          <w:rFonts w:eastAsia="Arial" w:cs="Arial"/>
          <w:color w:val="000000" w:themeColor="text1"/>
          <w:sz w:val="22"/>
          <w:szCs w:val="22"/>
        </w:rPr>
        <w:t>,</w:t>
      </w:r>
      <w:r w:rsidR="00F037A2">
        <w:rPr>
          <w:rFonts w:eastAsia="Arial" w:cs="Arial"/>
          <w:color w:val="000000" w:themeColor="text1"/>
          <w:sz w:val="22"/>
          <w:szCs w:val="22"/>
        </w:rPr>
        <w:t xml:space="preserve"> two of the underperforming indicators are only 8% below target, with the other </w:t>
      </w:r>
      <w:r w:rsidR="00DE3985">
        <w:rPr>
          <w:rFonts w:eastAsia="Arial" w:cs="Arial"/>
          <w:color w:val="000000" w:themeColor="text1"/>
          <w:sz w:val="22"/>
          <w:szCs w:val="22"/>
        </w:rPr>
        <w:t>(number of countries TA is provided in) 18% below its 2023 target.</w:t>
      </w:r>
      <w:r w:rsidR="00A44039">
        <w:rPr>
          <w:rFonts w:eastAsia="Arial" w:cs="Arial"/>
          <w:color w:val="000000" w:themeColor="text1"/>
          <w:sz w:val="22"/>
          <w:szCs w:val="22"/>
        </w:rPr>
        <w:t xml:space="preserve"> </w:t>
      </w:r>
      <w:proofErr w:type="gramStart"/>
      <w:r w:rsidR="0089541D">
        <w:rPr>
          <w:rFonts w:eastAsia="Arial" w:cs="Arial"/>
          <w:color w:val="000000" w:themeColor="text1"/>
          <w:sz w:val="22"/>
          <w:szCs w:val="22"/>
        </w:rPr>
        <w:t>Overall</w:t>
      </w:r>
      <w:proofErr w:type="gramEnd"/>
      <w:r w:rsidR="0089541D">
        <w:rPr>
          <w:rFonts w:eastAsia="Arial" w:cs="Arial"/>
          <w:color w:val="000000" w:themeColor="text1"/>
          <w:sz w:val="22"/>
          <w:szCs w:val="22"/>
        </w:rPr>
        <w:t xml:space="preserve"> these figures suggest efficiency is </w:t>
      </w:r>
      <w:r w:rsidR="00B41B3D">
        <w:rPr>
          <w:rFonts w:eastAsia="Arial" w:cs="Arial"/>
          <w:color w:val="000000" w:themeColor="text1"/>
          <w:sz w:val="22"/>
          <w:szCs w:val="22"/>
        </w:rPr>
        <w:t xml:space="preserve">broadly </w:t>
      </w:r>
      <w:r w:rsidR="009261B3">
        <w:rPr>
          <w:rFonts w:eastAsia="Arial" w:cs="Arial"/>
          <w:color w:val="000000" w:themeColor="text1"/>
          <w:sz w:val="22"/>
          <w:szCs w:val="22"/>
        </w:rPr>
        <w:t>on track</w:t>
      </w:r>
      <w:r w:rsidR="00B41B3D">
        <w:rPr>
          <w:rFonts w:eastAsia="Arial" w:cs="Arial"/>
          <w:color w:val="000000" w:themeColor="text1"/>
          <w:sz w:val="22"/>
          <w:szCs w:val="22"/>
        </w:rPr>
        <w:t xml:space="preserve">, with room for slight improvement across a </w:t>
      </w:r>
      <w:r w:rsidR="00A419CB">
        <w:rPr>
          <w:rFonts w:eastAsia="Arial" w:cs="Arial"/>
          <w:color w:val="000000" w:themeColor="text1"/>
          <w:sz w:val="22"/>
          <w:szCs w:val="22"/>
        </w:rPr>
        <w:t>handful</w:t>
      </w:r>
      <w:r w:rsidR="00B41B3D">
        <w:rPr>
          <w:rFonts w:eastAsia="Arial" w:cs="Arial"/>
          <w:color w:val="000000" w:themeColor="text1"/>
          <w:sz w:val="22"/>
          <w:szCs w:val="22"/>
        </w:rPr>
        <w:t xml:space="preserve"> of </w:t>
      </w:r>
      <w:r w:rsidR="00633FB4">
        <w:rPr>
          <w:rFonts w:eastAsia="Arial" w:cs="Arial"/>
          <w:color w:val="000000" w:themeColor="text1"/>
          <w:sz w:val="22"/>
          <w:szCs w:val="22"/>
        </w:rPr>
        <w:t xml:space="preserve">output </w:t>
      </w:r>
      <w:r w:rsidR="00B41B3D">
        <w:rPr>
          <w:rFonts w:eastAsia="Arial" w:cs="Arial"/>
          <w:color w:val="000000" w:themeColor="text1"/>
          <w:sz w:val="22"/>
          <w:szCs w:val="22"/>
        </w:rPr>
        <w:t>indicators</w:t>
      </w:r>
      <w:r w:rsidR="00814E44">
        <w:rPr>
          <w:rFonts w:eastAsia="Arial" w:cs="Arial"/>
          <w:color w:val="000000" w:themeColor="text1"/>
          <w:sz w:val="22"/>
          <w:szCs w:val="22"/>
        </w:rPr>
        <w:t>.</w:t>
      </w:r>
    </w:p>
    <w:p w14:paraId="455EC2C4" w14:textId="77777777" w:rsidR="00A43492" w:rsidRDefault="00A43492" w:rsidP="00A43492">
      <w:pPr>
        <w:jc w:val="both"/>
        <w:rPr>
          <w:rFonts w:eastAsia="Arial" w:cs="Arial"/>
          <w:color w:val="000000" w:themeColor="text1"/>
          <w:sz w:val="22"/>
          <w:szCs w:val="22"/>
        </w:rPr>
      </w:pPr>
    </w:p>
    <w:p w14:paraId="1B9406AD" w14:textId="38D6DFC8" w:rsidR="004A2A07" w:rsidRPr="00975C38" w:rsidRDefault="004A2A07" w:rsidP="004A2A07">
      <w:pPr>
        <w:pStyle w:val="Caption"/>
        <w:keepNext/>
        <w:rPr>
          <w:sz w:val="22"/>
          <w:szCs w:val="22"/>
        </w:rPr>
      </w:pPr>
      <w:r w:rsidRPr="00975C38">
        <w:rPr>
          <w:sz w:val="22"/>
          <w:szCs w:val="22"/>
        </w:rPr>
        <w:t xml:space="preserve">Table </w:t>
      </w:r>
      <w:r w:rsidRPr="00975C38">
        <w:rPr>
          <w:sz w:val="22"/>
          <w:szCs w:val="22"/>
        </w:rPr>
        <w:fldChar w:fldCharType="begin"/>
      </w:r>
      <w:r w:rsidRPr="00975C38">
        <w:rPr>
          <w:sz w:val="22"/>
          <w:szCs w:val="22"/>
        </w:rPr>
        <w:instrText xml:space="preserve"> SEQ Table \* ARABIC </w:instrText>
      </w:r>
      <w:r w:rsidRPr="00975C38">
        <w:rPr>
          <w:sz w:val="22"/>
          <w:szCs w:val="22"/>
        </w:rPr>
        <w:fldChar w:fldCharType="separate"/>
      </w:r>
      <w:r w:rsidR="00975C38" w:rsidRPr="00975C38">
        <w:rPr>
          <w:noProof/>
          <w:sz w:val="22"/>
          <w:szCs w:val="22"/>
        </w:rPr>
        <w:t>2</w:t>
      </w:r>
      <w:r w:rsidRPr="00975C38">
        <w:rPr>
          <w:sz w:val="22"/>
          <w:szCs w:val="22"/>
        </w:rPr>
        <w:fldChar w:fldCharType="end"/>
      </w:r>
      <w:r w:rsidRPr="00975C38">
        <w:rPr>
          <w:sz w:val="22"/>
          <w:szCs w:val="22"/>
        </w:rPr>
        <w:t xml:space="preserve"> - Summary table of programme performance against 2023 indicator targets</w:t>
      </w:r>
      <w:r w:rsidR="00975C38">
        <w:rPr>
          <w:rStyle w:val="FootnoteReference"/>
          <w:rFonts w:eastAsia="Arial" w:cs="Arial"/>
          <w:color w:val="000000" w:themeColor="text1"/>
          <w:sz w:val="22"/>
          <w:szCs w:val="22"/>
        </w:rPr>
        <w:footnoteReference w:id="2"/>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24"/>
        <w:gridCol w:w="1597"/>
        <w:gridCol w:w="1597"/>
        <w:gridCol w:w="1597"/>
      </w:tblGrid>
      <w:tr w:rsidR="006B1DBE" w:rsidRPr="00D10F90" w14:paraId="3FF9EB0C" w14:textId="77777777" w:rsidTr="004658B8">
        <w:trPr>
          <w:trHeight w:val="300"/>
        </w:trPr>
        <w:tc>
          <w:tcPr>
            <w:tcW w:w="4224" w:type="dxa"/>
            <w:shd w:val="clear" w:color="auto" w:fill="BDD6EE" w:themeFill="accent5" w:themeFillTint="66"/>
            <w:tcMar>
              <w:left w:w="105" w:type="dxa"/>
              <w:right w:w="105" w:type="dxa"/>
            </w:tcMar>
            <w:vAlign w:val="center"/>
          </w:tcPr>
          <w:p w14:paraId="3C96A01A" w14:textId="77777777" w:rsidR="006B1DBE" w:rsidRPr="00D10F90" w:rsidRDefault="006B1DBE" w:rsidP="00185E62">
            <w:pPr>
              <w:spacing w:line="259" w:lineRule="auto"/>
              <w:jc w:val="center"/>
              <w:rPr>
                <w:rFonts w:eastAsia="Aptos" w:cs="Arial"/>
                <w:b/>
                <w:sz w:val="20"/>
                <w:szCs w:val="20"/>
              </w:rPr>
            </w:pPr>
          </w:p>
        </w:tc>
        <w:tc>
          <w:tcPr>
            <w:tcW w:w="1597" w:type="dxa"/>
            <w:shd w:val="clear" w:color="auto" w:fill="BDD6EE" w:themeFill="accent5" w:themeFillTint="66"/>
            <w:tcMar>
              <w:left w:w="105" w:type="dxa"/>
              <w:right w:w="105" w:type="dxa"/>
            </w:tcMar>
            <w:vAlign w:val="center"/>
          </w:tcPr>
          <w:p w14:paraId="7988CBCD" w14:textId="77777777" w:rsidR="006B1DBE" w:rsidRPr="00D10F90" w:rsidRDefault="006B1DBE" w:rsidP="00185E62">
            <w:pPr>
              <w:spacing w:line="259" w:lineRule="auto"/>
              <w:jc w:val="center"/>
              <w:rPr>
                <w:rFonts w:eastAsia="Aptos" w:cs="Arial"/>
                <w:b/>
                <w:sz w:val="20"/>
                <w:szCs w:val="20"/>
              </w:rPr>
            </w:pPr>
            <w:r w:rsidRPr="00D10F90">
              <w:rPr>
                <w:rFonts w:eastAsia="Aptos" w:cs="Arial"/>
                <w:b/>
                <w:sz w:val="20"/>
                <w:szCs w:val="20"/>
              </w:rPr>
              <w:t>Output Indicators</w:t>
            </w:r>
          </w:p>
        </w:tc>
        <w:tc>
          <w:tcPr>
            <w:tcW w:w="1597" w:type="dxa"/>
            <w:shd w:val="clear" w:color="auto" w:fill="BDD6EE" w:themeFill="accent5" w:themeFillTint="66"/>
            <w:tcMar>
              <w:left w:w="105" w:type="dxa"/>
              <w:right w:w="105" w:type="dxa"/>
            </w:tcMar>
            <w:vAlign w:val="center"/>
          </w:tcPr>
          <w:p w14:paraId="0FFF66D2" w14:textId="4087FEEF" w:rsidR="006B1DBE" w:rsidRPr="00D10F90" w:rsidRDefault="006B1DBE" w:rsidP="00185E62">
            <w:pPr>
              <w:spacing w:line="259" w:lineRule="auto"/>
              <w:jc w:val="center"/>
              <w:rPr>
                <w:rFonts w:eastAsia="Aptos" w:cs="Arial"/>
                <w:b/>
                <w:sz w:val="20"/>
                <w:szCs w:val="20"/>
              </w:rPr>
            </w:pPr>
            <w:r w:rsidRPr="00D10F90">
              <w:rPr>
                <w:rFonts w:eastAsia="Aptos" w:cs="Arial"/>
                <w:b/>
                <w:sz w:val="20"/>
                <w:szCs w:val="20"/>
              </w:rPr>
              <w:t>Outcome</w:t>
            </w:r>
            <w:r w:rsidR="002F2917">
              <w:rPr>
                <w:rFonts w:eastAsia="Aptos" w:cs="Arial"/>
                <w:b/>
                <w:sz w:val="20"/>
                <w:szCs w:val="20"/>
              </w:rPr>
              <w:t xml:space="preserve"> indicators</w:t>
            </w:r>
          </w:p>
        </w:tc>
        <w:tc>
          <w:tcPr>
            <w:tcW w:w="1597" w:type="dxa"/>
            <w:shd w:val="clear" w:color="auto" w:fill="BDD6EE" w:themeFill="accent5" w:themeFillTint="66"/>
            <w:tcMar>
              <w:left w:w="105" w:type="dxa"/>
              <w:right w:w="105" w:type="dxa"/>
            </w:tcMar>
            <w:vAlign w:val="center"/>
          </w:tcPr>
          <w:p w14:paraId="541836C4" w14:textId="77777777" w:rsidR="006B1DBE" w:rsidRPr="00D10F90" w:rsidRDefault="006B1DBE" w:rsidP="00185E62">
            <w:pPr>
              <w:spacing w:line="259" w:lineRule="auto"/>
              <w:jc w:val="center"/>
              <w:rPr>
                <w:rFonts w:eastAsia="Aptos" w:cs="Arial"/>
                <w:b/>
                <w:sz w:val="20"/>
                <w:szCs w:val="20"/>
              </w:rPr>
            </w:pPr>
            <w:r w:rsidRPr="00D10F90">
              <w:rPr>
                <w:rFonts w:eastAsia="Aptos" w:cs="Arial"/>
                <w:b/>
                <w:sz w:val="20"/>
                <w:szCs w:val="20"/>
              </w:rPr>
              <w:t>Total</w:t>
            </w:r>
          </w:p>
        </w:tc>
      </w:tr>
      <w:tr w:rsidR="006B1DBE" w:rsidRPr="00D10F90" w14:paraId="08B5E65D" w14:textId="77777777" w:rsidTr="004A2A07">
        <w:trPr>
          <w:trHeight w:val="75"/>
        </w:trPr>
        <w:tc>
          <w:tcPr>
            <w:tcW w:w="4224" w:type="dxa"/>
            <w:tcMar>
              <w:left w:w="105" w:type="dxa"/>
              <w:right w:w="105" w:type="dxa"/>
            </w:tcMar>
            <w:vAlign w:val="center"/>
          </w:tcPr>
          <w:p w14:paraId="71BB1023" w14:textId="77777777" w:rsidR="006B1DBE" w:rsidRPr="00D10F90" w:rsidRDefault="006B1DBE" w:rsidP="00185E62">
            <w:pPr>
              <w:spacing w:line="259" w:lineRule="auto"/>
              <w:jc w:val="center"/>
              <w:rPr>
                <w:rFonts w:eastAsia="Aptos" w:cs="Arial"/>
                <w:sz w:val="20"/>
                <w:szCs w:val="20"/>
              </w:rPr>
            </w:pPr>
            <w:r w:rsidRPr="00D10F90">
              <w:rPr>
                <w:rFonts w:eastAsia="Aptos" w:cs="Arial"/>
                <w:sz w:val="20"/>
                <w:szCs w:val="20"/>
              </w:rPr>
              <w:t>Number of indicators</w:t>
            </w:r>
            <w:r>
              <w:rPr>
                <w:rFonts w:eastAsia="Aptos" w:cs="Arial"/>
                <w:sz w:val="20"/>
                <w:szCs w:val="20"/>
              </w:rPr>
              <w:t xml:space="preserve"> </w:t>
            </w:r>
            <w:r w:rsidRPr="009C5F1D">
              <w:rPr>
                <w:rFonts w:eastAsia="Aptos" w:cs="Arial"/>
                <w:color w:val="00B050"/>
                <w:sz w:val="20"/>
                <w:szCs w:val="20"/>
              </w:rPr>
              <w:t xml:space="preserve">met or </w:t>
            </w:r>
            <w:r w:rsidRPr="00D10F90">
              <w:rPr>
                <w:rFonts w:eastAsia="Aptos" w:cs="Arial"/>
                <w:color w:val="00B050"/>
                <w:sz w:val="20"/>
                <w:szCs w:val="20"/>
              </w:rPr>
              <w:t>exceeded</w:t>
            </w:r>
          </w:p>
        </w:tc>
        <w:tc>
          <w:tcPr>
            <w:tcW w:w="1597" w:type="dxa"/>
            <w:tcMar>
              <w:left w:w="105" w:type="dxa"/>
              <w:right w:w="105" w:type="dxa"/>
            </w:tcMar>
            <w:vAlign w:val="center"/>
          </w:tcPr>
          <w:p w14:paraId="3066F452" w14:textId="60CE933E" w:rsidR="006B1DBE" w:rsidRPr="00D10F90" w:rsidRDefault="006B1DBE" w:rsidP="00185E62">
            <w:pPr>
              <w:spacing w:line="259" w:lineRule="auto"/>
              <w:jc w:val="center"/>
              <w:rPr>
                <w:rFonts w:eastAsia="Aptos" w:cs="Arial"/>
                <w:sz w:val="20"/>
                <w:szCs w:val="20"/>
              </w:rPr>
            </w:pPr>
            <w:r>
              <w:rPr>
                <w:rFonts w:eastAsia="Aptos" w:cs="Arial"/>
                <w:sz w:val="20"/>
                <w:szCs w:val="20"/>
              </w:rPr>
              <w:t>8</w:t>
            </w:r>
          </w:p>
        </w:tc>
        <w:tc>
          <w:tcPr>
            <w:tcW w:w="1597" w:type="dxa"/>
            <w:tcMar>
              <w:left w:w="105" w:type="dxa"/>
              <w:right w:w="105" w:type="dxa"/>
            </w:tcMar>
            <w:vAlign w:val="center"/>
          </w:tcPr>
          <w:p w14:paraId="78B7ACF3" w14:textId="2300FCF6" w:rsidR="006B1DBE" w:rsidRPr="00D10F90" w:rsidRDefault="006B1DBE" w:rsidP="00185E62">
            <w:pPr>
              <w:spacing w:line="259" w:lineRule="auto"/>
              <w:jc w:val="center"/>
              <w:rPr>
                <w:rFonts w:eastAsia="Aptos" w:cs="Arial"/>
                <w:sz w:val="20"/>
                <w:szCs w:val="20"/>
              </w:rPr>
            </w:pPr>
            <w:r>
              <w:rPr>
                <w:rFonts w:eastAsia="Aptos" w:cs="Arial"/>
                <w:sz w:val="20"/>
                <w:szCs w:val="20"/>
              </w:rPr>
              <w:t>2</w:t>
            </w:r>
          </w:p>
        </w:tc>
        <w:tc>
          <w:tcPr>
            <w:tcW w:w="1597" w:type="dxa"/>
            <w:tcMar>
              <w:left w:w="105" w:type="dxa"/>
              <w:right w:w="105" w:type="dxa"/>
            </w:tcMar>
            <w:vAlign w:val="center"/>
          </w:tcPr>
          <w:p w14:paraId="3972EB33" w14:textId="65922DF9" w:rsidR="006B1DBE" w:rsidRPr="00D10F90" w:rsidRDefault="006B1DBE" w:rsidP="00185E62">
            <w:pPr>
              <w:spacing w:line="259" w:lineRule="auto"/>
              <w:jc w:val="center"/>
              <w:rPr>
                <w:rFonts w:eastAsia="Aptos" w:cs="Arial"/>
                <w:sz w:val="20"/>
                <w:szCs w:val="20"/>
              </w:rPr>
            </w:pPr>
            <w:r>
              <w:rPr>
                <w:rFonts w:eastAsia="Aptos" w:cs="Arial"/>
                <w:sz w:val="20"/>
                <w:szCs w:val="20"/>
              </w:rPr>
              <w:t>10</w:t>
            </w:r>
          </w:p>
        </w:tc>
      </w:tr>
      <w:tr w:rsidR="006B1DBE" w:rsidRPr="00D10F90" w14:paraId="401E49E0" w14:textId="77777777" w:rsidTr="004A2A07">
        <w:trPr>
          <w:trHeight w:val="75"/>
        </w:trPr>
        <w:tc>
          <w:tcPr>
            <w:tcW w:w="4224" w:type="dxa"/>
            <w:tcMar>
              <w:left w:w="105" w:type="dxa"/>
              <w:right w:w="105" w:type="dxa"/>
            </w:tcMar>
            <w:vAlign w:val="center"/>
          </w:tcPr>
          <w:p w14:paraId="4553214D" w14:textId="77777777" w:rsidR="006B1DBE" w:rsidRPr="00D10F90" w:rsidRDefault="006B1DBE" w:rsidP="00185E62">
            <w:pPr>
              <w:spacing w:line="259" w:lineRule="auto"/>
              <w:jc w:val="center"/>
              <w:rPr>
                <w:rFonts w:eastAsia="Aptos" w:cs="Arial"/>
                <w:sz w:val="20"/>
                <w:szCs w:val="20"/>
              </w:rPr>
            </w:pPr>
            <w:r w:rsidRPr="00D10F90">
              <w:rPr>
                <w:rFonts w:eastAsia="Aptos" w:cs="Arial"/>
                <w:sz w:val="20"/>
                <w:szCs w:val="20"/>
              </w:rPr>
              <w:t xml:space="preserve">Number of indicators </w:t>
            </w:r>
            <w:r w:rsidRPr="00D10F90">
              <w:rPr>
                <w:rFonts w:eastAsia="Aptos" w:cs="Arial"/>
                <w:color w:val="C00000"/>
                <w:sz w:val="20"/>
                <w:szCs w:val="20"/>
              </w:rPr>
              <w:t>not delivered</w:t>
            </w:r>
          </w:p>
        </w:tc>
        <w:tc>
          <w:tcPr>
            <w:tcW w:w="1597" w:type="dxa"/>
            <w:tcMar>
              <w:left w:w="105" w:type="dxa"/>
              <w:right w:w="105" w:type="dxa"/>
            </w:tcMar>
            <w:vAlign w:val="center"/>
          </w:tcPr>
          <w:p w14:paraId="2131648F" w14:textId="6F5867E2" w:rsidR="006B1DBE" w:rsidRPr="00D10F90" w:rsidRDefault="006B1DBE" w:rsidP="00185E62">
            <w:pPr>
              <w:spacing w:line="259" w:lineRule="auto"/>
              <w:jc w:val="center"/>
              <w:rPr>
                <w:rFonts w:eastAsia="Aptos" w:cs="Arial"/>
                <w:sz w:val="20"/>
                <w:szCs w:val="20"/>
              </w:rPr>
            </w:pPr>
            <w:r>
              <w:rPr>
                <w:rFonts w:eastAsia="Aptos" w:cs="Arial"/>
                <w:sz w:val="20"/>
                <w:szCs w:val="20"/>
              </w:rPr>
              <w:t>3</w:t>
            </w:r>
          </w:p>
        </w:tc>
        <w:tc>
          <w:tcPr>
            <w:tcW w:w="1597" w:type="dxa"/>
            <w:tcMar>
              <w:left w:w="105" w:type="dxa"/>
              <w:right w:w="105" w:type="dxa"/>
            </w:tcMar>
            <w:vAlign w:val="center"/>
          </w:tcPr>
          <w:p w14:paraId="7EEB96C4" w14:textId="6E1252CF" w:rsidR="006B1DBE" w:rsidRPr="00D10F90" w:rsidRDefault="006B1DBE" w:rsidP="00185E62">
            <w:pPr>
              <w:spacing w:line="259" w:lineRule="auto"/>
              <w:jc w:val="center"/>
              <w:rPr>
                <w:rFonts w:eastAsia="Aptos" w:cs="Arial"/>
                <w:sz w:val="20"/>
                <w:szCs w:val="20"/>
              </w:rPr>
            </w:pPr>
            <w:r>
              <w:rPr>
                <w:rFonts w:eastAsia="Aptos" w:cs="Arial"/>
                <w:sz w:val="20"/>
                <w:szCs w:val="20"/>
              </w:rPr>
              <w:t>3</w:t>
            </w:r>
          </w:p>
        </w:tc>
        <w:tc>
          <w:tcPr>
            <w:tcW w:w="1597" w:type="dxa"/>
            <w:tcMar>
              <w:left w:w="105" w:type="dxa"/>
              <w:right w:w="105" w:type="dxa"/>
            </w:tcMar>
            <w:vAlign w:val="center"/>
          </w:tcPr>
          <w:p w14:paraId="2F03CEB9" w14:textId="1546C9A0" w:rsidR="006B1DBE" w:rsidRPr="00D10F90" w:rsidRDefault="00095A7F" w:rsidP="00185E62">
            <w:pPr>
              <w:spacing w:line="259" w:lineRule="auto"/>
              <w:jc w:val="center"/>
              <w:rPr>
                <w:rFonts w:eastAsia="Aptos" w:cs="Arial"/>
                <w:sz w:val="20"/>
                <w:szCs w:val="20"/>
              </w:rPr>
            </w:pPr>
            <w:r>
              <w:rPr>
                <w:rFonts w:eastAsia="Aptos" w:cs="Arial"/>
                <w:sz w:val="20"/>
                <w:szCs w:val="20"/>
              </w:rPr>
              <w:t>6</w:t>
            </w:r>
          </w:p>
        </w:tc>
      </w:tr>
      <w:tr w:rsidR="006B1DBE" w:rsidRPr="00D10F90" w14:paraId="5AA34C09" w14:textId="77777777" w:rsidTr="004A2A07">
        <w:trPr>
          <w:trHeight w:val="75"/>
        </w:trPr>
        <w:tc>
          <w:tcPr>
            <w:tcW w:w="4224" w:type="dxa"/>
            <w:tcMar>
              <w:left w:w="105" w:type="dxa"/>
              <w:right w:w="105" w:type="dxa"/>
            </w:tcMar>
            <w:vAlign w:val="center"/>
          </w:tcPr>
          <w:p w14:paraId="6504F8D4" w14:textId="77777777" w:rsidR="006B1DBE" w:rsidRPr="00D10F90" w:rsidRDefault="006B1DBE" w:rsidP="00185E62">
            <w:pPr>
              <w:spacing w:line="259" w:lineRule="auto"/>
              <w:jc w:val="center"/>
              <w:rPr>
                <w:rFonts w:eastAsia="Aptos" w:cs="Arial"/>
                <w:b/>
                <w:sz w:val="20"/>
                <w:szCs w:val="20"/>
              </w:rPr>
            </w:pPr>
            <w:r w:rsidRPr="00D10F90">
              <w:rPr>
                <w:rFonts w:eastAsia="Aptos" w:cs="Arial"/>
                <w:b/>
                <w:sz w:val="20"/>
                <w:szCs w:val="20"/>
              </w:rPr>
              <w:t>Total</w:t>
            </w:r>
          </w:p>
        </w:tc>
        <w:tc>
          <w:tcPr>
            <w:tcW w:w="1597" w:type="dxa"/>
            <w:tcMar>
              <w:left w:w="105" w:type="dxa"/>
              <w:right w:w="105" w:type="dxa"/>
            </w:tcMar>
            <w:vAlign w:val="center"/>
          </w:tcPr>
          <w:p w14:paraId="0ACAD0C9" w14:textId="40BE389B" w:rsidR="006B1DBE" w:rsidRPr="00D10F90" w:rsidRDefault="006B1DBE" w:rsidP="00185E62">
            <w:pPr>
              <w:spacing w:line="259" w:lineRule="auto"/>
              <w:jc w:val="center"/>
              <w:rPr>
                <w:rFonts w:eastAsia="Aptos" w:cs="Arial"/>
                <w:b/>
                <w:sz w:val="20"/>
                <w:szCs w:val="20"/>
              </w:rPr>
            </w:pPr>
            <w:r>
              <w:rPr>
                <w:rFonts w:eastAsia="Aptos" w:cs="Arial"/>
                <w:b/>
                <w:sz w:val="20"/>
                <w:szCs w:val="20"/>
              </w:rPr>
              <w:t>11</w:t>
            </w:r>
          </w:p>
        </w:tc>
        <w:tc>
          <w:tcPr>
            <w:tcW w:w="1597" w:type="dxa"/>
            <w:tcMar>
              <w:left w:w="105" w:type="dxa"/>
              <w:right w:w="105" w:type="dxa"/>
            </w:tcMar>
            <w:vAlign w:val="center"/>
          </w:tcPr>
          <w:p w14:paraId="21B8547C" w14:textId="5BE0E19E" w:rsidR="006B1DBE" w:rsidRPr="00CA7DD4" w:rsidRDefault="006B1DBE" w:rsidP="00185E62">
            <w:pPr>
              <w:spacing w:line="259" w:lineRule="auto"/>
              <w:jc w:val="center"/>
              <w:rPr>
                <w:rFonts w:eastAsia="Aptos" w:cs="Arial"/>
                <w:b/>
                <w:sz w:val="20"/>
                <w:szCs w:val="20"/>
              </w:rPr>
            </w:pPr>
            <w:r w:rsidRPr="00CA7DD4">
              <w:rPr>
                <w:rFonts w:eastAsia="Aptos" w:cs="Arial"/>
                <w:b/>
                <w:sz w:val="20"/>
                <w:szCs w:val="20"/>
              </w:rPr>
              <w:t>5</w:t>
            </w:r>
          </w:p>
        </w:tc>
        <w:tc>
          <w:tcPr>
            <w:tcW w:w="1597" w:type="dxa"/>
            <w:tcMar>
              <w:left w:w="105" w:type="dxa"/>
              <w:right w:w="105" w:type="dxa"/>
            </w:tcMar>
            <w:vAlign w:val="center"/>
          </w:tcPr>
          <w:p w14:paraId="378DEBFE" w14:textId="5B2F202E" w:rsidR="006B1DBE" w:rsidRPr="00D10F90" w:rsidRDefault="00095A7F" w:rsidP="00185E62">
            <w:pPr>
              <w:spacing w:line="259" w:lineRule="auto"/>
              <w:jc w:val="center"/>
              <w:rPr>
                <w:rFonts w:eastAsia="Aptos" w:cs="Arial"/>
                <w:b/>
                <w:sz w:val="20"/>
                <w:szCs w:val="20"/>
              </w:rPr>
            </w:pPr>
            <w:r>
              <w:rPr>
                <w:rFonts w:eastAsia="Aptos" w:cs="Arial"/>
                <w:b/>
                <w:sz w:val="20"/>
                <w:szCs w:val="20"/>
              </w:rPr>
              <w:t>16</w:t>
            </w:r>
          </w:p>
        </w:tc>
      </w:tr>
    </w:tbl>
    <w:p w14:paraId="6AA365D6" w14:textId="77777777" w:rsidR="00A43492" w:rsidRDefault="00A43492" w:rsidP="00A43492">
      <w:pPr>
        <w:jc w:val="both"/>
        <w:rPr>
          <w:rFonts w:eastAsia="Arial" w:cs="Arial"/>
          <w:color w:val="000000" w:themeColor="text1"/>
          <w:sz w:val="22"/>
          <w:szCs w:val="22"/>
        </w:rPr>
      </w:pPr>
    </w:p>
    <w:p w14:paraId="6FA960CB" w14:textId="1761EAD6" w:rsidR="1DCB4072" w:rsidRDefault="1DCB4072" w:rsidP="428F1934">
      <w:pPr>
        <w:jc w:val="both"/>
      </w:pPr>
      <w:r w:rsidRPr="1B54C50C">
        <w:rPr>
          <w:rFonts w:eastAsia="Arial" w:cs="Arial"/>
          <w:b/>
          <w:bCs/>
          <w:sz w:val="22"/>
          <w:szCs w:val="22"/>
        </w:rPr>
        <w:t>Effectiveness</w:t>
      </w:r>
    </w:p>
    <w:p w14:paraId="3A227279" w14:textId="5284E73D" w:rsidR="1DCB4072" w:rsidRDefault="1DCB4072" w:rsidP="428F1934">
      <w:pPr>
        <w:jc w:val="both"/>
      </w:pPr>
      <w:r w:rsidRPr="428F1934">
        <w:rPr>
          <w:rFonts w:eastAsia="Arial" w:cs="Arial"/>
          <w:sz w:val="22"/>
          <w:szCs w:val="22"/>
        </w:rPr>
        <w:t xml:space="preserve"> </w:t>
      </w:r>
    </w:p>
    <w:p w14:paraId="3913B46B" w14:textId="1495B48C" w:rsidR="00184296" w:rsidRDefault="00184296" w:rsidP="00184296">
      <w:pPr>
        <w:jc w:val="both"/>
        <w:rPr>
          <w:rFonts w:eastAsia="Arial" w:cs="Arial"/>
          <w:color w:val="000000" w:themeColor="text1"/>
          <w:sz w:val="22"/>
          <w:szCs w:val="22"/>
        </w:rPr>
      </w:pPr>
      <w:r>
        <w:rPr>
          <w:rFonts w:eastAsia="Arial" w:cs="Arial"/>
          <w:color w:val="000000" w:themeColor="text1"/>
          <w:sz w:val="22"/>
          <w:szCs w:val="22"/>
        </w:rPr>
        <w:t xml:space="preserve">While clear progress </w:t>
      </w:r>
      <w:r w:rsidR="002B4D03">
        <w:rPr>
          <w:rFonts w:eastAsia="Arial" w:cs="Arial"/>
          <w:color w:val="000000" w:themeColor="text1"/>
          <w:sz w:val="22"/>
          <w:szCs w:val="22"/>
        </w:rPr>
        <w:t xml:space="preserve">has been made at an output level, </w:t>
      </w:r>
      <w:r w:rsidRPr="428F1934">
        <w:rPr>
          <w:rFonts w:eastAsia="Arial" w:cs="Arial"/>
          <w:color w:val="000000" w:themeColor="text1"/>
          <w:sz w:val="22"/>
          <w:szCs w:val="22"/>
        </w:rPr>
        <w:t xml:space="preserve">due to the lag that occurs between investment, project-spend and natural processes of restoration, measuring the full environmental and social </w:t>
      </w:r>
      <w:r w:rsidR="002B4D03">
        <w:rPr>
          <w:rFonts w:eastAsia="Arial" w:cs="Arial"/>
          <w:color w:val="000000" w:themeColor="text1"/>
          <w:sz w:val="22"/>
          <w:szCs w:val="22"/>
        </w:rPr>
        <w:t xml:space="preserve">outcomes </w:t>
      </w:r>
      <w:r w:rsidRPr="428F1934">
        <w:rPr>
          <w:rFonts w:eastAsia="Arial" w:cs="Arial"/>
          <w:color w:val="000000" w:themeColor="text1"/>
          <w:sz w:val="22"/>
          <w:szCs w:val="22"/>
        </w:rPr>
        <w:t xml:space="preserve">of the investment can only be determined at the end of the fund’s lifetime. </w:t>
      </w:r>
    </w:p>
    <w:p w14:paraId="1307764D" w14:textId="77777777" w:rsidR="00184296" w:rsidRDefault="00184296" w:rsidP="00184296">
      <w:pPr>
        <w:jc w:val="both"/>
      </w:pPr>
    </w:p>
    <w:p w14:paraId="7AD666E7" w14:textId="244F10FB" w:rsidR="00BB6C84" w:rsidRDefault="003B10E1" w:rsidP="428F1934">
      <w:pPr>
        <w:jc w:val="both"/>
        <w:rPr>
          <w:rFonts w:eastAsia="Arial" w:cs="Arial"/>
          <w:sz w:val="22"/>
          <w:szCs w:val="22"/>
        </w:rPr>
      </w:pPr>
      <w:r>
        <w:rPr>
          <w:rFonts w:eastAsia="Arial" w:cs="Arial"/>
          <w:sz w:val="22"/>
          <w:szCs w:val="22"/>
        </w:rPr>
        <w:t>In</w:t>
      </w:r>
      <w:r w:rsidR="1DCB4072" w:rsidRPr="428F1934">
        <w:rPr>
          <w:rFonts w:eastAsia="Arial" w:cs="Arial"/>
          <w:sz w:val="22"/>
          <w:szCs w:val="22"/>
        </w:rPr>
        <w:t xml:space="preserve"> 2023, </w:t>
      </w:r>
      <w:r w:rsidR="007F17B2">
        <w:rPr>
          <w:rFonts w:eastAsia="Arial" w:cs="Arial"/>
          <w:sz w:val="22"/>
          <w:szCs w:val="22"/>
        </w:rPr>
        <w:t xml:space="preserve">both finance outcome targets were met, regarding public and private finance leveraged by the programme. </w:t>
      </w:r>
      <w:r w:rsidR="00D8153F">
        <w:rPr>
          <w:rFonts w:eastAsia="Arial" w:cs="Arial"/>
          <w:sz w:val="22"/>
          <w:szCs w:val="22"/>
        </w:rPr>
        <w:t xml:space="preserve">Environmental outcome targets were not met, ranging from 8-16% below </w:t>
      </w:r>
      <w:r w:rsidR="00F85851">
        <w:rPr>
          <w:rFonts w:eastAsia="Arial" w:cs="Arial"/>
          <w:sz w:val="22"/>
          <w:szCs w:val="22"/>
        </w:rPr>
        <w:t xml:space="preserve">target. These include total area of reforestation, tonnes of CO2e emissions avoided and hectares of land contribution towards Land Degradation Neutrality. </w:t>
      </w:r>
      <w:r w:rsidR="00BB6C84">
        <w:rPr>
          <w:rFonts w:eastAsia="Arial" w:cs="Arial"/>
          <w:sz w:val="22"/>
          <w:szCs w:val="22"/>
        </w:rPr>
        <w:t>However, c</w:t>
      </w:r>
      <w:r w:rsidR="00BB6C84" w:rsidRPr="428F1934">
        <w:rPr>
          <w:rFonts w:eastAsia="Arial" w:cs="Arial"/>
          <w:sz w:val="22"/>
          <w:szCs w:val="22"/>
        </w:rPr>
        <w:t>ompared to 2022, the area of reforestation increased by 40% to 65,792 hectares</w:t>
      </w:r>
      <w:r w:rsidR="00BB6C84">
        <w:rPr>
          <w:rFonts w:eastAsia="Arial" w:cs="Arial"/>
          <w:sz w:val="22"/>
          <w:szCs w:val="22"/>
        </w:rPr>
        <w:t xml:space="preserve"> (</w:t>
      </w:r>
      <w:r w:rsidR="00F51B08">
        <w:rPr>
          <w:rFonts w:eastAsia="Arial" w:cs="Arial"/>
          <w:sz w:val="22"/>
          <w:szCs w:val="22"/>
        </w:rPr>
        <w:t>targeted 20% increase in 2023)</w:t>
      </w:r>
      <w:r w:rsidR="00B83DD9">
        <w:rPr>
          <w:rFonts w:eastAsia="Arial" w:cs="Arial"/>
          <w:sz w:val="22"/>
          <w:szCs w:val="22"/>
        </w:rPr>
        <w:t xml:space="preserve"> demonstrating </w:t>
      </w:r>
      <w:r w:rsidR="00082569">
        <w:rPr>
          <w:rFonts w:eastAsia="Arial" w:cs="Arial"/>
          <w:sz w:val="22"/>
          <w:szCs w:val="22"/>
        </w:rPr>
        <w:t>substantial progress following relative underperformance in 2022. T</w:t>
      </w:r>
      <w:r w:rsidR="00BB6C84" w:rsidRPr="428F1934">
        <w:rPr>
          <w:rFonts w:eastAsia="Arial" w:cs="Arial"/>
          <w:sz w:val="22"/>
          <w:szCs w:val="22"/>
        </w:rPr>
        <w:t>he area of land under sustainable management (KPI 17) increased by 3.9% and tonnes of CO2e emissions avoided (KPI 6) increased by 57% to 1,687,122 tonnes</w:t>
      </w:r>
      <w:r w:rsidR="00082569">
        <w:rPr>
          <w:rFonts w:eastAsia="Arial" w:cs="Arial"/>
          <w:sz w:val="22"/>
          <w:szCs w:val="22"/>
        </w:rPr>
        <w:t>, both below targeted growth levels</w:t>
      </w:r>
      <w:r w:rsidR="00BB6C84" w:rsidRPr="428F1934">
        <w:rPr>
          <w:rFonts w:eastAsia="Arial" w:cs="Arial"/>
          <w:sz w:val="22"/>
          <w:szCs w:val="22"/>
        </w:rPr>
        <w:t>.</w:t>
      </w:r>
      <w:r w:rsidR="00C318A8">
        <w:rPr>
          <w:rFonts w:eastAsia="Arial" w:cs="Arial"/>
          <w:sz w:val="22"/>
          <w:szCs w:val="22"/>
        </w:rPr>
        <w:t xml:space="preserve"> </w:t>
      </w:r>
    </w:p>
    <w:p w14:paraId="3B9D3128" w14:textId="77777777" w:rsidR="00342183" w:rsidRDefault="00342183" w:rsidP="428F1934">
      <w:pPr>
        <w:jc w:val="both"/>
        <w:rPr>
          <w:rFonts w:eastAsia="Arial" w:cs="Arial"/>
          <w:sz w:val="22"/>
          <w:szCs w:val="22"/>
        </w:rPr>
      </w:pPr>
    </w:p>
    <w:p w14:paraId="7C4E23D9" w14:textId="77777777" w:rsidR="00342183" w:rsidRPr="00342183" w:rsidRDefault="00342183" w:rsidP="00342183">
      <w:pPr>
        <w:jc w:val="both"/>
        <w:rPr>
          <w:rFonts w:eastAsia="Arial" w:cs="Arial"/>
          <w:sz w:val="22"/>
          <w:szCs w:val="22"/>
        </w:rPr>
      </w:pPr>
      <w:r w:rsidRPr="00342183">
        <w:rPr>
          <w:rFonts w:eastAsia="Arial" w:cs="Arial"/>
          <w:i/>
          <w:iCs/>
          <w:sz w:val="22"/>
          <w:szCs w:val="22"/>
          <w:u w:val="single"/>
        </w:rPr>
        <w:t>Graphs showing progress made on outcome indicators between 2019 and 2023</w:t>
      </w:r>
      <w:r w:rsidRPr="00342183">
        <w:rPr>
          <w:rFonts w:eastAsia="Arial" w:cs="Arial"/>
          <w:i/>
          <w:iCs/>
          <w:sz w:val="22"/>
          <w:szCs w:val="22"/>
        </w:rPr>
        <w:t> </w:t>
      </w:r>
      <w:r w:rsidRPr="00342183">
        <w:rPr>
          <w:rFonts w:eastAsia="Arial" w:cs="Arial"/>
          <w:sz w:val="22"/>
          <w:szCs w:val="22"/>
        </w:rPr>
        <w:t> </w:t>
      </w:r>
    </w:p>
    <w:p w14:paraId="5CC23A3C" w14:textId="77777777" w:rsidR="00342183" w:rsidRPr="00342183" w:rsidRDefault="00342183" w:rsidP="00342183">
      <w:pPr>
        <w:jc w:val="both"/>
        <w:rPr>
          <w:rFonts w:eastAsia="Arial" w:cs="Arial"/>
          <w:sz w:val="22"/>
          <w:szCs w:val="22"/>
        </w:rPr>
      </w:pPr>
      <w:r w:rsidRPr="00342183">
        <w:rPr>
          <w:rFonts w:eastAsia="Arial" w:cs="Arial"/>
          <w:sz w:val="22"/>
          <w:szCs w:val="22"/>
        </w:rPr>
        <w:t> </w:t>
      </w:r>
    </w:p>
    <w:p w14:paraId="2240FA1F" w14:textId="0A136C27" w:rsidR="00342183" w:rsidRPr="00342183" w:rsidRDefault="00342183" w:rsidP="00342183">
      <w:pPr>
        <w:jc w:val="both"/>
        <w:rPr>
          <w:rFonts w:eastAsia="Arial" w:cs="Arial"/>
          <w:sz w:val="22"/>
          <w:szCs w:val="22"/>
        </w:rPr>
      </w:pPr>
      <w:r w:rsidRPr="00342183">
        <w:rPr>
          <w:rFonts w:eastAsia="Arial" w:cs="Arial"/>
          <w:noProof/>
          <w:sz w:val="22"/>
          <w:szCs w:val="22"/>
          <w:u w:val="single"/>
        </w:rPr>
        <w:lastRenderedPageBreak/>
        <w:drawing>
          <wp:inline distT="0" distB="0" distL="0" distR="0" wp14:anchorId="5498AA34" wp14:editId="74F3D4B1">
            <wp:extent cx="5731510" cy="2400300"/>
            <wp:effectExtent l="0" t="0" r="2540" b="0"/>
            <wp:docPr id="1733349867" name="Picture 7" descr="A comparison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49867" name="Picture 7" descr="A comparison of a graph&#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400300"/>
                    </a:xfrm>
                    <a:prstGeom prst="rect">
                      <a:avLst/>
                    </a:prstGeom>
                    <a:noFill/>
                    <a:ln>
                      <a:noFill/>
                    </a:ln>
                  </pic:spPr>
                </pic:pic>
              </a:graphicData>
            </a:graphic>
          </wp:inline>
        </w:drawing>
      </w:r>
      <w:r w:rsidRPr="00342183">
        <w:rPr>
          <w:rFonts w:eastAsia="Arial" w:cs="Arial"/>
          <w:sz w:val="22"/>
          <w:szCs w:val="22"/>
        </w:rPr>
        <w:t> </w:t>
      </w:r>
    </w:p>
    <w:p w14:paraId="31C84770" w14:textId="77777777" w:rsidR="00342183" w:rsidRPr="00342183" w:rsidRDefault="00342183" w:rsidP="00342183">
      <w:pPr>
        <w:jc w:val="both"/>
        <w:rPr>
          <w:rFonts w:eastAsia="Arial" w:cs="Arial"/>
          <w:sz w:val="22"/>
          <w:szCs w:val="22"/>
        </w:rPr>
      </w:pPr>
      <w:r w:rsidRPr="00342183">
        <w:rPr>
          <w:rFonts w:eastAsia="Arial" w:cs="Arial"/>
          <w:sz w:val="22"/>
          <w:szCs w:val="22"/>
        </w:rPr>
        <w:t> </w:t>
      </w:r>
    </w:p>
    <w:p w14:paraId="6B6954CC" w14:textId="3851C97C" w:rsidR="00342183" w:rsidRPr="00342183" w:rsidRDefault="00342183" w:rsidP="00342183">
      <w:pPr>
        <w:jc w:val="both"/>
        <w:rPr>
          <w:rFonts w:eastAsia="Arial" w:cs="Arial"/>
          <w:sz w:val="22"/>
          <w:szCs w:val="22"/>
        </w:rPr>
      </w:pPr>
      <w:r w:rsidRPr="00342183">
        <w:rPr>
          <w:rFonts w:eastAsia="Arial" w:cs="Arial"/>
          <w:noProof/>
          <w:sz w:val="22"/>
          <w:szCs w:val="22"/>
          <w:u w:val="single"/>
        </w:rPr>
        <w:drawing>
          <wp:inline distT="0" distB="0" distL="0" distR="0" wp14:anchorId="7FC67A48" wp14:editId="49338FE6">
            <wp:extent cx="5731510" cy="2478405"/>
            <wp:effectExtent l="0" t="0" r="2540" b="0"/>
            <wp:docPr id="2009083457" name="Picture 6" descr="A graph of a graph and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83457" name="Picture 6" descr="A graph of a graph and a graph of a graph&#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478405"/>
                    </a:xfrm>
                    <a:prstGeom prst="rect">
                      <a:avLst/>
                    </a:prstGeom>
                    <a:noFill/>
                    <a:ln>
                      <a:noFill/>
                    </a:ln>
                  </pic:spPr>
                </pic:pic>
              </a:graphicData>
            </a:graphic>
          </wp:inline>
        </w:drawing>
      </w:r>
      <w:r w:rsidRPr="00342183">
        <w:rPr>
          <w:rFonts w:eastAsia="Arial" w:cs="Arial"/>
          <w:sz w:val="22"/>
          <w:szCs w:val="22"/>
        </w:rPr>
        <w:t> </w:t>
      </w:r>
    </w:p>
    <w:p w14:paraId="0C34797F" w14:textId="77777777" w:rsidR="00342183" w:rsidRDefault="00342183" w:rsidP="428F1934">
      <w:pPr>
        <w:jc w:val="both"/>
        <w:rPr>
          <w:rFonts w:eastAsia="Arial" w:cs="Arial"/>
          <w:sz w:val="22"/>
          <w:szCs w:val="22"/>
        </w:rPr>
      </w:pPr>
    </w:p>
    <w:p w14:paraId="60B866FA" w14:textId="77777777" w:rsidR="00BB6C84" w:rsidRDefault="00BB6C84" w:rsidP="428F1934">
      <w:pPr>
        <w:jc w:val="both"/>
        <w:rPr>
          <w:rFonts w:eastAsia="Arial" w:cs="Arial"/>
          <w:sz w:val="22"/>
          <w:szCs w:val="22"/>
        </w:rPr>
      </w:pPr>
    </w:p>
    <w:p w14:paraId="4E028113" w14:textId="478FCD5D" w:rsidR="428F1934" w:rsidRPr="00E04EBF" w:rsidRDefault="006C2C09">
      <w:pPr>
        <w:rPr>
          <w:sz w:val="20"/>
          <w:szCs w:val="20"/>
        </w:rPr>
      </w:pPr>
      <w:r w:rsidRPr="00E04EBF">
        <w:rPr>
          <w:sz w:val="22"/>
          <w:szCs w:val="22"/>
        </w:rPr>
        <w:t>Overall</w:t>
      </w:r>
      <w:r w:rsidR="00E04EBF">
        <w:rPr>
          <w:sz w:val="22"/>
          <w:szCs w:val="22"/>
        </w:rPr>
        <w:t>, the programme is demonstrating relatively robust progress towards its targeted outcomes. Whil</w:t>
      </w:r>
      <w:r w:rsidR="00792721">
        <w:rPr>
          <w:sz w:val="22"/>
          <w:szCs w:val="22"/>
        </w:rPr>
        <w:t xml:space="preserve">st progress needs to be made </w:t>
      </w:r>
      <w:r w:rsidR="00D75A6D">
        <w:rPr>
          <w:sz w:val="22"/>
          <w:szCs w:val="22"/>
        </w:rPr>
        <w:t xml:space="preserve">on the outcome indicators not </w:t>
      </w:r>
      <w:r w:rsidR="00CD6163">
        <w:rPr>
          <w:sz w:val="22"/>
          <w:szCs w:val="22"/>
        </w:rPr>
        <w:t xml:space="preserve">currently </w:t>
      </w:r>
      <w:r w:rsidR="00D75A6D">
        <w:rPr>
          <w:sz w:val="22"/>
          <w:szCs w:val="22"/>
        </w:rPr>
        <w:t xml:space="preserve">reaching their targets to ensure complete effectiveness, </w:t>
      </w:r>
      <w:r w:rsidR="001403A4">
        <w:rPr>
          <w:sz w:val="22"/>
          <w:szCs w:val="22"/>
        </w:rPr>
        <w:t>they</w:t>
      </w:r>
      <w:r w:rsidR="00CD6163">
        <w:rPr>
          <w:sz w:val="22"/>
          <w:szCs w:val="22"/>
        </w:rPr>
        <w:t xml:space="preserve"> miss their targets only </w:t>
      </w:r>
      <w:r w:rsidR="001403A4">
        <w:rPr>
          <w:sz w:val="22"/>
          <w:szCs w:val="22"/>
        </w:rPr>
        <w:t>by a small percentage</w:t>
      </w:r>
      <w:r w:rsidR="00A657D5">
        <w:rPr>
          <w:sz w:val="22"/>
          <w:szCs w:val="22"/>
        </w:rPr>
        <w:t xml:space="preserve"> that does not differ significantly to the proposition in the business case. </w:t>
      </w:r>
    </w:p>
    <w:p w14:paraId="1C056B9A" w14:textId="77777777" w:rsidR="006C2C09" w:rsidRDefault="006C2C09"/>
    <w:p w14:paraId="639E4461" w14:textId="33B89AF0" w:rsidR="1DCB4072" w:rsidRDefault="1DCB4072" w:rsidP="428F1934">
      <w:pPr>
        <w:spacing w:after="160" w:line="257" w:lineRule="auto"/>
        <w:jc w:val="both"/>
      </w:pPr>
      <w:r w:rsidRPr="57ED6F9D">
        <w:rPr>
          <w:rFonts w:eastAsia="Arial" w:cs="Arial"/>
          <w:b/>
          <w:bCs/>
          <w:sz w:val="22"/>
          <w:szCs w:val="22"/>
        </w:rPr>
        <w:t>Equity</w:t>
      </w:r>
    </w:p>
    <w:p w14:paraId="600E5163" w14:textId="33FB2FE2" w:rsidR="1DCB4072" w:rsidRDefault="1DCB4072" w:rsidP="428F1934">
      <w:pPr>
        <w:spacing w:after="160" w:line="257" w:lineRule="auto"/>
        <w:jc w:val="both"/>
      </w:pPr>
      <w:r w:rsidRPr="428F1934">
        <w:rPr>
          <w:rFonts w:eastAsia="Arial" w:cs="Arial"/>
          <w:sz w:val="22"/>
          <w:szCs w:val="22"/>
        </w:rPr>
        <w:t>Progress continues to be made when looking at equity across the LDN fund. Using the metric of ‘Gender ratio of people employed by or with main livelihood supported by LDN Fund projects’, the table below shows that 53% of women are employed or supported by LDN funded projects, up from 43% in 2022.</w:t>
      </w:r>
    </w:p>
    <w:p w14:paraId="7FED7F76" w14:textId="7EB09C4A" w:rsidR="1DCB4072" w:rsidRDefault="1DCB4072" w:rsidP="428F1934">
      <w:pPr>
        <w:jc w:val="both"/>
      </w:pPr>
      <w:r w:rsidRPr="428F1934">
        <w:rPr>
          <w:rFonts w:eastAsia="Arial" w:cs="Arial"/>
          <w:sz w:val="22"/>
          <w:szCs w:val="22"/>
        </w:rPr>
        <w:t xml:space="preserve">Previously, results for this metric have remained constant at 45% since the 2019 baseline. However, last year the milestones were altered so that this metric would increase by 1% each year, meaning the milestone for 2023 was 46%. As this has been exceeded, the milestones implemented from 2022 appear to have demonstrated a positive impact on this metric. </w:t>
      </w:r>
      <w:r w:rsidR="00C43151">
        <w:rPr>
          <w:rFonts w:eastAsia="Arial" w:cs="Arial"/>
          <w:sz w:val="22"/>
          <w:szCs w:val="22"/>
        </w:rPr>
        <w:t xml:space="preserve">The Fund has </w:t>
      </w:r>
      <w:r w:rsidR="0093793F">
        <w:rPr>
          <w:rFonts w:eastAsia="Arial" w:cs="Arial"/>
          <w:sz w:val="22"/>
          <w:szCs w:val="22"/>
        </w:rPr>
        <w:t>made gender equity a greater focus of its engagement with investees</w:t>
      </w:r>
      <w:r w:rsidR="00E70E96">
        <w:rPr>
          <w:rFonts w:eastAsia="Arial" w:cs="Arial"/>
          <w:sz w:val="22"/>
          <w:szCs w:val="22"/>
        </w:rPr>
        <w:t xml:space="preserve">, in line with its </w:t>
      </w:r>
      <w:r w:rsidR="009F7FF8">
        <w:rPr>
          <w:rFonts w:eastAsia="Arial" w:cs="Arial"/>
          <w:sz w:val="22"/>
          <w:szCs w:val="22"/>
        </w:rPr>
        <w:t>Gender Policy Annex</w:t>
      </w:r>
      <w:r w:rsidR="003257FD">
        <w:rPr>
          <w:rFonts w:eastAsia="Arial" w:cs="Arial"/>
          <w:sz w:val="22"/>
          <w:szCs w:val="22"/>
        </w:rPr>
        <w:t xml:space="preserve"> and </w:t>
      </w:r>
      <w:r w:rsidR="00F61C5C">
        <w:rPr>
          <w:rFonts w:eastAsia="Arial" w:cs="Arial"/>
          <w:sz w:val="22"/>
          <w:szCs w:val="22"/>
        </w:rPr>
        <w:t xml:space="preserve">2X Challenge </w:t>
      </w:r>
      <w:r w:rsidR="004D5EF3">
        <w:rPr>
          <w:rFonts w:eastAsia="Arial" w:cs="Arial"/>
          <w:sz w:val="22"/>
          <w:szCs w:val="22"/>
        </w:rPr>
        <w:t>commitment</w:t>
      </w:r>
      <w:r w:rsidR="009F7FF8">
        <w:rPr>
          <w:rFonts w:eastAsia="Arial" w:cs="Arial"/>
          <w:sz w:val="22"/>
          <w:szCs w:val="22"/>
        </w:rPr>
        <w:t xml:space="preserve">. </w:t>
      </w:r>
      <w:r w:rsidR="004D5EF3">
        <w:rPr>
          <w:rFonts w:eastAsia="Arial" w:cs="Arial"/>
          <w:sz w:val="22"/>
          <w:szCs w:val="22"/>
        </w:rPr>
        <w:t>M</w:t>
      </w:r>
      <w:r w:rsidRPr="428F1934">
        <w:rPr>
          <w:rFonts w:eastAsia="Arial" w:cs="Arial"/>
          <w:sz w:val="22"/>
          <w:szCs w:val="22"/>
        </w:rPr>
        <w:t>any of the projects have either developed or are still developing a gender assessment and action plan, following the request for all projects to create them, which could be part of the reason for the increase of the equity metric.</w:t>
      </w:r>
    </w:p>
    <w:p w14:paraId="7E7E877F" w14:textId="19320C68" w:rsidR="1DCB4072" w:rsidRDefault="1DCB4072" w:rsidP="428F1934">
      <w:pPr>
        <w:jc w:val="both"/>
      </w:pPr>
      <w:r w:rsidRPr="428F1934">
        <w:rPr>
          <w:rFonts w:eastAsia="Arial" w:cs="Arial"/>
          <w:sz w:val="22"/>
          <w:szCs w:val="22"/>
        </w:rPr>
        <w:t xml:space="preserve"> </w:t>
      </w:r>
    </w:p>
    <w:p w14:paraId="70378D21" w14:textId="03215521" w:rsidR="1DCB4072" w:rsidRDefault="1DCB4072" w:rsidP="005457DE">
      <w:pPr>
        <w:jc w:val="both"/>
        <w:rPr>
          <w:rFonts w:eastAsia="Arial" w:cs="Arial"/>
          <w:color w:val="000000" w:themeColor="text1"/>
          <w:sz w:val="22"/>
          <w:szCs w:val="22"/>
        </w:rPr>
      </w:pPr>
      <w:r w:rsidRPr="31E7F41C">
        <w:rPr>
          <w:rFonts w:eastAsia="Arial" w:cs="Arial"/>
          <w:color w:val="000000" w:themeColor="text1"/>
          <w:sz w:val="22"/>
          <w:szCs w:val="22"/>
        </w:rPr>
        <w:lastRenderedPageBreak/>
        <w:t>All projects are assessed before investment and then annually against the 2X criteria to ensure compatibility with the gender equity standards for the fund</w:t>
      </w:r>
      <w:r w:rsidR="005457DE">
        <w:rPr>
          <w:rFonts w:eastAsia="Arial" w:cs="Arial"/>
          <w:color w:val="000000" w:themeColor="text1"/>
          <w:sz w:val="22"/>
          <w:szCs w:val="22"/>
        </w:rPr>
        <w:t>, with further detail set out under Output 3 (Section C)</w:t>
      </w:r>
      <w:r w:rsidRPr="31E7F41C">
        <w:rPr>
          <w:rFonts w:eastAsia="Arial" w:cs="Arial"/>
          <w:color w:val="000000" w:themeColor="text1"/>
          <w:sz w:val="22"/>
          <w:szCs w:val="22"/>
        </w:rPr>
        <w:t xml:space="preserve">. There are now </w:t>
      </w:r>
      <w:r w:rsidR="444FF183" w:rsidRPr="31E7F41C">
        <w:rPr>
          <w:rFonts w:eastAsia="Arial" w:cs="Arial"/>
          <w:color w:val="000000" w:themeColor="text1"/>
          <w:sz w:val="22"/>
          <w:szCs w:val="22"/>
        </w:rPr>
        <w:t>seven</w:t>
      </w:r>
      <w:r w:rsidRPr="31E7F41C">
        <w:rPr>
          <w:rFonts w:eastAsia="Arial" w:cs="Arial"/>
          <w:color w:val="000000" w:themeColor="text1"/>
          <w:sz w:val="22"/>
          <w:szCs w:val="22"/>
        </w:rPr>
        <w:t xml:space="preserve"> projects in the portfolio that are currently meeting 2X criteria on leadership, which qualifies the Fund for 2X status, increasing from </w:t>
      </w:r>
      <w:r w:rsidR="3D984542" w:rsidRPr="31E7F41C">
        <w:rPr>
          <w:rFonts w:eastAsia="Arial" w:cs="Arial"/>
          <w:color w:val="000000" w:themeColor="text1"/>
          <w:sz w:val="22"/>
          <w:szCs w:val="22"/>
        </w:rPr>
        <w:t>six</w:t>
      </w:r>
      <w:r w:rsidRPr="31E7F41C">
        <w:rPr>
          <w:rFonts w:eastAsia="Arial" w:cs="Arial"/>
          <w:color w:val="000000" w:themeColor="text1"/>
          <w:sz w:val="22"/>
          <w:szCs w:val="22"/>
        </w:rPr>
        <w:t xml:space="preserve"> in 2022</w:t>
      </w:r>
      <w:r w:rsidR="00D20045">
        <w:rPr>
          <w:rFonts w:eastAsia="Arial" w:cs="Arial"/>
          <w:color w:val="000000" w:themeColor="text1"/>
          <w:sz w:val="22"/>
          <w:szCs w:val="22"/>
        </w:rPr>
        <w:t xml:space="preserve"> but still leaving room for improvement</w:t>
      </w:r>
      <w:r w:rsidR="002A41B7">
        <w:rPr>
          <w:rFonts w:eastAsia="Arial" w:cs="Arial"/>
          <w:color w:val="000000" w:themeColor="text1"/>
          <w:sz w:val="22"/>
          <w:szCs w:val="22"/>
        </w:rPr>
        <w:t xml:space="preserve"> in equity impact</w:t>
      </w:r>
      <w:r w:rsidRPr="31E7F41C">
        <w:rPr>
          <w:rFonts w:eastAsia="Arial" w:cs="Arial"/>
          <w:color w:val="000000" w:themeColor="text1"/>
          <w:sz w:val="22"/>
          <w:szCs w:val="22"/>
        </w:rPr>
        <w:t>.</w:t>
      </w:r>
    </w:p>
    <w:p w14:paraId="09E9E0CE" w14:textId="77777777" w:rsidR="00E425F9" w:rsidRDefault="00E425F9" w:rsidP="005457DE">
      <w:pPr>
        <w:jc w:val="both"/>
        <w:rPr>
          <w:rFonts w:eastAsia="Arial" w:cs="Arial"/>
          <w:color w:val="000000" w:themeColor="text1"/>
          <w:sz w:val="22"/>
          <w:szCs w:val="22"/>
        </w:rPr>
      </w:pPr>
    </w:p>
    <w:p w14:paraId="227A7BD5" w14:textId="4ED189AE" w:rsidR="00E425F9" w:rsidRDefault="00E425F9" w:rsidP="005457DE">
      <w:pPr>
        <w:jc w:val="both"/>
      </w:pPr>
      <w:r>
        <w:rPr>
          <w:rFonts w:eastAsia="Arial" w:cs="Arial"/>
          <w:color w:val="000000" w:themeColor="text1"/>
          <w:sz w:val="22"/>
          <w:szCs w:val="22"/>
        </w:rPr>
        <w:t xml:space="preserve">As set out </w:t>
      </w:r>
      <w:r w:rsidR="00DB5411">
        <w:rPr>
          <w:rFonts w:eastAsia="Arial" w:cs="Arial"/>
          <w:color w:val="000000" w:themeColor="text1"/>
          <w:sz w:val="22"/>
          <w:szCs w:val="22"/>
        </w:rPr>
        <w:t xml:space="preserve">earlier in the review, </w:t>
      </w:r>
      <w:r w:rsidR="00F229F6">
        <w:rPr>
          <w:rFonts w:eastAsia="Arial" w:cs="Arial"/>
          <w:color w:val="000000" w:themeColor="text1"/>
          <w:sz w:val="22"/>
          <w:szCs w:val="22"/>
        </w:rPr>
        <w:t>over 100,000 of the Fund’s beneficiaries are small scale farmers</w:t>
      </w:r>
      <w:r w:rsidR="00F229F6" w:rsidRPr="0010553F">
        <w:rPr>
          <w:color w:val="000000" w:themeColor="text1"/>
          <w:sz w:val="22"/>
          <w:szCs w:val="22"/>
        </w:rPr>
        <w:t xml:space="preserve"> growing produce for sale on tiny areas of around one-three hectares each, which suggests that the Fund’s benefits are reaching some of the poorest households in the world, while projects </w:t>
      </w:r>
      <w:r w:rsidR="008723B3">
        <w:rPr>
          <w:color w:val="000000" w:themeColor="text1"/>
          <w:sz w:val="22"/>
          <w:szCs w:val="22"/>
        </w:rPr>
        <w:t>have also created</w:t>
      </w:r>
      <w:r w:rsidR="00F229F6" w:rsidRPr="0010553F">
        <w:rPr>
          <w:color w:val="000000" w:themeColor="text1"/>
          <w:sz w:val="22"/>
          <w:szCs w:val="22"/>
        </w:rPr>
        <w:t xml:space="preserve"> </w:t>
      </w:r>
      <w:r w:rsidR="008723B3">
        <w:rPr>
          <w:color w:val="000000" w:themeColor="text1"/>
          <w:sz w:val="22"/>
          <w:szCs w:val="22"/>
        </w:rPr>
        <w:t xml:space="preserve">5,419 </w:t>
      </w:r>
      <w:r w:rsidR="00F229F6" w:rsidRPr="0010553F">
        <w:rPr>
          <w:color w:val="000000" w:themeColor="text1"/>
          <w:sz w:val="22"/>
          <w:szCs w:val="22"/>
        </w:rPr>
        <w:t xml:space="preserve">secure jobs </w:t>
      </w:r>
      <w:r w:rsidR="00F229F6">
        <w:rPr>
          <w:color w:val="000000" w:themeColor="text1"/>
          <w:sz w:val="22"/>
          <w:szCs w:val="22"/>
        </w:rPr>
        <w:t xml:space="preserve">with decent living wages </w:t>
      </w:r>
      <w:r w:rsidR="00F229F6" w:rsidRPr="0010553F">
        <w:rPr>
          <w:color w:val="000000" w:themeColor="text1"/>
          <w:sz w:val="22"/>
          <w:szCs w:val="22"/>
        </w:rPr>
        <w:t>in poor, rural areas</w:t>
      </w:r>
      <w:r w:rsidR="00F229F6">
        <w:rPr>
          <w:color w:val="000000" w:themeColor="text1"/>
          <w:sz w:val="22"/>
          <w:szCs w:val="22"/>
        </w:rPr>
        <w:t xml:space="preserve">, </w:t>
      </w:r>
      <w:r w:rsidR="008723B3">
        <w:rPr>
          <w:rFonts w:eastAsia="Arial" w:cs="Arial"/>
          <w:sz w:val="22"/>
          <w:szCs w:val="22"/>
        </w:rPr>
        <w:t>in line with</w:t>
      </w:r>
      <w:r w:rsidR="00F229F6" w:rsidRPr="4F7D4E74">
        <w:rPr>
          <w:rFonts w:eastAsia="Arial" w:cs="Arial"/>
          <w:sz w:val="22"/>
          <w:szCs w:val="22"/>
        </w:rPr>
        <w:t xml:space="preserve"> LDN’s ESG guidance</w:t>
      </w:r>
      <w:r w:rsidR="00F229F6" w:rsidRPr="0010553F">
        <w:rPr>
          <w:color w:val="000000" w:themeColor="text1"/>
          <w:sz w:val="22"/>
          <w:szCs w:val="22"/>
        </w:rPr>
        <w:t>.</w:t>
      </w:r>
      <w:r w:rsidR="003D410C">
        <w:rPr>
          <w:color w:val="000000" w:themeColor="text1"/>
          <w:sz w:val="22"/>
          <w:szCs w:val="22"/>
        </w:rPr>
        <w:t xml:space="preserve"> Proportionally, the total number of livelihoods being supported</w:t>
      </w:r>
      <w:r w:rsidR="001C57A4">
        <w:rPr>
          <w:color w:val="000000" w:themeColor="text1"/>
          <w:sz w:val="22"/>
          <w:szCs w:val="22"/>
        </w:rPr>
        <w:t xml:space="preserve"> by Defra’s</w:t>
      </w:r>
      <w:r w:rsidR="00D61C4C">
        <w:rPr>
          <w:color w:val="000000" w:themeColor="text1"/>
          <w:sz w:val="22"/>
          <w:szCs w:val="22"/>
        </w:rPr>
        <w:t xml:space="preserve"> contribution </w:t>
      </w:r>
      <w:r w:rsidR="00D92BA5">
        <w:rPr>
          <w:color w:val="000000" w:themeColor="text1"/>
          <w:sz w:val="22"/>
          <w:szCs w:val="22"/>
        </w:rPr>
        <w:t xml:space="preserve">(direct and leveraged) </w:t>
      </w:r>
      <w:r w:rsidR="00D61C4C">
        <w:rPr>
          <w:color w:val="000000" w:themeColor="text1"/>
          <w:sz w:val="22"/>
          <w:szCs w:val="22"/>
        </w:rPr>
        <w:t xml:space="preserve">is </w:t>
      </w:r>
      <w:r w:rsidR="008F4CC1">
        <w:rPr>
          <w:color w:val="000000" w:themeColor="text1"/>
          <w:sz w:val="22"/>
          <w:szCs w:val="22"/>
        </w:rPr>
        <w:t>1</w:t>
      </w:r>
      <w:r w:rsidR="00AB028F">
        <w:rPr>
          <w:color w:val="000000" w:themeColor="text1"/>
          <w:sz w:val="22"/>
          <w:szCs w:val="22"/>
        </w:rPr>
        <w:t>3,268</w:t>
      </w:r>
      <w:r w:rsidR="00A879C9">
        <w:rPr>
          <w:color w:val="000000" w:themeColor="text1"/>
          <w:sz w:val="22"/>
          <w:szCs w:val="22"/>
        </w:rPr>
        <w:t>, at a cost of £</w:t>
      </w:r>
      <w:r w:rsidR="006F3B79">
        <w:rPr>
          <w:color w:val="000000" w:themeColor="text1"/>
          <w:sz w:val="22"/>
          <w:szCs w:val="22"/>
        </w:rPr>
        <w:t>754</w:t>
      </w:r>
      <w:r w:rsidR="00A879C9">
        <w:rPr>
          <w:color w:val="000000" w:themeColor="text1"/>
          <w:sz w:val="22"/>
          <w:szCs w:val="22"/>
        </w:rPr>
        <w:t xml:space="preserve"> per live</w:t>
      </w:r>
      <w:r w:rsidR="004C0A4E">
        <w:rPr>
          <w:color w:val="000000" w:themeColor="text1"/>
          <w:sz w:val="22"/>
          <w:szCs w:val="22"/>
        </w:rPr>
        <w:t>lihood against Defra’s total investment</w:t>
      </w:r>
      <w:r w:rsidR="00783969">
        <w:rPr>
          <w:color w:val="000000" w:themeColor="text1"/>
          <w:sz w:val="22"/>
          <w:szCs w:val="22"/>
        </w:rPr>
        <w:t xml:space="preserve">; the cost per job should come down </w:t>
      </w:r>
      <w:r w:rsidR="003A6173">
        <w:rPr>
          <w:color w:val="000000" w:themeColor="text1"/>
          <w:sz w:val="22"/>
          <w:szCs w:val="22"/>
        </w:rPr>
        <w:t>over time.</w:t>
      </w:r>
    </w:p>
    <w:p w14:paraId="294B2BC9" w14:textId="77777777" w:rsidR="00342183" w:rsidRDefault="00342183" w:rsidP="428F1934">
      <w:pPr>
        <w:jc w:val="both"/>
        <w:rPr>
          <w:rFonts w:eastAsia="Arial" w:cs="Arial"/>
          <w:sz w:val="22"/>
          <w:szCs w:val="22"/>
        </w:rPr>
      </w:pPr>
    </w:p>
    <w:p w14:paraId="345F0D3A" w14:textId="553187DA" w:rsidR="1DCB4072" w:rsidRDefault="1DCB4072" w:rsidP="428F1934">
      <w:pPr>
        <w:jc w:val="both"/>
        <w:rPr>
          <w:rFonts w:eastAsia="Arial" w:cs="Arial"/>
          <w:sz w:val="22"/>
          <w:szCs w:val="22"/>
        </w:rPr>
      </w:pPr>
      <w:r w:rsidRPr="428F1934">
        <w:rPr>
          <w:rFonts w:eastAsia="Arial" w:cs="Arial"/>
          <w:sz w:val="22"/>
          <w:szCs w:val="22"/>
        </w:rPr>
        <w:t>Overall, it is apparent that the LDN fund is actively encouraging projects to place GESI at the forefront of their priorities, evidenced through an increase in the percentage of women employed by or with main livelihood supported by LDN Fund projects and through an additional project meeting the 2</w:t>
      </w:r>
      <w:r w:rsidR="00AC0824">
        <w:rPr>
          <w:rFonts w:eastAsia="Arial" w:cs="Arial"/>
          <w:sz w:val="22"/>
          <w:szCs w:val="22"/>
        </w:rPr>
        <w:t>X</w:t>
      </w:r>
      <w:r w:rsidRPr="428F1934">
        <w:rPr>
          <w:rFonts w:eastAsia="Arial" w:cs="Arial"/>
          <w:sz w:val="22"/>
          <w:szCs w:val="22"/>
        </w:rPr>
        <w:t xml:space="preserve"> Challenge eligibility criteria</w:t>
      </w:r>
      <w:r w:rsidR="00CF59D0">
        <w:rPr>
          <w:rFonts w:eastAsia="Arial" w:cs="Arial"/>
          <w:sz w:val="22"/>
          <w:szCs w:val="22"/>
        </w:rPr>
        <w:t>, all without additional funding</w:t>
      </w:r>
      <w:r w:rsidRPr="428F1934">
        <w:rPr>
          <w:rFonts w:eastAsia="Arial" w:cs="Arial"/>
          <w:sz w:val="22"/>
          <w:szCs w:val="22"/>
        </w:rPr>
        <w:t>.</w:t>
      </w:r>
    </w:p>
    <w:p w14:paraId="03A6036B" w14:textId="77777777" w:rsidR="005271A9" w:rsidRDefault="005271A9" w:rsidP="428F1934">
      <w:pPr>
        <w:jc w:val="both"/>
      </w:pPr>
    </w:p>
    <w:p w14:paraId="31D270C2" w14:textId="3749E3EA" w:rsidR="1DCB4072" w:rsidRDefault="1DCB4072" w:rsidP="428F1934">
      <w:pPr>
        <w:tabs>
          <w:tab w:val="left" w:pos="5014"/>
        </w:tabs>
        <w:jc w:val="both"/>
      </w:pPr>
      <w:r w:rsidRPr="428F1934">
        <w:rPr>
          <w:rFonts w:eastAsia="Arial" w:cs="Arial"/>
          <w:sz w:val="22"/>
          <w:szCs w:val="22"/>
        </w:rPr>
        <w:t xml:space="preserve"> </w:t>
      </w:r>
      <w:r w:rsidRPr="428F1934">
        <w:rPr>
          <w:rFonts w:eastAsia="Arial" w:cs="Arial"/>
          <w:b/>
          <w:bCs/>
          <w:sz w:val="22"/>
          <w:szCs w:val="22"/>
        </w:rPr>
        <w:t>Cost Effectivene</w:t>
      </w:r>
      <w:r w:rsidR="00F92DB0">
        <w:rPr>
          <w:rFonts w:eastAsia="Arial" w:cs="Arial"/>
          <w:b/>
          <w:bCs/>
          <w:sz w:val="22"/>
          <w:szCs w:val="22"/>
        </w:rPr>
        <w:t>ss</w:t>
      </w:r>
    </w:p>
    <w:p w14:paraId="361BDDD3" w14:textId="77777777" w:rsidR="00A65793" w:rsidRDefault="00A65793" w:rsidP="002A793D">
      <w:pPr>
        <w:tabs>
          <w:tab w:val="left" w:pos="5014"/>
        </w:tabs>
        <w:jc w:val="both"/>
        <w:rPr>
          <w:sz w:val="22"/>
          <w:szCs w:val="18"/>
        </w:rPr>
      </w:pPr>
    </w:p>
    <w:p w14:paraId="6A8A366A" w14:textId="3AD57693" w:rsidR="00C7429F" w:rsidRDefault="00C04A9A" w:rsidP="002A793D">
      <w:pPr>
        <w:tabs>
          <w:tab w:val="left" w:pos="5014"/>
        </w:tabs>
        <w:jc w:val="both"/>
        <w:rPr>
          <w:sz w:val="22"/>
          <w:szCs w:val="22"/>
        </w:rPr>
      </w:pPr>
      <w:r w:rsidRPr="45A4AAAF">
        <w:rPr>
          <w:sz w:val="22"/>
          <w:szCs w:val="22"/>
        </w:rPr>
        <w:t xml:space="preserve">The </w:t>
      </w:r>
      <w:r w:rsidR="006C7F4A" w:rsidRPr="45A4AAAF">
        <w:rPr>
          <w:sz w:val="22"/>
          <w:szCs w:val="22"/>
        </w:rPr>
        <w:t xml:space="preserve">intended </w:t>
      </w:r>
      <w:r w:rsidR="00974C19" w:rsidRPr="45A4AAAF">
        <w:rPr>
          <w:sz w:val="22"/>
          <w:szCs w:val="22"/>
        </w:rPr>
        <w:t>long-term</w:t>
      </w:r>
      <w:r w:rsidRPr="45A4AAAF">
        <w:rPr>
          <w:sz w:val="22"/>
          <w:szCs w:val="22"/>
        </w:rPr>
        <w:t xml:space="preserve"> impact of the scheme</w:t>
      </w:r>
      <w:r w:rsidR="00974C19" w:rsidRPr="45A4AAAF">
        <w:rPr>
          <w:sz w:val="22"/>
          <w:szCs w:val="22"/>
        </w:rPr>
        <w:t xml:space="preserve"> </w:t>
      </w:r>
      <w:r w:rsidR="006C7F4A" w:rsidRPr="45A4AAAF">
        <w:rPr>
          <w:sz w:val="22"/>
          <w:szCs w:val="22"/>
        </w:rPr>
        <w:t xml:space="preserve">is </w:t>
      </w:r>
      <w:r w:rsidR="00974C19" w:rsidRPr="45A4AAAF">
        <w:rPr>
          <w:sz w:val="22"/>
          <w:szCs w:val="22"/>
        </w:rPr>
        <w:t xml:space="preserve">to </w:t>
      </w:r>
      <w:r w:rsidR="00DD11A7" w:rsidRPr="45A4AAAF">
        <w:rPr>
          <w:sz w:val="22"/>
          <w:szCs w:val="22"/>
        </w:rPr>
        <w:t>drive transformational change</w:t>
      </w:r>
      <w:r w:rsidR="006C7F4A" w:rsidRPr="45A4AAAF">
        <w:rPr>
          <w:sz w:val="22"/>
          <w:szCs w:val="22"/>
        </w:rPr>
        <w:t>,</w:t>
      </w:r>
      <w:r w:rsidR="00E86BE2" w:rsidRPr="45A4AAAF">
        <w:rPr>
          <w:sz w:val="22"/>
          <w:szCs w:val="22"/>
        </w:rPr>
        <w:t xml:space="preserve"> by </w:t>
      </w:r>
      <w:r w:rsidR="00510CEC" w:rsidRPr="45A4AAAF">
        <w:rPr>
          <w:sz w:val="22"/>
          <w:szCs w:val="22"/>
        </w:rPr>
        <w:t>facilitating and maximising the flow of finance towards sustainable land management projects and practices</w:t>
      </w:r>
      <w:r w:rsidR="006C7F4A" w:rsidRPr="45A4AAAF">
        <w:rPr>
          <w:sz w:val="22"/>
          <w:szCs w:val="22"/>
        </w:rPr>
        <w:t>,</w:t>
      </w:r>
      <w:r w:rsidR="00510CEC" w:rsidRPr="45A4AAAF">
        <w:rPr>
          <w:sz w:val="22"/>
          <w:szCs w:val="22"/>
        </w:rPr>
        <w:t xml:space="preserve"> to</w:t>
      </w:r>
      <w:r w:rsidR="00DD11A7" w:rsidRPr="45A4AAAF">
        <w:rPr>
          <w:sz w:val="22"/>
          <w:szCs w:val="22"/>
        </w:rPr>
        <w:t xml:space="preserve"> contribute to minimising climate change</w:t>
      </w:r>
      <w:r w:rsidR="008051BF" w:rsidRPr="45A4AAAF">
        <w:rPr>
          <w:sz w:val="22"/>
          <w:szCs w:val="22"/>
        </w:rPr>
        <w:t xml:space="preserve"> and wider environmental impacts. Key environmental </w:t>
      </w:r>
      <w:r w:rsidR="008077DA" w:rsidRPr="45A4AAAF">
        <w:rPr>
          <w:sz w:val="22"/>
          <w:szCs w:val="22"/>
        </w:rPr>
        <w:t xml:space="preserve">outcomes </w:t>
      </w:r>
      <w:r w:rsidR="008051BF" w:rsidRPr="45A4AAAF">
        <w:rPr>
          <w:sz w:val="22"/>
          <w:szCs w:val="22"/>
        </w:rPr>
        <w:t>include land</w:t>
      </w:r>
      <w:r w:rsidR="008077DA" w:rsidRPr="45A4AAAF">
        <w:rPr>
          <w:sz w:val="22"/>
          <w:szCs w:val="22"/>
        </w:rPr>
        <w:t xml:space="preserve"> contributing towards land degradation neutrality</w:t>
      </w:r>
      <w:r w:rsidR="008051BF" w:rsidRPr="45A4AAAF">
        <w:rPr>
          <w:sz w:val="22"/>
          <w:szCs w:val="22"/>
        </w:rPr>
        <w:t xml:space="preserve">, </w:t>
      </w:r>
      <w:r w:rsidR="008077DA" w:rsidRPr="45A4AAAF">
        <w:rPr>
          <w:sz w:val="22"/>
          <w:szCs w:val="22"/>
        </w:rPr>
        <w:t xml:space="preserve">reforestation and </w:t>
      </w:r>
      <w:r w:rsidR="008051BF" w:rsidRPr="45A4AAAF">
        <w:rPr>
          <w:sz w:val="22"/>
          <w:szCs w:val="22"/>
        </w:rPr>
        <w:t>tonnes of CO2e emissions avoided</w:t>
      </w:r>
      <w:r w:rsidR="008077DA" w:rsidRPr="45A4AAAF">
        <w:rPr>
          <w:sz w:val="22"/>
          <w:szCs w:val="22"/>
        </w:rPr>
        <w:t xml:space="preserve">. </w:t>
      </w:r>
      <w:proofErr w:type="gramStart"/>
      <w:r w:rsidR="00342183" w:rsidRPr="45A4AAAF">
        <w:rPr>
          <w:sz w:val="22"/>
          <w:szCs w:val="22"/>
        </w:rPr>
        <w:t>All of</w:t>
      </w:r>
      <w:proofErr w:type="gramEnd"/>
      <w:r w:rsidR="00342183" w:rsidRPr="45A4AAAF">
        <w:rPr>
          <w:sz w:val="22"/>
          <w:szCs w:val="22"/>
        </w:rPr>
        <w:t xml:space="preserve"> </w:t>
      </w:r>
      <w:r w:rsidR="00EA2D5A" w:rsidRPr="45A4AAAF">
        <w:rPr>
          <w:sz w:val="22"/>
          <w:szCs w:val="22"/>
        </w:rPr>
        <w:t>these outcomes</w:t>
      </w:r>
      <w:r w:rsidR="00342183" w:rsidRPr="45A4AAAF">
        <w:rPr>
          <w:sz w:val="22"/>
          <w:szCs w:val="22"/>
        </w:rPr>
        <w:t xml:space="preserve"> contribute to value for money. </w:t>
      </w:r>
      <w:r w:rsidR="00F614B2" w:rsidRPr="45A4AAAF">
        <w:rPr>
          <w:sz w:val="22"/>
          <w:szCs w:val="22"/>
        </w:rPr>
        <w:t>While a full cost-benefit analysis has not been conducted</w:t>
      </w:r>
      <w:r w:rsidR="296D9DB4" w:rsidRPr="45A4AAAF">
        <w:rPr>
          <w:sz w:val="22"/>
          <w:szCs w:val="22"/>
        </w:rPr>
        <w:t xml:space="preserve"> and this therefore does not account for risks such as additionality and leakage</w:t>
      </w:r>
      <w:r w:rsidR="00F614B2" w:rsidRPr="45A4AAAF">
        <w:rPr>
          <w:sz w:val="22"/>
          <w:szCs w:val="22"/>
        </w:rPr>
        <w:t>,</w:t>
      </w:r>
      <w:r w:rsidR="56D5E6F1" w:rsidRPr="45A4AAAF">
        <w:rPr>
          <w:sz w:val="22"/>
          <w:szCs w:val="22"/>
        </w:rPr>
        <w:t xml:space="preserve"> an indication of the value of benefits can be shown using</w:t>
      </w:r>
      <w:r w:rsidR="00F614B2" w:rsidRPr="45A4AAAF">
        <w:rPr>
          <w:sz w:val="22"/>
          <w:szCs w:val="22"/>
        </w:rPr>
        <w:t xml:space="preserve"> </w:t>
      </w:r>
      <w:r w:rsidR="00342183" w:rsidRPr="45A4AAAF">
        <w:rPr>
          <w:sz w:val="22"/>
          <w:szCs w:val="22"/>
        </w:rPr>
        <w:t>the value of the</w:t>
      </w:r>
      <w:r w:rsidR="00D73314" w:rsidRPr="45A4AAAF">
        <w:rPr>
          <w:sz w:val="22"/>
          <w:szCs w:val="22"/>
        </w:rPr>
        <w:t xml:space="preserve"> reductions in CO2e emissions </w:t>
      </w:r>
      <w:r w:rsidR="1C12094C" w:rsidRPr="45A4AAAF">
        <w:rPr>
          <w:sz w:val="22"/>
          <w:szCs w:val="22"/>
        </w:rPr>
        <w:t>as an example.</w:t>
      </w:r>
      <w:r w:rsidR="00D73314" w:rsidRPr="45A4AAAF">
        <w:rPr>
          <w:sz w:val="22"/>
          <w:szCs w:val="22"/>
        </w:rPr>
        <w:t xml:space="preserve"> </w:t>
      </w:r>
      <w:r w:rsidR="55AFD73B" w:rsidRPr="45A4AAAF">
        <w:rPr>
          <w:sz w:val="22"/>
          <w:szCs w:val="22"/>
        </w:rPr>
        <w:t xml:space="preserve">A reduction of </w:t>
      </w:r>
      <w:r w:rsidR="00D17C85" w:rsidRPr="45A4AAAF">
        <w:rPr>
          <w:sz w:val="22"/>
          <w:szCs w:val="22"/>
        </w:rPr>
        <w:t>201</w:t>
      </w:r>
      <w:r w:rsidR="009D409E" w:rsidRPr="45A4AAAF">
        <w:rPr>
          <w:sz w:val="22"/>
          <w:szCs w:val="22"/>
        </w:rPr>
        <w:t>,000t</w:t>
      </w:r>
      <w:r w:rsidR="00472DE7">
        <w:rPr>
          <w:sz w:val="22"/>
          <w:szCs w:val="22"/>
        </w:rPr>
        <w:t xml:space="preserve"> </w:t>
      </w:r>
      <w:r w:rsidR="009D409E" w:rsidRPr="45A4AAAF">
        <w:rPr>
          <w:sz w:val="22"/>
          <w:szCs w:val="22"/>
        </w:rPr>
        <w:t>CO2e</w:t>
      </w:r>
      <w:r w:rsidR="00835CD5" w:rsidRPr="45A4AAAF">
        <w:rPr>
          <w:sz w:val="22"/>
          <w:szCs w:val="22"/>
        </w:rPr>
        <w:t xml:space="preserve"> </w:t>
      </w:r>
      <w:r w:rsidR="5C12441A" w:rsidRPr="45A4AAAF">
        <w:rPr>
          <w:sz w:val="22"/>
          <w:szCs w:val="22"/>
        </w:rPr>
        <w:t xml:space="preserve">is </w:t>
      </w:r>
      <w:r w:rsidR="7DFD32A0" w:rsidRPr="45A4AAAF">
        <w:rPr>
          <w:sz w:val="22"/>
          <w:szCs w:val="22"/>
        </w:rPr>
        <w:t xml:space="preserve">attributed to Defra’s investment </w:t>
      </w:r>
      <w:r w:rsidR="00835CD5" w:rsidRPr="45A4AAAF">
        <w:rPr>
          <w:sz w:val="22"/>
          <w:szCs w:val="22"/>
        </w:rPr>
        <w:t>(</w:t>
      </w:r>
      <w:r w:rsidR="00D17C85" w:rsidRPr="45A4AAAF">
        <w:rPr>
          <w:sz w:val="22"/>
          <w:szCs w:val="22"/>
        </w:rPr>
        <w:t>109</w:t>
      </w:r>
      <w:r w:rsidR="005D02C7" w:rsidRPr="45A4AAAF">
        <w:rPr>
          <w:sz w:val="22"/>
          <w:szCs w:val="22"/>
        </w:rPr>
        <w:t xml:space="preserve">,000t direct impact, </w:t>
      </w:r>
      <w:r w:rsidR="00D17C85" w:rsidRPr="45A4AAAF">
        <w:rPr>
          <w:sz w:val="22"/>
          <w:szCs w:val="22"/>
        </w:rPr>
        <w:t>92,000t from leveraged finance)</w:t>
      </w:r>
      <w:r w:rsidR="00555DFC" w:rsidRPr="45A4AAAF">
        <w:rPr>
          <w:sz w:val="22"/>
          <w:szCs w:val="22"/>
        </w:rPr>
        <w:t>,</w:t>
      </w:r>
      <w:r w:rsidR="00F614B2" w:rsidRPr="45A4AAAF">
        <w:rPr>
          <w:sz w:val="22"/>
          <w:szCs w:val="22"/>
        </w:rPr>
        <w:t xml:space="preserve"> </w:t>
      </w:r>
      <w:r w:rsidR="12184107" w:rsidRPr="45A4AAAF">
        <w:rPr>
          <w:sz w:val="22"/>
          <w:szCs w:val="22"/>
        </w:rPr>
        <w:t>which, using the</w:t>
      </w:r>
      <w:r w:rsidR="004D26F8" w:rsidRPr="45A4AAAF">
        <w:rPr>
          <w:sz w:val="22"/>
          <w:szCs w:val="22"/>
        </w:rPr>
        <w:t xml:space="preserve"> 2024 estimated </w:t>
      </w:r>
      <w:r w:rsidR="00555DFC" w:rsidRPr="45A4AAAF">
        <w:rPr>
          <w:sz w:val="22"/>
          <w:szCs w:val="22"/>
        </w:rPr>
        <w:t xml:space="preserve">CO2e value of £256/tonne, </w:t>
      </w:r>
      <w:r w:rsidR="00342183" w:rsidRPr="45A4AAAF">
        <w:rPr>
          <w:sz w:val="22"/>
          <w:szCs w:val="22"/>
        </w:rPr>
        <w:t>result</w:t>
      </w:r>
      <w:r w:rsidR="00C10381" w:rsidRPr="45A4AAAF">
        <w:rPr>
          <w:sz w:val="22"/>
          <w:szCs w:val="22"/>
        </w:rPr>
        <w:t>s</w:t>
      </w:r>
      <w:r w:rsidR="00342183" w:rsidRPr="45A4AAAF">
        <w:rPr>
          <w:sz w:val="22"/>
          <w:szCs w:val="22"/>
        </w:rPr>
        <w:t xml:space="preserve"> in </w:t>
      </w:r>
      <w:r w:rsidR="30138E64" w:rsidRPr="45A4AAAF">
        <w:rPr>
          <w:sz w:val="22"/>
          <w:szCs w:val="22"/>
        </w:rPr>
        <w:t xml:space="preserve">a benefit of </w:t>
      </w:r>
      <w:r w:rsidR="00342183" w:rsidRPr="45A4AAAF">
        <w:rPr>
          <w:sz w:val="22"/>
          <w:szCs w:val="22"/>
        </w:rPr>
        <w:t>more than £</w:t>
      </w:r>
      <w:r w:rsidR="004302D0" w:rsidRPr="45A4AAAF">
        <w:rPr>
          <w:sz w:val="22"/>
          <w:szCs w:val="22"/>
        </w:rPr>
        <w:t>5</w:t>
      </w:r>
      <w:r w:rsidR="00342183" w:rsidRPr="45A4AAAF">
        <w:rPr>
          <w:sz w:val="22"/>
          <w:szCs w:val="22"/>
        </w:rPr>
        <w:t xml:space="preserve">0m so far </w:t>
      </w:r>
      <w:r w:rsidR="00C7429F" w:rsidRPr="45A4AAAF">
        <w:rPr>
          <w:sz w:val="22"/>
          <w:szCs w:val="22"/>
        </w:rPr>
        <w:t xml:space="preserve">with many projects not yet complete. This </w:t>
      </w:r>
      <w:r w:rsidR="00342183" w:rsidRPr="45A4AAAF">
        <w:rPr>
          <w:sz w:val="22"/>
          <w:szCs w:val="22"/>
        </w:rPr>
        <w:t>greatly exceeds</w:t>
      </w:r>
      <w:r w:rsidR="00C7429F" w:rsidRPr="45A4AAAF">
        <w:rPr>
          <w:sz w:val="22"/>
          <w:szCs w:val="22"/>
        </w:rPr>
        <w:t xml:space="preserve"> Defra funding of £10m.</w:t>
      </w:r>
    </w:p>
    <w:p w14:paraId="207F4B73" w14:textId="77777777" w:rsidR="002578FD" w:rsidRDefault="002578FD" w:rsidP="002A793D">
      <w:pPr>
        <w:tabs>
          <w:tab w:val="left" w:pos="5014"/>
        </w:tabs>
        <w:jc w:val="both"/>
        <w:rPr>
          <w:sz w:val="22"/>
          <w:szCs w:val="18"/>
        </w:rPr>
      </w:pPr>
    </w:p>
    <w:p w14:paraId="5CC0C2C1" w14:textId="3E7B332E" w:rsidR="002578FD" w:rsidRDefault="002578FD" w:rsidP="002A793D">
      <w:pPr>
        <w:tabs>
          <w:tab w:val="left" w:pos="5014"/>
        </w:tabs>
        <w:jc w:val="both"/>
        <w:rPr>
          <w:sz w:val="22"/>
          <w:szCs w:val="18"/>
        </w:rPr>
      </w:pPr>
      <w:r>
        <w:rPr>
          <w:sz w:val="22"/>
          <w:szCs w:val="18"/>
        </w:rPr>
        <w:t xml:space="preserve">Cost effectiveness may be slightly below initial expectations in the business case </w:t>
      </w:r>
      <w:proofErr w:type="gramStart"/>
      <w:r>
        <w:rPr>
          <w:sz w:val="22"/>
          <w:szCs w:val="18"/>
        </w:rPr>
        <w:t>as a result of</w:t>
      </w:r>
      <w:proofErr w:type="gramEnd"/>
      <w:r>
        <w:rPr>
          <w:sz w:val="22"/>
          <w:szCs w:val="18"/>
        </w:rPr>
        <w:t xml:space="preserve"> underperformance against key environmental outcome indicators</w:t>
      </w:r>
      <w:r w:rsidR="00FC7B62">
        <w:rPr>
          <w:sz w:val="22"/>
          <w:szCs w:val="18"/>
        </w:rPr>
        <w:t xml:space="preserve">, although areas of overperformance also exist in areas such as job creation. However, while </w:t>
      </w:r>
      <w:r w:rsidR="00EB71CA">
        <w:rPr>
          <w:sz w:val="22"/>
          <w:szCs w:val="18"/>
        </w:rPr>
        <w:t xml:space="preserve">private funding has exceeded targets, </w:t>
      </w:r>
      <w:r w:rsidR="003F49F0">
        <w:rPr>
          <w:sz w:val="22"/>
          <w:szCs w:val="18"/>
        </w:rPr>
        <w:t xml:space="preserve">there is limited evidence to date that this is driving greater </w:t>
      </w:r>
      <w:r w:rsidR="00EB6077">
        <w:rPr>
          <w:sz w:val="22"/>
          <w:szCs w:val="18"/>
        </w:rPr>
        <w:t xml:space="preserve">environmental outcomes and impacts. This suggests </w:t>
      </w:r>
      <w:r w:rsidR="0019436E">
        <w:rPr>
          <w:sz w:val="22"/>
          <w:szCs w:val="18"/>
        </w:rPr>
        <w:t>impacts at a slightly lower level per pound invested by Defra</w:t>
      </w:r>
      <w:r w:rsidR="00A77584">
        <w:rPr>
          <w:sz w:val="22"/>
          <w:szCs w:val="18"/>
        </w:rPr>
        <w:t xml:space="preserve"> and partners</w:t>
      </w:r>
      <w:r w:rsidR="0019436E">
        <w:rPr>
          <w:sz w:val="22"/>
          <w:szCs w:val="18"/>
        </w:rPr>
        <w:t xml:space="preserve"> than targeted,</w:t>
      </w:r>
      <w:r w:rsidR="00D349F5">
        <w:rPr>
          <w:sz w:val="22"/>
          <w:szCs w:val="18"/>
        </w:rPr>
        <w:t xml:space="preserve"> or signs of diminishing returns,</w:t>
      </w:r>
      <w:r w:rsidR="0019436E">
        <w:rPr>
          <w:sz w:val="22"/>
          <w:szCs w:val="18"/>
        </w:rPr>
        <w:t xml:space="preserve"> as with greater funding</w:t>
      </w:r>
      <w:r w:rsidR="00E91B7D">
        <w:rPr>
          <w:sz w:val="22"/>
          <w:szCs w:val="18"/>
        </w:rPr>
        <w:t xml:space="preserve"> catalysed,</w:t>
      </w:r>
      <w:r w:rsidR="0019436E">
        <w:rPr>
          <w:sz w:val="22"/>
          <w:szCs w:val="18"/>
        </w:rPr>
        <w:t xml:space="preserve"> </w:t>
      </w:r>
      <w:r w:rsidR="00DB1DE5">
        <w:rPr>
          <w:sz w:val="22"/>
          <w:szCs w:val="18"/>
        </w:rPr>
        <w:t xml:space="preserve">the programme may be expected to deliver greater results. Not all funding has yet been disbursed </w:t>
      </w:r>
      <w:r w:rsidR="00E91B7D">
        <w:rPr>
          <w:sz w:val="22"/>
          <w:szCs w:val="18"/>
        </w:rPr>
        <w:t xml:space="preserve">to projects </w:t>
      </w:r>
      <w:r w:rsidR="00DB1DE5">
        <w:rPr>
          <w:sz w:val="22"/>
          <w:szCs w:val="18"/>
        </w:rPr>
        <w:t xml:space="preserve">so </w:t>
      </w:r>
      <w:r w:rsidR="00A65793">
        <w:rPr>
          <w:sz w:val="22"/>
          <w:szCs w:val="18"/>
        </w:rPr>
        <w:t xml:space="preserve">any additional </w:t>
      </w:r>
      <w:r w:rsidR="00DB1DE5">
        <w:rPr>
          <w:sz w:val="22"/>
          <w:szCs w:val="18"/>
        </w:rPr>
        <w:t xml:space="preserve">impacts </w:t>
      </w:r>
      <w:proofErr w:type="gramStart"/>
      <w:r w:rsidR="00A65793">
        <w:rPr>
          <w:sz w:val="22"/>
          <w:szCs w:val="18"/>
        </w:rPr>
        <w:t>as a result of</w:t>
      </w:r>
      <w:proofErr w:type="gramEnd"/>
      <w:r w:rsidR="00A65793">
        <w:rPr>
          <w:sz w:val="22"/>
          <w:szCs w:val="18"/>
        </w:rPr>
        <w:t xml:space="preserve"> greater funding </w:t>
      </w:r>
      <w:r w:rsidR="00DB1DE5">
        <w:rPr>
          <w:sz w:val="22"/>
          <w:szCs w:val="18"/>
        </w:rPr>
        <w:t xml:space="preserve">may </w:t>
      </w:r>
      <w:r w:rsidR="00A65793">
        <w:rPr>
          <w:sz w:val="22"/>
          <w:szCs w:val="18"/>
        </w:rPr>
        <w:t>become more apparent in the latter years of the programme.</w:t>
      </w:r>
      <w:r w:rsidR="00B72A79">
        <w:rPr>
          <w:sz w:val="22"/>
          <w:szCs w:val="18"/>
        </w:rPr>
        <w:t xml:space="preserve"> </w:t>
      </w:r>
    </w:p>
    <w:p w14:paraId="0F45E709" w14:textId="77777777" w:rsidR="002A793D" w:rsidRPr="002A793D" w:rsidRDefault="002A793D" w:rsidP="002A793D">
      <w:pPr>
        <w:tabs>
          <w:tab w:val="left" w:pos="5014"/>
        </w:tabs>
        <w:jc w:val="both"/>
        <w:rPr>
          <w:sz w:val="22"/>
          <w:szCs w:val="18"/>
        </w:rPr>
      </w:pPr>
    </w:p>
    <w:p w14:paraId="5A77F22C" w14:textId="77777777" w:rsidR="002A793D" w:rsidRPr="002A793D" w:rsidRDefault="002A793D" w:rsidP="002A793D">
      <w:pPr>
        <w:keepNext/>
        <w:rPr>
          <w:b/>
          <w:bCs/>
          <w:noProof/>
          <w:sz w:val="22"/>
          <w:szCs w:val="22"/>
        </w:rPr>
      </w:pPr>
      <w:r w:rsidRPr="002A793D">
        <w:rPr>
          <w:b/>
          <w:bCs/>
          <w:noProof/>
          <w:sz w:val="22"/>
          <w:szCs w:val="22"/>
        </w:rPr>
        <w:t>Value for money summary</w:t>
      </w:r>
    </w:p>
    <w:p w14:paraId="6BEBC670" w14:textId="77777777" w:rsidR="002A793D" w:rsidRDefault="002A793D" w:rsidP="002A793D">
      <w:pPr>
        <w:keepNext/>
        <w:rPr>
          <w:noProof/>
          <w:sz w:val="22"/>
          <w:szCs w:val="22"/>
        </w:rPr>
      </w:pPr>
    </w:p>
    <w:p w14:paraId="28B51206" w14:textId="1BB2EC4F" w:rsidR="002A793D" w:rsidRPr="002A793D" w:rsidRDefault="002A793D" w:rsidP="002A793D">
      <w:pPr>
        <w:keepNext/>
        <w:rPr>
          <w:noProof/>
          <w:sz w:val="22"/>
          <w:szCs w:val="22"/>
        </w:rPr>
        <w:sectPr w:rsidR="002A793D" w:rsidRPr="002A793D" w:rsidSect="00476976">
          <w:pgSz w:w="11906" w:h="16838"/>
          <w:pgMar w:top="709" w:right="1440" w:bottom="709" w:left="1440" w:header="708" w:footer="708" w:gutter="0"/>
          <w:cols w:space="708"/>
          <w:docGrid w:linePitch="360"/>
        </w:sectPr>
      </w:pPr>
      <w:r w:rsidRPr="002A793D">
        <w:rPr>
          <w:noProof/>
          <w:sz w:val="22"/>
          <w:szCs w:val="22"/>
        </w:rPr>
        <w:t>At present there is no evidence that the economic arguments for funding LDNF have changed significantly since Business Case approval, with current results indicating that Defra’s funding of LDNF represents value for money. There has also not been any significant change to the design of the programme which will prevent the programme from delivering value for money in future.</w:t>
      </w:r>
      <w:r w:rsidR="005F3B78">
        <w:rPr>
          <w:noProof/>
          <w:sz w:val="22"/>
          <w:szCs w:val="22"/>
        </w:rPr>
        <w:t xml:space="preserve"> However, in order for the fund to develop a greater BCR, there need to be improvements made to efficiency. These include </w:t>
      </w:r>
      <w:r w:rsidR="0095505A">
        <w:rPr>
          <w:noProof/>
          <w:sz w:val="22"/>
          <w:szCs w:val="22"/>
        </w:rPr>
        <w:t xml:space="preserve">developing better ways to measure the quality of inputs Defra has invested in and ensuring that all outcome indicators meet or exceed their targets. </w:t>
      </w:r>
    </w:p>
    <w:p w14:paraId="3BBB4226" w14:textId="44CC2D61" w:rsidR="00543FF3" w:rsidRPr="00543FF3" w:rsidRDefault="00543FF3" w:rsidP="00543FF3">
      <w:pPr>
        <w:rPr>
          <w:rFonts w:asciiTheme="minorHAnsi" w:eastAsiaTheme="minorEastAsia" w:hAnsiTheme="minorHAnsi" w:cstheme="minorBidi"/>
          <w:sz w:val="22"/>
          <w:szCs w:val="22"/>
          <w:lang w:val="en-US"/>
        </w:rPr>
        <w:sectPr w:rsidR="00543FF3" w:rsidRPr="00543FF3" w:rsidSect="00C87438">
          <w:type w:val="continuous"/>
          <w:pgSz w:w="11906" w:h="16838"/>
          <w:pgMar w:top="709" w:right="1440" w:bottom="709" w:left="1440" w:header="708" w:footer="708" w:gutter="0"/>
          <w:cols w:num="2" w:space="708"/>
          <w:docGrid w:linePitch="360"/>
        </w:sectPr>
      </w:pPr>
    </w:p>
    <w:bookmarkEnd w:id="0"/>
    <w:p w14:paraId="54601539" w14:textId="77777777" w:rsidR="004C3B5E" w:rsidRPr="004C3B5E" w:rsidRDefault="004C3B5E" w:rsidP="0BCBC060">
      <w:pPr>
        <w:keepNext/>
        <w:rPr>
          <w:noProof/>
          <w:sz w:val="22"/>
          <w:szCs w:val="22"/>
        </w:rPr>
      </w:pPr>
    </w:p>
    <w:sectPr w:rsidR="004C3B5E" w:rsidRPr="004C3B5E" w:rsidSect="00C87438">
      <w:headerReference w:type="even" r:id="rId24"/>
      <w:headerReference w:type="default" r:id="rId25"/>
      <w:footerReference w:type="even" r:id="rId26"/>
      <w:footerReference w:type="default" r:id="rId27"/>
      <w:headerReference w:type="first" r:id="rId28"/>
      <w:footerReference w:type="first" r:id="rId29"/>
      <w:type w:val="continuous"/>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21A7" w14:textId="77777777" w:rsidR="004C5A8E" w:rsidRDefault="004C5A8E" w:rsidP="006E5785">
      <w:r>
        <w:separator/>
      </w:r>
    </w:p>
  </w:endnote>
  <w:endnote w:type="continuationSeparator" w:id="0">
    <w:p w14:paraId="4301C8B5" w14:textId="77777777" w:rsidR="004C5A8E" w:rsidRDefault="004C5A8E" w:rsidP="006E5785">
      <w:r>
        <w:continuationSeparator/>
      </w:r>
    </w:p>
  </w:endnote>
  <w:endnote w:type="continuationNotice" w:id="1">
    <w:p w14:paraId="0CDB13D3" w14:textId="77777777" w:rsidR="004C5A8E" w:rsidRDefault="004C5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5E12" w14:textId="77777777" w:rsidR="00A7650A" w:rsidRDefault="00A7650A">
    <w:pPr>
      <w:pStyle w:val="Footer"/>
    </w:pPr>
    <w:r>
      <w:rPr>
        <w:noProof/>
      </w:rPr>
      <mc:AlternateContent>
        <mc:Choice Requires="wps">
          <w:drawing>
            <wp:anchor distT="0" distB="0" distL="114300" distR="114300" simplePos="0" relativeHeight="251658242" behindDoc="0" locked="0" layoutInCell="0" allowOverlap="1" wp14:anchorId="0479334A" wp14:editId="38B15C99">
              <wp:simplePos x="0" y="0"/>
              <wp:positionH relativeFrom="page">
                <wp:posOffset>0</wp:posOffset>
              </wp:positionH>
              <wp:positionV relativeFrom="page">
                <wp:posOffset>10227945</wp:posOffset>
              </wp:positionV>
              <wp:extent cx="7560310" cy="273050"/>
              <wp:effectExtent l="0" t="0" r="0" b="12700"/>
              <wp:wrapNone/>
              <wp:docPr id="11" name="Zone de texte 11" descr="{&quot;HashCode&quot;:164422857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17263" w14:textId="77777777" w:rsidR="00A7650A" w:rsidRPr="00F97230" w:rsidRDefault="00A7650A" w:rsidP="00F97230">
                          <w:pPr>
                            <w:rPr>
                              <w:rFonts w:ascii="Calibri" w:hAnsi="Calibri" w:cs="Calibri"/>
                              <w:color w:val="FFFFFF"/>
                              <w:sz w:val="2"/>
                            </w:rPr>
                          </w:pPr>
                          <w:r w:rsidRPr="00F97230">
                            <w:rPr>
                              <w:rFonts w:ascii="Calibri" w:hAnsi="Calibri" w:cs="Calibri"/>
                              <w:color w:val="FFFFFF"/>
                              <w:sz w:val="2"/>
                            </w:rPr>
                            <w:t>C1 - Public Natixis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79334A" id="_x0000_t202" coordsize="21600,21600" o:spt="202" path="m,l,21600r21600,l21600,xe">
              <v:stroke joinstyle="miter"/>
              <v:path gradientshapeok="t" o:connecttype="rect"/>
            </v:shapetype>
            <v:shape id="Zone de texte 11" o:spid="_x0000_s1027" type="#_x0000_t202" alt="{&quot;HashCode&quot;:1644228579,&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0C17263" w14:textId="77777777" w:rsidR="00A7650A" w:rsidRPr="00F97230" w:rsidRDefault="00A7650A" w:rsidP="00F97230">
                    <w:pPr>
                      <w:rPr>
                        <w:rFonts w:ascii="Calibri" w:hAnsi="Calibri" w:cs="Calibri"/>
                        <w:color w:val="FFFFFF"/>
                        <w:sz w:val="2"/>
                      </w:rPr>
                    </w:pPr>
                    <w:r w:rsidRPr="00F97230">
                      <w:rPr>
                        <w:rFonts w:ascii="Calibri" w:hAnsi="Calibri" w:cs="Calibri"/>
                        <w:color w:val="FFFFFF"/>
                        <w:sz w:val="2"/>
                      </w:rPr>
                      <w:t>C1 - Public Natixis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C5F2" w14:textId="77777777" w:rsidR="00F97230" w:rsidRDefault="00F97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325603"/>
      <w:docPartObj>
        <w:docPartGallery w:val="Page Numbers (Bottom of Page)"/>
        <w:docPartUnique/>
      </w:docPartObj>
    </w:sdtPr>
    <w:sdtEndPr>
      <w:rPr>
        <w:noProof/>
      </w:rPr>
    </w:sdtEndPr>
    <w:sdtContent>
      <w:p w14:paraId="146B727E" w14:textId="49B1C9D2" w:rsidR="000C40BD" w:rsidRDefault="000C40BD">
        <w:pPr>
          <w:pStyle w:val="Footer"/>
          <w:jc w:val="right"/>
        </w:pPr>
        <w:r w:rsidRPr="000C40BD">
          <w:rPr>
            <w:sz w:val="20"/>
            <w:szCs w:val="20"/>
          </w:rPr>
          <w:fldChar w:fldCharType="begin"/>
        </w:r>
        <w:r w:rsidRPr="000C40BD">
          <w:rPr>
            <w:sz w:val="20"/>
            <w:szCs w:val="20"/>
          </w:rPr>
          <w:instrText xml:space="preserve"> PAGE   \* MERGEFORMAT </w:instrText>
        </w:r>
        <w:r w:rsidRPr="000C40BD">
          <w:rPr>
            <w:sz w:val="20"/>
            <w:szCs w:val="20"/>
          </w:rPr>
          <w:fldChar w:fldCharType="separate"/>
        </w:r>
        <w:r w:rsidRPr="000C40BD">
          <w:rPr>
            <w:noProof/>
            <w:sz w:val="20"/>
            <w:szCs w:val="20"/>
          </w:rPr>
          <w:t>2</w:t>
        </w:r>
        <w:r w:rsidRPr="000C40BD">
          <w:rPr>
            <w:noProof/>
            <w:sz w:val="20"/>
            <w:szCs w:val="20"/>
          </w:rPr>
          <w:fldChar w:fldCharType="end"/>
        </w:r>
      </w:p>
    </w:sdtContent>
  </w:sdt>
  <w:p w14:paraId="4368A0E7" w14:textId="29F418E2" w:rsidR="00F97230" w:rsidRDefault="00F972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205" w14:textId="77777777" w:rsidR="00F97230" w:rsidRDefault="00F9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DD8E" w14:textId="77777777" w:rsidR="004C5A8E" w:rsidRDefault="004C5A8E" w:rsidP="006E5785">
      <w:r>
        <w:separator/>
      </w:r>
    </w:p>
  </w:footnote>
  <w:footnote w:type="continuationSeparator" w:id="0">
    <w:p w14:paraId="584AF0B6" w14:textId="77777777" w:rsidR="004C5A8E" w:rsidRDefault="004C5A8E" w:rsidP="006E5785">
      <w:r>
        <w:continuationSeparator/>
      </w:r>
    </w:p>
  </w:footnote>
  <w:footnote w:type="continuationNotice" w:id="1">
    <w:p w14:paraId="27BAC9C2" w14:textId="77777777" w:rsidR="004C5A8E" w:rsidRDefault="004C5A8E"/>
  </w:footnote>
  <w:footnote w:id="2">
    <w:p w14:paraId="2653DE7D" w14:textId="56090CA0" w:rsidR="00975C38" w:rsidRDefault="00975C38" w:rsidP="00975C38">
      <w:pPr>
        <w:spacing w:after="120"/>
        <w:jc w:val="both"/>
      </w:pPr>
      <w:r>
        <w:rPr>
          <w:rStyle w:val="FootnoteReference"/>
        </w:rPr>
        <w:footnoteRef/>
      </w:r>
      <w:r>
        <w:t xml:space="preserve"> </w:t>
      </w:r>
      <w:r w:rsidRPr="00A27181">
        <w:rPr>
          <w:i/>
          <w:iCs/>
        </w:rPr>
        <w:t>N</w:t>
      </w:r>
      <w:r w:rsidRPr="428F1934">
        <w:rPr>
          <w:rFonts w:eastAsia="Arial" w:cs="Arial"/>
          <w:i/>
          <w:iCs/>
          <w:color w:val="000000" w:themeColor="text1"/>
          <w:sz w:val="20"/>
          <w:szCs w:val="20"/>
        </w:rPr>
        <w:t xml:space="preserve">ote the </w:t>
      </w:r>
      <w:r w:rsidR="00B62554">
        <w:rPr>
          <w:rFonts w:eastAsia="Arial" w:cs="Arial"/>
          <w:i/>
          <w:iCs/>
          <w:color w:val="000000" w:themeColor="text1"/>
          <w:sz w:val="20"/>
          <w:szCs w:val="20"/>
        </w:rPr>
        <w:t>indicators assessed</w:t>
      </w:r>
      <w:r w:rsidRPr="428F1934">
        <w:rPr>
          <w:rFonts w:eastAsia="Arial" w:cs="Arial"/>
          <w:i/>
          <w:iCs/>
          <w:color w:val="000000" w:themeColor="text1"/>
          <w:sz w:val="20"/>
          <w:szCs w:val="20"/>
        </w:rPr>
        <w:t xml:space="preserve"> in this table are </w:t>
      </w:r>
      <w:r w:rsidR="00B62554">
        <w:rPr>
          <w:rFonts w:eastAsia="Arial" w:cs="Arial"/>
          <w:i/>
          <w:iCs/>
          <w:color w:val="000000" w:themeColor="text1"/>
          <w:sz w:val="20"/>
          <w:szCs w:val="20"/>
        </w:rPr>
        <w:t xml:space="preserve">those </w:t>
      </w:r>
      <w:r w:rsidRPr="428F1934">
        <w:rPr>
          <w:rFonts w:eastAsia="Arial" w:cs="Arial"/>
          <w:i/>
          <w:iCs/>
          <w:color w:val="000000" w:themeColor="text1"/>
          <w:sz w:val="20"/>
          <w:szCs w:val="20"/>
        </w:rPr>
        <w:t>that have both a planned target and achieved figure in the log frame; other indicators that do not contain both pieces of information are excluded from</w:t>
      </w:r>
      <w:r w:rsidR="00B62554">
        <w:rPr>
          <w:rFonts w:eastAsia="Arial" w:cs="Arial"/>
          <w:i/>
          <w:iCs/>
          <w:color w:val="000000" w:themeColor="text1"/>
          <w:sz w:val="20"/>
          <w:szCs w:val="20"/>
        </w:rPr>
        <w:t xml:space="preserve"> the table</w:t>
      </w:r>
      <w:r w:rsidRPr="428F1934">
        <w:rPr>
          <w:rFonts w:eastAsia="Arial" w:cs="Arial"/>
          <w:i/>
          <w:iCs/>
          <w:color w:val="000000" w:themeColor="text1"/>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D41E" w14:textId="77777777" w:rsidR="00A7650A" w:rsidRDefault="00A7650A">
    <w:pPr>
      <w:pStyle w:val="Header"/>
    </w:pPr>
    <w:r>
      <w:rPr>
        <w:noProof/>
      </w:rPr>
      <mc:AlternateContent>
        <mc:Choice Requires="wps">
          <w:drawing>
            <wp:anchor distT="0" distB="0" distL="114300" distR="114300" simplePos="0" relativeHeight="251658241" behindDoc="0" locked="0" layoutInCell="0" allowOverlap="1" wp14:anchorId="6980FD7E" wp14:editId="1489C5E2">
              <wp:simplePos x="0" y="0"/>
              <wp:positionH relativeFrom="page">
                <wp:posOffset>0</wp:posOffset>
              </wp:positionH>
              <wp:positionV relativeFrom="page">
                <wp:posOffset>190500</wp:posOffset>
              </wp:positionV>
              <wp:extent cx="7560310" cy="273050"/>
              <wp:effectExtent l="0" t="0" r="0" b="12700"/>
              <wp:wrapNone/>
              <wp:docPr id="5" name="Zone de texte 5"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E81AC" w14:textId="77777777" w:rsidR="00A7650A" w:rsidRPr="006E5785" w:rsidRDefault="00A7650A" w:rsidP="006E5785">
                          <w:pPr>
                            <w:rPr>
                              <w:rFonts w:ascii="Calibri" w:hAnsi="Calibri" w:cs="Calibri"/>
                              <w:color w:val="000000"/>
                              <w:sz w:val="20"/>
                            </w:rPr>
                          </w:pPr>
                          <w:r w:rsidRPr="006E578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80FD7E" id="_x0000_t202" coordsize="21600,21600" o:spt="202" path="m,l,21600r21600,l21600,xe">
              <v:stroke joinstyle="miter"/>
              <v:path gradientshapeok="t" o:connecttype="rect"/>
            </v:shapetype>
            <v:shape id="Zone de texte 5"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AFE81AC" w14:textId="77777777" w:rsidR="00A7650A" w:rsidRPr="006E5785" w:rsidRDefault="00A7650A" w:rsidP="006E5785">
                    <w:pPr>
                      <w:rPr>
                        <w:rFonts w:ascii="Calibri" w:hAnsi="Calibri" w:cs="Calibri"/>
                        <w:color w:val="000000"/>
                        <w:sz w:val="20"/>
                      </w:rPr>
                    </w:pPr>
                    <w:r w:rsidRPr="006E5785">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E587" w14:textId="77777777" w:rsidR="00F97230" w:rsidRDefault="00F97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92EF" w14:textId="5B953D0D" w:rsidR="000E1AA3" w:rsidRDefault="000E1AA3">
    <w:pPr>
      <w:pStyle w:val="Header"/>
    </w:pPr>
    <w:r>
      <w:rPr>
        <w:noProof/>
      </w:rPr>
      <mc:AlternateContent>
        <mc:Choice Requires="wps">
          <w:drawing>
            <wp:anchor distT="0" distB="0" distL="114300" distR="114300" simplePos="0" relativeHeight="251658240" behindDoc="0" locked="0" layoutInCell="0" allowOverlap="1" wp14:anchorId="075411E3" wp14:editId="2B8A39F1">
              <wp:simplePos x="0" y="0"/>
              <wp:positionH relativeFrom="page">
                <wp:posOffset>0</wp:posOffset>
              </wp:positionH>
              <wp:positionV relativeFrom="page">
                <wp:posOffset>190500</wp:posOffset>
              </wp:positionV>
              <wp:extent cx="7560310" cy="273050"/>
              <wp:effectExtent l="0" t="0" r="0" b="12700"/>
              <wp:wrapNone/>
              <wp:docPr id="1" name="Zone de texte 1"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ABAE4" w14:textId="5DE5ECEF" w:rsidR="000E1AA3" w:rsidRPr="006E5785" w:rsidRDefault="000E1AA3" w:rsidP="006E5785">
                          <w:pPr>
                            <w:rPr>
                              <w:rFonts w:ascii="Calibri" w:hAnsi="Calibri" w:cs="Calibri"/>
                              <w:color w:val="000000"/>
                              <w:sz w:val="20"/>
                            </w:rPr>
                          </w:pPr>
                          <w:r w:rsidRPr="006E578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75411E3" id="_x0000_t202" coordsize="21600,21600" o:spt="202" path="m,l,21600r21600,l21600,xe">
              <v:stroke joinstyle="miter"/>
              <v:path gradientshapeok="t" o:connecttype="rect"/>
            </v:shapetype>
            <v:shape id="Zone de texte 1" o:spid="_x0000_s1028" type="#_x0000_t202" alt="{&quot;HashCode&quot;:-129182459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272ABAE4" w14:textId="5DE5ECEF" w:rsidR="000E1AA3" w:rsidRPr="006E5785" w:rsidRDefault="000E1AA3" w:rsidP="006E5785">
                    <w:pPr>
                      <w:rPr>
                        <w:rFonts w:ascii="Calibri" w:hAnsi="Calibri" w:cs="Calibri"/>
                        <w:color w:val="000000"/>
                        <w:sz w:val="20"/>
                      </w:rPr>
                    </w:pPr>
                    <w:r w:rsidRPr="006E5785">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2AFA" w14:textId="77777777" w:rsidR="00F97230" w:rsidRDefault="00F97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9A0"/>
    <w:multiLevelType w:val="hybridMultilevel"/>
    <w:tmpl w:val="A18C2036"/>
    <w:lvl w:ilvl="0" w:tplc="04326D7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183850"/>
    <w:multiLevelType w:val="hybridMultilevel"/>
    <w:tmpl w:val="F946BBAA"/>
    <w:lvl w:ilvl="0" w:tplc="073E5824">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CB340E"/>
    <w:multiLevelType w:val="hybridMultilevel"/>
    <w:tmpl w:val="56463ABC"/>
    <w:lvl w:ilvl="0" w:tplc="9C04B6A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43400"/>
    <w:multiLevelType w:val="hybridMultilevel"/>
    <w:tmpl w:val="34948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639C0"/>
    <w:multiLevelType w:val="hybridMultilevel"/>
    <w:tmpl w:val="796CA8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E281A31"/>
    <w:multiLevelType w:val="hybridMultilevel"/>
    <w:tmpl w:val="DA0C78B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E641945"/>
    <w:multiLevelType w:val="hybridMultilevel"/>
    <w:tmpl w:val="1A2A1970"/>
    <w:lvl w:ilvl="0" w:tplc="8FC85AE2">
      <w:numFmt w:val="bullet"/>
      <w:lvlText w:val="-"/>
      <w:lvlJc w:val="left"/>
      <w:pPr>
        <w:ind w:left="1440" w:hanging="360"/>
      </w:pPr>
      <w:rPr>
        <w:rFonts w:ascii="Arial" w:eastAsia="Times New Roman" w:hAnsi="Arial" w:cs="Arial" w:hint="default"/>
        <w: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AF12BF2"/>
    <w:multiLevelType w:val="hybridMultilevel"/>
    <w:tmpl w:val="16506A6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316249C6"/>
    <w:multiLevelType w:val="hybridMultilevel"/>
    <w:tmpl w:val="FFFFFFFF"/>
    <w:lvl w:ilvl="0" w:tplc="FC48E16A">
      <w:start w:val="1"/>
      <w:numFmt w:val="bullet"/>
      <w:lvlText w:val=""/>
      <w:lvlJc w:val="left"/>
      <w:pPr>
        <w:ind w:left="720" w:hanging="360"/>
      </w:pPr>
      <w:rPr>
        <w:rFonts w:ascii="Symbol" w:hAnsi="Symbol" w:hint="default"/>
      </w:rPr>
    </w:lvl>
    <w:lvl w:ilvl="1" w:tplc="60F29D80">
      <w:start w:val="1"/>
      <w:numFmt w:val="bullet"/>
      <w:lvlText w:val="o"/>
      <w:lvlJc w:val="left"/>
      <w:pPr>
        <w:ind w:left="1440" w:hanging="360"/>
      </w:pPr>
      <w:rPr>
        <w:rFonts w:ascii="Courier New" w:hAnsi="Courier New" w:hint="default"/>
      </w:rPr>
    </w:lvl>
    <w:lvl w:ilvl="2" w:tplc="CB1449B6">
      <w:start w:val="1"/>
      <w:numFmt w:val="bullet"/>
      <w:lvlText w:val=""/>
      <w:lvlJc w:val="left"/>
      <w:pPr>
        <w:ind w:left="2160" w:hanging="360"/>
      </w:pPr>
      <w:rPr>
        <w:rFonts w:ascii="Wingdings" w:hAnsi="Wingdings" w:hint="default"/>
      </w:rPr>
    </w:lvl>
    <w:lvl w:ilvl="3" w:tplc="2A30C9A2">
      <w:start w:val="1"/>
      <w:numFmt w:val="bullet"/>
      <w:lvlText w:val=""/>
      <w:lvlJc w:val="left"/>
      <w:pPr>
        <w:ind w:left="2880" w:hanging="360"/>
      </w:pPr>
      <w:rPr>
        <w:rFonts w:ascii="Symbol" w:hAnsi="Symbol" w:hint="default"/>
      </w:rPr>
    </w:lvl>
    <w:lvl w:ilvl="4" w:tplc="C6B8FE10">
      <w:start w:val="1"/>
      <w:numFmt w:val="bullet"/>
      <w:lvlText w:val="o"/>
      <w:lvlJc w:val="left"/>
      <w:pPr>
        <w:ind w:left="3600" w:hanging="360"/>
      </w:pPr>
      <w:rPr>
        <w:rFonts w:ascii="Courier New" w:hAnsi="Courier New" w:hint="default"/>
      </w:rPr>
    </w:lvl>
    <w:lvl w:ilvl="5" w:tplc="62944948">
      <w:start w:val="1"/>
      <w:numFmt w:val="bullet"/>
      <w:lvlText w:val=""/>
      <w:lvlJc w:val="left"/>
      <w:pPr>
        <w:ind w:left="4320" w:hanging="360"/>
      </w:pPr>
      <w:rPr>
        <w:rFonts w:ascii="Wingdings" w:hAnsi="Wingdings" w:hint="default"/>
      </w:rPr>
    </w:lvl>
    <w:lvl w:ilvl="6" w:tplc="DB90B0C2">
      <w:start w:val="1"/>
      <w:numFmt w:val="bullet"/>
      <w:lvlText w:val=""/>
      <w:lvlJc w:val="left"/>
      <w:pPr>
        <w:ind w:left="5040" w:hanging="360"/>
      </w:pPr>
      <w:rPr>
        <w:rFonts w:ascii="Symbol" w:hAnsi="Symbol" w:hint="default"/>
      </w:rPr>
    </w:lvl>
    <w:lvl w:ilvl="7" w:tplc="6E7C0F9E">
      <w:start w:val="1"/>
      <w:numFmt w:val="bullet"/>
      <w:lvlText w:val="o"/>
      <w:lvlJc w:val="left"/>
      <w:pPr>
        <w:ind w:left="5760" w:hanging="360"/>
      </w:pPr>
      <w:rPr>
        <w:rFonts w:ascii="Courier New" w:hAnsi="Courier New" w:hint="default"/>
      </w:rPr>
    </w:lvl>
    <w:lvl w:ilvl="8" w:tplc="6824986C">
      <w:start w:val="1"/>
      <w:numFmt w:val="bullet"/>
      <w:lvlText w:val=""/>
      <w:lvlJc w:val="left"/>
      <w:pPr>
        <w:ind w:left="6480" w:hanging="360"/>
      </w:pPr>
      <w:rPr>
        <w:rFonts w:ascii="Wingdings" w:hAnsi="Wingdings" w:hint="default"/>
      </w:rPr>
    </w:lvl>
  </w:abstractNum>
  <w:abstractNum w:abstractNumId="9" w15:restartNumberingAfterBreak="0">
    <w:nsid w:val="31AC5961"/>
    <w:multiLevelType w:val="hybridMultilevel"/>
    <w:tmpl w:val="34CCFB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398185F"/>
    <w:multiLevelType w:val="hybridMultilevel"/>
    <w:tmpl w:val="DBA4D7EA"/>
    <w:lvl w:ilvl="0" w:tplc="42BA4ADA">
      <w:start w:val="1"/>
      <w:numFmt w:val="bullet"/>
      <w:lvlText w:val=""/>
      <w:lvlJc w:val="left"/>
      <w:pPr>
        <w:ind w:left="360" w:hanging="360"/>
      </w:pPr>
      <w:rPr>
        <w:rFonts w:ascii="Symbol" w:hAnsi="Symbol" w:hint="default"/>
        <w:color w:val="auto"/>
      </w:rPr>
    </w:lvl>
    <w:lvl w:ilvl="1" w:tplc="DAAEE230">
      <w:start w:val="1"/>
      <w:numFmt w:val="bullet"/>
      <w:lvlText w:val="o"/>
      <w:lvlJc w:val="left"/>
      <w:pPr>
        <w:ind w:left="785" w:hanging="360"/>
      </w:pPr>
      <w:rPr>
        <w:rFonts w:ascii="Courier New" w:hAnsi="Courier New" w:hint="default"/>
        <w:color w:val="auto"/>
      </w:rPr>
    </w:lvl>
    <w:lvl w:ilvl="2" w:tplc="C20CF42C">
      <w:start w:val="1"/>
      <w:numFmt w:val="bullet"/>
      <w:lvlText w:val=""/>
      <w:lvlJc w:val="left"/>
      <w:pPr>
        <w:ind w:left="1800" w:hanging="360"/>
      </w:pPr>
      <w:rPr>
        <w:rFonts w:ascii="Wingdings" w:hAnsi="Wingdings" w:hint="default"/>
      </w:rPr>
    </w:lvl>
    <w:lvl w:ilvl="3" w:tplc="F8940E7A">
      <w:start w:val="1"/>
      <w:numFmt w:val="bullet"/>
      <w:lvlText w:val=""/>
      <w:lvlJc w:val="left"/>
      <w:pPr>
        <w:ind w:left="2520" w:hanging="360"/>
      </w:pPr>
      <w:rPr>
        <w:rFonts w:ascii="Symbol" w:hAnsi="Symbol" w:hint="default"/>
      </w:rPr>
    </w:lvl>
    <w:lvl w:ilvl="4" w:tplc="C89ED15E">
      <w:start w:val="1"/>
      <w:numFmt w:val="bullet"/>
      <w:lvlText w:val="o"/>
      <w:lvlJc w:val="left"/>
      <w:pPr>
        <w:ind w:left="3240" w:hanging="360"/>
      </w:pPr>
      <w:rPr>
        <w:rFonts w:ascii="Courier New" w:hAnsi="Courier New" w:hint="default"/>
      </w:rPr>
    </w:lvl>
    <w:lvl w:ilvl="5" w:tplc="B916F362">
      <w:start w:val="1"/>
      <w:numFmt w:val="bullet"/>
      <w:lvlText w:val=""/>
      <w:lvlJc w:val="left"/>
      <w:pPr>
        <w:ind w:left="3960" w:hanging="360"/>
      </w:pPr>
      <w:rPr>
        <w:rFonts w:ascii="Wingdings" w:hAnsi="Wingdings" w:hint="default"/>
      </w:rPr>
    </w:lvl>
    <w:lvl w:ilvl="6" w:tplc="A33EF62C">
      <w:start w:val="1"/>
      <w:numFmt w:val="bullet"/>
      <w:lvlText w:val=""/>
      <w:lvlJc w:val="left"/>
      <w:pPr>
        <w:ind w:left="4680" w:hanging="360"/>
      </w:pPr>
      <w:rPr>
        <w:rFonts w:ascii="Symbol" w:hAnsi="Symbol" w:hint="default"/>
      </w:rPr>
    </w:lvl>
    <w:lvl w:ilvl="7" w:tplc="868AF2DA">
      <w:start w:val="1"/>
      <w:numFmt w:val="bullet"/>
      <w:lvlText w:val="o"/>
      <w:lvlJc w:val="left"/>
      <w:pPr>
        <w:ind w:left="5400" w:hanging="360"/>
      </w:pPr>
      <w:rPr>
        <w:rFonts w:ascii="Courier New" w:hAnsi="Courier New" w:hint="default"/>
      </w:rPr>
    </w:lvl>
    <w:lvl w:ilvl="8" w:tplc="3DB017AE">
      <w:start w:val="1"/>
      <w:numFmt w:val="bullet"/>
      <w:lvlText w:val=""/>
      <w:lvlJc w:val="left"/>
      <w:pPr>
        <w:ind w:left="6120" w:hanging="360"/>
      </w:pPr>
      <w:rPr>
        <w:rFonts w:ascii="Wingdings" w:hAnsi="Wingdings" w:hint="default"/>
      </w:rPr>
    </w:lvl>
  </w:abstractNum>
  <w:abstractNum w:abstractNumId="11" w15:restartNumberingAfterBreak="0">
    <w:nsid w:val="34776F9F"/>
    <w:multiLevelType w:val="hybridMultilevel"/>
    <w:tmpl w:val="D3D4F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50734"/>
    <w:multiLevelType w:val="hybridMultilevel"/>
    <w:tmpl w:val="5D8403CA"/>
    <w:lvl w:ilvl="0" w:tplc="F9FCBAC2">
      <w:start w:val="1"/>
      <w:numFmt w:val="bullet"/>
      <w:lvlText w:val=""/>
      <w:lvlJc w:val="left"/>
      <w:pPr>
        <w:ind w:left="360" w:hanging="360"/>
      </w:pPr>
      <w:rPr>
        <w:rFonts w:ascii="Symbol" w:hAnsi="Symbol" w:hint="default"/>
      </w:rPr>
    </w:lvl>
    <w:lvl w:ilvl="1" w:tplc="409E6A2E">
      <w:start w:val="1"/>
      <w:numFmt w:val="bullet"/>
      <w:lvlText w:val="o"/>
      <w:lvlJc w:val="left"/>
      <w:pPr>
        <w:ind w:left="785" w:hanging="360"/>
      </w:pPr>
      <w:rPr>
        <w:rFonts w:ascii="Courier New" w:hAnsi="Courier New" w:hint="default"/>
      </w:rPr>
    </w:lvl>
    <w:lvl w:ilvl="2" w:tplc="C6DA1922">
      <w:start w:val="1"/>
      <w:numFmt w:val="bullet"/>
      <w:lvlText w:val=""/>
      <w:lvlJc w:val="left"/>
      <w:pPr>
        <w:ind w:left="1800" w:hanging="360"/>
      </w:pPr>
      <w:rPr>
        <w:rFonts w:ascii="Wingdings" w:hAnsi="Wingdings" w:hint="default"/>
      </w:rPr>
    </w:lvl>
    <w:lvl w:ilvl="3" w:tplc="A64642F6">
      <w:start w:val="1"/>
      <w:numFmt w:val="bullet"/>
      <w:lvlText w:val=""/>
      <w:lvlJc w:val="left"/>
      <w:pPr>
        <w:ind w:left="2520" w:hanging="360"/>
      </w:pPr>
      <w:rPr>
        <w:rFonts w:ascii="Symbol" w:hAnsi="Symbol" w:hint="default"/>
      </w:rPr>
    </w:lvl>
    <w:lvl w:ilvl="4" w:tplc="5694D260">
      <w:start w:val="1"/>
      <w:numFmt w:val="bullet"/>
      <w:lvlText w:val="o"/>
      <w:lvlJc w:val="left"/>
      <w:pPr>
        <w:ind w:left="3240" w:hanging="360"/>
      </w:pPr>
      <w:rPr>
        <w:rFonts w:ascii="Courier New" w:hAnsi="Courier New" w:hint="default"/>
      </w:rPr>
    </w:lvl>
    <w:lvl w:ilvl="5" w:tplc="6220CF52">
      <w:start w:val="1"/>
      <w:numFmt w:val="bullet"/>
      <w:lvlText w:val=""/>
      <w:lvlJc w:val="left"/>
      <w:pPr>
        <w:ind w:left="3960" w:hanging="360"/>
      </w:pPr>
      <w:rPr>
        <w:rFonts w:ascii="Wingdings" w:hAnsi="Wingdings" w:hint="default"/>
      </w:rPr>
    </w:lvl>
    <w:lvl w:ilvl="6" w:tplc="2FD0AAB6">
      <w:start w:val="1"/>
      <w:numFmt w:val="bullet"/>
      <w:lvlText w:val=""/>
      <w:lvlJc w:val="left"/>
      <w:pPr>
        <w:ind w:left="4680" w:hanging="360"/>
      </w:pPr>
      <w:rPr>
        <w:rFonts w:ascii="Symbol" w:hAnsi="Symbol" w:hint="default"/>
      </w:rPr>
    </w:lvl>
    <w:lvl w:ilvl="7" w:tplc="9CB8CF30">
      <w:start w:val="1"/>
      <w:numFmt w:val="bullet"/>
      <w:lvlText w:val="o"/>
      <w:lvlJc w:val="left"/>
      <w:pPr>
        <w:ind w:left="5400" w:hanging="360"/>
      </w:pPr>
      <w:rPr>
        <w:rFonts w:ascii="Courier New" w:hAnsi="Courier New" w:hint="default"/>
      </w:rPr>
    </w:lvl>
    <w:lvl w:ilvl="8" w:tplc="F6164FD4">
      <w:start w:val="1"/>
      <w:numFmt w:val="bullet"/>
      <w:lvlText w:val=""/>
      <w:lvlJc w:val="left"/>
      <w:pPr>
        <w:ind w:left="6120" w:hanging="360"/>
      </w:pPr>
      <w:rPr>
        <w:rFonts w:ascii="Wingdings" w:hAnsi="Wingdings" w:hint="default"/>
      </w:rPr>
    </w:lvl>
  </w:abstractNum>
  <w:abstractNum w:abstractNumId="13" w15:restartNumberingAfterBreak="0">
    <w:nsid w:val="40A83923"/>
    <w:multiLevelType w:val="hybridMultilevel"/>
    <w:tmpl w:val="73CCF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F6F04"/>
    <w:multiLevelType w:val="hybridMultilevel"/>
    <w:tmpl w:val="FFFFFFFF"/>
    <w:lvl w:ilvl="0" w:tplc="CFEC0622">
      <w:start w:val="1"/>
      <w:numFmt w:val="bullet"/>
      <w:lvlText w:val="·"/>
      <w:lvlJc w:val="left"/>
      <w:pPr>
        <w:ind w:left="502" w:hanging="360"/>
      </w:pPr>
      <w:rPr>
        <w:rFonts w:ascii="Symbol" w:hAnsi="Symbol" w:hint="default"/>
      </w:rPr>
    </w:lvl>
    <w:lvl w:ilvl="1" w:tplc="B3BA67E0">
      <w:start w:val="1"/>
      <w:numFmt w:val="bullet"/>
      <w:lvlText w:val="o"/>
      <w:lvlJc w:val="left"/>
      <w:pPr>
        <w:ind w:left="1222" w:hanging="360"/>
      </w:pPr>
      <w:rPr>
        <w:rFonts w:ascii="Courier New" w:hAnsi="Courier New" w:cs="Times New Roman" w:hint="default"/>
      </w:rPr>
    </w:lvl>
    <w:lvl w:ilvl="2" w:tplc="92B011C4">
      <w:start w:val="1"/>
      <w:numFmt w:val="bullet"/>
      <w:lvlText w:val=""/>
      <w:lvlJc w:val="left"/>
      <w:pPr>
        <w:ind w:left="1942" w:hanging="360"/>
      </w:pPr>
      <w:rPr>
        <w:rFonts w:ascii="Wingdings" w:hAnsi="Wingdings" w:hint="default"/>
      </w:rPr>
    </w:lvl>
    <w:lvl w:ilvl="3" w:tplc="EC46EAA4">
      <w:start w:val="1"/>
      <w:numFmt w:val="bullet"/>
      <w:lvlText w:val=""/>
      <w:lvlJc w:val="left"/>
      <w:pPr>
        <w:ind w:left="2662" w:hanging="360"/>
      </w:pPr>
      <w:rPr>
        <w:rFonts w:ascii="Symbol" w:hAnsi="Symbol" w:hint="default"/>
      </w:rPr>
    </w:lvl>
    <w:lvl w:ilvl="4" w:tplc="4BEAAC06">
      <w:start w:val="1"/>
      <w:numFmt w:val="bullet"/>
      <w:lvlText w:val="o"/>
      <w:lvlJc w:val="left"/>
      <w:pPr>
        <w:ind w:left="3382" w:hanging="360"/>
      </w:pPr>
      <w:rPr>
        <w:rFonts w:ascii="Courier New" w:hAnsi="Courier New" w:cs="Times New Roman" w:hint="default"/>
      </w:rPr>
    </w:lvl>
    <w:lvl w:ilvl="5" w:tplc="D396A61A">
      <w:start w:val="1"/>
      <w:numFmt w:val="bullet"/>
      <w:lvlText w:val=""/>
      <w:lvlJc w:val="left"/>
      <w:pPr>
        <w:ind w:left="4102" w:hanging="360"/>
      </w:pPr>
      <w:rPr>
        <w:rFonts w:ascii="Wingdings" w:hAnsi="Wingdings" w:hint="default"/>
      </w:rPr>
    </w:lvl>
    <w:lvl w:ilvl="6" w:tplc="D81C47BE">
      <w:start w:val="1"/>
      <w:numFmt w:val="bullet"/>
      <w:lvlText w:val=""/>
      <w:lvlJc w:val="left"/>
      <w:pPr>
        <w:ind w:left="4822" w:hanging="360"/>
      </w:pPr>
      <w:rPr>
        <w:rFonts w:ascii="Symbol" w:hAnsi="Symbol" w:hint="default"/>
      </w:rPr>
    </w:lvl>
    <w:lvl w:ilvl="7" w:tplc="96DAC988">
      <w:start w:val="1"/>
      <w:numFmt w:val="bullet"/>
      <w:lvlText w:val="o"/>
      <w:lvlJc w:val="left"/>
      <w:pPr>
        <w:ind w:left="5542" w:hanging="360"/>
      </w:pPr>
      <w:rPr>
        <w:rFonts w:ascii="Courier New" w:hAnsi="Courier New" w:cs="Times New Roman" w:hint="default"/>
      </w:rPr>
    </w:lvl>
    <w:lvl w:ilvl="8" w:tplc="21DC36D0">
      <w:start w:val="1"/>
      <w:numFmt w:val="bullet"/>
      <w:lvlText w:val=""/>
      <w:lvlJc w:val="left"/>
      <w:pPr>
        <w:ind w:left="6262" w:hanging="360"/>
      </w:pPr>
      <w:rPr>
        <w:rFonts w:ascii="Wingdings" w:hAnsi="Wingdings" w:hint="default"/>
      </w:rPr>
    </w:lvl>
  </w:abstractNum>
  <w:abstractNum w:abstractNumId="15" w15:restartNumberingAfterBreak="0">
    <w:nsid w:val="47D150AB"/>
    <w:multiLevelType w:val="hybridMultilevel"/>
    <w:tmpl w:val="FCFA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C2EF1"/>
    <w:multiLevelType w:val="hybridMultilevel"/>
    <w:tmpl w:val="2FC058EA"/>
    <w:lvl w:ilvl="0" w:tplc="6172E11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08"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DA52A7"/>
    <w:multiLevelType w:val="hybridMultilevel"/>
    <w:tmpl w:val="0FD6D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F7B0D"/>
    <w:multiLevelType w:val="hybridMultilevel"/>
    <w:tmpl w:val="DDB86478"/>
    <w:lvl w:ilvl="0" w:tplc="893C2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638C7"/>
    <w:multiLevelType w:val="hybridMultilevel"/>
    <w:tmpl w:val="C8C4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86602"/>
    <w:multiLevelType w:val="hybridMultilevel"/>
    <w:tmpl w:val="1D12C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D42D41"/>
    <w:multiLevelType w:val="hybridMultilevel"/>
    <w:tmpl w:val="FFFFFFFF"/>
    <w:lvl w:ilvl="0" w:tplc="893C224C">
      <w:start w:val="1"/>
      <w:numFmt w:val="bullet"/>
      <w:lvlText w:val=""/>
      <w:lvlJc w:val="left"/>
      <w:pPr>
        <w:ind w:left="720" w:hanging="360"/>
      </w:pPr>
      <w:rPr>
        <w:rFonts w:ascii="Symbol" w:hAnsi="Symbol" w:hint="default"/>
      </w:rPr>
    </w:lvl>
    <w:lvl w:ilvl="1" w:tplc="38EE55D4">
      <w:start w:val="1"/>
      <w:numFmt w:val="bullet"/>
      <w:lvlText w:val="o"/>
      <w:lvlJc w:val="left"/>
      <w:pPr>
        <w:ind w:left="1440" w:hanging="360"/>
      </w:pPr>
      <w:rPr>
        <w:rFonts w:ascii="Courier New" w:hAnsi="Courier New" w:hint="default"/>
      </w:rPr>
    </w:lvl>
    <w:lvl w:ilvl="2" w:tplc="3342FD10">
      <w:start w:val="1"/>
      <w:numFmt w:val="bullet"/>
      <w:lvlText w:val=""/>
      <w:lvlJc w:val="left"/>
      <w:pPr>
        <w:ind w:left="2160" w:hanging="360"/>
      </w:pPr>
      <w:rPr>
        <w:rFonts w:ascii="Wingdings" w:hAnsi="Wingdings" w:hint="default"/>
      </w:rPr>
    </w:lvl>
    <w:lvl w:ilvl="3" w:tplc="D4D48AD4">
      <w:start w:val="1"/>
      <w:numFmt w:val="bullet"/>
      <w:lvlText w:val=""/>
      <w:lvlJc w:val="left"/>
      <w:pPr>
        <w:ind w:left="2880" w:hanging="360"/>
      </w:pPr>
      <w:rPr>
        <w:rFonts w:ascii="Symbol" w:hAnsi="Symbol" w:hint="default"/>
      </w:rPr>
    </w:lvl>
    <w:lvl w:ilvl="4" w:tplc="7E18DE3C">
      <w:start w:val="1"/>
      <w:numFmt w:val="bullet"/>
      <w:lvlText w:val="o"/>
      <w:lvlJc w:val="left"/>
      <w:pPr>
        <w:ind w:left="3600" w:hanging="360"/>
      </w:pPr>
      <w:rPr>
        <w:rFonts w:ascii="Courier New" w:hAnsi="Courier New" w:hint="default"/>
      </w:rPr>
    </w:lvl>
    <w:lvl w:ilvl="5" w:tplc="3E20A8BA">
      <w:start w:val="1"/>
      <w:numFmt w:val="bullet"/>
      <w:lvlText w:val=""/>
      <w:lvlJc w:val="left"/>
      <w:pPr>
        <w:ind w:left="4320" w:hanging="360"/>
      </w:pPr>
      <w:rPr>
        <w:rFonts w:ascii="Wingdings" w:hAnsi="Wingdings" w:hint="default"/>
      </w:rPr>
    </w:lvl>
    <w:lvl w:ilvl="6" w:tplc="66AA26B2">
      <w:start w:val="1"/>
      <w:numFmt w:val="bullet"/>
      <w:lvlText w:val=""/>
      <w:lvlJc w:val="left"/>
      <w:pPr>
        <w:ind w:left="5040" w:hanging="360"/>
      </w:pPr>
      <w:rPr>
        <w:rFonts w:ascii="Symbol" w:hAnsi="Symbol" w:hint="default"/>
      </w:rPr>
    </w:lvl>
    <w:lvl w:ilvl="7" w:tplc="F634DF12">
      <w:start w:val="1"/>
      <w:numFmt w:val="bullet"/>
      <w:lvlText w:val="o"/>
      <w:lvlJc w:val="left"/>
      <w:pPr>
        <w:ind w:left="5760" w:hanging="360"/>
      </w:pPr>
      <w:rPr>
        <w:rFonts w:ascii="Courier New" w:hAnsi="Courier New" w:hint="default"/>
      </w:rPr>
    </w:lvl>
    <w:lvl w:ilvl="8" w:tplc="5BAAEEDE">
      <w:start w:val="1"/>
      <w:numFmt w:val="bullet"/>
      <w:lvlText w:val=""/>
      <w:lvlJc w:val="left"/>
      <w:pPr>
        <w:ind w:left="6480" w:hanging="360"/>
      </w:pPr>
      <w:rPr>
        <w:rFonts w:ascii="Wingdings" w:hAnsi="Wingdings" w:hint="default"/>
      </w:rPr>
    </w:lvl>
  </w:abstractNum>
  <w:abstractNum w:abstractNumId="22" w15:restartNumberingAfterBreak="0">
    <w:nsid w:val="5DD740FB"/>
    <w:multiLevelType w:val="hybridMultilevel"/>
    <w:tmpl w:val="57081E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837B57"/>
    <w:multiLevelType w:val="hybridMultilevel"/>
    <w:tmpl w:val="6C4AB38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63057E9F"/>
    <w:multiLevelType w:val="hybridMultilevel"/>
    <w:tmpl w:val="1F6A98D4"/>
    <w:lvl w:ilvl="0" w:tplc="0D2EF34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C195C"/>
    <w:multiLevelType w:val="hybridMultilevel"/>
    <w:tmpl w:val="FFFFFFFF"/>
    <w:lvl w:ilvl="0" w:tplc="3BF460DC">
      <w:start w:val="1"/>
      <w:numFmt w:val="bullet"/>
      <w:lvlText w:val=""/>
      <w:lvlJc w:val="left"/>
      <w:pPr>
        <w:ind w:left="720" w:hanging="360"/>
      </w:pPr>
      <w:rPr>
        <w:rFonts w:ascii="Symbol" w:hAnsi="Symbol" w:hint="default"/>
      </w:rPr>
    </w:lvl>
    <w:lvl w:ilvl="1" w:tplc="6B5AFAE8">
      <w:start w:val="1"/>
      <w:numFmt w:val="bullet"/>
      <w:lvlText w:val="o"/>
      <w:lvlJc w:val="left"/>
      <w:pPr>
        <w:ind w:left="1440" w:hanging="360"/>
      </w:pPr>
      <w:rPr>
        <w:rFonts w:ascii="Courier New" w:hAnsi="Courier New" w:hint="default"/>
      </w:rPr>
    </w:lvl>
    <w:lvl w:ilvl="2" w:tplc="2CEA583A">
      <w:start w:val="1"/>
      <w:numFmt w:val="bullet"/>
      <w:lvlText w:val=""/>
      <w:lvlJc w:val="left"/>
      <w:pPr>
        <w:ind w:left="2160" w:hanging="360"/>
      </w:pPr>
      <w:rPr>
        <w:rFonts w:ascii="Wingdings" w:hAnsi="Wingdings" w:hint="default"/>
      </w:rPr>
    </w:lvl>
    <w:lvl w:ilvl="3" w:tplc="3E4A27F8">
      <w:start w:val="1"/>
      <w:numFmt w:val="bullet"/>
      <w:lvlText w:val=""/>
      <w:lvlJc w:val="left"/>
      <w:pPr>
        <w:ind w:left="2880" w:hanging="360"/>
      </w:pPr>
      <w:rPr>
        <w:rFonts w:ascii="Symbol" w:hAnsi="Symbol" w:hint="default"/>
      </w:rPr>
    </w:lvl>
    <w:lvl w:ilvl="4" w:tplc="A4BEAF5E">
      <w:start w:val="1"/>
      <w:numFmt w:val="bullet"/>
      <w:lvlText w:val="o"/>
      <w:lvlJc w:val="left"/>
      <w:pPr>
        <w:ind w:left="3600" w:hanging="360"/>
      </w:pPr>
      <w:rPr>
        <w:rFonts w:ascii="Courier New" w:hAnsi="Courier New" w:hint="default"/>
      </w:rPr>
    </w:lvl>
    <w:lvl w:ilvl="5" w:tplc="56044916">
      <w:start w:val="1"/>
      <w:numFmt w:val="bullet"/>
      <w:lvlText w:val=""/>
      <w:lvlJc w:val="left"/>
      <w:pPr>
        <w:ind w:left="4320" w:hanging="360"/>
      </w:pPr>
      <w:rPr>
        <w:rFonts w:ascii="Wingdings" w:hAnsi="Wingdings" w:hint="default"/>
      </w:rPr>
    </w:lvl>
    <w:lvl w:ilvl="6" w:tplc="45D67500">
      <w:start w:val="1"/>
      <w:numFmt w:val="bullet"/>
      <w:lvlText w:val=""/>
      <w:lvlJc w:val="left"/>
      <w:pPr>
        <w:ind w:left="5040" w:hanging="360"/>
      </w:pPr>
      <w:rPr>
        <w:rFonts w:ascii="Symbol" w:hAnsi="Symbol" w:hint="default"/>
      </w:rPr>
    </w:lvl>
    <w:lvl w:ilvl="7" w:tplc="216EE75A">
      <w:start w:val="1"/>
      <w:numFmt w:val="bullet"/>
      <w:lvlText w:val="o"/>
      <w:lvlJc w:val="left"/>
      <w:pPr>
        <w:ind w:left="5760" w:hanging="360"/>
      </w:pPr>
      <w:rPr>
        <w:rFonts w:ascii="Courier New" w:hAnsi="Courier New" w:hint="default"/>
      </w:rPr>
    </w:lvl>
    <w:lvl w:ilvl="8" w:tplc="F7F4F7C2">
      <w:start w:val="1"/>
      <w:numFmt w:val="bullet"/>
      <w:lvlText w:val=""/>
      <w:lvlJc w:val="left"/>
      <w:pPr>
        <w:ind w:left="6480" w:hanging="360"/>
      </w:pPr>
      <w:rPr>
        <w:rFonts w:ascii="Wingdings" w:hAnsi="Wingdings" w:hint="default"/>
      </w:rPr>
    </w:lvl>
  </w:abstractNum>
  <w:abstractNum w:abstractNumId="26" w15:restartNumberingAfterBreak="0">
    <w:nsid w:val="69BA6F10"/>
    <w:multiLevelType w:val="hybridMultilevel"/>
    <w:tmpl w:val="D1DC81C8"/>
    <w:lvl w:ilvl="0" w:tplc="587E5C3A">
      <w:start w:val="1"/>
      <w:numFmt w:val="bullet"/>
      <w:lvlText w:val=""/>
      <w:lvlJc w:val="left"/>
      <w:pPr>
        <w:ind w:left="720" w:hanging="360"/>
      </w:pPr>
      <w:rPr>
        <w:rFonts w:ascii="Symbol" w:hAnsi="Symbol" w:hint="default"/>
      </w:rPr>
    </w:lvl>
    <w:lvl w:ilvl="1" w:tplc="73560F4C">
      <w:start w:val="1"/>
      <w:numFmt w:val="bullet"/>
      <w:lvlText w:val="o"/>
      <w:lvlJc w:val="left"/>
      <w:pPr>
        <w:ind w:left="1440" w:hanging="360"/>
      </w:pPr>
      <w:rPr>
        <w:rFonts w:ascii="Courier New" w:hAnsi="Courier New" w:hint="default"/>
      </w:rPr>
    </w:lvl>
    <w:lvl w:ilvl="2" w:tplc="3D568850">
      <w:start w:val="1"/>
      <w:numFmt w:val="bullet"/>
      <w:lvlText w:val=""/>
      <w:lvlJc w:val="left"/>
      <w:pPr>
        <w:ind w:left="2160" w:hanging="360"/>
      </w:pPr>
      <w:rPr>
        <w:rFonts w:ascii="Wingdings" w:hAnsi="Wingdings" w:hint="default"/>
      </w:rPr>
    </w:lvl>
    <w:lvl w:ilvl="3" w:tplc="F6C0ECA4">
      <w:start w:val="1"/>
      <w:numFmt w:val="bullet"/>
      <w:lvlText w:val=""/>
      <w:lvlJc w:val="left"/>
      <w:pPr>
        <w:ind w:left="2880" w:hanging="360"/>
      </w:pPr>
      <w:rPr>
        <w:rFonts w:ascii="Symbol" w:hAnsi="Symbol" w:hint="default"/>
      </w:rPr>
    </w:lvl>
    <w:lvl w:ilvl="4" w:tplc="CFE89462">
      <w:start w:val="1"/>
      <w:numFmt w:val="bullet"/>
      <w:lvlText w:val="o"/>
      <w:lvlJc w:val="left"/>
      <w:pPr>
        <w:ind w:left="3600" w:hanging="360"/>
      </w:pPr>
      <w:rPr>
        <w:rFonts w:ascii="Courier New" w:hAnsi="Courier New" w:hint="default"/>
      </w:rPr>
    </w:lvl>
    <w:lvl w:ilvl="5" w:tplc="D8D881F2">
      <w:start w:val="1"/>
      <w:numFmt w:val="bullet"/>
      <w:lvlText w:val=""/>
      <w:lvlJc w:val="left"/>
      <w:pPr>
        <w:ind w:left="4320" w:hanging="360"/>
      </w:pPr>
      <w:rPr>
        <w:rFonts w:ascii="Wingdings" w:hAnsi="Wingdings" w:hint="default"/>
      </w:rPr>
    </w:lvl>
    <w:lvl w:ilvl="6" w:tplc="C59C7624">
      <w:start w:val="1"/>
      <w:numFmt w:val="bullet"/>
      <w:lvlText w:val=""/>
      <w:lvlJc w:val="left"/>
      <w:pPr>
        <w:ind w:left="5040" w:hanging="360"/>
      </w:pPr>
      <w:rPr>
        <w:rFonts w:ascii="Symbol" w:hAnsi="Symbol" w:hint="default"/>
      </w:rPr>
    </w:lvl>
    <w:lvl w:ilvl="7" w:tplc="E55C848A">
      <w:start w:val="1"/>
      <w:numFmt w:val="bullet"/>
      <w:lvlText w:val="o"/>
      <w:lvlJc w:val="left"/>
      <w:pPr>
        <w:ind w:left="5760" w:hanging="360"/>
      </w:pPr>
      <w:rPr>
        <w:rFonts w:ascii="Courier New" w:hAnsi="Courier New" w:hint="default"/>
      </w:rPr>
    </w:lvl>
    <w:lvl w:ilvl="8" w:tplc="410021F8">
      <w:start w:val="1"/>
      <w:numFmt w:val="bullet"/>
      <w:lvlText w:val=""/>
      <w:lvlJc w:val="left"/>
      <w:pPr>
        <w:ind w:left="6480" w:hanging="360"/>
      </w:pPr>
      <w:rPr>
        <w:rFonts w:ascii="Wingdings" w:hAnsi="Wingdings" w:hint="default"/>
      </w:rPr>
    </w:lvl>
  </w:abstractNum>
  <w:abstractNum w:abstractNumId="27" w15:restartNumberingAfterBreak="0">
    <w:nsid w:val="71FF036B"/>
    <w:multiLevelType w:val="hybridMultilevel"/>
    <w:tmpl w:val="2DCC7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89360B"/>
    <w:multiLevelType w:val="hybridMultilevel"/>
    <w:tmpl w:val="825A3C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A36E7"/>
    <w:multiLevelType w:val="hybridMultilevel"/>
    <w:tmpl w:val="EF74C268"/>
    <w:lvl w:ilvl="0" w:tplc="C896D32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6381EF4"/>
    <w:multiLevelType w:val="hybridMultilevel"/>
    <w:tmpl w:val="1C426EE4"/>
    <w:lvl w:ilvl="0" w:tplc="B26C589C">
      <w:start w:val="1"/>
      <w:numFmt w:val="decimal"/>
      <w:lvlText w:val="%1."/>
      <w:lvlJc w:val="left"/>
      <w:pPr>
        <w:ind w:left="720" w:hanging="360"/>
      </w:pPr>
      <w:rPr>
        <w:b w:val="0"/>
        <w:bCs w:val="0"/>
        <w:sz w:val="22"/>
        <w:szCs w:val="22"/>
      </w:rPr>
    </w:lvl>
    <w:lvl w:ilvl="1" w:tplc="B7361A84">
      <w:start w:val="1"/>
      <w:numFmt w:val="lowerLetter"/>
      <w:lvlText w:val="%2."/>
      <w:lvlJc w:val="left"/>
      <w:pPr>
        <w:ind w:left="1440" w:hanging="360"/>
      </w:pPr>
    </w:lvl>
    <w:lvl w:ilvl="2" w:tplc="A37AE80E">
      <w:start w:val="1"/>
      <w:numFmt w:val="lowerRoman"/>
      <w:lvlText w:val="%3."/>
      <w:lvlJc w:val="right"/>
      <w:pPr>
        <w:ind w:left="2160" w:hanging="180"/>
      </w:pPr>
    </w:lvl>
    <w:lvl w:ilvl="3" w:tplc="08286AF2">
      <w:start w:val="1"/>
      <w:numFmt w:val="decimal"/>
      <w:lvlText w:val="%4."/>
      <w:lvlJc w:val="left"/>
      <w:pPr>
        <w:ind w:left="2880" w:hanging="360"/>
      </w:pPr>
    </w:lvl>
    <w:lvl w:ilvl="4" w:tplc="58C61F02">
      <w:start w:val="1"/>
      <w:numFmt w:val="lowerLetter"/>
      <w:lvlText w:val="%5."/>
      <w:lvlJc w:val="left"/>
      <w:pPr>
        <w:ind w:left="3600" w:hanging="360"/>
      </w:pPr>
    </w:lvl>
    <w:lvl w:ilvl="5" w:tplc="FB0C8612">
      <w:start w:val="1"/>
      <w:numFmt w:val="lowerRoman"/>
      <w:lvlText w:val="%6."/>
      <w:lvlJc w:val="right"/>
      <w:pPr>
        <w:ind w:left="4320" w:hanging="180"/>
      </w:pPr>
    </w:lvl>
    <w:lvl w:ilvl="6" w:tplc="FE8A76B0">
      <w:start w:val="1"/>
      <w:numFmt w:val="decimal"/>
      <w:lvlText w:val="%7."/>
      <w:lvlJc w:val="left"/>
      <w:pPr>
        <w:ind w:left="5040" w:hanging="360"/>
      </w:pPr>
    </w:lvl>
    <w:lvl w:ilvl="7" w:tplc="A476DD56">
      <w:start w:val="1"/>
      <w:numFmt w:val="lowerLetter"/>
      <w:lvlText w:val="%8."/>
      <w:lvlJc w:val="left"/>
      <w:pPr>
        <w:ind w:left="5760" w:hanging="360"/>
      </w:pPr>
    </w:lvl>
    <w:lvl w:ilvl="8" w:tplc="B97E931C">
      <w:start w:val="1"/>
      <w:numFmt w:val="lowerRoman"/>
      <w:lvlText w:val="%9."/>
      <w:lvlJc w:val="right"/>
      <w:pPr>
        <w:ind w:left="6480" w:hanging="180"/>
      </w:pPr>
    </w:lvl>
  </w:abstractNum>
  <w:abstractNum w:abstractNumId="31" w15:restartNumberingAfterBreak="0">
    <w:nsid w:val="789E2661"/>
    <w:multiLevelType w:val="hybridMultilevel"/>
    <w:tmpl w:val="57D601D2"/>
    <w:lvl w:ilvl="0" w:tplc="3740FC7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C16E0"/>
    <w:multiLevelType w:val="hybridMultilevel"/>
    <w:tmpl w:val="05C00DFE"/>
    <w:lvl w:ilvl="0" w:tplc="067E4DD6">
      <w:start w:val="1"/>
      <w:numFmt w:val="bullet"/>
      <w:lvlText w:val=""/>
      <w:lvlJc w:val="left"/>
      <w:pPr>
        <w:ind w:left="720" w:hanging="360"/>
      </w:pPr>
      <w:rPr>
        <w:rFonts w:ascii="Symbol" w:hAnsi="Symbol" w:hint="default"/>
        <w:sz w:val="22"/>
        <w:szCs w:val="22"/>
      </w:rPr>
    </w:lvl>
    <w:lvl w:ilvl="1" w:tplc="93E41C7C">
      <w:start w:val="1"/>
      <w:numFmt w:val="bullet"/>
      <w:lvlText w:val="o"/>
      <w:lvlJc w:val="left"/>
      <w:pPr>
        <w:ind w:left="1440" w:hanging="360"/>
      </w:pPr>
      <w:rPr>
        <w:rFonts w:ascii="Courier New" w:hAnsi="Courier New" w:hint="default"/>
        <w:color w:val="auto"/>
      </w:rPr>
    </w:lvl>
    <w:lvl w:ilvl="2" w:tplc="92C65432">
      <w:start w:val="1"/>
      <w:numFmt w:val="bullet"/>
      <w:lvlText w:val=""/>
      <w:lvlJc w:val="left"/>
      <w:pPr>
        <w:ind w:left="2160" w:hanging="360"/>
      </w:pPr>
      <w:rPr>
        <w:rFonts w:ascii="Wingdings" w:hAnsi="Wingdings" w:hint="default"/>
      </w:rPr>
    </w:lvl>
    <w:lvl w:ilvl="3" w:tplc="993C015A">
      <w:start w:val="1"/>
      <w:numFmt w:val="bullet"/>
      <w:lvlText w:val=""/>
      <w:lvlJc w:val="left"/>
      <w:pPr>
        <w:ind w:left="2880" w:hanging="360"/>
      </w:pPr>
      <w:rPr>
        <w:rFonts w:ascii="Symbol" w:hAnsi="Symbol" w:hint="default"/>
      </w:rPr>
    </w:lvl>
    <w:lvl w:ilvl="4" w:tplc="55EA6122">
      <w:start w:val="1"/>
      <w:numFmt w:val="bullet"/>
      <w:lvlText w:val="o"/>
      <w:lvlJc w:val="left"/>
      <w:pPr>
        <w:ind w:left="3600" w:hanging="360"/>
      </w:pPr>
      <w:rPr>
        <w:rFonts w:ascii="Courier New" w:hAnsi="Courier New" w:hint="default"/>
      </w:rPr>
    </w:lvl>
    <w:lvl w:ilvl="5" w:tplc="D0446F3E">
      <w:start w:val="1"/>
      <w:numFmt w:val="bullet"/>
      <w:lvlText w:val=""/>
      <w:lvlJc w:val="left"/>
      <w:pPr>
        <w:ind w:left="4320" w:hanging="360"/>
      </w:pPr>
      <w:rPr>
        <w:rFonts w:ascii="Wingdings" w:hAnsi="Wingdings" w:hint="default"/>
      </w:rPr>
    </w:lvl>
    <w:lvl w:ilvl="6" w:tplc="0F06C0CC">
      <w:start w:val="1"/>
      <w:numFmt w:val="bullet"/>
      <w:lvlText w:val=""/>
      <w:lvlJc w:val="left"/>
      <w:pPr>
        <w:ind w:left="5040" w:hanging="360"/>
      </w:pPr>
      <w:rPr>
        <w:rFonts w:ascii="Symbol" w:hAnsi="Symbol" w:hint="default"/>
      </w:rPr>
    </w:lvl>
    <w:lvl w:ilvl="7" w:tplc="CBD65246">
      <w:start w:val="1"/>
      <w:numFmt w:val="bullet"/>
      <w:lvlText w:val="o"/>
      <w:lvlJc w:val="left"/>
      <w:pPr>
        <w:ind w:left="5760" w:hanging="360"/>
      </w:pPr>
      <w:rPr>
        <w:rFonts w:ascii="Courier New" w:hAnsi="Courier New" w:hint="default"/>
      </w:rPr>
    </w:lvl>
    <w:lvl w:ilvl="8" w:tplc="A9AE0560">
      <w:start w:val="1"/>
      <w:numFmt w:val="bullet"/>
      <w:lvlText w:val=""/>
      <w:lvlJc w:val="left"/>
      <w:pPr>
        <w:ind w:left="6480" w:hanging="360"/>
      </w:pPr>
      <w:rPr>
        <w:rFonts w:ascii="Wingdings" w:hAnsi="Wingdings" w:hint="default"/>
      </w:rPr>
    </w:lvl>
  </w:abstractNum>
  <w:abstractNum w:abstractNumId="33" w15:restartNumberingAfterBreak="0">
    <w:nsid w:val="7C052310"/>
    <w:multiLevelType w:val="hybridMultilevel"/>
    <w:tmpl w:val="15AE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813E4"/>
    <w:multiLevelType w:val="hybridMultilevel"/>
    <w:tmpl w:val="711242E6"/>
    <w:lvl w:ilvl="0" w:tplc="50D69FA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E2E0966"/>
    <w:multiLevelType w:val="hybridMultilevel"/>
    <w:tmpl w:val="7C0E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3214862">
    <w:abstractNumId w:val="26"/>
  </w:num>
  <w:num w:numId="2" w16cid:durableId="1571649208">
    <w:abstractNumId w:val="10"/>
  </w:num>
  <w:num w:numId="3" w16cid:durableId="2005040464">
    <w:abstractNumId w:val="30"/>
  </w:num>
  <w:num w:numId="4" w16cid:durableId="1962883180">
    <w:abstractNumId w:val="21"/>
  </w:num>
  <w:num w:numId="5" w16cid:durableId="90441671">
    <w:abstractNumId w:val="8"/>
  </w:num>
  <w:num w:numId="6" w16cid:durableId="618338849">
    <w:abstractNumId w:val="25"/>
  </w:num>
  <w:num w:numId="7" w16cid:durableId="1416321648">
    <w:abstractNumId w:val="12"/>
  </w:num>
  <w:num w:numId="8" w16cid:durableId="731385492">
    <w:abstractNumId w:val="32"/>
  </w:num>
  <w:num w:numId="9" w16cid:durableId="739597684">
    <w:abstractNumId w:val="2"/>
  </w:num>
  <w:num w:numId="10" w16cid:durableId="590511822">
    <w:abstractNumId w:val="31"/>
  </w:num>
  <w:num w:numId="11" w16cid:durableId="1434860347">
    <w:abstractNumId w:val="11"/>
  </w:num>
  <w:num w:numId="12" w16cid:durableId="1319920042">
    <w:abstractNumId w:val="16"/>
  </w:num>
  <w:num w:numId="13" w16cid:durableId="59989979">
    <w:abstractNumId w:val="33"/>
  </w:num>
  <w:num w:numId="14" w16cid:durableId="1342972668">
    <w:abstractNumId w:val="14"/>
  </w:num>
  <w:num w:numId="15" w16cid:durableId="588777814">
    <w:abstractNumId w:val="13"/>
  </w:num>
  <w:num w:numId="16" w16cid:durableId="2072193972">
    <w:abstractNumId w:val="18"/>
  </w:num>
  <w:num w:numId="17" w16cid:durableId="812254019">
    <w:abstractNumId w:val="19"/>
  </w:num>
  <w:num w:numId="18" w16cid:durableId="1645357814">
    <w:abstractNumId w:val="15"/>
  </w:num>
  <w:num w:numId="19" w16cid:durableId="295454485">
    <w:abstractNumId w:val="0"/>
  </w:num>
  <w:num w:numId="20" w16cid:durableId="1024794999">
    <w:abstractNumId w:val="24"/>
  </w:num>
  <w:num w:numId="21" w16cid:durableId="890726105">
    <w:abstractNumId w:val="20"/>
  </w:num>
  <w:num w:numId="22" w16cid:durableId="2084402604">
    <w:abstractNumId w:val="7"/>
  </w:num>
  <w:num w:numId="23" w16cid:durableId="1134981487">
    <w:abstractNumId w:val="35"/>
  </w:num>
  <w:num w:numId="24" w16cid:durableId="2113089423">
    <w:abstractNumId w:val="9"/>
  </w:num>
  <w:num w:numId="25" w16cid:durableId="1205406460">
    <w:abstractNumId w:val="4"/>
  </w:num>
  <w:num w:numId="26" w16cid:durableId="988481131">
    <w:abstractNumId w:val="27"/>
  </w:num>
  <w:num w:numId="27" w16cid:durableId="1354958239">
    <w:abstractNumId w:val="6"/>
  </w:num>
  <w:num w:numId="28" w16cid:durableId="925728234">
    <w:abstractNumId w:val="22"/>
  </w:num>
  <w:num w:numId="29" w16cid:durableId="640692614">
    <w:abstractNumId w:val="3"/>
  </w:num>
  <w:num w:numId="30" w16cid:durableId="1268776963">
    <w:abstractNumId w:val="34"/>
  </w:num>
  <w:num w:numId="31" w16cid:durableId="1813714206">
    <w:abstractNumId w:val="29"/>
  </w:num>
  <w:num w:numId="32" w16cid:durableId="1439913412">
    <w:abstractNumId w:val="1"/>
  </w:num>
  <w:num w:numId="33" w16cid:durableId="2082406409">
    <w:abstractNumId w:val="17"/>
  </w:num>
  <w:num w:numId="34" w16cid:durableId="730739693">
    <w:abstractNumId w:val="23"/>
  </w:num>
  <w:num w:numId="35" w16cid:durableId="2016955177">
    <w:abstractNumId w:val="5"/>
  </w:num>
  <w:num w:numId="36" w16cid:durableId="159350811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0001CC"/>
    <w:rsid w:val="00000D86"/>
    <w:rsid w:val="00002327"/>
    <w:rsid w:val="000026F7"/>
    <w:rsid w:val="00002F1F"/>
    <w:rsid w:val="00003E6F"/>
    <w:rsid w:val="0000447D"/>
    <w:rsid w:val="0000505F"/>
    <w:rsid w:val="0000537C"/>
    <w:rsid w:val="00005551"/>
    <w:rsid w:val="00007E8C"/>
    <w:rsid w:val="00010C08"/>
    <w:rsid w:val="0001234A"/>
    <w:rsid w:val="00014BED"/>
    <w:rsid w:val="00015127"/>
    <w:rsid w:val="00015DD2"/>
    <w:rsid w:val="00016089"/>
    <w:rsid w:val="000172F5"/>
    <w:rsid w:val="00017A90"/>
    <w:rsid w:val="00020F9E"/>
    <w:rsid w:val="00021111"/>
    <w:rsid w:val="0002130C"/>
    <w:rsid w:val="00021579"/>
    <w:rsid w:val="00021A37"/>
    <w:rsid w:val="00021D12"/>
    <w:rsid w:val="00022116"/>
    <w:rsid w:val="00022DC4"/>
    <w:rsid w:val="0002322E"/>
    <w:rsid w:val="00025404"/>
    <w:rsid w:val="000257BC"/>
    <w:rsid w:val="000267F7"/>
    <w:rsid w:val="00026C40"/>
    <w:rsid w:val="000304F3"/>
    <w:rsid w:val="00030C62"/>
    <w:rsid w:val="00031293"/>
    <w:rsid w:val="00031914"/>
    <w:rsid w:val="00032D98"/>
    <w:rsid w:val="00033140"/>
    <w:rsid w:val="000332CA"/>
    <w:rsid w:val="0003360D"/>
    <w:rsid w:val="00033D99"/>
    <w:rsid w:val="0003417D"/>
    <w:rsid w:val="00034B4B"/>
    <w:rsid w:val="00035145"/>
    <w:rsid w:val="00036C9D"/>
    <w:rsid w:val="00036EBC"/>
    <w:rsid w:val="0003702A"/>
    <w:rsid w:val="00037CDA"/>
    <w:rsid w:val="00040FF0"/>
    <w:rsid w:val="00041698"/>
    <w:rsid w:val="00041ABB"/>
    <w:rsid w:val="00041F84"/>
    <w:rsid w:val="000428D0"/>
    <w:rsid w:val="0004401A"/>
    <w:rsid w:val="000443AB"/>
    <w:rsid w:val="00044F01"/>
    <w:rsid w:val="00045546"/>
    <w:rsid w:val="000524A4"/>
    <w:rsid w:val="000529D0"/>
    <w:rsid w:val="00053D04"/>
    <w:rsid w:val="000550FC"/>
    <w:rsid w:val="00055477"/>
    <w:rsid w:val="0005564C"/>
    <w:rsid w:val="00055B3D"/>
    <w:rsid w:val="00056E81"/>
    <w:rsid w:val="00057202"/>
    <w:rsid w:val="000579CB"/>
    <w:rsid w:val="00060285"/>
    <w:rsid w:val="00060591"/>
    <w:rsid w:val="0006108B"/>
    <w:rsid w:val="00061CEF"/>
    <w:rsid w:val="00063087"/>
    <w:rsid w:val="00063A1B"/>
    <w:rsid w:val="00063E1E"/>
    <w:rsid w:val="000649C0"/>
    <w:rsid w:val="00064E7B"/>
    <w:rsid w:val="000650D6"/>
    <w:rsid w:val="0006582B"/>
    <w:rsid w:val="0006719C"/>
    <w:rsid w:val="0007125A"/>
    <w:rsid w:val="000716AA"/>
    <w:rsid w:val="000717C2"/>
    <w:rsid w:val="0007182C"/>
    <w:rsid w:val="0007195F"/>
    <w:rsid w:val="0007363F"/>
    <w:rsid w:val="00073C12"/>
    <w:rsid w:val="00073F67"/>
    <w:rsid w:val="00076BD7"/>
    <w:rsid w:val="00076D9F"/>
    <w:rsid w:val="00080EFA"/>
    <w:rsid w:val="00082569"/>
    <w:rsid w:val="00082B14"/>
    <w:rsid w:val="00083482"/>
    <w:rsid w:val="0008370E"/>
    <w:rsid w:val="00083BFC"/>
    <w:rsid w:val="0008429F"/>
    <w:rsid w:val="00084B90"/>
    <w:rsid w:val="00085561"/>
    <w:rsid w:val="00086771"/>
    <w:rsid w:val="0009006B"/>
    <w:rsid w:val="00090E18"/>
    <w:rsid w:val="000913E7"/>
    <w:rsid w:val="0009190D"/>
    <w:rsid w:val="00091E7D"/>
    <w:rsid w:val="0009200C"/>
    <w:rsid w:val="00093B41"/>
    <w:rsid w:val="000945C0"/>
    <w:rsid w:val="00094A02"/>
    <w:rsid w:val="000951B8"/>
    <w:rsid w:val="00095A7F"/>
    <w:rsid w:val="00095B96"/>
    <w:rsid w:val="00097532"/>
    <w:rsid w:val="000A216E"/>
    <w:rsid w:val="000A245E"/>
    <w:rsid w:val="000A247E"/>
    <w:rsid w:val="000A6AEC"/>
    <w:rsid w:val="000B037E"/>
    <w:rsid w:val="000B0FAA"/>
    <w:rsid w:val="000B2B57"/>
    <w:rsid w:val="000B2E6C"/>
    <w:rsid w:val="000B342E"/>
    <w:rsid w:val="000B35E7"/>
    <w:rsid w:val="000B39AD"/>
    <w:rsid w:val="000B3DFD"/>
    <w:rsid w:val="000B4BB4"/>
    <w:rsid w:val="000B5BFD"/>
    <w:rsid w:val="000B6DB1"/>
    <w:rsid w:val="000B6DC0"/>
    <w:rsid w:val="000B746D"/>
    <w:rsid w:val="000C1299"/>
    <w:rsid w:val="000C1482"/>
    <w:rsid w:val="000C1A0B"/>
    <w:rsid w:val="000C1D2A"/>
    <w:rsid w:val="000C28C8"/>
    <w:rsid w:val="000C2ED6"/>
    <w:rsid w:val="000C40BD"/>
    <w:rsid w:val="000C4117"/>
    <w:rsid w:val="000C4741"/>
    <w:rsid w:val="000C6663"/>
    <w:rsid w:val="000C6AEE"/>
    <w:rsid w:val="000C7435"/>
    <w:rsid w:val="000C7B98"/>
    <w:rsid w:val="000C7CBA"/>
    <w:rsid w:val="000C7EB4"/>
    <w:rsid w:val="000D1DFC"/>
    <w:rsid w:val="000D2103"/>
    <w:rsid w:val="000D291C"/>
    <w:rsid w:val="000D3447"/>
    <w:rsid w:val="000D5606"/>
    <w:rsid w:val="000D62D1"/>
    <w:rsid w:val="000D6CAC"/>
    <w:rsid w:val="000D7073"/>
    <w:rsid w:val="000E003C"/>
    <w:rsid w:val="000E0045"/>
    <w:rsid w:val="000E00AF"/>
    <w:rsid w:val="000E02E5"/>
    <w:rsid w:val="000E0A49"/>
    <w:rsid w:val="000E1AA3"/>
    <w:rsid w:val="000E1E1A"/>
    <w:rsid w:val="000E2CCF"/>
    <w:rsid w:val="000E34AB"/>
    <w:rsid w:val="000E3FBB"/>
    <w:rsid w:val="000E41F8"/>
    <w:rsid w:val="000E46E8"/>
    <w:rsid w:val="000E4743"/>
    <w:rsid w:val="000E554D"/>
    <w:rsid w:val="000E68B9"/>
    <w:rsid w:val="000E747C"/>
    <w:rsid w:val="000E7BD7"/>
    <w:rsid w:val="000F0A83"/>
    <w:rsid w:val="000F27BF"/>
    <w:rsid w:val="000F334C"/>
    <w:rsid w:val="000F5ADB"/>
    <w:rsid w:val="000F5F51"/>
    <w:rsid w:val="000F6223"/>
    <w:rsid w:val="00100365"/>
    <w:rsid w:val="00101ACE"/>
    <w:rsid w:val="00103779"/>
    <w:rsid w:val="0010412A"/>
    <w:rsid w:val="00104421"/>
    <w:rsid w:val="00105347"/>
    <w:rsid w:val="0010553F"/>
    <w:rsid w:val="0010590C"/>
    <w:rsid w:val="00105BB3"/>
    <w:rsid w:val="00105FBE"/>
    <w:rsid w:val="00106BC0"/>
    <w:rsid w:val="0010771D"/>
    <w:rsid w:val="00107AF7"/>
    <w:rsid w:val="00111461"/>
    <w:rsid w:val="00111729"/>
    <w:rsid w:val="001117EC"/>
    <w:rsid w:val="00111D41"/>
    <w:rsid w:val="001123A3"/>
    <w:rsid w:val="00112A81"/>
    <w:rsid w:val="00113021"/>
    <w:rsid w:val="00113EC7"/>
    <w:rsid w:val="0011492F"/>
    <w:rsid w:val="001155D8"/>
    <w:rsid w:val="00115EEF"/>
    <w:rsid w:val="00116C1F"/>
    <w:rsid w:val="00116C91"/>
    <w:rsid w:val="00117823"/>
    <w:rsid w:val="00117B22"/>
    <w:rsid w:val="00117C89"/>
    <w:rsid w:val="00117F60"/>
    <w:rsid w:val="001200D5"/>
    <w:rsid w:val="001214AB"/>
    <w:rsid w:val="0012151C"/>
    <w:rsid w:val="001217E0"/>
    <w:rsid w:val="00121BF3"/>
    <w:rsid w:val="0012272A"/>
    <w:rsid w:val="00122C67"/>
    <w:rsid w:val="0012417D"/>
    <w:rsid w:val="001244F1"/>
    <w:rsid w:val="00124CE6"/>
    <w:rsid w:val="00124EA2"/>
    <w:rsid w:val="00124F2D"/>
    <w:rsid w:val="00125CB5"/>
    <w:rsid w:val="00126285"/>
    <w:rsid w:val="0012697C"/>
    <w:rsid w:val="00126C05"/>
    <w:rsid w:val="00130209"/>
    <w:rsid w:val="00131162"/>
    <w:rsid w:val="001313CC"/>
    <w:rsid w:val="00132038"/>
    <w:rsid w:val="001333BC"/>
    <w:rsid w:val="001354CD"/>
    <w:rsid w:val="00135602"/>
    <w:rsid w:val="0013713E"/>
    <w:rsid w:val="00137CAF"/>
    <w:rsid w:val="001403A4"/>
    <w:rsid w:val="00141846"/>
    <w:rsid w:val="00142DFA"/>
    <w:rsid w:val="00143D7D"/>
    <w:rsid w:val="00143F05"/>
    <w:rsid w:val="00147C53"/>
    <w:rsid w:val="00150759"/>
    <w:rsid w:val="0015080A"/>
    <w:rsid w:val="00150EB4"/>
    <w:rsid w:val="001513A2"/>
    <w:rsid w:val="00151533"/>
    <w:rsid w:val="00152612"/>
    <w:rsid w:val="001536F5"/>
    <w:rsid w:val="00154F51"/>
    <w:rsid w:val="001550FC"/>
    <w:rsid w:val="001558A3"/>
    <w:rsid w:val="00156E8F"/>
    <w:rsid w:val="00157535"/>
    <w:rsid w:val="00160610"/>
    <w:rsid w:val="00161792"/>
    <w:rsid w:val="00161ADB"/>
    <w:rsid w:val="00162655"/>
    <w:rsid w:val="001638D9"/>
    <w:rsid w:val="00165066"/>
    <w:rsid w:val="001659DC"/>
    <w:rsid w:val="00166C25"/>
    <w:rsid w:val="001670B6"/>
    <w:rsid w:val="001673A6"/>
    <w:rsid w:val="00167475"/>
    <w:rsid w:val="00171326"/>
    <w:rsid w:val="00171455"/>
    <w:rsid w:val="00171886"/>
    <w:rsid w:val="00171DEC"/>
    <w:rsid w:val="00173AB0"/>
    <w:rsid w:val="001745C1"/>
    <w:rsid w:val="00175D53"/>
    <w:rsid w:val="00176CB1"/>
    <w:rsid w:val="0018058A"/>
    <w:rsid w:val="00181260"/>
    <w:rsid w:val="00184296"/>
    <w:rsid w:val="00184874"/>
    <w:rsid w:val="001849EE"/>
    <w:rsid w:val="001856BB"/>
    <w:rsid w:val="001872F5"/>
    <w:rsid w:val="0018760F"/>
    <w:rsid w:val="001910DD"/>
    <w:rsid w:val="00191205"/>
    <w:rsid w:val="0019232D"/>
    <w:rsid w:val="00193844"/>
    <w:rsid w:val="001941C4"/>
    <w:rsid w:val="0019436E"/>
    <w:rsid w:val="001947AE"/>
    <w:rsid w:val="00195337"/>
    <w:rsid w:val="001969C3"/>
    <w:rsid w:val="00196A2E"/>
    <w:rsid w:val="001A1311"/>
    <w:rsid w:val="001A1452"/>
    <w:rsid w:val="001A45CD"/>
    <w:rsid w:val="001A4D1D"/>
    <w:rsid w:val="001A6464"/>
    <w:rsid w:val="001A656C"/>
    <w:rsid w:val="001A6DC0"/>
    <w:rsid w:val="001A760A"/>
    <w:rsid w:val="001A7A99"/>
    <w:rsid w:val="001AFD80"/>
    <w:rsid w:val="001B0404"/>
    <w:rsid w:val="001B064F"/>
    <w:rsid w:val="001B0999"/>
    <w:rsid w:val="001B1923"/>
    <w:rsid w:val="001B1A97"/>
    <w:rsid w:val="001B394D"/>
    <w:rsid w:val="001B3F5E"/>
    <w:rsid w:val="001B4C1A"/>
    <w:rsid w:val="001B50C0"/>
    <w:rsid w:val="001B5408"/>
    <w:rsid w:val="001B5BED"/>
    <w:rsid w:val="001B7203"/>
    <w:rsid w:val="001B75C2"/>
    <w:rsid w:val="001B7939"/>
    <w:rsid w:val="001B79F6"/>
    <w:rsid w:val="001C0361"/>
    <w:rsid w:val="001C04B7"/>
    <w:rsid w:val="001C2996"/>
    <w:rsid w:val="001C29F2"/>
    <w:rsid w:val="001C2E97"/>
    <w:rsid w:val="001C359F"/>
    <w:rsid w:val="001C36FB"/>
    <w:rsid w:val="001C57A4"/>
    <w:rsid w:val="001C58A1"/>
    <w:rsid w:val="001C5906"/>
    <w:rsid w:val="001C6144"/>
    <w:rsid w:val="001C65C1"/>
    <w:rsid w:val="001C69E6"/>
    <w:rsid w:val="001C6EC3"/>
    <w:rsid w:val="001C7614"/>
    <w:rsid w:val="001C7D97"/>
    <w:rsid w:val="001D02A3"/>
    <w:rsid w:val="001D0596"/>
    <w:rsid w:val="001D0640"/>
    <w:rsid w:val="001D0747"/>
    <w:rsid w:val="001D23A7"/>
    <w:rsid w:val="001D4725"/>
    <w:rsid w:val="001D4D92"/>
    <w:rsid w:val="001D5AD2"/>
    <w:rsid w:val="001D66B9"/>
    <w:rsid w:val="001D6A5B"/>
    <w:rsid w:val="001D6C76"/>
    <w:rsid w:val="001D7167"/>
    <w:rsid w:val="001E14A0"/>
    <w:rsid w:val="001E1B10"/>
    <w:rsid w:val="001E20E2"/>
    <w:rsid w:val="001E31BD"/>
    <w:rsid w:val="001E3E0D"/>
    <w:rsid w:val="001E5069"/>
    <w:rsid w:val="001E54B7"/>
    <w:rsid w:val="001E674C"/>
    <w:rsid w:val="001E6FB3"/>
    <w:rsid w:val="001E777C"/>
    <w:rsid w:val="001F30D4"/>
    <w:rsid w:val="001F3EEB"/>
    <w:rsid w:val="001F45CF"/>
    <w:rsid w:val="001F5632"/>
    <w:rsid w:val="001F67F9"/>
    <w:rsid w:val="00200BAB"/>
    <w:rsid w:val="002010BE"/>
    <w:rsid w:val="00201641"/>
    <w:rsid w:val="002025E1"/>
    <w:rsid w:val="002025E4"/>
    <w:rsid w:val="0020331E"/>
    <w:rsid w:val="00203985"/>
    <w:rsid w:val="00203E66"/>
    <w:rsid w:val="00204BB5"/>
    <w:rsid w:val="002055D4"/>
    <w:rsid w:val="00205F77"/>
    <w:rsid w:val="00206362"/>
    <w:rsid w:val="00206E0A"/>
    <w:rsid w:val="002076FB"/>
    <w:rsid w:val="00207C9F"/>
    <w:rsid w:val="00207D91"/>
    <w:rsid w:val="00210844"/>
    <w:rsid w:val="0021133B"/>
    <w:rsid w:val="002116C1"/>
    <w:rsid w:val="00211843"/>
    <w:rsid w:val="00211F68"/>
    <w:rsid w:val="002127F4"/>
    <w:rsid w:val="00214289"/>
    <w:rsid w:val="00215A66"/>
    <w:rsid w:val="00216699"/>
    <w:rsid w:val="00216C83"/>
    <w:rsid w:val="00220273"/>
    <w:rsid w:val="00220395"/>
    <w:rsid w:val="00220458"/>
    <w:rsid w:val="0022061C"/>
    <w:rsid w:val="0022091D"/>
    <w:rsid w:val="00220E1A"/>
    <w:rsid w:val="002215E7"/>
    <w:rsid w:val="00221961"/>
    <w:rsid w:val="002231B8"/>
    <w:rsid w:val="00223BAD"/>
    <w:rsid w:val="00223D6E"/>
    <w:rsid w:val="00223E7E"/>
    <w:rsid w:val="00224911"/>
    <w:rsid w:val="00224F9F"/>
    <w:rsid w:val="002252B9"/>
    <w:rsid w:val="002257BB"/>
    <w:rsid w:val="002259CD"/>
    <w:rsid w:val="00226409"/>
    <w:rsid w:val="00226E8F"/>
    <w:rsid w:val="0022708F"/>
    <w:rsid w:val="002270A4"/>
    <w:rsid w:val="00227210"/>
    <w:rsid w:val="002276F4"/>
    <w:rsid w:val="0023101B"/>
    <w:rsid w:val="00231A33"/>
    <w:rsid w:val="00231E96"/>
    <w:rsid w:val="002339E0"/>
    <w:rsid w:val="00234304"/>
    <w:rsid w:val="00235096"/>
    <w:rsid w:val="00235786"/>
    <w:rsid w:val="00236270"/>
    <w:rsid w:val="0023631B"/>
    <w:rsid w:val="002365B1"/>
    <w:rsid w:val="00236BE4"/>
    <w:rsid w:val="002376DF"/>
    <w:rsid w:val="002379E7"/>
    <w:rsid w:val="00237BDB"/>
    <w:rsid w:val="00240486"/>
    <w:rsid w:val="0024399C"/>
    <w:rsid w:val="00243B0E"/>
    <w:rsid w:val="00243E36"/>
    <w:rsid w:val="0024499B"/>
    <w:rsid w:val="00244EB2"/>
    <w:rsid w:val="00244FF0"/>
    <w:rsid w:val="0024569C"/>
    <w:rsid w:val="0024580B"/>
    <w:rsid w:val="0024598F"/>
    <w:rsid w:val="002460C9"/>
    <w:rsid w:val="00251250"/>
    <w:rsid w:val="00251387"/>
    <w:rsid w:val="00251B71"/>
    <w:rsid w:val="0025229C"/>
    <w:rsid w:val="00252DE4"/>
    <w:rsid w:val="002535A3"/>
    <w:rsid w:val="002544EF"/>
    <w:rsid w:val="00255539"/>
    <w:rsid w:val="00256732"/>
    <w:rsid w:val="00256B27"/>
    <w:rsid w:val="002578FD"/>
    <w:rsid w:val="00257BFD"/>
    <w:rsid w:val="002601FF"/>
    <w:rsid w:val="002602D3"/>
    <w:rsid w:val="0026155C"/>
    <w:rsid w:val="00262865"/>
    <w:rsid w:val="00263058"/>
    <w:rsid w:val="002637A9"/>
    <w:rsid w:val="002641FE"/>
    <w:rsid w:val="00264D9C"/>
    <w:rsid w:val="00264F48"/>
    <w:rsid w:val="00265B9C"/>
    <w:rsid w:val="0026747B"/>
    <w:rsid w:val="002674B7"/>
    <w:rsid w:val="002675C5"/>
    <w:rsid w:val="00267637"/>
    <w:rsid w:val="00267C07"/>
    <w:rsid w:val="00270178"/>
    <w:rsid w:val="00273B95"/>
    <w:rsid w:val="0027435B"/>
    <w:rsid w:val="00274B58"/>
    <w:rsid w:val="00274BA5"/>
    <w:rsid w:val="002759E1"/>
    <w:rsid w:val="00275C22"/>
    <w:rsid w:val="00276721"/>
    <w:rsid w:val="00276C8A"/>
    <w:rsid w:val="0027E36A"/>
    <w:rsid w:val="0028045B"/>
    <w:rsid w:val="002808E1"/>
    <w:rsid w:val="002816BC"/>
    <w:rsid w:val="0028377C"/>
    <w:rsid w:val="002837F7"/>
    <w:rsid w:val="0028413A"/>
    <w:rsid w:val="00284A0F"/>
    <w:rsid w:val="00286041"/>
    <w:rsid w:val="00286AB9"/>
    <w:rsid w:val="00286B5F"/>
    <w:rsid w:val="00290713"/>
    <w:rsid w:val="002920BA"/>
    <w:rsid w:val="00293154"/>
    <w:rsid w:val="00293990"/>
    <w:rsid w:val="002956AC"/>
    <w:rsid w:val="002959B3"/>
    <w:rsid w:val="002966D9"/>
    <w:rsid w:val="00297901"/>
    <w:rsid w:val="002A0666"/>
    <w:rsid w:val="002A1986"/>
    <w:rsid w:val="002A19B5"/>
    <w:rsid w:val="002A1AF5"/>
    <w:rsid w:val="002A1C15"/>
    <w:rsid w:val="002A221E"/>
    <w:rsid w:val="002A2726"/>
    <w:rsid w:val="002A2CB2"/>
    <w:rsid w:val="002A41B7"/>
    <w:rsid w:val="002A5F28"/>
    <w:rsid w:val="002A6F69"/>
    <w:rsid w:val="002A793D"/>
    <w:rsid w:val="002B0580"/>
    <w:rsid w:val="002B1F59"/>
    <w:rsid w:val="002B239F"/>
    <w:rsid w:val="002B2ADC"/>
    <w:rsid w:val="002B30CE"/>
    <w:rsid w:val="002B4D03"/>
    <w:rsid w:val="002B4F3C"/>
    <w:rsid w:val="002B57F8"/>
    <w:rsid w:val="002B5A06"/>
    <w:rsid w:val="002B759D"/>
    <w:rsid w:val="002B7878"/>
    <w:rsid w:val="002C19B6"/>
    <w:rsid w:val="002C1F60"/>
    <w:rsid w:val="002C201B"/>
    <w:rsid w:val="002C20BD"/>
    <w:rsid w:val="002C2611"/>
    <w:rsid w:val="002C3EBC"/>
    <w:rsid w:val="002C47D2"/>
    <w:rsid w:val="002C5785"/>
    <w:rsid w:val="002C702F"/>
    <w:rsid w:val="002D0336"/>
    <w:rsid w:val="002D12BD"/>
    <w:rsid w:val="002D2AF3"/>
    <w:rsid w:val="002D32C0"/>
    <w:rsid w:val="002D3700"/>
    <w:rsid w:val="002D47E9"/>
    <w:rsid w:val="002D535C"/>
    <w:rsid w:val="002D55F0"/>
    <w:rsid w:val="002D70CB"/>
    <w:rsid w:val="002E13C6"/>
    <w:rsid w:val="002E1F69"/>
    <w:rsid w:val="002E21C1"/>
    <w:rsid w:val="002E4482"/>
    <w:rsid w:val="002E48A2"/>
    <w:rsid w:val="002E4B4F"/>
    <w:rsid w:val="002E516C"/>
    <w:rsid w:val="002E608C"/>
    <w:rsid w:val="002E617F"/>
    <w:rsid w:val="002E6BEC"/>
    <w:rsid w:val="002E7575"/>
    <w:rsid w:val="002E7BFE"/>
    <w:rsid w:val="002E7D72"/>
    <w:rsid w:val="002E7D98"/>
    <w:rsid w:val="002E9440"/>
    <w:rsid w:val="002F0BD8"/>
    <w:rsid w:val="002F1449"/>
    <w:rsid w:val="002F1BD6"/>
    <w:rsid w:val="002F2917"/>
    <w:rsid w:val="002F3B8F"/>
    <w:rsid w:val="002F4481"/>
    <w:rsid w:val="002F4ADA"/>
    <w:rsid w:val="002F5C2D"/>
    <w:rsid w:val="002F62FC"/>
    <w:rsid w:val="002F6357"/>
    <w:rsid w:val="00300DD8"/>
    <w:rsid w:val="0030198C"/>
    <w:rsid w:val="00301EC1"/>
    <w:rsid w:val="00302D94"/>
    <w:rsid w:val="0030453E"/>
    <w:rsid w:val="00305569"/>
    <w:rsid w:val="003068F8"/>
    <w:rsid w:val="0030782E"/>
    <w:rsid w:val="003136B8"/>
    <w:rsid w:val="00313987"/>
    <w:rsid w:val="00313BDA"/>
    <w:rsid w:val="00314BC3"/>
    <w:rsid w:val="0031516B"/>
    <w:rsid w:val="003155CB"/>
    <w:rsid w:val="00316BC6"/>
    <w:rsid w:val="00316DC8"/>
    <w:rsid w:val="00316DDE"/>
    <w:rsid w:val="003200B6"/>
    <w:rsid w:val="003200D7"/>
    <w:rsid w:val="003203C1"/>
    <w:rsid w:val="00321C38"/>
    <w:rsid w:val="00323983"/>
    <w:rsid w:val="00323F4C"/>
    <w:rsid w:val="00324277"/>
    <w:rsid w:val="003247FF"/>
    <w:rsid w:val="00324FE7"/>
    <w:rsid w:val="0032508C"/>
    <w:rsid w:val="003257FD"/>
    <w:rsid w:val="0032740E"/>
    <w:rsid w:val="003343C1"/>
    <w:rsid w:val="003352B5"/>
    <w:rsid w:val="00335723"/>
    <w:rsid w:val="003360E8"/>
    <w:rsid w:val="003400BD"/>
    <w:rsid w:val="0034127D"/>
    <w:rsid w:val="00342183"/>
    <w:rsid w:val="00343070"/>
    <w:rsid w:val="00343435"/>
    <w:rsid w:val="00344FE3"/>
    <w:rsid w:val="00345311"/>
    <w:rsid w:val="00346F56"/>
    <w:rsid w:val="0034740A"/>
    <w:rsid w:val="00347D23"/>
    <w:rsid w:val="0035028F"/>
    <w:rsid w:val="003507A1"/>
    <w:rsid w:val="00350816"/>
    <w:rsid w:val="0035191D"/>
    <w:rsid w:val="003533EC"/>
    <w:rsid w:val="003537DF"/>
    <w:rsid w:val="0035380D"/>
    <w:rsid w:val="003546CD"/>
    <w:rsid w:val="00354FC3"/>
    <w:rsid w:val="003554E4"/>
    <w:rsid w:val="00355E39"/>
    <w:rsid w:val="00355FE8"/>
    <w:rsid w:val="0035C3A5"/>
    <w:rsid w:val="0036026E"/>
    <w:rsid w:val="0036083A"/>
    <w:rsid w:val="00360E20"/>
    <w:rsid w:val="0036108B"/>
    <w:rsid w:val="003611D5"/>
    <w:rsid w:val="003613A7"/>
    <w:rsid w:val="003614BF"/>
    <w:rsid w:val="003623A7"/>
    <w:rsid w:val="00363267"/>
    <w:rsid w:val="00363415"/>
    <w:rsid w:val="003653D3"/>
    <w:rsid w:val="00367D7A"/>
    <w:rsid w:val="00370462"/>
    <w:rsid w:val="00370532"/>
    <w:rsid w:val="00370BD1"/>
    <w:rsid w:val="003715A4"/>
    <w:rsid w:val="003721C6"/>
    <w:rsid w:val="00372A9C"/>
    <w:rsid w:val="00373960"/>
    <w:rsid w:val="00373C1A"/>
    <w:rsid w:val="003742D9"/>
    <w:rsid w:val="0037434E"/>
    <w:rsid w:val="0037461E"/>
    <w:rsid w:val="00375734"/>
    <w:rsid w:val="00375A79"/>
    <w:rsid w:val="00375B27"/>
    <w:rsid w:val="003763F5"/>
    <w:rsid w:val="003766F1"/>
    <w:rsid w:val="0037720F"/>
    <w:rsid w:val="0038002C"/>
    <w:rsid w:val="00380165"/>
    <w:rsid w:val="0038123F"/>
    <w:rsid w:val="003818A8"/>
    <w:rsid w:val="00381DC5"/>
    <w:rsid w:val="0038265D"/>
    <w:rsid w:val="00382E5B"/>
    <w:rsid w:val="00383784"/>
    <w:rsid w:val="00383E92"/>
    <w:rsid w:val="00384475"/>
    <w:rsid w:val="0038496E"/>
    <w:rsid w:val="003853A6"/>
    <w:rsid w:val="003907A0"/>
    <w:rsid w:val="003923A9"/>
    <w:rsid w:val="00392C31"/>
    <w:rsid w:val="003936A0"/>
    <w:rsid w:val="0039393D"/>
    <w:rsid w:val="00393E7D"/>
    <w:rsid w:val="0039443A"/>
    <w:rsid w:val="003962D3"/>
    <w:rsid w:val="00396991"/>
    <w:rsid w:val="00396B1B"/>
    <w:rsid w:val="00396BE1"/>
    <w:rsid w:val="00397C81"/>
    <w:rsid w:val="003A1FB9"/>
    <w:rsid w:val="003A2A31"/>
    <w:rsid w:val="003A37C0"/>
    <w:rsid w:val="003A3F69"/>
    <w:rsid w:val="003A495F"/>
    <w:rsid w:val="003A4AA2"/>
    <w:rsid w:val="003A5EB9"/>
    <w:rsid w:val="003A6117"/>
    <w:rsid w:val="003A6173"/>
    <w:rsid w:val="003A660D"/>
    <w:rsid w:val="003A67D0"/>
    <w:rsid w:val="003A7A92"/>
    <w:rsid w:val="003B0563"/>
    <w:rsid w:val="003B1008"/>
    <w:rsid w:val="003B10E1"/>
    <w:rsid w:val="003B13F3"/>
    <w:rsid w:val="003B17B0"/>
    <w:rsid w:val="003B2496"/>
    <w:rsid w:val="003B2568"/>
    <w:rsid w:val="003B2595"/>
    <w:rsid w:val="003B2A19"/>
    <w:rsid w:val="003B3DF1"/>
    <w:rsid w:val="003B4203"/>
    <w:rsid w:val="003B4939"/>
    <w:rsid w:val="003B4D2F"/>
    <w:rsid w:val="003B4F84"/>
    <w:rsid w:val="003B5755"/>
    <w:rsid w:val="003B5C60"/>
    <w:rsid w:val="003B60AC"/>
    <w:rsid w:val="003C0827"/>
    <w:rsid w:val="003C149E"/>
    <w:rsid w:val="003C281F"/>
    <w:rsid w:val="003C3179"/>
    <w:rsid w:val="003C36D9"/>
    <w:rsid w:val="003C3F64"/>
    <w:rsid w:val="003C454E"/>
    <w:rsid w:val="003C4B6E"/>
    <w:rsid w:val="003C4C88"/>
    <w:rsid w:val="003C736B"/>
    <w:rsid w:val="003C77F3"/>
    <w:rsid w:val="003D0D62"/>
    <w:rsid w:val="003D2552"/>
    <w:rsid w:val="003D2591"/>
    <w:rsid w:val="003D263C"/>
    <w:rsid w:val="003D3EAB"/>
    <w:rsid w:val="003D410C"/>
    <w:rsid w:val="003D44C9"/>
    <w:rsid w:val="003D5104"/>
    <w:rsid w:val="003D556F"/>
    <w:rsid w:val="003D5857"/>
    <w:rsid w:val="003D71CA"/>
    <w:rsid w:val="003E045A"/>
    <w:rsid w:val="003E05DA"/>
    <w:rsid w:val="003E25D3"/>
    <w:rsid w:val="003E2CE0"/>
    <w:rsid w:val="003E3E56"/>
    <w:rsid w:val="003E3EA4"/>
    <w:rsid w:val="003E41C4"/>
    <w:rsid w:val="003E589C"/>
    <w:rsid w:val="003E72A4"/>
    <w:rsid w:val="003E761B"/>
    <w:rsid w:val="003F02CC"/>
    <w:rsid w:val="003F0A1A"/>
    <w:rsid w:val="003F0D3A"/>
    <w:rsid w:val="003F1006"/>
    <w:rsid w:val="003F1524"/>
    <w:rsid w:val="003F28DD"/>
    <w:rsid w:val="003F4631"/>
    <w:rsid w:val="003F49F0"/>
    <w:rsid w:val="003F4EAA"/>
    <w:rsid w:val="003F6C99"/>
    <w:rsid w:val="003F7D28"/>
    <w:rsid w:val="00400B29"/>
    <w:rsid w:val="00400BBD"/>
    <w:rsid w:val="00401DC8"/>
    <w:rsid w:val="0040456E"/>
    <w:rsid w:val="00404CB9"/>
    <w:rsid w:val="0040568A"/>
    <w:rsid w:val="0040635E"/>
    <w:rsid w:val="0040711D"/>
    <w:rsid w:val="00413E77"/>
    <w:rsid w:val="004140BD"/>
    <w:rsid w:val="0041411A"/>
    <w:rsid w:val="0041490A"/>
    <w:rsid w:val="00416378"/>
    <w:rsid w:val="0041734C"/>
    <w:rsid w:val="004220F6"/>
    <w:rsid w:val="00423C75"/>
    <w:rsid w:val="0042494E"/>
    <w:rsid w:val="00425365"/>
    <w:rsid w:val="004279BF"/>
    <w:rsid w:val="004302D0"/>
    <w:rsid w:val="0043137F"/>
    <w:rsid w:val="00431B40"/>
    <w:rsid w:val="00432C58"/>
    <w:rsid w:val="00435322"/>
    <w:rsid w:val="004367DF"/>
    <w:rsid w:val="0043681B"/>
    <w:rsid w:val="004371FA"/>
    <w:rsid w:val="004417F0"/>
    <w:rsid w:val="00441BD7"/>
    <w:rsid w:val="00442BE3"/>
    <w:rsid w:val="00443112"/>
    <w:rsid w:val="00443E56"/>
    <w:rsid w:val="00444F65"/>
    <w:rsid w:val="0044533D"/>
    <w:rsid w:val="00446EB3"/>
    <w:rsid w:val="00451E5D"/>
    <w:rsid w:val="00452691"/>
    <w:rsid w:val="0045310F"/>
    <w:rsid w:val="004531E3"/>
    <w:rsid w:val="00453829"/>
    <w:rsid w:val="00453F6A"/>
    <w:rsid w:val="00454200"/>
    <w:rsid w:val="00454436"/>
    <w:rsid w:val="0045474F"/>
    <w:rsid w:val="00455FD8"/>
    <w:rsid w:val="0045634E"/>
    <w:rsid w:val="00456531"/>
    <w:rsid w:val="004567CA"/>
    <w:rsid w:val="0046052E"/>
    <w:rsid w:val="00460AC0"/>
    <w:rsid w:val="00460D0C"/>
    <w:rsid w:val="00460E59"/>
    <w:rsid w:val="00461334"/>
    <w:rsid w:val="004615E5"/>
    <w:rsid w:val="00462976"/>
    <w:rsid w:val="00462F17"/>
    <w:rsid w:val="00463EA7"/>
    <w:rsid w:val="00464656"/>
    <w:rsid w:val="00464FD7"/>
    <w:rsid w:val="004658B8"/>
    <w:rsid w:val="00465995"/>
    <w:rsid w:val="00465F57"/>
    <w:rsid w:val="00467C06"/>
    <w:rsid w:val="00471246"/>
    <w:rsid w:val="00471EF4"/>
    <w:rsid w:val="0047235F"/>
    <w:rsid w:val="004723D3"/>
    <w:rsid w:val="00472710"/>
    <w:rsid w:val="00472DE7"/>
    <w:rsid w:val="00473666"/>
    <w:rsid w:val="0047374D"/>
    <w:rsid w:val="004738B1"/>
    <w:rsid w:val="00473974"/>
    <w:rsid w:val="0047508F"/>
    <w:rsid w:val="00475C39"/>
    <w:rsid w:val="00476235"/>
    <w:rsid w:val="00476976"/>
    <w:rsid w:val="00477087"/>
    <w:rsid w:val="0047726C"/>
    <w:rsid w:val="004778C5"/>
    <w:rsid w:val="00482409"/>
    <w:rsid w:val="00482665"/>
    <w:rsid w:val="0048277D"/>
    <w:rsid w:val="004835B3"/>
    <w:rsid w:val="00483CFE"/>
    <w:rsid w:val="00483FB7"/>
    <w:rsid w:val="0048417D"/>
    <w:rsid w:val="0048530C"/>
    <w:rsid w:val="0048629B"/>
    <w:rsid w:val="004862F0"/>
    <w:rsid w:val="004871FE"/>
    <w:rsid w:val="00490DA1"/>
    <w:rsid w:val="00491B24"/>
    <w:rsid w:val="00494858"/>
    <w:rsid w:val="00494D2B"/>
    <w:rsid w:val="00494FCA"/>
    <w:rsid w:val="00496317"/>
    <w:rsid w:val="004968B7"/>
    <w:rsid w:val="00496B25"/>
    <w:rsid w:val="00496E8A"/>
    <w:rsid w:val="00496ECF"/>
    <w:rsid w:val="0049737C"/>
    <w:rsid w:val="004975A2"/>
    <w:rsid w:val="004A038F"/>
    <w:rsid w:val="004A067A"/>
    <w:rsid w:val="004A11A6"/>
    <w:rsid w:val="004A1EAA"/>
    <w:rsid w:val="004A2735"/>
    <w:rsid w:val="004A2A07"/>
    <w:rsid w:val="004A2D9C"/>
    <w:rsid w:val="004A2E76"/>
    <w:rsid w:val="004A3022"/>
    <w:rsid w:val="004A4B83"/>
    <w:rsid w:val="004A4F1A"/>
    <w:rsid w:val="004A5F2E"/>
    <w:rsid w:val="004A6083"/>
    <w:rsid w:val="004A63F0"/>
    <w:rsid w:val="004A694A"/>
    <w:rsid w:val="004A7099"/>
    <w:rsid w:val="004A70BF"/>
    <w:rsid w:val="004B0B7F"/>
    <w:rsid w:val="004B1A70"/>
    <w:rsid w:val="004B1D98"/>
    <w:rsid w:val="004B22D1"/>
    <w:rsid w:val="004B3012"/>
    <w:rsid w:val="004B43CE"/>
    <w:rsid w:val="004B4829"/>
    <w:rsid w:val="004B5AB9"/>
    <w:rsid w:val="004B750B"/>
    <w:rsid w:val="004B76C4"/>
    <w:rsid w:val="004B7D45"/>
    <w:rsid w:val="004C0126"/>
    <w:rsid w:val="004C072E"/>
    <w:rsid w:val="004C0A4E"/>
    <w:rsid w:val="004C14A3"/>
    <w:rsid w:val="004C17B4"/>
    <w:rsid w:val="004C22BB"/>
    <w:rsid w:val="004C2387"/>
    <w:rsid w:val="004C367B"/>
    <w:rsid w:val="004C3B5E"/>
    <w:rsid w:val="004C4C1C"/>
    <w:rsid w:val="004C5A8E"/>
    <w:rsid w:val="004C6CFD"/>
    <w:rsid w:val="004C73C8"/>
    <w:rsid w:val="004C7C71"/>
    <w:rsid w:val="004C7C81"/>
    <w:rsid w:val="004CB6F8"/>
    <w:rsid w:val="004D0145"/>
    <w:rsid w:val="004D04D0"/>
    <w:rsid w:val="004D0BC9"/>
    <w:rsid w:val="004D0C6C"/>
    <w:rsid w:val="004D26F8"/>
    <w:rsid w:val="004D3FB6"/>
    <w:rsid w:val="004D4760"/>
    <w:rsid w:val="004D52E0"/>
    <w:rsid w:val="004D5939"/>
    <w:rsid w:val="004D5EF3"/>
    <w:rsid w:val="004D68C7"/>
    <w:rsid w:val="004D79D2"/>
    <w:rsid w:val="004E0439"/>
    <w:rsid w:val="004E09D6"/>
    <w:rsid w:val="004E1426"/>
    <w:rsid w:val="004E29D8"/>
    <w:rsid w:val="004E2AA0"/>
    <w:rsid w:val="004E2D81"/>
    <w:rsid w:val="004E428C"/>
    <w:rsid w:val="004E452A"/>
    <w:rsid w:val="004E481D"/>
    <w:rsid w:val="004E4854"/>
    <w:rsid w:val="004E5492"/>
    <w:rsid w:val="004E6EAF"/>
    <w:rsid w:val="004E7262"/>
    <w:rsid w:val="004E7B69"/>
    <w:rsid w:val="004F13BC"/>
    <w:rsid w:val="004F1736"/>
    <w:rsid w:val="004F1746"/>
    <w:rsid w:val="004F25E8"/>
    <w:rsid w:val="004F2AC5"/>
    <w:rsid w:val="004F320C"/>
    <w:rsid w:val="004F39C5"/>
    <w:rsid w:val="004F3A2A"/>
    <w:rsid w:val="004F546A"/>
    <w:rsid w:val="004F719C"/>
    <w:rsid w:val="004F73DF"/>
    <w:rsid w:val="0050079D"/>
    <w:rsid w:val="00500B20"/>
    <w:rsid w:val="005012CE"/>
    <w:rsid w:val="00501D38"/>
    <w:rsid w:val="005038CF"/>
    <w:rsid w:val="0050444D"/>
    <w:rsid w:val="00505CDA"/>
    <w:rsid w:val="0050619F"/>
    <w:rsid w:val="005077DF"/>
    <w:rsid w:val="00510CEC"/>
    <w:rsid w:val="00510E0E"/>
    <w:rsid w:val="00511008"/>
    <w:rsid w:val="00512237"/>
    <w:rsid w:val="00512661"/>
    <w:rsid w:val="00513481"/>
    <w:rsid w:val="00513FA4"/>
    <w:rsid w:val="00514469"/>
    <w:rsid w:val="00514614"/>
    <w:rsid w:val="00514773"/>
    <w:rsid w:val="00514F90"/>
    <w:rsid w:val="00516169"/>
    <w:rsid w:val="00517422"/>
    <w:rsid w:val="00517475"/>
    <w:rsid w:val="00521B09"/>
    <w:rsid w:val="00521F90"/>
    <w:rsid w:val="00522C49"/>
    <w:rsid w:val="00523080"/>
    <w:rsid w:val="005237B4"/>
    <w:rsid w:val="00523FE0"/>
    <w:rsid w:val="0052535B"/>
    <w:rsid w:val="005271A9"/>
    <w:rsid w:val="0053061C"/>
    <w:rsid w:val="00530661"/>
    <w:rsid w:val="00530C0E"/>
    <w:rsid w:val="00531347"/>
    <w:rsid w:val="0053274E"/>
    <w:rsid w:val="00533FC6"/>
    <w:rsid w:val="00534752"/>
    <w:rsid w:val="00537681"/>
    <w:rsid w:val="00541FAD"/>
    <w:rsid w:val="00542742"/>
    <w:rsid w:val="00542A99"/>
    <w:rsid w:val="00543ACF"/>
    <w:rsid w:val="00543FF3"/>
    <w:rsid w:val="00544B47"/>
    <w:rsid w:val="005453C7"/>
    <w:rsid w:val="005457DE"/>
    <w:rsid w:val="00545D12"/>
    <w:rsid w:val="00546050"/>
    <w:rsid w:val="0054617D"/>
    <w:rsid w:val="0054634C"/>
    <w:rsid w:val="005463FE"/>
    <w:rsid w:val="00546D42"/>
    <w:rsid w:val="00547478"/>
    <w:rsid w:val="00547D42"/>
    <w:rsid w:val="00547F31"/>
    <w:rsid w:val="005500CF"/>
    <w:rsid w:val="005501AE"/>
    <w:rsid w:val="005503DE"/>
    <w:rsid w:val="00550D5F"/>
    <w:rsid w:val="005527CE"/>
    <w:rsid w:val="00555DFC"/>
    <w:rsid w:val="00556FA2"/>
    <w:rsid w:val="00557169"/>
    <w:rsid w:val="00560775"/>
    <w:rsid w:val="00560BA9"/>
    <w:rsid w:val="005616AD"/>
    <w:rsid w:val="00562055"/>
    <w:rsid w:val="00562F71"/>
    <w:rsid w:val="005640EF"/>
    <w:rsid w:val="00565A93"/>
    <w:rsid w:val="00565DC5"/>
    <w:rsid w:val="00565F53"/>
    <w:rsid w:val="00566ABC"/>
    <w:rsid w:val="00567022"/>
    <w:rsid w:val="005708D7"/>
    <w:rsid w:val="00571C50"/>
    <w:rsid w:val="0057599B"/>
    <w:rsid w:val="00575D00"/>
    <w:rsid w:val="00575D1B"/>
    <w:rsid w:val="005771D4"/>
    <w:rsid w:val="005811EB"/>
    <w:rsid w:val="005831F7"/>
    <w:rsid w:val="00584AB2"/>
    <w:rsid w:val="0058520C"/>
    <w:rsid w:val="00585ED9"/>
    <w:rsid w:val="00586195"/>
    <w:rsid w:val="005869C2"/>
    <w:rsid w:val="00586B93"/>
    <w:rsid w:val="00586FD3"/>
    <w:rsid w:val="00590049"/>
    <w:rsid w:val="005901B7"/>
    <w:rsid w:val="00592778"/>
    <w:rsid w:val="00592904"/>
    <w:rsid w:val="00592DC8"/>
    <w:rsid w:val="00594A70"/>
    <w:rsid w:val="00594C46"/>
    <w:rsid w:val="00594DB6"/>
    <w:rsid w:val="00595225"/>
    <w:rsid w:val="00596564"/>
    <w:rsid w:val="005977BA"/>
    <w:rsid w:val="005A0DBD"/>
    <w:rsid w:val="005A12C9"/>
    <w:rsid w:val="005A16FD"/>
    <w:rsid w:val="005A1E0D"/>
    <w:rsid w:val="005A4BB2"/>
    <w:rsid w:val="005A4C4E"/>
    <w:rsid w:val="005A6D81"/>
    <w:rsid w:val="005A78BF"/>
    <w:rsid w:val="005B0246"/>
    <w:rsid w:val="005B1419"/>
    <w:rsid w:val="005B1B0C"/>
    <w:rsid w:val="005B2177"/>
    <w:rsid w:val="005B373B"/>
    <w:rsid w:val="005B51BF"/>
    <w:rsid w:val="005B5439"/>
    <w:rsid w:val="005B5A5B"/>
    <w:rsid w:val="005B7D9E"/>
    <w:rsid w:val="005C0461"/>
    <w:rsid w:val="005C06AD"/>
    <w:rsid w:val="005C2399"/>
    <w:rsid w:val="005C2401"/>
    <w:rsid w:val="005C397A"/>
    <w:rsid w:val="005C4277"/>
    <w:rsid w:val="005C4417"/>
    <w:rsid w:val="005C5821"/>
    <w:rsid w:val="005D02C7"/>
    <w:rsid w:val="005D0850"/>
    <w:rsid w:val="005D0D5E"/>
    <w:rsid w:val="005D164B"/>
    <w:rsid w:val="005D28CE"/>
    <w:rsid w:val="005D294A"/>
    <w:rsid w:val="005D3AC3"/>
    <w:rsid w:val="005D47AE"/>
    <w:rsid w:val="005D4A33"/>
    <w:rsid w:val="005D5D4D"/>
    <w:rsid w:val="005D62EB"/>
    <w:rsid w:val="005D6494"/>
    <w:rsid w:val="005D6D25"/>
    <w:rsid w:val="005D7154"/>
    <w:rsid w:val="005E184A"/>
    <w:rsid w:val="005E1A4D"/>
    <w:rsid w:val="005E395A"/>
    <w:rsid w:val="005E44EE"/>
    <w:rsid w:val="005E49BE"/>
    <w:rsid w:val="005E4A21"/>
    <w:rsid w:val="005E4A7A"/>
    <w:rsid w:val="005E4F0F"/>
    <w:rsid w:val="005E686F"/>
    <w:rsid w:val="005E6E2A"/>
    <w:rsid w:val="005E7100"/>
    <w:rsid w:val="005F0389"/>
    <w:rsid w:val="005F120D"/>
    <w:rsid w:val="005F2026"/>
    <w:rsid w:val="005F2836"/>
    <w:rsid w:val="005F3002"/>
    <w:rsid w:val="005F3B78"/>
    <w:rsid w:val="005F3CE1"/>
    <w:rsid w:val="005F630E"/>
    <w:rsid w:val="005F6D85"/>
    <w:rsid w:val="005F6DEE"/>
    <w:rsid w:val="005F7415"/>
    <w:rsid w:val="006011DA"/>
    <w:rsid w:val="006011E4"/>
    <w:rsid w:val="0060211E"/>
    <w:rsid w:val="006022AA"/>
    <w:rsid w:val="006023B7"/>
    <w:rsid w:val="00602440"/>
    <w:rsid w:val="00602FCE"/>
    <w:rsid w:val="00603DA1"/>
    <w:rsid w:val="00604146"/>
    <w:rsid w:val="0060434B"/>
    <w:rsid w:val="00604E6B"/>
    <w:rsid w:val="00604FCD"/>
    <w:rsid w:val="00606129"/>
    <w:rsid w:val="006064A1"/>
    <w:rsid w:val="00606E77"/>
    <w:rsid w:val="00607E76"/>
    <w:rsid w:val="00607FDF"/>
    <w:rsid w:val="0061001C"/>
    <w:rsid w:val="0061151B"/>
    <w:rsid w:val="006117E9"/>
    <w:rsid w:val="0061189E"/>
    <w:rsid w:val="00612A08"/>
    <w:rsid w:val="00616EF5"/>
    <w:rsid w:val="006174BD"/>
    <w:rsid w:val="00617C14"/>
    <w:rsid w:val="00617C76"/>
    <w:rsid w:val="00620D73"/>
    <w:rsid w:val="00621DD3"/>
    <w:rsid w:val="00621FC2"/>
    <w:rsid w:val="00622360"/>
    <w:rsid w:val="0062240E"/>
    <w:rsid w:val="006227DD"/>
    <w:rsid w:val="0062367F"/>
    <w:rsid w:val="00623D3B"/>
    <w:rsid w:val="00624637"/>
    <w:rsid w:val="00624887"/>
    <w:rsid w:val="006264C1"/>
    <w:rsid w:val="00626DBF"/>
    <w:rsid w:val="006320EE"/>
    <w:rsid w:val="00633FB4"/>
    <w:rsid w:val="00634657"/>
    <w:rsid w:val="006347B1"/>
    <w:rsid w:val="00635DE9"/>
    <w:rsid w:val="00636611"/>
    <w:rsid w:val="006366F5"/>
    <w:rsid w:val="0063708F"/>
    <w:rsid w:val="00637B8E"/>
    <w:rsid w:val="00647434"/>
    <w:rsid w:val="00647598"/>
    <w:rsid w:val="00650285"/>
    <w:rsid w:val="006511AF"/>
    <w:rsid w:val="0065289F"/>
    <w:rsid w:val="006544ED"/>
    <w:rsid w:val="006553B5"/>
    <w:rsid w:val="006555A4"/>
    <w:rsid w:val="00656C5B"/>
    <w:rsid w:val="00657B3D"/>
    <w:rsid w:val="00661517"/>
    <w:rsid w:val="00661FF8"/>
    <w:rsid w:val="00662549"/>
    <w:rsid w:val="00662A1D"/>
    <w:rsid w:val="00662AB7"/>
    <w:rsid w:val="00664086"/>
    <w:rsid w:val="0066455C"/>
    <w:rsid w:val="00664FEC"/>
    <w:rsid w:val="00665182"/>
    <w:rsid w:val="0066554F"/>
    <w:rsid w:val="00666441"/>
    <w:rsid w:val="006700B7"/>
    <w:rsid w:val="00670DFF"/>
    <w:rsid w:val="00671FE5"/>
    <w:rsid w:val="00672679"/>
    <w:rsid w:val="00672B80"/>
    <w:rsid w:val="00673913"/>
    <w:rsid w:val="00674192"/>
    <w:rsid w:val="00675843"/>
    <w:rsid w:val="00676918"/>
    <w:rsid w:val="00676FB4"/>
    <w:rsid w:val="006778AC"/>
    <w:rsid w:val="006807FA"/>
    <w:rsid w:val="00680FA9"/>
    <w:rsid w:val="00682386"/>
    <w:rsid w:val="0068253D"/>
    <w:rsid w:val="006839BA"/>
    <w:rsid w:val="006839F3"/>
    <w:rsid w:val="00686474"/>
    <w:rsid w:val="006911CF"/>
    <w:rsid w:val="00691BF3"/>
    <w:rsid w:val="00693098"/>
    <w:rsid w:val="00694622"/>
    <w:rsid w:val="00695B3C"/>
    <w:rsid w:val="00696F24"/>
    <w:rsid w:val="00697BAA"/>
    <w:rsid w:val="00697E6B"/>
    <w:rsid w:val="006A0EDB"/>
    <w:rsid w:val="006A1FF2"/>
    <w:rsid w:val="006A20BF"/>
    <w:rsid w:val="006A5F96"/>
    <w:rsid w:val="006A67D3"/>
    <w:rsid w:val="006A683E"/>
    <w:rsid w:val="006A6B76"/>
    <w:rsid w:val="006A7C55"/>
    <w:rsid w:val="006ACE75"/>
    <w:rsid w:val="006B10F2"/>
    <w:rsid w:val="006B1596"/>
    <w:rsid w:val="006B16E1"/>
    <w:rsid w:val="006B1BFD"/>
    <w:rsid w:val="006B1DBE"/>
    <w:rsid w:val="006B1ECC"/>
    <w:rsid w:val="006B22DB"/>
    <w:rsid w:val="006B2F6C"/>
    <w:rsid w:val="006B3EFE"/>
    <w:rsid w:val="006B479D"/>
    <w:rsid w:val="006B5B88"/>
    <w:rsid w:val="006B69E1"/>
    <w:rsid w:val="006B7B43"/>
    <w:rsid w:val="006C1287"/>
    <w:rsid w:val="006C1384"/>
    <w:rsid w:val="006C1D8A"/>
    <w:rsid w:val="006C1FCD"/>
    <w:rsid w:val="006C2C09"/>
    <w:rsid w:val="006C3457"/>
    <w:rsid w:val="006C35E5"/>
    <w:rsid w:val="006C398D"/>
    <w:rsid w:val="006C42EC"/>
    <w:rsid w:val="006C458B"/>
    <w:rsid w:val="006C466C"/>
    <w:rsid w:val="006C64A6"/>
    <w:rsid w:val="006C7341"/>
    <w:rsid w:val="006C7F4A"/>
    <w:rsid w:val="006D1869"/>
    <w:rsid w:val="006D1A38"/>
    <w:rsid w:val="006D31E7"/>
    <w:rsid w:val="006D43B2"/>
    <w:rsid w:val="006D4FE2"/>
    <w:rsid w:val="006D568E"/>
    <w:rsid w:val="006E2AF4"/>
    <w:rsid w:val="006E2BCD"/>
    <w:rsid w:val="006E2D46"/>
    <w:rsid w:val="006E3144"/>
    <w:rsid w:val="006E337B"/>
    <w:rsid w:val="006E3C0D"/>
    <w:rsid w:val="006E3C61"/>
    <w:rsid w:val="006E3C9A"/>
    <w:rsid w:val="006E4B23"/>
    <w:rsid w:val="006E54CC"/>
    <w:rsid w:val="006E5785"/>
    <w:rsid w:val="006E5B44"/>
    <w:rsid w:val="006E61F2"/>
    <w:rsid w:val="006E6D57"/>
    <w:rsid w:val="006E7986"/>
    <w:rsid w:val="006E7AFE"/>
    <w:rsid w:val="006F198F"/>
    <w:rsid w:val="006F3AE7"/>
    <w:rsid w:val="006F3B79"/>
    <w:rsid w:val="006F3FC5"/>
    <w:rsid w:val="006F42B4"/>
    <w:rsid w:val="006F4A1C"/>
    <w:rsid w:val="006F5CB1"/>
    <w:rsid w:val="006F5F53"/>
    <w:rsid w:val="006F67EF"/>
    <w:rsid w:val="006F68C7"/>
    <w:rsid w:val="006F7289"/>
    <w:rsid w:val="006F7AA9"/>
    <w:rsid w:val="00700820"/>
    <w:rsid w:val="00702101"/>
    <w:rsid w:val="0070258A"/>
    <w:rsid w:val="0070286D"/>
    <w:rsid w:val="0070451F"/>
    <w:rsid w:val="00704DDB"/>
    <w:rsid w:val="00706ACD"/>
    <w:rsid w:val="00706CD7"/>
    <w:rsid w:val="00706F81"/>
    <w:rsid w:val="007114B9"/>
    <w:rsid w:val="007125A1"/>
    <w:rsid w:val="00712606"/>
    <w:rsid w:val="00712BA9"/>
    <w:rsid w:val="00712EBD"/>
    <w:rsid w:val="007141C2"/>
    <w:rsid w:val="0071488C"/>
    <w:rsid w:val="007151A7"/>
    <w:rsid w:val="00715FCA"/>
    <w:rsid w:val="007161E6"/>
    <w:rsid w:val="0071634B"/>
    <w:rsid w:val="00716D74"/>
    <w:rsid w:val="00716D9E"/>
    <w:rsid w:val="00716FA0"/>
    <w:rsid w:val="0072120A"/>
    <w:rsid w:val="007222D2"/>
    <w:rsid w:val="0072306F"/>
    <w:rsid w:val="00723E9F"/>
    <w:rsid w:val="007240F1"/>
    <w:rsid w:val="00725D35"/>
    <w:rsid w:val="007264B1"/>
    <w:rsid w:val="007314BA"/>
    <w:rsid w:val="00731999"/>
    <w:rsid w:val="00732337"/>
    <w:rsid w:val="0073237B"/>
    <w:rsid w:val="007329C3"/>
    <w:rsid w:val="00733D8C"/>
    <w:rsid w:val="00734440"/>
    <w:rsid w:val="00734650"/>
    <w:rsid w:val="0073480A"/>
    <w:rsid w:val="00734D22"/>
    <w:rsid w:val="00735CCD"/>
    <w:rsid w:val="007373CB"/>
    <w:rsid w:val="007375BB"/>
    <w:rsid w:val="00737911"/>
    <w:rsid w:val="0074041F"/>
    <w:rsid w:val="007406E7"/>
    <w:rsid w:val="007410FF"/>
    <w:rsid w:val="0074128F"/>
    <w:rsid w:val="00741383"/>
    <w:rsid w:val="00741938"/>
    <w:rsid w:val="00741B8B"/>
    <w:rsid w:val="007421BB"/>
    <w:rsid w:val="00742C51"/>
    <w:rsid w:val="00743A05"/>
    <w:rsid w:val="00743C99"/>
    <w:rsid w:val="00744686"/>
    <w:rsid w:val="00744DAE"/>
    <w:rsid w:val="00745810"/>
    <w:rsid w:val="00745F53"/>
    <w:rsid w:val="00746238"/>
    <w:rsid w:val="00747DA9"/>
    <w:rsid w:val="00747E6A"/>
    <w:rsid w:val="00751569"/>
    <w:rsid w:val="00751DBB"/>
    <w:rsid w:val="007520D1"/>
    <w:rsid w:val="00752F4C"/>
    <w:rsid w:val="0075340F"/>
    <w:rsid w:val="00753663"/>
    <w:rsid w:val="00753916"/>
    <w:rsid w:val="00754ABC"/>
    <w:rsid w:val="00756168"/>
    <w:rsid w:val="00756FD3"/>
    <w:rsid w:val="007573A2"/>
    <w:rsid w:val="00757E9A"/>
    <w:rsid w:val="0076036E"/>
    <w:rsid w:val="00760731"/>
    <w:rsid w:val="007610DA"/>
    <w:rsid w:val="0076177D"/>
    <w:rsid w:val="007618B4"/>
    <w:rsid w:val="00762B34"/>
    <w:rsid w:val="00763EA7"/>
    <w:rsid w:val="00765E50"/>
    <w:rsid w:val="0076613D"/>
    <w:rsid w:val="00766F3B"/>
    <w:rsid w:val="007679E7"/>
    <w:rsid w:val="00767D1B"/>
    <w:rsid w:val="00770075"/>
    <w:rsid w:val="00770396"/>
    <w:rsid w:val="007707F9"/>
    <w:rsid w:val="00770E33"/>
    <w:rsid w:val="00772093"/>
    <w:rsid w:val="00774F4B"/>
    <w:rsid w:val="00775005"/>
    <w:rsid w:val="007759E8"/>
    <w:rsid w:val="0077666E"/>
    <w:rsid w:val="0077690E"/>
    <w:rsid w:val="007771C2"/>
    <w:rsid w:val="007775EB"/>
    <w:rsid w:val="007805C5"/>
    <w:rsid w:val="00780E34"/>
    <w:rsid w:val="00781B6E"/>
    <w:rsid w:val="00781BE2"/>
    <w:rsid w:val="00781D55"/>
    <w:rsid w:val="007830C4"/>
    <w:rsid w:val="007836C1"/>
    <w:rsid w:val="0078374B"/>
    <w:rsid w:val="007838C7"/>
    <w:rsid w:val="00783969"/>
    <w:rsid w:val="00783CB9"/>
    <w:rsid w:val="00784B9E"/>
    <w:rsid w:val="0078635A"/>
    <w:rsid w:val="007869C9"/>
    <w:rsid w:val="00786F8E"/>
    <w:rsid w:val="0079111A"/>
    <w:rsid w:val="0079119D"/>
    <w:rsid w:val="00791399"/>
    <w:rsid w:val="007922D7"/>
    <w:rsid w:val="007926D3"/>
    <w:rsid w:val="00792721"/>
    <w:rsid w:val="00792A2B"/>
    <w:rsid w:val="007936C1"/>
    <w:rsid w:val="00793DB5"/>
    <w:rsid w:val="00795431"/>
    <w:rsid w:val="007954DE"/>
    <w:rsid w:val="00795FDD"/>
    <w:rsid w:val="0079630E"/>
    <w:rsid w:val="00796DF1"/>
    <w:rsid w:val="007973CC"/>
    <w:rsid w:val="00797660"/>
    <w:rsid w:val="00797FDE"/>
    <w:rsid w:val="007A01E5"/>
    <w:rsid w:val="007A036E"/>
    <w:rsid w:val="007A0D4E"/>
    <w:rsid w:val="007A13CB"/>
    <w:rsid w:val="007A147A"/>
    <w:rsid w:val="007A19C0"/>
    <w:rsid w:val="007A1AF6"/>
    <w:rsid w:val="007A1CEB"/>
    <w:rsid w:val="007A24AB"/>
    <w:rsid w:val="007A24B0"/>
    <w:rsid w:val="007A2D5E"/>
    <w:rsid w:val="007A2D9C"/>
    <w:rsid w:val="007A30D5"/>
    <w:rsid w:val="007A4C2A"/>
    <w:rsid w:val="007A55AB"/>
    <w:rsid w:val="007A56C1"/>
    <w:rsid w:val="007A57E1"/>
    <w:rsid w:val="007A5C89"/>
    <w:rsid w:val="007A6FDB"/>
    <w:rsid w:val="007B139E"/>
    <w:rsid w:val="007B2659"/>
    <w:rsid w:val="007B2E12"/>
    <w:rsid w:val="007B60FF"/>
    <w:rsid w:val="007B7B32"/>
    <w:rsid w:val="007C12E2"/>
    <w:rsid w:val="007C17F1"/>
    <w:rsid w:val="007C253E"/>
    <w:rsid w:val="007C25F2"/>
    <w:rsid w:val="007C2731"/>
    <w:rsid w:val="007C29BE"/>
    <w:rsid w:val="007C29E1"/>
    <w:rsid w:val="007C2D54"/>
    <w:rsid w:val="007C3791"/>
    <w:rsid w:val="007C3D73"/>
    <w:rsid w:val="007C45FF"/>
    <w:rsid w:val="007C46D4"/>
    <w:rsid w:val="007C4A75"/>
    <w:rsid w:val="007C4F70"/>
    <w:rsid w:val="007C58B1"/>
    <w:rsid w:val="007C5A2E"/>
    <w:rsid w:val="007C67CB"/>
    <w:rsid w:val="007C6925"/>
    <w:rsid w:val="007C7DD0"/>
    <w:rsid w:val="007D0498"/>
    <w:rsid w:val="007D0845"/>
    <w:rsid w:val="007D26AA"/>
    <w:rsid w:val="007D338F"/>
    <w:rsid w:val="007D348B"/>
    <w:rsid w:val="007D5A4C"/>
    <w:rsid w:val="007D5C49"/>
    <w:rsid w:val="007D654B"/>
    <w:rsid w:val="007D6609"/>
    <w:rsid w:val="007D7AA6"/>
    <w:rsid w:val="007E1B5A"/>
    <w:rsid w:val="007E2960"/>
    <w:rsid w:val="007E297E"/>
    <w:rsid w:val="007E2C24"/>
    <w:rsid w:val="007E2D66"/>
    <w:rsid w:val="007E58DA"/>
    <w:rsid w:val="007E5AFC"/>
    <w:rsid w:val="007E5F35"/>
    <w:rsid w:val="007E755D"/>
    <w:rsid w:val="007E766D"/>
    <w:rsid w:val="007F0FB7"/>
    <w:rsid w:val="007F17B2"/>
    <w:rsid w:val="007F1B3D"/>
    <w:rsid w:val="007F2241"/>
    <w:rsid w:val="007F23A4"/>
    <w:rsid w:val="007F297B"/>
    <w:rsid w:val="007F3128"/>
    <w:rsid w:val="007F371F"/>
    <w:rsid w:val="007F6719"/>
    <w:rsid w:val="007F7352"/>
    <w:rsid w:val="007F759B"/>
    <w:rsid w:val="007F7928"/>
    <w:rsid w:val="008004A5"/>
    <w:rsid w:val="008019A5"/>
    <w:rsid w:val="008021C3"/>
    <w:rsid w:val="0080256B"/>
    <w:rsid w:val="008046BB"/>
    <w:rsid w:val="008051BF"/>
    <w:rsid w:val="00805CAF"/>
    <w:rsid w:val="00806D0D"/>
    <w:rsid w:val="008077DA"/>
    <w:rsid w:val="008106DC"/>
    <w:rsid w:val="00811131"/>
    <w:rsid w:val="00812115"/>
    <w:rsid w:val="00813407"/>
    <w:rsid w:val="00814E1E"/>
    <w:rsid w:val="00814E44"/>
    <w:rsid w:val="00815DAE"/>
    <w:rsid w:val="008168EA"/>
    <w:rsid w:val="00816CC4"/>
    <w:rsid w:val="00821BEA"/>
    <w:rsid w:val="00822B64"/>
    <w:rsid w:val="0082473F"/>
    <w:rsid w:val="00824976"/>
    <w:rsid w:val="008259E5"/>
    <w:rsid w:val="008278A6"/>
    <w:rsid w:val="00827968"/>
    <w:rsid w:val="00830D4B"/>
    <w:rsid w:val="00830D8A"/>
    <w:rsid w:val="0083106E"/>
    <w:rsid w:val="0083127E"/>
    <w:rsid w:val="008319E8"/>
    <w:rsid w:val="00831A96"/>
    <w:rsid w:val="0083339A"/>
    <w:rsid w:val="008350B8"/>
    <w:rsid w:val="00835CD5"/>
    <w:rsid w:val="00835DB1"/>
    <w:rsid w:val="008415ED"/>
    <w:rsid w:val="008416B9"/>
    <w:rsid w:val="0084377B"/>
    <w:rsid w:val="00843CDB"/>
    <w:rsid w:val="008445EA"/>
    <w:rsid w:val="008473AA"/>
    <w:rsid w:val="008478F2"/>
    <w:rsid w:val="00847F9E"/>
    <w:rsid w:val="00850B90"/>
    <w:rsid w:val="008512B8"/>
    <w:rsid w:val="00851B44"/>
    <w:rsid w:val="00851FD1"/>
    <w:rsid w:val="0085285F"/>
    <w:rsid w:val="00852FC3"/>
    <w:rsid w:val="00853302"/>
    <w:rsid w:val="00853A80"/>
    <w:rsid w:val="00853D37"/>
    <w:rsid w:val="008548DF"/>
    <w:rsid w:val="00856E8A"/>
    <w:rsid w:val="00857D87"/>
    <w:rsid w:val="00857E29"/>
    <w:rsid w:val="00860AC7"/>
    <w:rsid w:val="00862359"/>
    <w:rsid w:val="00863670"/>
    <w:rsid w:val="00863C88"/>
    <w:rsid w:val="0086447C"/>
    <w:rsid w:val="0086473A"/>
    <w:rsid w:val="00864F4E"/>
    <w:rsid w:val="00865376"/>
    <w:rsid w:val="00867B7E"/>
    <w:rsid w:val="00870E8E"/>
    <w:rsid w:val="008723B3"/>
    <w:rsid w:val="008729D6"/>
    <w:rsid w:val="008742DC"/>
    <w:rsid w:val="008755AA"/>
    <w:rsid w:val="008766B6"/>
    <w:rsid w:val="00876A68"/>
    <w:rsid w:val="00876C92"/>
    <w:rsid w:val="00877EE9"/>
    <w:rsid w:val="00880391"/>
    <w:rsid w:val="00881411"/>
    <w:rsid w:val="00881A95"/>
    <w:rsid w:val="0088387E"/>
    <w:rsid w:val="0088390F"/>
    <w:rsid w:val="00883CCB"/>
    <w:rsid w:val="00884490"/>
    <w:rsid w:val="0088481D"/>
    <w:rsid w:val="00884DB0"/>
    <w:rsid w:val="00885306"/>
    <w:rsid w:val="00885509"/>
    <w:rsid w:val="00887915"/>
    <w:rsid w:val="00890031"/>
    <w:rsid w:val="00890971"/>
    <w:rsid w:val="00890EA9"/>
    <w:rsid w:val="00892A33"/>
    <w:rsid w:val="008939DC"/>
    <w:rsid w:val="0089481E"/>
    <w:rsid w:val="008950C9"/>
    <w:rsid w:val="00895245"/>
    <w:rsid w:val="0089541D"/>
    <w:rsid w:val="0089596E"/>
    <w:rsid w:val="00895A58"/>
    <w:rsid w:val="00896269"/>
    <w:rsid w:val="00896491"/>
    <w:rsid w:val="008973A0"/>
    <w:rsid w:val="008A0297"/>
    <w:rsid w:val="008A083E"/>
    <w:rsid w:val="008A137B"/>
    <w:rsid w:val="008A16A0"/>
    <w:rsid w:val="008A3183"/>
    <w:rsid w:val="008A3680"/>
    <w:rsid w:val="008A3A73"/>
    <w:rsid w:val="008A50A4"/>
    <w:rsid w:val="008A57B8"/>
    <w:rsid w:val="008A5CDA"/>
    <w:rsid w:val="008A5FD0"/>
    <w:rsid w:val="008A69B2"/>
    <w:rsid w:val="008A6ADC"/>
    <w:rsid w:val="008B1F12"/>
    <w:rsid w:val="008B214F"/>
    <w:rsid w:val="008B218B"/>
    <w:rsid w:val="008B24B7"/>
    <w:rsid w:val="008B3E15"/>
    <w:rsid w:val="008B50AA"/>
    <w:rsid w:val="008B69F5"/>
    <w:rsid w:val="008B6F74"/>
    <w:rsid w:val="008B7346"/>
    <w:rsid w:val="008B7AB4"/>
    <w:rsid w:val="008B7CC9"/>
    <w:rsid w:val="008C1D1E"/>
    <w:rsid w:val="008C1EA6"/>
    <w:rsid w:val="008C256B"/>
    <w:rsid w:val="008C25F0"/>
    <w:rsid w:val="008C2E37"/>
    <w:rsid w:val="008C3264"/>
    <w:rsid w:val="008C3613"/>
    <w:rsid w:val="008C3BD8"/>
    <w:rsid w:val="008C4B53"/>
    <w:rsid w:val="008C730A"/>
    <w:rsid w:val="008C7978"/>
    <w:rsid w:val="008C7AB8"/>
    <w:rsid w:val="008D0270"/>
    <w:rsid w:val="008D02FE"/>
    <w:rsid w:val="008D17FE"/>
    <w:rsid w:val="008D1AF1"/>
    <w:rsid w:val="008D29CD"/>
    <w:rsid w:val="008D2EA3"/>
    <w:rsid w:val="008D3FE2"/>
    <w:rsid w:val="008D46D3"/>
    <w:rsid w:val="008D4933"/>
    <w:rsid w:val="008D59A2"/>
    <w:rsid w:val="008D6214"/>
    <w:rsid w:val="008D6487"/>
    <w:rsid w:val="008D6B45"/>
    <w:rsid w:val="008D6F84"/>
    <w:rsid w:val="008E0549"/>
    <w:rsid w:val="008E2044"/>
    <w:rsid w:val="008E2419"/>
    <w:rsid w:val="008E2D3B"/>
    <w:rsid w:val="008E4125"/>
    <w:rsid w:val="008E4302"/>
    <w:rsid w:val="008E44A9"/>
    <w:rsid w:val="008E5773"/>
    <w:rsid w:val="008E5F56"/>
    <w:rsid w:val="008E6B70"/>
    <w:rsid w:val="008E72A3"/>
    <w:rsid w:val="008E7308"/>
    <w:rsid w:val="008E75CB"/>
    <w:rsid w:val="008E7C7E"/>
    <w:rsid w:val="008E7CAF"/>
    <w:rsid w:val="008E7E69"/>
    <w:rsid w:val="008F02AD"/>
    <w:rsid w:val="008F06A1"/>
    <w:rsid w:val="008F1846"/>
    <w:rsid w:val="008F200F"/>
    <w:rsid w:val="008F3D71"/>
    <w:rsid w:val="008F4C84"/>
    <w:rsid w:val="008F4CC1"/>
    <w:rsid w:val="008F4DE7"/>
    <w:rsid w:val="008F532B"/>
    <w:rsid w:val="008F5D46"/>
    <w:rsid w:val="008F64E4"/>
    <w:rsid w:val="008F68A0"/>
    <w:rsid w:val="008F7BC3"/>
    <w:rsid w:val="009000E7"/>
    <w:rsid w:val="00900B72"/>
    <w:rsid w:val="00901446"/>
    <w:rsid w:val="009014F3"/>
    <w:rsid w:val="00901F5D"/>
    <w:rsid w:val="00902053"/>
    <w:rsid w:val="00902062"/>
    <w:rsid w:val="00902C9E"/>
    <w:rsid w:val="00902D00"/>
    <w:rsid w:val="00902E27"/>
    <w:rsid w:val="0090582A"/>
    <w:rsid w:val="00905BB0"/>
    <w:rsid w:val="00905BBA"/>
    <w:rsid w:val="00905EBC"/>
    <w:rsid w:val="0090661F"/>
    <w:rsid w:val="009072E9"/>
    <w:rsid w:val="0090779F"/>
    <w:rsid w:val="0090790A"/>
    <w:rsid w:val="00910BBA"/>
    <w:rsid w:val="00910C1A"/>
    <w:rsid w:val="00913DDF"/>
    <w:rsid w:val="0091491A"/>
    <w:rsid w:val="00914E5E"/>
    <w:rsid w:val="00916225"/>
    <w:rsid w:val="00916549"/>
    <w:rsid w:val="0091685C"/>
    <w:rsid w:val="00916CC7"/>
    <w:rsid w:val="00917B10"/>
    <w:rsid w:val="00920260"/>
    <w:rsid w:val="009213C9"/>
    <w:rsid w:val="00921737"/>
    <w:rsid w:val="009226BA"/>
    <w:rsid w:val="00922B92"/>
    <w:rsid w:val="00923086"/>
    <w:rsid w:val="009240E3"/>
    <w:rsid w:val="00924D11"/>
    <w:rsid w:val="00924EC1"/>
    <w:rsid w:val="009261B3"/>
    <w:rsid w:val="0092633A"/>
    <w:rsid w:val="00927C69"/>
    <w:rsid w:val="00930435"/>
    <w:rsid w:val="00930D70"/>
    <w:rsid w:val="0093173F"/>
    <w:rsid w:val="00931D25"/>
    <w:rsid w:val="00931E75"/>
    <w:rsid w:val="009338B3"/>
    <w:rsid w:val="00934138"/>
    <w:rsid w:val="00934799"/>
    <w:rsid w:val="00935384"/>
    <w:rsid w:val="00937207"/>
    <w:rsid w:val="0093793F"/>
    <w:rsid w:val="00941D1D"/>
    <w:rsid w:val="00942E92"/>
    <w:rsid w:val="009433D5"/>
    <w:rsid w:val="00943749"/>
    <w:rsid w:val="00945645"/>
    <w:rsid w:val="009458AA"/>
    <w:rsid w:val="00946303"/>
    <w:rsid w:val="00950252"/>
    <w:rsid w:val="009507B0"/>
    <w:rsid w:val="00951D48"/>
    <w:rsid w:val="00952DB4"/>
    <w:rsid w:val="00953A71"/>
    <w:rsid w:val="009541E0"/>
    <w:rsid w:val="00954940"/>
    <w:rsid w:val="0095497F"/>
    <w:rsid w:val="00954BBB"/>
    <w:rsid w:val="0095505A"/>
    <w:rsid w:val="00955D62"/>
    <w:rsid w:val="00956113"/>
    <w:rsid w:val="00956144"/>
    <w:rsid w:val="00956A91"/>
    <w:rsid w:val="00956BDE"/>
    <w:rsid w:val="00956BFE"/>
    <w:rsid w:val="0095791F"/>
    <w:rsid w:val="0096119F"/>
    <w:rsid w:val="00961834"/>
    <w:rsid w:val="0096193C"/>
    <w:rsid w:val="009631E1"/>
    <w:rsid w:val="00963908"/>
    <w:rsid w:val="00966328"/>
    <w:rsid w:val="00966E85"/>
    <w:rsid w:val="0096712A"/>
    <w:rsid w:val="009713C2"/>
    <w:rsid w:val="00971C52"/>
    <w:rsid w:val="009727E0"/>
    <w:rsid w:val="00972D66"/>
    <w:rsid w:val="00973F73"/>
    <w:rsid w:val="009749C2"/>
    <w:rsid w:val="00974C19"/>
    <w:rsid w:val="00974C3E"/>
    <w:rsid w:val="0097585A"/>
    <w:rsid w:val="00975933"/>
    <w:rsid w:val="00975C38"/>
    <w:rsid w:val="00975DFC"/>
    <w:rsid w:val="00976162"/>
    <w:rsid w:val="00976EA2"/>
    <w:rsid w:val="00980964"/>
    <w:rsid w:val="009814A5"/>
    <w:rsid w:val="00981F2C"/>
    <w:rsid w:val="00982263"/>
    <w:rsid w:val="0098325F"/>
    <w:rsid w:val="00984094"/>
    <w:rsid w:val="009843C4"/>
    <w:rsid w:val="0098472D"/>
    <w:rsid w:val="00984B3F"/>
    <w:rsid w:val="009854A1"/>
    <w:rsid w:val="00985E9F"/>
    <w:rsid w:val="009861A9"/>
    <w:rsid w:val="0098640C"/>
    <w:rsid w:val="00986AD8"/>
    <w:rsid w:val="00986AFA"/>
    <w:rsid w:val="009873F3"/>
    <w:rsid w:val="00987CCC"/>
    <w:rsid w:val="009915AE"/>
    <w:rsid w:val="00991FA9"/>
    <w:rsid w:val="009921E8"/>
    <w:rsid w:val="009931FF"/>
    <w:rsid w:val="00993958"/>
    <w:rsid w:val="00993E8F"/>
    <w:rsid w:val="00994087"/>
    <w:rsid w:val="00995B4F"/>
    <w:rsid w:val="00995CAF"/>
    <w:rsid w:val="00996B02"/>
    <w:rsid w:val="0099704B"/>
    <w:rsid w:val="009976B3"/>
    <w:rsid w:val="00997DA2"/>
    <w:rsid w:val="009A07A2"/>
    <w:rsid w:val="009A1614"/>
    <w:rsid w:val="009A2D0D"/>
    <w:rsid w:val="009A2DBD"/>
    <w:rsid w:val="009A4C41"/>
    <w:rsid w:val="009A50A9"/>
    <w:rsid w:val="009A5BE7"/>
    <w:rsid w:val="009A5EAD"/>
    <w:rsid w:val="009A6CD6"/>
    <w:rsid w:val="009B0776"/>
    <w:rsid w:val="009B23A2"/>
    <w:rsid w:val="009B3643"/>
    <w:rsid w:val="009B4FC8"/>
    <w:rsid w:val="009B570B"/>
    <w:rsid w:val="009B60C8"/>
    <w:rsid w:val="009B7FB5"/>
    <w:rsid w:val="009B7FD4"/>
    <w:rsid w:val="009C07D9"/>
    <w:rsid w:val="009C08D2"/>
    <w:rsid w:val="009C322C"/>
    <w:rsid w:val="009C4082"/>
    <w:rsid w:val="009C5081"/>
    <w:rsid w:val="009C5AAE"/>
    <w:rsid w:val="009C5EC8"/>
    <w:rsid w:val="009C6937"/>
    <w:rsid w:val="009C6B31"/>
    <w:rsid w:val="009C7060"/>
    <w:rsid w:val="009C75CC"/>
    <w:rsid w:val="009C7E91"/>
    <w:rsid w:val="009D1363"/>
    <w:rsid w:val="009D2944"/>
    <w:rsid w:val="009D409E"/>
    <w:rsid w:val="009D644D"/>
    <w:rsid w:val="009D691F"/>
    <w:rsid w:val="009D769F"/>
    <w:rsid w:val="009E054B"/>
    <w:rsid w:val="009E1FB8"/>
    <w:rsid w:val="009E51C4"/>
    <w:rsid w:val="009E5219"/>
    <w:rsid w:val="009E56F1"/>
    <w:rsid w:val="009E5706"/>
    <w:rsid w:val="009E66C7"/>
    <w:rsid w:val="009E7D5B"/>
    <w:rsid w:val="009E7E8F"/>
    <w:rsid w:val="009F44B1"/>
    <w:rsid w:val="009F47B9"/>
    <w:rsid w:val="009F656F"/>
    <w:rsid w:val="009F70AD"/>
    <w:rsid w:val="009F7FF8"/>
    <w:rsid w:val="00A0049E"/>
    <w:rsid w:val="00A005D3"/>
    <w:rsid w:val="00A01D39"/>
    <w:rsid w:val="00A0223C"/>
    <w:rsid w:val="00A02CFD"/>
    <w:rsid w:val="00A03E1C"/>
    <w:rsid w:val="00A047F3"/>
    <w:rsid w:val="00A06425"/>
    <w:rsid w:val="00A07755"/>
    <w:rsid w:val="00A10463"/>
    <w:rsid w:val="00A1230F"/>
    <w:rsid w:val="00A1274D"/>
    <w:rsid w:val="00A136DC"/>
    <w:rsid w:val="00A15FCD"/>
    <w:rsid w:val="00A16335"/>
    <w:rsid w:val="00A17078"/>
    <w:rsid w:val="00A2013B"/>
    <w:rsid w:val="00A2241F"/>
    <w:rsid w:val="00A25492"/>
    <w:rsid w:val="00A25870"/>
    <w:rsid w:val="00A25FE9"/>
    <w:rsid w:val="00A26450"/>
    <w:rsid w:val="00A27181"/>
    <w:rsid w:val="00A30245"/>
    <w:rsid w:val="00A311E6"/>
    <w:rsid w:val="00A3132C"/>
    <w:rsid w:val="00A3236E"/>
    <w:rsid w:val="00A32852"/>
    <w:rsid w:val="00A32DA5"/>
    <w:rsid w:val="00A33555"/>
    <w:rsid w:val="00A337DE"/>
    <w:rsid w:val="00A33F46"/>
    <w:rsid w:val="00A341F7"/>
    <w:rsid w:val="00A35243"/>
    <w:rsid w:val="00A357F8"/>
    <w:rsid w:val="00A35F84"/>
    <w:rsid w:val="00A37E77"/>
    <w:rsid w:val="00A408EB"/>
    <w:rsid w:val="00A40AED"/>
    <w:rsid w:val="00A40ED5"/>
    <w:rsid w:val="00A419CB"/>
    <w:rsid w:val="00A4246A"/>
    <w:rsid w:val="00A4252D"/>
    <w:rsid w:val="00A42A2C"/>
    <w:rsid w:val="00A42ED6"/>
    <w:rsid w:val="00A43492"/>
    <w:rsid w:val="00A44039"/>
    <w:rsid w:val="00A46647"/>
    <w:rsid w:val="00A46C9F"/>
    <w:rsid w:val="00A46F2D"/>
    <w:rsid w:val="00A513C3"/>
    <w:rsid w:val="00A51B67"/>
    <w:rsid w:val="00A526F8"/>
    <w:rsid w:val="00A52BBA"/>
    <w:rsid w:val="00A5329C"/>
    <w:rsid w:val="00A5671A"/>
    <w:rsid w:val="00A56FB9"/>
    <w:rsid w:val="00A577A6"/>
    <w:rsid w:val="00A57A37"/>
    <w:rsid w:val="00A60264"/>
    <w:rsid w:val="00A60BE2"/>
    <w:rsid w:val="00A65793"/>
    <w:rsid w:val="00A657D5"/>
    <w:rsid w:val="00A67804"/>
    <w:rsid w:val="00A700AF"/>
    <w:rsid w:val="00A72DA4"/>
    <w:rsid w:val="00A72E6A"/>
    <w:rsid w:val="00A730DC"/>
    <w:rsid w:val="00A73B10"/>
    <w:rsid w:val="00A73B36"/>
    <w:rsid w:val="00A744B9"/>
    <w:rsid w:val="00A7490C"/>
    <w:rsid w:val="00A74A78"/>
    <w:rsid w:val="00A75438"/>
    <w:rsid w:val="00A7650A"/>
    <w:rsid w:val="00A76FC9"/>
    <w:rsid w:val="00A7744E"/>
    <w:rsid w:val="00A77584"/>
    <w:rsid w:val="00A800A4"/>
    <w:rsid w:val="00A80E0E"/>
    <w:rsid w:val="00A81C5C"/>
    <w:rsid w:val="00A82669"/>
    <w:rsid w:val="00A83CA2"/>
    <w:rsid w:val="00A841C8"/>
    <w:rsid w:val="00A85938"/>
    <w:rsid w:val="00A8686C"/>
    <w:rsid w:val="00A8694E"/>
    <w:rsid w:val="00A877A6"/>
    <w:rsid w:val="00A879C9"/>
    <w:rsid w:val="00A90FC5"/>
    <w:rsid w:val="00A915CE"/>
    <w:rsid w:val="00A9245C"/>
    <w:rsid w:val="00A95115"/>
    <w:rsid w:val="00A977F7"/>
    <w:rsid w:val="00A97998"/>
    <w:rsid w:val="00AA03D8"/>
    <w:rsid w:val="00AA0A55"/>
    <w:rsid w:val="00AA0B3C"/>
    <w:rsid w:val="00AA1080"/>
    <w:rsid w:val="00AA10A0"/>
    <w:rsid w:val="00AA26A9"/>
    <w:rsid w:val="00AA2DDA"/>
    <w:rsid w:val="00AA2E7E"/>
    <w:rsid w:val="00AA43CF"/>
    <w:rsid w:val="00AA4EB0"/>
    <w:rsid w:val="00AA5FEC"/>
    <w:rsid w:val="00AA6627"/>
    <w:rsid w:val="00AA76C0"/>
    <w:rsid w:val="00AA79EA"/>
    <w:rsid w:val="00AA7D5E"/>
    <w:rsid w:val="00AB028F"/>
    <w:rsid w:val="00AB0377"/>
    <w:rsid w:val="00AB0FDC"/>
    <w:rsid w:val="00AB161A"/>
    <w:rsid w:val="00AB1C60"/>
    <w:rsid w:val="00AB1D7A"/>
    <w:rsid w:val="00AB59C6"/>
    <w:rsid w:val="00AB7854"/>
    <w:rsid w:val="00AC01B0"/>
    <w:rsid w:val="00AC07E1"/>
    <w:rsid w:val="00AC0824"/>
    <w:rsid w:val="00AC0827"/>
    <w:rsid w:val="00AC1CD8"/>
    <w:rsid w:val="00AC2DDE"/>
    <w:rsid w:val="00AC2EC4"/>
    <w:rsid w:val="00AC2F8E"/>
    <w:rsid w:val="00AC3752"/>
    <w:rsid w:val="00AC4EB0"/>
    <w:rsid w:val="00AC50B1"/>
    <w:rsid w:val="00AC5111"/>
    <w:rsid w:val="00AC5E5C"/>
    <w:rsid w:val="00AD0057"/>
    <w:rsid w:val="00AD0258"/>
    <w:rsid w:val="00AD09B6"/>
    <w:rsid w:val="00AD130D"/>
    <w:rsid w:val="00AD1AF1"/>
    <w:rsid w:val="00AD2542"/>
    <w:rsid w:val="00AD2839"/>
    <w:rsid w:val="00AD2E34"/>
    <w:rsid w:val="00AD3F2C"/>
    <w:rsid w:val="00AD4E30"/>
    <w:rsid w:val="00AD4FB8"/>
    <w:rsid w:val="00AD5D7A"/>
    <w:rsid w:val="00AD5E19"/>
    <w:rsid w:val="00AD64EF"/>
    <w:rsid w:val="00AE07A9"/>
    <w:rsid w:val="00AE0F49"/>
    <w:rsid w:val="00AE131A"/>
    <w:rsid w:val="00AE14D5"/>
    <w:rsid w:val="00AE14E1"/>
    <w:rsid w:val="00AE14F5"/>
    <w:rsid w:val="00AE1C91"/>
    <w:rsid w:val="00AE1D96"/>
    <w:rsid w:val="00AE1E38"/>
    <w:rsid w:val="00AE3F57"/>
    <w:rsid w:val="00AE48DA"/>
    <w:rsid w:val="00AE4D36"/>
    <w:rsid w:val="00AE70E5"/>
    <w:rsid w:val="00AE7653"/>
    <w:rsid w:val="00AE7B5B"/>
    <w:rsid w:val="00AE7D79"/>
    <w:rsid w:val="00AF169C"/>
    <w:rsid w:val="00AF2382"/>
    <w:rsid w:val="00AF27FD"/>
    <w:rsid w:val="00AF2A6B"/>
    <w:rsid w:val="00AF3026"/>
    <w:rsid w:val="00AF3288"/>
    <w:rsid w:val="00AF3A86"/>
    <w:rsid w:val="00AF47FD"/>
    <w:rsid w:val="00AF781C"/>
    <w:rsid w:val="00B00F5B"/>
    <w:rsid w:val="00B01692"/>
    <w:rsid w:val="00B018CD"/>
    <w:rsid w:val="00B0344A"/>
    <w:rsid w:val="00B051ED"/>
    <w:rsid w:val="00B06AC7"/>
    <w:rsid w:val="00B06D54"/>
    <w:rsid w:val="00B06E88"/>
    <w:rsid w:val="00B10934"/>
    <w:rsid w:val="00B10F51"/>
    <w:rsid w:val="00B116D4"/>
    <w:rsid w:val="00B119D5"/>
    <w:rsid w:val="00B11BE8"/>
    <w:rsid w:val="00B12875"/>
    <w:rsid w:val="00B131EC"/>
    <w:rsid w:val="00B13380"/>
    <w:rsid w:val="00B16D6A"/>
    <w:rsid w:val="00B1705D"/>
    <w:rsid w:val="00B172E8"/>
    <w:rsid w:val="00B176A0"/>
    <w:rsid w:val="00B17EFE"/>
    <w:rsid w:val="00B20F22"/>
    <w:rsid w:val="00B21328"/>
    <w:rsid w:val="00B22C30"/>
    <w:rsid w:val="00B22CF7"/>
    <w:rsid w:val="00B230D1"/>
    <w:rsid w:val="00B25FC7"/>
    <w:rsid w:val="00B26A2A"/>
    <w:rsid w:val="00B274A7"/>
    <w:rsid w:val="00B3013B"/>
    <w:rsid w:val="00B308C2"/>
    <w:rsid w:val="00B32000"/>
    <w:rsid w:val="00B34020"/>
    <w:rsid w:val="00B34450"/>
    <w:rsid w:val="00B3517D"/>
    <w:rsid w:val="00B35720"/>
    <w:rsid w:val="00B35C0C"/>
    <w:rsid w:val="00B3676E"/>
    <w:rsid w:val="00B36D5A"/>
    <w:rsid w:val="00B36ED4"/>
    <w:rsid w:val="00B41260"/>
    <w:rsid w:val="00B41278"/>
    <w:rsid w:val="00B41B3D"/>
    <w:rsid w:val="00B41EDF"/>
    <w:rsid w:val="00B428B6"/>
    <w:rsid w:val="00B432AA"/>
    <w:rsid w:val="00B43E36"/>
    <w:rsid w:val="00B44202"/>
    <w:rsid w:val="00B44EE1"/>
    <w:rsid w:val="00B44F3A"/>
    <w:rsid w:val="00B4561F"/>
    <w:rsid w:val="00B4770E"/>
    <w:rsid w:val="00B47A02"/>
    <w:rsid w:val="00B5181C"/>
    <w:rsid w:val="00B51E65"/>
    <w:rsid w:val="00B53315"/>
    <w:rsid w:val="00B562B9"/>
    <w:rsid w:val="00B577F2"/>
    <w:rsid w:val="00B62554"/>
    <w:rsid w:val="00B6295F"/>
    <w:rsid w:val="00B63376"/>
    <w:rsid w:val="00B65031"/>
    <w:rsid w:val="00B65042"/>
    <w:rsid w:val="00B65802"/>
    <w:rsid w:val="00B659E7"/>
    <w:rsid w:val="00B676BB"/>
    <w:rsid w:val="00B677BD"/>
    <w:rsid w:val="00B67F63"/>
    <w:rsid w:val="00B70089"/>
    <w:rsid w:val="00B705F0"/>
    <w:rsid w:val="00B7066E"/>
    <w:rsid w:val="00B71584"/>
    <w:rsid w:val="00B72A79"/>
    <w:rsid w:val="00B72CDE"/>
    <w:rsid w:val="00B72E9A"/>
    <w:rsid w:val="00B73A62"/>
    <w:rsid w:val="00B73BA5"/>
    <w:rsid w:val="00B73DA8"/>
    <w:rsid w:val="00B748BF"/>
    <w:rsid w:val="00B74DE2"/>
    <w:rsid w:val="00B74F59"/>
    <w:rsid w:val="00B764C0"/>
    <w:rsid w:val="00B7669D"/>
    <w:rsid w:val="00B77938"/>
    <w:rsid w:val="00B77ED9"/>
    <w:rsid w:val="00B825A0"/>
    <w:rsid w:val="00B8265E"/>
    <w:rsid w:val="00B82C7E"/>
    <w:rsid w:val="00B82CBF"/>
    <w:rsid w:val="00B83DD9"/>
    <w:rsid w:val="00B84035"/>
    <w:rsid w:val="00B84049"/>
    <w:rsid w:val="00B846AD"/>
    <w:rsid w:val="00B86723"/>
    <w:rsid w:val="00B877CA"/>
    <w:rsid w:val="00B8AD09"/>
    <w:rsid w:val="00B90585"/>
    <w:rsid w:val="00B9091B"/>
    <w:rsid w:val="00B9136E"/>
    <w:rsid w:val="00B93358"/>
    <w:rsid w:val="00B93AE4"/>
    <w:rsid w:val="00B94CD5"/>
    <w:rsid w:val="00B95532"/>
    <w:rsid w:val="00B95A90"/>
    <w:rsid w:val="00B95C92"/>
    <w:rsid w:val="00B9623A"/>
    <w:rsid w:val="00B9687F"/>
    <w:rsid w:val="00BA0979"/>
    <w:rsid w:val="00BA1928"/>
    <w:rsid w:val="00BA2972"/>
    <w:rsid w:val="00BA4339"/>
    <w:rsid w:val="00BA45CD"/>
    <w:rsid w:val="00BA4C87"/>
    <w:rsid w:val="00BA516C"/>
    <w:rsid w:val="00BA69B9"/>
    <w:rsid w:val="00BA6C4C"/>
    <w:rsid w:val="00BA6C82"/>
    <w:rsid w:val="00BA7C73"/>
    <w:rsid w:val="00BB03E1"/>
    <w:rsid w:val="00BB1140"/>
    <w:rsid w:val="00BB226A"/>
    <w:rsid w:val="00BB4062"/>
    <w:rsid w:val="00BB42FF"/>
    <w:rsid w:val="00BB48CA"/>
    <w:rsid w:val="00BB4AF7"/>
    <w:rsid w:val="00BB4CBD"/>
    <w:rsid w:val="00BB539D"/>
    <w:rsid w:val="00BB5DBE"/>
    <w:rsid w:val="00BB64C4"/>
    <w:rsid w:val="00BB6C84"/>
    <w:rsid w:val="00BB6FFF"/>
    <w:rsid w:val="00BB70B7"/>
    <w:rsid w:val="00BB7678"/>
    <w:rsid w:val="00BB798A"/>
    <w:rsid w:val="00BB7CFB"/>
    <w:rsid w:val="00BB7D5F"/>
    <w:rsid w:val="00BC09B1"/>
    <w:rsid w:val="00BC1AF7"/>
    <w:rsid w:val="00BC22AF"/>
    <w:rsid w:val="00BC2EDD"/>
    <w:rsid w:val="00BC3922"/>
    <w:rsid w:val="00BC3946"/>
    <w:rsid w:val="00BC4F8C"/>
    <w:rsid w:val="00BC5C95"/>
    <w:rsid w:val="00BC6F28"/>
    <w:rsid w:val="00BC7755"/>
    <w:rsid w:val="00BD04B4"/>
    <w:rsid w:val="00BD14D8"/>
    <w:rsid w:val="00BD14F7"/>
    <w:rsid w:val="00BD157D"/>
    <w:rsid w:val="00BD3AF3"/>
    <w:rsid w:val="00BD403C"/>
    <w:rsid w:val="00BD56B3"/>
    <w:rsid w:val="00BD5DF2"/>
    <w:rsid w:val="00BD5E45"/>
    <w:rsid w:val="00BD6AB3"/>
    <w:rsid w:val="00BD6DEE"/>
    <w:rsid w:val="00BD754F"/>
    <w:rsid w:val="00BD77F1"/>
    <w:rsid w:val="00BE113D"/>
    <w:rsid w:val="00BE1225"/>
    <w:rsid w:val="00BE20A2"/>
    <w:rsid w:val="00BE51B6"/>
    <w:rsid w:val="00BE6487"/>
    <w:rsid w:val="00BE697F"/>
    <w:rsid w:val="00BE70FF"/>
    <w:rsid w:val="00BF05B1"/>
    <w:rsid w:val="00BF19DE"/>
    <w:rsid w:val="00BF1F9D"/>
    <w:rsid w:val="00BF2949"/>
    <w:rsid w:val="00BF2D53"/>
    <w:rsid w:val="00BF3F9B"/>
    <w:rsid w:val="00BF488B"/>
    <w:rsid w:val="00BF641C"/>
    <w:rsid w:val="00BF6AAD"/>
    <w:rsid w:val="00BF7936"/>
    <w:rsid w:val="00BF7955"/>
    <w:rsid w:val="00C00738"/>
    <w:rsid w:val="00C0214F"/>
    <w:rsid w:val="00C025FA"/>
    <w:rsid w:val="00C03ABC"/>
    <w:rsid w:val="00C03C6D"/>
    <w:rsid w:val="00C043F7"/>
    <w:rsid w:val="00C04A9A"/>
    <w:rsid w:val="00C04B62"/>
    <w:rsid w:val="00C05922"/>
    <w:rsid w:val="00C071F7"/>
    <w:rsid w:val="00C10381"/>
    <w:rsid w:val="00C10819"/>
    <w:rsid w:val="00C10A64"/>
    <w:rsid w:val="00C11517"/>
    <w:rsid w:val="00C1463B"/>
    <w:rsid w:val="00C1525D"/>
    <w:rsid w:val="00C1576A"/>
    <w:rsid w:val="00C177A3"/>
    <w:rsid w:val="00C177C3"/>
    <w:rsid w:val="00C20D49"/>
    <w:rsid w:val="00C210F8"/>
    <w:rsid w:val="00C22258"/>
    <w:rsid w:val="00C2260C"/>
    <w:rsid w:val="00C22760"/>
    <w:rsid w:val="00C22FE3"/>
    <w:rsid w:val="00C24189"/>
    <w:rsid w:val="00C248C9"/>
    <w:rsid w:val="00C2499C"/>
    <w:rsid w:val="00C25664"/>
    <w:rsid w:val="00C257FB"/>
    <w:rsid w:val="00C26264"/>
    <w:rsid w:val="00C26689"/>
    <w:rsid w:val="00C270E3"/>
    <w:rsid w:val="00C2724E"/>
    <w:rsid w:val="00C30206"/>
    <w:rsid w:val="00C3082D"/>
    <w:rsid w:val="00C3181E"/>
    <w:rsid w:val="00C318A8"/>
    <w:rsid w:val="00C31D86"/>
    <w:rsid w:val="00C33D42"/>
    <w:rsid w:val="00C34478"/>
    <w:rsid w:val="00C3478A"/>
    <w:rsid w:val="00C35277"/>
    <w:rsid w:val="00C36FCD"/>
    <w:rsid w:val="00C3744E"/>
    <w:rsid w:val="00C37FC9"/>
    <w:rsid w:val="00C40045"/>
    <w:rsid w:val="00C40E8E"/>
    <w:rsid w:val="00C4135D"/>
    <w:rsid w:val="00C417CC"/>
    <w:rsid w:val="00C42D3E"/>
    <w:rsid w:val="00C43151"/>
    <w:rsid w:val="00C4320C"/>
    <w:rsid w:val="00C4331A"/>
    <w:rsid w:val="00C43532"/>
    <w:rsid w:val="00C46C0A"/>
    <w:rsid w:val="00C46E13"/>
    <w:rsid w:val="00C47267"/>
    <w:rsid w:val="00C47A60"/>
    <w:rsid w:val="00C47BF0"/>
    <w:rsid w:val="00C51030"/>
    <w:rsid w:val="00C511CD"/>
    <w:rsid w:val="00C51730"/>
    <w:rsid w:val="00C51B84"/>
    <w:rsid w:val="00C51B87"/>
    <w:rsid w:val="00C51CA7"/>
    <w:rsid w:val="00C52C19"/>
    <w:rsid w:val="00C53EB4"/>
    <w:rsid w:val="00C562F4"/>
    <w:rsid w:val="00C57EDB"/>
    <w:rsid w:val="00C60A77"/>
    <w:rsid w:val="00C60D6D"/>
    <w:rsid w:val="00C62315"/>
    <w:rsid w:val="00C634DF"/>
    <w:rsid w:val="00C63733"/>
    <w:rsid w:val="00C65786"/>
    <w:rsid w:val="00C65DDE"/>
    <w:rsid w:val="00C67DA8"/>
    <w:rsid w:val="00C704D0"/>
    <w:rsid w:val="00C709D4"/>
    <w:rsid w:val="00C71359"/>
    <w:rsid w:val="00C72261"/>
    <w:rsid w:val="00C7429F"/>
    <w:rsid w:val="00C75B8C"/>
    <w:rsid w:val="00C7689B"/>
    <w:rsid w:val="00C76B6B"/>
    <w:rsid w:val="00C808F3"/>
    <w:rsid w:val="00C817A4"/>
    <w:rsid w:val="00C83AD8"/>
    <w:rsid w:val="00C8435A"/>
    <w:rsid w:val="00C843CC"/>
    <w:rsid w:val="00C845BF"/>
    <w:rsid w:val="00C860A4"/>
    <w:rsid w:val="00C8632E"/>
    <w:rsid w:val="00C86444"/>
    <w:rsid w:val="00C86B45"/>
    <w:rsid w:val="00C8714C"/>
    <w:rsid w:val="00C873E6"/>
    <w:rsid w:val="00C87438"/>
    <w:rsid w:val="00C8776D"/>
    <w:rsid w:val="00C88FE6"/>
    <w:rsid w:val="00C90797"/>
    <w:rsid w:val="00C91239"/>
    <w:rsid w:val="00C918FD"/>
    <w:rsid w:val="00C9200A"/>
    <w:rsid w:val="00C925EC"/>
    <w:rsid w:val="00C92DAF"/>
    <w:rsid w:val="00C92FA0"/>
    <w:rsid w:val="00C94866"/>
    <w:rsid w:val="00C94CDB"/>
    <w:rsid w:val="00C95132"/>
    <w:rsid w:val="00C95801"/>
    <w:rsid w:val="00C95E99"/>
    <w:rsid w:val="00CA05CD"/>
    <w:rsid w:val="00CA06B1"/>
    <w:rsid w:val="00CA0F2B"/>
    <w:rsid w:val="00CA152D"/>
    <w:rsid w:val="00CA1E93"/>
    <w:rsid w:val="00CA28E3"/>
    <w:rsid w:val="00CA2E0E"/>
    <w:rsid w:val="00CA3737"/>
    <w:rsid w:val="00CA37D7"/>
    <w:rsid w:val="00CA59C1"/>
    <w:rsid w:val="00CA5AF7"/>
    <w:rsid w:val="00CA5FF4"/>
    <w:rsid w:val="00CA609E"/>
    <w:rsid w:val="00CA60CB"/>
    <w:rsid w:val="00CA679F"/>
    <w:rsid w:val="00CA68E8"/>
    <w:rsid w:val="00CA7DD4"/>
    <w:rsid w:val="00CA7E47"/>
    <w:rsid w:val="00CB02CF"/>
    <w:rsid w:val="00CB0A13"/>
    <w:rsid w:val="00CB1158"/>
    <w:rsid w:val="00CB2D26"/>
    <w:rsid w:val="00CB321D"/>
    <w:rsid w:val="00CB3720"/>
    <w:rsid w:val="00CB3A1E"/>
    <w:rsid w:val="00CB3B28"/>
    <w:rsid w:val="00CB3CC3"/>
    <w:rsid w:val="00CB4138"/>
    <w:rsid w:val="00CB4A30"/>
    <w:rsid w:val="00CB4A3C"/>
    <w:rsid w:val="00CB5173"/>
    <w:rsid w:val="00CB5657"/>
    <w:rsid w:val="00CB57A7"/>
    <w:rsid w:val="00CB5D6A"/>
    <w:rsid w:val="00CB5FB4"/>
    <w:rsid w:val="00CC1393"/>
    <w:rsid w:val="00CC1BE9"/>
    <w:rsid w:val="00CC1EFE"/>
    <w:rsid w:val="00CC2484"/>
    <w:rsid w:val="00CC3810"/>
    <w:rsid w:val="00CC4A95"/>
    <w:rsid w:val="00CC54F7"/>
    <w:rsid w:val="00CC6489"/>
    <w:rsid w:val="00CC6817"/>
    <w:rsid w:val="00CC6AD2"/>
    <w:rsid w:val="00CC6BCC"/>
    <w:rsid w:val="00CD0BF5"/>
    <w:rsid w:val="00CD12B9"/>
    <w:rsid w:val="00CD12EA"/>
    <w:rsid w:val="00CD1E5D"/>
    <w:rsid w:val="00CD210F"/>
    <w:rsid w:val="00CD2E67"/>
    <w:rsid w:val="00CD49DC"/>
    <w:rsid w:val="00CD5E4A"/>
    <w:rsid w:val="00CD6163"/>
    <w:rsid w:val="00CD618F"/>
    <w:rsid w:val="00CD693A"/>
    <w:rsid w:val="00CD7242"/>
    <w:rsid w:val="00CD77B6"/>
    <w:rsid w:val="00CE0875"/>
    <w:rsid w:val="00CE1B97"/>
    <w:rsid w:val="00CE659B"/>
    <w:rsid w:val="00CE6603"/>
    <w:rsid w:val="00CE6D0A"/>
    <w:rsid w:val="00CE7A63"/>
    <w:rsid w:val="00CF08BD"/>
    <w:rsid w:val="00CF0A41"/>
    <w:rsid w:val="00CF10B6"/>
    <w:rsid w:val="00CF24E1"/>
    <w:rsid w:val="00CF2D89"/>
    <w:rsid w:val="00CF4D1E"/>
    <w:rsid w:val="00CF59D0"/>
    <w:rsid w:val="00D008C3"/>
    <w:rsid w:val="00D00F75"/>
    <w:rsid w:val="00D01A77"/>
    <w:rsid w:val="00D0266A"/>
    <w:rsid w:val="00D03F47"/>
    <w:rsid w:val="00D040A0"/>
    <w:rsid w:val="00D0447B"/>
    <w:rsid w:val="00D050BB"/>
    <w:rsid w:val="00D059CD"/>
    <w:rsid w:val="00D05ADB"/>
    <w:rsid w:val="00D0782A"/>
    <w:rsid w:val="00D07C1F"/>
    <w:rsid w:val="00D104CD"/>
    <w:rsid w:val="00D11A46"/>
    <w:rsid w:val="00D11F0E"/>
    <w:rsid w:val="00D12269"/>
    <w:rsid w:val="00D12418"/>
    <w:rsid w:val="00D12F4F"/>
    <w:rsid w:val="00D13217"/>
    <w:rsid w:val="00D1359C"/>
    <w:rsid w:val="00D13A48"/>
    <w:rsid w:val="00D14FE6"/>
    <w:rsid w:val="00D163F9"/>
    <w:rsid w:val="00D17136"/>
    <w:rsid w:val="00D175DF"/>
    <w:rsid w:val="00D17C85"/>
    <w:rsid w:val="00D20045"/>
    <w:rsid w:val="00D213CC"/>
    <w:rsid w:val="00D21DAA"/>
    <w:rsid w:val="00D22124"/>
    <w:rsid w:val="00D228CC"/>
    <w:rsid w:val="00D229EE"/>
    <w:rsid w:val="00D22B1E"/>
    <w:rsid w:val="00D24261"/>
    <w:rsid w:val="00D25521"/>
    <w:rsid w:val="00D26403"/>
    <w:rsid w:val="00D265AF"/>
    <w:rsid w:val="00D26D13"/>
    <w:rsid w:val="00D305FE"/>
    <w:rsid w:val="00D31215"/>
    <w:rsid w:val="00D32830"/>
    <w:rsid w:val="00D32B52"/>
    <w:rsid w:val="00D33E93"/>
    <w:rsid w:val="00D349F5"/>
    <w:rsid w:val="00D35461"/>
    <w:rsid w:val="00D363BC"/>
    <w:rsid w:val="00D36CA1"/>
    <w:rsid w:val="00D4101D"/>
    <w:rsid w:val="00D41765"/>
    <w:rsid w:val="00D419FB"/>
    <w:rsid w:val="00D42A90"/>
    <w:rsid w:val="00D42D3D"/>
    <w:rsid w:val="00D45088"/>
    <w:rsid w:val="00D457E4"/>
    <w:rsid w:val="00D46279"/>
    <w:rsid w:val="00D5029D"/>
    <w:rsid w:val="00D504CE"/>
    <w:rsid w:val="00D504EF"/>
    <w:rsid w:val="00D50B72"/>
    <w:rsid w:val="00D5314D"/>
    <w:rsid w:val="00D538BA"/>
    <w:rsid w:val="00D53992"/>
    <w:rsid w:val="00D5454B"/>
    <w:rsid w:val="00D54EE1"/>
    <w:rsid w:val="00D55362"/>
    <w:rsid w:val="00D55530"/>
    <w:rsid w:val="00D55C0E"/>
    <w:rsid w:val="00D564DF"/>
    <w:rsid w:val="00D564E9"/>
    <w:rsid w:val="00D56A87"/>
    <w:rsid w:val="00D57EAE"/>
    <w:rsid w:val="00D57F3F"/>
    <w:rsid w:val="00D60455"/>
    <w:rsid w:val="00D60DAC"/>
    <w:rsid w:val="00D60DC4"/>
    <w:rsid w:val="00D61994"/>
    <w:rsid w:val="00D61C4C"/>
    <w:rsid w:val="00D61F29"/>
    <w:rsid w:val="00D62B10"/>
    <w:rsid w:val="00D62C27"/>
    <w:rsid w:val="00D62F79"/>
    <w:rsid w:val="00D63540"/>
    <w:rsid w:val="00D64329"/>
    <w:rsid w:val="00D647A0"/>
    <w:rsid w:val="00D6504C"/>
    <w:rsid w:val="00D658B1"/>
    <w:rsid w:val="00D66021"/>
    <w:rsid w:val="00D70883"/>
    <w:rsid w:val="00D70A64"/>
    <w:rsid w:val="00D70DB9"/>
    <w:rsid w:val="00D7156A"/>
    <w:rsid w:val="00D71991"/>
    <w:rsid w:val="00D72108"/>
    <w:rsid w:val="00D72954"/>
    <w:rsid w:val="00D72D82"/>
    <w:rsid w:val="00D73243"/>
    <w:rsid w:val="00D73314"/>
    <w:rsid w:val="00D73DC6"/>
    <w:rsid w:val="00D74D96"/>
    <w:rsid w:val="00D758AA"/>
    <w:rsid w:val="00D75A6D"/>
    <w:rsid w:val="00D7670C"/>
    <w:rsid w:val="00D770CD"/>
    <w:rsid w:val="00D77863"/>
    <w:rsid w:val="00D80CE8"/>
    <w:rsid w:val="00D812B4"/>
    <w:rsid w:val="00D8153F"/>
    <w:rsid w:val="00D8202C"/>
    <w:rsid w:val="00D82E93"/>
    <w:rsid w:val="00D842F6"/>
    <w:rsid w:val="00D86E04"/>
    <w:rsid w:val="00D8721F"/>
    <w:rsid w:val="00D8798B"/>
    <w:rsid w:val="00D90574"/>
    <w:rsid w:val="00D90808"/>
    <w:rsid w:val="00D90919"/>
    <w:rsid w:val="00D92229"/>
    <w:rsid w:val="00D92BA5"/>
    <w:rsid w:val="00D93B4D"/>
    <w:rsid w:val="00D94B83"/>
    <w:rsid w:val="00D9697A"/>
    <w:rsid w:val="00DA0446"/>
    <w:rsid w:val="00DA1AA3"/>
    <w:rsid w:val="00DA29DE"/>
    <w:rsid w:val="00DA35B9"/>
    <w:rsid w:val="00DA3BAF"/>
    <w:rsid w:val="00DA41AE"/>
    <w:rsid w:val="00DA41B5"/>
    <w:rsid w:val="00DA4457"/>
    <w:rsid w:val="00DA4ECA"/>
    <w:rsid w:val="00DA5841"/>
    <w:rsid w:val="00DA639A"/>
    <w:rsid w:val="00DA6478"/>
    <w:rsid w:val="00DA7910"/>
    <w:rsid w:val="00DB0CA0"/>
    <w:rsid w:val="00DB1561"/>
    <w:rsid w:val="00DB1596"/>
    <w:rsid w:val="00DB1DE5"/>
    <w:rsid w:val="00DB1E5A"/>
    <w:rsid w:val="00DB2FA6"/>
    <w:rsid w:val="00DB5411"/>
    <w:rsid w:val="00DC0CBE"/>
    <w:rsid w:val="00DC0E28"/>
    <w:rsid w:val="00DC182A"/>
    <w:rsid w:val="00DC198E"/>
    <w:rsid w:val="00DC1E4B"/>
    <w:rsid w:val="00DC20EF"/>
    <w:rsid w:val="00DC34D7"/>
    <w:rsid w:val="00DC3A98"/>
    <w:rsid w:val="00DC40DE"/>
    <w:rsid w:val="00DC42C0"/>
    <w:rsid w:val="00DC4835"/>
    <w:rsid w:val="00DC5F1D"/>
    <w:rsid w:val="00DC6E9E"/>
    <w:rsid w:val="00DC7D3C"/>
    <w:rsid w:val="00DC7D46"/>
    <w:rsid w:val="00DC7EC1"/>
    <w:rsid w:val="00DD11A7"/>
    <w:rsid w:val="00DD245B"/>
    <w:rsid w:val="00DD3358"/>
    <w:rsid w:val="00DD3402"/>
    <w:rsid w:val="00DD36B6"/>
    <w:rsid w:val="00DD513A"/>
    <w:rsid w:val="00DD57A6"/>
    <w:rsid w:val="00DD65C7"/>
    <w:rsid w:val="00DD6D81"/>
    <w:rsid w:val="00DD7717"/>
    <w:rsid w:val="00DE0112"/>
    <w:rsid w:val="00DE0DCC"/>
    <w:rsid w:val="00DE309B"/>
    <w:rsid w:val="00DE3141"/>
    <w:rsid w:val="00DE3985"/>
    <w:rsid w:val="00DE473C"/>
    <w:rsid w:val="00DE48A7"/>
    <w:rsid w:val="00DE4C48"/>
    <w:rsid w:val="00DE594E"/>
    <w:rsid w:val="00DE5E05"/>
    <w:rsid w:val="00DE5E2D"/>
    <w:rsid w:val="00DE783B"/>
    <w:rsid w:val="00DE7A4A"/>
    <w:rsid w:val="00DF0605"/>
    <w:rsid w:val="00DF08E1"/>
    <w:rsid w:val="00DF0B0C"/>
    <w:rsid w:val="00DF128A"/>
    <w:rsid w:val="00DF12A8"/>
    <w:rsid w:val="00DF36BC"/>
    <w:rsid w:val="00DF3868"/>
    <w:rsid w:val="00DF46EF"/>
    <w:rsid w:val="00DF508D"/>
    <w:rsid w:val="00DF5188"/>
    <w:rsid w:val="00DF540C"/>
    <w:rsid w:val="00DF5D3C"/>
    <w:rsid w:val="00DF6352"/>
    <w:rsid w:val="00DF6792"/>
    <w:rsid w:val="00DF6F0E"/>
    <w:rsid w:val="00DF7A77"/>
    <w:rsid w:val="00DF7C83"/>
    <w:rsid w:val="00E004E5"/>
    <w:rsid w:val="00E02352"/>
    <w:rsid w:val="00E031A6"/>
    <w:rsid w:val="00E041B5"/>
    <w:rsid w:val="00E04EBF"/>
    <w:rsid w:val="00E05A4A"/>
    <w:rsid w:val="00E06FDE"/>
    <w:rsid w:val="00E07671"/>
    <w:rsid w:val="00E07783"/>
    <w:rsid w:val="00E103EA"/>
    <w:rsid w:val="00E10516"/>
    <w:rsid w:val="00E10522"/>
    <w:rsid w:val="00E11321"/>
    <w:rsid w:val="00E11C35"/>
    <w:rsid w:val="00E12538"/>
    <w:rsid w:val="00E12E5D"/>
    <w:rsid w:val="00E14F77"/>
    <w:rsid w:val="00E155C7"/>
    <w:rsid w:val="00E156FF"/>
    <w:rsid w:val="00E15982"/>
    <w:rsid w:val="00E16148"/>
    <w:rsid w:val="00E16BEA"/>
    <w:rsid w:val="00E17ADA"/>
    <w:rsid w:val="00E17B67"/>
    <w:rsid w:val="00E21146"/>
    <w:rsid w:val="00E21C1E"/>
    <w:rsid w:val="00E22658"/>
    <w:rsid w:val="00E254D9"/>
    <w:rsid w:val="00E25EE0"/>
    <w:rsid w:val="00E26C12"/>
    <w:rsid w:val="00E27669"/>
    <w:rsid w:val="00E27A52"/>
    <w:rsid w:val="00E2F389"/>
    <w:rsid w:val="00E31281"/>
    <w:rsid w:val="00E31E64"/>
    <w:rsid w:val="00E32423"/>
    <w:rsid w:val="00E3342E"/>
    <w:rsid w:val="00E338CF"/>
    <w:rsid w:val="00E33C92"/>
    <w:rsid w:val="00E340D6"/>
    <w:rsid w:val="00E36A0E"/>
    <w:rsid w:val="00E37E4D"/>
    <w:rsid w:val="00E412B1"/>
    <w:rsid w:val="00E415BD"/>
    <w:rsid w:val="00E41A4C"/>
    <w:rsid w:val="00E424A8"/>
    <w:rsid w:val="00E425F9"/>
    <w:rsid w:val="00E44B7C"/>
    <w:rsid w:val="00E44CA1"/>
    <w:rsid w:val="00E45DE1"/>
    <w:rsid w:val="00E5025D"/>
    <w:rsid w:val="00E50FBC"/>
    <w:rsid w:val="00E51A4A"/>
    <w:rsid w:val="00E51CF5"/>
    <w:rsid w:val="00E52418"/>
    <w:rsid w:val="00E5243F"/>
    <w:rsid w:val="00E5299D"/>
    <w:rsid w:val="00E52F51"/>
    <w:rsid w:val="00E52F61"/>
    <w:rsid w:val="00E53067"/>
    <w:rsid w:val="00E533D7"/>
    <w:rsid w:val="00E55088"/>
    <w:rsid w:val="00E56450"/>
    <w:rsid w:val="00E56F9B"/>
    <w:rsid w:val="00E6132D"/>
    <w:rsid w:val="00E61666"/>
    <w:rsid w:val="00E61F97"/>
    <w:rsid w:val="00E6239A"/>
    <w:rsid w:val="00E62731"/>
    <w:rsid w:val="00E62F2E"/>
    <w:rsid w:val="00E65381"/>
    <w:rsid w:val="00E657B0"/>
    <w:rsid w:val="00E65EC4"/>
    <w:rsid w:val="00E668FA"/>
    <w:rsid w:val="00E67035"/>
    <w:rsid w:val="00E70B45"/>
    <w:rsid w:val="00E70E96"/>
    <w:rsid w:val="00E72EBF"/>
    <w:rsid w:val="00E7359F"/>
    <w:rsid w:val="00E74DB0"/>
    <w:rsid w:val="00E75614"/>
    <w:rsid w:val="00E757C8"/>
    <w:rsid w:val="00E76535"/>
    <w:rsid w:val="00E7735E"/>
    <w:rsid w:val="00E8050D"/>
    <w:rsid w:val="00E809C8"/>
    <w:rsid w:val="00E81BC5"/>
    <w:rsid w:val="00E824F6"/>
    <w:rsid w:val="00E82903"/>
    <w:rsid w:val="00E82D87"/>
    <w:rsid w:val="00E85691"/>
    <w:rsid w:val="00E86BE2"/>
    <w:rsid w:val="00E8787F"/>
    <w:rsid w:val="00E8793E"/>
    <w:rsid w:val="00E87BED"/>
    <w:rsid w:val="00E903D5"/>
    <w:rsid w:val="00E90524"/>
    <w:rsid w:val="00E909FF"/>
    <w:rsid w:val="00E90E9C"/>
    <w:rsid w:val="00E91B7D"/>
    <w:rsid w:val="00E91F15"/>
    <w:rsid w:val="00E926FB"/>
    <w:rsid w:val="00E92B2B"/>
    <w:rsid w:val="00E93164"/>
    <w:rsid w:val="00E94252"/>
    <w:rsid w:val="00E943EA"/>
    <w:rsid w:val="00E957EB"/>
    <w:rsid w:val="00E96DEA"/>
    <w:rsid w:val="00EA2D5A"/>
    <w:rsid w:val="00EA3DA3"/>
    <w:rsid w:val="00EA50D6"/>
    <w:rsid w:val="00EA5A62"/>
    <w:rsid w:val="00EA62AE"/>
    <w:rsid w:val="00EB1074"/>
    <w:rsid w:val="00EB13C1"/>
    <w:rsid w:val="00EB1D79"/>
    <w:rsid w:val="00EB2300"/>
    <w:rsid w:val="00EB2ABA"/>
    <w:rsid w:val="00EB3A85"/>
    <w:rsid w:val="00EB3D1B"/>
    <w:rsid w:val="00EB47F0"/>
    <w:rsid w:val="00EB6077"/>
    <w:rsid w:val="00EB6122"/>
    <w:rsid w:val="00EB6223"/>
    <w:rsid w:val="00EB635D"/>
    <w:rsid w:val="00EB6ADB"/>
    <w:rsid w:val="00EB6DB3"/>
    <w:rsid w:val="00EB71CA"/>
    <w:rsid w:val="00EB7399"/>
    <w:rsid w:val="00EC0CF8"/>
    <w:rsid w:val="00EC1599"/>
    <w:rsid w:val="00EC17F6"/>
    <w:rsid w:val="00EC1D4F"/>
    <w:rsid w:val="00EC3141"/>
    <w:rsid w:val="00EC3206"/>
    <w:rsid w:val="00EC48E0"/>
    <w:rsid w:val="00EC4D87"/>
    <w:rsid w:val="00EC5CF0"/>
    <w:rsid w:val="00EC6267"/>
    <w:rsid w:val="00EC6AF7"/>
    <w:rsid w:val="00EC7396"/>
    <w:rsid w:val="00ED00C5"/>
    <w:rsid w:val="00ED06F9"/>
    <w:rsid w:val="00ED0965"/>
    <w:rsid w:val="00ED18D7"/>
    <w:rsid w:val="00ED23C8"/>
    <w:rsid w:val="00ED377F"/>
    <w:rsid w:val="00ED43E1"/>
    <w:rsid w:val="00ED5939"/>
    <w:rsid w:val="00ED5B0C"/>
    <w:rsid w:val="00ED60D0"/>
    <w:rsid w:val="00ED6830"/>
    <w:rsid w:val="00ED6D16"/>
    <w:rsid w:val="00ED75A8"/>
    <w:rsid w:val="00ED7727"/>
    <w:rsid w:val="00EE2FCA"/>
    <w:rsid w:val="00EE31FA"/>
    <w:rsid w:val="00EE3B66"/>
    <w:rsid w:val="00EE44C1"/>
    <w:rsid w:val="00EE4627"/>
    <w:rsid w:val="00EE5A0F"/>
    <w:rsid w:val="00EE5E9E"/>
    <w:rsid w:val="00EE6621"/>
    <w:rsid w:val="00EF0C33"/>
    <w:rsid w:val="00EF16D6"/>
    <w:rsid w:val="00EF1E9F"/>
    <w:rsid w:val="00EF2A9C"/>
    <w:rsid w:val="00EF2B89"/>
    <w:rsid w:val="00EF45F6"/>
    <w:rsid w:val="00EF6A8C"/>
    <w:rsid w:val="00EF75A7"/>
    <w:rsid w:val="00F00C22"/>
    <w:rsid w:val="00F017B8"/>
    <w:rsid w:val="00F02779"/>
    <w:rsid w:val="00F027D0"/>
    <w:rsid w:val="00F032BF"/>
    <w:rsid w:val="00F03532"/>
    <w:rsid w:val="00F037A2"/>
    <w:rsid w:val="00F03830"/>
    <w:rsid w:val="00F038EF"/>
    <w:rsid w:val="00F04855"/>
    <w:rsid w:val="00F048EF"/>
    <w:rsid w:val="00F07398"/>
    <w:rsid w:val="00F07EAB"/>
    <w:rsid w:val="00F10CB2"/>
    <w:rsid w:val="00F10F8B"/>
    <w:rsid w:val="00F11E23"/>
    <w:rsid w:val="00F12F12"/>
    <w:rsid w:val="00F132A0"/>
    <w:rsid w:val="00F1406A"/>
    <w:rsid w:val="00F1529C"/>
    <w:rsid w:val="00F15A40"/>
    <w:rsid w:val="00F17098"/>
    <w:rsid w:val="00F174CD"/>
    <w:rsid w:val="00F17A46"/>
    <w:rsid w:val="00F17B31"/>
    <w:rsid w:val="00F17CBE"/>
    <w:rsid w:val="00F20040"/>
    <w:rsid w:val="00F20934"/>
    <w:rsid w:val="00F211F6"/>
    <w:rsid w:val="00F2207E"/>
    <w:rsid w:val="00F229F6"/>
    <w:rsid w:val="00F258AE"/>
    <w:rsid w:val="00F25BFB"/>
    <w:rsid w:val="00F266AC"/>
    <w:rsid w:val="00F26841"/>
    <w:rsid w:val="00F27B9C"/>
    <w:rsid w:val="00F27D1D"/>
    <w:rsid w:val="00F30B57"/>
    <w:rsid w:val="00F3153F"/>
    <w:rsid w:val="00F32F74"/>
    <w:rsid w:val="00F33CAA"/>
    <w:rsid w:val="00F34B22"/>
    <w:rsid w:val="00F35DBA"/>
    <w:rsid w:val="00F366FD"/>
    <w:rsid w:val="00F37127"/>
    <w:rsid w:val="00F37752"/>
    <w:rsid w:val="00F42F88"/>
    <w:rsid w:val="00F436D5"/>
    <w:rsid w:val="00F437CC"/>
    <w:rsid w:val="00F43A19"/>
    <w:rsid w:val="00F44ED9"/>
    <w:rsid w:val="00F47B62"/>
    <w:rsid w:val="00F47F09"/>
    <w:rsid w:val="00F50435"/>
    <w:rsid w:val="00F50A38"/>
    <w:rsid w:val="00F50C5C"/>
    <w:rsid w:val="00F5109A"/>
    <w:rsid w:val="00F51924"/>
    <w:rsid w:val="00F51B08"/>
    <w:rsid w:val="00F5200D"/>
    <w:rsid w:val="00F5257A"/>
    <w:rsid w:val="00F52BA9"/>
    <w:rsid w:val="00F52C13"/>
    <w:rsid w:val="00F53E12"/>
    <w:rsid w:val="00F55BAE"/>
    <w:rsid w:val="00F561BD"/>
    <w:rsid w:val="00F562D7"/>
    <w:rsid w:val="00F57BA3"/>
    <w:rsid w:val="00F6053E"/>
    <w:rsid w:val="00F607F8"/>
    <w:rsid w:val="00F60DAB"/>
    <w:rsid w:val="00F614B2"/>
    <w:rsid w:val="00F61C5C"/>
    <w:rsid w:val="00F6206D"/>
    <w:rsid w:val="00F6233A"/>
    <w:rsid w:val="00F6314C"/>
    <w:rsid w:val="00F6447B"/>
    <w:rsid w:val="00F6450B"/>
    <w:rsid w:val="00F64566"/>
    <w:rsid w:val="00F67457"/>
    <w:rsid w:val="00F67926"/>
    <w:rsid w:val="00F6796E"/>
    <w:rsid w:val="00F704A5"/>
    <w:rsid w:val="00F7082F"/>
    <w:rsid w:val="00F7182D"/>
    <w:rsid w:val="00F71CAC"/>
    <w:rsid w:val="00F738C9"/>
    <w:rsid w:val="00F74679"/>
    <w:rsid w:val="00F749A8"/>
    <w:rsid w:val="00F76458"/>
    <w:rsid w:val="00F76583"/>
    <w:rsid w:val="00F76EB9"/>
    <w:rsid w:val="00F81108"/>
    <w:rsid w:val="00F8136E"/>
    <w:rsid w:val="00F81851"/>
    <w:rsid w:val="00F81DA4"/>
    <w:rsid w:val="00F83C68"/>
    <w:rsid w:val="00F847E0"/>
    <w:rsid w:val="00F84953"/>
    <w:rsid w:val="00F85851"/>
    <w:rsid w:val="00F85AE5"/>
    <w:rsid w:val="00F86EAB"/>
    <w:rsid w:val="00F90CDF"/>
    <w:rsid w:val="00F91733"/>
    <w:rsid w:val="00F92DB0"/>
    <w:rsid w:val="00F93B23"/>
    <w:rsid w:val="00F93D2C"/>
    <w:rsid w:val="00F94BAC"/>
    <w:rsid w:val="00F965C3"/>
    <w:rsid w:val="00F97230"/>
    <w:rsid w:val="00F972DA"/>
    <w:rsid w:val="00FA10D1"/>
    <w:rsid w:val="00FA1C1B"/>
    <w:rsid w:val="00FA2AA4"/>
    <w:rsid w:val="00FA3D8A"/>
    <w:rsid w:val="00FA4CAD"/>
    <w:rsid w:val="00FA5068"/>
    <w:rsid w:val="00FA5F3E"/>
    <w:rsid w:val="00FB05E3"/>
    <w:rsid w:val="00FB12F0"/>
    <w:rsid w:val="00FB1779"/>
    <w:rsid w:val="00FB19AA"/>
    <w:rsid w:val="00FB4184"/>
    <w:rsid w:val="00FB46B6"/>
    <w:rsid w:val="00FB528D"/>
    <w:rsid w:val="00FB5A59"/>
    <w:rsid w:val="00FB5E21"/>
    <w:rsid w:val="00FB604C"/>
    <w:rsid w:val="00FB63BF"/>
    <w:rsid w:val="00FB6E17"/>
    <w:rsid w:val="00FB7211"/>
    <w:rsid w:val="00FC10E5"/>
    <w:rsid w:val="00FC1941"/>
    <w:rsid w:val="00FC1A75"/>
    <w:rsid w:val="00FC1BD5"/>
    <w:rsid w:val="00FC38DE"/>
    <w:rsid w:val="00FC3EF8"/>
    <w:rsid w:val="00FC5549"/>
    <w:rsid w:val="00FC624C"/>
    <w:rsid w:val="00FC66EF"/>
    <w:rsid w:val="00FC6FAD"/>
    <w:rsid w:val="00FC74FD"/>
    <w:rsid w:val="00FC7538"/>
    <w:rsid w:val="00FC7708"/>
    <w:rsid w:val="00FC7B62"/>
    <w:rsid w:val="00FC7D9E"/>
    <w:rsid w:val="00FD0A5D"/>
    <w:rsid w:val="00FD0D31"/>
    <w:rsid w:val="00FD141A"/>
    <w:rsid w:val="00FD19CA"/>
    <w:rsid w:val="00FD259A"/>
    <w:rsid w:val="00FD29C8"/>
    <w:rsid w:val="00FD2C8F"/>
    <w:rsid w:val="00FD4312"/>
    <w:rsid w:val="00FD5124"/>
    <w:rsid w:val="00FD5153"/>
    <w:rsid w:val="00FD5FF8"/>
    <w:rsid w:val="00FD6297"/>
    <w:rsid w:val="00FD6D33"/>
    <w:rsid w:val="00FD73D3"/>
    <w:rsid w:val="00FD75EC"/>
    <w:rsid w:val="00FD7A45"/>
    <w:rsid w:val="00FDE9DC"/>
    <w:rsid w:val="00FE020A"/>
    <w:rsid w:val="00FE26A6"/>
    <w:rsid w:val="00FE2A80"/>
    <w:rsid w:val="00FE2E8B"/>
    <w:rsid w:val="00FE2ED3"/>
    <w:rsid w:val="00FE305F"/>
    <w:rsid w:val="00FE40F5"/>
    <w:rsid w:val="00FE59AF"/>
    <w:rsid w:val="00FE64F8"/>
    <w:rsid w:val="00FE70BD"/>
    <w:rsid w:val="00FE71B4"/>
    <w:rsid w:val="00FE7568"/>
    <w:rsid w:val="00FF223F"/>
    <w:rsid w:val="00FF2D99"/>
    <w:rsid w:val="00FF4181"/>
    <w:rsid w:val="00FF4A5E"/>
    <w:rsid w:val="00FF5FF1"/>
    <w:rsid w:val="01141CE1"/>
    <w:rsid w:val="011EAE20"/>
    <w:rsid w:val="01301D2D"/>
    <w:rsid w:val="015945A6"/>
    <w:rsid w:val="015F6E4C"/>
    <w:rsid w:val="0162D19E"/>
    <w:rsid w:val="016A92E7"/>
    <w:rsid w:val="017A33EF"/>
    <w:rsid w:val="0180A11A"/>
    <w:rsid w:val="01904738"/>
    <w:rsid w:val="01AAAB94"/>
    <w:rsid w:val="01B6E984"/>
    <w:rsid w:val="01C3B3CB"/>
    <w:rsid w:val="01DB2845"/>
    <w:rsid w:val="02101FF3"/>
    <w:rsid w:val="0214E8E7"/>
    <w:rsid w:val="02246921"/>
    <w:rsid w:val="022AB7A6"/>
    <w:rsid w:val="0230378F"/>
    <w:rsid w:val="02317244"/>
    <w:rsid w:val="0235D975"/>
    <w:rsid w:val="023D3FF7"/>
    <w:rsid w:val="0248D439"/>
    <w:rsid w:val="0254DED6"/>
    <w:rsid w:val="0279AC72"/>
    <w:rsid w:val="0287FA13"/>
    <w:rsid w:val="02A35FC9"/>
    <w:rsid w:val="02A4FA4C"/>
    <w:rsid w:val="02AF3C5B"/>
    <w:rsid w:val="02B3EBC4"/>
    <w:rsid w:val="02B5E1D2"/>
    <w:rsid w:val="02B74ADE"/>
    <w:rsid w:val="02E5D469"/>
    <w:rsid w:val="02E7935B"/>
    <w:rsid w:val="02EB18F8"/>
    <w:rsid w:val="031F5240"/>
    <w:rsid w:val="033147F3"/>
    <w:rsid w:val="03351613"/>
    <w:rsid w:val="03502A2F"/>
    <w:rsid w:val="0352B14F"/>
    <w:rsid w:val="03610FB0"/>
    <w:rsid w:val="0364A84D"/>
    <w:rsid w:val="036FE309"/>
    <w:rsid w:val="038E2E6E"/>
    <w:rsid w:val="0394C12C"/>
    <w:rsid w:val="03957453"/>
    <w:rsid w:val="03A99274"/>
    <w:rsid w:val="03B2AA94"/>
    <w:rsid w:val="03F8A8A1"/>
    <w:rsid w:val="040B27AD"/>
    <w:rsid w:val="04101F98"/>
    <w:rsid w:val="04124C69"/>
    <w:rsid w:val="041A055C"/>
    <w:rsid w:val="0463732C"/>
    <w:rsid w:val="04883426"/>
    <w:rsid w:val="04C56A51"/>
    <w:rsid w:val="04DA46CB"/>
    <w:rsid w:val="04F3666A"/>
    <w:rsid w:val="050A93FA"/>
    <w:rsid w:val="050E21C6"/>
    <w:rsid w:val="052AB98E"/>
    <w:rsid w:val="0536605F"/>
    <w:rsid w:val="053AE694"/>
    <w:rsid w:val="05479FF2"/>
    <w:rsid w:val="055BFE74"/>
    <w:rsid w:val="05615851"/>
    <w:rsid w:val="057F07E4"/>
    <w:rsid w:val="05896704"/>
    <w:rsid w:val="059E853A"/>
    <w:rsid w:val="05A1C90B"/>
    <w:rsid w:val="05A20D88"/>
    <w:rsid w:val="05A821FF"/>
    <w:rsid w:val="05A9BA95"/>
    <w:rsid w:val="05B433CD"/>
    <w:rsid w:val="05B77783"/>
    <w:rsid w:val="05C2BA76"/>
    <w:rsid w:val="05C90C3C"/>
    <w:rsid w:val="05EBBBE9"/>
    <w:rsid w:val="05F467A3"/>
    <w:rsid w:val="06119729"/>
    <w:rsid w:val="061649A6"/>
    <w:rsid w:val="0617E436"/>
    <w:rsid w:val="063DBC85"/>
    <w:rsid w:val="06482322"/>
    <w:rsid w:val="065FEEEE"/>
    <w:rsid w:val="06A6E12E"/>
    <w:rsid w:val="06A9EB8E"/>
    <w:rsid w:val="06BCB5AA"/>
    <w:rsid w:val="06DF1579"/>
    <w:rsid w:val="06E9A832"/>
    <w:rsid w:val="06F8B52B"/>
    <w:rsid w:val="06FDE8F6"/>
    <w:rsid w:val="072F7CBE"/>
    <w:rsid w:val="07350817"/>
    <w:rsid w:val="073846D6"/>
    <w:rsid w:val="073FF79F"/>
    <w:rsid w:val="07486C01"/>
    <w:rsid w:val="07820BCE"/>
    <w:rsid w:val="078F8642"/>
    <w:rsid w:val="079D6A2C"/>
    <w:rsid w:val="07A809BA"/>
    <w:rsid w:val="07B02555"/>
    <w:rsid w:val="07B7A835"/>
    <w:rsid w:val="07C3CCA8"/>
    <w:rsid w:val="07DA6050"/>
    <w:rsid w:val="07F852C6"/>
    <w:rsid w:val="080EEA00"/>
    <w:rsid w:val="082A6FB4"/>
    <w:rsid w:val="084A7B01"/>
    <w:rsid w:val="084DE8EE"/>
    <w:rsid w:val="0875BAA7"/>
    <w:rsid w:val="08870A61"/>
    <w:rsid w:val="088D218C"/>
    <w:rsid w:val="089D98F4"/>
    <w:rsid w:val="08A3EC09"/>
    <w:rsid w:val="08BA72A2"/>
    <w:rsid w:val="08DDADDD"/>
    <w:rsid w:val="08E8A2FB"/>
    <w:rsid w:val="090B9B3B"/>
    <w:rsid w:val="0921EED6"/>
    <w:rsid w:val="09299067"/>
    <w:rsid w:val="0963AA47"/>
    <w:rsid w:val="097A8D53"/>
    <w:rsid w:val="097D2678"/>
    <w:rsid w:val="098A32CB"/>
    <w:rsid w:val="09A18AFC"/>
    <w:rsid w:val="09C4DF4F"/>
    <w:rsid w:val="09EAA786"/>
    <w:rsid w:val="0A1D8CC4"/>
    <w:rsid w:val="0A2EE63A"/>
    <w:rsid w:val="0A35D7A1"/>
    <w:rsid w:val="0A505840"/>
    <w:rsid w:val="0A529ACB"/>
    <w:rsid w:val="0A977B4C"/>
    <w:rsid w:val="0AB1B098"/>
    <w:rsid w:val="0AC9DA0B"/>
    <w:rsid w:val="0AD04600"/>
    <w:rsid w:val="0AD981C3"/>
    <w:rsid w:val="0AE62E1B"/>
    <w:rsid w:val="0B4DA7E3"/>
    <w:rsid w:val="0B67412A"/>
    <w:rsid w:val="0B73F2B8"/>
    <w:rsid w:val="0B7DDC04"/>
    <w:rsid w:val="0B7E05F2"/>
    <w:rsid w:val="0BCBC060"/>
    <w:rsid w:val="0BD00873"/>
    <w:rsid w:val="0BD539B6"/>
    <w:rsid w:val="0BEF1F07"/>
    <w:rsid w:val="0C023159"/>
    <w:rsid w:val="0C2C3A7E"/>
    <w:rsid w:val="0C35FEE0"/>
    <w:rsid w:val="0C517D4B"/>
    <w:rsid w:val="0C66615F"/>
    <w:rsid w:val="0C6AF841"/>
    <w:rsid w:val="0C82FF00"/>
    <w:rsid w:val="0C8731A1"/>
    <w:rsid w:val="0C8B2F72"/>
    <w:rsid w:val="0C8F6D05"/>
    <w:rsid w:val="0C9965E6"/>
    <w:rsid w:val="0CA6B2F2"/>
    <w:rsid w:val="0CA95893"/>
    <w:rsid w:val="0CCE1636"/>
    <w:rsid w:val="0D1A7BFA"/>
    <w:rsid w:val="0D2B476A"/>
    <w:rsid w:val="0D48C17B"/>
    <w:rsid w:val="0D4CED07"/>
    <w:rsid w:val="0D6D2792"/>
    <w:rsid w:val="0D80B610"/>
    <w:rsid w:val="0D89F3C4"/>
    <w:rsid w:val="0D8CC6E3"/>
    <w:rsid w:val="0D959B71"/>
    <w:rsid w:val="0D96ABB3"/>
    <w:rsid w:val="0D9F6C2D"/>
    <w:rsid w:val="0DA050A5"/>
    <w:rsid w:val="0DB11F00"/>
    <w:rsid w:val="0DB76685"/>
    <w:rsid w:val="0DBDF24A"/>
    <w:rsid w:val="0DE1ACFF"/>
    <w:rsid w:val="0DECF9A7"/>
    <w:rsid w:val="0E014B38"/>
    <w:rsid w:val="0E046191"/>
    <w:rsid w:val="0E2FB7E8"/>
    <w:rsid w:val="0E31FB05"/>
    <w:rsid w:val="0E49F74C"/>
    <w:rsid w:val="0E4D85F9"/>
    <w:rsid w:val="0E683754"/>
    <w:rsid w:val="0E6987CC"/>
    <w:rsid w:val="0EACABFC"/>
    <w:rsid w:val="0EACF1A2"/>
    <w:rsid w:val="0EB5B632"/>
    <w:rsid w:val="0EB76427"/>
    <w:rsid w:val="0EBF3723"/>
    <w:rsid w:val="0EC05D00"/>
    <w:rsid w:val="0EDAED77"/>
    <w:rsid w:val="0F072769"/>
    <w:rsid w:val="0F1EACF9"/>
    <w:rsid w:val="0F21252F"/>
    <w:rsid w:val="0F2C762A"/>
    <w:rsid w:val="0F4B3FC3"/>
    <w:rsid w:val="0F543EDB"/>
    <w:rsid w:val="0F548699"/>
    <w:rsid w:val="0F5AADB7"/>
    <w:rsid w:val="0F61A4E1"/>
    <w:rsid w:val="0F7686D6"/>
    <w:rsid w:val="0F7A819C"/>
    <w:rsid w:val="0F89909F"/>
    <w:rsid w:val="0FDF2B1D"/>
    <w:rsid w:val="0FED409E"/>
    <w:rsid w:val="0FF4C882"/>
    <w:rsid w:val="0FF79FCF"/>
    <w:rsid w:val="101AB9BE"/>
    <w:rsid w:val="101E844B"/>
    <w:rsid w:val="102E4FDB"/>
    <w:rsid w:val="10381CD6"/>
    <w:rsid w:val="10661A01"/>
    <w:rsid w:val="106B0456"/>
    <w:rsid w:val="108FE23F"/>
    <w:rsid w:val="10BE8F76"/>
    <w:rsid w:val="10E02A50"/>
    <w:rsid w:val="10E9C28E"/>
    <w:rsid w:val="111F031C"/>
    <w:rsid w:val="1125213F"/>
    <w:rsid w:val="113366BE"/>
    <w:rsid w:val="11482E25"/>
    <w:rsid w:val="114DEC20"/>
    <w:rsid w:val="115CC917"/>
    <w:rsid w:val="116342F8"/>
    <w:rsid w:val="1170677C"/>
    <w:rsid w:val="117AFB7E"/>
    <w:rsid w:val="1184DDBF"/>
    <w:rsid w:val="118F65D6"/>
    <w:rsid w:val="1194FF3D"/>
    <w:rsid w:val="119EBE57"/>
    <w:rsid w:val="11ABCB49"/>
    <w:rsid w:val="11B1B484"/>
    <w:rsid w:val="11DF42F0"/>
    <w:rsid w:val="11EA86B1"/>
    <w:rsid w:val="11EDBB42"/>
    <w:rsid w:val="12184107"/>
    <w:rsid w:val="121F9F8A"/>
    <w:rsid w:val="122567DB"/>
    <w:rsid w:val="123E0D5E"/>
    <w:rsid w:val="12448453"/>
    <w:rsid w:val="125A53D1"/>
    <w:rsid w:val="12617B6A"/>
    <w:rsid w:val="1278C42F"/>
    <w:rsid w:val="1290589C"/>
    <w:rsid w:val="129A6DD5"/>
    <w:rsid w:val="12C4B003"/>
    <w:rsid w:val="12CE3BBA"/>
    <w:rsid w:val="12E3FE86"/>
    <w:rsid w:val="12E49D3D"/>
    <w:rsid w:val="12F6426B"/>
    <w:rsid w:val="13083461"/>
    <w:rsid w:val="130DC30C"/>
    <w:rsid w:val="131C81EC"/>
    <w:rsid w:val="1320FF2F"/>
    <w:rsid w:val="1321FDD3"/>
    <w:rsid w:val="13262E72"/>
    <w:rsid w:val="133BAB55"/>
    <w:rsid w:val="13486F90"/>
    <w:rsid w:val="139BC7AE"/>
    <w:rsid w:val="13A8FDCF"/>
    <w:rsid w:val="13B4EA00"/>
    <w:rsid w:val="13B56469"/>
    <w:rsid w:val="13DF6009"/>
    <w:rsid w:val="13F57AB1"/>
    <w:rsid w:val="14045F22"/>
    <w:rsid w:val="14099025"/>
    <w:rsid w:val="141EB0E6"/>
    <w:rsid w:val="1422E337"/>
    <w:rsid w:val="1427E868"/>
    <w:rsid w:val="145BF7B8"/>
    <w:rsid w:val="145E7F14"/>
    <w:rsid w:val="146D420C"/>
    <w:rsid w:val="14A2A301"/>
    <w:rsid w:val="14C074AF"/>
    <w:rsid w:val="14CC5B66"/>
    <w:rsid w:val="14E04844"/>
    <w:rsid w:val="14EB546F"/>
    <w:rsid w:val="150FD5AC"/>
    <w:rsid w:val="151C3326"/>
    <w:rsid w:val="151E29A2"/>
    <w:rsid w:val="1558EB18"/>
    <w:rsid w:val="155B83C1"/>
    <w:rsid w:val="155D089D"/>
    <w:rsid w:val="15709CC2"/>
    <w:rsid w:val="1573001A"/>
    <w:rsid w:val="157F3A17"/>
    <w:rsid w:val="15A5CF2E"/>
    <w:rsid w:val="15A7F8CD"/>
    <w:rsid w:val="15B3E92A"/>
    <w:rsid w:val="15C5095E"/>
    <w:rsid w:val="15D13E33"/>
    <w:rsid w:val="15E098F5"/>
    <w:rsid w:val="15F8F7AF"/>
    <w:rsid w:val="15FA46BC"/>
    <w:rsid w:val="162AA8A8"/>
    <w:rsid w:val="162C1676"/>
    <w:rsid w:val="16460D54"/>
    <w:rsid w:val="165EED94"/>
    <w:rsid w:val="168073CF"/>
    <w:rsid w:val="168254E3"/>
    <w:rsid w:val="169E1AF5"/>
    <w:rsid w:val="16ABA60D"/>
    <w:rsid w:val="16E9A22E"/>
    <w:rsid w:val="16EC8AC2"/>
    <w:rsid w:val="1709B36C"/>
    <w:rsid w:val="173CF775"/>
    <w:rsid w:val="17838C93"/>
    <w:rsid w:val="17867C34"/>
    <w:rsid w:val="1788ABFF"/>
    <w:rsid w:val="178A1072"/>
    <w:rsid w:val="179ADC7A"/>
    <w:rsid w:val="17BA6FD9"/>
    <w:rsid w:val="17C62AF0"/>
    <w:rsid w:val="17C99D70"/>
    <w:rsid w:val="17CBAAB0"/>
    <w:rsid w:val="17DB8750"/>
    <w:rsid w:val="17F3D8E3"/>
    <w:rsid w:val="17F47D6D"/>
    <w:rsid w:val="17FF4ECC"/>
    <w:rsid w:val="180F841E"/>
    <w:rsid w:val="181A6A88"/>
    <w:rsid w:val="181E9BD8"/>
    <w:rsid w:val="1824CA58"/>
    <w:rsid w:val="182E2C53"/>
    <w:rsid w:val="183669D6"/>
    <w:rsid w:val="18601496"/>
    <w:rsid w:val="1882633F"/>
    <w:rsid w:val="188C2C54"/>
    <w:rsid w:val="188DF8A4"/>
    <w:rsid w:val="1899ED2C"/>
    <w:rsid w:val="18CA1E5D"/>
    <w:rsid w:val="18D240CB"/>
    <w:rsid w:val="190560C6"/>
    <w:rsid w:val="19120E7F"/>
    <w:rsid w:val="1922225E"/>
    <w:rsid w:val="1925E0D3"/>
    <w:rsid w:val="192E1C8D"/>
    <w:rsid w:val="19334BDB"/>
    <w:rsid w:val="1933F187"/>
    <w:rsid w:val="1951CD76"/>
    <w:rsid w:val="19713D79"/>
    <w:rsid w:val="19A38818"/>
    <w:rsid w:val="19B1C342"/>
    <w:rsid w:val="19D24730"/>
    <w:rsid w:val="19D54669"/>
    <w:rsid w:val="19DBFEF0"/>
    <w:rsid w:val="19EADC2F"/>
    <w:rsid w:val="19F93257"/>
    <w:rsid w:val="1A04022F"/>
    <w:rsid w:val="1A040F24"/>
    <w:rsid w:val="1A242B84"/>
    <w:rsid w:val="1A2ECFAF"/>
    <w:rsid w:val="1A4E62E8"/>
    <w:rsid w:val="1A56BC45"/>
    <w:rsid w:val="1A6D3116"/>
    <w:rsid w:val="1A7400BF"/>
    <w:rsid w:val="1A7D6479"/>
    <w:rsid w:val="1A8CEED5"/>
    <w:rsid w:val="1AB6998B"/>
    <w:rsid w:val="1ABB923F"/>
    <w:rsid w:val="1AC18CE4"/>
    <w:rsid w:val="1AC92EF0"/>
    <w:rsid w:val="1ADDD671"/>
    <w:rsid w:val="1AFF0EC2"/>
    <w:rsid w:val="1B0CF2D6"/>
    <w:rsid w:val="1B27C072"/>
    <w:rsid w:val="1B385CB2"/>
    <w:rsid w:val="1B3B62D8"/>
    <w:rsid w:val="1B40759E"/>
    <w:rsid w:val="1B54C50C"/>
    <w:rsid w:val="1B5FDF8A"/>
    <w:rsid w:val="1B88BC5C"/>
    <w:rsid w:val="1B8A5D0F"/>
    <w:rsid w:val="1B92C7FB"/>
    <w:rsid w:val="1B9E6CB1"/>
    <w:rsid w:val="1BA10EC4"/>
    <w:rsid w:val="1BB8706A"/>
    <w:rsid w:val="1BB897A8"/>
    <w:rsid w:val="1BC3C18C"/>
    <w:rsid w:val="1BEB8757"/>
    <w:rsid w:val="1BF80C46"/>
    <w:rsid w:val="1BFC73FC"/>
    <w:rsid w:val="1BFD3488"/>
    <w:rsid w:val="1C12094C"/>
    <w:rsid w:val="1C171520"/>
    <w:rsid w:val="1C538935"/>
    <w:rsid w:val="1C7E38C1"/>
    <w:rsid w:val="1C8192C0"/>
    <w:rsid w:val="1C84F7AE"/>
    <w:rsid w:val="1D070327"/>
    <w:rsid w:val="1D1E87B9"/>
    <w:rsid w:val="1D1F336D"/>
    <w:rsid w:val="1D1F6D81"/>
    <w:rsid w:val="1D2538FD"/>
    <w:rsid w:val="1D7A9720"/>
    <w:rsid w:val="1D7AA175"/>
    <w:rsid w:val="1D7E1FC6"/>
    <w:rsid w:val="1DAC01B2"/>
    <w:rsid w:val="1DCB4072"/>
    <w:rsid w:val="1DD08FF4"/>
    <w:rsid w:val="1DE0DA97"/>
    <w:rsid w:val="1DEAEF88"/>
    <w:rsid w:val="1E092F18"/>
    <w:rsid w:val="1E0EAA84"/>
    <w:rsid w:val="1E15B0E9"/>
    <w:rsid w:val="1E2F6EBF"/>
    <w:rsid w:val="1EC4C4CE"/>
    <w:rsid w:val="1ECE0A8B"/>
    <w:rsid w:val="1EE1FD83"/>
    <w:rsid w:val="1F1CAFBC"/>
    <w:rsid w:val="1F319694"/>
    <w:rsid w:val="1F3B2F39"/>
    <w:rsid w:val="1F6AE28E"/>
    <w:rsid w:val="1F78BA2E"/>
    <w:rsid w:val="1F7D5CE2"/>
    <w:rsid w:val="1F8F0362"/>
    <w:rsid w:val="1FA31110"/>
    <w:rsid w:val="1FBA0DC1"/>
    <w:rsid w:val="1FBB69C8"/>
    <w:rsid w:val="1FC715F2"/>
    <w:rsid w:val="1FCAABC2"/>
    <w:rsid w:val="1FDF942C"/>
    <w:rsid w:val="1FEDE5F3"/>
    <w:rsid w:val="1FFD92F9"/>
    <w:rsid w:val="20081E64"/>
    <w:rsid w:val="200F6FE0"/>
    <w:rsid w:val="202AFF3F"/>
    <w:rsid w:val="204BC040"/>
    <w:rsid w:val="205EAE18"/>
    <w:rsid w:val="205FC8BB"/>
    <w:rsid w:val="20746B7A"/>
    <w:rsid w:val="208FF38D"/>
    <w:rsid w:val="20953E43"/>
    <w:rsid w:val="2096E0F5"/>
    <w:rsid w:val="209E0770"/>
    <w:rsid w:val="20B5DF1F"/>
    <w:rsid w:val="20D04104"/>
    <w:rsid w:val="20D6B055"/>
    <w:rsid w:val="20DD588E"/>
    <w:rsid w:val="20E277FA"/>
    <w:rsid w:val="211BD624"/>
    <w:rsid w:val="213F036C"/>
    <w:rsid w:val="21516055"/>
    <w:rsid w:val="215E1B44"/>
    <w:rsid w:val="2168C7F5"/>
    <w:rsid w:val="216D9A85"/>
    <w:rsid w:val="21A289F9"/>
    <w:rsid w:val="21A7CFDF"/>
    <w:rsid w:val="2201FAD3"/>
    <w:rsid w:val="220701AD"/>
    <w:rsid w:val="223FDA31"/>
    <w:rsid w:val="2262218E"/>
    <w:rsid w:val="2268DF9F"/>
    <w:rsid w:val="22A27F19"/>
    <w:rsid w:val="22A7BA08"/>
    <w:rsid w:val="22B0FDF9"/>
    <w:rsid w:val="22BDEDAC"/>
    <w:rsid w:val="22D1E42C"/>
    <w:rsid w:val="22DDF3C8"/>
    <w:rsid w:val="22F46D6E"/>
    <w:rsid w:val="2305158E"/>
    <w:rsid w:val="231D581F"/>
    <w:rsid w:val="232F4AE3"/>
    <w:rsid w:val="23533DD6"/>
    <w:rsid w:val="2367A244"/>
    <w:rsid w:val="2372B78D"/>
    <w:rsid w:val="23769F18"/>
    <w:rsid w:val="239019CB"/>
    <w:rsid w:val="2392AFE2"/>
    <w:rsid w:val="239EB763"/>
    <w:rsid w:val="23A91DFF"/>
    <w:rsid w:val="23A97478"/>
    <w:rsid w:val="23C61205"/>
    <w:rsid w:val="23E9F5CE"/>
    <w:rsid w:val="23ED0A27"/>
    <w:rsid w:val="23F1128D"/>
    <w:rsid w:val="242C7C08"/>
    <w:rsid w:val="24C158C2"/>
    <w:rsid w:val="24CECA3C"/>
    <w:rsid w:val="24D421D2"/>
    <w:rsid w:val="24EA04DF"/>
    <w:rsid w:val="24FCC19B"/>
    <w:rsid w:val="251CA6F3"/>
    <w:rsid w:val="2520AE62"/>
    <w:rsid w:val="25282B86"/>
    <w:rsid w:val="2541C24A"/>
    <w:rsid w:val="25580C95"/>
    <w:rsid w:val="25646BA1"/>
    <w:rsid w:val="259A3665"/>
    <w:rsid w:val="25ACBAA1"/>
    <w:rsid w:val="25B70DF2"/>
    <w:rsid w:val="25B96BF8"/>
    <w:rsid w:val="25C17B2F"/>
    <w:rsid w:val="25C486C2"/>
    <w:rsid w:val="25D208C3"/>
    <w:rsid w:val="25EDFB53"/>
    <w:rsid w:val="25FE3390"/>
    <w:rsid w:val="26015D3F"/>
    <w:rsid w:val="2619BC69"/>
    <w:rsid w:val="263CE29E"/>
    <w:rsid w:val="2647D0DB"/>
    <w:rsid w:val="2653D459"/>
    <w:rsid w:val="265AA11E"/>
    <w:rsid w:val="265B99A6"/>
    <w:rsid w:val="265C80D3"/>
    <w:rsid w:val="2676F7AA"/>
    <w:rsid w:val="26866CB8"/>
    <w:rsid w:val="2687E822"/>
    <w:rsid w:val="269DB84F"/>
    <w:rsid w:val="26A8353C"/>
    <w:rsid w:val="26AE841C"/>
    <w:rsid w:val="26D66911"/>
    <w:rsid w:val="26E54A1B"/>
    <w:rsid w:val="26EB5907"/>
    <w:rsid w:val="2708E577"/>
    <w:rsid w:val="2721E614"/>
    <w:rsid w:val="272BBDD7"/>
    <w:rsid w:val="272EE4F0"/>
    <w:rsid w:val="27533396"/>
    <w:rsid w:val="27542102"/>
    <w:rsid w:val="27654472"/>
    <w:rsid w:val="27860D0E"/>
    <w:rsid w:val="27950BC3"/>
    <w:rsid w:val="27B88EA3"/>
    <w:rsid w:val="27C4A88E"/>
    <w:rsid w:val="27CD0807"/>
    <w:rsid w:val="27CFFC2B"/>
    <w:rsid w:val="27E0A8D0"/>
    <w:rsid w:val="27E2E6A3"/>
    <w:rsid w:val="27F40BEE"/>
    <w:rsid w:val="2808E32E"/>
    <w:rsid w:val="28105217"/>
    <w:rsid w:val="283533BE"/>
    <w:rsid w:val="283DB342"/>
    <w:rsid w:val="28570E76"/>
    <w:rsid w:val="2857FCA6"/>
    <w:rsid w:val="285C030A"/>
    <w:rsid w:val="285D1B73"/>
    <w:rsid w:val="2869F992"/>
    <w:rsid w:val="288A0FD0"/>
    <w:rsid w:val="288CFC9B"/>
    <w:rsid w:val="28A82ED1"/>
    <w:rsid w:val="28AB4C7C"/>
    <w:rsid w:val="28B36E58"/>
    <w:rsid w:val="28C32B3D"/>
    <w:rsid w:val="28CC0655"/>
    <w:rsid w:val="28E505DC"/>
    <w:rsid w:val="2900C887"/>
    <w:rsid w:val="291A764E"/>
    <w:rsid w:val="292592AD"/>
    <w:rsid w:val="294DC94E"/>
    <w:rsid w:val="294F2C87"/>
    <w:rsid w:val="296D9DB4"/>
    <w:rsid w:val="297E86F4"/>
    <w:rsid w:val="298567BF"/>
    <w:rsid w:val="2986FC1F"/>
    <w:rsid w:val="2991B568"/>
    <w:rsid w:val="299F6BC0"/>
    <w:rsid w:val="29BB702F"/>
    <w:rsid w:val="29C8AADA"/>
    <w:rsid w:val="29CF2BB2"/>
    <w:rsid w:val="29F05880"/>
    <w:rsid w:val="29F1FB68"/>
    <w:rsid w:val="29F90D6F"/>
    <w:rsid w:val="2A04FC08"/>
    <w:rsid w:val="2A221AD9"/>
    <w:rsid w:val="2A2FC195"/>
    <w:rsid w:val="2A4B014C"/>
    <w:rsid w:val="2A675001"/>
    <w:rsid w:val="2A828FA0"/>
    <w:rsid w:val="2AA0578E"/>
    <w:rsid w:val="2AC7E5B6"/>
    <w:rsid w:val="2AD75D25"/>
    <w:rsid w:val="2B17115C"/>
    <w:rsid w:val="2B309A46"/>
    <w:rsid w:val="2B645A78"/>
    <w:rsid w:val="2B6C3C6B"/>
    <w:rsid w:val="2B6EE1F0"/>
    <w:rsid w:val="2B70FB4D"/>
    <w:rsid w:val="2B7427CD"/>
    <w:rsid w:val="2B77CC01"/>
    <w:rsid w:val="2B7D430D"/>
    <w:rsid w:val="2B87E84C"/>
    <w:rsid w:val="2B8938E1"/>
    <w:rsid w:val="2BEB6DCD"/>
    <w:rsid w:val="2BF8C07D"/>
    <w:rsid w:val="2C03A717"/>
    <w:rsid w:val="2C0977E9"/>
    <w:rsid w:val="2C13EA3C"/>
    <w:rsid w:val="2C4D8C9F"/>
    <w:rsid w:val="2C850C76"/>
    <w:rsid w:val="2C8A4590"/>
    <w:rsid w:val="2CB2C72F"/>
    <w:rsid w:val="2CB6DDCC"/>
    <w:rsid w:val="2CBAC46D"/>
    <w:rsid w:val="2CBD0881"/>
    <w:rsid w:val="2CC5E2FC"/>
    <w:rsid w:val="2D130284"/>
    <w:rsid w:val="2D18CCBF"/>
    <w:rsid w:val="2D250942"/>
    <w:rsid w:val="2D2C2DFE"/>
    <w:rsid w:val="2D2D1E60"/>
    <w:rsid w:val="2D41FA9A"/>
    <w:rsid w:val="2D47D0C1"/>
    <w:rsid w:val="2D7B9F2C"/>
    <w:rsid w:val="2D871EA3"/>
    <w:rsid w:val="2D99ADE9"/>
    <w:rsid w:val="2D9CE725"/>
    <w:rsid w:val="2DA031C3"/>
    <w:rsid w:val="2DC330A9"/>
    <w:rsid w:val="2DC44E86"/>
    <w:rsid w:val="2DC5F330"/>
    <w:rsid w:val="2DCEDBBF"/>
    <w:rsid w:val="2DE2DB76"/>
    <w:rsid w:val="2DF88669"/>
    <w:rsid w:val="2E038BCA"/>
    <w:rsid w:val="2E1BFD5C"/>
    <w:rsid w:val="2E29BDB9"/>
    <w:rsid w:val="2E2A7CF5"/>
    <w:rsid w:val="2E4165B7"/>
    <w:rsid w:val="2E5741F7"/>
    <w:rsid w:val="2E683B08"/>
    <w:rsid w:val="2E7B1C0A"/>
    <w:rsid w:val="2E7FD9C7"/>
    <w:rsid w:val="2E8B4C48"/>
    <w:rsid w:val="2EAD10F4"/>
    <w:rsid w:val="2EBA4D9B"/>
    <w:rsid w:val="2EC4AAE0"/>
    <w:rsid w:val="2EF254DC"/>
    <w:rsid w:val="2EFE9B04"/>
    <w:rsid w:val="2F04BFB0"/>
    <w:rsid w:val="2F076429"/>
    <w:rsid w:val="2F0E51E3"/>
    <w:rsid w:val="2F270E2C"/>
    <w:rsid w:val="2F322462"/>
    <w:rsid w:val="2F35390A"/>
    <w:rsid w:val="2F6C2AE0"/>
    <w:rsid w:val="2F73DC13"/>
    <w:rsid w:val="2F7E5085"/>
    <w:rsid w:val="2FACCF90"/>
    <w:rsid w:val="2FCE9402"/>
    <w:rsid w:val="3012BF50"/>
    <w:rsid w:val="30138E64"/>
    <w:rsid w:val="305CAA04"/>
    <w:rsid w:val="306B82F7"/>
    <w:rsid w:val="306D2979"/>
    <w:rsid w:val="309F2393"/>
    <w:rsid w:val="30B66161"/>
    <w:rsid w:val="30B88A4F"/>
    <w:rsid w:val="30D0B733"/>
    <w:rsid w:val="30E77440"/>
    <w:rsid w:val="31042B14"/>
    <w:rsid w:val="31100851"/>
    <w:rsid w:val="314FB357"/>
    <w:rsid w:val="315B05AC"/>
    <w:rsid w:val="316944DB"/>
    <w:rsid w:val="3186B36D"/>
    <w:rsid w:val="31885DCA"/>
    <w:rsid w:val="318E6129"/>
    <w:rsid w:val="31B8710C"/>
    <w:rsid w:val="31CE071C"/>
    <w:rsid w:val="31E4038A"/>
    <w:rsid w:val="31E7F41C"/>
    <w:rsid w:val="31FAA531"/>
    <w:rsid w:val="3203AFB2"/>
    <w:rsid w:val="3205D623"/>
    <w:rsid w:val="3206F272"/>
    <w:rsid w:val="3207E138"/>
    <w:rsid w:val="3208F9DA"/>
    <w:rsid w:val="321F5293"/>
    <w:rsid w:val="3231837B"/>
    <w:rsid w:val="323F04EB"/>
    <w:rsid w:val="32424389"/>
    <w:rsid w:val="3261742C"/>
    <w:rsid w:val="3262BDC4"/>
    <w:rsid w:val="32A56700"/>
    <w:rsid w:val="32AD9F1A"/>
    <w:rsid w:val="32E84106"/>
    <w:rsid w:val="32FB1BCE"/>
    <w:rsid w:val="32FC162B"/>
    <w:rsid w:val="330DC551"/>
    <w:rsid w:val="33183034"/>
    <w:rsid w:val="3320BDBF"/>
    <w:rsid w:val="332EF6E7"/>
    <w:rsid w:val="3337F15C"/>
    <w:rsid w:val="333F14DC"/>
    <w:rsid w:val="335785C7"/>
    <w:rsid w:val="337579CF"/>
    <w:rsid w:val="33801730"/>
    <w:rsid w:val="33A8733C"/>
    <w:rsid w:val="33BABD86"/>
    <w:rsid w:val="33DAD54C"/>
    <w:rsid w:val="33DDD959"/>
    <w:rsid w:val="33E42C82"/>
    <w:rsid w:val="33E6E49B"/>
    <w:rsid w:val="33ED4968"/>
    <w:rsid w:val="33EE14F9"/>
    <w:rsid w:val="33FB7DD4"/>
    <w:rsid w:val="34023A89"/>
    <w:rsid w:val="3417D087"/>
    <w:rsid w:val="341A5B5C"/>
    <w:rsid w:val="344A9711"/>
    <w:rsid w:val="348B2ACE"/>
    <w:rsid w:val="348DC49D"/>
    <w:rsid w:val="348F3275"/>
    <w:rsid w:val="348F6D25"/>
    <w:rsid w:val="34B98305"/>
    <w:rsid w:val="34D88CB8"/>
    <w:rsid w:val="34ED5701"/>
    <w:rsid w:val="350324D6"/>
    <w:rsid w:val="350716FA"/>
    <w:rsid w:val="35372C13"/>
    <w:rsid w:val="354FAA64"/>
    <w:rsid w:val="35506583"/>
    <w:rsid w:val="3565349E"/>
    <w:rsid w:val="3567628E"/>
    <w:rsid w:val="35824A20"/>
    <w:rsid w:val="35876F35"/>
    <w:rsid w:val="35958F43"/>
    <w:rsid w:val="35ABD144"/>
    <w:rsid w:val="35AD3EBC"/>
    <w:rsid w:val="35ADFEC6"/>
    <w:rsid w:val="35C21252"/>
    <w:rsid w:val="35C527B2"/>
    <w:rsid w:val="35CB37E5"/>
    <w:rsid w:val="35D2CA5D"/>
    <w:rsid w:val="35DEC586"/>
    <w:rsid w:val="35E42B29"/>
    <w:rsid w:val="35F69B76"/>
    <w:rsid w:val="35FE235A"/>
    <w:rsid w:val="36058ABE"/>
    <w:rsid w:val="362994FE"/>
    <w:rsid w:val="363CA092"/>
    <w:rsid w:val="3640BD64"/>
    <w:rsid w:val="3653CFB6"/>
    <w:rsid w:val="369564EE"/>
    <w:rsid w:val="36B19EA6"/>
    <w:rsid w:val="36BF80A6"/>
    <w:rsid w:val="36CB3CC8"/>
    <w:rsid w:val="36CB5493"/>
    <w:rsid w:val="36D9B856"/>
    <w:rsid w:val="36F0400A"/>
    <w:rsid w:val="3707BB26"/>
    <w:rsid w:val="372CE9A3"/>
    <w:rsid w:val="373D7167"/>
    <w:rsid w:val="37521A7D"/>
    <w:rsid w:val="37585E9F"/>
    <w:rsid w:val="37613520"/>
    <w:rsid w:val="376E21B7"/>
    <w:rsid w:val="377941B7"/>
    <w:rsid w:val="37881E83"/>
    <w:rsid w:val="3795622C"/>
    <w:rsid w:val="37CC3505"/>
    <w:rsid w:val="37D96EAA"/>
    <w:rsid w:val="37DAFE1E"/>
    <w:rsid w:val="38006F82"/>
    <w:rsid w:val="3804F7C0"/>
    <w:rsid w:val="380965CB"/>
    <w:rsid w:val="380EC976"/>
    <w:rsid w:val="38231EC6"/>
    <w:rsid w:val="38255F05"/>
    <w:rsid w:val="38293E6E"/>
    <w:rsid w:val="38314199"/>
    <w:rsid w:val="3851DFCC"/>
    <w:rsid w:val="3872431E"/>
    <w:rsid w:val="3875E3F9"/>
    <w:rsid w:val="3889595F"/>
    <w:rsid w:val="38AA5098"/>
    <w:rsid w:val="38E3D4A8"/>
    <w:rsid w:val="390C5E02"/>
    <w:rsid w:val="391F7B95"/>
    <w:rsid w:val="3930EE49"/>
    <w:rsid w:val="3932CFBF"/>
    <w:rsid w:val="393BE114"/>
    <w:rsid w:val="39431241"/>
    <w:rsid w:val="39439807"/>
    <w:rsid w:val="394C5CC3"/>
    <w:rsid w:val="39511DDD"/>
    <w:rsid w:val="39554AFD"/>
    <w:rsid w:val="39753F0B"/>
    <w:rsid w:val="398DA61F"/>
    <w:rsid w:val="399DDDEC"/>
    <w:rsid w:val="39A5362C"/>
    <w:rsid w:val="39C6A266"/>
    <w:rsid w:val="39D58D51"/>
    <w:rsid w:val="39D65BB4"/>
    <w:rsid w:val="39F9CD81"/>
    <w:rsid w:val="39FBCD41"/>
    <w:rsid w:val="3A17C9C7"/>
    <w:rsid w:val="3A28638F"/>
    <w:rsid w:val="3A2A083B"/>
    <w:rsid w:val="3A3639F2"/>
    <w:rsid w:val="3A3E9D32"/>
    <w:rsid w:val="3A4C1A02"/>
    <w:rsid w:val="3A685A58"/>
    <w:rsid w:val="3A737715"/>
    <w:rsid w:val="3A839421"/>
    <w:rsid w:val="3A923F42"/>
    <w:rsid w:val="3A932A4E"/>
    <w:rsid w:val="3AC537E8"/>
    <w:rsid w:val="3AD676B2"/>
    <w:rsid w:val="3AD73631"/>
    <w:rsid w:val="3ADCBDF1"/>
    <w:rsid w:val="3AECD1BE"/>
    <w:rsid w:val="3AF1B1B5"/>
    <w:rsid w:val="3AFAB525"/>
    <w:rsid w:val="3AFE244C"/>
    <w:rsid w:val="3B12148B"/>
    <w:rsid w:val="3B508B2F"/>
    <w:rsid w:val="3B575254"/>
    <w:rsid w:val="3B5E5CCF"/>
    <w:rsid w:val="3B5E65E8"/>
    <w:rsid w:val="3B635FB3"/>
    <w:rsid w:val="3B73AE99"/>
    <w:rsid w:val="3B76D57F"/>
    <w:rsid w:val="3BA748F3"/>
    <w:rsid w:val="3BC600F6"/>
    <w:rsid w:val="3BEF1E73"/>
    <w:rsid w:val="3BFD7AB9"/>
    <w:rsid w:val="3C16ADAE"/>
    <w:rsid w:val="3C1ED190"/>
    <w:rsid w:val="3C3C93C9"/>
    <w:rsid w:val="3C40677C"/>
    <w:rsid w:val="3C46F321"/>
    <w:rsid w:val="3C475190"/>
    <w:rsid w:val="3C5E6617"/>
    <w:rsid w:val="3C69F409"/>
    <w:rsid w:val="3C7E1264"/>
    <w:rsid w:val="3C87DF92"/>
    <w:rsid w:val="3CBF2A37"/>
    <w:rsid w:val="3CDA9AD3"/>
    <w:rsid w:val="3CE9E338"/>
    <w:rsid w:val="3CF16907"/>
    <w:rsid w:val="3D24F4AF"/>
    <w:rsid w:val="3D481182"/>
    <w:rsid w:val="3D49F0F4"/>
    <w:rsid w:val="3D531428"/>
    <w:rsid w:val="3D617BA8"/>
    <w:rsid w:val="3D663250"/>
    <w:rsid w:val="3D853CA9"/>
    <w:rsid w:val="3D984542"/>
    <w:rsid w:val="3D99C903"/>
    <w:rsid w:val="3D99E292"/>
    <w:rsid w:val="3DC7B4F5"/>
    <w:rsid w:val="3DE6608A"/>
    <w:rsid w:val="3DE76402"/>
    <w:rsid w:val="3E003516"/>
    <w:rsid w:val="3E1B44F7"/>
    <w:rsid w:val="3E25C2CA"/>
    <w:rsid w:val="3E25D303"/>
    <w:rsid w:val="3E2C5811"/>
    <w:rsid w:val="3E338205"/>
    <w:rsid w:val="3E487D21"/>
    <w:rsid w:val="3E697724"/>
    <w:rsid w:val="3E73E206"/>
    <w:rsid w:val="3E750DEB"/>
    <w:rsid w:val="3E83BFC1"/>
    <w:rsid w:val="3E8788FF"/>
    <w:rsid w:val="3E8EB319"/>
    <w:rsid w:val="3EA0831D"/>
    <w:rsid w:val="3EAAB7E3"/>
    <w:rsid w:val="3ED7E80F"/>
    <w:rsid w:val="3EF42B21"/>
    <w:rsid w:val="3EF51C77"/>
    <w:rsid w:val="3EFA47B9"/>
    <w:rsid w:val="3F0CD96E"/>
    <w:rsid w:val="3F0E1E72"/>
    <w:rsid w:val="3F1036DA"/>
    <w:rsid w:val="3F13F580"/>
    <w:rsid w:val="3F1ACADE"/>
    <w:rsid w:val="3F2B018B"/>
    <w:rsid w:val="3F3D8777"/>
    <w:rsid w:val="3F57A216"/>
    <w:rsid w:val="3F7051FB"/>
    <w:rsid w:val="3F74348B"/>
    <w:rsid w:val="3F965746"/>
    <w:rsid w:val="3FAEF5FC"/>
    <w:rsid w:val="3FE2D56A"/>
    <w:rsid w:val="4002ACAC"/>
    <w:rsid w:val="4006209D"/>
    <w:rsid w:val="400BDB6B"/>
    <w:rsid w:val="40158660"/>
    <w:rsid w:val="4018A595"/>
    <w:rsid w:val="40687112"/>
    <w:rsid w:val="40966BAE"/>
    <w:rsid w:val="40A656D2"/>
    <w:rsid w:val="40C96E90"/>
    <w:rsid w:val="40E2EE8F"/>
    <w:rsid w:val="40F0AA96"/>
    <w:rsid w:val="40FE7F14"/>
    <w:rsid w:val="4108E03D"/>
    <w:rsid w:val="41122425"/>
    <w:rsid w:val="41505864"/>
    <w:rsid w:val="41516B29"/>
    <w:rsid w:val="4175FA55"/>
    <w:rsid w:val="418DCB89"/>
    <w:rsid w:val="419848C5"/>
    <w:rsid w:val="41CDA76C"/>
    <w:rsid w:val="41D472F3"/>
    <w:rsid w:val="41D70BFF"/>
    <w:rsid w:val="41E04DD3"/>
    <w:rsid w:val="421D7AE3"/>
    <w:rsid w:val="421E77FD"/>
    <w:rsid w:val="422CBD39"/>
    <w:rsid w:val="42390759"/>
    <w:rsid w:val="423C0058"/>
    <w:rsid w:val="42493EDD"/>
    <w:rsid w:val="424C8DD8"/>
    <w:rsid w:val="426B8D4D"/>
    <w:rsid w:val="42703BFE"/>
    <w:rsid w:val="42798075"/>
    <w:rsid w:val="428F1934"/>
    <w:rsid w:val="42BE48A4"/>
    <w:rsid w:val="42C8904C"/>
    <w:rsid w:val="42CCC4D0"/>
    <w:rsid w:val="42F05D81"/>
    <w:rsid w:val="42FFFE43"/>
    <w:rsid w:val="431FD18B"/>
    <w:rsid w:val="431FEA59"/>
    <w:rsid w:val="43204D90"/>
    <w:rsid w:val="43467B77"/>
    <w:rsid w:val="437AE4CF"/>
    <w:rsid w:val="43826384"/>
    <w:rsid w:val="438CF419"/>
    <w:rsid w:val="4397C0A2"/>
    <w:rsid w:val="439D52F8"/>
    <w:rsid w:val="43A79AB3"/>
    <w:rsid w:val="43FC6AB8"/>
    <w:rsid w:val="441B33CE"/>
    <w:rsid w:val="44261045"/>
    <w:rsid w:val="443E94B4"/>
    <w:rsid w:val="444FF183"/>
    <w:rsid w:val="4450CFDE"/>
    <w:rsid w:val="44694DBB"/>
    <w:rsid w:val="44719865"/>
    <w:rsid w:val="4478F21F"/>
    <w:rsid w:val="447A80CF"/>
    <w:rsid w:val="447C520F"/>
    <w:rsid w:val="4491ED9C"/>
    <w:rsid w:val="44B1835A"/>
    <w:rsid w:val="44B1A1BE"/>
    <w:rsid w:val="44D5EEDE"/>
    <w:rsid w:val="44EF128B"/>
    <w:rsid w:val="44F88B85"/>
    <w:rsid w:val="45202700"/>
    <w:rsid w:val="452294FB"/>
    <w:rsid w:val="45509724"/>
    <w:rsid w:val="45642C68"/>
    <w:rsid w:val="457B4EC3"/>
    <w:rsid w:val="457E496E"/>
    <w:rsid w:val="458053BA"/>
    <w:rsid w:val="4589C88C"/>
    <w:rsid w:val="45A4AAAF"/>
    <w:rsid w:val="45AE7499"/>
    <w:rsid w:val="45B68D7A"/>
    <w:rsid w:val="45C44E8A"/>
    <w:rsid w:val="45C46F4D"/>
    <w:rsid w:val="45C584EE"/>
    <w:rsid w:val="45D9EFE7"/>
    <w:rsid w:val="45E78D86"/>
    <w:rsid w:val="45FA3D20"/>
    <w:rsid w:val="4601AB87"/>
    <w:rsid w:val="461E4A6A"/>
    <w:rsid w:val="462FB7D1"/>
    <w:rsid w:val="463009CF"/>
    <w:rsid w:val="4633ED82"/>
    <w:rsid w:val="46364692"/>
    <w:rsid w:val="463EC6FE"/>
    <w:rsid w:val="4666CC52"/>
    <w:rsid w:val="46726CBC"/>
    <w:rsid w:val="46891AC2"/>
    <w:rsid w:val="46926CA5"/>
    <w:rsid w:val="46B5E3C6"/>
    <w:rsid w:val="46B9F7AD"/>
    <w:rsid w:val="46C6F4EF"/>
    <w:rsid w:val="46DCAAC4"/>
    <w:rsid w:val="46E22FD2"/>
    <w:rsid w:val="46E8AC43"/>
    <w:rsid w:val="46F67BAC"/>
    <w:rsid w:val="47047E42"/>
    <w:rsid w:val="4704A406"/>
    <w:rsid w:val="47248147"/>
    <w:rsid w:val="47387BED"/>
    <w:rsid w:val="4742259E"/>
    <w:rsid w:val="477E920F"/>
    <w:rsid w:val="479F6A8E"/>
    <w:rsid w:val="47C66643"/>
    <w:rsid w:val="47CE7598"/>
    <w:rsid w:val="47D09987"/>
    <w:rsid w:val="48060EF6"/>
    <w:rsid w:val="4814A1D3"/>
    <w:rsid w:val="482DA1F7"/>
    <w:rsid w:val="483D0553"/>
    <w:rsid w:val="484ED7A2"/>
    <w:rsid w:val="484F4E57"/>
    <w:rsid w:val="4861540D"/>
    <w:rsid w:val="4876D7F0"/>
    <w:rsid w:val="48937F7F"/>
    <w:rsid w:val="48BD07AF"/>
    <w:rsid w:val="48BDD0DD"/>
    <w:rsid w:val="49003B6F"/>
    <w:rsid w:val="490E8AE9"/>
    <w:rsid w:val="491286F8"/>
    <w:rsid w:val="491870F0"/>
    <w:rsid w:val="49204953"/>
    <w:rsid w:val="4930D959"/>
    <w:rsid w:val="4947B28A"/>
    <w:rsid w:val="4958DF00"/>
    <w:rsid w:val="495999B5"/>
    <w:rsid w:val="496A3B42"/>
    <w:rsid w:val="497534FA"/>
    <w:rsid w:val="498B5F4A"/>
    <w:rsid w:val="49A11427"/>
    <w:rsid w:val="49AD7244"/>
    <w:rsid w:val="49C0E34B"/>
    <w:rsid w:val="49C81747"/>
    <w:rsid w:val="49CCFE2D"/>
    <w:rsid w:val="49D13785"/>
    <w:rsid w:val="49F8F0CE"/>
    <w:rsid w:val="49FFA1ED"/>
    <w:rsid w:val="4A28E326"/>
    <w:rsid w:val="4A2B8CFB"/>
    <w:rsid w:val="4A584CD1"/>
    <w:rsid w:val="4A5C7BB1"/>
    <w:rsid w:val="4A5EB910"/>
    <w:rsid w:val="4A807E7B"/>
    <w:rsid w:val="4A8B801F"/>
    <w:rsid w:val="4AB0716F"/>
    <w:rsid w:val="4AB3DC67"/>
    <w:rsid w:val="4ABB61C7"/>
    <w:rsid w:val="4AC44D38"/>
    <w:rsid w:val="4ADA4D1D"/>
    <w:rsid w:val="4AEC07CA"/>
    <w:rsid w:val="4AFC36F2"/>
    <w:rsid w:val="4B1348BE"/>
    <w:rsid w:val="4B744618"/>
    <w:rsid w:val="4B90A0BD"/>
    <w:rsid w:val="4BAE1911"/>
    <w:rsid w:val="4BBB4CDB"/>
    <w:rsid w:val="4BE085B9"/>
    <w:rsid w:val="4BF060E3"/>
    <w:rsid w:val="4C0B34E8"/>
    <w:rsid w:val="4C0FCECA"/>
    <w:rsid w:val="4C10CA66"/>
    <w:rsid w:val="4C3223B5"/>
    <w:rsid w:val="4C4A5A8B"/>
    <w:rsid w:val="4C53DC6F"/>
    <w:rsid w:val="4C6777F5"/>
    <w:rsid w:val="4C6C8C55"/>
    <w:rsid w:val="4C973FC7"/>
    <w:rsid w:val="4CA40AAA"/>
    <w:rsid w:val="4CA57F6A"/>
    <w:rsid w:val="4CF22640"/>
    <w:rsid w:val="4CFEB7F7"/>
    <w:rsid w:val="4D1D9F13"/>
    <w:rsid w:val="4D5461C3"/>
    <w:rsid w:val="4D632DBD"/>
    <w:rsid w:val="4D709D58"/>
    <w:rsid w:val="4D775D66"/>
    <w:rsid w:val="4D986475"/>
    <w:rsid w:val="4D9E7FE7"/>
    <w:rsid w:val="4DBA2474"/>
    <w:rsid w:val="4DBEC34C"/>
    <w:rsid w:val="4DC27DA6"/>
    <w:rsid w:val="4DCD954E"/>
    <w:rsid w:val="4DE1B828"/>
    <w:rsid w:val="4DE7E5C1"/>
    <w:rsid w:val="4E057552"/>
    <w:rsid w:val="4E0C2E44"/>
    <w:rsid w:val="4E17E4E2"/>
    <w:rsid w:val="4E1EF05A"/>
    <w:rsid w:val="4E3464E5"/>
    <w:rsid w:val="4E40DE49"/>
    <w:rsid w:val="4E477BA2"/>
    <w:rsid w:val="4E7275F2"/>
    <w:rsid w:val="4E78AC5F"/>
    <w:rsid w:val="4E97A769"/>
    <w:rsid w:val="4E9EC60A"/>
    <w:rsid w:val="4EAB17E7"/>
    <w:rsid w:val="4EB11931"/>
    <w:rsid w:val="4EB67B29"/>
    <w:rsid w:val="4ECEFD20"/>
    <w:rsid w:val="4ED72CC1"/>
    <w:rsid w:val="4EE14689"/>
    <w:rsid w:val="4EE900A2"/>
    <w:rsid w:val="4EECD429"/>
    <w:rsid w:val="4F034961"/>
    <w:rsid w:val="4F11940C"/>
    <w:rsid w:val="4F161BEC"/>
    <w:rsid w:val="4F20776A"/>
    <w:rsid w:val="4F470E57"/>
    <w:rsid w:val="4F525057"/>
    <w:rsid w:val="4F6D4D68"/>
    <w:rsid w:val="4F7AEE4D"/>
    <w:rsid w:val="4F7D4E74"/>
    <w:rsid w:val="4FA145B3"/>
    <w:rsid w:val="4FDAFD69"/>
    <w:rsid w:val="4FDFB4B4"/>
    <w:rsid w:val="4FF1DFB7"/>
    <w:rsid w:val="4FF410C6"/>
    <w:rsid w:val="4FF8B894"/>
    <w:rsid w:val="502396C1"/>
    <w:rsid w:val="5055D7EC"/>
    <w:rsid w:val="50721206"/>
    <w:rsid w:val="508CC5CB"/>
    <w:rsid w:val="508ED394"/>
    <w:rsid w:val="5097A019"/>
    <w:rsid w:val="50AAD285"/>
    <w:rsid w:val="50AB6119"/>
    <w:rsid w:val="50B4FFAD"/>
    <w:rsid w:val="50BA1CBC"/>
    <w:rsid w:val="50DF6084"/>
    <w:rsid w:val="50EA0B7C"/>
    <w:rsid w:val="50F31B34"/>
    <w:rsid w:val="511D9B23"/>
    <w:rsid w:val="512C2512"/>
    <w:rsid w:val="513D1614"/>
    <w:rsid w:val="514244E1"/>
    <w:rsid w:val="5158B164"/>
    <w:rsid w:val="515B5B7C"/>
    <w:rsid w:val="5162A13B"/>
    <w:rsid w:val="51674ECE"/>
    <w:rsid w:val="51698ACE"/>
    <w:rsid w:val="5170D18A"/>
    <w:rsid w:val="519199A6"/>
    <w:rsid w:val="5197E05B"/>
    <w:rsid w:val="519A2B4D"/>
    <w:rsid w:val="51BBBF96"/>
    <w:rsid w:val="51BD22BE"/>
    <w:rsid w:val="51BEFD9A"/>
    <w:rsid w:val="51DB0956"/>
    <w:rsid w:val="51E055B8"/>
    <w:rsid w:val="5211F348"/>
    <w:rsid w:val="522F498A"/>
    <w:rsid w:val="52737630"/>
    <w:rsid w:val="52955C0A"/>
    <w:rsid w:val="52A5CD4E"/>
    <w:rsid w:val="52ACBBD3"/>
    <w:rsid w:val="52BBB346"/>
    <w:rsid w:val="52C56DAB"/>
    <w:rsid w:val="52C6C1BE"/>
    <w:rsid w:val="52C7D459"/>
    <w:rsid w:val="52CC0104"/>
    <w:rsid w:val="52E699D4"/>
    <w:rsid w:val="52FE719C"/>
    <w:rsid w:val="530CA6A7"/>
    <w:rsid w:val="5311C270"/>
    <w:rsid w:val="53260606"/>
    <w:rsid w:val="53345B9B"/>
    <w:rsid w:val="53405636"/>
    <w:rsid w:val="534C9859"/>
    <w:rsid w:val="534DD5B6"/>
    <w:rsid w:val="535D2027"/>
    <w:rsid w:val="536599F9"/>
    <w:rsid w:val="536EC7E5"/>
    <w:rsid w:val="53962F26"/>
    <w:rsid w:val="53A5E9C4"/>
    <w:rsid w:val="53AA3996"/>
    <w:rsid w:val="53AE06EE"/>
    <w:rsid w:val="53C03438"/>
    <w:rsid w:val="53C70715"/>
    <w:rsid w:val="53CC160A"/>
    <w:rsid w:val="53CFD4B0"/>
    <w:rsid w:val="53F9C80A"/>
    <w:rsid w:val="5416492C"/>
    <w:rsid w:val="543CA25A"/>
    <w:rsid w:val="54410D09"/>
    <w:rsid w:val="5448AEF5"/>
    <w:rsid w:val="544E1E75"/>
    <w:rsid w:val="54616849"/>
    <w:rsid w:val="547991BF"/>
    <w:rsid w:val="548473DC"/>
    <w:rsid w:val="549E5E73"/>
    <w:rsid w:val="54A58521"/>
    <w:rsid w:val="54AE9293"/>
    <w:rsid w:val="54E07730"/>
    <w:rsid w:val="54E8FB33"/>
    <w:rsid w:val="554DA754"/>
    <w:rsid w:val="554E17E4"/>
    <w:rsid w:val="55745E97"/>
    <w:rsid w:val="557C24CC"/>
    <w:rsid w:val="557C6DD4"/>
    <w:rsid w:val="5598F57C"/>
    <w:rsid w:val="55A08F61"/>
    <w:rsid w:val="55AFD73B"/>
    <w:rsid w:val="55CDC327"/>
    <w:rsid w:val="560CCCAB"/>
    <w:rsid w:val="560FA284"/>
    <w:rsid w:val="56108737"/>
    <w:rsid w:val="5635B598"/>
    <w:rsid w:val="564BFC48"/>
    <w:rsid w:val="5655A303"/>
    <w:rsid w:val="56704870"/>
    <w:rsid w:val="56746C19"/>
    <w:rsid w:val="568B7BF2"/>
    <w:rsid w:val="56907A96"/>
    <w:rsid w:val="56B3E3B7"/>
    <w:rsid w:val="56B628DD"/>
    <w:rsid w:val="56B97DF9"/>
    <w:rsid w:val="56D5E6F1"/>
    <w:rsid w:val="56FA8943"/>
    <w:rsid w:val="57174ECB"/>
    <w:rsid w:val="57298CF4"/>
    <w:rsid w:val="573C5FC2"/>
    <w:rsid w:val="57928ACA"/>
    <w:rsid w:val="579C167A"/>
    <w:rsid w:val="57A4CEB9"/>
    <w:rsid w:val="57A7CD31"/>
    <w:rsid w:val="57CACED6"/>
    <w:rsid w:val="57E6A38F"/>
    <w:rsid w:val="57ED6F9D"/>
    <w:rsid w:val="58468A0A"/>
    <w:rsid w:val="5855296E"/>
    <w:rsid w:val="5858CA75"/>
    <w:rsid w:val="586AF6C2"/>
    <w:rsid w:val="58722B7F"/>
    <w:rsid w:val="587CF4D9"/>
    <w:rsid w:val="589C91D5"/>
    <w:rsid w:val="58A27B8A"/>
    <w:rsid w:val="58BC059B"/>
    <w:rsid w:val="58D26917"/>
    <w:rsid w:val="58E21C22"/>
    <w:rsid w:val="58F97799"/>
    <w:rsid w:val="59173DB9"/>
    <w:rsid w:val="593B681D"/>
    <w:rsid w:val="59574380"/>
    <w:rsid w:val="595BCF62"/>
    <w:rsid w:val="59A12B97"/>
    <w:rsid w:val="59A5E5BD"/>
    <w:rsid w:val="59F9DB61"/>
    <w:rsid w:val="59FFEEDC"/>
    <w:rsid w:val="5A00B329"/>
    <w:rsid w:val="5A0961DE"/>
    <w:rsid w:val="5A0EACA5"/>
    <w:rsid w:val="5A2F7930"/>
    <w:rsid w:val="5A3CB811"/>
    <w:rsid w:val="5A4C12E7"/>
    <w:rsid w:val="5A5B9707"/>
    <w:rsid w:val="5A6F7A0F"/>
    <w:rsid w:val="5A737F93"/>
    <w:rsid w:val="5A8C1F2A"/>
    <w:rsid w:val="5AD1358A"/>
    <w:rsid w:val="5AD1B370"/>
    <w:rsid w:val="5AF1111A"/>
    <w:rsid w:val="5B29580A"/>
    <w:rsid w:val="5B2A1045"/>
    <w:rsid w:val="5B3DCF10"/>
    <w:rsid w:val="5B431069"/>
    <w:rsid w:val="5B4D6CE2"/>
    <w:rsid w:val="5B62E993"/>
    <w:rsid w:val="5B7CBCB1"/>
    <w:rsid w:val="5B7E45F9"/>
    <w:rsid w:val="5B8CCA30"/>
    <w:rsid w:val="5B8F301A"/>
    <w:rsid w:val="5BA20B11"/>
    <w:rsid w:val="5BA3A63C"/>
    <w:rsid w:val="5BA3C302"/>
    <w:rsid w:val="5BB6A56A"/>
    <w:rsid w:val="5BCC40BC"/>
    <w:rsid w:val="5BDCAE03"/>
    <w:rsid w:val="5BE7FB86"/>
    <w:rsid w:val="5C0C448A"/>
    <w:rsid w:val="5C0EC682"/>
    <w:rsid w:val="5C12441A"/>
    <w:rsid w:val="5C1EB5D5"/>
    <w:rsid w:val="5C201E25"/>
    <w:rsid w:val="5C24F675"/>
    <w:rsid w:val="5C397B73"/>
    <w:rsid w:val="5C4DE1BD"/>
    <w:rsid w:val="5C584AB1"/>
    <w:rsid w:val="5C5A4529"/>
    <w:rsid w:val="5C5E7409"/>
    <w:rsid w:val="5C789F9D"/>
    <w:rsid w:val="5C7B54C3"/>
    <w:rsid w:val="5C7EBEA8"/>
    <w:rsid w:val="5C97FCAA"/>
    <w:rsid w:val="5C9E72CA"/>
    <w:rsid w:val="5CD7F05E"/>
    <w:rsid w:val="5CE4CE16"/>
    <w:rsid w:val="5CE9D852"/>
    <w:rsid w:val="5D18B86D"/>
    <w:rsid w:val="5D1AA0D4"/>
    <w:rsid w:val="5D1B3AC9"/>
    <w:rsid w:val="5D28C1D7"/>
    <w:rsid w:val="5D4FB496"/>
    <w:rsid w:val="5D585183"/>
    <w:rsid w:val="5D5B805C"/>
    <w:rsid w:val="5D618275"/>
    <w:rsid w:val="5D75F736"/>
    <w:rsid w:val="5D843327"/>
    <w:rsid w:val="5D87B2F5"/>
    <w:rsid w:val="5D884FF9"/>
    <w:rsid w:val="5D90E60A"/>
    <w:rsid w:val="5DAD0F9E"/>
    <w:rsid w:val="5DAEB108"/>
    <w:rsid w:val="5DE12383"/>
    <w:rsid w:val="5DE985F0"/>
    <w:rsid w:val="5DF26C89"/>
    <w:rsid w:val="5E35A4FF"/>
    <w:rsid w:val="5E5AD4B7"/>
    <w:rsid w:val="5E823DC3"/>
    <w:rsid w:val="5E88341B"/>
    <w:rsid w:val="5EB585E8"/>
    <w:rsid w:val="5EBA5C58"/>
    <w:rsid w:val="5ECA00A6"/>
    <w:rsid w:val="5ECB62B0"/>
    <w:rsid w:val="5EDA95E4"/>
    <w:rsid w:val="5EE90344"/>
    <w:rsid w:val="5F1E7DD4"/>
    <w:rsid w:val="5F25BA6C"/>
    <w:rsid w:val="5F73F92C"/>
    <w:rsid w:val="5F834810"/>
    <w:rsid w:val="5FAD0A17"/>
    <w:rsid w:val="5FB14ED1"/>
    <w:rsid w:val="5FB47DBB"/>
    <w:rsid w:val="5FC73317"/>
    <w:rsid w:val="5FC97376"/>
    <w:rsid w:val="60028011"/>
    <w:rsid w:val="6013AA68"/>
    <w:rsid w:val="603A46EC"/>
    <w:rsid w:val="604BA5E0"/>
    <w:rsid w:val="6073B5CC"/>
    <w:rsid w:val="6098629C"/>
    <w:rsid w:val="60BC8E33"/>
    <w:rsid w:val="60C17F72"/>
    <w:rsid w:val="60D98848"/>
    <w:rsid w:val="60E67443"/>
    <w:rsid w:val="60F21FB7"/>
    <w:rsid w:val="61027B23"/>
    <w:rsid w:val="61395AB5"/>
    <w:rsid w:val="6143A60C"/>
    <w:rsid w:val="61466A98"/>
    <w:rsid w:val="616F5437"/>
    <w:rsid w:val="6196CF09"/>
    <w:rsid w:val="61AB3AFC"/>
    <w:rsid w:val="61B42925"/>
    <w:rsid w:val="61EF8E27"/>
    <w:rsid w:val="61F52448"/>
    <w:rsid w:val="620F1CCD"/>
    <w:rsid w:val="620F4249"/>
    <w:rsid w:val="622A8EB1"/>
    <w:rsid w:val="62339482"/>
    <w:rsid w:val="623A4F76"/>
    <w:rsid w:val="624298BF"/>
    <w:rsid w:val="624F2047"/>
    <w:rsid w:val="6259B872"/>
    <w:rsid w:val="625B6F4A"/>
    <w:rsid w:val="62683A2D"/>
    <w:rsid w:val="6269B402"/>
    <w:rsid w:val="62764A3F"/>
    <w:rsid w:val="628D8B71"/>
    <w:rsid w:val="62A63A7F"/>
    <w:rsid w:val="62A91EE2"/>
    <w:rsid w:val="62CE5E18"/>
    <w:rsid w:val="62E38A66"/>
    <w:rsid w:val="62E74053"/>
    <w:rsid w:val="62EE18DF"/>
    <w:rsid w:val="62FB2353"/>
    <w:rsid w:val="630B2619"/>
    <w:rsid w:val="63169DA3"/>
    <w:rsid w:val="63283CF2"/>
    <w:rsid w:val="6349095D"/>
    <w:rsid w:val="635A1033"/>
    <w:rsid w:val="636857DD"/>
    <w:rsid w:val="638F6212"/>
    <w:rsid w:val="63A38AC6"/>
    <w:rsid w:val="63B4BBEB"/>
    <w:rsid w:val="63D91E59"/>
    <w:rsid w:val="6403D89E"/>
    <w:rsid w:val="6424CE27"/>
    <w:rsid w:val="64316467"/>
    <w:rsid w:val="643D63C8"/>
    <w:rsid w:val="645AE822"/>
    <w:rsid w:val="646CFA6F"/>
    <w:rsid w:val="648288CC"/>
    <w:rsid w:val="648880DA"/>
    <w:rsid w:val="64B016EF"/>
    <w:rsid w:val="64C062FC"/>
    <w:rsid w:val="64C08878"/>
    <w:rsid w:val="64C2BD12"/>
    <w:rsid w:val="64C44880"/>
    <w:rsid w:val="64CC47EE"/>
    <w:rsid w:val="64DAE2E7"/>
    <w:rsid w:val="64EED673"/>
    <w:rsid w:val="65153BFA"/>
    <w:rsid w:val="65156410"/>
    <w:rsid w:val="653EE6F3"/>
    <w:rsid w:val="655BEDDE"/>
    <w:rsid w:val="6584D015"/>
    <w:rsid w:val="65CD34C8"/>
    <w:rsid w:val="65D1FA12"/>
    <w:rsid w:val="65DF5B8A"/>
    <w:rsid w:val="65E8A898"/>
    <w:rsid w:val="6601D0F5"/>
    <w:rsid w:val="662472F9"/>
    <w:rsid w:val="663BAE93"/>
    <w:rsid w:val="663ED644"/>
    <w:rsid w:val="66473723"/>
    <w:rsid w:val="6648D05D"/>
    <w:rsid w:val="664A8D08"/>
    <w:rsid w:val="664BC012"/>
    <w:rsid w:val="66521906"/>
    <w:rsid w:val="665D9261"/>
    <w:rsid w:val="665F4097"/>
    <w:rsid w:val="6676551C"/>
    <w:rsid w:val="66769C33"/>
    <w:rsid w:val="6683C03A"/>
    <w:rsid w:val="6684041E"/>
    <w:rsid w:val="6698917E"/>
    <w:rsid w:val="66AB6DE0"/>
    <w:rsid w:val="66B32750"/>
    <w:rsid w:val="66DA7A5A"/>
    <w:rsid w:val="66EA5839"/>
    <w:rsid w:val="66F5212B"/>
    <w:rsid w:val="66F581DA"/>
    <w:rsid w:val="67024789"/>
    <w:rsid w:val="670EF8F6"/>
    <w:rsid w:val="671344D6"/>
    <w:rsid w:val="6722EFCB"/>
    <w:rsid w:val="6725AA46"/>
    <w:rsid w:val="6737B9D9"/>
    <w:rsid w:val="67431496"/>
    <w:rsid w:val="67540273"/>
    <w:rsid w:val="67690529"/>
    <w:rsid w:val="677363A7"/>
    <w:rsid w:val="6777D14D"/>
    <w:rsid w:val="6778905F"/>
    <w:rsid w:val="677DED34"/>
    <w:rsid w:val="679F7087"/>
    <w:rsid w:val="67AFE83F"/>
    <w:rsid w:val="67C11323"/>
    <w:rsid w:val="67CF43D1"/>
    <w:rsid w:val="67DD7051"/>
    <w:rsid w:val="67F34222"/>
    <w:rsid w:val="68019B85"/>
    <w:rsid w:val="6804BAC2"/>
    <w:rsid w:val="6809EBF5"/>
    <w:rsid w:val="680CD340"/>
    <w:rsid w:val="681CB725"/>
    <w:rsid w:val="682E3AB5"/>
    <w:rsid w:val="6869F572"/>
    <w:rsid w:val="6889F267"/>
    <w:rsid w:val="68BFCD29"/>
    <w:rsid w:val="68D82BDC"/>
    <w:rsid w:val="68DE4783"/>
    <w:rsid w:val="6908A381"/>
    <w:rsid w:val="69168554"/>
    <w:rsid w:val="691ADCA7"/>
    <w:rsid w:val="691F800C"/>
    <w:rsid w:val="6932872A"/>
    <w:rsid w:val="693B6545"/>
    <w:rsid w:val="693DD26D"/>
    <w:rsid w:val="6947E152"/>
    <w:rsid w:val="69538943"/>
    <w:rsid w:val="6953C18E"/>
    <w:rsid w:val="6991F9F2"/>
    <w:rsid w:val="69BE6E14"/>
    <w:rsid w:val="69BEF31A"/>
    <w:rsid w:val="69C90A0F"/>
    <w:rsid w:val="69D5A123"/>
    <w:rsid w:val="6A43FF27"/>
    <w:rsid w:val="6A526CDF"/>
    <w:rsid w:val="6A834995"/>
    <w:rsid w:val="6A8C59B2"/>
    <w:rsid w:val="6A9D4121"/>
    <w:rsid w:val="6AA60779"/>
    <w:rsid w:val="6AC8CC9E"/>
    <w:rsid w:val="6AC9EEDD"/>
    <w:rsid w:val="6ACE578B"/>
    <w:rsid w:val="6AE79F5E"/>
    <w:rsid w:val="6AF62F0A"/>
    <w:rsid w:val="6B04D5CE"/>
    <w:rsid w:val="6B187A13"/>
    <w:rsid w:val="6B390D86"/>
    <w:rsid w:val="6B5A4422"/>
    <w:rsid w:val="6B78447C"/>
    <w:rsid w:val="6B89FDAD"/>
    <w:rsid w:val="6BC6A175"/>
    <w:rsid w:val="6BCC1633"/>
    <w:rsid w:val="6BF02A4A"/>
    <w:rsid w:val="6BF69DB6"/>
    <w:rsid w:val="6BF7A039"/>
    <w:rsid w:val="6BF8FE6D"/>
    <w:rsid w:val="6BFAEBA1"/>
    <w:rsid w:val="6BFDDE05"/>
    <w:rsid w:val="6C1C32F8"/>
    <w:rsid w:val="6C40C13B"/>
    <w:rsid w:val="6C546B65"/>
    <w:rsid w:val="6C605D0C"/>
    <w:rsid w:val="6C6BF76A"/>
    <w:rsid w:val="6C88C025"/>
    <w:rsid w:val="6CAB27C8"/>
    <w:rsid w:val="6CB44A74"/>
    <w:rsid w:val="6CCC6E43"/>
    <w:rsid w:val="6CD27B9B"/>
    <w:rsid w:val="6CD4CDC1"/>
    <w:rsid w:val="6CDDD570"/>
    <w:rsid w:val="6CE830EE"/>
    <w:rsid w:val="6CEA6B27"/>
    <w:rsid w:val="6CECDE3A"/>
    <w:rsid w:val="6CFF884B"/>
    <w:rsid w:val="6D0A7147"/>
    <w:rsid w:val="6D0F4F73"/>
    <w:rsid w:val="6D3ADD3E"/>
    <w:rsid w:val="6D439B4F"/>
    <w:rsid w:val="6D643FEB"/>
    <w:rsid w:val="6D7AC48D"/>
    <w:rsid w:val="6DC43453"/>
    <w:rsid w:val="6DDB5710"/>
    <w:rsid w:val="6DEA2A4B"/>
    <w:rsid w:val="6DEA3425"/>
    <w:rsid w:val="6DF3BF0F"/>
    <w:rsid w:val="6DFDBEAE"/>
    <w:rsid w:val="6E1958F1"/>
    <w:rsid w:val="6E1E60C1"/>
    <w:rsid w:val="6E44C81B"/>
    <w:rsid w:val="6E4B589C"/>
    <w:rsid w:val="6E553E60"/>
    <w:rsid w:val="6E59B541"/>
    <w:rsid w:val="6E622319"/>
    <w:rsid w:val="6E64A1BC"/>
    <w:rsid w:val="6E6BACEC"/>
    <w:rsid w:val="6E7088EA"/>
    <w:rsid w:val="6E859582"/>
    <w:rsid w:val="6EC64376"/>
    <w:rsid w:val="6EE46F5E"/>
    <w:rsid w:val="6F113265"/>
    <w:rsid w:val="6F401120"/>
    <w:rsid w:val="6F41DFD8"/>
    <w:rsid w:val="6F424FC6"/>
    <w:rsid w:val="6F857344"/>
    <w:rsid w:val="6F9914B4"/>
    <w:rsid w:val="6FA5138F"/>
    <w:rsid w:val="6FA689EE"/>
    <w:rsid w:val="6FB3BF40"/>
    <w:rsid w:val="6FB67FD5"/>
    <w:rsid w:val="6FBEC28B"/>
    <w:rsid w:val="6FCFE7CB"/>
    <w:rsid w:val="6FD846F1"/>
    <w:rsid w:val="6FF5FFA7"/>
    <w:rsid w:val="700B178E"/>
    <w:rsid w:val="7032EEBA"/>
    <w:rsid w:val="7038468E"/>
    <w:rsid w:val="704FEB21"/>
    <w:rsid w:val="7059E4E9"/>
    <w:rsid w:val="7061855C"/>
    <w:rsid w:val="7061D8EC"/>
    <w:rsid w:val="70638F17"/>
    <w:rsid w:val="706CD6E8"/>
    <w:rsid w:val="707212FA"/>
    <w:rsid w:val="7076EA0E"/>
    <w:rsid w:val="708CE7C1"/>
    <w:rsid w:val="70962776"/>
    <w:rsid w:val="709B2DCB"/>
    <w:rsid w:val="70CC9ADE"/>
    <w:rsid w:val="70DC4261"/>
    <w:rsid w:val="70F99860"/>
    <w:rsid w:val="7112BF25"/>
    <w:rsid w:val="712899B3"/>
    <w:rsid w:val="712B4A2C"/>
    <w:rsid w:val="712B5FD1"/>
    <w:rsid w:val="71374A6B"/>
    <w:rsid w:val="713E15B6"/>
    <w:rsid w:val="716860E7"/>
    <w:rsid w:val="71710F64"/>
    <w:rsid w:val="717F2F0B"/>
    <w:rsid w:val="71816BF0"/>
    <w:rsid w:val="719691D2"/>
    <w:rsid w:val="71A1B709"/>
    <w:rsid w:val="71F68166"/>
    <w:rsid w:val="7207C983"/>
    <w:rsid w:val="723D65FB"/>
    <w:rsid w:val="724BB0E8"/>
    <w:rsid w:val="7251AB9D"/>
    <w:rsid w:val="72673C4F"/>
    <w:rsid w:val="726831F3"/>
    <w:rsid w:val="728EA3B0"/>
    <w:rsid w:val="729C6577"/>
    <w:rsid w:val="72A0DC9F"/>
    <w:rsid w:val="72B57A14"/>
    <w:rsid w:val="72C938B1"/>
    <w:rsid w:val="72D93206"/>
    <w:rsid w:val="72DFC853"/>
    <w:rsid w:val="72E78632"/>
    <w:rsid w:val="72EDF0F1"/>
    <w:rsid w:val="7322493E"/>
    <w:rsid w:val="734C5FD9"/>
    <w:rsid w:val="7368144D"/>
    <w:rsid w:val="7373D741"/>
    <w:rsid w:val="73B646A3"/>
    <w:rsid w:val="73BFB3F0"/>
    <w:rsid w:val="73C08346"/>
    <w:rsid w:val="73D5CCB2"/>
    <w:rsid w:val="73ECE4E2"/>
    <w:rsid w:val="73FACB95"/>
    <w:rsid w:val="74016666"/>
    <w:rsid w:val="7431768B"/>
    <w:rsid w:val="743B2829"/>
    <w:rsid w:val="744208D7"/>
    <w:rsid w:val="744CDF14"/>
    <w:rsid w:val="7485068D"/>
    <w:rsid w:val="748DBD61"/>
    <w:rsid w:val="749AAC26"/>
    <w:rsid w:val="74A1C2D2"/>
    <w:rsid w:val="74A63BB2"/>
    <w:rsid w:val="74B4ACEC"/>
    <w:rsid w:val="74BFA3A2"/>
    <w:rsid w:val="74D458B7"/>
    <w:rsid w:val="74E453CE"/>
    <w:rsid w:val="75169474"/>
    <w:rsid w:val="753835A8"/>
    <w:rsid w:val="7539F7FB"/>
    <w:rsid w:val="7548F326"/>
    <w:rsid w:val="75492FC7"/>
    <w:rsid w:val="756C41A0"/>
    <w:rsid w:val="758453AB"/>
    <w:rsid w:val="75BA7C15"/>
    <w:rsid w:val="75D1063C"/>
    <w:rsid w:val="75DE375F"/>
    <w:rsid w:val="75E2E82E"/>
    <w:rsid w:val="75F1BDCE"/>
    <w:rsid w:val="7611134B"/>
    <w:rsid w:val="7620F482"/>
    <w:rsid w:val="76613A56"/>
    <w:rsid w:val="767E465A"/>
    <w:rsid w:val="76A90AFE"/>
    <w:rsid w:val="76AC35F4"/>
    <w:rsid w:val="76B129DA"/>
    <w:rsid w:val="76D71B85"/>
    <w:rsid w:val="76DEF73D"/>
    <w:rsid w:val="76F77E6E"/>
    <w:rsid w:val="773F0390"/>
    <w:rsid w:val="774214CD"/>
    <w:rsid w:val="7748BD01"/>
    <w:rsid w:val="775DB60F"/>
    <w:rsid w:val="77816353"/>
    <w:rsid w:val="7783E917"/>
    <w:rsid w:val="778F403B"/>
    <w:rsid w:val="77AD30CC"/>
    <w:rsid w:val="77B0A189"/>
    <w:rsid w:val="77B7A145"/>
    <w:rsid w:val="77C03B37"/>
    <w:rsid w:val="77C0A9D9"/>
    <w:rsid w:val="77C4C6AB"/>
    <w:rsid w:val="77ECAAF9"/>
    <w:rsid w:val="77F0A292"/>
    <w:rsid w:val="77F28E76"/>
    <w:rsid w:val="7833FB22"/>
    <w:rsid w:val="78408249"/>
    <w:rsid w:val="7842AEF0"/>
    <w:rsid w:val="784E5904"/>
    <w:rsid w:val="786997B8"/>
    <w:rsid w:val="78B30073"/>
    <w:rsid w:val="78DC64A4"/>
    <w:rsid w:val="78ECAA95"/>
    <w:rsid w:val="78EEFEAD"/>
    <w:rsid w:val="790B6165"/>
    <w:rsid w:val="79313D4B"/>
    <w:rsid w:val="795993DC"/>
    <w:rsid w:val="795F8101"/>
    <w:rsid w:val="79616155"/>
    <w:rsid w:val="796D1F66"/>
    <w:rsid w:val="799165F8"/>
    <w:rsid w:val="7996F4E8"/>
    <w:rsid w:val="79CD95D4"/>
    <w:rsid w:val="79D322F5"/>
    <w:rsid w:val="79EB2008"/>
    <w:rsid w:val="79F2D717"/>
    <w:rsid w:val="79F77ECB"/>
    <w:rsid w:val="7A2CBFCD"/>
    <w:rsid w:val="7A3C6DE7"/>
    <w:rsid w:val="7A5E7199"/>
    <w:rsid w:val="7A700AB7"/>
    <w:rsid w:val="7A805DC3"/>
    <w:rsid w:val="7A81D641"/>
    <w:rsid w:val="7A853608"/>
    <w:rsid w:val="7AB9D4D9"/>
    <w:rsid w:val="7AC85400"/>
    <w:rsid w:val="7B03FB9D"/>
    <w:rsid w:val="7B0DAF0F"/>
    <w:rsid w:val="7B0EE342"/>
    <w:rsid w:val="7B0FE44A"/>
    <w:rsid w:val="7B17AA75"/>
    <w:rsid w:val="7B1E24E0"/>
    <w:rsid w:val="7B42CD16"/>
    <w:rsid w:val="7B4DB35D"/>
    <w:rsid w:val="7B54F44D"/>
    <w:rsid w:val="7B650B27"/>
    <w:rsid w:val="7B7C098B"/>
    <w:rsid w:val="7B90418A"/>
    <w:rsid w:val="7B95A8F7"/>
    <w:rsid w:val="7BAFCD73"/>
    <w:rsid w:val="7BB99E1D"/>
    <w:rsid w:val="7BBCE4BA"/>
    <w:rsid w:val="7BDE2BBB"/>
    <w:rsid w:val="7BE940B2"/>
    <w:rsid w:val="7BEADE9E"/>
    <w:rsid w:val="7BEC5091"/>
    <w:rsid w:val="7C03D6E7"/>
    <w:rsid w:val="7C1401CF"/>
    <w:rsid w:val="7C8863D3"/>
    <w:rsid w:val="7CC31BF3"/>
    <w:rsid w:val="7CC887AC"/>
    <w:rsid w:val="7CE00257"/>
    <w:rsid w:val="7CE4E972"/>
    <w:rsid w:val="7CF46037"/>
    <w:rsid w:val="7D060F6D"/>
    <w:rsid w:val="7D290BA6"/>
    <w:rsid w:val="7D2A561B"/>
    <w:rsid w:val="7DBD322E"/>
    <w:rsid w:val="7DBE29BD"/>
    <w:rsid w:val="7DCA9223"/>
    <w:rsid w:val="7DCACB5B"/>
    <w:rsid w:val="7DCD6C56"/>
    <w:rsid w:val="7DDC2D46"/>
    <w:rsid w:val="7DF6468B"/>
    <w:rsid w:val="7DFD32A0"/>
    <w:rsid w:val="7E3321B5"/>
    <w:rsid w:val="7E34827B"/>
    <w:rsid w:val="7E4FA8DA"/>
    <w:rsid w:val="7E61457B"/>
    <w:rsid w:val="7E882137"/>
    <w:rsid w:val="7E885DF3"/>
    <w:rsid w:val="7E9A2E9B"/>
    <w:rsid w:val="7EC5EF91"/>
    <w:rsid w:val="7EE93A03"/>
    <w:rsid w:val="7F0984DA"/>
    <w:rsid w:val="7F492181"/>
    <w:rsid w:val="7F7E410F"/>
    <w:rsid w:val="7F81FDD9"/>
    <w:rsid w:val="7F8BDDC0"/>
    <w:rsid w:val="7F9D9F3F"/>
    <w:rsid w:val="7FB08A10"/>
    <w:rsid w:val="7FCEC285"/>
    <w:rsid w:val="7FDF91DE"/>
    <w:rsid w:val="7FE40287"/>
    <w:rsid w:val="7FF088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ADA"/>
  <w15:chartTrackingRefBased/>
  <w15:docId w15:val="{B603C7C2-EE21-49BA-A5CD-7DE3CF65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90C"/>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6F3AE7"/>
    <w:pPr>
      <w:spacing w:before="240"/>
      <w:outlineLvl w:val="1"/>
    </w:pPr>
    <w:rPr>
      <w:b/>
      <w:i/>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0C"/>
    <w:rPr>
      <w:rFonts w:ascii="Segoe UI" w:eastAsia="Times New Roman" w:hAnsi="Segoe UI" w:cs="Segoe UI"/>
      <w:sz w:val="18"/>
      <w:szCs w:val="1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
    <w:basedOn w:val="Normal"/>
    <w:link w:val="ListParagraphChar"/>
    <w:uiPriority w:val="34"/>
    <w:qFormat/>
    <w:rsid w:val="0010590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10590C"/>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6F3AE7"/>
    <w:rPr>
      <w:rFonts w:ascii="Arial" w:eastAsia="Times New Roman" w:hAnsi="Arial" w:cs="Times New Roman"/>
      <w:b/>
      <w:i/>
      <w:kern w:val="28"/>
      <w:sz w:val="28"/>
      <w:szCs w:val="28"/>
    </w:rPr>
  </w:style>
  <w:style w:type="table" w:styleId="TableGrid">
    <w:name w:val="Table Grid"/>
    <w:basedOn w:val="TableNormal"/>
    <w:rsid w:val="006F3A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F3AE7"/>
    <w:rPr>
      <w:color w:val="0563C1" w:themeColor="hyperlink"/>
      <w:u w:val="single"/>
    </w:rPr>
  </w:style>
  <w:style w:type="paragraph" w:styleId="Header">
    <w:name w:val="header"/>
    <w:basedOn w:val="Normal"/>
    <w:link w:val="HeaderChar"/>
    <w:uiPriority w:val="99"/>
    <w:unhideWhenUsed/>
    <w:rsid w:val="006E5785"/>
    <w:pPr>
      <w:tabs>
        <w:tab w:val="center" w:pos="4513"/>
        <w:tab w:val="right" w:pos="9026"/>
      </w:tabs>
    </w:pPr>
  </w:style>
  <w:style w:type="character" w:customStyle="1" w:styleId="HeaderChar">
    <w:name w:val="Header Char"/>
    <w:basedOn w:val="DefaultParagraphFont"/>
    <w:link w:val="Header"/>
    <w:uiPriority w:val="99"/>
    <w:rsid w:val="006E5785"/>
    <w:rPr>
      <w:rFonts w:ascii="Arial" w:eastAsia="Times New Roman" w:hAnsi="Arial" w:cs="Times New Roman"/>
      <w:sz w:val="24"/>
      <w:szCs w:val="24"/>
    </w:rPr>
  </w:style>
  <w:style w:type="paragraph" w:styleId="Footer">
    <w:name w:val="footer"/>
    <w:basedOn w:val="Normal"/>
    <w:link w:val="FooterChar"/>
    <w:uiPriority w:val="99"/>
    <w:unhideWhenUsed/>
    <w:rsid w:val="006E5785"/>
    <w:pPr>
      <w:tabs>
        <w:tab w:val="center" w:pos="4513"/>
        <w:tab w:val="right" w:pos="9026"/>
      </w:tabs>
    </w:pPr>
  </w:style>
  <w:style w:type="character" w:customStyle="1" w:styleId="FooterChar">
    <w:name w:val="Footer Char"/>
    <w:basedOn w:val="DefaultParagraphFont"/>
    <w:link w:val="Footer"/>
    <w:uiPriority w:val="99"/>
    <w:rsid w:val="006E5785"/>
    <w:rPr>
      <w:rFonts w:ascii="Arial" w:eastAsia="Times New Roman" w:hAnsi="Arial" w:cs="Times New Roman"/>
      <w:sz w:val="24"/>
      <w:szCs w:val="24"/>
    </w:rPr>
  </w:style>
  <w:style w:type="character" w:styleId="UnresolvedMention">
    <w:name w:val="Unresolved Mention"/>
    <w:basedOn w:val="DefaultParagraphFont"/>
    <w:uiPriority w:val="99"/>
    <w:unhideWhenUsed/>
    <w:rsid w:val="00B308C2"/>
    <w:rPr>
      <w:color w:val="605E5C"/>
      <w:shd w:val="clear" w:color="auto" w:fill="E1DFDD"/>
    </w:rPr>
  </w:style>
  <w:style w:type="character" w:styleId="CommentReference">
    <w:name w:val="annotation reference"/>
    <w:basedOn w:val="DefaultParagraphFont"/>
    <w:uiPriority w:val="99"/>
    <w:unhideWhenUsed/>
    <w:rsid w:val="000F5ADB"/>
    <w:rPr>
      <w:sz w:val="16"/>
      <w:szCs w:val="16"/>
    </w:rPr>
  </w:style>
  <w:style w:type="paragraph" w:styleId="CommentText">
    <w:name w:val="annotation text"/>
    <w:basedOn w:val="Normal"/>
    <w:link w:val="CommentTextChar"/>
    <w:uiPriority w:val="99"/>
    <w:unhideWhenUsed/>
    <w:rsid w:val="000F5ADB"/>
    <w:rPr>
      <w:sz w:val="20"/>
      <w:szCs w:val="20"/>
    </w:rPr>
  </w:style>
  <w:style w:type="character" w:customStyle="1" w:styleId="CommentTextChar">
    <w:name w:val="Comment Text Char"/>
    <w:basedOn w:val="DefaultParagraphFont"/>
    <w:link w:val="CommentText"/>
    <w:uiPriority w:val="99"/>
    <w:rsid w:val="000F5A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5ADB"/>
    <w:rPr>
      <w:b/>
      <w:bCs/>
    </w:rPr>
  </w:style>
  <w:style w:type="character" w:customStyle="1" w:styleId="CommentSubjectChar">
    <w:name w:val="Comment Subject Char"/>
    <w:basedOn w:val="CommentTextChar"/>
    <w:link w:val="CommentSubject"/>
    <w:uiPriority w:val="99"/>
    <w:semiHidden/>
    <w:rsid w:val="000F5AD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1525D"/>
    <w:rPr>
      <w:color w:val="954F72" w:themeColor="followedHyperlink"/>
      <w:u w:val="single"/>
    </w:rPr>
  </w:style>
  <w:style w:type="paragraph" w:customStyle="1" w:styleId="Normal1">
    <w:name w:val="Normal1"/>
    <w:basedOn w:val="Normal"/>
    <w:uiPriority w:val="1"/>
    <w:rsid w:val="283533BE"/>
    <w:rPr>
      <w:rFonts w:eastAsia="Arial" w:cs="Arial"/>
      <w:color w:val="000000" w:themeColor="text1"/>
    </w:rPr>
  </w:style>
  <w:style w:type="character" w:customStyle="1" w:styleId="normaltextrun">
    <w:name w:val="normaltextrun"/>
    <w:basedOn w:val="DefaultParagraphFont"/>
    <w:uiPriority w:val="1"/>
    <w:rsid w:val="58A27B8A"/>
  </w:style>
  <w:style w:type="character" w:styleId="Mention">
    <w:name w:val="Mention"/>
    <w:basedOn w:val="DefaultParagraphFont"/>
    <w:uiPriority w:val="99"/>
    <w:unhideWhenUsed/>
    <w:rsid w:val="00A46F2D"/>
    <w:rPr>
      <w:color w:val="2B579A"/>
      <w:shd w:val="clear" w:color="auto" w:fill="E1DFDD"/>
    </w:rPr>
  </w:style>
  <w:style w:type="paragraph" w:styleId="FootnoteText">
    <w:name w:val="footnote text"/>
    <w:basedOn w:val="Normal"/>
    <w:link w:val="FootnoteTextChar"/>
    <w:uiPriority w:val="99"/>
    <w:semiHidden/>
    <w:unhideWhenUsed/>
    <w:rsid w:val="00B82C7E"/>
    <w:rPr>
      <w:sz w:val="20"/>
      <w:szCs w:val="20"/>
    </w:rPr>
  </w:style>
  <w:style w:type="character" w:customStyle="1" w:styleId="FootnoteTextChar">
    <w:name w:val="Footnote Text Char"/>
    <w:basedOn w:val="DefaultParagraphFont"/>
    <w:link w:val="FootnoteText"/>
    <w:uiPriority w:val="99"/>
    <w:semiHidden/>
    <w:rsid w:val="00B82C7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82C7E"/>
    <w:rPr>
      <w:vertAlign w:val="superscript"/>
    </w:rPr>
  </w:style>
  <w:style w:type="paragraph" w:styleId="Caption">
    <w:name w:val="caption"/>
    <w:basedOn w:val="Normal"/>
    <w:next w:val="Normal"/>
    <w:uiPriority w:val="35"/>
    <w:unhideWhenUsed/>
    <w:qFormat/>
    <w:rsid w:val="0049737C"/>
    <w:pPr>
      <w:spacing w:after="200"/>
    </w:pPr>
    <w:rPr>
      <w:i/>
      <w:iCs/>
      <w:color w:val="44546A" w:themeColor="text2"/>
      <w:sz w:val="18"/>
      <w:szCs w:val="18"/>
    </w:rPr>
  </w:style>
  <w:style w:type="paragraph" w:styleId="Revision">
    <w:name w:val="Revision"/>
    <w:hidden/>
    <w:uiPriority w:val="99"/>
    <w:semiHidden/>
    <w:rsid w:val="00F57BA3"/>
    <w:pPr>
      <w:spacing w:after="0" w:line="240" w:lineRule="auto"/>
    </w:pPr>
    <w:rPr>
      <w:rFonts w:ascii="Arial" w:eastAsia="Times New Roman" w:hAnsi="Arial" w:cs="Times New Roman"/>
      <w:sz w:val="24"/>
      <w:szCs w:val="24"/>
    </w:rPr>
  </w:style>
  <w:style w:type="character" w:styleId="Emphasis">
    <w:name w:val="Emphasis"/>
    <w:basedOn w:val="DefaultParagraphFont"/>
    <w:uiPriority w:val="20"/>
    <w:qFormat/>
    <w:rsid w:val="00880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6899">
      <w:bodyDiv w:val="1"/>
      <w:marLeft w:val="0"/>
      <w:marRight w:val="0"/>
      <w:marTop w:val="0"/>
      <w:marBottom w:val="0"/>
      <w:divBdr>
        <w:top w:val="none" w:sz="0" w:space="0" w:color="auto"/>
        <w:left w:val="none" w:sz="0" w:space="0" w:color="auto"/>
        <w:bottom w:val="none" w:sz="0" w:space="0" w:color="auto"/>
        <w:right w:val="none" w:sz="0" w:space="0" w:color="auto"/>
      </w:divBdr>
      <w:divsChild>
        <w:div w:id="108207708">
          <w:marLeft w:val="0"/>
          <w:marRight w:val="0"/>
          <w:marTop w:val="0"/>
          <w:marBottom w:val="0"/>
          <w:divBdr>
            <w:top w:val="none" w:sz="0" w:space="0" w:color="auto"/>
            <w:left w:val="none" w:sz="0" w:space="0" w:color="auto"/>
            <w:bottom w:val="none" w:sz="0" w:space="0" w:color="auto"/>
            <w:right w:val="none" w:sz="0" w:space="0" w:color="auto"/>
          </w:divBdr>
        </w:div>
        <w:div w:id="1019702792">
          <w:marLeft w:val="0"/>
          <w:marRight w:val="0"/>
          <w:marTop w:val="0"/>
          <w:marBottom w:val="0"/>
          <w:divBdr>
            <w:top w:val="none" w:sz="0" w:space="0" w:color="auto"/>
            <w:left w:val="none" w:sz="0" w:space="0" w:color="auto"/>
            <w:bottom w:val="none" w:sz="0" w:space="0" w:color="auto"/>
            <w:right w:val="none" w:sz="0" w:space="0" w:color="auto"/>
          </w:divBdr>
        </w:div>
        <w:div w:id="1434134552">
          <w:marLeft w:val="0"/>
          <w:marRight w:val="0"/>
          <w:marTop w:val="0"/>
          <w:marBottom w:val="0"/>
          <w:divBdr>
            <w:top w:val="none" w:sz="0" w:space="0" w:color="auto"/>
            <w:left w:val="none" w:sz="0" w:space="0" w:color="auto"/>
            <w:bottom w:val="none" w:sz="0" w:space="0" w:color="auto"/>
            <w:right w:val="none" w:sz="0" w:space="0" w:color="auto"/>
          </w:divBdr>
        </w:div>
        <w:div w:id="785809397">
          <w:marLeft w:val="0"/>
          <w:marRight w:val="0"/>
          <w:marTop w:val="0"/>
          <w:marBottom w:val="0"/>
          <w:divBdr>
            <w:top w:val="none" w:sz="0" w:space="0" w:color="auto"/>
            <w:left w:val="none" w:sz="0" w:space="0" w:color="auto"/>
            <w:bottom w:val="none" w:sz="0" w:space="0" w:color="auto"/>
            <w:right w:val="none" w:sz="0" w:space="0" w:color="auto"/>
          </w:divBdr>
        </w:div>
        <w:div w:id="2090075267">
          <w:marLeft w:val="0"/>
          <w:marRight w:val="0"/>
          <w:marTop w:val="0"/>
          <w:marBottom w:val="0"/>
          <w:divBdr>
            <w:top w:val="none" w:sz="0" w:space="0" w:color="auto"/>
            <w:left w:val="none" w:sz="0" w:space="0" w:color="auto"/>
            <w:bottom w:val="none" w:sz="0" w:space="0" w:color="auto"/>
            <w:right w:val="none" w:sz="0" w:space="0" w:color="auto"/>
          </w:divBdr>
        </w:div>
      </w:divsChild>
    </w:div>
    <w:div w:id="291249188">
      <w:bodyDiv w:val="1"/>
      <w:marLeft w:val="0"/>
      <w:marRight w:val="0"/>
      <w:marTop w:val="0"/>
      <w:marBottom w:val="0"/>
      <w:divBdr>
        <w:top w:val="none" w:sz="0" w:space="0" w:color="auto"/>
        <w:left w:val="none" w:sz="0" w:space="0" w:color="auto"/>
        <w:bottom w:val="none" w:sz="0" w:space="0" w:color="auto"/>
        <w:right w:val="none" w:sz="0" w:space="0" w:color="auto"/>
      </w:divBdr>
    </w:div>
    <w:div w:id="384989335">
      <w:bodyDiv w:val="1"/>
      <w:marLeft w:val="0"/>
      <w:marRight w:val="0"/>
      <w:marTop w:val="0"/>
      <w:marBottom w:val="0"/>
      <w:divBdr>
        <w:top w:val="none" w:sz="0" w:space="0" w:color="auto"/>
        <w:left w:val="none" w:sz="0" w:space="0" w:color="auto"/>
        <w:bottom w:val="none" w:sz="0" w:space="0" w:color="auto"/>
        <w:right w:val="none" w:sz="0" w:space="0" w:color="auto"/>
      </w:divBdr>
    </w:div>
    <w:div w:id="1096173351">
      <w:bodyDiv w:val="1"/>
      <w:marLeft w:val="0"/>
      <w:marRight w:val="0"/>
      <w:marTop w:val="0"/>
      <w:marBottom w:val="0"/>
      <w:divBdr>
        <w:top w:val="none" w:sz="0" w:space="0" w:color="auto"/>
        <w:left w:val="none" w:sz="0" w:space="0" w:color="auto"/>
        <w:bottom w:val="none" w:sz="0" w:space="0" w:color="auto"/>
        <w:right w:val="none" w:sz="0" w:space="0" w:color="auto"/>
      </w:divBdr>
    </w:div>
    <w:div w:id="1144545439">
      <w:bodyDiv w:val="1"/>
      <w:marLeft w:val="0"/>
      <w:marRight w:val="0"/>
      <w:marTop w:val="0"/>
      <w:marBottom w:val="0"/>
      <w:divBdr>
        <w:top w:val="none" w:sz="0" w:space="0" w:color="auto"/>
        <w:left w:val="none" w:sz="0" w:space="0" w:color="auto"/>
        <w:bottom w:val="none" w:sz="0" w:space="0" w:color="auto"/>
        <w:right w:val="none" w:sz="0" w:space="0" w:color="auto"/>
      </w:divBdr>
    </w:div>
    <w:div w:id="1161311887">
      <w:bodyDiv w:val="1"/>
      <w:marLeft w:val="0"/>
      <w:marRight w:val="0"/>
      <w:marTop w:val="0"/>
      <w:marBottom w:val="0"/>
      <w:divBdr>
        <w:top w:val="none" w:sz="0" w:space="0" w:color="auto"/>
        <w:left w:val="none" w:sz="0" w:space="0" w:color="auto"/>
        <w:bottom w:val="none" w:sz="0" w:space="0" w:color="auto"/>
        <w:right w:val="none" w:sz="0" w:space="0" w:color="auto"/>
      </w:divBdr>
    </w:div>
    <w:div w:id="1492133331">
      <w:bodyDiv w:val="1"/>
      <w:marLeft w:val="0"/>
      <w:marRight w:val="0"/>
      <w:marTop w:val="0"/>
      <w:marBottom w:val="0"/>
      <w:divBdr>
        <w:top w:val="none" w:sz="0" w:space="0" w:color="auto"/>
        <w:left w:val="none" w:sz="0" w:space="0" w:color="auto"/>
        <w:bottom w:val="none" w:sz="0" w:space="0" w:color="auto"/>
        <w:right w:val="none" w:sz="0" w:space="0" w:color="auto"/>
      </w:divBdr>
    </w:div>
    <w:div w:id="1760101061">
      <w:bodyDiv w:val="1"/>
      <w:marLeft w:val="0"/>
      <w:marRight w:val="0"/>
      <w:marTop w:val="0"/>
      <w:marBottom w:val="0"/>
      <w:divBdr>
        <w:top w:val="none" w:sz="0" w:space="0" w:color="auto"/>
        <w:left w:val="none" w:sz="0" w:space="0" w:color="auto"/>
        <w:bottom w:val="none" w:sz="0" w:space="0" w:color="auto"/>
        <w:right w:val="none" w:sz="0" w:space="0" w:color="auto"/>
      </w:divBdr>
      <w:divsChild>
        <w:div w:id="1439837375">
          <w:marLeft w:val="0"/>
          <w:marRight w:val="0"/>
          <w:marTop w:val="0"/>
          <w:marBottom w:val="0"/>
          <w:divBdr>
            <w:top w:val="none" w:sz="0" w:space="0" w:color="auto"/>
            <w:left w:val="none" w:sz="0" w:space="0" w:color="auto"/>
            <w:bottom w:val="none" w:sz="0" w:space="0" w:color="auto"/>
            <w:right w:val="none" w:sz="0" w:space="0" w:color="auto"/>
          </w:divBdr>
        </w:div>
        <w:div w:id="1023241126">
          <w:marLeft w:val="0"/>
          <w:marRight w:val="0"/>
          <w:marTop w:val="0"/>
          <w:marBottom w:val="0"/>
          <w:divBdr>
            <w:top w:val="none" w:sz="0" w:space="0" w:color="auto"/>
            <w:left w:val="none" w:sz="0" w:space="0" w:color="auto"/>
            <w:bottom w:val="none" w:sz="0" w:space="0" w:color="auto"/>
            <w:right w:val="none" w:sz="0" w:space="0" w:color="auto"/>
          </w:divBdr>
        </w:div>
        <w:div w:id="1704405648">
          <w:marLeft w:val="0"/>
          <w:marRight w:val="0"/>
          <w:marTop w:val="0"/>
          <w:marBottom w:val="0"/>
          <w:divBdr>
            <w:top w:val="none" w:sz="0" w:space="0" w:color="auto"/>
            <w:left w:val="none" w:sz="0" w:space="0" w:color="auto"/>
            <w:bottom w:val="none" w:sz="0" w:space="0" w:color="auto"/>
            <w:right w:val="none" w:sz="0" w:space="0" w:color="auto"/>
          </w:divBdr>
        </w:div>
        <w:div w:id="1903100902">
          <w:marLeft w:val="0"/>
          <w:marRight w:val="0"/>
          <w:marTop w:val="0"/>
          <w:marBottom w:val="0"/>
          <w:divBdr>
            <w:top w:val="none" w:sz="0" w:space="0" w:color="auto"/>
            <w:left w:val="none" w:sz="0" w:space="0" w:color="auto"/>
            <w:bottom w:val="none" w:sz="0" w:space="0" w:color="auto"/>
            <w:right w:val="none" w:sz="0" w:space="0" w:color="auto"/>
          </w:divBdr>
        </w:div>
        <w:div w:id="428938257">
          <w:marLeft w:val="0"/>
          <w:marRight w:val="0"/>
          <w:marTop w:val="0"/>
          <w:marBottom w:val="0"/>
          <w:divBdr>
            <w:top w:val="none" w:sz="0" w:space="0" w:color="auto"/>
            <w:left w:val="none" w:sz="0" w:space="0" w:color="auto"/>
            <w:bottom w:val="none" w:sz="0" w:space="0" w:color="auto"/>
            <w:right w:val="none" w:sz="0" w:space="0" w:color="auto"/>
          </w:divBdr>
        </w:div>
      </w:divsChild>
    </w:div>
    <w:div w:id="1801798583">
      <w:bodyDiv w:val="1"/>
      <w:marLeft w:val="0"/>
      <w:marRight w:val="0"/>
      <w:marTop w:val="0"/>
      <w:marBottom w:val="0"/>
      <w:divBdr>
        <w:top w:val="none" w:sz="0" w:space="0" w:color="auto"/>
        <w:left w:val="none" w:sz="0" w:space="0" w:color="auto"/>
        <w:bottom w:val="none" w:sz="0" w:space="0" w:color="auto"/>
        <w:right w:val="none" w:sz="0" w:space="0" w:color="auto"/>
      </w:divBdr>
    </w:div>
    <w:div w:id="1963656057">
      <w:bodyDiv w:val="1"/>
      <w:marLeft w:val="0"/>
      <w:marRight w:val="0"/>
      <w:marTop w:val="0"/>
      <w:marBottom w:val="0"/>
      <w:divBdr>
        <w:top w:val="none" w:sz="0" w:space="0" w:color="auto"/>
        <w:left w:val="none" w:sz="0" w:space="0" w:color="auto"/>
        <w:bottom w:val="none" w:sz="0" w:space="0" w:color="auto"/>
        <w:right w:val="none" w:sz="0" w:space="0" w:color="auto"/>
      </w:divBdr>
    </w:div>
    <w:div w:id="2091390561">
      <w:bodyDiv w:val="1"/>
      <w:marLeft w:val="0"/>
      <w:marRight w:val="0"/>
      <w:marTop w:val="0"/>
      <w:marBottom w:val="0"/>
      <w:divBdr>
        <w:top w:val="none" w:sz="0" w:space="0" w:color="auto"/>
        <w:left w:val="none" w:sz="0" w:space="0" w:color="auto"/>
        <w:bottom w:val="none" w:sz="0" w:space="0" w:color="auto"/>
        <w:right w:val="none" w:sz="0" w:space="0" w:color="auto"/>
      </w:divBdr>
    </w:div>
    <w:div w:id="21310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ccd.int/publications/scientific-conceptual-framework-land-degradation-neutrality-report-science-policy" TargetMode="External"/><Relationship Id="rId18" Type="http://schemas.openxmlformats.org/officeDocument/2006/relationships/hyperlink" Target="https://www.2xchallenge.org/criteri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fc.org/wps/wcm/connect/c02c2e86-e6cd-4b55-95a2-b3395d204279/IFC_Performance_Standards.pdf?MOD=AJPERES&amp;CVID=kTjHBz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irova.com/sites/default/files/2020-08/Guidance%20for%20project%20developers.pdf"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mirova.com/sites/default/files/2020-08/LDN%20Initiative%20-Summary%20of%20ESG%20Policy.pdf" TargetMode="Externa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rova.com/sites/default/files/2020-08/MNC-ESG-Policy.pdf" TargetMode="External"/><Relationship Id="rId22" Type="http://schemas.openxmlformats.org/officeDocument/2006/relationships/image" Target="media/image3.png"/><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62745e8-e224-48e8-a2e3-254862b8c2f5">
      <Value>6</Value>
      <Value>11</Value>
      <Value>10</Value>
      <Value>8</Value>
      <Value>7</Value>
    </TaxCatchAll>
    <lcf76f155ced4ddcb4097134ff3c332f xmlns="cd3c523b-aa8f-4804-a23e-31cb3efad401">
      <Terms xmlns="http://schemas.microsoft.com/office/infopath/2007/PartnerControls"/>
    </lcf76f155ced4ddcb4097134ff3c332f>
    <SharedWithUsers xmlns="c2a29bdd-637a-4f4b-b2b1-1338f72c8a40">
      <UserInfo>
        <DisplayName>Robinson, Emily</DisplayName>
        <AccountId>588</AccountId>
        <AccountType/>
      </UserInfo>
      <UserInfo>
        <DisplayName>Norman, William</DisplayName>
        <AccountId>1185</AccountId>
        <AccountType/>
      </UserInfo>
      <UserInfo>
        <DisplayName>Rennie, Alistair</DisplayName>
        <AccountId>43</AccountId>
        <AccountType/>
      </UserInfo>
      <UserInfo>
        <DisplayName>Sales-Dupont, Jake</DisplayName>
        <AccountId>913</AccountId>
        <AccountType/>
      </UserInfo>
      <UserInfo>
        <DisplayName>Boohan, William</DisplayName>
        <AccountId>1420</AccountId>
        <AccountType/>
      </UserInfo>
      <UserInfo>
        <DisplayName>SharingLinks.3759255a-0b77-4c4b-9209-324dd22e1e66.OrganizationEdit.c708cfff-33c0-4c42-8be9-682444bc233e</DisplayName>
        <AccountId>1309</AccountId>
        <AccountType/>
      </UserInfo>
      <UserInfo>
        <DisplayName>SharingLinks.914d5723-e6ca-42bf-867d-e7364a74751e.OrganizationEdit.1e8739dd-1923-4a0a-8e52-2668a95ecb10</DisplayName>
        <AccountId>1391</AccountId>
        <AccountType/>
      </UserInfo>
      <UserInfo>
        <DisplayName>SharingLinks.4fc41dac-2957-4148-899e-9151de6fee30.OrganizationView.0fa64ca2-bb7f-443f-878c-57fca2063506</DisplayName>
        <AccountId>1757</AccountId>
        <AccountType/>
      </UserInfo>
      <UserInfo>
        <DisplayName>Micaletti, Lorenza</DisplayName>
        <AccountId>29</AccountId>
        <AccountType/>
      </UserInfo>
      <UserInfo>
        <DisplayName>Tholema, Shirley</DisplayName>
        <AccountId>632</AccountId>
        <AccountType/>
      </UserInfo>
      <UserInfo>
        <DisplayName>SharingLinks.c68198c6-f2e6-4ee5-b5f2-53fd5283087f.OrganizationEdit.23623bc4-06a5-464a-940e-7c7d7e940173</DisplayName>
        <AccountId>530</AccountId>
        <AccountType/>
      </UserInfo>
      <UserInfo>
        <DisplayName>Dennis, Joe</DisplayName>
        <AccountId>2145</AccountId>
        <AccountType/>
      </UserInfo>
      <UserInfo>
        <DisplayName>Leach, Siriol</DisplayName>
        <AccountId>75</AccountId>
        <AccountType/>
      </UserInfo>
    </SharedWithUsers>
    <MediaLengthInSeconds xmlns="cd3c523b-aa8f-4804-a23e-31cb3efad401"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Integrating Nature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International Nature Climate and Development Division INCD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F88C51DAF897B458237A9C1200953D8" ma:contentTypeVersion="30" ma:contentTypeDescription="Create a new document." ma:contentTypeScope="" ma:versionID="50c1c1a1daca5ab00a12f6757066cee5">
  <xsd:schema xmlns:xsd="http://www.w3.org/2001/XMLSchema" xmlns:xs="http://www.w3.org/2001/XMLSchema" xmlns:p="http://schemas.microsoft.com/office/2006/metadata/properties" xmlns:ns1="http://schemas.microsoft.com/sharepoint/v3" xmlns:ns2="662745e8-e224-48e8-a2e3-254862b8c2f5" xmlns:ns3="cd3c523b-aa8f-4804-a23e-31cb3efad401" xmlns:ns4="c2a29bdd-637a-4f4b-b2b1-1338f72c8a40" targetNamespace="http://schemas.microsoft.com/office/2006/metadata/properties" ma:root="true" ma:fieldsID="db5237fb2b8f3858ce47aae7ad360044" ns1:_="" ns2:_="" ns3:_="" ns4:_="">
    <xsd:import namespace="http://schemas.microsoft.com/sharepoint/v3"/>
    <xsd:import namespace="662745e8-e224-48e8-a2e3-254862b8c2f5"/>
    <xsd:import namespace="cd3c523b-aa8f-4804-a23e-31cb3efad401"/>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OCR"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dc0afb-fb50-45c9-b93d-3cf984feeaef}"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dc0afb-fb50-45c9-b93d-3cf984feeaef}"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ternational Nature Climate and Development Division INCD" ma:internalName="Team" ma:readOnly="false">
      <xsd:simpleType>
        <xsd:restriction base="dms:Text"/>
      </xsd:simpleType>
    </xsd:element>
    <xsd:element name="Topic" ma:index="20" nillable="true" ma:displayName="Topic" ma:default="Integrating Natur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3c523b-aa8f-4804-a23e-31cb3efad401"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4CF3-84AA-4B72-84CD-D888B2E21F4E}">
  <ds:schemaRefs>
    <ds:schemaRef ds:uri="http://schemas.microsoft.com/office/2006/metadata/properties"/>
    <ds:schemaRef ds:uri="http://schemas.microsoft.com/office/infopath/2007/PartnerControls"/>
    <ds:schemaRef ds:uri="http://schemas.microsoft.com/sharepoint/v3"/>
    <ds:schemaRef ds:uri="662745e8-e224-48e8-a2e3-254862b8c2f5"/>
    <ds:schemaRef ds:uri="cd3c523b-aa8f-4804-a23e-31cb3efad401"/>
    <ds:schemaRef ds:uri="c2a29bdd-637a-4f4b-b2b1-1338f72c8a40"/>
  </ds:schemaRefs>
</ds:datastoreItem>
</file>

<file path=customXml/itemProps2.xml><?xml version="1.0" encoding="utf-8"?>
<ds:datastoreItem xmlns:ds="http://schemas.openxmlformats.org/officeDocument/2006/customXml" ds:itemID="{D6C31793-AE3E-4B42-9F05-5A619E9D4D7E}">
  <ds:schemaRefs>
    <ds:schemaRef ds:uri="http://schemas.microsoft.com/sharepoint/v3/contenttype/forms"/>
  </ds:schemaRefs>
</ds:datastoreItem>
</file>

<file path=customXml/itemProps3.xml><?xml version="1.0" encoding="utf-8"?>
<ds:datastoreItem xmlns:ds="http://schemas.openxmlformats.org/officeDocument/2006/customXml" ds:itemID="{1B304289-EC0D-477D-8595-4FC73966F031}">
  <ds:schemaRefs>
    <ds:schemaRef ds:uri="http://schemas.openxmlformats.org/officeDocument/2006/bibliography"/>
  </ds:schemaRefs>
</ds:datastoreItem>
</file>

<file path=customXml/itemProps4.xml><?xml version="1.0" encoding="utf-8"?>
<ds:datastoreItem xmlns:ds="http://schemas.openxmlformats.org/officeDocument/2006/customXml" ds:itemID="{94AE2694-91A4-4835-9561-F5F1330918BF}">
  <ds:schemaRefs>
    <ds:schemaRef ds:uri="Microsoft.SharePoint.Taxonomy.ContentTypeSync"/>
  </ds:schemaRefs>
</ds:datastoreItem>
</file>

<file path=customXml/itemProps5.xml><?xml version="1.0" encoding="utf-8"?>
<ds:datastoreItem xmlns:ds="http://schemas.openxmlformats.org/officeDocument/2006/customXml" ds:itemID="{5E38527D-36F1-42D3-8FA2-35F5B0332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cd3c523b-aa8f-4804-a23e-31cb3efad401"/>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20</Pages>
  <Words>9861</Words>
  <Characters>56209</Characters>
  <Application>Microsoft Office Word</Application>
  <DocSecurity>0</DocSecurity>
  <Lines>468</Lines>
  <Paragraphs>131</Paragraphs>
  <ScaleCrop>false</ScaleCrop>
  <Company/>
  <LinksUpToDate>false</LinksUpToDate>
  <CharactersWithSpaces>65939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Template</dc:title>
  <dc:subject>Annual Review Template</dc:subject>
  <dc:creator>William Norman</dc:creator>
  <cp:keywords/>
  <dc:description>from April 2020</dc:description>
  <cp:lastModifiedBy>Norman, William</cp:lastModifiedBy>
  <cp:revision>463</cp:revision>
  <dcterms:created xsi:type="dcterms:W3CDTF">2024-09-19T13:59:00Z</dcterms:created>
  <dcterms:modified xsi:type="dcterms:W3CDTF">2024-12-16T13:47:00Z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2020-03-30T16:49:07Z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919708a4-416e-499e-8edc-0000a189eb48</vt:lpwstr>
  </property>
  <property fmtid="{D5CDD505-2E9C-101B-9397-08002B2CF9AE}" pid="8" name="MSIP_Label_e4c996da-17fa-4fc5-8989-2758fb4cf86b_ContentBits">
    <vt:lpwstr>1</vt:lpwstr>
  </property>
  <property fmtid="{D5CDD505-2E9C-101B-9397-08002B2CF9AE}" pid="9" name="ContentTypeId">
    <vt:lpwstr>0x010100A5BF1C78D9F64B679A5EBDE1C6598EBC01007F88C51DAF897B458237A9C1200953D8</vt:lpwstr>
  </property>
  <property fmtid="{D5CDD505-2E9C-101B-9397-08002B2CF9AE}" pid="10" name="Business Document Type">
    <vt:lpwstr>Annual review</vt:lpwstr>
  </property>
  <property fmtid="{D5CDD505-2E9C-101B-9397-08002B2CF9AE}" pid="11" name="InformationType">
    <vt:lpwstr/>
  </property>
  <property fmtid="{D5CDD505-2E9C-101B-9397-08002B2CF9AE}" pid="12" name="Distribution">
    <vt:lpwstr>11;#Internal Defra Group|0867f7b3-e76e-40ca-bb1f-5ba341a49230</vt:lpwstr>
  </property>
  <property fmtid="{D5CDD505-2E9C-101B-9397-08002B2CF9AE}" pid="13" name="SecurityClassification">
    <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8;#Core Defra|026223dd-2e56-4615-868d-7c5bfd566810</vt:lpwstr>
  </property>
  <property fmtid="{D5CDD505-2E9C-101B-9397-08002B2CF9AE}" pid="18" name="Directorate">
    <vt:lpwstr/>
  </property>
  <property fmtid="{D5CDD505-2E9C-101B-9397-08002B2CF9AE}" pid="19" name="MediaServiceImageTags">
    <vt:lpwstr/>
  </property>
  <property fmtid="{D5CDD505-2E9C-101B-9397-08002B2CF9AE}" pid="20" name="lcf76f155ced4ddcb4097134ff3c332f">
    <vt:lpwstr/>
  </property>
  <property fmtid="{D5CDD505-2E9C-101B-9397-08002B2CF9AE}" pid="21" name="HOFrom">
    <vt:lpwstr/>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vti_imgdate">
    <vt:lpwstr/>
  </property>
  <property fmtid="{D5CDD505-2E9C-101B-9397-08002B2CF9AE}" pid="27" name="xd_Signature">
    <vt:bool>false</vt:bool>
  </property>
  <property fmtid="{D5CDD505-2E9C-101B-9397-08002B2CF9AE}" pid="28" name="HOSubject">
    <vt:lpwstr/>
  </property>
  <property fmtid="{D5CDD505-2E9C-101B-9397-08002B2CF9AE}" pid="29" name="wic_System_Copyright">
    <vt:lpwstr/>
  </property>
  <property fmtid="{D5CDD505-2E9C-101B-9397-08002B2CF9AE}" pid="30" name="HOCC">
    <vt:lpwstr/>
  </property>
  <property fmtid="{D5CDD505-2E9C-101B-9397-08002B2CF9AE}" pid="31" name="TriggerFlowInfo">
    <vt:lpwstr/>
  </property>
  <property fmtid="{D5CDD505-2E9C-101B-9397-08002B2CF9AE}" pid="32" name="HOTo">
    <vt:lpwstr/>
  </property>
  <property fmtid="{D5CDD505-2E9C-101B-9397-08002B2CF9AE}" pid="33" name="MSIP_Label_6e83a6fe-0b6e-4399-9d09-a1c8d8d5000c_Enabled">
    <vt:lpwstr>true</vt:lpwstr>
  </property>
  <property fmtid="{D5CDD505-2E9C-101B-9397-08002B2CF9AE}" pid="34" name="MSIP_Label_6e83a6fe-0b6e-4399-9d09-a1c8d8d5000c_SetDate">
    <vt:lpwstr>2023-05-31T09:38:18Z</vt:lpwstr>
  </property>
  <property fmtid="{D5CDD505-2E9C-101B-9397-08002B2CF9AE}" pid="35" name="MSIP_Label_6e83a6fe-0b6e-4399-9d09-a1c8d8d5000c_Method">
    <vt:lpwstr>Privileged</vt:lpwstr>
  </property>
  <property fmtid="{D5CDD505-2E9C-101B-9397-08002B2CF9AE}" pid="36" name="MSIP_Label_6e83a6fe-0b6e-4399-9d09-a1c8d8d5000c_Name">
    <vt:lpwstr>6e83a6fe-0b6e-4399-9d09-a1c8d8d5000c</vt:lpwstr>
  </property>
  <property fmtid="{D5CDD505-2E9C-101B-9397-08002B2CF9AE}" pid="37" name="MSIP_Label_6e83a6fe-0b6e-4399-9d09-a1c8d8d5000c_SiteId">
    <vt:lpwstr>d5bb6d35-8a82-4329-b49a-5030bd6497ab</vt:lpwstr>
  </property>
  <property fmtid="{D5CDD505-2E9C-101B-9397-08002B2CF9AE}" pid="38" name="MSIP_Label_6e83a6fe-0b6e-4399-9d09-a1c8d8d5000c_ActionId">
    <vt:lpwstr>8f925ce8-bd4e-4bc9-85e3-15a2579d1b19</vt:lpwstr>
  </property>
  <property fmtid="{D5CDD505-2E9C-101B-9397-08002B2CF9AE}" pid="39" name="MSIP_Label_6e83a6fe-0b6e-4399-9d09-a1c8d8d5000c_ContentBits">
    <vt:lpwstr>2</vt:lpwstr>
  </property>
</Properties>
</file>